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5A7A" w:rsidP="00BB7D6A" w:rsidRDefault="002F5A7A" w14:paraId="2D5E928D" w14:textId="77777777">
      <w:pPr>
        <w:pStyle w:val="Categories"/>
        <w:jc w:val="center"/>
      </w:pPr>
      <w:r>
        <w:t>Table of Contents</w:t>
      </w:r>
    </w:p>
    <w:p w:rsidR="002F5A7A" w:rsidP="00127DDC" w:rsidRDefault="00127DDC" w14:paraId="2028F70D" w14:textId="77777777">
      <w:pPr>
        <w:tabs>
          <w:tab w:val="left" w:pos="3885"/>
        </w:tabs>
      </w:pPr>
      <w:r>
        <w:tab/>
      </w:r>
    </w:p>
    <w:p w:rsidR="00BB7D6A" w:rsidRDefault="002F5A7A" w14:paraId="5E9A80AB" w14:textId="77777777">
      <w:pPr>
        <w:pStyle w:val="TOC1"/>
        <w:tabs>
          <w:tab w:val="right" w:leader="dot" w:pos="9350"/>
        </w:tabs>
        <w:rPr>
          <w:rFonts w:asciiTheme="minorHAnsi" w:hAnsiTheme="minorHAnsi" w:eastAsiaTheme="minorEastAsia" w:cstheme="minorBidi"/>
          <w:b w:val="0"/>
          <w:noProof/>
          <w:color w:val="auto"/>
          <w:sz w:val="22"/>
          <w:szCs w:val="22"/>
        </w:rPr>
      </w:pPr>
      <w:r>
        <w:fldChar w:fldCharType="begin"/>
      </w:r>
      <w:r>
        <w:instrText xml:space="preserve"> TOC \o "1-3" \h \z \u </w:instrText>
      </w:r>
      <w:r>
        <w:fldChar w:fldCharType="separate"/>
      </w:r>
      <w:hyperlink w:history="1" w:anchor="_Toc414873709">
        <w:r w:rsidRPr="009977B2" w:rsidR="00BB7D6A">
          <w:rPr>
            <w:rStyle w:val="Hyperlink"/>
            <w:noProof/>
          </w:rPr>
          <w:t>11 - IGNITION SYSTEMS</w:t>
        </w:r>
        <w:r w:rsidR="00BB7D6A">
          <w:rPr>
            <w:noProof/>
            <w:webHidden/>
          </w:rPr>
          <w:tab/>
        </w:r>
        <w:r w:rsidR="00BB7D6A">
          <w:rPr>
            <w:noProof/>
            <w:webHidden/>
          </w:rPr>
          <w:fldChar w:fldCharType="begin"/>
        </w:r>
        <w:r w:rsidR="00BB7D6A">
          <w:rPr>
            <w:noProof/>
            <w:webHidden/>
          </w:rPr>
          <w:instrText xml:space="preserve"> PAGEREF _Toc414873709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6846FCE1" w14:textId="77777777">
      <w:pPr>
        <w:pStyle w:val="TOC2"/>
        <w:tabs>
          <w:tab w:val="right" w:leader="dot" w:pos="9350"/>
        </w:tabs>
        <w:rPr>
          <w:rFonts w:asciiTheme="minorHAnsi" w:hAnsiTheme="minorHAnsi" w:eastAsiaTheme="minorEastAsia" w:cstheme="minorBidi"/>
          <w:noProof/>
          <w:sz w:val="22"/>
          <w:szCs w:val="22"/>
        </w:rPr>
      </w:pPr>
      <w:hyperlink w:history="1" w:anchor="_Toc414873710">
        <w:r w:rsidRPr="009977B2" w:rsidR="00BB7D6A">
          <w:rPr>
            <w:rStyle w:val="Hyperlink"/>
            <w:noProof/>
          </w:rPr>
          <w:t>11.1 - Aerial Ignition</w:t>
        </w:r>
        <w:r w:rsidR="00BB7D6A">
          <w:rPr>
            <w:noProof/>
            <w:webHidden/>
          </w:rPr>
          <w:tab/>
        </w:r>
        <w:r w:rsidR="00BB7D6A">
          <w:rPr>
            <w:noProof/>
            <w:webHidden/>
          </w:rPr>
          <w:fldChar w:fldCharType="begin"/>
        </w:r>
        <w:r w:rsidR="00BB7D6A">
          <w:rPr>
            <w:noProof/>
            <w:webHidden/>
          </w:rPr>
          <w:instrText xml:space="preserve"> PAGEREF _Toc414873710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06603F00" w14:textId="77777777">
      <w:pPr>
        <w:pStyle w:val="TOC2"/>
        <w:tabs>
          <w:tab w:val="right" w:leader="dot" w:pos="9350"/>
        </w:tabs>
        <w:rPr>
          <w:rFonts w:asciiTheme="minorHAnsi" w:hAnsiTheme="minorHAnsi" w:eastAsiaTheme="minorEastAsia" w:cstheme="minorBidi"/>
          <w:noProof/>
          <w:sz w:val="22"/>
          <w:szCs w:val="22"/>
        </w:rPr>
      </w:pPr>
      <w:hyperlink w:history="1" w:anchor="_Toc414873711">
        <w:r w:rsidRPr="009977B2" w:rsidR="00BB7D6A">
          <w:rPr>
            <w:rStyle w:val="Hyperlink"/>
            <w:noProof/>
          </w:rPr>
          <w:t>11.2 - Ground Ignition</w:t>
        </w:r>
        <w:r w:rsidR="00BB7D6A">
          <w:rPr>
            <w:noProof/>
            <w:webHidden/>
          </w:rPr>
          <w:tab/>
        </w:r>
        <w:r w:rsidR="00BB7D6A">
          <w:rPr>
            <w:noProof/>
            <w:webHidden/>
          </w:rPr>
          <w:fldChar w:fldCharType="begin"/>
        </w:r>
        <w:r w:rsidR="00BB7D6A">
          <w:rPr>
            <w:noProof/>
            <w:webHidden/>
          </w:rPr>
          <w:instrText xml:space="preserve"> PAGEREF _Toc414873711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355D8EC2" w14:textId="77777777">
      <w:pPr>
        <w:pStyle w:val="TOC2"/>
        <w:tabs>
          <w:tab w:val="right" w:leader="dot" w:pos="9350"/>
        </w:tabs>
        <w:rPr>
          <w:rFonts w:asciiTheme="minorHAnsi" w:hAnsiTheme="minorHAnsi" w:eastAsiaTheme="minorEastAsia" w:cstheme="minorBidi"/>
          <w:noProof/>
          <w:sz w:val="22"/>
          <w:szCs w:val="22"/>
        </w:rPr>
      </w:pPr>
      <w:hyperlink w:history="1" w:anchor="_Toc414873712">
        <w:r w:rsidRPr="009977B2" w:rsidR="00BB7D6A">
          <w:rPr>
            <w:rStyle w:val="Hyperlink"/>
            <w:noProof/>
          </w:rPr>
          <w:t>11.3 - Use and Storage</w:t>
        </w:r>
        <w:r w:rsidR="00BB7D6A">
          <w:rPr>
            <w:noProof/>
            <w:webHidden/>
          </w:rPr>
          <w:tab/>
        </w:r>
        <w:r w:rsidR="00BB7D6A">
          <w:rPr>
            <w:noProof/>
            <w:webHidden/>
          </w:rPr>
          <w:fldChar w:fldCharType="begin"/>
        </w:r>
        <w:r w:rsidR="00BB7D6A">
          <w:rPr>
            <w:noProof/>
            <w:webHidden/>
          </w:rPr>
          <w:instrText xml:space="preserve"> PAGEREF _Toc414873712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613A8550" w14:textId="77777777">
      <w:pPr>
        <w:pStyle w:val="TOC2"/>
        <w:tabs>
          <w:tab w:val="right" w:leader="dot" w:pos="9350"/>
        </w:tabs>
        <w:rPr>
          <w:rFonts w:asciiTheme="minorHAnsi" w:hAnsiTheme="minorHAnsi" w:eastAsiaTheme="minorEastAsia" w:cstheme="minorBidi"/>
          <w:noProof/>
          <w:sz w:val="22"/>
          <w:szCs w:val="22"/>
        </w:rPr>
      </w:pPr>
      <w:hyperlink w:history="1" w:anchor="_Toc414873713">
        <w:r w:rsidRPr="009977B2" w:rsidR="00BB7D6A">
          <w:rPr>
            <w:rStyle w:val="Hyperlink"/>
            <w:noProof/>
          </w:rPr>
          <w:t>11.4 - Fuel Transportation and Dispensing</w:t>
        </w:r>
        <w:r w:rsidR="00BB7D6A">
          <w:rPr>
            <w:noProof/>
            <w:webHidden/>
          </w:rPr>
          <w:tab/>
        </w:r>
        <w:r w:rsidR="00BB7D6A">
          <w:rPr>
            <w:noProof/>
            <w:webHidden/>
          </w:rPr>
          <w:fldChar w:fldCharType="begin"/>
        </w:r>
        <w:r w:rsidR="00BB7D6A">
          <w:rPr>
            <w:noProof/>
            <w:webHidden/>
          </w:rPr>
          <w:instrText xml:space="preserve"> PAGEREF _Toc414873713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1D1929ED"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414873714">
        <w:r w:rsidRPr="009977B2" w:rsidR="00BB7D6A">
          <w:rPr>
            <w:rStyle w:val="Hyperlink"/>
            <w:noProof/>
          </w:rPr>
          <w:t>12 - WATER HANDLING EQUIPMENT</w:t>
        </w:r>
        <w:r w:rsidR="00BB7D6A">
          <w:rPr>
            <w:noProof/>
            <w:webHidden/>
          </w:rPr>
          <w:tab/>
        </w:r>
        <w:r w:rsidR="00BB7D6A">
          <w:rPr>
            <w:noProof/>
            <w:webHidden/>
          </w:rPr>
          <w:fldChar w:fldCharType="begin"/>
        </w:r>
        <w:r w:rsidR="00BB7D6A">
          <w:rPr>
            <w:noProof/>
            <w:webHidden/>
          </w:rPr>
          <w:instrText xml:space="preserve"> PAGEREF _Toc414873714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696A3719" w14:textId="77777777">
      <w:pPr>
        <w:pStyle w:val="TOC2"/>
        <w:tabs>
          <w:tab w:val="right" w:leader="dot" w:pos="9350"/>
        </w:tabs>
        <w:rPr>
          <w:rFonts w:asciiTheme="minorHAnsi" w:hAnsiTheme="minorHAnsi" w:eastAsiaTheme="minorEastAsia" w:cstheme="minorBidi"/>
          <w:noProof/>
          <w:sz w:val="22"/>
          <w:szCs w:val="22"/>
        </w:rPr>
      </w:pPr>
      <w:hyperlink w:history="1" w:anchor="_Toc414873715">
        <w:r w:rsidRPr="009977B2" w:rsidR="00BB7D6A">
          <w:rPr>
            <w:rStyle w:val="Hyperlink"/>
            <w:noProof/>
          </w:rPr>
          <w:t>12.1 - Portable Pumping Equipment</w:t>
        </w:r>
        <w:r w:rsidR="00BB7D6A">
          <w:rPr>
            <w:noProof/>
            <w:webHidden/>
          </w:rPr>
          <w:tab/>
        </w:r>
        <w:r w:rsidR="00BB7D6A">
          <w:rPr>
            <w:noProof/>
            <w:webHidden/>
          </w:rPr>
          <w:fldChar w:fldCharType="begin"/>
        </w:r>
        <w:r w:rsidR="00BB7D6A">
          <w:rPr>
            <w:noProof/>
            <w:webHidden/>
          </w:rPr>
          <w:instrText xml:space="preserve"> PAGEREF _Toc414873715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2AD0974B" w14:textId="77777777">
      <w:pPr>
        <w:pStyle w:val="TOC2"/>
        <w:tabs>
          <w:tab w:val="right" w:leader="dot" w:pos="9350"/>
        </w:tabs>
        <w:rPr>
          <w:rFonts w:asciiTheme="minorHAnsi" w:hAnsiTheme="minorHAnsi" w:eastAsiaTheme="minorEastAsia" w:cstheme="minorBidi"/>
          <w:noProof/>
          <w:sz w:val="22"/>
          <w:szCs w:val="22"/>
        </w:rPr>
      </w:pPr>
      <w:hyperlink w:history="1" w:anchor="_Toc414873716">
        <w:r w:rsidRPr="009977B2" w:rsidR="00BB7D6A">
          <w:rPr>
            <w:rStyle w:val="Hyperlink"/>
            <w:noProof/>
          </w:rPr>
          <w:t>12.2 - Mobile Fire Equipment</w:t>
        </w:r>
        <w:r w:rsidR="00BB7D6A">
          <w:rPr>
            <w:noProof/>
            <w:webHidden/>
          </w:rPr>
          <w:tab/>
        </w:r>
        <w:r w:rsidR="00BB7D6A">
          <w:rPr>
            <w:noProof/>
            <w:webHidden/>
          </w:rPr>
          <w:fldChar w:fldCharType="begin"/>
        </w:r>
        <w:r w:rsidR="00BB7D6A">
          <w:rPr>
            <w:noProof/>
            <w:webHidden/>
          </w:rPr>
          <w:instrText xml:space="preserve"> PAGEREF _Toc414873716 \h </w:instrText>
        </w:r>
        <w:r w:rsidR="00BB7D6A">
          <w:rPr>
            <w:noProof/>
            <w:webHidden/>
          </w:rPr>
        </w:r>
        <w:r w:rsidR="00BB7D6A">
          <w:rPr>
            <w:noProof/>
            <w:webHidden/>
          </w:rPr>
          <w:fldChar w:fldCharType="separate"/>
        </w:r>
        <w:r w:rsidR="00830ACC">
          <w:rPr>
            <w:noProof/>
            <w:webHidden/>
          </w:rPr>
          <w:t>2</w:t>
        </w:r>
        <w:r w:rsidR="00BB7D6A">
          <w:rPr>
            <w:noProof/>
            <w:webHidden/>
          </w:rPr>
          <w:fldChar w:fldCharType="end"/>
        </w:r>
      </w:hyperlink>
    </w:p>
    <w:p w:rsidR="00BB7D6A" w:rsidRDefault="00E12E80" w14:paraId="1F48F097" w14:textId="77777777">
      <w:pPr>
        <w:pStyle w:val="TOC2"/>
        <w:tabs>
          <w:tab w:val="right" w:leader="dot" w:pos="9350"/>
        </w:tabs>
        <w:rPr>
          <w:rFonts w:asciiTheme="minorHAnsi" w:hAnsiTheme="minorHAnsi" w:eastAsiaTheme="minorEastAsia" w:cstheme="minorBidi"/>
          <w:noProof/>
          <w:sz w:val="22"/>
          <w:szCs w:val="22"/>
        </w:rPr>
      </w:pPr>
      <w:hyperlink w:history="1" w:anchor="_Toc414873717">
        <w:r w:rsidRPr="009977B2" w:rsidR="00BB7D6A">
          <w:rPr>
            <w:rStyle w:val="Hyperlink"/>
            <w:noProof/>
          </w:rPr>
          <w:t>12.3 - Fire Hose and Couplings</w:t>
        </w:r>
        <w:r w:rsidR="00BB7D6A">
          <w:rPr>
            <w:noProof/>
            <w:webHidden/>
          </w:rPr>
          <w:tab/>
        </w:r>
        <w:r w:rsidR="00BB7D6A">
          <w:rPr>
            <w:noProof/>
            <w:webHidden/>
          </w:rPr>
          <w:fldChar w:fldCharType="begin"/>
        </w:r>
        <w:r w:rsidR="00BB7D6A">
          <w:rPr>
            <w:noProof/>
            <w:webHidden/>
          </w:rPr>
          <w:instrText xml:space="preserve"> PAGEREF _Toc414873717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4C428A40"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414873718">
        <w:r w:rsidRPr="009977B2" w:rsidR="00BB7D6A">
          <w:rPr>
            <w:rStyle w:val="Hyperlink"/>
            <w:noProof/>
          </w:rPr>
          <w:t>13 - EQUIPMENT MAINTENANCE AND TESTING</w:t>
        </w:r>
        <w:r w:rsidR="00BB7D6A">
          <w:rPr>
            <w:noProof/>
            <w:webHidden/>
          </w:rPr>
          <w:tab/>
        </w:r>
        <w:r w:rsidR="00BB7D6A">
          <w:rPr>
            <w:noProof/>
            <w:webHidden/>
          </w:rPr>
          <w:fldChar w:fldCharType="begin"/>
        </w:r>
        <w:r w:rsidR="00BB7D6A">
          <w:rPr>
            <w:noProof/>
            <w:webHidden/>
          </w:rPr>
          <w:instrText xml:space="preserve"> PAGEREF _Toc414873718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2FBE9856" w14:textId="77777777">
      <w:pPr>
        <w:pStyle w:val="TOC2"/>
        <w:tabs>
          <w:tab w:val="right" w:leader="dot" w:pos="9350"/>
        </w:tabs>
        <w:rPr>
          <w:rFonts w:asciiTheme="minorHAnsi" w:hAnsiTheme="minorHAnsi" w:eastAsiaTheme="minorEastAsia" w:cstheme="minorBidi"/>
          <w:noProof/>
          <w:sz w:val="22"/>
          <w:szCs w:val="22"/>
        </w:rPr>
      </w:pPr>
      <w:hyperlink w:history="1" w:anchor="_Toc414873719">
        <w:r w:rsidRPr="009977B2" w:rsidR="00BB7D6A">
          <w:rPr>
            <w:rStyle w:val="Hyperlink"/>
            <w:noProof/>
          </w:rPr>
          <w:t>13.1 - Portable Pumps</w:t>
        </w:r>
        <w:r w:rsidR="00BB7D6A">
          <w:rPr>
            <w:noProof/>
            <w:webHidden/>
          </w:rPr>
          <w:tab/>
        </w:r>
        <w:r w:rsidR="00BB7D6A">
          <w:rPr>
            <w:noProof/>
            <w:webHidden/>
          </w:rPr>
          <w:fldChar w:fldCharType="begin"/>
        </w:r>
        <w:r w:rsidR="00BB7D6A">
          <w:rPr>
            <w:noProof/>
            <w:webHidden/>
          </w:rPr>
          <w:instrText xml:space="preserve"> PAGEREF _Toc414873719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3DE6E1FA" w14:textId="77777777">
      <w:pPr>
        <w:pStyle w:val="TOC2"/>
        <w:tabs>
          <w:tab w:val="right" w:leader="dot" w:pos="9350"/>
        </w:tabs>
        <w:rPr>
          <w:rFonts w:asciiTheme="minorHAnsi" w:hAnsiTheme="minorHAnsi" w:eastAsiaTheme="minorEastAsia" w:cstheme="minorBidi"/>
          <w:noProof/>
          <w:sz w:val="22"/>
          <w:szCs w:val="22"/>
        </w:rPr>
      </w:pPr>
      <w:hyperlink w:history="1" w:anchor="_Toc414873720">
        <w:r w:rsidRPr="009977B2" w:rsidR="00BB7D6A">
          <w:rPr>
            <w:rStyle w:val="Hyperlink"/>
            <w:noProof/>
          </w:rPr>
          <w:t>13.2 - Fire Equipment in the National Fire Equipment System</w:t>
        </w:r>
        <w:r w:rsidR="00BB7D6A">
          <w:rPr>
            <w:noProof/>
            <w:webHidden/>
          </w:rPr>
          <w:tab/>
        </w:r>
        <w:r w:rsidR="00BB7D6A">
          <w:rPr>
            <w:noProof/>
            <w:webHidden/>
          </w:rPr>
          <w:fldChar w:fldCharType="begin"/>
        </w:r>
        <w:r w:rsidR="00BB7D6A">
          <w:rPr>
            <w:noProof/>
            <w:webHidden/>
          </w:rPr>
          <w:instrText xml:space="preserve"> PAGEREF _Toc414873720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5D77F947" w14:textId="77777777">
      <w:pPr>
        <w:pStyle w:val="TOC2"/>
        <w:tabs>
          <w:tab w:val="right" w:leader="dot" w:pos="9350"/>
        </w:tabs>
        <w:rPr>
          <w:rFonts w:asciiTheme="minorHAnsi" w:hAnsiTheme="minorHAnsi" w:eastAsiaTheme="minorEastAsia" w:cstheme="minorBidi"/>
          <w:noProof/>
          <w:sz w:val="22"/>
          <w:szCs w:val="22"/>
        </w:rPr>
      </w:pPr>
      <w:hyperlink w:history="1" w:anchor="_Toc414873721">
        <w:r w:rsidRPr="009977B2" w:rsidR="00BB7D6A">
          <w:rPr>
            <w:rStyle w:val="Hyperlink"/>
            <w:noProof/>
          </w:rPr>
          <w:t>13.3 - Fire-Weather Observation Instruments and Equipment</w:t>
        </w:r>
        <w:r w:rsidR="00BB7D6A">
          <w:rPr>
            <w:noProof/>
            <w:webHidden/>
          </w:rPr>
          <w:tab/>
        </w:r>
        <w:r w:rsidR="00BB7D6A">
          <w:rPr>
            <w:noProof/>
            <w:webHidden/>
          </w:rPr>
          <w:fldChar w:fldCharType="begin"/>
        </w:r>
        <w:r w:rsidR="00BB7D6A">
          <w:rPr>
            <w:noProof/>
            <w:webHidden/>
          </w:rPr>
          <w:instrText xml:space="preserve"> PAGEREF _Toc414873721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5EA3013E" w14:textId="77777777">
      <w:pPr>
        <w:pStyle w:val="TOC1"/>
        <w:tabs>
          <w:tab w:val="right" w:leader="dot" w:pos="9350"/>
        </w:tabs>
        <w:rPr>
          <w:rFonts w:asciiTheme="minorHAnsi" w:hAnsiTheme="minorHAnsi" w:eastAsiaTheme="minorEastAsia" w:cstheme="minorBidi"/>
          <w:b w:val="0"/>
          <w:noProof/>
          <w:color w:val="auto"/>
          <w:sz w:val="22"/>
          <w:szCs w:val="22"/>
        </w:rPr>
      </w:pPr>
      <w:hyperlink w:history="1" w:anchor="_Toc414873722">
        <w:r w:rsidRPr="009977B2" w:rsidR="00BB7D6A">
          <w:rPr>
            <w:rStyle w:val="Hyperlink"/>
            <w:noProof/>
          </w:rPr>
          <w:t>14 - FIRE EQUIPMENT USE/LOSS</w:t>
        </w:r>
        <w:r w:rsidR="00BB7D6A">
          <w:rPr>
            <w:noProof/>
            <w:webHidden/>
          </w:rPr>
          <w:tab/>
        </w:r>
        <w:r w:rsidR="00BB7D6A">
          <w:rPr>
            <w:noProof/>
            <w:webHidden/>
          </w:rPr>
          <w:fldChar w:fldCharType="begin"/>
        </w:r>
        <w:r w:rsidR="00BB7D6A">
          <w:rPr>
            <w:noProof/>
            <w:webHidden/>
          </w:rPr>
          <w:instrText xml:space="preserve"> PAGEREF _Toc414873722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2E73894E" w14:textId="77777777">
      <w:pPr>
        <w:pStyle w:val="TOC2"/>
        <w:tabs>
          <w:tab w:val="right" w:leader="dot" w:pos="9350"/>
        </w:tabs>
        <w:rPr>
          <w:rFonts w:asciiTheme="minorHAnsi" w:hAnsiTheme="minorHAnsi" w:eastAsiaTheme="minorEastAsia" w:cstheme="minorBidi"/>
          <w:noProof/>
          <w:sz w:val="22"/>
          <w:szCs w:val="22"/>
        </w:rPr>
      </w:pPr>
      <w:hyperlink w:history="1" w:anchor="_Toc414873723">
        <w:r w:rsidRPr="009977B2" w:rsidR="00BB7D6A">
          <w:rPr>
            <w:rStyle w:val="Hyperlink"/>
            <w:noProof/>
          </w:rPr>
          <w:t>14.1 - Cache Inventory and Documentation</w:t>
        </w:r>
        <w:r w:rsidR="00BB7D6A">
          <w:rPr>
            <w:noProof/>
            <w:webHidden/>
          </w:rPr>
          <w:tab/>
        </w:r>
        <w:r w:rsidR="00BB7D6A">
          <w:rPr>
            <w:noProof/>
            <w:webHidden/>
          </w:rPr>
          <w:fldChar w:fldCharType="begin"/>
        </w:r>
        <w:r w:rsidR="00BB7D6A">
          <w:rPr>
            <w:noProof/>
            <w:webHidden/>
          </w:rPr>
          <w:instrText xml:space="preserve"> PAGEREF _Toc414873723 \h </w:instrText>
        </w:r>
        <w:r w:rsidR="00BB7D6A">
          <w:rPr>
            <w:noProof/>
            <w:webHidden/>
          </w:rPr>
        </w:r>
        <w:r w:rsidR="00BB7D6A">
          <w:rPr>
            <w:noProof/>
            <w:webHidden/>
          </w:rPr>
          <w:fldChar w:fldCharType="separate"/>
        </w:r>
        <w:r w:rsidR="00830ACC">
          <w:rPr>
            <w:noProof/>
            <w:webHidden/>
          </w:rPr>
          <w:t>3</w:t>
        </w:r>
        <w:r w:rsidR="00BB7D6A">
          <w:rPr>
            <w:noProof/>
            <w:webHidden/>
          </w:rPr>
          <w:fldChar w:fldCharType="end"/>
        </w:r>
      </w:hyperlink>
    </w:p>
    <w:p w:rsidR="00BB7D6A" w:rsidRDefault="00E12E80" w14:paraId="216750C0" w14:textId="77777777">
      <w:pPr>
        <w:pStyle w:val="TOC2"/>
        <w:tabs>
          <w:tab w:val="right" w:leader="dot" w:pos="9350"/>
        </w:tabs>
        <w:rPr>
          <w:rFonts w:asciiTheme="minorHAnsi" w:hAnsiTheme="minorHAnsi" w:eastAsiaTheme="minorEastAsia" w:cstheme="minorBidi"/>
          <w:noProof/>
          <w:sz w:val="22"/>
          <w:szCs w:val="22"/>
        </w:rPr>
      </w:pPr>
      <w:hyperlink w:history="1" w:anchor="_Toc414873724">
        <w:r w:rsidRPr="009977B2" w:rsidR="00BB7D6A">
          <w:rPr>
            <w:rStyle w:val="Hyperlink"/>
            <w:noProof/>
          </w:rPr>
          <w:t>14.2 - Assignment of Inventory Responsibility</w:t>
        </w:r>
        <w:r w:rsidR="00BB7D6A">
          <w:rPr>
            <w:noProof/>
            <w:webHidden/>
          </w:rPr>
          <w:tab/>
        </w:r>
        <w:r w:rsidR="00BB7D6A">
          <w:rPr>
            <w:noProof/>
            <w:webHidden/>
          </w:rPr>
          <w:fldChar w:fldCharType="begin"/>
        </w:r>
        <w:r w:rsidR="00BB7D6A">
          <w:rPr>
            <w:noProof/>
            <w:webHidden/>
          </w:rPr>
          <w:instrText xml:space="preserve"> PAGEREF _Toc414873724 \h </w:instrText>
        </w:r>
        <w:r w:rsidR="00BB7D6A">
          <w:rPr>
            <w:noProof/>
            <w:webHidden/>
          </w:rPr>
        </w:r>
        <w:r w:rsidR="00BB7D6A">
          <w:rPr>
            <w:noProof/>
            <w:webHidden/>
          </w:rPr>
          <w:fldChar w:fldCharType="separate"/>
        </w:r>
        <w:r w:rsidR="00830ACC">
          <w:rPr>
            <w:noProof/>
            <w:webHidden/>
          </w:rPr>
          <w:t>4</w:t>
        </w:r>
        <w:r w:rsidR="00BB7D6A">
          <w:rPr>
            <w:noProof/>
            <w:webHidden/>
          </w:rPr>
          <w:fldChar w:fldCharType="end"/>
        </w:r>
      </w:hyperlink>
    </w:p>
    <w:p w:rsidR="00BB7D6A" w:rsidRDefault="00E12E80" w14:paraId="1391A04F" w14:textId="77777777">
      <w:pPr>
        <w:pStyle w:val="TOC2"/>
        <w:tabs>
          <w:tab w:val="right" w:leader="dot" w:pos="9350"/>
        </w:tabs>
        <w:rPr>
          <w:rFonts w:asciiTheme="minorHAnsi" w:hAnsiTheme="minorHAnsi" w:eastAsiaTheme="minorEastAsia" w:cstheme="minorBidi"/>
          <w:noProof/>
          <w:sz w:val="22"/>
          <w:szCs w:val="22"/>
        </w:rPr>
      </w:pPr>
      <w:hyperlink w:history="1" w:anchor="_Toc414873725">
        <w:r w:rsidRPr="009977B2" w:rsidR="00BB7D6A">
          <w:rPr>
            <w:rStyle w:val="Hyperlink"/>
            <w:noProof/>
          </w:rPr>
          <w:t>14.3 - Fire Loss/Use Information</w:t>
        </w:r>
        <w:r w:rsidR="00BB7D6A">
          <w:rPr>
            <w:noProof/>
            <w:webHidden/>
          </w:rPr>
          <w:tab/>
        </w:r>
        <w:r w:rsidR="00BB7D6A">
          <w:rPr>
            <w:noProof/>
            <w:webHidden/>
          </w:rPr>
          <w:fldChar w:fldCharType="begin"/>
        </w:r>
        <w:r w:rsidR="00BB7D6A">
          <w:rPr>
            <w:noProof/>
            <w:webHidden/>
          </w:rPr>
          <w:instrText xml:space="preserve"> PAGEREF _Toc414873725 \h </w:instrText>
        </w:r>
        <w:r w:rsidR="00BB7D6A">
          <w:rPr>
            <w:noProof/>
            <w:webHidden/>
          </w:rPr>
        </w:r>
        <w:r w:rsidR="00BB7D6A">
          <w:rPr>
            <w:noProof/>
            <w:webHidden/>
          </w:rPr>
          <w:fldChar w:fldCharType="separate"/>
        </w:r>
        <w:r w:rsidR="00830ACC">
          <w:rPr>
            <w:noProof/>
            <w:webHidden/>
          </w:rPr>
          <w:t>4</w:t>
        </w:r>
        <w:r w:rsidR="00BB7D6A">
          <w:rPr>
            <w:noProof/>
            <w:webHidden/>
          </w:rPr>
          <w:fldChar w:fldCharType="end"/>
        </w:r>
      </w:hyperlink>
    </w:p>
    <w:p w:rsidR="00BB7D6A" w:rsidRDefault="00E12E80" w14:paraId="54BF9FE9" w14:textId="77777777">
      <w:pPr>
        <w:pStyle w:val="TOC2"/>
        <w:tabs>
          <w:tab w:val="right" w:leader="dot" w:pos="9350"/>
        </w:tabs>
        <w:rPr>
          <w:rFonts w:asciiTheme="minorHAnsi" w:hAnsiTheme="minorHAnsi" w:eastAsiaTheme="minorEastAsia" w:cstheme="minorBidi"/>
          <w:noProof/>
          <w:sz w:val="22"/>
          <w:szCs w:val="22"/>
        </w:rPr>
      </w:pPr>
      <w:hyperlink w:history="1" w:anchor="_Toc414873726">
        <w:r w:rsidRPr="009977B2" w:rsidR="00BB7D6A">
          <w:rPr>
            <w:rStyle w:val="Hyperlink"/>
            <w:noProof/>
          </w:rPr>
          <w:t>14.4 - Fire Loss/Use Rates</w:t>
        </w:r>
        <w:r w:rsidR="00BB7D6A">
          <w:rPr>
            <w:noProof/>
            <w:webHidden/>
          </w:rPr>
          <w:tab/>
        </w:r>
        <w:r w:rsidR="00BB7D6A">
          <w:rPr>
            <w:noProof/>
            <w:webHidden/>
          </w:rPr>
          <w:fldChar w:fldCharType="begin"/>
        </w:r>
        <w:r w:rsidR="00BB7D6A">
          <w:rPr>
            <w:noProof/>
            <w:webHidden/>
          </w:rPr>
          <w:instrText xml:space="preserve"> PAGEREF _Toc414873726 \h </w:instrText>
        </w:r>
        <w:r w:rsidR="00BB7D6A">
          <w:rPr>
            <w:noProof/>
            <w:webHidden/>
          </w:rPr>
        </w:r>
        <w:r w:rsidR="00BB7D6A">
          <w:rPr>
            <w:noProof/>
            <w:webHidden/>
          </w:rPr>
          <w:fldChar w:fldCharType="separate"/>
        </w:r>
        <w:r w:rsidR="00830ACC">
          <w:rPr>
            <w:noProof/>
            <w:webHidden/>
          </w:rPr>
          <w:t>4</w:t>
        </w:r>
        <w:r w:rsidR="00BB7D6A">
          <w:rPr>
            <w:noProof/>
            <w:webHidden/>
          </w:rPr>
          <w:fldChar w:fldCharType="end"/>
        </w:r>
      </w:hyperlink>
    </w:p>
    <w:p w:rsidR="00BB7D6A" w:rsidRDefault="00E12E80" w14:paraId="566683BC" w14:textId="77777777">
      <w:pPr>
        <w:pStyle w:val="TOC2"/>
        <w:tabs>
          <w:tab w:val="right" w:leader="dot" w:pos="9350"/>
        </w:tabs>
        <w:rPr>
          <w:rFonts w:asciiTheme="minorHAnsi" w:hAnsiTheme="minorHAnsi" w:eastAsiaTheme="minorEastAsia" w:cstheme="minorBidi"/>
          <w:noProof/>
          <w:sz w:val="22"/>
          <w:szCs w:val="22"/>
        </w:rPr>
      </w:pPr>
      <w:hyperlink w:history="1" w:anchor="_Toc414873727">
        <w:r w:rsidRPr="009977B2" w:rsidR="00BB7D6A">
          <w:rPr>
            <w:rStyle w:val="Hyperlink"/>
            <w:noProof/>
          </w:rPr>
          <w:t>14.5 - Equipment and Supplies Purchased with Wildland Fire Suppression Funds</w:t>
        </w:r>
        <w:r w:rsidR="00BB7D6A">
          <w:rPr>
            <w:noProof/>
            <w:webHidden/>
          </w:rPr>
          <w:tab/>
        </w:r>
        <w:r w:rsidR="00BB7D6A">
          <w:rPr>
            <w:noProof/>
            <w:webHidden/>
          </w:rPr>
          <w:fldChar w:fldCharType="begin"/>
        </w:r>
        <w:r w:rsidR="00BB7D6A">
          <w:rPr>
            <w:noProof/>
            <w:webHidden/>
          </w:rPr>
          <w:instrText xml:space="preserve"> PAGEREF _Toc414873727 \h </w:instrText>
        </w:r>
        <w:r w:rsidR="00BB7D6A">
          <w:rPr>
            <w:noProof/>
            <w:webHidden/>
          </w:rPr>
        </w:r>
        <w:r w:rsidR="00BB7D6A">
          <w:rPr>
            <w:noProof/>
            <w:webHidden/>
          </w:rPr>
          <w:fldChar w:fldCharType="separate"/>
        </w:r>
        <w:r w:rsidR="00830ACC">
          <w:rPr>
            <w:noProof/>
            <w:webHidden/>
          </w:rPr>
          <w:t>5</w:t>
        </w:r>
        <w:r w:rsidR="00BB7D6A">
          <w:rPr>
            <w:noProof/>
            <w:webHidden/>
          </w:rPr>
          <w:fldChar w:fldCharType="end"/>
        </w:r>
      </w:hyperlink>
    </w:p>
    <w:p w:rsidR="002F5A7A" w:rsidP="002F5A7A" w:rsidRDefault="002F5A7A" w14:paraId="35D8B830" w14:textId="77777777">
      <w:pPr>
        <w:tabs>
          <w:tab w:val="right" w:leader="dot" w:pos="9350"/>
        </w:tabs>
        <w:ind w:left="720" w:hanging="720"/>
        <w:rPr>
          <w:rFonts w:eastAsia="MS Mincho"/>
          <w:b/>
          <w:noProof/>
          <w:color w:val="0000FF"/>
          <w:u w:val="single"/>
        </w:rPr>
      </w:pPr>
      <w:r>
        <w:fldChar w:fldCharType="end"/>
      </w:r>
    </w:p>
    <w:p w:rsidR="002F5A7A" w:rsidP="00DB1485" w:rsidRDefault="002F5A7A" w14:paraId="561ECAB3" w14:textId="77777777">
      <w:pPr>
        <w:tabs>
          <w:tab w:val="right" w:leader="dot" w:pos="9350"/>
        </w:tabs>
        <w:ind w:left="720" w:hanging="720"/>
        <w:rPr>
          <w:rFonts w:eastAsia="MS Mincho"/>
          <w:b/>
          <w:noProof/>
          <w:color w:val="0000FF"/>
          <w:u w:val="single"/>
        </w:rPr>
      </w:pPr>
    </w:p>
    <w:p w:rsidR="002F5A7A" w:rsidP="00DB1485" w:rsidRDefault="002F5A7A" w14:paraId="765316E1" w14:textId="77777777">
      <w:pPr>
        <w:tabs>
          <w:tab w:val="right" w:leader="dot" w:pos="9350"/>
        </w:tabs>
        <w:ind w:left="720" w:hanging="720"/>
        <w:rPr>
          <w:rFonts w:eastAsia="MS Mincho"/>
          <w:b/>
          <w:noProof/>
          <w:color w:val="0000FF"/>
          <w:u w:val="single"/>
        </w:rPr>
      </w:pPr>
    </w:p>
    <w:p w:rsidR="002F5A7A" w:rsidP="00DB1485" w:rsidRDefault="002F5A7A" w14:paraId="6CA1BE7B" w14:textId="77777777">
      <w:pPr>
        <w:tabs>
          <w:tab w:val="right" w:leader="dot" w:pos="9350"/>
        </w:tabs>
        <w:ind w:left="720" w:hanging="720"/>
        <w:rPr>
          <w:rFonts w:eastAsia="MS Mincho"/>
          <w:b/>
          <w:noProof/>
          <w:color w:val="0000FF"/>
          <w:u w:val="single"/>
        </w:rPr>
      </w:pPr>
    </w:p>
    <w:p w:rsidR="002F5A7A" w:rsidRDefault="002F5A7A" w14:paraId="1415618F" w14:textId="77777777">
      <w:pPr>
        <w:rPr>
          <w:rFonts w:eastAsia="MS Mincho"/>
          <w:b/>
          <w:noProof/>
          <w:color w:val="0000FF"/>
          <w:u w:val="single"/>
        </w:rPr>
      </w:pPr>
      <w:r>
        <w:rPr>
          <w:rFonts w:eastAsia="MS Mincho"/>
          <w:b/>
          <w:noProof/>
          <w:color w:val="0000FF"/>
          <w:u w:val="single"/>
        </w:rPr>
        <w:br w:type="page"/>
      </w:r>
    </w:p>
    <w:p w:rsidRPr="00830ACC" w:rsidR="00DB1485" w:rsidP="00396500" w:rsidRDefault="00DB1485" w14:paraId="134C5B95" w14:textId="77777777">
      <w:pPr>
        <w:pStyle w:val="Heading1"/>
        <w:rPr>
          <w:i/>
        </w:rPr>
      </w:pPr>
      <w:bookmarkStart w:name="_Toc414873709" w:id="0"/>
      <w:r>
        <w:lastRenderedPageBreak/>
        <w:t xml:space="preserve">11 </w:t>
      </w:r>
      <w:r w:rsidR="00127DDC">
        <w:t>-</w:t>
      </w:r>
      <w:r>
        <w:t xml:space="preserve"> IGNITION SYSTEMS</w:t>
      </w:r>
      <w:bookmarkEnd w:id="0"/>
    </w:p>
    <w:p w:rsidRPr="00127DDC" w:rsidR="00DB1485" w:rsidP="00127DDC" w:rsidRDefault="00DB1485" w14:paraId="7362122E" w14:textId="77777777">
      <w:pPr>
        <w:pStyle w:val="Heading2"/>
      </w:pPr>
      <w:bookmarkStart w:name="_Toc414873710" w:id="1"/>
      <w:r w:rsidRPr="00127DDC">
        <w:t xml:space="preserve">11.1 </w:t>
      </w:r>
      <w:r w:rsidR="00127DDC">
        <w:t xml:space="preserve">- </w:t>
      </w:r>
      <w:r w:rsidRPr="00127DDC">
        <w:t>Aerial Ignition</w:t>
      </w:r>
      <w:bookmarkEnd w:id="1"/>
      <w:r w:rsidRPr="00127DDC">
        <w:t xml:space="preserve">  </w:t>
      </w:r>
    </w:p>
    <w:p w:rsidRPr="00712789" w:rsidR="00712789" w:rsidP="00712789" w:rsidRDefault="00712789" w14:paraId="1460719D" w14:textId="77777777">
      <w:pPr>
        <w:rPr>
          <w:sz w:val="20"/>
          <w:szCs w:val="20"/>
        </w:rPr>
      </w:pPr>
    </w:p>
    <w:p w:rsidRPr="00712789" w:rsidR="00DB1485" w:rsidP="00712789" w:rsidRDefault="00DB1485" w14:paraId="52F35419" w14:textId="77777777">
      <w:r w:rsidRPr="00712789">
        <w:t>Aerial ignition systems approved for operational use are listed in the Interagency Aerial Ignition Guide (sec. 06.1b).  The Washington Office, Director, Fire and Aviation Management Staff, must approve use of any other system.</w:t>
      </w:r>
    </w:p>
    <w:p w:rsidRPr="00712789" w:rsidR="00DB1485" w:rsidP="00712789" w:rsidRDefault="00DB1485" w14:paraId="5BEE2889" w14:textId="77777777">
      <w:pPr>
        <w:pStyle w:val="Heading2"/>
      </w:pPr>
      <w:bookmarkStart w:name="_Toc414873711" w:id="2"/>
      <w:bookmarkStart w:name="_Toc308182699" w:id="3"/>
      <w:r w:rsidRPr="00712789">
        <w:t>11.2</w:t>
      </w:r>
      <w:r w:rsidRPr="00712789" w:rsidR="00127DDC">
        <w:t xml:space="preserve"> - </w:t>
      </w:r>
      <w:r w:rsidRPr="00712789">
        <w:t>Ground Ignition</w:t>
      </w:r>
      <w:bookmarkEnd w:id="2"/>
    </w:p>
    <w:p w:rsidRPr="00127DDC" w:rsidR="00DB1485" w:rsidP="00DB1485" w:rsidRDefault="00DB1485" w14:paraId="5A95E75C" w14:textId="77777777">
      <w:pPr>
        <w:rPr>
          <w:sz w:val="20"/>
          <w:szCs w:val="20"/>
        </w:rPr>
      </w:pPr>
    </w:p>
    <w:p w:rsidR="00DB1485" w:rsidP="00DB1485" w:rsidRDefault="00DB1485" w14:paraId="43D99B39" w14:textId="77777777">
      <w:r>
        <w:t>For ground ignition device selection and use, follow the requirements in the Interagency Standards for Fire and Fire Aviation Operations (sec. 06.1b).  Ground ignition devices and specifications are described in the Interagency Ground Ignition Guide (sec. 06.1b).</w:t>
      </w:r>
    </w:p>
    <w:p w:rsidRPr="00127DDC" w:rsidR="00DB1485" w:rsidP="00127DDC" w:rsidRDefault="00DB1485" w14:paraId="0E24BBA4" w14:textId="77777777">
      <w:pPr>
        <w:pStyle w:val="Heading2"/>
      </w:pPr>
      <w:bookmarkStart w:name="_Toc414873712" w:id="4"/>
      <w:r w:rsidRPr="00127DDC">
        <w:t xml:space="preserve">11.3 </w:t>
      </w:r>
      <w:r w:rsidR="00127DDC">
        <w:t xml:space="preserve">- </w:t>
      </w:r>
      <w:r w:rsidRPr="00127DDC">
        <w:t>Use and Storage</w:t>
      </w:r>
      <w:bookmarkEnd w:id="4"/>
    </w:p>
    <w:p w:rsidRPr="00712789" w:rsidR="00DB1485" w:rsidP="00DB1485" w:rsidRDefault="00DB1485" w14:paraId="323F4591" w14:textId="77777777">
      <w:pPr>
        <w:rPr>
          <w:sz w:val="20"/>
          <w:szCs w:val="20"/>
        </w:rPr>
      </w:pPr>
    </w:p>
    <w:p w:rsidR="00DB1485" w:rsidP="00DB1485" w:rsidRDefault="00DB1485" w14:paraId="405C8DFD" w14:textId="77777777">
      <w:r>
        <w:t>Use and storage of these ignition devices must comply with the Health and Safety Code Handbook (FSH 6709.11).</w:t>
      </w:r>
    </w:p>
    <w:p w:rsidRPr="00127DDC" w:rsidR="00DB1485" w:rsidP="00127DDC" w:rsidRDefault="00DB1485" w14:paraId="39BFF33C" w14:textId="77777777">
      <w:pPr>
        <w:pStyle w:val="Heading2"/>
      </w:pPr>
      <w:bookmarkStart w:name="_Toc414873713" w:id="5"/>
      <w:r w:rsidRPr="00127DDC">
        <w:t xml:space="preserve">11.4 </w:t>
      </w:r>
      <w:r w:rsidR="00127DDC">
        <w:t xml:space="preserve">- </w:t>
      </w:r>
      <w:r w:rsidRPr="00127DDC">
        <w:t>Fuel Transportation and Dispensing</w:t>
      </w:r>
      <w:bookmarkEnd w:id="5"/>
    </w:p>
    <w:p w:rsidRPr="00712789" w:rsidR="00DB1485" w:rsidP="00DB1485" w:rsidRDefault="00DB1485" w14:paraId="13E313D9" w14:textId="77777777">
      <w:pPr>
        <w:rPr>
          <w:sz w:val="20"/>
          <w:szCs w:val="20"/>
        </w:rPr>
      </w:pPr>
    </w:p>
    <w:p w:rsidR="00DB1485" w:rsidP="00DB1485" w:rsidRDefault="00DB1485" w14:paraId="097D3783" w14:textId="77777777">
      <w:r>
        <w:t xml:space="preserve">Follow the guidance in the Interagency Transportation Guide for Gasoline, Mixed Gas, Drip-Torch Fuel, and Diesel (sec. 06.1b) when transporting and dispensing fuel. </w:t>
      </w:r>
    </w:p>
    <w:p w:rsidRPr="00127DDC" w:rsidR="00DB1485" w:rsidP="00127DDC" w:rsidRDefault="00DB1485" w14:paraId="23C7619A" w14:textId="77777777">
      <w:pPr>
        <w:pStyle w:val="Heading1"/>
      </w:pPr>
      <w:bookmarkStart w:name="_Toc414873714" w:id="6"/>
      <w:r w:rsidRPr="00127DDC">
        <w:t xml:space="preserve">12 </w:t>
      </w:r>
      <w:bookmarkEnd w:id="3"/>
      <w:r w:rsidRPr="00127DDC">
        <w:t>- WATER HANDLING EQUIPMENT</w:t>
      </w:r>
      <w:bookmarkEnd w:id="6"/>
    </w:p>
    <w:p w:rsidRPr="00712789" w:rsidR="00DB1485" w:rsidP="00DB1485" w:rsidRDefault="00DB1485" w14:paraId="32F80F96" w14:textId="77777777">
      <w:pPr>
        <w:rPr>
          <w:sz w:val="20"/>
          <w:szCs w:val="20"/>
        </w:rPr>
      </w:pPr>
    </w:p>
    <w:p w:rsidR="00DB1485" w:rsidP="00DB1485" w:rsidRDefault="00DB1485" w14:paraId="717AC1A2" w14:textId="77777777">
      <w:r>
        <w:t>The NWCG Water Handling Equipment Guide is a primary source of specific information on water handling equipment and accessories.  See the NWCG NFES Catalog Part 1: Fire Supplies and Equipment (sec. 06.1b).</w:t>
      </w:r>
    </w:p>
    <w:p w:rsidRPr="00712789" w:rsidR="00DB1485" w:rsidP="00712789" w:rsidRDefault="00DB1485" w14:paraId="0D636362" w14:textId="77777777">
      <w:pPr>
        <w:pStyle w:val="Heading2"/>
      </w:pPr>
      <w:bookmarkStart w:name="_Toc308182700" w:id="7"/>
      <w:bookmarkStart w:name="_Toc414873715" w:id="8"/>
      <w:r w:rsidRPr="00712789">
        <w:t>12.1 - Portable Pumping Equipment</w:t>
      </w:r>
      <w:bookmarkEnd w:id="7"/>
      <w:bookmarkEnd w:id="8"/>
    </w:p>
    <w:p w:rsidRPr="00712789" w:rsidR="00DB1485" w:rsidP="00DB1485" w:rsidRDefault="00DB1485" w14:paraId="38E86013" w14:textId="77777777">
      <w:pPr>
        <w:rPr>
          <w:sz w:val="20"/>
          <w:szCs w:val="20"/>
        </w:rPr>
      </w:pPr>
    </w:p>
    <w:p w:rsidR="00DB1485" w:rsidP="00DB1485" w:rsidRDefault="00DB1485" w14:paraId="45BA7897" w14:textId="77777777">
      <w:r>
        <w:t>Purchase only tested and qualified pumping equipment for operational use.  The Washington Office, Director, Engineering Staff, maintains a qualified products list available for distribution.  The National Interagency Cache System (NISC) stocks qualified units which are listed in the NWCG NFES Catalog Part 1: Fire Supplies and Equipment (sec. 06.1b).</w:t>
      </w:r>
    </w:p>
    <w:p w:rsidRPr="00712789" w:rsidR="00DB1485" w:rsidP="00712789" w:rsidRDefault="00DB1485" w14:paraId="1DB121D5" w14:textId="77777777">
      <w:pPr>
        <w:pStyle w:val="Heading2"/>
      </w:pPr>
      <w:bookmarkStart w:name="_Toc308182701" w:id="9"/>
      <w:bookmarkStart w:name="_Toc414873716" w:id="10"/>
      <w:r w:rsidRPr="00712789">
        <w:t>12.2 - Mobile Fire Equipment</w:t>
      </w:r>
      <w:bookmarkEnd w:id="9"/>
      <w:bookmarkEnd w:id="10"/>
      <w:r w:rsidRPr="00712789">
        <w:t xml:space="preserve"> </w:t>
      </w:r>
    </w:p>
    <w:p w:rsidRPr="00712789" w:rsidR="00DB1485" w:rsidP="00DB1485" w:rsidRDefault="00DB1485" w14:paraId="2F6BAE37" w14:textId="77777777">
      <w:pPr>
        <w:rPr>
          <w:sz w:val="20"/>
          <w:szCs w:val="20"/>
        </w:rPr>
      </w:pPr>
    </w:p>
    <w:p w:rsidR="00712789" w:rsidP="00DB1485" w:rsidRDefault="00DB1485" w14:paraId="5107328B" w14:textId="77777777">
      <w:r>
        <w:t xml:space="preserve">The purchase of new mobile fire equipment must meet the requirements as established in the applicable Forest Service national fire vehicle specifications.  The specifications for national standard fire vehicles are found on the Forest Service Fire Equipment website at: </w:t>
      </w:r>
    </w:p>
    <w:p w:rsidR="00712789" w:rsidRDefault="00712789" w14:paraId="1C2AF20A" w14:textId="77777777">
      <w:r>
        <w:br w:type="page"/>
      </w:r>
    </w:p>
    <w:p w:rsidR="00DB1485" w:rsidP="00DB1485" w:rsidRDefault="00E12E80" w14:paraId="3694208E" w14:textId="77777777">
      <w:hyperlink w:history="1" r:id="rId10">
        <w:r w:rsidRPr="00DF5668" w:rsidR="00712789">
          <w:rPr>
            <w:rStyle w:val="Hyperlink"/>
          </w:rPr>
          <w:t>http://www.fs.fed.us/fire/equipment/index.html</w:t>
        </w:r>
      </w:hyperlink>
      <w:r w:rsidR="00DB1485">
        <w:t>.  Deviation from national standards must be requested in writing and approved by the Washington Office, Director, Fire and Aviation Management.  The request form can be downloaded from the Forest Service Fire Equipment website.</w:t>
      </w:r>
    </w:p>
    <w:p w:rsidRPr="00127DDC" w:rsidR="00DB1485" w:rsidP="00127DDC" w:rsidRDefault="00DB1485" w14:paraId="6BB1C6E4" w14:textId="77777777">
      <w:pPr>
        <w:pStyle w:val="Heading2"/>
      </w:pPr>
      <w:bookmarkStart w:name="_Toc308182702" w:id="11"/>
      <w:bookmarkStart w:name="_Toc414873717" w:id="12"/>
      <w:r w:rsidRPr="00127DDC">
        <w:t>12.3 - Fire Hose and Couplings</w:t>
      </w:r>
      <w:bookmarkEnd w:id="11"/>
      <w:bookmarkEnd w:id="12"/>
    </w:p>
    <w:p w:rsidRPr="00712789" w:rsidR="00DB1485" w:rsidP="00DB1485" w:rsidRDefault="00DB1485" w14:paraId="1E281AD5" w14:textId="77777777">
      <w:pPr>
        <w:rPr>
          <w:sz w:val="20"/>
          <w:szCs w:val="20"/>
        </w:rPr>
      </w:pPr>
    </w:p>
    <w:p w:rsidR="00DB1485" w:rsidP="00DB1485" w:rsidRDefault="00DB1485" w14:paraId="039A168E" w14:textId="77777777">
      <w:r>
        <w:t xml:space="preserve">Purchase </w:t>
      </w:r>
      <w:r w:rsidR="00354617">
        <w:t>a fire hose</w:t>
      </w:r>
      <w:r>
        <w:t xml:space="preserve"> which meets Forest Service specifications for operational use.  The Washington Office, Director, Fire and Aviation Management Staff, must approve any exceptions.  All fire hose threads used on Forest Service pumping equipment must be in accordance with Forest Service Standard 5100-190 (sec. 06.2b).</w:t>
      </w:r>
    </w:p>
    <w:p w:rsidRPr="00127DDC" w:rsidR="00DB1485" w:rsidP="00127DDC" w:rsidRDefault="00DB1485" w14:paraId="495FE967" w14:textId="77777777">
      <w:pPr>
        <w:pStyle w:val="Heading1"/>
      </w:pPr>
      <w:bookmarkStart w:name="_Toc308182703" w:id="13"/>
      <w:bookmarkStart w:name="_Toc414873718" w:id="14"/>
      <w:r w:rsidRPr="00127DDC">
        <w:t xml:space="preserve">13 </w:t>
      </w:r>
      <w:r w:rsidR="00127DDC">
        <w:t>-</w:t>
      </w:r>
      <w:r w:rsidRPr="00127DDC">
        <w:t xml:space="preserve"> </w:t>
      </w:r>
      <w:bookmarkEnd w:id="13"/>
      <w:r w:rsidRPr="00127DDC">
        <w:t>EQUIPMENT MAINTENANCE AND TESTING</w:t>
      </w:r>
      <w:bookmarkEnd w:id="14"/>
    </w:p>
    <w:p w:rsidR="00DB1485" w:rsidP="00396500" w:rsidRDefault="00DB1485" w14:paraId="7F89E783" w14:textId="77777777">
      <w:pPr>
        <w:pStyle w:val="Heading2"/>
      </w:pPr>
      <w:bookmarkStart w:name="_Toc308182704" w:id="15"/>
      <w:bookmarkStart w:name="_Toc414873719" w:id="16"/>
      <w:r>
        <w:t>13.1 - Portable Pumps</w:t>
      </w:r>
      <w:bookmarkEnd w:id="15"/>
      <w:bookmarkEnd w:id="16"/>
    </w:p>
    <w:p w:rsidRPr="00712789" w:rsidR="00DB1485" w:rsidP="00DB1485" w:rsidRDefault="00DB1485" w14:paraId="68837749" w14:textId="77777777">
      <w:pPr>
        <w:rPr>
          <w:sz w:val="20"/>
          <w:szCs w:val="20"/>
        </w:rPr>
      </w:pPr>
    </w:p>
    <w:p w:rsidR="00DB1485" w:rsidP="00DB1485" w:rsidRDefault="00DB1485" w14:paraId="16841E8A" w14:textId="77777777">
      <w:r>
        <w:t>Maintain and test all portable pumps according to performance standards in the NWCG Fire Equipment Storage and Refurbishment Standards (sec. 06.1b).</w:t>
      </w:r>
    </w:p>
    <w:p w:rsidR="00DB1485" w:rsidP="00396500" w:rsidRDefault="00DB1485" w14:paraId="659440A3" w14:textId="77777777">
      <w:pPr>
        <w:pStyle w:val="Heading2"/>
      </w:pPr>
      <w:bookmarkStart w:name="_Toc308182705" w:id="17"/>
      <w:bookmarkStart w:name="_Toc414873720" w:id="18"/>
      <w:r>
        <w:t>13.2 - Fire Equipment in the National Fire Equipment System</w:t>
      </w:r>
      <w:bookmarkEnd w:id="17"/>
      <w:bookmarkEnd w:id="18"/>
    </w:p>
    <w:p w:rsidRPr="00712789" w:rsidR="00DB1485" w:rsidP="00DB1485" w:rsidRDefault="00DB1485" w14:paraId="0380A960" w14:textId="77777777">
      <w:pPr>
        <w:rPr>
          <w:sz w:val="20"/>
          <w:szCs w:val="20"/>
        </w:rPr>
      </w:pPr>
    </w:p>
    <w:p w:rsidR="00DB1485" w:rsidP="00DB1485" w:rsidRDefault="00DB1485" w14:paraId="79EE7A86" w14:textId="77777777">
      <w:r>
        <w:t>Follow the service test procedures and equipment standards covered in the NWCG Fire Equipment Storage and Refurbishment Standards (sec. 06.1b).</w:t>
      </w:r>
    </w:p>
    <w:p w:rsidR="00DB1485" w:rsidP="00396500" w:rsidRDefault="00DB1485" w14:paraId="4CDF5ECA" w14:textId="77777777">
      <w:pPr>
        <w:pStyle w:val="Heading2"/>
      </w:pPr>
      <w:bookmarkStart w:name="_Toc308182706" w:id="19"/>
      <w:bookmarkStart w:name="_Toc414873721" w:id="20"/>
      <w:r>
        <w:t>13.3 - Fire-Weather Observation Instruments and Equipment</w:t>
      </w:r>
      <w:bookmarkEnd w:id="19"/>
      <w:bookmarkEnd w:id="20"/>
    </w:p>
    <w:p w:rsidRPr="00712789" w:rsidR="00DB1485" w:rsidP="00DB1485" w:rsidRDefault="00DB1485" w14:paraId="30444BD1" w14:textId="77777777">
      <w:pPr>
        <w:rPr>
          <w:sz w:val="20"/>
          <w:szCs w:val="20"/>
        </w:rPr>
      </w:pPr>
    </w:p>
    <w:p w:rsidR="00DB1485" w:rsidP="00DB1485" w:rsidRDefault="00DB1485" w14:paraId="471D6200" w14:textId="77777777">
      <w:r>
        <w:t>For comprehensive guidance on the operation of weather stations that provide data for wildland resource management, follow the Interagency Wildland Fire Weather Stations Standards and Guidelines (sec. 06.1b).</w:t>
      </w:r>
    </w:p>
    <w:p w:rsidR="00DB1485" w:rsidP="00396500" w:rsidRDefault="00DB1485" w14:paraId="4D456201" w14:textId="77777777">
      <w:pPr>
        <w:pStyle w:val="Heading1"/>
      </w:pPr>
      <w:bookmarkStart w:name="_Toc308182707" w:id="21"/>
      <w:bookmarkStart w:name="_Toc414873722" w:id="22"/>
      <w:r>
        <w:t xml:space="preserve">14 </w:t>
      </w:r>
      <w:r w:rsidR="00127DDC">
        <w:t>-</w:t>
      </w:r>
      <w:r>
        <w:t xml:space="preserve"> </w:t>
      </w:r>
      <w:bookmarkEnd w:id="21"/>
      <w:r>
        <w:t>FIRE EQUIPMENT USE/LOSS</w:t>
      </w:r>
      <w:bookmarkEnd w:id="22"/>
    </w:p>
    <w:p w:rsidRPr="00712789" w:rsidR="00DB1485" w:rsidP="00DB1485" w:rsidRDefault="00DB1485" w14:paraId="79CDAF8E" w14:textId="77777777">
      <w:pPr>
        <w:rPr>
          <w:sz w:val="20"/>
          <w:szCs w:val="20"/>
        </w:rPr>
      </w:pPr>
    </w:p>
    <w:p w:rsidR="00DB1485" w:rsidP="00DB1485" w:rsidRDefault="00DB1485" w14:paraId="62D4C9B4" w14:textId="77777777">
      <w:r>
        <w:t>Review the fire loss for equipment and supplies on eac</w:t>
      </w:r>
      <w:r w:rsidR="00712789">
        <w:t>h Type I, Type II, Type III or a</w:t>
      </w:r>
      <w:r>
        <w:t>ll Hazard incident.  Investigate all cases in which the performance threshold in sec.14.4 has been exceeded.  The performanc</w:t>
      </w:r>
      <w:r w:rsidR="00712789">
        <w:t>e threshold levels provided in e</w:t>
      </w:r>
      <w:r>
        <w:t>xhibit 01 are the values that, when exceeded, initiate management action.  The objective is no (zero) fire loss.</w:t>
      </w:r>
    </w:p>
    <w:p w:rsidRPr="00712789" w:rsidR="00DB1485" w:rsidP="00DB1485" w:rsidRDefault="00DB1485" w14:paraId="184AE69E" w14:textId="77777777">
      <w:pPr>
        <w:rPr>
          <w:sz w:val="20"/>
          <w:szCs w:val="20"/>
        </w:rPr>
      </w:pPr>
    </w:p>
    <w:p w:rsidR="00DB1485" w:rsidP="00DB1485" w:rsidRDefault="00DB1485" w14:paraId="0C7E0847" w14:textId="77777777">
      <w:r>
        <w:t>A performance threshold level for the use of consumable goods is provided as a reference.</w:t>
      </w:r>
    </w:p>
    <w:p w:rsidRPr="00127DDC" w:rsidR="00DB1485" w:rsidP="00127DDC" w:rsidRDefault="00DB1485" w14:paraId="5A104D34" w14:textId="77777777">
      <w:pPr>
        <w:pStyle w:val="Heading2"/>
      </w:pPr>
      <w:bookmarkStart w:name="_Toc308182708" w:id="23"/>
      <w:bookmarkStart w:name="_Toc414873723" w:id="24"/>
      <w:r w:rsidRPr="00127DDC">
        <w:t>14.1 - Cache Inventory and Documentation</w:t>
      </w:r>
      <w:bookmarkEnd w:id="23"/>
      <w:bookmarkEnd w:id="24"/>
    </w:p>
    <w:p w:rsidRPr="00712789" w:rsidR="00DB1485" w:rsidP="00DB1485" w:rsidRDefault="00DB1485" w14:paraId="3E6EB3AF" w14:textId="77777777">
      <w:pPr>
        <w:rPr>
          <w:sz w:val="20"/>
          <w:szCs w:val="20"/>
        </w:rPr>
      </w:pPr>
    </w:p>
    <w:p w:rsidR="00DB1485" w:rsidP="00DB1485" w:rsidRDefault="00DB1485" w14:paraId="37F01AB7" w14:textId="77777777">
      <w:r>
        <w:t>Perform an inventory by physical count and document incident support cache inventories on an annual basis as specified by the National Incident Support Cache, Inventory Management Standard Operating Procedure.</w:t>
      </w:r>
    </w:p>
    <w:p w:rsidRPr="00127DDC" w:rsidR="00DB1485" w:rsidP="00127DDC" w:rsidRDefault="00DB1485" w14:paraId="113DA5AA" w14:textId="77777777">
      <w:pPr>
        <w:pStyle w:val="Heading2"/>
      </w:pPr>
      <w:bookmarkStart w:name="_Toc308182709" w:id="25"/>
      <w:bookmarkStart w:name="_Toc414873724" w:id="26"/>
      <w:r w:rsidRPr="00127DDC">
        <w:lastRenderedPageBreak/>
        <w:t>14.2 - Assignment of Inventory Responsibility</w:t>
      </w:r>
      <w:bookmarkEnd w:id="25"/>
      <w:bookmarkEnd w:id="26"/>
    </w:p>
    <w:p w:rsidRPr="00712789" w:rsidR="00DB1485" w:rsidP="00DB1485" w:rsidRDefault="00DB1485" w14:paraId="050933AB" w14:textId="77777777">
      <w:pPr>
        <w:rPr>
          <w:sz w:val="20"/>
          <w:szCs w:val="20"/>
        </w:rPr>
      </w:pPr>
    </w:p>
    <w:p w:rsidR="00DB1485" w:rsidP="00DB1485" w:rsidRDefault="00DB1485" w14:paraId="4D0FD07B" w14:textId="77777777">
      <w:r>
        <w:t>The key duties of inventory custody and verification must be separated from inventory recordkeeping in incident support caches.  Specifically, warehousing and data entry responsibilities must not be entrusted to the same individual.  Supervisory approval is required for all inventory adjustments which are not supported by independent documentation.</w:t>
      </w:r>
    </w:p>
    <w:p w:rsidRPr="00127DDC" w:rsidR="00DB1485" w:rsidP="00127DDC" w:rsidRDefault="00DB1485" w14:paraId="72BDE2B6" w14:textId="77777777">
      <w:pPr>
        <w:pStyle w:val="Heading2"/>
      </w:pPr>
      <w:bookmarkStart w:name="_Toc308182710" w:id="27"/>
      <w:bookmarkStart w:name="_Toc414873725" w:id="28"/>
      <w:r w:rsidRPr="00127DDC">
        <w:t>14.3 - Fire Loss/Use Information</w:t>
      </w:r>
      <w:bookmarkEnd w:id="27"/>
      <w:bookmarkEnd w:id="28"/>
    </w:p>
    <w:p w:rsidRPr="00712789" w:rsidR="00DB1485" w:rsidP="00DB1485" w:rsidRDefault="00DB1485" w14:paraId="79AF4CC3" w14:textId="77777777">
      <w:pPr>
        <w:rPr>
          <w:sz w:val="20"/>
          <w:szCs w:val="20"/>
        </w:rPr>
      </w:pPr>
    </w:p>
    <w:p w:rsidR="00DB1485" w:rsidP="00DB1485" w:rsidRDefault="00DB1485" w14:paraId="5520BD5D" w14:textId="77777777">
      <w:r>
        <w:t>Ensure that the Incident Support Cache Manager compiles fire loss information using the approved automated cache inventory management system</w:t>
      </w:r>
      <w:r w:rsidR="00354617">
        <w:t>, for example</w:t>
      </w:r>
      <w:r>
        <w:t xml:space="preserve"> Incident Cache Business System (ICBS).  Compute a single fire loss (sec. 05) for an incident whenever more than one incident support cache provides equipment or supplies.  </w:t>
      </w:r>
    </w:p>
    <w:p w:rsidR="00DB1485" w:rsidP="00396500" w:rsidRDefault="00DB1485" w14:paraId="640D819C" w14:textId="77777777">
      <w:pPr>
        <w:pStyle w:val="Heading2"/>
      </w:pPr>
      <w:bookmarkStart w:name="_Toc308182711" w:id="29"/>
      <w:bookmarkStart w:name="_Toc414873726" w:id="30"/>
      <w:r>
        <w:t>14.4 - Fire Loss/Use Rates</w:t>
      </w:r>
      <w:bookmarkEnd w:id="29"/>
      <w:bookmarkEnd w:id="30"/>
    </w:p>
    <w:p w:rsidRPr="00712789" w:rsidR="00DB1485" w:rsidP="00DB1485" w:rsidRDefault="00DB1485" w14:paraId="75321BEE" w14:textId="77777777">
      <w:pPr>
        <w:rPr>
          <w:sz w:val="20"/>
          <w:szCs w:val="20"/>
        </w:rPr>
      </w:pPr>
    </w:p>
    <w:p w:rsidR="00DB1485" w:rsidP="00DB1485" w:rsidRDefault="00DB1485" w14:paraId="1E6666A2" w14:textId="77777777">
      <w:r>
        <w:t>At the end of the incident, return all accountable property, durable, sensitive, trackable and unused consumable items (sec. 05) to the incident support cache.  For missing or damaged property, document the item on a Report of Unserviceable, Lost, or Damaged Property (Form AD-112), available electronically.</w:t>
      </w:r>
    </w:p>
    <w:p w:rsidRPr="00712789" w:rsidR="00DB1485" w:rsidP="00DB1485" w:rsidRDefault="00DB1485" w14:paraId="597C215A" w14:textId="77777777">
      <w:pPr>
        <w:rPr>
          <w:sz w:val="20"/>
          <w:szCs w:val="20"/>
        </w:rPr>
      </w:pPr>
    </w:p>
    <w:p w:rsidR="00DB1485" w:rsidP="00DB1485" w:rsidRDefault="00DB1485" w14:paraId="0A1864FF" w14:textId="77777777">
      <w:r>
        <w:t xml:space="preserve">Exhibit 01 provides performance threshold levels for fire loss.  Follow up action plans as specified in sec. 04 are required if the performance threshold level is exceeded for any category except Consumable Goods.  The levels delineated in </w:t>
      </w:r>
      <w:r w:rsidR="00913A85">
        <w:t xml:space="preserve">exhibit </w:t>
      </w:r>
      <w:r>
        <w:t xml:space="preserve">01 do not imply an acceptable loss level.   A single instance of </w:t>
      </w:r>
      <w:r w:rsidR="00712789">
        <w:t>lost</w:t>
      </w:r>
      <w:r>
        <w:t xml:space="preserve"> damaged, or destroyed accountable, sensitive and trackable property needs to be documented and reported.</w:t>
      </w:r>
    </w:p>
    <w:p w:rsidRPr="00712789" w:rsidR="00DB1485" w:rsidP="00DB1485" w:rsidRDefault="00DB1485" w14:paraId="64E7424E" w14:textId="77777777">
      <w:pPr>
        <w:rPr>
          <w:sz w:val="20"/>
          <w:szCs w:val="20"/>
        </w:rPr>
      </w:pPr>
    </w:p>
    <w:p w:rsidR="00DB1485" w:rsidP="00DB1485" w:rsidRDefault="00DB1485" w14:paraId="16E7A8F8" w14:textId="77777777">
      <w:r>
        <w:t>Enforcement of these fire loss/use rates and related procedures is the responsibility of the Forest Supervisor (sec. 04.3).</w:t>
      </w:r>
    </w:p>
    <w:p w:rsidR="00DB1485" w:rsidP="00BB7D6A" w:rsidRDefault="00DB1485" w14:paraId="5049E485" w14:textId="77777777">
      <w:pPr>
        <w:rPr>
          <w:b/>
          <w:sz w:val="20"/>
          <w:szCs w:val="20"/>
          <w:u w:val="single"/>
        </w:rPr>
      </w:pPr>
    </w:p>
    <w:p w:rsidRPr="00712789" w:rsidR="00BB7D6A" w:rsidP="00BB7D6A" w:rsidRDefault="00BB7D6A" w14:paraId="3DD0A586" w14:textId="77777777">
      <w:pPr>
        <w:rPr>
          <w:b/>
          <w:sz w:val="20"/>
          <w:szCs w:val="20"/>
          <w:u w:val="single"/>
        </w:rPr>
      </w:pPr>
    </w:p>
    <w:p w:rsidR="00DB1485" w:rsidP="00DB1485" w:rsidRDefault="00DB1485" w14:paraId="086ACC0B" w14:textId="77777777">
      <w:pPr>
        <w:jc w:val="center"/>
        <w:rPr>
          <w:b/>
          <w:u w:val="single"/>
        </w:rPr>
      </w:pPr>
      <w:r>
        <w:rPr>
          <w:b/>
          <w:u w:val="single"/>
        </w:rPr>
        <w:t>14.4 - Exhibit 01</w:t>
      </w:r>
    </w:p>
    <w:p w:rsidRPr="00712789" w:rsidR="00DB1485" w:rsidP="00DB1485" w:rsidRDefault="00DB1485" w14:paraId="0422649E" w14:textId="77777777">
      <w:pPr>
        <w:rPr>
          <w:sz w:val="18"/>
          <w:szCs w:val="18"/>
        </w:rPr>
      </w:pPr>
    </w:p>
    <w:p w:rsidR="00DB1485" w:rsidP="00DB1485" w:rsidRDefault="00DB1485" w14:paraId="367AB1BA" w14:textId="77777777">
      <w:pPr>
        <w:jc w:val="center"/>
        <w:rPr>
          <w:b/>
          <w:u w:val="single"/>
        </w:rPr>
      </w:pPr>
      <w:r>
        <w:rPr>
          <w:b/>
          <w:u w:val="single"/>
        </w:rPr>
        <w:t xml:space="preserve">Fire Loss Performance Threshold Levels </w:t>
      </w:r>
    </w:p>
    <w:p w:rsidRPr="00712789" w:rsidR="00DB1485" w:rsidP="00DB1485" w:rsidRDefault="00DB1485" w14:paraId="1C010C7B" w14:textId="77777777">
      <w:pPr>
        <w:jc w:val="center"/>
        <w:rPr>
          <w:sz w:val="20"/>
          <w:szCs w:val="20"/>
        </w:rPr>
      </w:pPr>
    </w:p>
    <w:tbl>
      <w:tblPr>
        <w:tblW w:w="0" w:type="pct"/>
        <w:tblInd w:w="576" w:type="dxa"/>
        <w:tblLook w:val="04A0" w:firstRow="1" w:lastRow="0" w:firstColumn="1" w:lastColumn="0" w:noHBand="0" w:noVBand="1"/>
      </w:tblPr>
      <w:tblGrid>
        <w:gridCol w:w="4858"/>
        <w:gridCol w:w="3410"/>
      </w:tblGrid>
      <w:tr w:rsidR="00DB1485" w:rsidTr="00712789" w14:paraId="6EE4C439" w14:textId="77777777">
        <w:trPr>
          <w:trHeight w:val="504" w:hRule="exact"/>
        </w:trPr>
        <w:tc>
          <w:tcPr>
            <w:tcW w:w="4858" w:type="dxa"/>
            <w:hideMark/>
          </w:tcPr>
          <w:p w:rsidR="00DB1485" w:rsidP="00712789" w:rsidRDefault="00DB1485" w14:paraId="6F489157" w14:textId="77777777">
            <w:pPr>
              <w:widowControl w:val="0"/>
              <w:autoSpaceDE w:val="0"/>
              <w:autoSpaceDN w:val="0"/>
              <w:adjustRightInd w:val="0"/>
              <w:rPr>
                <w:b/>
                <w:noProof/>
                <w:color w:val="000000"/>
              </w:rPr>
            </w:pPr>
            <w:r>
              <w:rPr>
                <w:b/>
                <w:noProof/>
                <w:color w:val="000000"/>
              </w:rPr>
              <w:t>Fire Loss Category</w:t>
            </w:r>
          </w:p>
        </w:tc>
        <w:tc>
          <w:tcPr>
            <w:tcW w:w="3410" w:type="dxa"/>
            <w:hideMark/>
          </w:tcPr>
          <w:p w:rsidR="00DB1485" w:rsidP="00712789" w:rsidRDefault="00DB1485" w14:paraId="4DFC9B75" w14:textId="77777777">
            <w:pPr>
              <w:widowControl w:val="0"/>
              <w:autoSpaceDE w:val="0"/>
              <w:autoSpaceDN w:val="0"/>
              <w:adjustRightInd w:val="0"/>
              <w:jc w:val="center"/>
              <w:rPr>
                <w:b/>
                <w:noProof/>
                <w:color w:val="000000"/>
              </w:rPr>
            </w:pPr>
            <w:r>
              <w:rPr>
                <w:b/>
                <w:noProof/>
                <w:color w:val="000000"/>
              </w:rPr>
              <w:t>Performance Threshold Level</w:t>
            </w:r>
          </w:p>
        </w:tc>
      </w:tr>
      <w:tr w:rsidR="00DB1485" w:rsidTr="00712789" w14:paraId="35DE2529" w14:textId="77777777">
        <w:trPr>
          <w:trHeight w:val="20"/>
        </w:trPr>
        <w:tc>
          <w:tcPr>
            <w:tcW w:w="4858" w:type="dxa"/>
            <w:hideMark/>
          </w:tcPr>
          <w:p w:rsidR="00DB1485" w:rsidP="00712789" w:rsidRDefault="00DB1485" w14:paraId="5948AE0D" w14:textId="77777777">
            <w:pPr>
              <w:widowControl w:val="0"/>
              <w:autoSpaceDE w:val="0"/>
              <w:autoSpaceDN w:val="0"/>
              <w:adjustRightInd w:val="0"/>
              <w:spacing w:after="120"/>
              <w:rPr>
                <w:noProof/>
                <w:color w:val="000000"/>
              </w:rPr>
            </w:pPr>
            <w:r>
              <w:rPr>
                <w:noProof/>
                <w:color w:val="000000"/>
              </w:rPr>
              <w:t>Accountable Property</w:t>
            </w:r>
          </w:p>
        </w:tc>
        <w:tc>
          <w:tcPr>
            <w:tcW w:w="3410" w:type="dxa"/>
            <w:hideMark/>
          </w:tcPr>
          <w:p w:rsidR="00DB1485" w:rsidP="00712789" w:rsidRDefault="00DB1485" w14:paraId="5449FF90" w14:textId="77777777">
            <w:pPr>
              <w:widowControl w:val="0"/>
              <w:autoSpaceDE w:val="0"/>
              <w:autoSpaceDN w:val="0"/>
              <w:adjustRightInd w:val="0"/>
              <w:spacing w:after="120"/>
              <w:jc w:val="center"/>
              <w:rPr>
                <w:noProof/>
                <w:color w:val="000000"/>
              </w:rPr>
            </w:pPr>
            <w:r>
              <w:rPr>
                <w:noProof/>
                <w:color w:val="000000"/>
              </w:rPr>
              <w:t>10%</w:t>
            </w:r>
          </w:p>
        </w:tc>
      </w:tr>
      <w:tr w:rsidR="00DB1485" w:rsidTr="00712789" w14:paraId="48A6AF80" w14:textId="77777777">
        <w:trPr>
          <w:trHeight w:val="20"/>
        </w:trPr>
        <w:tc>
          <w:tcPr>
            <w:tcW w:w="4858" w:type="dxa"/>
            <w:hideMark/>
          </w:tcPr>
          <w:p w:rsidR="00DB1485" w:rsidP="00712789" w:rsidRDefault="00DB1485" w14:paraId="26445450" w14:textId="77777777">
            <w:pPr>
              <w:widowControl w:val="0"/>
              <w:autoSpaceDE w:val="0"/>
              <w:autoSpaceDN w:val="0"/>
              <w:adjustRightInd w:val="0"/>
              <w:spacing w:after="120"/>
              <w:rPr>
                <w:noProof/>
              </w:rPr>
            </w:pPr>
            <w:r>
              <w:rPr>
                <w:noProof/>
                <w:color w:val="000000"/>
              </w:rPr>
              <w:t xml:space="preserve">Durable Items </w:t>
            </w:r>
          </w:p>
        </w:tc>
        <w:tc>
          <w:tcPr>
            <w:tcW w:w="3410" w:type="dxa"/>
            <w:hideMark/>
          </w:tcPr>
          <w:p w:rsidR="00DB1485" w:rsidP="00712789" w:rsidRDefault="00DB1485" w14:paraId="2663404E" w14:textId="77777777">
            <w:pPr>
              <w:widowControl w:val="0"/>
              <w:autoSpaceDE w:val="0"/>
              <w:autoSpaceDN w:val="0"/>
              <w:adjustRightInd w:val="0"/>
              <w:spacing w:after="120"/>
              <w:jc w:val="center"/>
              <w:rPr>
                <w:noProof/>
                <w:color w:val="000000"/>
              </w:rPr>
            </w:pPr>
            <w:r>
              <w:rPr>
                <w:noProof/>
                <w:color w:val="000000"/>
              </w:rPr>
              <w:t>10 %</w:t>
            </w:r>
          </w:p>
        </w:tc>
      </w:tr>
      <w:tr w:rsidR="00DB1485" w:rsidTr="00712789" w14:paraId="3859CE4C" w14:textId="77777777">
        <w:trPr>
          <w:trHeight w:val="20"/>
        </w:trPr>
        <w:tc>
          <w:tcPr>
            <w:tcW w:w="4858" w:type="dxa"/>
            <w:hideMark/>
          </w:tcPr>
          <w:p w:rsidR="00DB1485" w:rsidP="00712789" w:rsidRDefault="00DB1485" w14:paraId="3DA7A00F" w14:textId="77777777">
            <w:pPr>
              <w:widowControl w:val="0"/>
              <w:autoSpaceDE w:val="0"/>
              <w:autoSpaceDN w:val="0"/>
              <w:adjustRightInd w:val="0"/>
              <w:spacing w:after="120"/>
              <w:rPr>
                <w:noProof/>
                <w:color w:val="000000"/>
              </w:rPr>
            </w:pPr>
            <w:r>
              <w:rPr>
                <w:noProof/>
                <w:color w:val="000000"/>
              </w:rPr>
              <w:t>Sensitive Property</w:t>
            </w:r>
          </w:p>
        </w:tc>
        <w:tc>
          <w:tcPr>
            <w:tcW w:w="3410" w:type="dxa"/>
            <w:hideMark/>
          </w:tcPr>
          <w:p w:rsidR="00DB1485" w:rsidP="00712789" w:rsidRDefault="00DB1485" w14:paraId="62B44221" w14:textId="77777777">
            <w:pPr>
              <w:widowControl w:val="0"/>
              <w:autoSpaceDE w:val="0"/>
              <w:autoSpaceDN w:val="0"/>
              <w:adjustRightInd w:val="0"/>
              <w:spacing w:after="120"/>
              <w:jc w:val="center"/>
              <w:rPr>
                <w:noProof/>
                <w:color w:val="000000"/>
              </w:rPr>
            </w:pPr>
            <w:r>
              <w:rPr>
                <w:noProof/>
                <w:color w:val="000000"/>
              </w:rPr>
              <w:t>10%</w:t>
            </w:r>
          </w:p>
        </w:tc>
      </w:tr>
      <w:tr w:rsidR="00DB1485" w:rsidTr="00712789" w14:paraId="04E71FA8" w14:textId="77777777">
        <w:trPr>
          <w:trHeight w:val="20"/>
        </w:trPr>
        <w:tc>
          <w:tcPr>
            <w:tcW w:w="4858" w:type="dxa"/>
            <w:hideMark/>
          </w:tcPr>
          <w:p w:rsidR="00DB1485" w:rsidP="00712789" w:rsidRDefault="00DB1485" w14:paraId="684BF912" w14:textId="77777777">
            <w:pPr>
              <w:widowControl w:val="0"/>
              <w:autoSpaceDE w:val="0"/>
              <w:autoSpaceDN w:val="0"/>
              <w:adjustRightInd w:val="0"/>
              <w:spacing w:after="120"/>
              <w:rPr>
                <w:noProof/>
                <w:color w:val="000000"/>
              </w:rPr>
            </w:pPr>
            <w:r>
              <w:rPr>
                <w:noProof/>
                <w:color w:val="000000"/>
              </w:rPr>
              <w:t>Trackable Property</w:t>
            </w:r>
          </w:p>
        </w:tc>
        <w:tc>
          <w:tcPr>
            <w:tcW w:w="3410" w:type="dxa"/>
            <w:hideMark/>
          </w:tcPr>
          <w:p w:rsidR="00DB1485" w:rsidP="00712789" w:rsidRDefault="00DB1485" w14:paraId="459F21F9" w14:textId="77777777">
            <w:pPr>
              <w:widowControl w:val="0"/>
              <w:autoSpaceDE w:val="0"/>
              <w:autoSpaceDN w:val="0"/>
              <w:adjustRightInd w:val="0"/>
              <w:spacing w:after="120"/>
              <w:jc w:val="center"/>
              <w:rPr>
                <w:noProof/>
                <w:color w:val="000000"/>
              </w:rPr>
            </w:pPr>
            <w:r>
              <w:rPr>
                <w:noProof/>
                <w:color w:val="000000"/>
              </w:rPr>
              <w:t>10%</w:t>
            </w:r>
          </w:p>
        </w:tc>
      </w:tr>
      <w:tr w:rsidR="00DB1485" w:rsidTr="00712789" w14:paraId="28A06B67" w14:textId="77777777">
        <w:trPr>
          <w:trHeight w:val="20"/>
        </w:trPr>
        <w:tc>
          <w:tcPr>
            <w:tcW w:w="4858" w:type="dxa"/>
            <w:hideMark/>
          </w:tcPr>
          <w:p w:rsidR="00DB1485" w:rsidP="00712789" w:rsidRDefault="00DB1485" w14:paraId="31B62D79" w14:textId="77777777">
            <w:pPr>
              <w:widowControl w:val="0"/>
              <w:autoSpaceDE w:val="0"/>
              <w:autoSpaceDN w:val="0"/>
              <w:adjustRightInd w:val="0"/>
              <w:spacing w:after="120"/>
              <w:rPr>
                <w:noProof/>
                <w:color w:val="000000"/>
              </w:rPr>
            </w:pPr>
            <w:r>
              <w:rPr>
                <w:noProof/>
                <w:color w:val="000000"/>
              </w:rPr>
              <w:t>Consumable Goods</w:t>
            </w:r>
          </w:p>
        </w:tc>
        <w:tc>
          <w:tcPr>
            <w:tcW w:w="3410" w:type="dxa"/>
            <w:hideMark/>
          </w:tcPr>
          <w:p w:rsidR="00DB1485" w:rsidP="00712789" w:rsidRDefault="00DB1485" w14:paraId="34FB52B3" w14:textId="77777777">
            <w:pPr>
              <w:widowControl w:val="0"/>
              <w:autoSpaceDE w:val="0"/>
              <w:autoSpaceDN w:val="0"/>
              <w:adjustRightInd w:val="0"/>
              <w:spacing w:after="120"/>
              <w:jc w:val="center"/>
              <w:rPr>
                <w:noProof/>
                <w:color w:val="000000"/>
              </w:rPr>
            </w:pPr>
            <w:r>
              <w:rPr>
                <w:noProof/>
                <w:color w:val="000000"/>
              </w:rPr>
              <w:t>65% returned to Incident Support Cache</w:t>
            </w:r>
          </w:p>
        </w:tc>
      </w:tr>
    </w:tbl>
    <w:p w:rsidRPr="00127DDC" w:rsidR="00DB1485" w:rsidP="00127DDC" w:rsidRDefault="00DB1485" w14:paraId="2D45281C" w14:textId="77777777">
      <w:pPr>
        <w:pStyle w:val="Heading2"/>
      </w:pPr>
      <w:bookmarkStart w:name="_Toc308182712" w:id="31"/>
      <w:bookmarkStart w:name="_Toc414873727" w:id="32"/>
      <w:r w:rsidRPr="00127DDC">
        <w:lastRenderedPageBreak/>
        <w:t>14.5 - Equipment and Supplies Purchased with Wildland Fire Suppression Funds</w:t>
      </w:r>
      <w:bookmarkEnd w:id="31"/>
      <w:bookmarkEnd w:id="32"/>
    </w:p>
    <w:p w:rsidRPr="00712789" w:rsidR="00DB1485" w:rsidP="00DB1485" w:rsidRDefault="00DB1485" w14:paraId="51207DE8" w14:textId="77777777">
      <w:pPr>
        <w:rPr>
          <w:sz w:val="20"/>
          <w:szCs w:val="20"/>
        </w:rPr>
      </w:pPr>
    </w:p>
    <w:p w:rsidR="00DB1485" w:rsidP="00DB1485" w:rsidRDefault="00DB1485" w14:paraId="668B0EE9" w14:textId="77777777">
      <w:r>
        <w:t>Equipment and supplies procured with Wildland Fire Suppression Funds (WFSU) that are nonstandard items not provided through the cache system or that do not replace property lost or damaged during a fire, must be placed into the fire supply system after the fire season.</w:t>
      </w:r>
    </w:p>
    <w:p w:rsidR="00DB1485" w:rsidP="00DB1485" w:rsidRDefault="00DB1485" w14:paraId="7FC7F47B" w14:textId="77777777">
      <w:pPr>
        <w:jc w:val="center"/>
        <w:rPr>
          <w:b/>
          <w:u w:val="single"/>
        </w:rPr>
      </w:pPr>
    </w:p>
    <w:p w:rsidR="00DB1485" w:rsidP="00DB1485" w:rsidRDefault="00DB1485" w14:paraId="34FB0BD8" w14:textId="77777777"/>
    <w:p w:rsidR="00DB1485" w:rsidRDefault="00DB1485" w14:paraId="1E022C5F" w14:textId="77777777"/>
    <w:sectPr w:rsidR="00DB1485" w:rsidSect="00127D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CC48B" w14:textId="77777777" w:rsidR="009B29F1" w:rsidRDefault="009B29F1">
      <w:r>
        <w:separator/>
      </w:r>
    </w:p>
  </w:endnote>
  <w:endnote w:type="continuationSeparator" w:id="0">
    <w:p w14:paraId="05581986" w14:textId="77777777" w:rsidR="009B29F1" w:rsidRDefault="009B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42855" w14:textId="77777777" w:rsidR="00184AB5" w:rsidRDefault="00184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E1BD" w14:textId="77777777" w:rsidR="00184AB5" w:rsidRDefault="00184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0A78" w14:textId="77777777" w:rsidR="00184AB5" w:rsidRDefault="00184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F640" w14:textId="77777777" w:rsidR="009B29F1" w:rsidRDefault="009B29F1">
      <w:r>
        <w:separator/>
      </w:r>
    </w:p>
  </w:footnote>
  <w:footnote w:type="continuationSeparator" w:id="0">
    <w:p w14:paraId="10054A8B" w14:textId="77777777" w:rsidR="009B29F1" w:rsidRDefault="009B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126A7" w14:textId="77777777" w:rsidR="00EA47D4" w:rsidRDefault="00EA47D4">
    <w:pPr>
      <w:pStyle w:val="Header"/>
      <w:framePr w:wrap="around" w:vAnchor="text" w:hAnchor="margin" w:xAlign="right" w:y="1"/>
    </w:pPr>
    <w:r>
      <w:fldChar w:fldCharType="begin"/>
    </w:r>
    <w:r>
      <w:instrText xml:space="preserve">PAGE  </w:instrText>
    </w:r>
    <w:r>
      <w:fldChar w:fldCharType="end"/>
    </w:r>
  </w:p>
  <w:p w14:paraId="30D4B4A7" w14:textId="77777777" w:rsidR="00EA47D4" w:rsidRDefault="00EA47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A47D4" w14:paraId="7E728ADB" w14:textId="77777777">
      <w:tc>
        <w:tcPr>
          <w:tcW w:w="7488" w:type="dxa"/>
        </w:tcPr>
        <w:p w14:paraId="413375FB" w14:textId="77777777" w:rsidR="00EA47D4" w:rsidRDefault="00EA47D4">
          <w:pPr>
            <w:pStyle w:val="Header"/>
            <w:ind w:right="360"/>
          </w:pPr>
          <w:r>
            <w:t xml:space="preserve">WO AMENDMENT </w:t>
          </w:r>
          <w:r w:rsidR="00127DDC">
            <w:t>5109.16-2015-1</w:t>
          </w:r>
        </w:p>
        <w:p w14:paraId="6E41E4D7" w14:textId="77777777" w:rsidR="00EA47D4" w:rsidRDefault="00EA47D4">
          <w:pPr>
            <w:pStyle w:val="Header"/>
          </w:pPr>
          <w:r>
            <w:t xml:space="preserve">EFFECTIVE DATE:  </w:t>
          </w:r>
          <w:r w:rsidR="00184AB5">
            <w:t>04/08/2015</w:t>
          </w:r>
          <w:r>
            <w:tab/>
          </w:r>
        </w:p>
        <w:p w14:paraId="70F4F0F5" w14:textId="77777777" w:rsidR="00EA47D4" w:rsidRDefault="00EA47D4">
          <w:pPr>
            <w:pStyle w:val="Header"/>
          </w:pPr>
          <w:r>
            <w:t>DURATION:  This amendment is</w:t>
          </w:r>
          <w:r>
            <w:rPr>
              <w:rFonts w:ascii="Times New Roman" w:hAnsi="Times New Roman"/>
              <w:b/>
            </w:rPr>
            <w:t xml:space="preserve"> </w:t>
          </w:r>
          <w:r>
            <w:t>effective until superseded or removed.</w:t>
          </w:r>
        </w:p>
      </w:tc>
      <w:tc>
        <w:tcPr>
          <w:tcW w:w="2088" w:type="dxa"/>
        </w:tcPr>
        <w:p w14:paraId="7FCCD3B9" w14:textId="77777777" w:rsidR="00EA47D4" w:rsidRDefault="00127DDC">
          <w:pPr>
            <w:pStyle w:val="Header"/>
          </w:pPr>
          <w:r>
            <w:t>5109.16_10</w:t>
          </w:r>
        </w:p>
        <w:p w14:paraId="6FE34F9F" w14:textId="77777777" w:rsidR="00EA47D4" w:rsidRDefault="00EA47D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C699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C6997">
            <w:rPr>
              <w:noProof/>
              <w:snapToGrid w:val="0"/>
            </w:rPr>
            <w:t>3</w:t>
          </w:r>
          <w:r>
            <w:rPr>
              <w:snapToGrid w:val="0"/>
            </w:rPr>
            <w:fldChar w:fldCharType="end"/>
          </w:r>
          <w:r>
            <w:t xml:space="preserve"> </w:t>
          </w:r>
        </w:p>
      </w:tc>
    </w:tr>
    <w:tr w:rsidR="00EA47D4" w14:paraId="3CC058A2" w14:textId="77777777">
      <w:tc>
        <w:tcPr>
          <w:tcW w:w="9576" w:type="dxa"/>
          <w:gridSpan w:val="2"/>
        </w:tcPr>
        <w:p w14:paraId="0B45FCC1" w14:textId="77777777" w:rsidR="00EA47D4" w:rsidRDefault="00EA47D4">
          <w:pPr>
            <w:pStyle w:val="Header2"/>
          </w:pPr>
        </w:p>
        <w:p w14:paraId="16FE4212" w14:textId="77777777" w:rsidR="00EA47D4" w:rsidRDefault="00EA47D4">
          <w:pPr>
            <w:pStyle w:val="Header2"/>
          </w:pPr>
          <w:r>
            <w:t>FS</w:t>
          </w:r>
          <w:r w:rsidR="00117F1F">
            <w:t>H</w:t>
          </w:r>
          <w:r>
            <w:t xml:space="preserve"> </w:t>
          </w:r>
          <w:r w:rsidR="00DB1485">
            <w:t>5109.16</w:t>
          </w:r>
          <w:r>
            <w:t xml:space="preserve"> </w:t>
          </w:r>
          <w:r w:rsidR="00127DDC">
            <w:t>-</w:t>
          </w:r>
          <w:r>
            <w:t xml:space="preserve"> </w:t>
          </w:r>
          <w:r w:rsidR="00DB1485">
            <w:t>fire management equipment, supplies and chemicals</w:t>
          </w:r>
        </w:p>
        <w:p w14:paraId="33396ABB" w14:textId="77777777" w:rsidR="00EA47D4" w:rsidRDefault="00EA47D4" w:rsidP="00127DDC">
          <w:pPr>
            <w:pStyle w:val="Header2"/>
          </w:pPr>
          <w:r>
            <w:t xml:space="preserve">Chapter </w:t>
          </w:r>
          <w:r w:rsidR="00DB1485">
            <w:t>10</w:t>
          </w:r>
          <w:r>
            <w:t xml:space="preserve"> </w:t>
          </w:r>
          <w:r w:rsidR="00127DDC">
            <w:t>-</w:t>
          </w:r>
          <w:r>
            <w:t xml:space="preserve"> </w:t>
          </w:r>
          <w:r w:rsidR="00DB1485">
            <w:t>Fire management equipment</w:t>
          </w:r>
        </w:p>
      </w:tc>
    </w:tr>
  </w:tbl>
  <w:p w14:paraId="3A150A61" w14:textId="77777777" w:rsidR="00EA47D4" w:rsidRDefault="00EA47D4">
    <w:pPr>
      <w:pStyle w:val="Header"/>
    </w:pPr>
  </w:p>
  <w:p w14:paraId="543C08AC" w14:textId="77777777" w:rsidR="00EA47D4" w:rsidRDefault="00EA4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488"/>
      <w:gridCol w:w="2088"/>
    </w:tblGrid>
    <w:tr w:rsidR="00EA47D4" w14:paraId="4D71EC4C" w14:textId="77777777">
      <w:tc>
        <w:tcPr>
          <w:tcW w:w="7488" w:type="dxa"/>
        </w:tcPr>
        <w:p w14:paraId="5117CE9D" w14:textId="77777777" w:rsidR="00EA47D4" w:rsidRDefault="00EA47D4">
          <w:pPr>
            <w:pStyle w:val="Header"/>
          </w:pPr>
        </w:p>
      </w:tc>
      <w:tc>
        <w:tcPr>
          <w:tcW w:w="2088" w:type="dxa"/>
        </w:tcPr>
        <w:p w14:paraId="195E305C" w14:textId="77777777" w:rsidR="00EA47D4" w:rsidRDefault="00EA47D4">
          <w:pPr>
            <w:pStyle w:val="Header"/>
          </w:pPr>
        </w:p>
      </w:tc>
    </w:tr>
  </w:tbl>
  <w:p w14:paraId="26830643" w14:textId="77777777" w:rsidR="00EA47D4" w:rsidRDefault="00EA4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8A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20C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2EC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146C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DC5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A5"/>
    <w:rsid w:val="00047BDE"/>
    <w:rsid w:val="000A5AC1"/>
    <w:rsid w:val="00117F1F"/>
    <w:rsid w:val="00127DDC"/>
    <w:rsid w:val="00184AB5"/>
    <w:rsid w:val="00191B05"/>
    <w:rsid w:val="001A1218"/>
    <w:rsid w:val="00294308"/>
    <w:rsid w:val="002F5A7A"/>
    <w:rsid w:val="00354617"/>
    <w:rsid w:val="00396500"/>
    <w:rsid w:val="003B7C29"/>
    <w:rsid w:val="003E6D39"/>
    <w:rsid w:val="00513C32"/>
    <w:rsid w:val="00681752"/>
    <w:rsid w:val="006E73C4"/>
    <w:rsid w:val="00712789"/>
    <w:rsid w:val="007C17A3"/>
    <w:rsid w:val="007E7BAF"/>
    <w:rsid w:val="00830ACC"/>
    <w:rsid w:val="00913A85"/>
    <w:rsid w:val="00982A76"/>
    <w:rsid w:val="009B29F1"/>
    <w:rsid w:val="009C6997"/>
    <w:rsid w:val="00A62018"/>
    <w:rsid w:val="00AE19E1"/>
    <w:rsid w:val="00BB7D6A"/>
    <w:rsid w:val="00C113B1"/>
    <w:rsid w:val="00CE13EB"/>
    <w:rsid w:val="00D963A5"/>
    <w:rsid w:val="00DB1485"/>
    <w:rsid w:val="00E00511"/>
    <w:rsid w:val="00E12E80"/>
    <w:rsid w:val="00EA47D4"/>
    <w:rsid w:val="00ED29D5"/>
    <w:rsid w:val="00F8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E6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link w:val="Heading2Char"/>
    <w:qFormat/>
    <w:pPr>
      <w:keepNext/>
      <w:spacing w:before="240"/>
      <w:outlineLvl w:val="1"/>
    </w:pPr>
    <w:rPr>
      <w:rFonts w:ascii="Arial" w:hAnsi="Arial" w:cs="Arial"/>
      <w:b/>
      <w:bCs/>
      <w:iCs/>
      <w:color w:val="0000FF"/>
      <w:szCs w:val="28"/>
    </w:rPr>
  </w:style>
  <w:style w:type="paragraph" w:styleId="Heading3">
    <w:name w:val="heading 3"/>
    <w:basedOn w:val="Normal"/>
    <w:next w:val="Normal"/>
    <w:link w:val="Heading3Char"/>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Numbered List - 1,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uiPriority w:val="39"/>
    <w:pPr>
      <w:ind w:left="1195" w:hanging="720"/>
    </w:pPr>
  </w:style>
  <w:style w:type="character" w:customStyle="1" w:styleId="Heading2Char">
    <w:name w:val="Heading 2 Char"/>
    <w:basedOn w:val="DefaultParagraphFont"/>
    <w:link w:val="Heading2"/>
    <w:rsid w:val="00DB1485"/>
    <w:rPr>
      <w:rFonts w:ascii="Arial" w:hAnsi="Arial" w:cs="Arial"/>
      <w:b/>
      <w:bCs/>
      <w:iCs/>
      <w:color w:val="0000FF"/>
      <w:sz w:val="24"/>
      <w:szCs w:val="28"/>
    </w:rPr>
  </w:style>
  <w:style w:type="character" w:customStyle="1" w:styleId="Heading3Char">
    <w:name w:val="Heading 3 Char"/>
    <w:basedOn w:val="DefaultParagraphFont"/>
    <w:link w:val="Heading3"/>
    <w:rsid w:val="00DB1485"/>
    <w:rPr>
      <w:rFonts w:ascii="Arial" w:hAnsi="Arial" w:cs="Arial"/>
      <w:b/>
      <w:bCs/>
      <w:color w:val="0000FF"/>
      <w:sz w:val="24"/>
      <w:szCs w:val="26"/>
    </w:rPr>
  </w:style>
  <w:style w:type="character" w:styleId="Hyperlink">
    <w:name w:val="Hyperlink"/>
    <w:basedOn w:val="DefaultParagraphFont"/>
    <w:uiPriority w:val="99"/>
    <w:unhideWhenUsed/>
    <w:rsid w:val="00DB1485"/>
    <w:rPr>
      <w:color w:val="0000FF"/>
      <w:u w:val="single"/>
    </w:rPr>
  </w:style>
  <w:style w:type="character" w:styleId="FollowedHyperlink">
    <w:name w:val="FollowedHyperlink"/>
    <w:basedOn w:val="DefaultParagraphFont"/>
    <w:uiPriority w:val="99"/>
    <w:semiHidden/>
    <w:unhideWhenUsed/>
    <w:rsid w:val="002F5A7A"/>
    <w:rPr>
      <w:color w:val="800080" w:themeColor="followedHyperlink"/>
      <w:u w:val="single"/>
    </w:rPr>
  </w:style>
  <w:style w:type="paragraph" w:styleId="BalloonText">
    <w:name w:val="Balloon Text"/>
    <w:basedOn w:val="Normal"/>
    <w:link w:val="BalloonTextChar"/>
    <w:uiPriority w:val="99"/>
    <w:semiHidden/>
    <w:unhideWhenUsed/>
    <w:rsid w:val="00AE19E1"/>
    <w:rPr>
      <w:rFonts w:ascii="Tahoma" w:hAnsi="Tahoma" w:cs="Tahoma"/>
      <w:sz w:val="16"/>
      <w:szCs w:val="16"/>
    </w:rPr>
  </w:style>
  <w:style w:type="character" w:customStyle="1" w:styleId="BalloonTextChar">
    <w:name w:val="Balloon Text Char"/>
    <w:basedOn w:val="DefaultParagraphFont"/>
    <w:link w:val="BalloonText"/>
    <w:uiPriority w:val="99"/>
    <w:semiHidden/>
    <w:rsid w:val="00AE1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32210">
      <w:bodyDiv w:val="1"/>
      <w:marLeft w:val="0"/>
      <w:marRight w:val="0"/>
      <w:marTop w:val="0"/>
      <w:marBottom w:val="0"/>
      <w:divBdr>
        <w:top w:val="none" w:sz="0" w:space="0" w:color="auto"/>
        <w:left w:val="none" w:sz="0" w:space="0" w:color="auto"/>
        <w:bottom w:val="none" w:sz="0" w:space="0" w:color="auto"/>
        <w:right w:val="none" w:sz="0" w:space="0" w:color="auto"/>
      </w:divBdr>
    </w:div>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s.fed.us/fire/equipment/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MS_Doc_Date xmlns="b1425668-5f0e-42f7-af7f-832b74bcd6b7">2015-04-08T05:00:00+00:00</ORMS_Doc_Date>
    <OMRS_Doc_Name xmlns="b1425668-5f0e-42f7-af7f-832b74bcd6b7">wo_5109.16_10_a_2015-1</OMRS_Doc_Name>
    <ORMS_Doc_Status xmlns="b1425668-5f0e-42f7-af7f-832b74bcd6b7">Current-Posted for Use</ORMS_Doc_Status>
    <ORMS_Doc_Location xmlns="b1425668-5f0e-42f7-af7f-832b74bcd6b7">*Service-wide</ORMS_Doc_Location>
    <ORMS_Series xmlns="b1425668-5f0e-42f7-af7f-832b74bcd6b7">5000 - 5700 - Protection and Development</ORMS_Series>
    <ORMS_Doc_Code xmlns="b1425668-5f0e-42f7-af7f-832b74bcd6b7">5109.16 - Fire Management Equipment, Supplies and Chemicals Handbook</ORMS_Doc_Code>
    <OMS_Doc_Type xmlns="b1425668-5f0e-42f7-af7f-832b74bcd6b7">Handbook</OMS_Doc_Type>
    <ORMS_Doc_Format xmlns="b1425668-5f0e-42f7-af7f-832b74bcd6b7">DOC</ORMS_Doc_Format>
    <RSA xmlns="b1425668-5f0e-42f7-af7f-832b74bcd6b7">Service wide</RSA>
    <ORMS_Doc_Category xmlns="b1425668-5f0e-42f7-af7f-832b74bcd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F704A-4B77-4D11-A44A-E97921FE4DC4}">
  <ds:schemaRefs>
    <ds:schemaRef ds:uri="http://schemas.microsoft.com/sharepoint/v3/contenttype/forms"/>
  </ds:schemaRefs>
</ds:datastoreItem>
</file>

<file path=customXml/itemProps2.xml><?xml version="1.0" encoding="utf-8"?>
<ds:datastoreItem xmlns:ds="http://schemas.openxmlformats.org/officeDocument/2006/customXml" ds:itemID="{74C71F19-9495-4D58-8976-C7933031D7F0}">
  <ds:schemaRefs>
    <ds:schemaRef ds:uri="http://schemas.microsoft.com/office/2006/metadata/properties"/>
    <ds:schemaRef ds:uri="http://schemas.microsoft.com/office/infopath/2007/PartnerControls"/>
    <ds:schemaRef ds:uri="b1425668-5f0e-42f7-af7f-832b74bcd6b7"/>
  </ds:schemaRefs>
</ds:datastoreItem>
</file>

<file path=customXml/itemProps3.xml><?xml version="1.0" encoding="utf-8"?>
<ds:datastoreItem xmlns:ds="http://schemas.openxmlformats.org/officeDocument/2006/customXml" ds:itemID="{10D39436-5F03-45F9-A143-AB0C274B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wo_5109.16_10 - Fire Management Equipment</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wo_5109.16_10 - Fire Management Equipment</dc:title>
  <dc:creator/>
  <cp:lastModifiedBy/>
  <cp:revision>1</cp:revision>
  <dcterms:created xsi:type="dcterms:W3CDTF">2021-07-13T20:39:00Z</dcterms:created>
  <dcterms:modified xsi:type="dcterms:W3CDTF">2021-07-13T20:39:00Z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