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4842" w:rsidRDefault="00164842" w14:paraId="1174D483" w14:textId="77777777">
      <w:pPr>
        <w:pStyle w:val="Heading3"/>
        <w:jc w:val="center"/>
      </w:pPr>
      <w:r>
        <w:t>Department of Commerce</w:t>
      </w:r>
    </w:p>
    <w:p w:rsidR="00164842" w:rsidRDefault="00164842" w14:paraId="4A096DBF" w14:textId="77777777">
      <w:pPr>
        <w:pStyle w:val="Heading4"/>
      </w:pPr>
      <w:r>
        <w:t>U.S. Census Bureau</w:t>
      </w:r>
    </w:p>
    <w:p w:rsidRPr="001143A6" w:rsidR="001143A6" w:rsidP="001143A6" w:rsidRDefault="001143A6" w14:paraId="66C40F27" w14:textId="77777777">
      <w:pPr>
        <w:pStyle w:val="Heading4"/>
      </w:pPr>
      <w:r>
        <w:t>OMB Information Collection Request</w:t>
      </w:r>
    </w:p>
    <w:p w:rsidRPr="001143A6" w:rsidR="00164842" w:rsidP="00663B04" w:rsidRDefault="00164842" w14:paraId="0A86320C" w14:textId="77777777">
      <w:pPr>
        <w:pStyle w:val="Heading4"/>
      </w:pPr>
      <w:r w:rsidRPr="001143A6">
        <w:t>Report of Building or Zoning Permits Issued</w:t>
      </w:r>
    </w:p>
    <w:p w:rsidRPr="001143A6" w:rsidR="00164842" w:rsidP="00663B04" w:rsidRDefault="00164842" w14:paraId="593AB8E5" w14:textId="77777777">
      <w:pPr>
        <w:pStyle w:val="Heading4"/>
      </w:pPr>
      <w:r w:rsidRPr="001143A6">
        <w:t>for New Privately-Owned Housing Units (C-404)</w:t>
      </w:r>
    </w:p>
    <w:p w:rsidR="00164842" w:rsidP="00663B04" w:rsidRDefault="00164842" w14:paraId="3CD40E6C" w14:textId="77777777">
      <w:pPr>
        <w:pStyle w:val="Heading4"/>
        <w:rPr>
          <w:szCs w:val="20"/>
        </w:rPr>
      </w:pPr>
      <w:r w:rsidRPr="001143A6">
        <w:t>OMB Control Number 0607-0094</w:t>
      </w:r>
    </w:p>
    <w:p w:rsidR="00164842" w:rsidRDefault="00164842" w14:paraId="2E3A07EC" w14:textId="77777777">
      <w:pPr>
        <w:jc w:val="center"/>
        <w:rPr>
          <w:b/>
          <w:sz w:val="24"/>
          <w:szCs w:val="24"/>
        </w:rPr>
      </w:pPr>
    </w:p>
    <w:p w:rsidR="00164842" w:rsidRDefault="00164842" w14:paraId="034EB58A" w14:textId="77777777">
      <w:pPr>
        <w:tabs>
          <w:tab w:val="left" w:pos="720"/>
        </w:tabs>
        <w:ind w:left="720" w:hanging="720"/>
        <w:jc w:val="center"/>
        <w:rPr>
          <w:b/>
          <w:sz w:val="24"/>
          <w:szCs w:val="24"/>
        </w:rPr>
      </w:pPr>
    </w:p>
    <w:p w:rsidR="00164842" w:rsidRDefault="001143A6" w14:paraId="7D972993" w14:textId="77777777">
      <w:pPr>
        <w:tabs>
          <w:tab w:val="left" w:pos="720"/>
        </w:tabs>
        <w:ind w:left="720" w:hanging="720"/>
        <w:rPr>
          <w:b/>
          <w:sz w:val="24"/>
          <w:szCs w:val="24"/>
        </w:rPr>
      </w:pPr>
      <w:r>
        <w:rPr>
          <w:b/>
          <w:sz w:val="24"/>
          <w:szCs w:val="24"/>
        </w:rPr>
        <w:t xml:space="preserve">Part A -- </w:t>
      </w:r>
      <w:r w:rsidR="00164842">
        <w:rPr>
          <w:b/>
          <w:sz w:val="24"/>
          <w:szCs w:val="24"/>
          <w:u w:val="single"/>
        </w:rPr>
        <w:t>Justification</w:t>
      </w:r>
    </w:p>
    <w:p w:rsidR="00164842" w:rsidRDefault="00164842" w14:paraId="2B22E052" w14:textId="77777777">
      <w:pPr>
        <w:tabs>
          <w:tab w:val="left" w:pos="720"/>
        </w:tabs>
        <w:ind w:left="720" w:hanging="720"/>
        <w:rPr>
          <w:b/>
          <w:bCs/>
          <w:sz w:val="24"/>
          <w:szCs w:val="24"/>
        </w:rPr>
      </w:pPr>
    </w:p>
    <w:p w:rsidR="00164842" w:rsidRDefault="00164842" w14:paraId="74047431" w14:textId="77777777">
      <w:pPr>
        <w:tabs>
          <w:tab w:val="left" w:pos="720"/>
          <w:tab w:val="left" w:pos="1440"/>
        </w:tabs>
        <w:ind w:left="1440" w:hanging="720"/>
        <w:rPr>
          <w:b/>
          <w:bCs/>
          <w:sz w:val="24"/>
          <w:szCs w:val="24"/>
        </w:rPr>
      </w:pPr>
      <w:r>
        <w:rPr>
          <w:b/>
          <w:bCs/>
          <w:sz w:val="24"/>
          <w:szCs w:val="24"/>
        </w:rPr>
        <w:t>1.</w:t>
      </w:r>
      <w:r>
        <w:rPr>
          <w:b/>
          <w:bCs/>
          <w:sz w:val="24"/>
          <w:szCs w:val="24"/>
        </w:rPr>
        <w:tab/>
      </w:r>
      <w:r>
        <w:rPr>
          <w:b/>
          <w:bCs/>
          <w:sz w:val="24"/>
          <w:szCs w:val="24"/>
          <w:u w:val="single"/>
        </w:rPr>
        <w:t>Necessity of the Information Collection</w:t>
      </w:r>
    </w:p>
    <w:p w:rsidR="00164842" w:rsidRDefault="00164842" w14:paraId="69EA63CD" w14:textId="77777777">
      <w:pPr>
        <w:pStyle w:val="BodyTextIndent"/>
      </w:pPr>
    </w:p>
    <w:p w:rsidR="008C0FDC" w:rsidRDefault="00164842" w14:paraId="60038DCE" w14:textId="77777777">
      <w:pPr>
        <w:ind w:left="1440"/>
        <w:rPr>
          <w:sz w:val="24"/>
          <w:szCs w:val="24"/>
        </w:rPr>
      </w:pPr>
      <w:r>
        <w:rPr>
          <w:sz w:val="24"/>
        </w:rPr>
        <w:t>The Census Bureau is requesting a</w:t>
      </w:r>
      <w:r w:rsidR="001D5681">
        <w:rPr>
          <w:sz w:val="24"/>
        </w:rPr>
        <w:t>n extension</w:t>
      </w:r>
      <w:r w:rsidR="00881D3F">
        <w:rPr>
          <w:sz w:val="24"/>
        </w:rPr>
        <w:t xml:space="preserve"> of the</w:t>
      </w:r>
      <w:r>
        <w:rPr>
          <w:sz w:val="24"/>
        </w:rPr>
        <w:t xml:space="preserve"> currently approved collection of the Form C-404, otherwise known as the Building Permits Survey (BPS)</w:t>
      </w:r>
      <w:r w:rsidR="003645BA">
        <w:rPr>
          <w:sz w:val="24"/>
        </w:rPr>
        <w:t>.</w:t>
      </w:r>
      <w:r w:rsidR="0006588E">
        <w:rPr>
          <w:sz w:val="24"/>
        </w:rPr>
        <w:t xml:space="preserve"> </w:t>
      </w:r>
      <w:r>
        <w:rPr>
          <w:sz w:val="24"/>
          <w:szCs w:val="24"/>
        </w:rPr>
        <w:t xml:space="preserve">This survey is authorized under </w:t>
      </w:r>
      <w:r w:rsidRPr="002F28FE" w:rsidR="002F28FE">
        <w:rPr>
          <w:sz w:val="24"/>
          <w:szCs w:val="24"/>
        </w:rPr>
        <w:t>Title 13, United States Code, Sections 131 and 182</w:t>
      </w:r>
      <w:r w:rsidR="00DD7C6E">
        <w:rPr>
          <w:sz w:val="24"/>
          <w:szCs w:val="24"/>
        </w:rPr>
        <w:t>,</w:t>
      </w:r>
      <w:r>
        <w:rPr>
          <w:sz w:val="24"/>
          <w:szCs w:val="24"/>
        </w:rPr>
        <w:t xml:space="preserve"> to collect data on new residential buildings</w:t>
      </w:r>
      <w:r w:rsidR="008027B0">
        <w:rPr>
          <w:sz w:val="24"/>
          <w:szCs w:val="24"/>
        </w:rPr>
        <w:t xml:space="preserve"> from state and local permit-issuing offices</w:t>
      </w:r>
      <w:r>
        <w:rPr>
          <w:sz w:val="24"/>
          <w:szCs w:val="24"/>
        </w:rPr>
        <w:t>.</w:t>
      </w:r>
      <w:r w:rsidR="00A72D80">
        <w:rPr>
          <w:sz w:val="24"/>
          <w:szCs w:val="24"/>
        </w:rPr>
        <w:t xml:space="preserve">  The key estimates from the survey are the numbers of new housing units authorized by building permits; data are also collected on the valuation of the housing units.</w:t>
      </w:r>
      <w:r w:rsidR="000058CB">
        <w:rPr>
          <w:sz w:val="24"/>
          <w:szCs w:val="24"/>
        </w:rPr>
        <w:t xml:space="preserve">  </w:t>
      </w:r>
      <w:r w:rsidRPr="000058CB" w:rsidR="000058CB">
        <w:rPr>
          <w:sz w:val="24"/>
          <w:szCs w:val="24"/>
        </w:rPr>
        <w:t xml:space="preserve">Form C-404 </w:t>
      </w:r>
      <w:r w:rsidR="000058CB">
        <w:rPr>
          <w:sz w:val="24"/>
          <w:szCs w:val="24"/>
        </w:rPr>
        <w:t xml:space="preserve">specifically </w:t>
      </w:r>
      <w:r w:rsidRPr="000058CB" w:rsidR="000058CB">
        <w:rPr>
          <w:sz w:val="24"/>
          <w:szCs w:val="24"/>
        </w:rPr>
        <w:t>collects information on changes to the geographic coverage of the permit-issuing place, the number and valuation of new residential housing units authorized by building permits, and additional information on residential permits valued at $</w:t>
      </w:r>
      <w:r w:rsidR="00875876">
        <w:rPr>
          <w:sz w:val="24"/>
          <w:szCs w:val="24"/>
        </w:rPr>
        <w:t>2</w:t>
      </w:r>
      <w:r w:rsidRPr="000058CB" w:rsidR="00875876">
        <w:rPr>
          <w:sz w:val="24"/>
          <w:szCs w:val="24"/>
        </w:rPr>
        <w:t xml:space="preserve"> </w:t>
      </w:r>
      <w:r w:rsidRPr="000058CB" w:rsidR="000058CB">
        <w:rPr>
          <w:sz w:val="24"/>
          <w:szCs w:val="24"/>
        </w:rPr>
        <w:t>million or more</w:t>
      </w:r>
      <w:r w:rsidR="000058CB">
        <w:rPr>
          <w:sz w:val="24"/>
          <w:szCs w:val="24"/>
        </w:rPr>
        <w:t>, including, but not limited to, site address and type of building</w:t>
      </w:r>
      <w:r w:rsidRPr="000058CB" w:rsidR="000058CB">
        <w:rPr>
          <w:sz w:val="24"/>
          <w:szCs w:val="24"/>
        </w:rPr>
        <w:t xml:space="preserve">. The form is titled “Report of Building or Zoning Permits Issued for New Privately-Owned Housing Units”.  </w:t>
      </w:r>
    </w:p>
    <w:p w:rsidR="008C0FDC" w:rsidRDefault="008C0FDC" w14:paraId="03640BFB" w14:textId="77777777">
      <w:pPr>
        <w:ind w:left="1440"/>
        <w:rPr>
          <w:sz w:val="24"/>
          <w:szCs w:val="24"/>
        </w:rPr>
      </w:pPr>
    </w:p>
    <w:p w:rsidR="006E6331" w:rsidRDefault="00164842" w14:paraId="302C3E21" w14:textId="77777777">
      <w:pPr>
        <w:ind w:left="1440"/>
        <w:rPr>
          <w:sz w:val="24"/>
          <w:szCs w:val="24"/>
        </w:rPr>
      </w:pPr>
      <w:r>
        <w:rPr>
          <w:sz w:val="24"/>
        </w:rPr>
        <w:t xml:space="preserve">The Census Bureau produces statistics used to monitor activity in the large and dynamic construction industry. </w:t>
      </w:r>
      <w:r>
        <w:rPr>
          <w:strike/>
          <w:sz w:val="24"/>
          <w:szCs w:val="24"/>
          <w:lang w:val="en-CA"/>
        </w:rPr>
        <w:fldChar w:fldCharType="begin"/>
      </w:r>
      <w:r>
        <w:rPr>
          <w:strike/>
          <w:sz w:val="24"/>
          <w:szCs w:val="24"/>
          <w:lang w:val="en-CA"/>
        </w:rPr>
        <w:instrText xml:space="preserve"> SEQ CHAPTER \h \r 1</w:instrText>
      </w:r>
      <w:r>
        <w:rPr>
          <w:strike/>
          <w:sz w:val="24"/>
          <w:szCs w:val="24"/>
          <w:lang w:val="en-CA"/>
        </w:rPr>
        <w:fldChar w:fldCharType="end"/>
      </w:r>
      <w:r>
        <w:rPr>
          <w:sz w:val="24"/>
          <w:szCs w:val="24"/>
        </w:rPr>
        <w:t xml:space="preserve">Given the importance of this industry, several of the statistical series </w:t>
      </w:r>
      <w:r w:rsidR="00CD41CB">
        <w:rPr>
          <w:sz w:val="24"/>
          <w:szCs w:val="24"/>
        </w:rPr>
        <w:t xml:space="preserve">have been designated </w:t>
      </w:r>
      <w:r w:rsidR="00DD7C6E">
        <w:rPr>
          <w:sz w:val="24"/>
          <w:szCs w:val="24"/>
        </w:rPr>
        <w:t xml:space="preserve">by the Office of Management and Budget </w:t>
      </w:r>
      <w:r w:rsidR="00CD41CB">
        <w:rPr>
          <w:sz w:val="24"/>
          <w:szCs w:val="24"/>
        </w:rPr>
        <w:t>as Principal Economic Indicators</w:t>
      </w:r>
      <w:r>
        <w:rPr>
          <w:sz w:val="24"/>
          <w:szCs w:val="24"/>
        </w:rPr>
        <w:t>.  T</w:t>
      </w:r>
      <w:r w:rsidR="00CD41CB">
        <w:rPr>
          <w:sz w:val="24"/>
          <w:szCs w:val="24"/>
        </w:rPr>
        <w:t xml:space="preserve">wo such indicators are </w:t>
      </w:r>
      <w:r>
        <w:rPr>
          <w:sz w:val="24"/>
          <w:szCs w:val="24"/>
        </w:rPr>
        <w:t>d</w:t>
      </w:r>
      <w:r w:rsidR="006F1D47">
        <w:rPr>
          <w:sz w:val="24"/>
          <w:szCs w:val="24"/>
        </w:rPr>
        <w:t>irectly d</w:t>
      </w:r>
      <w:r>
        <w:rPr>
          <w:sz w:val="24"/>
          <w:szCs w:val="24"/>
        </w:rPr>
        <w:t>ependent on the</w:t>
      </w:r>
      <w:r w:rsidR="00A72D80">
        <w:rPr>
          <w:sz w:val="24"/>
          <w:szCs w:val="24"/>
        </w:rPr>
        <w:t xml:space="preserve"> key estimates from the BPS</w:t>
      </w:r>
      <w:r w:rsidR="00252036">
        <w:rPr>
          <w:sz w:val="24"/>
          <w:szCs w:val="24"/>
        </w:rPr>
        <w:t xml:space="preserve">.  </w:t>
      </w:r>
      <w:r w:rsidRPr="00005B0F" w:rsidR="00005B0F">
        <w:rPr>
          <w:sz w:val="24"/>
          <w:szCs w:val="24"/>
        </w:rPr>
        <w:t>For New Residential Construction (which includes Housing Units Authorized by Building Permits, Housing Starts, and Housing Completions), form C-404 is used to collect the estimate for Housing Units Authorized by Building Permits.  For New Residential Construction and Sales, the number of housing units authorized by building permits is a key component utilized in the estimation of housing units started, completed, and sold.</w:t>
      </w:r>
    </w:p>
    <w:p w:rsidR="00804D37" w:rsidRDefault="00804D37" w14:paraId="2C583655" w14:textId="77777777">
      <w:pPr>
        <w:ind w:left="1440"/>
        <w:rPr>
          <w:sz w:val="24"/>
          <w:szCs w:val="24"/>
        </w:rPr>
      </w:pPr>
    </w:p>
    <w:p w:rsidR="00164842" w:rsidRDefault="00164842" w14:paraId="4F291326" w14:textId="77777777">
      <w:pPr>
        <w:ind w:left="1440"/>
        <w:rPr>
          <w:sz w:val="24"/>
          <w:szCs w:val="24"/>
        </w:rPr>
      </w:pPr>
      <w:r>
        <w:rPr>
          <w:sz w:val="24"/>
          <w:szCs w:val="24"/>
        </w:rPr>
        <w:t xml:space="preserve">These statistics help state, local, and federal governments, as well as private industry, analyze this important sector of the economy.  The building permit series are available monthly based on a sample of building permit offices, and annually based on the entire universe of permit offices.  Published data from the survey can be found on the Census Bureau’s website at </w:t>
      </w:r>
      <w:r>
        <w:rPr>
          <w:sz w:val="24"/>
          <w:szCs w:val="24"/>
          <w:u w:val="single"/>
        </w:rPr>
        <w:t>www.censu</w:t>
      </w:r>
      <w:r>
        <w:rPr>
          <w:sz w:val="24"/>
          <w:szCs w:val="24"/>
          <w:u w:val="single"/>
        </w:rPr>
        <w:t>s</w:t>
      </w:r>
      <w:r>
        <w:rPr>
          <w:sz w:val="24"/>
          <w:szCs w:val="24"/>
          <w:u w:val="single"/>
        </w:rPr>
        <w:t>.gov/permits</w:t>
      </w:r>
      <w:r>
        <w:rPr>
          <w:sz w:val="24"/>
          <w:szCs w:val="24"/>
        </w:rPr>
        <w:t>.</w:t>
      </w:r>
    </w:p>
    <w:p w:rsidR="00164842" w:rsidRDefault="00164842" w14:paraId="75D08273" w14:textId="77777777">
      <w:pPr>
        <w:rPr>
          <w:sz w:val="24"/>
          <w:szCs w:val="24"/>
        </w:rPr>
      </w:pPr>
    </w:p>
    <w:p w:rsidR="008C0FDC" w:rsidP="002F28FE" w:rsidRDefault="00164842" w14:paraId="5B297A53" w14:textId="77777777">
      <w:pPr>
        <w:pStyle w:val="BodyTextIndent2"/>
        <w:spacing w:line="240" w:lineRule="auto"/>
        <w:ind w:left="1440" w:firstLine="0"/>
      </w:pPr>
      <w:r>
        <w:t xml:space="preserve">The Census Bureau </w:t>
      </w:r>
      <w:r w:rsidR="007C0ABB">
        <w:t xml:space="preserve">primarily </w:t>
      </w:r>
      <w:r>
        <w:t xml:space="preserve">collects these data </w:t>
      </w:r>
      <w:r w:rsidR="007C0ABB">
        <w:t>through the Centurion Internet Reporting System</w:t>
      </w:r>
      <w:r w:rsidR="00745175">
        <w:t>,</w:t>
      </w:r>
      <w:r w:rsidR="007C0ABB">
        <w:t xml:space="preserve"> </w:t>
      </w:r>
      <w:r>
        <w:t>by mail using the Form C-404 (Attachment A)</w:t>
      </w:r>
      <w:r w:rsidR="00745175">
        <w:t>, or by telephone</w:t>
      </w:r>
      <w:r w:rsidRPr="00300E32">
        <w:t>.</w:t>
      </w:r>
      <w:r>
        <w:t xml:space="preserve">  </w:t>
      </w:r>
      <w:r w:rsidR="003645BA">
        <w:t>Some d</w:t>
      </w:r>
      <w:r>
        <w:t xml:space="preserve">ata are also collected via receipt of </w:t>
      </w:r>
      <w:r w:rsidRPr="00791211" w:rsidR="00791211">
        <w:t xml:space="preserve">proprietary electronic files </w:t>
      </w:r>
      <w:r w:rsidRPr="00791211" w:rsidR="00791211">
        <w:lastRenderedPageBreak/>
        <w:t xml:space="preserve">or mailed printouts for jurisdictions </w:t>
      </w:r>
      <w:r w:rsidR="00A37A15">
        <w:t xml:space="preserve">who have </w:t>
      </w:r>
      <w:r w:rsidR="008A0F9F">
        <w:t>established</w:t>
      </w:r>
      <w:r w:rsidRPr="00791211" w:rsidR="00791211">
        <w:t xml:space="preserve"> reporting arrangements which allow</w:t>
      </w:r>
      <w:r w:rsidR="008A0F9F">
        <w:t xml:space="preserve"> </w:t>
      </w:r>
      <w:r w:rsidR="00A37A15">
        <w:t>them</w:t>
      </w:r>
      <w:r w:rsidRPr="00791211" w:rsidR="00791211">
        <w:t xml:space="preserve"> to submit their responses using their own file format</w:t>
      </w:r>
      <w:r>
        <w:t xml:space="preserve">.  </w:t>
      </w:r>
    </w:p>
    <w:p w:rsidR="008936E1" w:rsidP="002F28FE" w:rsidRDefault="008936E1" w14:paraId="6146A86E" w14:textId="77777777">
      <w:pPr>
        <w:pStyle w:val="BodyTextIndent2"/>
        <w:spacing w:line="240" w:lineRule="auto"/>
        <w:ind w:left="1440" w:firstLine="0"/>
      </w:pPr>
    </w:p>
    <w:p w:rsidR="002F28FE" w:rsidP="002F28FE" w:rsidRDefault="00881D3F" w14:paraId="6EB85B7A" w14:textId="77777777">
      <w:pPr>
        <w:pStyle w:val="BodyTextIndent2"/>
        <w:spacing w:line="240" w:lineRule="auto"/>
        <w:ind w:left="1440" w:firstLine="0"/>
      </w:pPr>
      <w:r w:rsidRPr="00C42C25">
        <w:t xml:space="preserve">Beginning </w:t>
      </w:r>
      <w:r>
        <w:t>January</w:t>
      </w:r>
      <w:r w:rsidRPr="00C42C25">
        <w:t xml:space="preserve"> 202</w:t>
      </w:r>
      <w:r>
        <w:t>2</w:t>
      </w:r>
      <w:r w:rsidRPr="00C42C25">
        <w:t>, the U.S. Census Bureau</w:t>
      </w:r>
      <w:r>
        <w:t xml:space="preserve"> </w:t>
      </w:r>
      <w:r w:rsidR="00346A32">
        <w:t>is proposing to change</w:t>
      </w:r>
      <w:r>
        <w:t xml:space="preserve"> the methodology for the tabulation of monthly Building Permit Survey.  The methodology will change from a representative sample to a cutoff </w:t>
      </w:r>
      <w:r w:rsidR="00AF38A0">
        <w:t>sample</w:t>
      </w:r>
      <w:r w:rsidR="00783724">
        <w:t xml:space="preserve"> based on recent permit activity by jurisdiction</w:t>
      </w:r>
      <w:r w:rsidR="00ED3A4C">
        <w:t xml:space="preserve">. </w:t>
      </w:r>
      <w:r w:rsidRPr="00783724" w:rsidR="00783724">
        <w:t>This change was not mentioned in the Federal Register noticed published on May 7, 2021 (Vol. 86, pages 24584-24585) as we do not plan any changes to the information we collect on the C-404.</w:t>
      </w:r>
    </w:p>
    <w:p w:rsidR="00783724" w:rsidP="002F28FE" w:rsidRDefault="00783724" w14:paraId="319A3728" w14:textId="77777777">
      <w:pPr>
        <w:pStyle w:val="BodyTextIndent2"/>
        <w:spacing w:line="240" w:lineRule="auto"/>
        <w:ind w:left="1440" w:firstLine="0"/>
        <w:rPr>
          <w:b/>
          <w:bCs/>
        </w:rPr>
      </w:pPr>
    </w:p>
    <w:p w:rsidR="00164842" w:rsidRDefault="00164842" w14:paraId="0442B94D" w14:textId="77777777">
      <w:pPr>
        <w:tabs>
          <w:tab w:val="left" w:pos="720"/>
          <w:tab w:val="left" w:pos="1440"/>
        </w:tabs>
        <w:ind w:left="1440" w:hanging="720"/>
        <w:rPr>
          <w:b/>
          <w:bCs/>
          <w:sz w:val="24"/>
          <w:szCs w:val="24"/>
        </w:rPr>
      </w:pPr>
      <w:r>
        <w:rPr>
          <w:b/>
          <w:bCs/>
          <w:sz w:val="24"/>
          <w:szCs w:val="24"/>
        </w:rPr>
        <w:t>2.</w:t>
      </w:r>
      <w:r>
        <w:rPr>
          <w:b/>
          <w:bCs/>
          <w:sz w:val="24"/>
          <w:szCs w:val="24"/>
        </w:rPr>
        <w:tab/>
      </w:r>
      <w:r>
        <w:rPr>
          <w:b/>
          <w:bCs/>
          <w:sz w:val="24"/>
          <w:szCs w:val="24"/>
          <w:u w:val="single"/>
        </w:rPr>
        <w:t>Needs and Uses</w:t>
      </w:r>
    </w:p>
    <w:p w:rsidR="00164842" w:rsidRDefault="00164842" w14:paraId="0ECB6231" w14:textId="7777777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164842" w:rsidRDefault="00164842" w14:paraId="2B82B384" w14:textId="77777777">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Census Bureau uses the Form C-404 to collect data that provide estimates of the number and valuation of new residential housing units authorized by building permits.  </w:t>
      </w:r>
      <w:r w:rsidR="00745175">
        <w:rPr>
          <w:sz w:val="24"/>
          <w:szCs w:val="24"/>
        </w:rPr>
        <w:t xml:space="preserve">There are roughly 20,000 permit issuing </w:t>
      </w:r>
      <w:r w:rsidR="00895A45">
        <w:rPr>
          <w:sz w:val="24"/>
          <w:szCs w:val="24"/>
        </w:rPr>
        <w:t>jurisdictions</w:t>
      </w:r>
      <w:r w:rsidR="00745175">
        <w:rPr>
          <w:sz w:val="24"/>
          <w:szCs w:val="24"/>
        </w:rPr>
        <w:t xml:space="preserve"> in the United States.  </w:t>
      </w:r>
      <w:r w:rsidR="00895A45">
        <w:rPr>
          <w:sz w:val="24"/>
          <w:szCs w:val="24"/>
        </w:rPr>
        <w:t>Slightly less than one</w:t>
      </w:r>
      <w:r>
        <w:rPr>
          <w:sz w:val="24"/>
          <w:szCs w:val="24"/>
        </w:rPr>
        <w:t xml:space="preserve">-half of </w:t>
      </w:r>
      <w:r w:rsidR="00895A45">
        <w:rPr>
          <w:sz w:val="24"/>
          <w:szCs w:val="24"/>
        </w:rPr>
        <w:t>those</w:t>
      </w:r>
      <w:r>
        <w:rPr>
          <w:sz w:val="24"/>
          <w:szCs w:val="24"/>
        </w:rPr>
        <w:t xml:space="preserve"> permit offices are requested to report monthly.  The remain</w:t>
      </w:r>
      <w:r w:rsidR="003645BA">
        <w:rPr>
          <w:sz w:val="24"/>
          <w:szCs w:val="24"/>
        </w:rPr>
        <w:t xml:space="preserve">ing offices </w:t>
      </w:r>
      <w:r>
        <w:rPr>
          <w:sz w:val="24"/>
          <w:szCs w:val="24"/>
        </w:rPr>
        <w:t>are surveyed</w:t>
      </w:r>
      <w:r w:rsidR="00895A45">
        <w:rPr>
          <w:sz w:val="24"/>
          <w:szCs w:val="24"/>
        </w:rPr>
        <w:t xml:space="preserve"> annually</w:t>
      </w:r>
      <w:r>
        <w:rPr>
          <w:sz w:val="24"/>
          <w:szCs w:val="24"/>
        </w:rPr>
        <w:t xml:space="preserve">.  We use the data, a component of </w:t>
      </w:r>
      <w:r w:rsidRPr="003217A8" w:rsidR="00060389">
        <w:rPr>
          <w:i/>
          <w:sz w:val="24"/>
          <w:szCs w:val="24"/>
        </w:rPr>
        <w:t>T</w:t>
      </w:r>
      <w:r w:rsidRPr="003217A8">
        <w:rPr>
          <w:i/>
          <w:sz w:val="24"/>
          <w:szCs w:val="24"/>
        </w:rPr>
        <w:t xml:space="preserve">he </w:t>
      </w:r>
      <w:r w:rsidRPr="003217A8" w:rsidR="00DD7C6E">
        <w:rPr>
          <w:i/>
          <w:sz w:val="24"/>
          <w:szCs w:val="24"/>
        </w:rPr>
        <w:t>Conference Board</w:t>
      </w:r>
      <w:r w:rsidRPr="003217A8" w:rsidR="00060389">
        <w:rPr>
          <w:i/>
          <w:sz w:val="24"/>
          <w:szCs w:val="24"/>
        </w:rPr>
        <w:t xml:space="preserve"> Leading Economic Index</w:t>
      </w:r>
      <w:r>
        <w:rPr>
          <w:sz w:val="24"/>
          <w:szCs w:val="24"/>
        </w:rPr>
        <w:t xml:space="preserve">, to estimate the number of housing units </w:t>
      </w:r>
      <w:r w:rsidR="00CD41CB">
        <w:rPr>
          <w:sz w:val="24"/>
          <w:szCs w:val="24"/>
        </w:rPr>
        <w:t xml:space="preserve">authorized, </w:t>
      </w:r>
      <w:r>
        <w:rPr>
          <w:sz w:val="24"/>
          <w:szCs w:val="24"/>
        </w:rPr>
        <w:t>started, completed, and sold (single-family</w:t>
      </w:r>
      <w:r w:rsidR="00D537D9">
        <w:rPr>
          <w:sz w:val="24"/>
          <w:szCs w:val="24"/>
        </w:rPr>
        <w:t xml:space="preserve"> </w:t>
      </w:r>
      <w:r>
        <w:rPr>
          <w:sz w:val="24"/>
          <w:szCs w:val="24"/>
        </w:rPr>
        <w:t xml:space="preserve">only).  </w:t>
      </w:r>
      <w:r>
        <w:rPr>
          <w:sz w:val="24"/>
        </w:rPr>
        <w:t xml:space="preserve"> In addition, the Census Bureau uses the detailed geographic data in the development of annual population estimates</w:t>
      </w:r>
      <w:r w:rsidR="00C273D9">
        <w:rPr>
          <w:sz w:val="24"/>
        </w:rPr>
        <w:t>; those population estimates are</w:t>
      </w:r>
      <w:r>
        <w:rPr>
          <w:sz w:val="24"/>
        </w:rPr>
        <w:t xml:space="preserve"> used by government agencies to allocate funding</w:t>
      </w:r>
      <w:r w:rsidR="00D93DAA">
        <w:rPr>
          <w:sz w:val="24"/>
        </w:rPr>
        <w:t xml:space="preserve"> and other resources to local areas, inform policy</w:t>
      </w:r>
      <w:r w:rsidR="00DD7C6E">
        <w:rPr>
          <w:sz w:val="24"/>
        </w:rPr>
        <w:t>,</w:t>
      </w:r>
      <w:r w:rsidR="00D93DAA">
        <w:rPr>
          <w:sz w:val="24"/>
        </w:rPr>
        <w:t xml:space="preserve"> and aid in city planning.</w:t>
      </w:r>
      <w:r>
        <w:rPr>
          <w:sz w:val="24"/>
        </w:rPr>
        <w:t xml:space="preserve">  P</w:t>
      </w:r>
      <w:r>
        <w:rPr>
          <w:sz w:val="24"/>
          <w:szCs w:val="24"/>
        </w:rPr>
        <w:t>olicymakers, planners, business</w:t>
      </w:r>
      <w:r w:rsidR="003645BA">
        <w:rPr>
          <w:sz w:val="24"/>
          <w:szCs w:val="24"/>
        </w:rPr>
        <w:t>es</w:t>
      </w:r>
      <w:r>
        <w:rPr>
          <w:sz w:val="24"/>
          <w:szCs w:val="24"/>
        </w:rPr>
        <w:t>, and others use the detailed geographic data to monitor growth and plan for local services, and to develop production and marketing plans.  The BPS is the only source of statistics on residential construction for states</w:t>
      </w:r>
      <w:r w:rsidR="00DD7C6E">
        <w:rPr>
          <w:sz w:val="24"/>
          <w:szCs w:val="24"/>
        </w:rPr>
        <w:t>, counties,</w:t>
      </w:r>
      <w:r>
        <w:rPr>
          <w:sz w:val="24"/>
          <w:szCs w:val="24"/>
        </w:rPr>
        <w:t xml:space="preserve"> and smaller geographic areas.</w:t>
      </w:r>
      <w:r w:rsidR="00DD7C6E">
        <w:rPr>
          <w:sz w:val="24"/>
          <w:szCs w:val="24"/>
        </w:rPr>
        <w:t xml:space="preserve">  </w:t>
      </w:r>
      <w:r w:rsidR="00895A45">
        <w:rPr>
          <w:sz w:val="24"/>
          <w:szCs w:val="24"/>
        </w:rPr>
        <w:t>Since</w:t>
      </w:r>
      <w:r w:rsidR="00DD7C6E">
        <w:rPr>
          <w:sz w:val="24"/>
          <w:szCs w:val="24"/>
        </w:rPr>
        <w:t xml:space="preserve"> building permits are public records, we can release data for individual jurisdictions</w:t>
      </w:r>
      <w:r w:rsidR="00F738B0">
        <w:rPr>
          <w:sz w:val="24"/>
          <w:szCs w:val="24"/>
        </w:rPr>
        <w:t>, and annual data are published for every permit-issuing jurisdiction.</w:t>
      </w:r>
    </w:p>
    <w:p w:rsidR="00164842" w:rsidRDefault="00164842" w14:paraId="502D8DE4" w14:textId="77777777">
      <w:pPr>
        <w:rPr>
          <w:sz w:val="24"/>
          <w:szCs w:val="24"/>
        </w:rPr>
      </w:pPr>
    </w:p>
    <w:p w:rsidR="00164842" w:rsidRDefault="00164842" w14:paraId="7EA953D8" w14:textId="77777777">
      <w:pPr>
        <w:pStyle w:val="BodyTextIndent"/>
      </w:pPr>
      <w: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164842" w:rsidRDefault="00164842" w14:paraId="41027483" w14:textId="77777777">
      <w:pPr>
        <w:tabs>
          <w:tab w:val="left" w:pos="720"/>
          <w:tab w:val="left" w:pos="1440"/>
        </w:tabs>
        <w:ind w:left="1440" w:hanging="1440"/>
        <w:rPr>
          <w:b/>
          <w:bCs/>
          <w:sz w:val="24"/>
          <w:szCs w:val="24"/>
        </w:rPr>
      </w:pPr>
    </w:p>
    <w:p w:rsidR="00164842" w:rsidRDefault="00164842" w14:paraId="163CA6ED" w14:textId="77777777">
      <w:pPr>
        <w:tabs>
          <w:tab w:val="left" w:pos="720"/>
          <w:tab w:val="left" w:pos="1440"/>
        </w:tabs>
        <w:ind w:left="1440" w:hanging="1440"/>
        <w:rPr>
          <w:b/>
          <w:bCs/>
          <w:sz w:val="24"/>
          <w:szCs w:val="24"/>
        </w:rPr>
      </w:pPr>
      <w:r>
        <w:rPr>
          <w:b/>
          <w:bCs/>
          <w:sz w:val="24"/>
          <w:szCs w:val="24"/>
        </w:rPr>
        <w:tab/>
        <w:t>3.</w:t>
      </w:r>
      <w:r>
        <w:rPr>
          <w:b/>
          <w:bCs/>
          <w:sz w:val="24"/>
          <w:szCs w:val="24"/>
        </w:rPr>
        <w:tab/>
      </w:r>
      <w:r>
        <w:rPr>
          <w:b/>
          <w:bCs/>
          <w:sz w:val="24"/>
          <w:szCs w:val="24"/>
          <w:u w:val="single"/>
        </w:rPr>
        <w:t>Use of Information Technology</w:t>
      </w:r>
    </w:p>
    <w:p w:rsidR="00164842" w:rsidRDefault="00164842" w14:paraId="2FDC83B4" w14:textId="77777777">
      <w:pPr>
        <w:rPr>
          <w:sz w:val="24"/>
          <w:szCs w:val="24"/>
        </w:rPr>
      </w:pPr>
    </w:p>
    <w:p w:rsidR="00164842" w:rsidRDefault="002E2AA8" w14:paraId="39B54D4F" w14:textId="77777777">
      <w:pPr>
        <w:pStyle w:val="BodyTextIndent"/>
      </w:pPr>
      <w:r>
        <w:rPr>
          <w:lang w:val="en-CA"/>
        </w:rPr>
        <w:t xml:space="preserve">During 2020, a significant effort was made to increase electronic reporting and reduce paper form processing.  </w:t>
      </w:r>
      <w:r w:rsidR="005D29E5">
        <w:rPr>
          <w:lang w:val="en-CA"/>
        </w:rPr>
        <w:t>In</w:t>
      </w:r>
      <w:r w:rsidR="00AC4677">
        <w:rPr>
          <w:lang w:val="en-CA"/>
        </w:rPr>
        <w:t xml:space="preserve"> December</w:t>
      </w:r>
      <w:r w:rsidR="005D29E5">
        <w:rPr>
          <w:lang w:val="en-CA"/>
        </w:rPr>
        <w:t xml:space="preserve"> </w:t>
      </w:r>
      <w:r w:rsidR="00625E93">
        <w:rPr>
          <w:lang w:val="en-CA"/>
        </w:rPr>
        <w:t>2020,</w:t>
      </w:r>
      <w:r w:rsidR="005D29E5">
        <w:rPr>
          <w:lang w:val="en-CA"/>
        </w:rPr>
        <w:t xml:space="preserve"> </w:t>
      </w:r>
      <w:r w:rsidR="00A55559">
        <w:rPr>
          <w:lang w:val="en-CA"/>
        </w:rPr>
        <w:t>90.2%</w:t>
      </w:r>
      <w:r w:rsidRPr="003217A8" w:rsidR="00406951">
        <w:t xml:space="preserve"> </w:t>
      </w:r>
      <w:r w:rsidRPr="003217A8" w:rsidR="00164842">
        <w:t>percent</w:t>
      </w:r>
      <w:r w:rsidRPr="00486301" w:rsidR="00164842">
        <w:t xml:space="preserve"> o</w:t>
      </w:r>
      <w:r w:rsidR="00164842">
        <w:t>f the places that report</w:t>
      </w:r>
      <w:r w:rsidR="00AC4677">
        <w:t>ed for that month</w:t>
      </w:r>
      <w:r w:rsidR="00C273D9">
        <w:t>,</w:t>
      </w:r>
      <w:r w:rsidR="00CD4BD5">
        <w:t xml:space="preserve"> provide</w:t>
      </w:r>
      <w:r w:rsidR="00AC4677">
        <w:t>d</w:t>
      </w:r>
      <w:r w:rsidR="00CD4BD5">
        <w:t xml:space="preserve"> their reports online or </w:t>
      </w:r>
      <w:r w:rsidR="00164842">
        <w:t>via an electronic file</w:t>
      </w:r>
      <w:r>
        <w:t xml:space="preserve">.  </w:t>
      </w:r>
      <w:r w:rsidR="00C253CE">
        <w:t xml:space="preserve">This is an increase from </w:t>
      </w:r>
      <w:r w:rsidR="00A55559">
        <w:t>53.2</w:t>
      </w:r>
      <w:r w:rsidR="00C253CE">
        <w:t xml:space="preserve">% in December 2019.  For jurisdictions surveyed annually, </w:t>
      </w:r>
      <w:r w:rsidR="00A74AEF">
        <w:t>75.7</w:t>
      </w:r>
      <w:r w:rsidR="006F5B44">
        <w:t>%</w:t>
      </w:r>
      <w:r w:rsidR="00C253CE">
        <w:t xml:space="preserve"> </w:t>
      </w:r>
      <w:r w:rsidR="00A74AEF">
        <w:t>of those that reported chose to report</w:t>
      </w:r>
      <w:r w:rsidR="00C253CE">
        <w:t xml:space="preserve"> via online or electronic file for 2020, compared to</w:t>
      </w:r>
      <w:r w:rsidR="00E852E2">
        <w:t xml:space="preserve"> </w:t>
      </w:r>
      <w:r w:rsidR="00A55559">
        <w:t>38.1%</w:t>
      </w:r>
      <w:r w:rsidR="006F5B44">
        <w:t xml:space="preserve"> </w:t>
      </w:r>
      <w:r w:rsidR="00C253CE">
        <w:t xml:space="preserve">in 2019.  </w:t>
      </w:r>
      <w:r w:rsidR="00CD41CB">
        <w:t>Respondents who choose to respond electronically receive email notifications rather than paper forms in the mail.</w:t>
      </w:r>
    </w:p>
    <w:p w:rsidR="00FC6059" w:rsidRDefault="00FC6059" w14:paraId="7B639D06" w14:textId="77777777">
      <w:pPr>
        <w:pStyle w:val="BodyTextIndent"/>
      </w:pPr>
    </w:p>
    <w:p w:rsidR="00FC6059" w:rsidP="00FC6059" w:rsidRDefault="00FC6059" w14:paraId="378BDA67" w14:textId="77777777">
      <w:pPr>
        <w:pStyle w:val="BodyTextIndent"/>
      </w:pPr>
      <w:r>
        <w:lastRenderedPageBreak/>
        <w:t xml:space="preserve">Internet collection is conducted through the Centurion Internet Reporting System.  This method of data collection reduces the amount of data entry, thus providing a means of cost-effective data retrieval.  In addition, the system’s built-in data checks/edits improve quality of response and reduce the need for telephone follow-up.  No additional software is needed by the respondent. In addition, all data submitted through the Centurion Internet Reporting System are encrypted.  </w:t>
      </w:r>
    </w:p>
    <w:p w:rsidR="00FC6059" w:rsidRDefault="00FC6059" w14:paraId="0B467890" w14:textId="77777777">
      <w:pPr>
        <w:pStyle w:val="BodyTextIndent"/>
      </w:pPr>
    </w:p>
    <w:p w:rsidR="000B11BB" w:rsidP="00CD4BD5" w:rsidRDefault="00CD4BD5" w14:paraId="298BE94E" w14:textId="77777777">
      <w:pPr>
        <w:pStyle w:val="BodyTextIndent"/>
      </w:pPr>
      <w:r>
        <w:t xml:space="preserve">Respondents that do not report electronically receive forms in the mail and can return them via mail or fax.  </w:t>
      </w:r>
      <w:r w:rsidR="00E54170">
        <w:t xml:space="preserve">About 5% of the reporting monthly jurisdictions choose to report via one of these methods and </w:t>
      </w:r>
      <w:r w:rsidR="006F5B44">
        <w:t>18.1%</w:t>
      </w:r>
      <w:r w:rsidR="00E54170">
        <w:t xml:space="preserve"> of annual reporters.</w:t>
      </w:r>
    </w:p>
    <w:p w:rsidR="00164842" w:rsidP="0002407E" w:rsidRDefault="00164842" w14:paraId="778229A1" w14:textId="77777777">
      <w:pPr>
        <w:pStyle w:val="BodyTextIndent"/>
      </w:pPr>
    </w:p>
    <w:p w:rsidR="003048C6" w:rsidRDefault="00164842" w14:paraId="5783EC97" w14:textId="77777777">
      <w:pPr>
        <w:pStyle w:val="BodyTextIndent"/>
      </w:pPr>
      <w:r>
        <w:t xml:space="preserve">We also continuously research web sites that contain information on building and zoning permits and we get data for a few municipalities via their Internet sites.  We use this as a tool for </w:t>
      </w:r>
      <w:r w:rsidR="000B11BB">
        <w:t>nonresponding</w:t>
      </w:r>
      <w:r>
        <w:t xml:space="preserve"> permit offices only, as we do not have the resources to </w:t>
      </w:r>
      <w:r w:rsidR="008027B0">
        <w:t xml:space="preserve">regularly </w:t>
      </w:r>
      <w:r>
        <w:t xml:space="preserve">collect data </w:t>
      </w:r>
      <w:r w:rsidR="008027B0">
        <w:t>in this manner</w:t>
      </w:r>
      <w:r>
        <w:t>.  We have also obtained annual permit data for some jurisdictions from state government offices.</w:t>
      </w:r>
      <w:r w:rsidR="003048C6">
        <w:t xml:space="preserve">  We are also investigating </w:t>
      </w:r>
      <w:r w:rsidR="009C3B2E">
        <w:t>obtaining</w:t>
      </w:r>
      <w:r w:rsidR="003048C6">
        <w:t xml:space="preserve"> data from</w:t>
      </w:r>
      <w:r w:rsidR="00FC6059">
        <w:t xml:space="preserve"> various</w:t>
      </w:r>
      <w:r w:rsidR="003048C6">
        <w:t xml:space="preserve"> local government</w:t>
      </w:r>
      <w:r w:rsidR="00FC6059">
        <w:t>’s</w:t>
      </w:r>
      <w:r w:rsidR="003048C6">
        <w:t xml:space="preserve"> </w:t>
      </w:r>
      <w:r w:rsidR="00FC6059">
        <w:t xml:space="preserve">online electronic databases and data feeds, as well as </w:t>
      </w:r>
      <w:r w:rsidR="003048C6">
        <w:t>from private entities that compil</w:t>
      </w:r>
      <w:r w:rsidR="00FC6059">
        <w:t>e</w:t>
      </w:r>
      <w:r w:rsidR="00901EAD">
        <w:t xml:space="preserve"> building permit information. </w:t>
      </w:r>
    </w:p>
    <w:p w:rsidR="00164842" w:rsidP="00A223C3" w:rsidRDefault="00164842" w14:paraId="7B18344B" w14:textId="77777777">
      <w:pPr>
        <w:rPr>
          <w:b/>
          <w:bCs/>
          <w:sz w:val="24"/>
          <w:szCs w:val="24"/>
        </w:rPr>
      </w:pPr>
    </w:p>
    <w:p w:rsidR="00164842" w:rsidRDefault="00164842" w14:paraId="6A9B2079" w14:textId="77777777">
      <w:pPr>
        <w:numPr>
          <w:ilvl w:val="0"/>
          <w:numId w:val="5"/>
        </w:numPr>
        <w:tabs>
          <w:tab w:val="left" w:pos="720"/>
        </w:tabs>
        <w:rPr>
          <w:b/>
          <w:bCs/>
          <w:sz w:val="24"/>
          <w:szCs w:val="24"/>
          <w:u w:val="single"/>
        </w:rPr>
      </w:pPr>
      <w:r>
        <w:rPr>
          <w:b/>
          <w:bCs/>
          <w:sz w:val="24"/>
          <w:szCs w:val="24"/>
          <w:u w:val="single"/>
        </w:rPr>
        <w:t>Efforts to Identify Duplication</w:t>
      </w:r>
    </w:p>
    <w:p w:rsidR="00164842" w:rsidRDefault="00164842" w14:paraId="5C39AC47" w14:textId="77777777">
      <w:pPr>
        <w:pStyle w:val="BodyTextIn"/>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szCs w:val="24"/>
        </w:rPr>
      </w:pPr>
    </w:p>
    <w:p w:rsidR="002814AE" w:rsidP="002814AE" w:rsidRDefault="002814AE" w14:paraId="2B931655" w14:textId="77777777">
      <w:pPr>
        <w:pStyle w:val="BodyTextIndent"/>
      </w:pPr>
      <w:r w:rsidRPr="002814AE">
        <w:t>Several private firms collect data on the construction industry and request similar data from </w:t>
      </w:r>
      <w:r w:rsidR="008B3070">
        <w:t>selected</w:t>
      </w:r>
      <w:r w:rsidRPr="002814AE">
        <w:t xml:space="preserve"> permit offices.  </w:t>
      </w:r>
      <w:r w:rsidR="00E54170">
        <w:t>A research project is underway to evaluate</w:t>
      </w:r>
      <w:r w:rsidR="009C3B2E">
        <w:t xml:space="preserve"> using this data to su</w:t>
      </w:r>
      <w:r w:rsidR="00E6287C">
        <w:t xml:space="preserve">pplement our data collection </w:t>
      </w:r>
      <w:r w:rsidR="000541BC">
        <w:t>to</w:t>
      </w:r>
      <w:r w:rsidR="009C3B2E">
        <w:t xml:space="preserve"> reduce respondent burden</w:t>
      </w:r>
      <w:r w:rsidR="000541BC">
        <w:t xml:space="preserve"> and improve data quality</w:t>
      </w:r>
      <w:r w:rsidR="00E54170">
        <w:t>.</w:t>
      </w:r>
      <w:r w:rsidR="009C3B2E">
        <w:t xml:space="preserve"> </w:t>
      </w:r>
      <w:r w:rsidR="00101A0E">
        <w:t>T</w:t>
      </w:r>
      <w:r w:rsidR="009C3B2E">
        <w:t>hese data</w:t>
      </w:r>
      <w:r w:rsidR="00E6287C">
        <w:t xml:space="preserve"> </w:t>
      </w:r>
      <w:r w:rsidRPr="002814AE">
        <w:t>do not provide complete or timely</w:t>
      </w:r>
      <w:r w:rsidR="00E6287C">
        <w:t xml:space="preserve"> enough</w:t>
      </w:r>
      <w:r w:rsidRPr="002814AE">
        <w:t xml:space="preserve"> coverage, making it impractical to </w:t>
      </w:r>
      <w:r w:rsidR="00E6287C">
        <w:t xml:space="preserve">solely </w:t>
      </w:r>
      <w:r w:rsidRPr="002814AE">
        <w:t>use the</w:t>
      </w:r>
      <w:r w:rsidR="00E6287C">
        <w:t>se</w:t>
      </w:r>
      <w:r w:rsidRPr="002814AE">
        <w:t xml:space="preserve"> data to provide monthly or annual estimates.</w:t>
      </w:r>
    </w:p>
    <w:p w:rsidRPr="002814AE" w:rsidR="002814AE" w:rsidP="002814AE" w:rsidRDefault="002814AE" w14:paraId="44CC7BFE" w14:textId="77777777">
      <w:pPr>
        <w:pStyle w:val="BodyTextIndent"/>
      </w:pPr>
    </w:p>
    <w:p w:rsidR="00164842" w:rsidRDefault="00164842" w14:paraId="73BD9331" w14:textId="77777777">
      <w:pPr>
        <w:pStyle w:val="BodyTextIndent"/>
      </w:pPr>
      <w:r>
        <w:t>We share the information we collect with state and local government agencies to avoid duplication of data collection efforts and to eliminate additional response burden on local building permit officials for identical or similar information.  We provide these data</w:t>
      </w:r>
      <w:r w:rsidR="00076AEC">
        <w:t>, upon their request,</w:t>
      </w:r>
      <w:r>
        <w:t xml:space="preserve"> at no cost.</w:t>
      </w:r>
    </w:p>
    <w:p w:rsidR="00F80E2A" w:rsidRDefault="00F80E2A" w14:paraId="4AC4A96C" w14:textId="77777777">
      <w:pPr>
        <w:pStyle w:val="BodyTextIndent"/>
      </w:pPr>
    </w:p>
    <w:p w:rsidR="00F80E2A" w:rsidRDefault="00F80E2A" w14:paraId="75A4805A" w14:textId="77777777">
      <w:pPr>
        <w:pStyle w:val="BodyTextIndent"/>
      </w:pPr>
    </w:p>
    <w:p w:rsidR="00164842" w:rsidRDefault="00164842" w14:paraId="42DD0105" w14:textId="77777777">
      <w:pPr>
        <w:ind w:left="1440"/>
        <w:rPr>
          <w:sz w:val="24"/>
        </w:rPr>
      </w:pPr>
    </w:p>
    <w:p w:rsidR="00164842" w:rsidRDefault="00164842" w14:paraId="337CEE44" w14:textId="77777777">
      <w:pPr>
        <w:tabs>
          <w:tab w:val="left" w:pos="720"/>
          <w:tab w:val="left" w:pos="1440"/>
        </w:tabs>
        <w:ind w:left="1440" w:hanging="720"/>
        <w:rPr>
          <w:b/>
          <w:bCs/>
          <w:sz w:val="24"/>
          <w:szCs w:val="24"/>
        </w:rPr>
      </w:pPr>
      <w:r>
        <w:rPr>
          <w:b/>
          <w:bCs/>
          <w:sz w:val="24"/>
          <w:szCs w:val="24"/>
        </w:rPr>
        <w:t>5.</w:t>
      </w:r>
      <w:r>
        <w:rPr>
          <w:b/>
          <w:bCs/>
          <w:sz w:val="24"/>
          <w:szCs w:val="24"/>
        </w:rPr>
        <w:tab/>
      </w:r>
      <w:r>
        <w:rPr>
          <w:b/>
          <w:bCs/>
          <w:sz w:val="24"/>
          <w:szCs w:val="24"/>
          <w:u w:val="single"/>
        </w:rPr>
        <w:t>Minimizing Burden</w:t>
      </w:r>
    </w:p>
    <w:p w:rsidR="00164842" w:rsidRDefault="005E1803" w14:paraId="5ACD6B30" w14:textId="77777777">
      <w:pPr>
        <w:rPr>
          <w:sz w:val="24"/>
          <w:szCs w:val="24"/>
        </w:rPr>
      </w:pPr>
      <w:r>
        <w:rPr>
          <w:sz w:val="24"/>
          <w:szCs w:val="24"/>
        </w:rPr>
        <w:t xml:space="preserve"> </w:t>
      </w:r>
    </w:p>
    <w:p w:rsidR="00164842" w:rsidRDefault="00164842" w14:paraId="1595EB07" w14:textId="77777777">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respondents are state and local building permit officials.  We try to reduce respondent burden by obtaining data from central sources and </w:t>
      </w:r>
      <w:r w:rsidR="005D1C24">
        <w:rPr>
          <w:sz w:val="24"/>
          <w:szCs w:val="24"/>
        </w:rPr>
        <w:t>encouraging</w:t>
      </w:r>
      <w:r>
        <w:rPr>
          <w:sz w:val="24"/>
          <w:szCs w:val="24"/>
        </w:rPr>
        <w:t xml:space="preserve"> the respondents to report electronically</w:t>
      </w:r>
      <w:r w:rsidR="005D1C24">
        <w:rPr>
          <w:sz w:val="24"/>
          <w:szCs w:val="24"/>
        </w:rPr>
        <w:t>.  We also allow respondents to</w:t>
      </w:r>
      <w:r w:rsidR="00162941">
        <w:rPr>
          <w:sz w:val="24"/>
          <w:szCs w:val="24"/>
        </w:rPr>
        <w:t xml:space="preserve"> submit their</w:t>
      </w:r>
      <w:r>
        <w:rPr>
          <w:sz w:val="24"/>
          <w:szCs w:val="24"/>
        </w:rPr>
        <w:t xml:space="preserve"> own </w:t>
      </w:r>
      <w:r w:rsidR="00162941">
        <w:rPr>
          <w:sz w:val="24"/>
          <w:szCs w:val="24"/>
        </w:rPr>
        <w:t>summary reports or listings of permits issued</w:t>
      </w:r>
      <w:r>
        <w:rPr>
          <w:sz w:val="24"/>
          <w:szCs w:val="24"/>
        </w:rPr>
        <w:t xml:space="preserve"> in lieu of the completed survey form</w:t>
      </w:r>
      <w:r w:rsidR="005D1C24">
        <w:rPr>
          <w:sz w:val="24"/>
          <w:szCs w:val="24"/>
        </w:rPr>
        <w:t xml:space="preserve"> if they </w:t>
      </w:r>
      <w:r w:rsidR="00556277">
        <w:rPr>
          <w:sz w:val="24"/>
          <w:szCs w:val="24"/>
        </w:rPr>
        <w:t>choose</w:t>
      </w:r>
      <w:r w:rsidR="005D1C24">
        <w:rPr>
          <w:sz w:val="24"/>
          <w:szCs w:val="24"/>
        </w:rPr>
        <w:t xml:space="preserve"> to</w:t>
      </w:r>
      <w:r>
        <w:rPr>
          <w:sz w:val="24"/>
          <w:szCs w:val="24"/>
        </w:rPr>
        <w:t xml:space="preserve">.  The respondent burden for smaller government offices is </w:t>
      </w:r>
      <w:r w:rsidR="005D1C24">
        <w:rPr>
          <w:sz w:val="24"/>
          <w:szCs w:val="24"/>
        </w:rPr>
        <w:t xml:space="preserve">also </w:t>
      </w:r>
      <w:r>
        <w:rPr>
          <w:sz w:val="24"/>
          <w:szCs w:val="24"/>
        </w:rPr>
        <w:t>minimal because they cover smaller</w:t>
      </w:r>
      <w:r w:rsidR="009D204B">
        <w:rPr>
          <w:sz w:val="24"/>
          <w:szCs w:val="24"/>
        </w:rPr>
        <w:t xml:space="preserve"> areas with lower </w:t>
      </w:r>
      <w:r>
        <w:rPr>
          <w:sz w:val="24"/>
          <w:szCs w:val="24"/>
        </w:rPr>
        <w:t>population</w:t>
      </w:r>
      <w:r w:rsidR="009D204B">
        <w:rPr>
          <w:sz w:val="24"/>
          <w:szCs w:val="24"/>
        </w:rPr>
        <w:t xml:space="preserve">s </w:t>
      </w:r>
      <w:r>
        <w:rPr>
          <w:sz w:val="24"/>
          <w:szCs w:val="24"/>
        </w:rPr>
        <w:t>and issue fewer permits.</w:t>
      </w:r>
      <w:r w:rsidR="00247BD4">
        <w:rPr>
          <w:sz w:val="24"/>
          <w:szCs w:val="24"/>
        </w:rPr>
        <w:t xml:space="preserve">  </w:t>
      </w:r>
    </w:p>
    <w:p w:rsidR="00164842" w:rsidRDefault="00164842" w14:paraId="3366362C" w14:textId="77777777">
      <w:pPr>
        <w:rPr>
          <w:sz w:val="24"/>
          <w:szCs w:val="24"/>
        </w:rPr>
      </w:pPr>
    </w:p>
    <w:p w:rsidR="00164842" w:rsidRDefault="00164842" w14:paraId="73390C86" w14:textId="77777777">
      <w:pPr>
        <w:ind w:left="1440"/>
        <w:rPr>
          <w:sz w:val="24"/>
          <w:szCs w:val="24"/>
        </w:rPr>
      </w:pPr>
      <w:r>
        <w:rPr>
          <w:sz w:val="24"/>
          <w:szCs w:val="24"/>
        </w:rPr>
        <w:lastRenderedPageBreak/>
        <w:t>We provide answers to respondents' frequently asked questions on our web site (</w:t>
      </w:r>
      <w:hyperlink w:history="1" r:id="rId8">
        <w:r>
          <w:rPr>
            <w:sz w:val="24"/>
            <w:szCs w:val="24"/>
            <w:u w:val="single"/>
          </w:rPr>
          <w:t>www.census.gov/per</w:t>
        </w:r>
        <w:r>
          <w:rPr>
            <w:sz w:val="24"/>
            <w:szCs w:val="24"/>
            <w:u w:val="single"/>
          </w:rPr>
          <w:t>m</w:t>
        </w:r>
        <w:r>
          <w:rPr>
            <w:sz w:val="24"/>
            <w:szCs w:val="24"/>
            <w:u w:val="single"/>
          </w:rPr>
          <w:t>itsfaq</w:t>
        </w:r>
      </w:hyperlink>
      <w:r>
        <w:rPr>
          <w:sz w:val="24"/>
          <w:szCs w:val="24"/>
        </w:rPr>
        <w:t xml:space="preserve">) and </w:t>
      </w:r>
      <w:r w:rsidR="003645BA">
        <w:rPr>
          <w:sz w:val="24"/>
          <w:szCs w:val="24"/>
        </w:rPr>
        <w:t>we</w:t>
      </w:r>
      <w:r>
        <w:rPr>
          <w:sz w:val="24"/>
          <w:szCs w:val="24"/>
        </w:rPr>
        <w:t xml:space="preserve"> provide a toll-free number where respondents can call with questions about the survey or about how to report.</w:t>
      </w:r>
      <w:r w:rsidR="003645BA">
        <w:rPr>
          <w:sz w:val="24"/>
          <w:szCs w:val="24"/>
        </w:rPr>
        <w:t xml:space="preserve">  The online version of the questionnaire includes access to help for each question.</w:t>
      </w:r>
    </w:p>
    <w:p w:rsidR="00164842" w:rsidRDefault="00164842" w14:paraId="6EA26903" w14:textId="77777777">
      <w:pPr>
        <w:ind w:left="1440"/>
        <w:rPr>
          <w:sz w:val="24"/>
          <w:szCs w:val="24"/>
        </w:rPr>
      </w:pPr>
    </w:p>
    <w:p w:rsidR="00164842" w:rsidRDefault="00164842" w14:paraId="67A38D80" w14:textId="77777777">
      <w:pPr>
        <w:pStyle w:val="BodyTextIndent3"/>
        <w:rPr>
          <w:color w:val="auto"/>
        </w:rPr>
      </w:pPr>
      <w:r>
        <w:rPr>
          <w:color w:val="auto"/>
        </w:rPr>
        <w:t xml:space="preserve">Respondents who have missed </w:t>
      </w:r>
      <w:r w:rsidR="00190572">
        <w:rPr>
          <w:color w:val="auto"/>
        </w:rPr>
        <w:t>less than five</w:t>
      </w:r>
      <w:r>
        <w:rPr>
          <w:color w:val="auto"/>
        </w:rPr>
        <w:t xml:space="preserve"> months of reporting during the year receive a second request</w:t>
      </w:r>
      <w:r w:rsidR="00190572">
        <w:rPr>
          <w:color w:val="auto"/>
        </w:rPr>
        <w:t xml:space="preserve"> for each month missed</w:t>
      </w:r>
      <w:r>
        <w:rPr>
          <w:color w:val="auto"/>
        </w:rPr>
        <w:t xml:space="preserve"> at the end of the year.  If the respondent has missed</w:t>
      </w:r>
      <w:r w:rsidR="00190572">
        <w:rPr>
          <w:color w:val="auto"/>
        </w:rPr>
        <w:t xml:space="preserve"> </w:t>
      </w:r>
      <w:r>
        <w:rPr>
          <w:color w:val="auto"/>
        </w:rPr>
        <w:t xml:space="preserve">more than five </w:t>
      </w:r>
      <w:r w:rsidR="00190572">
        <w:rPr>
          <w:color w:val="auto"/>
        </w:rPr>
        <w:t>months of reporting</w:t>
      </w:r>
      <w:r>
        <w:rPr>
          <w:color w:val="auto"/>
        </w:rPr>
        <w:t>, annual totals are requested to reduce the burden of completing forms for every missing month.</w:t>
      </w:r>
    </w:p>
    <w:p w:rsidR="00164842" w:rsidRDefault="00164842" w14:paraId="0878599F" w14:textId="77777777">
      <w:pPr>
        <w:tabs>
          <w:tab w:val="left" w:pos="720"/>
          <w:tab w:val="left" w:pos="1440"/>
        </w:tabs>
        <w:ind w:left="1440" w:hanging="720"/>
        <w:rPr>
          <w:b/>
          <w:bCs/>
          <w:sz w:val="24"/>
          <w:szCs w:val="24"/>
        </w:rPr>
      </w:pPr>
    </w:p>
    <w:p w:rsidR="00164842" w:rsidRDefault="00164842" w14:paraId="0C12CE61" w14:textId="77777777">
      <w:pPr>
        <w:tabs>
          <w:tab w:val="left" w:pos="720"/>
          <w:tab w:val="left" w:pos="1440"/>
        </w:tabs>
        <w:ind w:left="1440" w:hanging="720"/>
        <w:rPr>
          <w:b/>
          <w:bCs/>
          <w:sz w:val="24"/>
          <w:szCs w:val="24"/>
        </w:rPr>
      </w:pPr>
      <w:r>
        <w:rPr>
          <w:b/>
          <w:bCs/>
          <w:sz w:val="24"/>
          <w:szCs w:val="24"/>
        </w:rPr>
        <w:t>6.</w:t>
      </w:r>
      <w:r>
        <w:rPr>
          <w:b/>
          <w:bCs/>
          <w:sz w:val="24"/>
          <w:szCs w:val="24"/>
        </w:rPr>
        <w:tab/>
      </w:r>
      <w:r>
        <w:rPr>
          <w:b/>
          <w:bCs/>
          <w:sz w:val="24"/>
          <w:szCs w:val="24"/>
          <w:u w:val="single"/>
        </w:rPr>
        <w:t>Consequences of Less Frequent Collection</w:t>
      </w:r>
    </w:p>
    <w:p w:rsidR="00164842" w:rsidRDefault="00164842" w14:paraId="488419C2" w14:textId="77777777">
      <w:pPr>
        <w:rPr>
          <w:sz w:val="24"/>
          <w:szCs w:val="24"/>
        </w:rPr>
      </w:pPr>
    </w:p>
    <w:p w:rsidR="00164842" w:rsidP="00556277" w:rsidRDefault="00164842" w14:paraId="0EDCFC00" w14:textId="77777777">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Less frequent collection </w:t>
      </w:r>
      <w:r w:rsidR="008027B0">
        <w:rPr>
          <w:sz w:val="24"/>
          <w:szCs w:val="24"/>
        </w:rPr>
        <w:t xml:space="preserve">would </w:t>
      </w:r>
      <w:r>
        <w:rPr>
          <w:sz w:val="24"/>
          <w:szCs w:val="24"/>
        </w:rPr>
        <w:t xml:space="preserve">adversely affect estimates of housing </w:t>
      </w:r>
      <w:r w:rsidR="00EA0CFB">
        <w:rPr>
          <w:sz w:val="24"/>
          <w:szCs w:val="24"/>
        </w:rPr>
        <w:t>units authorized, started, completed, and sold</w:t>
      </w:r>
      <w:r>
        <w:rPr>
          <w:sz w:val="24"/>
          <w:szCs w:val="24"/>
        </w:rPr>
        <w:t xml:space="preserve">, and the index of leading economic indicators.  All are monthly series.  Many national policies, decisions, and analyses are formulated and updated frequently using information collected in the survey.  If the survey was conducted less frequently, the estimates would be quickly outdated and of much less value to the public and private sector data users.  Estimates for a calendar month are released to the public on the twelfth workday of the following month.  </w:t>
      </w:r>
    </w:p>
    <w:p w:rsidR="00556277" w:rsidP="00556277" w:rsidRDefault="00556277" w14:paraId="4EBC3B47" w14:textId="77777777">
      <w:pPr>
        <w:ind w:left="1440"/>
        <w:rPr>
          <w:sz w:val="24"/>
          <w:szCs w:val="24"/>
        </w:rPr>
      </w:pPr>
    </w:p>
    <w:p w:rsidR="00164842" w:rsidP="006F0B32" w:rsidRDefault="00164842" w14:paraId="263B043C" w14:textId="77777777">
      <w:pPr>
        <w:pStyle w:val="BodyTextIndent"/>
      </w:pPr>
      <w:r>
        <w:t>Annual data are collected between the months of January and April and</w:t>
      </w:r>
      <w:r w:rsidR="006F0B32">
        <w:t xml:space="preserve"> annual totals are </w:t>
      </w:r>
      <w:r>
        <w:t xml:space="preserve">released to the public </w:t>
      </w:r>
      <w:r w:rsidR="00FB0989">
        <w:t xml:space="preserve">on the first working day </w:t>
      </w:r>
      <w:r>
        <w:t>in May.  These</w:t>
      </w:r>
      <w:r w:rsidR="006F0B32">
        <w:t xml:space="preserve"> annual</w:t>
      </w:r>
      <w:r w:rsidR="00FB610E">
        <w:t xml:space="preserve"> </w:t>
      </w:r>
      <w:r>
        <w:t xml:space="preserve">data are essential for the </w:t>
      </w:r>
      <w:r w:rsidR="006F0B32">
        <w:t>benchmarking</w:t>
      </w:r>
      <w:r>
        <w:t xml:space="preserve"> of </w:t>
      </w:r>
      <w:r w:rsidR="006F0B32">
        <w:t>revised</w:t>
      </w:r>
      <w:r>
        <w:t xml:space="preserve"> monthly </w:t>
      </w:r>
      <w:r w:rsidR="006F0B32">
        <w:t xml:space="preserve">data, which </w:t>
      </w:r>
      <w:r w:rsidR="009277D9">
        <w:t>are</w:t>
      </w:r>
      <w:r w:rsidR="004B2602">
        <w:t xml:space="preserve"> published with the annual totals on the first working day in May.</w:t>
      </w:r>
      <w:r w:rsidR="009277D9">
        <w:t xml:space="preserve">  </w:t>
      </w:r>
      <w:r w:rsidR="00B23477">
        <w:t>Additionally, t</w:t>
      </w:r>
      <w:r w:rsidR="009277D9">
        <w:t>he Census Bureau uses the detailed geographic data in the development of annual population estimates.</w:t>
      </w:r>
    </w:p>
    <w:p w:rsidR="006F0B32" w:rsidP="006F0B32" w:rsidRDefault="006F0B32" w14:paraId="411E4BC9" w14:textId="77777777">
      <w:pPr>
        <w:pStyle w:val="BodyTextIndent"/>
      </w:pPr>
    </w:p>
    <w:p w:rsidR="00164842" w:rsidRDefault="00164842" w14:paraId="424E3DA1" w14:textId="77777777">
      <w:pPr>
        <w:tabs>
          <w:tab w:val="left" w:pos="720"/>
          <w:tab w:val="left" w:pos="1440"/>
        </w:tabs>
        <w:ind w:left="1440" w:hanging="720"/>
        <w:rPr>
          <w:b/>
          <w:bCs/>
          <w:sz w:val="24"/>
          <w:szCs w:val="24"/>
        </w:rPr>
      </w:pPr>
      <w:r>
        <w:rPr>
          <w:b/>
          <w:bCs/>
          <w:sz w:val="24"/>
          <w:szCs w:val="24"/>
        </w:rPr>
        <w:t>7.</w:t>
      </w:r>
      <w:r>
        <w:rPr>
          <w:b/>
          <w:bCs/>
          <w:sz w:val="24"/>
          <w:szCs w:val="24"/>
        </w:rPr>
        <w:tab/>
      </w:r>
      <w:r>
        <w:rPr>
          <w:b/>
          <w:bCs/>
          <w:sz w:val="24"/>
          <w:szCs w:val="24"/>
          <w:u w:val="single"/>
        </w:rPr>
        <w:t>Special Circumstances</w:t>
      </w:r>
    </w:p>
    <w:p w:rsidR="00164842" w:rsidRDefault="00164842" w14:paraId="4E9F1AA3" w14:textId="77777777">
      <w:pPr>
        <w:rPr>
          <w:sz w:val="24"/>
          <w:szCs w:val="24"/>
        </w:rPr>
      </w:pPr>
    </w:p>
    <w:p w:rsidR="00164842" w:rsidRDefault="00164842" w14:paraId="48CDAE30" w14:textId="77777777">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collection of th</w:t>
      </w:r>
      <w:r w:rsidR="002041DF">
        <w:rPr>
          <w:sz w:val="24"/>
          <w:szCs w:val="24"/>
        </w:rPr>
        <w:t xml:space="preserve">ese data is consistent with </w:t>
      </w:r>
      <w:r>
        <w:rPr>
          <w:sz w:val="24"/>
          <w:szCs w:val="24"/>
        </w:rPr>
        <w:t>OMB guidelines</w:t>
      </w:r>
      <w:r w:rsidR="002041DF">
        <w:rPr>
          <w:sz w:val="24"/>
          <w:szCs w:val="24"/>
        </w:rPr>
        <w:t>,</w:t>
      </w:r>
      <w:r>
        <w:rPr>
          <w:sz w:val="24"/>
          <w:szCs w:val="24"/>
        </w:rPr>
        <w:t xml:space="preserve"> with </w:t>
      </w:r>
      <w:r w:rsidR="003127AD">
        <w:rPr>
          <w:sz w:val="24"/>
          <w:szCs w:val="24"/>
        </w:rPr>
        <w:t>minimal exceptions.  This collection re</w:t>
      </w:r>
      <w:r w:rsidR="002041DF">
        <w:rPr>
          <w:sz w:val="24"/>
          <w:szCs w:val="24"/>
        </w:rPr>
        <w:t>quests</w:t>
      </w:r>
      <w:r w:rsidR="003127AD">
        <w:rPr>
          <w:sz w:val="24"/>
          <w:szCs w:val="24"/>
        </w:rPr>
        <w:t xml:space="preserve"> </w:t>
      </w:r>
      <w:r w:rsidR="002041DF">
        <w:rPr>
          <w:sz w:val="24"/>
          <w:szCs w:val="24"/>
        </w:rPr>
        <w:t xml:space="preserve">respondents </w:t>
      </w:r>
      <w:r>
        <w:rPr>
          <w:sz w:val="24"/>
          <w:szCs w:val="24"/>
        </w:rPr>
        <w:t>report information to the agency more ofte</w:t>
      </w:r>
      <w:r w:rsidR="003127AD">
        <w:rPr>
          <w:sz w:val="24"/>
          <w:szCs w:val="24"/>
        </w:rPr>
        <w:t>n than quarterly.  This monthly survey provides data used to produce two monthly Principal</w:t>
      </w:r>
      <w:r w:rsidR="003226E8">
        <w:rPr>
          <w:sz w:val="24"/>
          <w:szCs w:val="24"/>
        </w:rPr>
        <w:t xml:space="preserve"> Federal</w:t>
      </w:r>
      <w:r w:rsidR="003127AD">
        <w:rPr>
          <w:sz w:val="24"/>
          <w:szCs w:val="24"/>
        </w:rPr>
        <w:t xml:space="preserve"> Economic Indicators, New Residential Construction and New Residential Sales. Additionally, respondents are requested to prepare </w:t>
      </w:r>
      <w:r>
        <w:rPr>
          <w:sz w:val="24"/>
          <w:szCs w:val="24"/>
        </w:rPr>
        <w:t>written response</w:t>
      </w:r>
      <w:r w:rsidR="003127AD">
        <w:rPr>
          <w:sz w:val="24"/>
          <w:szCs w:val="24"/>
        </w:rPr>
        <w:t>s</w:t>
      </w:r>
      <w:r>
        <w:rPr>
          <w:sz w:val="24"/>
          <w:szCs w:val="24"/>
        </w:rPr>
        <w:t xml:space="preserve"> to a collection of information in fewer t</w:t>
      </w:r>
      <w:r w:rsidR="003127AD">
        <w:rPr>
          <w:sz w:val="24"/>
          <w:szCs w:val="24"/>
        </w:rPr>
        <w:t>han 30 days.  Responses are requested within two weeks after receipt of the request</w:t>
      </w:r>
      <w:r w:rsidR="002041DF">
        <w:rPr>
          <w:sz w:val="24"/>
          <w:szCs w:val="24"/>
        </w:rPr>
        <w:t xml:space="preserve">.  This </w:t>
      </w:r>
      <w:r w:rsidR="003127AD">
        <w:rPr>
          <w:sz w:val="24"/>
          <w:szCs w:val="24"/>
        </w:rPr>
        <w:t xml:space="preserve">is necessary </w:t>
      </w:r>
      <w:r w:rsidR="003226E8">
        <w:rPr>
          <w:sz w:val="24"/>
          <w:szCs w:val="24"/>
        </w:rPr>
        <w:t xml:space="preserve">to provide timely statistics on the </w:t>
      </w:r>
      <w:r w:rsidR="002041DF">
        <w:rPr>
          <w:sz w:val="24"/>
          <w:szCs w:val="24"/>
        </w:rPr>
        <w:t>Construction sector,</w:t>
      </w:r>
      <w:r w:rsidR="003226E8">
        <w:rPr>
          <w:sz w:val="24"/>
          <w:szCs w:val="24"/>
        </w:rPr>
        <w:t xml:space="preserve"> and </w:t>
      </w:r>
      <w:r w:rsidR="003127AD">
        <w:rPr>
          <w:sz w:val="24"/>
          <w:szCs w:val="24"/>
        </w:rPr>
        <w:t>for timely publication of the above mentioned</w:t>
      </w:r>
      <w:r w:rsidR="003226E8">
        <w:rPr>
          <w:sz w:val="24"/>
          <w:szCs w:val="24"/>
        </w:rPr>
        <w:t xml:space="preserve"> monthly Principal Federal Economic Indicators</w:t>
      </w:r>
      <w:r>
        <w:rPr>
          <w:sz w:val="24"/>
          <w:szCs w:val="24"/>
        </w:rPr>
        <w:t>.</w:t>
      </w:r>
    </w:p>
    <w:p w:rsidR="00164842" w:rsidRDefault="00164842" w14:paraId="15A05283" w14:textId="77777777">
      <w:pPr>
        <w:rPr>
          <w:sz w:val="24"/>
          <w:szCs w:val="24"/>
        </w:rPr>
      </w:pPr>
    </w:p>
    <w:p w:rsidR="00164842" w:rsidRDefault="00164842" w14:paraId="428A34B8" w14:textId="77777777">
      <w:pPr>
        <w:numPr>
          <w:ilvl w:val="0"/>
          <w:numId w:val="8"/>
        </w:numPr>
        <w:tabs>
          <w:tab w:val="left" w:pos="720"/>
        </w:tabs>
        <w:rPr>
          <w:b/>
          <w:bCs/>
          <w:sz w:val="24"/>
          <w:szCs w:val="24"/>
          <w:u w:val="single"/>
        </w:rPr>
      </w:pPr>
      <w:r>
        <w:rPr>
          <w:b/>
          <w:bCs/>
          <w:sz w:val="24"/>
          <w:szCs w:val="24"/>
          <w:u w:val="single"/>
        </w:rPr>
        <w:t>Consultations Outside the Agency</w:t>
      </w:r>
    </w:p>
    <w:p w:rsidR="00164842" w:rsidRDefault="00164842" w14:paraId="4B155B79" w14:textId="77777777">
      <w:pPr>
        <w:pStyle w:val="BodyTextIn"/>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szCs w:val="24"/>
        </w:rPr>
      </w:pPr>
    </w:p>
    <w:p w:rsidR="00EA6F22" w:rsidP="009277D9" w:rsidRDefault="00EA6F22" w14:paraId="0D6308A0" w14:textId="77777777">
      <w:pPr>
        <w:ind w:left="1440"/>
        <w:rPr>
          <w:sz w:val="24"/>
          <w:szCs w:val="24"/>
        </w:rPr>
      </w:pPr>
      <w:r w:rsidRPr="00DE285C">
        <w:rPr>
          <w:sz w:val="24"/>
          <w:szCs w:val="24"/>
        </w:rPr>
        <w:t xml:space="preserve">We consulted with data users outside the agency to obtain comments regarding the </w:t>
      </w:r>
      <w:r>
        <w:rPr>
          <w:sz w:val="24"/>
          <w:szCs w:val="24"/>
        </w:rPr>
        <w:t>BPS data and methods</w:t>
      </w:r>
      <w:r w:rsidRPr="00DE285C">
        <w:rPr>
          <w:sz w:val="24"/>
          <w:szCs w:val="24"/>
        </w:rPr>
        <w:t>.</w:t>
      </w:r>
      <w:r w:rsidRPr="009277D9">
        <w:rPr>
          <w:sz w:val="24"/>
          <w:szCs w:val="24"/>
        </w:rPr>
        <w:t xml:space="preserve">  </w:t>
      </w:r>
      <w:r w:rsidRPr="00DE285C">
        <w:rPr>
          <w:sz w:val="24"/>
          <w:szCs w:val="24"/>
        </w:rPr>
        <w:t xml:space="preserve">The Census Bureau </w:t>
      </w:r>
      <w:r w:rsidR="009277D9">
        <w:rPr>
          <w:sz w:val="24"/>
          <w:szCs w:val="24"/>
        </w:rPr>
        <w:t>communicates</w:t>
      </w:r>
      <w:r w:rsidRPr="00DE285C" w:rsidR="009277D9">
        <w:rPr>
          <w:sz w:val="24"/>
          <w:szCs w:val="24"/>
        </w:rPr>
        <w:t xml:space="preserve"> </w:t>
      </w:r>
      <w:r w:rsidRPr="00DE285C">
        <w:rPr>
          <w:sz w:val="24"/>
          <w:szCs w:val="24"/>
        </w:rPr>
        <w:t>regularly with data users from the Bureau of Economic Analysis (BEA)</w:t>
      </w:r>
      <w:r w:rsidR="009277D9">
        <w:rPr>
          <w:sz w:val="24"/>
          <w:szCs w:val="24"/>
        </w:rPr>
        <w:t>,</w:t>
      </w:r>
      <w:r w:rsidRPr="00DE285C">
        <w:rPr>
          <w:sz w:val="24"/>
          <w:szCs w:val="24"/>
        </w:rPr>
        <w:t xml:space="preserve"> the National Association of </w:t>
      </w:r>
      <w:r w:rsidRPr="00DE285C">
        <w:rPr>
          <w:sz w:val="24"/>
          <w:szCs w:val="24"/>
        </w:rPr>
        <w:lastRenderedPageBreak/>
        <w:t>Home Builders (NAHB)</w:t>
      </w:r>
      <w:r w:rsidR="009277D9">
        <w:rPr>
          <w:sz w:val="24"/>
          <w:szCs w:val="24"/>
        </w:rPr>
        <w:t>, the Department of Housing and Urban Development (</w:t>
      </w:r>
      <w:r w:rsidRPr="00DE285C" w:rsidR="009277D9">
        <w:rPr>
          <w:sz w:val="24"/>
          <w:szCs w:val="24"/>
        </w:rPr>
        <w:t>HUD</w:t>
      </w:r>
      <w:r w:rsidR="009277D9">
        <w:rPr>
          <w:sz w:val="24"/>
          <w:szCs w:val="24"/>
        </w:rPr>
        <w:t xml:space="preserve">), and </w:t>
      </w:r>
      <w:r w:rsidRPr="00DE285C" w:rsidR="009277D9">
        <w:rPr>
          <w:sz w:val="24"/>
          <w:szCs w:val="24"/>
        </w:rPr>
        <w:t>the Harvard University Joint Center for Housing Studies.</w:t>
      </w:r>
      <w:r w:rsidRPr="00DE285C">
        <w:rPr>
          <w:sz w:val="24"/>
          <w:szCs w:val="24"/>
        </w:rPr>
        <w:t xml:space="preserve">  The</w:t>
      </w:r>
      <w:r>
        <w:rPr>
          <w:sz w:val="24"/>
          <w:szCs w:val="24"/>
        </w:rPr>
        <w:t xml:space="preserve">se </w:t>
      </w:r>
      <w:r w:rsidRPr="00DE285C">
        <w:rPr>
          <w:sz w:val="24"/>
          <w:szCs w:val="24"/>
        </w:rPr>
        <w:t>da</w:t>
      </w:r>
      <w:r>
        <w:rPr>
          <w:sz w:val="24"/>
          <w:szCs w:val="24"/>
        </w:rPr>
        <w:t>t</w:t>
      </w:r>
      <w:r w:rsidRPr="00DE285C">
        <w:rPr>
          <w:sz w:val="24"/>
          <w:szCs w:val="24"/>
        </w:rPr>
        <w:t xml:space="preserve">a users suggested no </w:t>
      </w:r>
      <w:r>
        <w:rPr>
          <w:sz w:val="24"/>
          <w:szCs w:val="24"/>
        </w:rPr>
        <w:t>changes to the questionnaire or data collection</w:t>
      </w:r>
      <w:r w:rsidRPr="00DE285C">
        <w:rPr>
          <w:sz w:val="24"/>
          <w:szCs w:val="24"/>
        </w:rPr>
        <w:t xml:space="preserve">. </w:t>
      </w:r>
      <w:r>
        <w:rPr>
          <w:sz w:val="24"/>
          <w:szCs w:val="24"/>
        </w:rPr>
        <w:t>These c</w:t>
      </w:r>
      <w:r w:rsidRPr="00032CEB">
        <w:rPr>
          <w:sz w:val="24"/>
          <w:szCs w:val="24"/>
        </w:rPr>
        <w:t>onsultations were for the purpose of receiving individual opinions and not for the purpose of forming a group opinion.</w:t>
      </w:r>
    </w:p>
    <w:p w:rsidRPr="00032CEB" w:rsidR="000927EB" w:rsidP="009277D9" w:rsidRDefault="000927EB" w14:paraId="2B4EA989" w14:textId="77777777">
      <w:pPr>
        <w:ind w:left="1440"/>
        <w:rPr>
          <w:sz w:val="24"/>
          <w:szCs w:val="24"/>
        </w:rPr>
      </w:pPr>
    </w:p>
    <w:p w:rsidR="002E170E" w:rsidP="002E170E" w:rsidRDefault="001D0C29" w14:paraId="03CAA438" w14:textId="77777777">
      <w:pPr>
        <w:tabs>
          <w:tab w:val="left" w:pos="720"/>
          <w:tab w:val="left" w:pos="1440"/>
        </w:tabs>
        <w:ind w:left="1440" w:hanging="1440"/>
        <w:rPr>
          <w:sz w:val="24"/>
        </w:rPr>
      </w:pPr>
      <w:r>
        <w:rPr>
          <w:sz w:val="24"/>
        </w:rPr>
        <w:tab/>
      </w:r>
      <w:r>
        <w:rPr>
          <w:sz w:val="24"/>
        </w:rPr>
        <w:tab/>
      </w:r>
      <w:r w:rsidRPr="001D0C29">
        <w:rPr>
          <w:sz w:val="24"/>
        </w:rPr>
        <w:t>We published a notice in the Federal Register on May 7, 2021 (Vol. 86, pages 24584-24585) inviting public comments on our plans to submit this request.  We received a letter of support from the Bureau of Economic Analysis (BEA).   BEA strongly supports this data collection because these data are very important in preparing estimates for key components of BEA’s economic statistics.  (See Attachment B.)</w:t>
      </w:r>
    </w:p>
    <w:p w:rsidR="002E170E" w:rsidP="002E170E" w:rsidRDefault="002E170E" w14:paraId="100ABBB5" w14:textId="77777777">
      <w:pPr>
        <w:tabs>
          <w:tab w:val="left" w:pos="720"/>
          <w:tab w:val="left" w:pos="1440"/>
        </w:tabs>
        <w:ind w:left="1440" w:hanging="1440"/>
        <w:rPr>
          <w:sz w:val="24"/>
        </w:rPr>
      </w:pPr>
    </w:p>
    <w:p w:rsidR="00164842" w:rsidP="002E170E" w:rsidRDefault="002E170E" w14:paraId="06CFCD8C" w14:textId="77777777">
      <w:pPr>
        <w:tabs>
          <w:tab w:val="left" w:pos="720"/>
          <w:tab w:val="left" w:pos="1440"/>
        </w:tabs>
        <w:ind w:left="1440" w:hanging="1440"/>
        <w:rPr>
          <w:sz w:val="24"/>
        </w:rPr>
      </w:pPr>
      <w:r>
        <w:rPr>
          <w:sz w:val="24"/>
        </w:rPr>
        <w:tab/>
      </w:r>
      <w:r>
        <w:rPr>
          <w:sz w:val="24"/>
        </w:rPr>
        <w:tab/>
      </w:r>
      <w:r w:rsidRPr="001D0C29" w:rsidR="001D0C29">
        <w:rPr>
          <w:sz w:val="24"/>
        </w:rPr>
        <w:t xml:space="preserve">A second anonymous comment </w:t>
      </w:r>
      <w:r>
        <w:rPr>
          <w:sz w:val="24"/>
        </w:rPr>
        <w:t xml:space="preserve">was received which </w:t>
      </w:r>
      <w:r w:rsidRPr="002E170E">
        <w:rPr>
          <w:sz w:val="24"/>
        </w:rPr>
        <w:t xml:space="preserve">opposed the federal government collecting the data and </w:t>
      </w:r>
      <w:r>
        <w:rPr>
          <w:sz w:val="24"/>
        </w:rPr>
        <w:t xml:space="preserve">suggested that </w:t>
      </w:r>
      <w:r w:rsidRPr="002E170E">
        <w:rPr>
          <w:sz w:val="24"/>
        </w:rPr>
        <w:t xml:space="preserve">each state should individually provide the data </w:t>
      </w:r>
      <w:r>
        <w:rPr>
          <w:sz w:val="24"/>
        </w:rPr>
        <w:t>f</w:t>
      </w:r>
      <w:r w:rsidRPr="002E170E">
        <w:rPr>
          <w:sz w:val="24"/>
        </w:rPr>
        <w:t xml:space="preserve">or their state.  The Census Bureau does currently work with several states that aggregate the data themselves </w:t>
      </w:r>
      <w:proofErr w:type="gramStart"/>
      <w:r w:rsidRPr="002E170E">
        <w:rPr>
          <w:sz w:val="24"/>
        </w:rPr>
        <w:t>in order to</w:t>
      </w:r>
      <w:proofErr w:type="gramEnd"/>
      <w:r w:rsidRPr="002E170E">
        <w:rPr>
          <w:sz w:val="24"/>
        </w:rPr>
        <w:t xml:space="preserve"> reduce respondent burden and obtain more complete data.  All states do not aggregate the data themselves and many rely on the Census Bureau’s estimates for their state.  Aggregating the data on a national level in a consistent and standard way provides value for national level estimates such as population statistics and Gross Domestic Product.  </w:t>
      </w:r>
    </w:p>
    <w:p w:rsidR="001D0C29" w:rsidRDefault="001D0C29" w14:paraId="6D0D2F93" w14:textId="77777777">
      <w:pPr>
        <w:tabs>
          <w:tab w:val="left" w:pos="720"/>
          <w:tab w:val="left" w:pos="1440"/>
        </w:tabs>
        <w:ind w:left="1440" w:hanging="1440"/>
        <w:rPr>
          <w:b/>
          <w:bCs/>
          <w:sz w:val="24"/>
          <w:szCs w:val="24"/>
        </w:rPr>
      </w:pPr>
    </w:p>
    <w:p w:rsidR="00164842" w:rsidRDefault="00164842" w14:paraId="2DE711B1" w14:textId="77777777">
      <w:pPr>
        <w:tabs>
          <w:tab w:val="left" w:pos="720"/>
          <w:tab w:val="left" w:pos="1440"/>
        </w:tabs>
        <w:ind w:left="1440" w:hanging="1440"/>
        <w:rPr>
          <w:b/>
          <w:bCs/>
          <w:sz w:val="24"/>
          <w:szCs w:val="24"/>
        </w:rPr>
      </w:pPr>
      <w:r>
        <w:rPr>
          <w:b/>
          <w:bCs/>
          <w:sz w:val="24"/>
          <w:szCs w:val="24"/>
        </w:rPr>
        <w:tab/>
        <w:t>9.</w:t>
      </w:r>
      <w:r>
        <w:rPr>
          <w:b/>
          <w:bCs/>
          <w:sz w:val="24"/>
          <w:szCs w:val="24"/>
        </w:rPr>
        <w:tab/>
      </w:r>
      <w:r>
        <w:rPr>
          <w:b/>
          <w:bCs/>
          <w:sz w:val="24"/>
          <w:szCs w:val="24"/>
          <w:u w:val="single"/>
        </w:rPr>
        <w:t>Paying Respondents</w:t>
      </w:r>
    </w:p>
    <w:p w:rsidR="00164842" w:rsidRDefault="00164842" w14:paraId="149E6D60" w14:textId="77777777">
      <w:pPr>
        <w:rPr>
          <w:sz w:val="24"/>
          <w:szCs w:val="24"/>
        </w:rPr>
      </w:pPr>
      <w:r>
        <w:rPr>
          <w:sz w:val="24"/>
          <w:szCs w:val="24"/>
        </w:rPr>
        <w:tab/>
      </w:r>
    </w:p>
    <w:p w:rsidR="00164842" w:rsidRDefault="00164842" w14:paraId="1CD6A696" w14:textId="77777777">
      <w:pPr>
        <w:tabs>
          <w:tab w:val="left" w:pos="720"/>
          <w:tab w:val="left" w:pos="1440"/>
        </w:tabs>
        <w:ind w:left="1440" w:hanging="1440"/>
        <w:rPr>
          <w:sz w:val="24"/>
          <w:szCs w:val="24"/>
        </w:rPr>
      </w:pPr>
      <w:r>
        <w:rPr>
          <w:sz w:val="24"/>
          <w:szCs w:val="24"/>
        </w:rPr>
        <w:tab/>
      </w:r>
      <w:r>
        <w:rPr>
          <w:sz w:val="24"/>
          <w:szCs w:val="24"/>
        </w:rPr>
        <w:tab/>
        <w:t>The Census Bureau does not pay respondents nor provide gifts in return for complying with the survey.</w:t>
      </w:r>
    </w:p>
    <w:p w:rsidR="00164842" w:rsidRDefault="00164842" w14:paraId="71C1907F" w14:textId="77777777">
      <w:pPr>
        <w:rPr>
          <w:sz w:val="24"/>
          <w:szCs w:val="24"/>
        </w:rPr>
      </w:pPr>
    </w:p>
    <w:p w:rsidR="00164842" w:rsidRDefault="00164842" w14:paraId="29D14755" w14:textId="77777777">
      <w:pPr>
        <w:rPr>
          <w:sz w:val="24"/>
          <w:szCs w:val="24"/>
        </w:rPr>
        <w:sectPr w:rsidR="00164842" w:rsidSect="00F80E2A">
          <w:headerReference w:type="default" r:id="rId9"/>
          <w:footnotePr>
            <w:numRestart w:val="eachPage"/>
          </w:footnotePr>
          <w:endnotePr>
            <w:numFmt w:val="decimal"/>
          </w:endnotePr>
          <w:type w:val="continuous"/>
          <w:pgSz w:w="12240" w:h="15840"/>
          <w:pgMar w:top="1440" w:right="1440" w:bottom="1350" w:left="1440" w:header="1440" w:footer="1440" w:gutter="0"/>
          <w:cols w:space="720"/>
          <w:titlePg/>
          <w:docGrid w:linePitch="272"/>
        </w:sectPr>
      </w:pPr>
    </w:p>
    <w:p w:rsidR="00164842" w:rsidRDefault="00164842" w14:paraId="5CAA50A2" w14:textId="77777777">
      <w:pPr>
        <w:pStyle w:val="Level1"/>
        <w:tabs>
          <w:tab w:val="left" w:pos="720"/>
        </w:tabs>
        <w:jc w:val="left"/>
        <w:rPr>
          <w:b/>
          <w:bCs/>
          <w:u w:val="single"/>
        </w:rPr>
      </w:pPr>
      <w:r>
        <w:rPr>
          <w:b/>
          <w:bCs/>
        </w:rPr>
        <w:t>10.</w:t>
      </w:r>
      <w:r>
        <w:rPr>
          <w:b/>
          <w:bCs/>
        </w:rPr>
        <w:tab/>
      </w:r>
      <w:r>
        <w:rPr>
          <w:b/>
          <w:bCs/>
          <w:u w:val="single"/>
        </w:rPr>
        <w:t>Assurance of Confidentiality</w:t>
      </w:r>
    </w:p>
    <w:p w:rsidR="00164842" w:rsidRDefault="00164842" w14:paraId="0CE43F01" w14:textId="77777777">
      <w:pPr>
        <w:spacing w:line="2" w:lineRule="exact"/>
        <w:rPr>
          <w:sz w:val="24"/>
          <w:szCs w:val="24"/>
        </w:rPr>
      </w:pPr>
    </w:p>
    <w:p w:rsidR="00164842" w:rsidRDefault="00164842" w14:paraId="2B51CF46" w14:textId="77777777">
      <w:pPr>
        <w:numPr>
          <w:ilvl w:val="12"/>
          <w:numId w:val="0"/>
        </w:numPr>
        <w:rPr>
          <w:sz w:val="24"/>
          <w:szCs w:val="24"/>
        </w:rPr>
      </w:pPr>
    </w:p>
    <w:p w:rsidR="00164842" w:rsidRDefault="00E02956" w14:paraId="7C8975F6" w14:textId="77777777">
      <w:pPr>
        <w:ind w:left="1440"/>
        <w:rPr>
          <w:sz w:val="24"/>
          <w:szCs w:val="24"/>
        </w:rPr>
      </w:pPr>
      <w:r>
        <w:rPr>
          <w:sz w:val="24"/>
          <w:szCs w:val="24"/>
          <w:lang w:val="en-CA"/>
        </w:rPr>
        <w:t>The online reporting instrument</w:t>
      </w:r>
      <w:r w:rsidR="000103CD">
        <w:rPr>
          <w:sz w:val="24"/>
          <w:szCs w:val="24"/>
          <w:lang w:val="en-CA"/>
        </w:rPr>
        <w:t xml:space="preserve"> and the paper form both </w:t>
      </w:r>
      <w:r>
        <w:rPr>
          <w:sz w:val="24"/>
          <w:szCs w:val="24"/>
          <w:lang w:val="en-CA"/>
        </w:rPr>
        <w:t xml:space="preserve">inform respondents that responses are voluntary and </w:t>
      </w:r>
      <w:r w:rsidR="000103CD">
        <w:rPr>
          <w:sz w:val="24"/>
          <w:szCs w:val="24"/>
          <w:lang w:val="en-CA"/>
        </w:rPr>
        <w:t xml:space="preserve">that </w:t>
      </w:r>
      <w:r w:rsidR="00164842">
        <w:rPr>
          <w:sz w:val="24"/>
          <w:szCs w:val="24"/>
          <w:lang w:val="en-CA"/>
        </w:rPr>
        <w:fldChar w:fldCharType="begin"/>
      </w:r>
      <w:r w:rsidR="00164842">
        <w:rPr>
          <w:sz w:val="24"/>
          <w:szCs w:val="24"/>
          <w:lang w:val="en-CA"/>
        </w:rPr>
        <w:instrText xml:space="preserve"> SEQ CHAPTER \h \r 1</w:instrText>
      </w:r>
      <w:r w:rsidR="00164842">
        <w:rPr>
          <w:sz w:val="24"/>
          <w:szCs w:val="24"/>
          <w:lang w:val="en-CA"/>
        </w:rPr>
        <w:fldChar w:fldCharType="end"/>
      </w:r>
      <w:r w:rsidR="00164842">
        <w:rPr>
          <w:sz w:val="24"/>
          <w:szCs w:val="24"/>
        </w:rPr>
        <w:t>data collected are public information and are not confidential</w:t>
      </w:r>
      <w:r>
        <w:rPr>
          <w:sz w:val="24"/>
          <w:szCs w:val="24"/>
        </w:rPr>
        <w:t xml:space="preserve">. </w:t>
      </w:r>
      <w:r w:rsidR="000103CD">
        <w:rPr>
          <w:sz w:val="24"/>
          <w:szCs w:val="24"/>
        </w:rPr>
        <w:t>(</w:t>
      </w:r>
      <w:r w:rsidRPr="000103CD" w:rsidR="000103CD">
        <w:rPr>
          <w:sz w:val="24"/>
          <w:szCs w:val="24"/>
        </w:rPr>
        <w:t>See Attachments A and C</w:t>
      </w:r>
      <w:r w:rsidR="000103CD">
        <w:rPr>
          <w:sz w:val="24"/>
          <w:szCs w:val="24"/>
        </w:rPr>
        <w:t xml:space="preserve">.) </w:t>
      </w:r>
      <w:r>
        <w:rPr>
          <w:sz w:val="24"/>
          <w:szCs w:val="24"/>
        </w:rPr>
        <w:t xml:space="preserve"> </w:t>
      </w:r>
      <w:r w:rsidR="00164842">
        <w:rPr>
          <w:sz w:val="24"/>
          <w:szCs w:val="24"/>
        </w:rPr>
        <w:t>Our web site with answers to respondents' frequently asked questions (</w:t>
      </w:r>
      <w:hyperlink w:history="1" r:id="rId10">
        <w:r w:rsidR="00164842">
          <w:rPr>
            <w:sz w:val="24"/>
            <w:szCs w:val="24"/>
            <w:u w:val="single"/>
          </w:rPr>
          <w:t>www.census.gov/permitsfaq</w:t>
        </w:r>
      </w:hyperlink>
      <w:r w:rsidR="00164842">
        <w:rPr>
          <w:sz w:val="24"/>
          <w:szCs w:val="24"/>
        </w:rPr>
        <w:t>) also states that the survey is voluntary.</w:t>
      </w:r>
    </w:p>
    <w:p w:rsidR="006452C2" w:rsidP="006452C2" w:rsidRDefault="00164842" w14:paraId="407F4DC9" w14:textId="77777777">
      <w:pPr>
        <w:ind w:left="1440"/>
        <w:rPr>
          <w:sz w:val="24"/>
          <w:szCs w:val="24"/>
        </w:rPr>
      </w:pPr>
      <w:r>
        <w:rPr>
          <w:sz w:val="24"/>
          <w:szCs w:val="24"/>
        </w:rPr>
        <w:tab/>
      </w:r>
      <w:r>
        <w:rPr>
          <w:sz w:val="24"/>
          <w:szCs w:val="24"/>
        </w:rPr>
        <w:tab/>
        <w:t xml:space="preserve"> </w:t>
      </w:r>
    </w:p>
    <w:p w:rsidR="00164842" w:rsidP="006452C2" w:rsidRDefault="00164842" w14:paraId="6ED7F5C1" w14:textId="77777777">
      <w:pPr>
        <w:ind w:left="720"/>
        <w:rPr>
          <w:b/>
          <w:bCs/>
          <w:sz w:val="24"/>
          <w:szCs w:val="24"/>
        </w:rPr>
      </w:pPr>
      <w:r>
        <w:rPr>
          <w:b/>
          <w:bCs/>
          <w:sz w:val="24"/>
          <w:szCs w:val="24"/>
        </w:rPr>
        <w:t>11.</w:t>
      </w:r>
      <w:r>
        <w:rPr>
          <w:b/>
          <w:bCs/>
          <w:sz w:val="24"/>
          <w:szCs w:val="24"/>
        </w:rPr>
        <w:tab/>
      </w:r>
      <w:r>
        <w:rPr>
          <w:b/>
          <w:bCs/>
          <w:sz w:val="24"/>
          <w:szCs w:val="24"/>
          <w:u w:val="single"/>
        </w:rPr>
        <w:t>Justification for Sensitive Questions</w:t>
      </w:r>
    </w:p>
    <w:p w:rsidR="00164842" w:rsidRDefault="00164842" w14:paraId="6DFBCFDE" w14:textId="77777777">
      <w:pPr>
        <w:numPr>
          <w:ilvl w:val="12"/>
          <w:numId w:val="0"/>
        </w:numPr>
        <w:rPr>
          <w:sz w:val="24"/>
          <w:szCs w:val="24"/>
        </w:rPr>
      </w:pPr>
    </w:p>
    <w:p w:rsidR="00164842" w:rsidRDefault="00164842" w14:paraId="70626112" w14:textId="77777777">
      <w:pPr>
        <w:pStyle w:val="BodyTextIndent"/>
        <w:numPr>
          <w:ilvl w:val="12"/>
          <w:numId w:val="0"/>
        </w:numPr>
        <w:ind w:left="1440"/>
      </w:pPr>
      <w:r>
        <w:t>The Form C-404 contains no sensitive questions.</w:t>
      </w:r>
    </w:p>
    <w:p w:rsidR="0051725F" w:rsidRDefault="0051725F" w14:paraId="0932DF43" w14:textId="77777777">
      <w:pPr>
        <w:numPr>
          <w:ilvl w:val="12"/>
          <w:numId w:val="0"/>
        </w:numPr>
        <w:ind w:left="1440"/>
        <w:rPr>
          <w:sz w:val="24"/>
          <w:szCs w:val="24"/>
        </w:rPr>
      </w:pPr>
    </w:p>
    <w:p w:rsidR="00164842" w:rsidRDefault="00164842" w14:paraId="7FABBA38" w14:textId="77777777">
      <w:pPr>
        <w:numPr>
          <w:ilvl w:val="12"/>
          <w:numId w:val="0"/>
        </w:numPr>
        <w:ind w:left="720"/>
        <w:rPr>
          <w:b/>
          <w:bCs/>
          <w:sz w:val="24"/>
          <w:szCs w:val="24"/>
        </w:rPr>
      </w:pPr>
      <w:r>
        <w:rPr>
          <w:b/>
          <w:bCs/>
          <w:sz w:val="24"/>
          <w:szCs w:val="24"/>
        </w:rPr>
        <w:t>12.</w:t>
      </w:r>
      <w:r>
        <w:rPr>
          <w:b/>
          <w:bCs/>
          <w:sz w:val="24"/>
          <w:szCs w:val="24"/>
        </w:rPr>
        <w:tab/>
      </w:r>
      <w:r>
        <w:rPr>
          <w:b/>
          <w:bCs/>
          <w:sz w:val="24"/>
          <w:szCs w:val="24"/>
          <w:u w:val="single"/>
        </w:rPr>
        <w:t>Estimate of Hour Burden</w:t>
      </w:r>
    </w:p>
    <w:p w:rsidR="00164842" w:rsidRDefault="00164842" w14:paraId="7A13EEFA" w14:textId="77777777">
      <w:pPr>
        <w:numPr>
          <w:ilvl w:val="12"/>
          <w:numId w:val="0"/>
        </w:numPr>
        <w:rPr>
          <w:sz w:val="24"/>
          <w:szCs w:val="24"/>
        </w:rPr>
      </w:pPr>
    </w:p>
    <w:p w:rsidR="00164842" w:rsidP="00995D82" w:rsidRDefault="00164842" w14:paraId="69C3D7BE" w14:textId="77777777">
      <w:pPr>
        <w:numPr>
          <w:ilvl w:val="12"/>
          <w:numId w:val="0"/>
        </w:numPr>
        <w:ind w:left="1440"/>
      </w:pPr>
      <w:r>
        <w:rPr>
          <w:sz w:val="24"/>
          <w:szCs w:val="24"/>
        </w:rPr>
        <w:t>Reporting burden is calculated as follows:</w:t>
      </w:r>
    </w:p>
    <w:tbl>
      <w:tblPr>
        <w:tblW w:w="8281" w:type="dxa"/>
        <w:tblInd w:w="1540" w:type="dxa"/>
        <w:tblCellMar>
          <w:left w:w="100" w:type="dxa"/>
          <w:right w:w="100" w:type="dxa"/>
        </w:tblCellMar>
        <w:tblLook w:val="0000" w:firstRow="0" w:lastRow="0" w:firstColumn="0" w:lastColumn="0" w:noHBand="0" w:noVBand="0"/>
      </w:tblPr>
      <w:tblGrid>
        <w:gridCol w:w="1729"/>
        <w:gridCol w:w="1092"/>
        <w:gridCol w:w="1456"/>
        <w:gridCol w:w="1365"/>
        <w:gridCol w:w="1274"/>
        <w:gridCol w:w="1365"/>
      </w:tblGrid>
      <w:tr w:rsidRPr="00974702" w:rsidR="00164842" w:rsidTr="00995D82" w14:paraId="2BD8630B" w14:textId="77777777">
        <w:tblPrEx>
          <w:tblCellMar>
            <w:top w:w="0" w:type="dxa"/>
            <w:bottom w:w="0" w:type="dxa"/>
          </w:tblCellMar>
        </w:tblPrEx>
        <w:trPr>
          <w:cantSplit/>
          <w:trHeight w:val="790"/>
        </w:trPr>
        <w:tc>
          <w:tcPr>
            <w:tcW w:w="1729" w:type="dxa"/>
            <w:tcBorders>
              <w:top w:val="single" w:color="000000" w:sz="6" w:space="0"/>
              <w:left w:val="single" w:color="000000" w:sz="6" w:space="0"/>
            </w:tcBorders>
            <w:shd w:val="clear" w:color="auto" w:fill="BFBFBF"/>
            <w:vAlign w:val="center"/>
          </w:tcPr>
          <w:p w:rsidRPr="00974702" w:rsidR="00164842" w:rsidP="00974702" w:rsidRDefault="00164842" w14:paraId="193875A8" w14:textId="77777777">
            <w:pPr>
              <w:numPr>
                <w:ilvl w:val="12"/>
                <w:numId w:val="0"/>
              </w:numPr>
              <w:spacing w:after="48"/>
              <w:jc w:val="center"/>
              <w:rPr>
                <w:b/>
              </w:rPr>
            </w:pPr>
            <w:r w:rsidRPr="00974702">
              <w:rPr>
                <w:b/>
              </w:rPr>
              <w:lastRenderedPageBreak/>
              <w:t>Frequency</w:t>
            </w:r>
          </w:p>
        </w:tc>
        <w:tc>
          <w:tcPr>
            <w:tcW w:w="1092" w:type="dxa"/>
            <w:tcBorders>
              <w:top w:val="single" w:color="000000" w:sz="6" w:space="0"/>
              <w:left w:val="single" w:color="000000" w:sz="6" w:space="0"/>
            </w:tcBorders>
            <w:shd w:val="clear" w:color="auto" w:fill="BFBFBF"/>
            <w:vAlign w:val="center"/>
          </w:tcPr>
          <w:p w:rsidRPr="00974702" w:rsidR="00164842" w:rsidRDefault="00164842" w14:paraId="26067B82" w14:textId="77777777">
            <w:pPr>
              <w:numPr>
                <w:ilvl w:val="12"/>
                <w:numId w:val="0"/>
              </w:numPr>
              <w:spacing w:before="100" w:after="48"/>
              <w:jc w:val="center"/>
              <w:rPr>
                <w:b/>
              </w:rPr>
            </w:pPr>
            <w:r w:rsidRPr="00974702">
              <w:rPr>
                <w:b/>
              </w:rPr>
              <w:t>C-404</w:t>
            </w:r>
          </w:p>
        </w:tc>
        <w:tc>
          <w:tcPr>
            <w:tcW w:w="1456" w:type="dxa"/>
            <w:tcBorders>
              <w:top w:val="single" w:color="000000" w:sz="6" w:space="0"/>
              <w:left w:val="single" w:color="000000" w:sz="6" w:space="0"/>
            </w:tcBorders>
            <w:shd w:val="clear" w:color="auto" w:fill="BFBFBF"/>
            <w:vAlign w:val="center"/>
          </w:tcPr>
          <w:p w:rsidRPr="00974702" w:rsidR="00164842" w:rsidRDefault="00556277" w14:paraId="61BCFD05" w14:textId="77777777">
            <w:pPr>
              <w:numPr>
                <w:ilvl w:val="12"/>
                <w:numId w:val="0"/>
              </w:numPr>
              <w:spacing w:before="100" w:after="48"/>
              <w:jc w:val="center"/>
              <w:rPr>
                <w:b/>
              </w:rPr>
            </w:pPr>
            <w:r>
              <w:rPr>
                <w:b/>
              </w:rPr>
              <w:t xml:space="preserve">Respondent </w:t>
            </w:r>
            <w:r w:rsidRPr="00974702" w:rsidR="00164842">
              <w:rPr>
                <w:b/>
              </w:rPr>
              <w:t xml:space="preserve">Responses per </w:t>
            </w:r>
            <w:r>
              <w:rPr>
                <w:b/>
              </w:rPr>
              <w:t>year</w:t>
            </w:r>
          </w:p>
        </w:tc>
        <w:tc>
          <w:tcPr>
            <w:tcW w:w="1365" w:type="dxa"/>
            <w:tcBorders>
              <w:top w:val="single" w:color="000000" w:sz="6" w:space="0"/>
              <w:left w:val="single" w:color="000000" w:sz="6" w:space="0"/>
            </w:tcBorders>
            <w:shd w:val="clear" w:color="auto" w:fill="BFBFBF"/>
            <w:vAlign w:val="center"/>
          </w:tcPr>
          <w:p w:rsidRPr="00974702" w:rsidR="00164842" w:rsidRDefault="00164842" w14:paraId="2A439E02" w14:textId="77777777">
            <w:pPr>
              <w:numPr>
                <w:ilvl w:val="12"/>
                <w:numId w:val="0"/>
              </w:numPr>
              <w:spacing w:before="100" w:after="48"/>
              <w:jc w:val="center"/>
              <w:rPr>
                <w:b/>
              </w:rPr>
            </w:pPr>
            <w:r w:rsidRPr="00974702">
              <w:rPr>
                <w:b/>
              </w:rPr>
              <w:t>Total Annual Responses</w:t>
            </w:r>
          </w:p>
        </w:tc>
        <w:tc>
          <w:tcPr>
            <w:tcW w:w="1274" w:type="dxa"/>
            <w:tcBorders>
              <w:top w:val="single" w:color="000000" w:sz="6" w:space="0"/>
              <w:left w:val="single" w:color="000000" w:sz="6" w:space="0"/>
            </w:tcBorders>
            <w:shd w:val="clear" w:color="auto" w:fill="BFBFBF"/>
            <w:vAlign w:val="center"/>
          </w:tcPr>
          <w:p w:rsidRPr="00974702" w:rsidR="00164842" w:rsidRDefault="00164842" w14:paraId="7F11697F" w14:textId="77777777">
            <w:pPr>
              <w:numPr>
                <w:ilvl w:val="12"/>
                <w:numId w:val="0"/>
              </w:numPr>
              <w:spacing w:before="100" w:after="48"/>
              <w:jc w:val="center"/>
              <w:rPr>
                <w:b/>
              </w:rPr>
            </w:pPr>
            <w:r w:rsidRPr="00974702">
              <w:rPr>
                <w:b/>
              </w:rPr>
              <w:t>Avg. Burden per Response (minutes)</w:t>
            </w:r>
          </w:p>
        </w:tc>
        <w:tc>
          <w:tcPr>
            <w:tcW w:w="1365" w:type="dxa"/>
            <w:tcBorders>
              <w:top w:val="single" w:color="000000" w:sz="6" w:space="0"/>
              <w:left w:val="single" w:color="000000" w:sz="6" w:space="0"/>
              <w:right w:val="single" w:color="000000" w:sz="6" w:space="0"/>
            </w:tcBorders>
            <w:shd w:val="clear" w:color="auto" w:fill="BFBFBF"/>
            <w:vAlign w:val="center"/>
          </w:tcPr>
          <w:p w:rsidRPr="00974702" w:rsidR="00164842" w:rsidRDefault="00164842" w14:paraId="5A0924DF" w14:textId="77777777">
            <w:pPr>
              <w:numPr>
                <w:ilvl w:val="12"/>
                <w:numId w:val="0"/>
              </w:numPr>
              <w:spacing w:before="100" w:after="48"/>
              <w:jc w:val="center"/>
              <w:rPr>
                <w:b/>
              </w:rPr>
            </w:pPr>
            <w:r w:rsidRPr="00974702">
              <w:rPr>
                <w:b/>
              </w:rPr>
              <w:t>Total Burden (hours)</w:t>
            </w:r>
          </w:p>
        </w:tc>
      </w:tr>
      <w:tr w:rsidR="00164842" w:rsidTr="00995D82" w14:paraId="5BB7E497" w14:textId="77777777">
        <w:tblPrEx>
          <w:tblCellMar>
            <w:top w:w="0" w:type="dxa"/>
            <w:bottom w:w="0" w:type="dxa"/>
          </w:tblCellMar>
        </w:tblPrEx>
        <w:trPr>
          <w:cantSplit/>
          <w:trHeight w:val="572"/>
        </w:trPr>
        <w:tc>
          <w:tcPr>
            <w:tcW w:w="1729" w:type="dxa"/>
            <w:tcBorders>
              <w:top w:val="single" w:color="000000" w:sz="6" w:space="0"/>
              <w:left w:val="single" w:color="000000" w:sz="6" w:space="0"/>
              <w:bottom w:val="single" w:color="000000" w:sz="6" w:space="0"/>
            </w:tcBorders>
            <w:vAlign w:val="center"/>
          </w:tcPr>
          <w:p w:rsidR="00164842" w:rsidRDefault="00164842" w14:paraId="275C6348" w14:textId="77777777">
            <w:pPr>
              <w:numPr>
                <w:ilvl w:val="12"/>
                <w:numId w:val="0"/>
              </w:numPr>
              <w:spacing w:before="100" w:after="48"/>
              <w:jc w:val="center"/>
            </w:pPr>
            <w:r>
              <w:t>Monthly</w:t>
            </w:r>
            <w:r w:rsidR="006E7E1A">
              <w:t xml:space="preserve"> via </w:t>
            </w:r>
            <w:r w:rsidR="00CC479A">
              <w:t xml:space="preserve">online, </w:t>
            </w:r>
            <w:r w:rsidR="006E7E1A">
              <w:t xml:space="preserve">mail, </w:t>
            </w:r>
            <w:r w:rsidR="00CC479A">
              <w:t xml:space="preserve">or </w:t>
            </w:r>
            <w:r w:rsidR="006E7E1A">
              <w:t>fax</w:t>
            </w:r>
          </w:p>
        </w:tc>
        <w:tc>
          <w:tcPr>
            <w:tcW w:w="1092" w:type="dxa"/>
            <w:tcBorders>
              <w:top w:val="single" w:color="000000" w:sz="6" w:space="0"/>
              <w:left w:val="single" w:color="000000" w:sz="6" w:space="0"/>
              <w:bottom w:val="single" w:color="000000" w:sz="6" w:space="0"/>
            </w:tcBorders>
            <w:vAlign w:val="center"/>
          </w:tcPr>
          <w:p w:rsidR="00164842" w:rsidP="000071A8" w:rsidRDefault="00877F96" w14:paraId="1E59832C" w14:textId="77777777">
            <w:pPr>
              <w:numPr>
                <w:ilvl w:val="12"/>
                <w:numId w:val="0"/>
              </w:numPr>
              <w:tabs>
                <w:tab w:val="left" w:pos="195"/>
                <w:tab w:val="center" w:pos="440"/>
              </w:tabs>
              <w:spacing w:before="100" w:after="48"/>
            </w:pPr>
            <w:r>
              <w:tab/>
            </w:r>
            <w:r w:rsidR="002C39A1">
              <w:t>8,385</w:t>
            </w:r>
          </w:p>
        </w:tc>
        <w:tc>
          <w:tcPr>
            <w:tcW w:w="1456" w:type="dxa"/>
            <w:tcBorders>
              <w:top w:val="single" w:color="000000" w:sz="6" w:space="0"/>
              <w:left w:val="single" w:color="000000" w:sz="6" w:space="0"/>
              <w:bottom w:val="single" w:color="000000" w:sz="6" w:space="0"/>
            </w:tcBorders>
            <w:vAlign w:val="center"/>
          </w:tcPr>
          <w:p w:rsidR="00164842" w:rsidRDefault="00164842" w14:paraId="6B09E36F" w14:textId="77777777">
            <w:pPr>
              <w:numPr>
                <w:ilvl w:val="12"/>
                <w:numId w:val="0"/>
              </w:numPr>
              <w:spacing w:before="100" w:after="48"/>
              <w:jc w:val="center"/>
            </w:pPr>
            <w:r>
              <w:t>12</w:t>
            </w:r>
          </w:p>
        </w:tc>
        <w:tc>
          <w:tcPr>
            <w:tcW w:w="1365" w:type="dxa"/>
            <w:tcBorders>
              <w:top w:val="single" w:color="000000" w:sz="6" w:space="0"/>
              <w:left w:val="single" w:color="000000" w:sz="6" w:space="0"/>
              <w:bottom w:val="single" w:color="000000" w:sz="6" w:space="0"/>
            </w:tcBorders>
            <w:vAlign w:val="center"/>
          </w:tcPr>
          <w:p w:rsidR="00164842" w:rsidP="00877F96" w:rsidRDefault="002C39A1" w14:paraId="7566F8DB" w14:textId="77777777">
            <w:pPr>
              <w:numPr>
                <w:ilvl w:val="12"/>
                <w:numId w:val="0"/>
              </w:numPr>
              <w:spacing w:before="100" w:after="48"/>
              <w:jc w:val="center"/>
            </w:pPr>
            <w:r>
              <w:t>100,620</w:t>
            </w:r>
          </w:p>
        </w:tc>
        <w:tc>
          <w:tcPr>
            <w:tcW w:w="1274" w:type="dxa"/>
            <w:tcBorders>
              <w:top w:val="single" w:color="000000" w:sz="6" w:space="0"/>
              <w:left w:val="single" w:color="000000" w:sz="6" w:space="0"/>
              <w:bottom w:val="single" w:color="000000" w:sz="6" w:space="0"/>
            </w:tcBorders>
            <w:vAlign w:val="center"/>
          </w:tcPr>
          <w:p w:rsidR="00164842" w:rsidRDefault="00164842" w14:paraId="0A65DA2E" w14:textId="77777777">
            <w:pPr>
              <w:numPr>
                <w:ilvl w:val="12"/>
                <w:numId w:val="0"/>
              </w:numPr>
              <w:spacing w:before="100" w:after="48"/>
              <w:jc w:val="center"/>
            </w:pPr>
            <w:r>
              <w:t>8</w:t>
            </w:r>
          </w:p>
        </w:tc>
        <w:tc>
          <w:tcPr>
            <w:tcW w:w="1365" w:type="dxa"/>
            <w:tcBorders>
              <w:top w:val="single" w:color="000000" w:sz="6" w:space="0"/>
              <w:left w:val="single" w:color="000000" w:sz="6" w:space="0"/>
              <w:bottom w:val="single" w:color="000000" w:sz="6" w:space="0"/>
              <w:right w:val="single" w:color="000000" w:sz="6" w:space="0"/>
            </w:tcBorders>
            <w:vAlign w:val="center"/>
          </w:tcPr>
          <w:p w:rsidR="00164842" w:rsidP="002C44BC" w:rsidRDefault="00006438" w14:paraId="006FCA7E" w14:textId="77777777">
            <w:pPr>
              <w:numPr>
                <w:ilvl w:val="12"/>
                <w:numId w:val="0"/>
              </w:numPr>
              <w:spacing w:before="100" w:after="48"/>
              <w:jc w:val="center"/>
            </w:pPr>
            <w:r>
              <w:t>13,416</w:t>
            </w:r>
          </w:p>
        </w:tc>
      </w:tr>
      <w:tr w:rsidR="00164842" w:rsidTr="00995D82" w14:paraId="36796A61" w14:textId="77777777">
        <w:tblPrEx>
          <w:tblCellMar>
            <w:top w:w="0" w:type="dxa"/>
            <w:bottom w:w="0" w:type="dxa"/>
          </w:tblCellMar>
        </w:tblPrEx>
        <w:trPr>
          <w:cantSplit/>
          <w:trHeight w:val="1065"/>
        </w:trPr>
        <w:tc>
          <w:tcPr>
            <w:tcW w:w="1729" w:type="dxa"/>
            <w:tcBorders>
              <w:top w:val="single" w:color="000000" w:sz="6" w:space="0"/>
              <w:left w:val="single" w:color="000000" w:sz="6" w:space="0"/>
              <w:bottom w:val="single" w:color="000000" w:sz="6" w:space="0"/>
            </w:tcBorders>
            <w:vAlign w:val="center"/>
          </w:tcPr>
          <w:p w:rsidRPr="00AA4DFC" w:rsidR="00164842" w:rsidRDefault="00164842" w14:paraId="38C96420" w14:textId="77777777">
            <w:pPr>
              <w:numPr>
                <w:ilvl w:val="12"/>
                <w:numId w:val="0"/>
              </w:numPr>
              <w:spacing w:before="100" w:after="48"/>
              <w:jc w:val="center"/>
            </w:pPr>
            <w:r w:rsidRPr="00AA4DFC">
              <w:t xml:space="preserve">Monthly via </w:t>
            </w:r>
            <w:r w:rsidRPr="00AA4DFC" w:rsidR="00CF7669">
              <w:t>proprietary electronic files or mailed printouts</w:t>
            </w:r>
          </w:p>
        </w:tc>
        <w:tc>
          <w:tcPr>
            <w:tcW w:w="1092" w:type="dxa"/>
            <w:tcBorders>
              <w:top w:val="single" w:color="000000" w:sz="6" w:space="0"/>
              <w:left w:val="single" w:color="000000" w:sz="6" w:space="0"/>
              <w:bottom w:val="single" w:color="000000" w:sz="6" w:space="0"/>
            </w:tcBorders>
            <w:vAlign w:val="center"/>
          </w:tcPr>
          <w:p w:rsidR="00164842" w:rsidP="0072631F" w:rsidRDefault="002C39A1" w14:paraId="2112FAD1" w14:textId="77777777">
            <w:pPr>
              <w:numPr>
                <w:ilvl w:val="12"/>
                <w:numId w:val="0"/>
              </w:numPr>
              <w:spacing w:before="100" w:after="48"/>
              <w:jc w:val="center"/>
            </w:pPr>
            <w:r>
              <w:t>228</w:t>
            </w:r>
          </w:p>
        </w:tc>
        <w:tc>
          <w:tcPr>
            <w:tcW w:w="1456" w:type="dxa"/>
            <w:tcBorders>
              <w:top w:val="single" w:color="000000" w:sz="6" w:space="0"/>
              <w:left w:val="single" w:color="000000" w:sz="6" w:space="0"/>
              <w:bottom w:val="single" w:color="000000" w:sz="6" w:space="0"/>
            </w:tcBorders>
            <w:vAlign w:val="center"/>
          </w:tcPr>
          <w:p w:rsidR="00164842" w:rsidRDefault="00164842" w14:paraId="702CD992" w14:textId="77777777">
            <w:pPr>
              <w:numPr>
                <w:ilvl w:val="12"/>
                <w:numId w:val="0"/>
              </w:numPr>
              <w:spacing w:before="100" w:after="48"/>
              <w:jc w:val="center"/>
            </w:pPr>
            <w:r>
              <w:t>12</w:t>
            </w:r>
          </w:p>
        </w:tc>
        <w:tc>
          <w:tcPr>
            <w:tcW w:w="1365" w:type="dxa"/>
            <w:tcBorders>
              <w:top w:val="single" w:color="000000" w:sz="6" w:space="0"/>
              <w:left w:val="single" w:color="000000" w:sz="6" w:space="0"/>
              <w:bottom w:val="single" w:color="000000" w:sz="6" w:space="0"/>
            </w:tcBorders>
            <w:vAlign w:val="center"/>
          </w:tcPr>
          <w:p w:rsidR="00164842" w:rsidP="00877F96" w:rsidRDefault="00006438" w14:paraId="03A3B858" w14:textId="77777777">
            <w:pPr>
              <w:numPr>
                <w:ilvl w:val="12"/>
                <w:numId w:val="0"/>
              </w:numPr>
              <w:spacing w:before="100" w:after="48"/>
              <w:jc w:val="center"/>
            </w:pPr>
            <w:r>
              <w:t>2,736</w:t>
            </w:r>
          </w:p>
        </w:tc>
        <w:tc>
          <w:tcPr>
            <w:tcW w:w="1274" w:type="dxa"/>
            <w:tcBorders>
              <w:top w:val="single" w:color="000000" w:sz="6" w:space="0"/>
              <w:left w:val="single" w:color="000000" w:sz="6" w:space="0"/>
              <w:bottom w:val="single" w:color="000000" w:sz="6" w:space="0"/>
            </w:tcBorders>
            <w:vAlign w:val="center"/>
          </w:tcPr>
          <w:p w:rsidR="00164842" w:rsidRDefault="00164842" w14:paraId="3AE3B6A6" w14:textId="77777777">
            <w:pPr>
              <w:numPr>
                <w:ilvl w:val="12"/>
                <w:numId w:val="0"/>
              </w:numPr>
              <w:spacing w:before="100" w:after="48"/>
              <w:jc w:val="center"/>
            </w:pPr>
            <w:r>
              <w:t>3</w:t>
            </w:r>
          </w:p>
        </w:tc>
        <w:tc>
          <w:tcPr>
            <w:tcW w:w="1365" w:type="dxa"/>
            <w:tcBorders>
              <w:top w:val="single" w:color="000000" w:sz="6" w:space="0"/>
              <w:left w:val="single" w:color="000000" w:sz="6" w:space="0"/>
              <w:bottom w:val="single" w:color="000000" w:sz="6" w:space="0"/>
              <w:right w:val="single" w:color="000000" w:sz="6" w:space="0"/>
            </w:tcBorders>
            <w:vAlign w:val="center"/>
          </w:tcPr>
          <w:p w:rsidR="00164842" w:rsidP="0072631F" w:rsidRDefault="00006438" w14:paraId="4CE2DE5D" w14:textId="77777777">
            <w:pPr>
              <w:numPr>
                <w:ilvl w:val="12"/>
                <w:numId w:val="0"/>
              </w:numPr>
              <w:spacing w:before="100" w:after="48"/>
              <w:jc w:val="center"/>
            </w:pPr>
            <w:r>
              <w:t>137</w:t>
            </w:r>
          </w:p>
        </w:tc>
      </w:tr>
      <w:tr w:rsidR="00164842" w:rsidTr="00995D82" w14:paraId="3BB04448" w14:textId="77777777">
        <w:tblPrEx>
          <w:tblCellMar>
            <w:top w:w="0" w:type="dxa"/>
            <w:bottom w:w="0" w:type="dxa"/>
          </w:tblCellMar>
        </w:tblPrEx>
        <w:trPr>
          <w:cantSplit/>
          <w:trHeight w:val="607"/>
        </w:trPr>
        <w:tc>
          <w:tcPr>
            <w:tcW w:w="1729" w:type="dxa"/>
            <w:tcBorders>
              <w:top w:val="single" w:color="000000" w:sz="6" w:space="0"/>
              <w:left w:val="single" w:color="000000" w:sz="6" w:space="0"/>
              <w:bottom w:val="single" w:color="000000" w:sz="6" w:space="0"/>
            </w:tcBorders>
            <w:vAlign w:val="center"/>
          </w:tcPr>
          <w:p w:rsidRPr="00AA4DFC" w:rsidR="00164842" w:rsidRDefault="00164842" w14:paraId="6AF2E7D9" w14:textId="77777777">
            <w:pPr>
              <w:numPr>
                <w:ilvl w:val="12"/>
                <w:numId w:val="0"/>
              </w:numPr>
              <w:spacing w:before="100" w:after="48"/>
              <w:jc w:val="center"/>
            </w:pPr>
            <w:r w:rsidRPr="00AA4DFC">
              <w:t>Annual</w:t>
            </w:r>
            <w:r w:rsidR="006E7E1A">
              <w:t xml:space="preserve"> via </w:t>
            </w:r>
            <w:r w:rsidR="00CC479A">
              <w:t xml:space="preserve">online, </w:t>
            </w:r>
            <w:r w:rsidR="006E7E1A">
              <w:t>mail,</w:t>
            </w:r>
            <w:r w:rsidR="00CC479A">
              <w:t xml:space="preserve"> or fax</w:t>
            </w:r>
          </w:p>
        </w:tc>
        <w:tc>
          <w:tcPr>
            <w:tcW w:w="1092" w:type="dxa"/>
            <w:tcBorders>
              <w:top w:val="single" w:color="000000" w:sz="6" w:space="0"/>
              <w:left w:val="single" w:color="000000" w:sz="6" w:space="0"/>
              <w:bottom w:val="single" w:color="000000" w:sz="6" w:space="0"/>
            </w:tcBorders>
            <w:vAlign w:val="center"/>
          </w:tcPr>
          <w:p w:rsidR="00164842" w:rsidP="00877F96" w:rsidRDefault="002C39A1" w14:paraId="03B55D28" w14:textId="77777777">
            <w:pPr>
              <w:numPr>
                <w:ilvl w:val="12"/>
                <w:numId w:val="0"/>
              </w:numPr>
              <w:spacing w:before="100" w:after="48"/>
              <w:jc w:val="center"/>
            </w:pPr>
            <w:r>
              <w:t>10,509</w:t>
            </w:r>
          </w:p>
        </w:tc>
        <w:tc>
          <w:tcPr>
            <w:tcW w:w="1456" w:type="dxa"/>
            <w:tcBorders>
              <w:top w:val="single" w:color="000000" w:sz="6" w:space="0"/>
              <w:left w:val="single" w:color="000000" w:sz="6" w:space="0"/>
              <w:bottom w:val="single" w:color="000000" w:sz="6" w:space="0"/>
            </w:tcBorders>
            <w:vAlign w:val="center"/>
          </w:tcPr>
          <w:p w:rsidR="00164842" w:rsidRDefault="00164842" w14:paraId="5FC37B9B" w14:textId="77777777">
            <w:pPr>
              <w:numPr>
                <w:ilvl w:val="12"/>
                <w:numId w:val="0"/>
              </w:numPr>
              <w:spacing w:before="100" w:after="48"/>
              <w:jc w:val="center"/>
            </w:pPr>
            <w:r>
              <w:t>1</w:t>
            </w:r>
          </w:p>
        </w:tc>
        <w:tc>
          <w:tcPr>
            <w:tcW w:w="1365" w:type="dxa"/>
            <w:tcBorders>
              <w:top w:val="single" w:color="000000" w:sz="6" w:space="0"/>
              <w:left w:val="single" w:color="000000" w:sz="6" w:space="0"/>
              <w:bottom w:val="single" w:color="000000" w:sz="6" w:space="0"/>
            </w:tcBorders>
            <w:vAlign w:val="center"/>
          </w:tcPr>
          <w:p w:rsidR="00164842" w:rsidP="00877F96" w:rsidRDefault="00006438" w14:paraId="6969CC5D" w14:textId="77777777">
            <w:pPr>
              <w:numPr>
                <w:ilvl w:val="12"/>
                <w:numId w:val="0"/>
              </w:numPr>
              <w:spacing w:before="100" w:after="48"/>
              <w:jc w:val="center"/>
            </w:pPr>
            <w:r>
              <w:t>10,509</w:t>
            </w:r>
          </w:p>
        </w:tc>
        <w:tc>
          <w:tcPr>
            <w:tcW w:w="1274" w:type="dxa"/>
            <w:tcBorders>
              <w:top w:val="single" w:color="000000" w:sz="6" w:space="0"/>
              <w:left w:val="single" w:color="000000" w:sz="6" w:space="0"/>
              <w:bottom w:val="single" w:color="000000" w:sz="6" w:space="0"/>
            </w:tcBorders>
            <w:vAlign w:val="center"/>
          </w:tcPr>
          <w:p w:rsidR="00164842" w:rsidRDefault="00164842" w14:paraId="1AD1EA92" w14:textId="77777777">
            <w:pPr>
              <w:numPr>
                <w:ilvl w:val="12"/>
                <w:numId w:val="0"/>
              </w:numPr>
              <w:spacing w:before="100" w:after="48"/>
              <w:jc w:val="center"/>
            </w:pPr>
            <w:r>
              <w:t>23</w:t>
            </w:r>
          </w:p>
        </w:tc>
        <w:tc>
          <w:tcPr>
            <w:tcW w:w="1365" w:type="dxa"/>
            <w:tcBorders>
              <w:top w:val="single" w:color="000000" w:sz="6" w:space="0"/>
              <w:left w:val="single" w:color="000000" w:sz="6" w:space="0"/>
              <w:bottom w:val="single" w:color="000000" w:sz="6" w:space="0"/>
              <w:right w:val="single" w:color="000000" w:sz="6" w:space="0"/>
            </w:tcBorders>
            <w:vAlign w:val="center"/>
          </w:tcPr>
          <w:p w:rsidR="00164842" w:rsidP="002C44BC" w:rsidRDefault="00006438" w14:paraId="0220B444" w14:textId="77777777">
            <w:pPr>
              <w:numPr>
                <w:ilvl w:val="12"/>
                <w:numId w:val="0"/>
              </w:numPr>
              <w:spacing w:before="100" w:after="48"/>
              <w:jc w:val="center"/>
            </w:pPr>
            <w:r>
              <w:t>4,028</w:t>
            </w:r>
          </w:p>
        </w:tc>
      </w:tr>
      <w:tr w:rsidR="00877F96" w:rsidTr="00995D82" w14:paraId="2E1F6775" w14:textId="77777777">
        <w:tblPrEx>
          <w:tblCellMar>
            <w:top w:w="0" w:type="dxa"/>
            <w:bottom w:w="0" w:type="dxa"/>
          </w:tblCellMar>
        </w:tblPrEx>
        <w:trPr>
          <w:cantSplit/>
          <w:trHeight w:val="1065"/>
        </w:trPr>
        <w:tc>
          <w:tcPr>
            <w:tcW w:w="1729" w:type="dxa"/>
            <w:tcBorders>
              <w:top w:val="single" w:color="000000" w:sz="6" w:space="0"/>
              <w:left w:val="single" w:color="000000" w:sz="6" w:space="0"/>
              <w:bottom w:val="single" w:color="000000" w:sz="6" w:space="0"/>
            </w:tcBorders>
            <w:vAlign w:val="center"/>
          </w:tcPr>
          <w:p w:rsidRPr="00AA4DFC" w:rsidR="00877F96" w:rsidRDefault="0073045F" w14:paraId="7438651B" w14:textId="77777777">
            <w:pPr>
              <w:numPr>
                <w:ilvl w:val="12"/>
                <w:numId w:val="0"/>
              </w:numPr>
              <w:spacing w:before="100" w:after="48"/>
              <w:jc w:val="center"/>
            </w:pPr>
            <w:r w:rsidRPr="00AA4DFC">
              <w:t xml:space="preserve">Annual </w:t>
            </w:r>
            <w:r w:rsidRPr="00AA4DFC" w:rsidR="00877F96">
              <w:t xml:space="preserve">via </w:t>
            </w:r>
            <w:r w:rsidRPr="00AA4DFC" w:rsidR="00CF7669">
              <w:t>proprietary electronic files or mailed printouts</w:t>
            </w:r>
          </w:p>
        </w:tc>
        <w:tc>
          <w:tcPr>
            <w:tcW w:w="1092" w:type="dxa"/>
            <w:tcBorders>
              <w:top w:val="single" w:color="000000" w:sz="6" w:space="0"/>
              <w:left w:val="single" w:color="000000" w:sz="6" w:space="0"/>
              <w:bottom w:val="single" w:color="000000" w:sz="6" w:space="0"/>
            </w:tcBorders>
            <w:vAlign w:val="center"/>
          </w:tcPr>
          <w:p w:rsidR="00877F96" w:rsidP="00877F96" w:rsidRDefault="002C39A1" w14:paraId="328BC3AE" w14:textId="77777777">
            <w:pPr>
              <w:numPr>
                <w:ilvl w:val="12"/>
                <w:numId w:val="0"/>
              </w:numPr>
              <w:spacing w:before="100" w:after="48"/>
              <w:jc w:val="center"/>
            </w:pPr>
            <w:r>
              <w:t>878</w:t>
            </w:r>
          </w:p>
        </w:tc>
        <w:tc>
          <w:tcPr>
            <w:tcW w:w="1456" w:type="dxa"/>
            <w:tcBorders>
              <w:top w:val="single" w:color="000000" w:sz="6" w:space="0"/>
              <w:left w:val="single" w:color="000000" w:sz="6" w:space="0"/>
              <w:bottom w:val="single" w:color="000000" w:sz="6" w:space="0"/>
            </w:tcBorders>
            <w:vAlign w:val="center"/>
          </w:tcPr>
          <w:p w:rsidR="00877F96" w:rsidRDefault="00877F96" w14:paraId="36DEC241" w14:textId="77777777">
            <w:pPr>
              <w:numPr>
                <w:ilvl w:val="12"/>
                <w:numId w:val="0"/>
              </w:numPr>
              <w:spacing w:before="100" w:after="48"/>
              <w:jc w:val="center"/>
            </w:pPr>
            <w:r>
              <w:t>1</w:t>
            </w:r>
          </w:p>
        </w:tc>
        <w:tc>
          <w:tcPr>
            <w:tcW w:w="1365" w:type="dxa"/>
            <w:tcBorders>
              <w:top w:val="single" w:color="000000" w:sz="6" w:space="0"/>
              <w:left w:val="single" w:color="000000" w:sz="6" w:space="0"/>
              <w:bottom w:val="single" w:color="000000" w:sz="6" w:space="0"/>
            </w:tcBorders>
            <w:vAlign w:val="center"/>
          </w:tcPr>
          <w:p w:rsidR="00877F96" w:rsidP="0072631F" w:rsidRDefault="00006438" w14:paraId="1ACEFB80" w14:textId="77777777">
            <w:pPr>
              <w:numPr>
                <w:ilvl w:val="12"/>
                <w:numId w:val="0"/>
              </w:numPr>
              <w:spacing w:before="100" w:after="48"/>
              <w:jc w:val="center"/>
            </w:pPr>
            <w:r>
              <w:t>878</w:t>
            </w:r>
          </w:p>
        </w:tc>
        <w:tc>
          <w:tcPr>
            <w:tcW w:w="1274" w:type="dxa"/>
            <w:tcBorders>
              <w:top w:val="single" w:color="000000" w:sz="6" w:space="0"/>
              <w:left w:val="single" w:color="000000" w:sz="6" w:space="0"/>
              <w:bottom w:val="single" w:color="000000" w:sz="6" w:space="0"/>
            </w:tcBorders>
            <w:vAlign w:val="center"/>
          </w:tcPr>
          <w:p w:rsidR="00877F96" w:rsidRDefault="00161059" w14:paraId="119326B5" w14:textId="77777777">
            <w:pPr>
              <w:numPr>
                <w:ilvl w:val="12"/>
                <w:numId w:val="0"/>
              </w:numPr>
              <w:spacing w:before="100" w:after="48"/>
              <w:jc w:val="center"/>
            </w:pPr>
            <w:r>
              <w:t>3</w:t>
            </w:r>
          </w:p>
        </w:tc>
        <w:tc>
          <w:tcPr>
            <w:tcW w:w="1365" w:type="dxa"/>
            <w:tcBorders>
              <w:top w:val="single" w:color="000000" w:sz="6" w:space="0"/>
              <w:left w:val="single" w:color="000000" w:sz="6" w:space="0"/>
              <w:bottom w:val="single" w:color="000000" w:sz="6" w:space="0"/>
              <w:right w:val="single" w:color="000000" w:sz="6" w:space="0"/>
            </w:tcBorders>
            <w:vAlign w:val="center"/>
          </w:tcPr>
          <w:p w:rsidR="00877F96" w:rsidP="0072631F" w:rsidRDefault="00006438" w14:paraId="5540B2FD" w14:textId="77777777">
            <w:pPr>
              <w:numPr>
                <w:ilvl w:val="12"/>
                <w:numId w:val="0"/>
              </w:numPr>
              <w:spacing w:before="100" w:after="48"/>
              <w:jc w:val="center"/>
            </w:pPr>
            <w:r>
              <w:t>44</w:t>
            </w:r>
          </w:p>
        </w:tc>
      </w:tr>
      <w:tr w:rsidR="00164842" w:rsidTr="00995D82" w14:paraId="543DB09D" w14:textId="77777777">
        <w:tblPrEx>
          <w:tblCellMar>
            <w:top w:w="0" w:type="dxa"/>
            <w:bottom w:w="0" w:type="dxa"/>
          </w:tblCellMar>
        </w:tblPrEx>
        <w:trPr>
          <w:cantSplit/>
          <w:trHeight w:val="377"/>
        </w:trPr>
        <w:tc>
          <w:tcPr>
            <w:tcW w:w="1729" w:type="dxa"/>
            <w:tcBorders>
              <w:top w:val="single" w:color="000000" w:sz="6" w:space="0"/>
              <w:left w:val="single" w:color="000000" w:sz="6" w:space="0"/>
              <w:bottom w:val="single" w:color="000000" w:sz="6" w:space="0"/>
            </w:tcBorders>
            <w:vAlign w:val="center"/>
          </w:tcPr>
          <w:p w:rsidRPr="00974702" w:rsidR="00164842" w:rsidRDefault="00164842" w14:paraId="05D0BB4A" w14:textId="77777777">
            <w:pPr>
              <w:numPr>
                <w:ilvl w:val="12"/>
                <w:numId w:val="0"/>
              </w:numPr>
              <w:spacing w:before="100" w:after="48"/>
              <w:jc w:val="center"/>
              <w:rPr>
                <w:b/>
              </w:rPr>
            </w:pPr>
            <w:r w:rsidRPr="00974702">
              <w:rPr>
                <w:b/>
              </w:rPr>
              <w:t>Total</w:t>
            </w:r>
          </w:p>
        </w:tc>
        <w:tc>
          <w:tcPr>
            <w:tcW w:w="1092" w:type="dxa"/>
            <w:tcBorders>
              <w:top w:val="single" w:color="000000" w:sz="6" w:space="0"/>
              <w:left w:val="single" w:color="000000" w:sz="6" w:space="0"/>
              <w:bottom w:val="single" w:color="000000" w:sz="6" w:space="0"/>
            </w:tcBorders>
            <w:vAlign w:val="center"/>
          </w:tcPr>
          <w:p w:rsidRPr="00974702" w:rsidR="00164842" w:rsidP="00877F96" w:rsidRDefault="000071A8" w14:paraId="33ADB9CF" w14:textId="77777777">
            <w:pPr>
              <w:numPr>
                <w:ilvl w:val="12"/>
                <w:numId w:val="0"/>
              </w:numPr>
              <w:spacing w:before="100" w:after="48"/>
              <w:jc w:val="center"/>
              <w:rPr>
                <w:b/>
              </w:rPr>
            </w:pPr>
            <w:r w:rsidRPr="00974702">
              <w:rPr>
                <w:b/>
              </w:rPr>
              <w:t>20,</w:t>
            </w:r>
            <w:r w:rsidR="00006438">
              <w:rPr>
                <w:b/>
              </w:rPr>
              <w:t>000</w:t>
            </w:r>
          </w:p>
        </w:tc>
        <w:tc>
          <w:tcPr>
            <w:tcW w:w="1456" w:type="dxa"/>
            <w:tcBorders>
              <w:top w:val="single" w:color="000000" w:sz="6" w:space="0"/>
              <w:left w:val="single" w:color="000000" w:sz="6" w:space="0"/>
              <w:bottom w:val="single" w:color="000000" w:sz="6" w:space="0"/>
            </w:tcBorders>
            <w:vAlign w:val="center"/>
          </w:tcPr>
          <w:p w:rsidRPr="00974702" w:rsidR="00164842" w:rsidRDefault="00164842" w14:paraId="2ABE0F52" w14:textId="77777777">
            <w:pPr>
              <w:numPr>
                <w:ilvl w:val="12"/>
                <w:numId w:val="0"/>
              </w:numPr>
              <w:spacing w:before="100" w:after="48"/>
              <w:jc w:val="center"/>
              <w:rPr>
                <w:b/>
              </w:rPr>
            </w:pPr>
          </w:p>
        </w:tc>
        <w:tc>
          <w:tcPr>
            <w:tcW w:w="1365" w:type="dxa"/>
            <w:tcBorders>
              <w:top w:val="single" w:color="000000" w:sz="6" w:space="0"/>
              <w:left w:val="single" w:color="000000" w:sz="6" w:space="0"/>
              <w:bottom w:val="single" w:color="000000" w:sz="6" w:space="0"/>
            </w:tcBorders>
            <w:vAlign w:val="center"/>
          </w:tcPr>
          <w:p w:rsidRPr="00974702" w:rsidR="00164842" w:rsidP="0073045F" w:rsidRDefault="00006438" w14:paraId="585E7D73" w14:textId="77777777">
            <w:pPr>
              <w:numPr>
                <w:ilvl w:val="12"/>
                <w:numId w:val="0"/>
              </w:numPr>
              <w:spacing w:before="100" w:after="48"/>
              <w:jc w:val="center"/>
              <w:rPr>
                <w:b/>
              </w:rPr>
            </w:pPr>
            <w:r>
              <w:rPr>
                <w:b/>
              </w:rPr>
              <w:t>114,743</w:t>
            </w:r>
          </w:p>
        </w:tc>
        <w:tc>
          <w:tcPr>
            <w:tcW w:w="1274" w:type="dxa"/>
            <w:tcBorders>
              <w:top w:val="single" w:color="000000" w:sz="6" w:space="0"/>
              <w:left w:val="single" w:color="000000" w:sz="6" w:space="0"/>
              <w:bottom w:val="single" w:color="000000" w:sz="6" w:space="0"/>
            </w:tcBorders>
            <w:vAlign w:val="center"/>
          </w:tcPr>
          <w:p w:rsidRPr="00974702" w:rsidR="00164842" w:rsidP="0073045F" w:rsidRDefault="00164842" w14:paraId="3BFF9B9D" w14:textId="77777777">
            <w:pPr>
              <w:numPr>
                <w:ilvl w:val="12"/>
                <w:numId w:val="0"/>
              </w:numPr>
              <w:spacing w:before="100" w:after="48"/>
              <w:jc w:val="center"/>
              <w:rPr>
                <w:b/>
              </w:rPr>
            </w:pPr>
            <w:r w:rsidRPr="00974702">
              <w:rPr>
                <w:b/>
              </w:rPr>
              <w:t>9.</w:t>
            </w:r>
            <w:r w:rsidR="00006438">
              <w:rPr>
                <w:b/>
              </w:rPr>
              <w:t>22</w:t>
            </w:r>
          </w:p>
        </w:tc>
        <w:tc>
          <w:tcPr>
            <w:tcW w:w="1365" w:type="dxa"/>
            <w:tcBorders>
              <w:top w:val="single" w:color="000000" w:sz="6" w:space="0"/>
              <w:left w:val="single" w:color="000000" w:sz="6" w:space="0"/>
              <w:bottom w:val="single" w:color="000000" w:sz="6" w:space="0"/>
              <w:right w:val="single" w:color="000000" w:sz="6" w:space="0"/>
            </w:tcBorders>
            <w:vAlign w:val="center"/>
          </w:tcPr>
          <w:p w:rsidRPr="00974702" w:rsidR="00164842" w:rsidP="0072631F" w:rsidRDefault="002C44BC" w14:paraId="5801B305" w14:textId="77777777">
            <w:pPr>
              <w:numPr>
                <w:ilvl w:val="12"/>
                <w:numId w:val="0"/>
              </w:numPr>
              <w:spacing w:before="100" w:after="48"/>
              <w:jc w:val="center"/>
              <w:rPr>
                <w:b/>
              </w:rPr>
            </w:pPr>
            <w:r w:rsidRPr="00974702">
              <w:rPr>
                <w:b/>
              </w:rPr>
              <w:t>17,</w:t>
            </w:r>
            <w:r w:rsidR="00006438">
              <w:rPr>
                <w:b/>
              </w:rPr>
              <w:t>625</w:t>
            </w:r>
          </w:p>
        </w:tc>
      </w:tr>
    </w:tbl>
    <w:p w:rsidR="00164842" w:rsidRDefault="00164842" w14:paraId="5DAD6328" w14:textId="77777777">
      <w:pPr>
        <w:numPr>
          <w:ilvl w:val="12"/>
          <w:numId w:val="0"/>
        </w:numPr>
      </w:pPr>
    </w:p>
    <w:p w:rsidR="00995D82" w:rsidRDefault="00995D82" w14:paraId="5FC1D37D" w14:textId="77777777">
      <w:pPr>
        <w:numPr>
          <w:ilvl w:val="12"/>
          <w:numId w:val="0"/>
        </w:numPr>
      </w:pPr>
    </w:p>
    <w:p w:rsidR="00164842" w:rsidRDefault="00164842" w14:paraId="29DB5A13" w14:textId="77777777">
      <w:pPr>
        <w:numPr>
          <w:ilvl w:val="12"/>
          <w:numId w:val="0"/>
        </w:numPr>
        <w:ind w:left="1440"/>
        <w:rPr>
          <w:sz w:val="24"/>
          <w:szCs w:val="24"/>
        </w:rPr>
      </w:pPr>
      <w:r w:rsidRPr="00EC1808">
        <w:rPr>
          <w:sz w:val="24"/>
          <w:szCs w:val="24"/>
        </w:rPr>
        <w:t>We estimate that the average time per monthly response for those who report by mail</w:t>
      </w:r>
      <w:r w:rsidRPr="00EC1808" w:rsidR="00EC1808">
        <w:rPr>
          <w:sz w:val="24"/>
          <w:szCs w:val="24"/>
        </w:rPr>
        <w:t>, fax or Centurion</w:t>
      </w:r>
      <w:r w:rsidRPr="00EC1808">
        <w:rPr>
          <w:sz w:val="24"/>
          <w:szCs w:val="24"/>
        </w:rPr>
        <w:t xml:space="preserve"> is eight minutes.  We</w:t>
      </w:r>
      <w:r>
        <w:rPr>
          <w:sz w:val="24"/>
          <w:szCs w:val="24"/>
        </w:rPr>
        <w:t xml:space="preserve"> base our estimate of the time required to complete the monthly report on (a) the average number of items reported per respondent, (b) our knowledge that the largest offices use computers to compile the data, and (c) our knowledge that the local building permit officials keep records on the number and kinds of permits issued per month, and use our instructions only for references after the initial month they are in our sample.</w:t>
      </w:r>
    </w:p>
    <w:p w:rsidR="00164842" w:rsidRDefault="00164842" w14:paraId="5F1B4173" w14:textId="77777777">
      <w:pPr>
        <w:numPr>
          <w:ilvl w:val="12"/>
          <w:numId w:val="0"/>
        </w:numPr>
        <w:ind w:left="1440"/>
        <w:rPr>
          <w:sz w:val="24"/>
          <w:szCs w:val="24"/>
        </w:rPr>
      </w:pPr>
      <w:r>
        <w:rPr>
          <w:sz w:val="24"/>
          <w:szCs w:val="24"/>
        </w:rPr>
        <w:tab/>
      </w:r>
    </w:p>
    <w:p w:rsidR="00164842" w:rsidRDefault="00164842" w14:paraId="33AABB9C" w14:textId="77777777">
      <w:pPr>
        <w:numPr>
          <w:ilvl w:val="12"/>
          <w:numId w:val="0"/>
        </w:numPr>
        <w:ind w:left="1440"/>
        <w:rPr>
          <w:sz w:val="24"/>
          <w:szCs w:val="24"/>
        </w:rPr>
      </w:pPr>
      <w:r>
        <w:rPr>
          <w:sz w:val="24"/>
          <w:szCs w:val="24"/>
        </w:rPr>
        <w:t>We estimate that the average time per annual response</w:t>
      </w:r>
      <w:r w:rsidR="00EC1808">
        <w:rPr>
          <w:sz w:val="24"/>
          <w:szCs w:val="24"/>
        </w:rPr>
        <w:t xml:space="preserve"> via mail, fax or Centurion</w:t>
      </w:r>
      <w:r>
        <w:rPr>
          <w:sz w:val="24"/>
          <w:szCs w:val="24"/>
        </w:rPr>
        <w:t xml:space="preserve"> is 23 minutes.  The average response time for respondents who report only annually is higher because they </w:t>
      </w:r>
      <w:r w:rsidR="0090263A">
        <w:rPr>
          <w:sz w:val="24"/>
          <w:szCs w:val="24"/>
        </w:rPr>
        <w:t>need</w:t>
      </w:r>
      <w:r>
        <w:rPr>
          <w:sz w:val="24"/>
          <w:szCs w:val="24"/>
        </w:rPr>
        <w:t xml:space="preserve"> to review records for the past 12 months and consolidate them into an annual report.</w:t>
      </w:r>
    </w:p>
    <w:p w:rsidR="009A7CCA" w:rsidRDefault="009A7CCA" w14:paraId="37EC198D" w14:textId="77777777">
      <w:pPr>
        <w:numPr>
          <w:ilvl w:val="12"/>
          <w:numId w:val="0"/>
        </w:numPr>
        <w:ind w:left="1440"/>
        <w:rPr>
          <w:sz w:val="24"/>
          <w:szCs w:val="24"/>
        </w:rPr>
      </w:pPr>
    </w:p>
    <w:p w:rsidR="009A7CCA" w:rsidRDefault="009A7CCA" w14:paraId="779D13CE" w14:textId="77777777">
      <w:pPr>
        <w:numPr>
          <w:ilvl w:val="12"/>
          <w:numId w:val="0"/>
        </w:numPr>
        <w:ind w:left="1440"/>
        <w:rPr>
          <w:sz w:val="24"/>
          <w:szCs w:val="24"/>
        </w:rPr>
      </w:pPr>
      <w:r w:rsidRPr="00AA4DFC">
        <w:rPr>
          <w:sz w:val="24"/>
          <w:szCs w:val="24"/>
        </w:rPr>
        <w:t>We estim</w:t>
      </w:r>
      <w:r w:rsidRPr="00AA4DFC" w:rsidR="00CF7669">
        <w:rPr>
          <w:sz w:val="24"/>
          <w:szCs w:val="24"/>
        </w:rPr>
        <w:t xml:space="preserve">ate the average time per </w:t>
      </w:r>
      <w:r w:rsidRPr="00AA4DFC">
        <w:rPr>
          <w:sz w:val="24"/>
          <w:szCs w:val="24"/>
        </w:rPr>
        <w:t xml:space="preserve">response via </w:t>
      </w:r>
      <w:r w:rsidRPr="00AA4DFC" w:rsidR="00CF7669">
        <w:rPr>
          <w:sz w:val="24"/>
          <w:szCs w:val="24"/>
        </w:rPr>
        <w:t xml:space="preserve">proprietary electronic files or mailed printouts </w:t>
      </w:r>
      <w:r w:rsidRPr="00AA4DFC" w:rsidR="00EC1808">
        <w:rPr>
          <w:sz w:val="24"/>
          <w:szCs w:val="24"/>
        </w:rPr>
        <w:t xml:space="preserve">(both monthly and annually) </w:t>
      </w:r>
      <w:r w:rsidRPr="00AA4DFC">
        <w:rPr>
          <w:sz w:val="24"/>
          <w:szCs w:val="24"/>
        </w:rPr>
        <w:t>is 3 minutes based on the knowledge that the local building permit officials keep records on the number and kinds of permits issued</w:t>
      </w:r>
      <w:r w:rsidRPr="00AA4DFC" w:rsidR="00C974A5">
        <w:rPr>
          <w:sz w:val="24"/>
          <w:szCs w:val="24"/>
        </w:rPr>
        <w:t>, and their response is solely sending us a preexisting file</w:t>
      </w:r>
      <w:r w:rsidRPr="00AA4DFC">
        <w:rPr>
          <w:sz w:val="24"/>
          <w:szCs w:val="24"/>
        </w:rPr>
        <w:t>.</w:t>
      </w:r>
    </w:p>
    <w:p w:rsidR="00D4168B" w:rsidRDefault="00D4168B" w14:paraId="600DC104" w14:textId="77777777">
      <w:pPr>
        <w:numPr>
          <w:ilvl w:val="12"/>
          <w:numId w:val="0"/>
        </w:numPr>
        <w:ind w:left="1440"/>
        <w:rPr>
          <w:sz w:val="24"/>
          <w:szCs w:val="24"/>
        </w:rPr>
      </w:pPr>
    </w:p>
    <w:p w:rsidRPr="002E656D" w:rsidR="00D4168B" w:rsidP="00D4168B" w:rsidRDefault="00D4168B" w14:paraId="0AB2A7F9" w14:textId="77777777">
      <w:pPr>
        <w:numPr>
          <w:ilvl w:val="12"/>
          <w:numId w:val="0"/>
        </w:numPr>
        <w:ind w:left="1440"/>
        <w:rPr>
          <w:sz w:val="24"/>
          <w:szCs w:val="24"/>
        </w:rPr>
      </w:pPr>
      <w:r w:rsidRPr="00B76948">
        <w:rPr>
          <w:sz w:val="24"/>
          <w:szCs w:val="24"/>
        </w:rPr>
        <w:t xml:space="preserve">The cost to the respondents is estimated to be </w:t>
      </w:r>
      <w:r w:rsidRPr="00C0361A">
        <w:rPr>
          <w:sz w:val="24"/>
          <w:szCs w:val="24"/>
        </w:rPr>
        <w:t>$</w:t>
      </w:r>
      <w:r w:rsidR="007D00B7">
        <w:rPr>
          <w:sz w:val="24"/>
          <w:szCs w:val="24"/>
        </w:rPr>
        <w:t>491,033</w:t>
      </w:r>
      <w:r w:rsidR="00004987">
        <w:rPr>
          <w:sz w:val="24"/>
          <w:szCs w:val="24"/>
        </w:rPr>
        <w:t xml:space="preserve"> </w:t>
      </w:r>
      <w:r w:rsidRPr="00C0361A">
        <w:rPr>
          <w:sz w:val="24"/>
          <w:szCs w:val="24"/>
        </w:rPr>
        <w:t>based</w:t>
      </w:r>
      <w:r w:rsidRPr="00B76948">
        <w:rPr>
          <w:sz w:val="24"/>
          <w:szCs w:val="24"/>
        </w:rPr>
        <w:t xml:space="preserve"> on an average hourly wage of $</w:t>
      </w:r>
      <w:r w:rsidR="007D00B7">
        <w:rPr>
          <w:sz w:val="24"/>
          <w:szCs w:val="24"/>
        </w:rPr>
        <w:t>27.86</w:t>
      </w:r>
      <w:r w:rsidRPr="00B76948">
        <w:rPr>
          <w:sz w:val="24"/>
          <w:szCs w:val="24"/>
        </w:rPr>
        <w:t xml:space="preserve"> for local government employees.  The hourly salary estimate was taken from the Bureau of Labor Statistics’ Occupational Employment Statistics for May </w:t>
      </w:r>
      <w:r w:rsidR="007D00B7">
        <w:rPr>
          <w:sz w:val="24"/>
          <w:szCs w:val="24"/>
        </w:rPr>
        <w:t>2020</w:t>
      </w:r>
      <w:r w:rsidRPr="00B76948">
        <w:rPr>
          <w:sz w:val="24"/>
          <w:szCs w:val="24"/>
        </w:rPr>
        <w:t xml:space="preserve"> using the National Industry-Specific Occupational Employment and Wage Estimates for NAICS 999300 - Local Government, excluding schools and hospitals (OES Designation)</w:t>
      </w:r>
      <w:r>
        <w:rPr>
          <w:sz w:val="24"/>
          <w:szCs w:val="24"/>
        </w:rPr>
        <w:t xml:space="preserve"> which can be found here: </w:t>
      </w:r>
      <w:r w:rsidRPr="00B76948">
        <w:rPr>
          <w:sz w:val="24"/>
          <w:szCs w:val="24"/>
        </w:rPr>
        <w:t>https://www.bls.gov/oes/current/naics4_999300.htm#00-0000</w:t>
      </w:r>
      <w:r>
        <w:rPr>
          <w:sz w:val="24"/>
          <w:szCs w:val="24"/>
        </w:rPr>
        <w:t>.</w:t>
      </w:r>
    </w:p>
    <w:p w:rsidR="00D4168B" w:rsidRDefault="00D4168B" w14:paraId="02E2B60E" w14:textId="77777777">
      <w:pPr>
        <w:numPr>
          <w:ilvl w:val="12"/>
          <w:numId w:val="0"/>
        </w:numPr>
        <w:ind w:left="1440"/>
        <w:rPr>
          <w:sz w:val="24"/>
          <w:szCs w:val="24"/>
        </w:rPr>
      </w:pPr>
    </w:p>
    <w:p w:rsidR="00164842" w:rsidRDefault="00164842" w14:paraId="4E6EEC36" w14:textId="77777777">
      <w:pPr>
        <w:numPr>
          <w:ilvl w:val="0"/>
          <w:numId w:val="6"/>
        </w:numPr>
        <w:tabs>
          <w:tab w:val="left" w:pos="720"/>
        </w:tabs>
        <w:rPr>
          <w:b/>
          <w:bCs/>
          <w:sz w:val="24"/>
          <w:szCs w:val="24"/>
          <w:u w:val="single"/>
        </w:rPr>
      </w:pPr>
      <w:r>
        <w:rPr>
          <w:b/>
          <w:bCs/>
          <w:sz w:val="24"/>
          <w:szCs w:val="24"/>
          <w:u w:val="single"/>
        </w:rPr>
        <w:lastRenderedPageBreak/>
        <w:t>Estimate of Cost Burden</w:t>
      </w:r>
    </w:p>
    <w:p w:rsidR="00164842" w:rsidRDefault="00164842" w14:paraId="1068A525" w14:textId="77777777">
      <w:pPr>
        <w:pStyle w:val="BodyTextIn"/>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szCs w:val="24"/>
        </w:rPr>
      </w:pPr>
    </w:p>
    <w:p w:rsidR="00164842" w:rsidRDefault="00164842" w14:paraId="19943889" w14:textId="77777777">
      <w:pPr>
        <w:tabs>
          <w:tab w:val="left" w:pos="720"/>
          <w:tab w:val="left" w:pos="1440"/>
        </w:tabs>
        <w:ind w:left="1440"/>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We do not expect respondents to incur any costs other than that of their time to respond.  The information requested is of the type and scope normally carried in office records and no special hardware or accounting software or system is necessary to provide answers to this information collection.  Therefore, respondents are not expected to incur any capital and start-up costs or system maintenance costs in responding.  Further</w:t>
      </w:r>
      <w:r w:rsidR="007A1EAC">
        <w:rPr>
          <w:sz w:val="24"/>
          <w:szCs w:val="24"/>
        </w:rPr>
        <w:t>more</w:t>
      </w:r>
      <w:r>
        <w:rPr>
          <w:sz w:val="24"/>
          <w:szCs w:val="24"/>
        </w:rPr>
        <w:t>, purchasing of outside accounting or information collection services, if performed by the respondent, is part of usual and customary business practices and not specifically required for this information collection.</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164842" w:rsidRDefault="00164842" w14:paraId="6649AD2B" w14:textId="77777777">
      <w:pPr>
        <w:tabs>
          <w:tab w:val="left" w:pos="720"/>
          <w:tab w:val="left" w:pos="1440"/>
        </w:tabs>
        <w:ind w:left="1440"/>
        <w:rPr>
          <w:sz w:val="24"/>
          <w:szCs w:val="24"/>
          <w:lang w:val="en-CA"/>
        </w:rPr>
      </w:pPr>
    </w:p>
    <w:p w:rsidR="00164842" w:rsidRDefault="00164842" w14:paraId="33853CD0" w14:textId="77777777">
      <w:pPr>
        <w:tabs>
          <w:tab w:val="left" w:pos="720"/>
          <w:tab w:val="left" w:pos="1440"/>
        </w:tabs>
        <w:ind w:left="720"/>
        <w:rPr>
          <w:b/>
          <w:bCs/>
          <w:sz w:val="24"/>
          <w:szCs w:val="24"/>
        </w:rPr>
      </w:pPr>
      <w:r>
        <w:rPr>
          <w:b/>
          <w:bCs/>
          <w:sz w:val="24"/>
          <w:szCs w:val="24"/>
        </w:rPr>
        <w:t>14.</w:t>
      </w:r>
      <w:r>
        <w:rPr>
          <w:b/>
          <w:bCs/>
          <w:sz w:val="24"/>
          <w:szCs w:val="24"/>
        </w:rPr>
        <w:tab/>
      </w:r>
      <w:r>
        <w:rPr>
          <w:b/>
          <w:bCs/>
          <w:sz w:val="24"/>
          <w:szCs w:val="24"/>
          <w:u w:val="single"/>
        </w:rPr>
        <w:t>Cost to Federal Government</w:t>
      </w:r>
    </w:p>
    <w:p w:rsidR="00164842" w:rsidRDefault="00164842" w14:paraId="197ACA83" w14:textId="77777777">
      <w:pPr>
        <w:numPr>
          <w:ilvl w:val="12"/>
          <w:numId w:val="0"/>
        </w:numPr>
        <w:rPr>
          <w:b/>
          <w:bCs/>
          <w:sz w:val="24"/>
          <w:szCs w:val="24"/>
        </w:rPr>
      </w:pPr>
    </w:p>
    <w:p w:rsidR="00164842" w:rsidRDefault="00164842" w14:paraId="16B7B9FE" w14:textId="77777777">
      <w:pPr>
        <w:pStyle w:val="BodyTextIndent"/>
        <w:numPr>
          <w:ilvl w:val="12"/>
          <w:numId w:val="0"/>
        </w:numPr>
        <w:ind w:left="1440"/>
      </w:pPr>
      <w:r>
        <w:rPr>
          <w:lang w:val="en-CA"/>
        </w:rPr>
        <w:fldChar w:fldCharType="begin"/>
      </w:r>
      <w:r>
        <w:rPr>
          <w:lang w:val="en-CA"/>
        </w:rPr>
        <w:instrText xml:space="preserve"> SEQ CHAPTER \h \r 1</w:instrText>
      </w:r>
      <w:r>
        <w:rPr>
          <w:lang w:val="en-CA"/>
        </w:rPr>
        <w:fldChar w:fldCharType="end"/>
      </w:r>
      <w:r>
        <w:t xml:space="preserve">The estimated total cost for Fiscal Year </w:t>
      </w:r>
      <w:r w:rsidR="005B2120">
        <w:t>2020</w:t>
      </w:r>
      <w:r>
        <w:t xml:space="preserve"> of the Building Permits </w:t>
      </w:r>
      <w:r w:rsidRPr="00B03471">
        <w:t>Program, of which this questionnaire is a part, is $</w:t>
      </w:r>
      <w:r w:rsidRPr="00B03471" w:rsidR="00B87623">
        <w:t>2,</w:t>
      </w:r>
      <w:r w:rsidR="00EA6C4A">
        <w:t>504</w:t>
      </w:r>
      <w:r w:rsidRPr="00B03471" w:rsidR="005C0106">
        <w:t>,</w:t>
      </w:r>
      <w:r w:rsidR="00EA6C4A">
        <w:t>545</w:t>
      </w:r>
      <w:r w:rsidRPr="00B03471">
        <w:t xml:space="preserve"> all borne by the Census Bureau</w:t>
      </w:r>
      <w:r w:rsidRPr="00B03471" w:rsidR="000E2DAA">
        <w:t>.</w:t>
      </w:r>
      <w:r w:rsidRPr="00B03471" w:rsidR="002E3EE8">
        <w:t xml:space="preserve"> </w:t>
      </w:r>
      <w:r w:rsidRPr="00B03471" w:rsidR="009B608E">
        <w:t xml:space="preserve"> The estimated cost includes </w:t>
      </w:r>
      <w:r w:rsidRPr="00B03471" w:rsidR="007A12FE">
        <w:t>postage</w:t>
      </w:r>
      <w:r w:rsidRPr="00B03471" w:rsidR="00F547E8">
        <w:t>;</w:t>
      </w:r>
      <w:r w:rsidRPr="00B03471" w:rsidR="009B608E">
        <w:t xml:space="preserve"> forms printing</w:t>
      </w:r>
      <w:r w:rsidRPr="00B03471" w:rsidR="00F547E8">
        <w:t>;</w:t>
      </w:r>
      <w:r w:rsidRPr="00B03471" w:rsidR="007A12FE">
        <w:t xml:space="preserve"> </w:t>
      </w:r>
      <w:r w:rsidRPr="00B03471" w:rsidR="009B608E">
        <w:t>salaries</w:t>
      </w:r>
      <w:r w:rsidR="009B608E">
        <w:t xml:space="preserve"> for data capture and collection processing staff</w:t>
      </w:r>
      <w:r w:rsidR="00F547E8">
        <w:t>;</w:t>
      </w:r>
      <w:r w:rsidR="007A12FE">
        <w:t xml:space="preserve"> salaries for </w:t>
      </w:r>
      <w:r w:rsidR="009B608E">
        <w:t xml:space="preserve">staff at headquarters </w:t>
      </w:r>
      <w:r w:rsidR="007A12FE">
        <w:t>responsible for methodology, instrument design, data analysis and dissemination</w:t>
      </w:r>
      <w:r w:rsidR="00F547E8">
        <w:t xml:space="preserve"> and </w:t>
      </w:r>
      <w:r w:rsidR="007A12FE">
        <w:t>project management</w:t>
      </w:r>
      <w:r w:rsidR="00345A78">
        <w:t xml:space="preserve">, and </w:t>
      </w:r>
      <w:r w:rsidRPr="00D136DB" w:rsidR="00345A78">
        <w:t>oper</w:t>
      </w:r>
      <w:r w:rsidR="00345A78">
        <w:t xml:space="preserve">ational costs such as overhead and </w:t>
      </w:r>
      <w:r w:rsidRPr="00D136DB" w:rsidR="00345A78">
        <w:t>equipment</w:t>
      </w:r>
      <w:r w:rsidR="007A12FE">
        <w:t xml:space="preserve">. </w:t>
      </w:r>
      <w:r w:rsidR="009B608E">
        <w:t>The</w:t>
      </w:r>
      <w:r w:rsidR="00425759">
        <w:t xml:space="preserve"> </w:t>
      </w:r>
      <w:r w:rsidR="00463708">
        <w:t xml:space="preserve">costs </w:t>
      </w:r>
      <w:r w:rsidR="00425759">
        <w:t xml:space="preserve">are expected </w:t>
      </w:r>
      <w:r w:rsidR="00463708">
        <w:t xml:space="preserve">to stay relatively consistent </w:t>
      </w:r>
      <w:r w:rsidR="00F547E8">
        <w:t>over the three years of clearance</w:t>
      </w:r>
      <w:r w:rsidR="00425759">
        <w:t>.</w:t>
      </w:r>
    </w:p>
    <w:p w:rsidR="00164842" w:rsidRDefault="00164842" w14:paraId="2166F3CE" w14:textId="77777777">
      <w:pPr>
        <w:numPr>
          <w:ilvl w:val="12"/>
          <w:numId w:val="0"/>
        </w:numPr>
        <w:rPr>
          <w:sz w:val="24"/>
          <w:szCs w:val="24"/>
        </w:rPr>
      </w:pPr>
    </w:p>
    <w:p w:rsidR="00164842" w:rsidRDefault="00164842" w14:paraId="05A3F7F6" w14:textId="77777777">
      <w:pPr>
        <w:numPr>
          <w:ilvl w:val="12"/>
          <w:numId w:val="0"/>
        </w:numPr>
        <w:tabs>
          <w:tab w:val="left" w:pos="720"/>
          <w:tab w:val="left" w:pos="1440"/>
        </w:tabs>
        <w:ind w:left="1440" w:hanging="720"/>
        <w:rPr>
          <w:b/>
          <w:bCs/>
          <w:sz w:val="24"/>
          <w:szCs w:val="24"/>
        </w:rPr>
      </w:pPr>
      <w:r>
        <w:rPr>
          <w:b/>
          <w:bCs/>
          <w:sz w:val="24"/>
          <w:szCs w:val="24"/>
        </w:rPr>
        <w:t>15.</w:t>
      </w:r>
      <w:r>
        <w:rPr>
          <w:b/>
          <w:bCs/>
          <w:sz w:val="24"/>
          <w:szCs w:val="24"/>
        </w:rPr>
        <w:tab/>
      </w:r>
      <w:r>
        <w:rPr>
          <w:b/>
          <w:bCs/>
          <w:sz w:val="24"/>
          <w:szCs w:val="24"/>
          <w:u w:val="single"/>
        </w:rPr>
        <w:t>Reason for Change in Burden</w:t>
      </w:r>
      <w:r>
        <w:rPr>
          <w:b/>
          <w:bCs/>
          <w:sz w:val="24"/>
          <w:szCs w:val="24"/>
        </w:rPr>
        <w:t xml:space="preserve">   </w:t>
      </w:r>
    </w:p>
    <w:p w:rsidR="00164842" w:rsidRDefault="00164842" w14:paraId="7E6C4ED6" w14:textId="77777777">
      <w:pPr>
        <w:numPr>
          <w:ilvl w:val="12"/>
          <w:numId w:val="0"/>
        </w:numPr>
        <w:rPr>
          <w:sz w:val="24"/>
          <w:szCs w:val="24"/>
        </w:rPr>
      </w:pPr>
    </w:p>
    <w:p w:rsidR="00164842" w:rsidRDefault="00D57BF4" w14:paraId="1C1969F8" w14:textId="77777777">
      <w:pPr>
        <w:numPr>
          <w:ilvl w:val="12"/>
          <w:numId w:val="0"/>
        </w:numPr>
        <w:ind w:left="1440"/>
        <w:rPr>
          <w:sz w:val="24"/>
          <w:szCs w:val="24"/>
        </w:rPr>
      </w:pPr>
      <w:r>
        <w:rPr>
          <w:sz w:val="24"/>
          <w:szCs w:val="24"/>
          <w:lang w:val="en-CA"/>
        </w:rPr>
        <w:t xml:space="preserve">The </w:t>
      </w:r>
      <w:r w:rsidR="00B0784D">
        <w:rPr>
          <w:sz w:val="24"/>
          <w:szCs w:val="24"/>
          <w:lang w:val="en-CA"/>
        </w:rPr>
        <w:t xml:space="preserve">total </w:t>
      </w:r>
      <w:r>
        <w:rPr>
          <w:sz w:val="24"/>
          <w:szCs w:val="24"/>
          <w:lang w:val="en-CA"/>
        </w:rPr>
        <w:t xml:space="preserve">number of </w:t>
      </w:r>
      <w:r w:rsidR="00B0784D">
        <w:rPr>
          <w:sz w:val="24"/>
          <w:szCs w:val="24"/>
          <w:lang w:val="en-CA"/>
        </w:rPr>
        <w:t xml:space="preserve">annual </w:t>
      </w:r>
      <w:r>
        <w:rPr>
          <w:sz w:val="24"/>
          <w:szCs w:val="24"/>
          <w:lang w:val="en-CA"/>
        </w:rPr>
        <w:t>burden hours</w:t>
      </w:r>
      <w:r w:rsidR="00187CEB">
        <w:rPr>
          <w:sz w:val="24"/>
          <w:szCs w:val="24"/>
          <w:lang w:val="en-CA"/>
        </w:rPr>
        <w:t xml:space="preserve"> </w:t>
      </w:r>
      <w:r w:rsidR="000C7F2D">
        <w:rPr>
          <w:sz w:val="24"/>
          <w:szCs w:val="24"/>
          <w:lang w:val="en-CA"/>
        </w:rPr>
        <w:t>in</w:t>
      </w:r>
      <w:r w:rsidR="00187CEB">
        <w:rPr>
          <w:sz w:val="24"/>
          <w:szCs w:val="24"/>
          <w:lang w:val="en-CA"/>
        </w:rPr>
        <w:t>creased</w:t>
      </w:r>
      <w:r w:rsidR="00B0784D">
        <w:rPr>
          <w:sz w:val="24"/>
          <w:szCs w:val="24"/>
          <w:lang w:val="en-CA"/>
        </w:rPr>
        <w:t xml:space="preserve"> about 2% from 2018.  This is primarily due to an increase of the jurisdictions asked to report monthly instead of annually.  </w:t>
      </w:r>
      <w:r w:rsidR="001F1D79">
        <w:rPr>
          <w:sz w:val="24"/>
          <w:szCs w:val="24"/>
          <w:lang w:val="en-CA"/>
        </w:rPr>
        <w:t xml:space="preserve">  </w:t>
      </w:r>
    </w:p>
    <w:p w:rsidR="00164842" w:rsidRDefault="00164842" w14:paraId="16031D3F" w14:textId="77777777">
      <w:pPr>
        <w:numPr>
          <w:ilvl w:val="12"/>
          <w:numId w:val="0"/>
        </w:numPr>
        <w:ind w:left="1440"/>
        <w:rPr>
          <w:sz w:val="24"/>
          <w:szCs w:val="24"/>
        </w:rPr>
      </w:pPr>
    </w:p>
    <w:p w:rsidR="00164842" w:rsidRDefault="00164842" w14:paraId="1085BEAD" w14:textId="77777777">
      <w:pPr>
        <w:numPr>
          <w:ilvl w:val="0"/>
          <w:numId w:val="7"/>
        </w:numPr>
        <w:tabs>
          <w:tab w:val="left" w:pos="720"/>
        </w:tabs>
        <w:rPr>
          <w:b/>
          <w:bCs/>
          <w:sz w:val="24"/>
          <w:szCs w:val="24"/>
          <w:u w:val="single"/>
        </w:rPr>
      </w:pPr>
      <w:r>
        <w:rPr>
          <w:b/>
          <w:bCs/>
          <w:sz w:val="24"/>
          <w:szCs w:val="24"/>
          <w:u w:val="single"/>
        </w:rPr>
        <w:t>Project Schedule</w:t>
      </w:r>
    </w:p>
    <w:p w:rsidR="00164842" w:rsidRDefault="00164842" w14:paraId="75F09C94" w14:textId="77777777">
      <w:pPr>
        <w:tabs>
          <w:tab w:val="left" w:pos="720"/>
        </w:tabs>
        <w:ind w:left="720"/>
        <w:rPr>
          <w:sz w:val="24"/>
          <w:szCs w:val="24"/>
          <w:lang w:val="en-CA"/>
        </w:rPr>
      </w:pPr>
    </w:p>
    <w:p w:rsidR="00164842" w:rsidRDefault="00164842" w14:paraId="2AB3E0A3" w14:textId="77777777">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We collect </w:t>
      </w:r>
      <w:proofErr w:type="gramStart"/>
      <w:r>
        <w:rPr>
          <w:sz w:val="24"/>
          <w:szCs w:val="24"/>
        </w:rPr>
        <w:t>the majority of</w:t>
      </w:r>
      <w:proofErr w:type="gramEnd"/>
      <w:r>
        <w:rPr>
          <w:sz w:val="24"/>
          <w:szCs w:val="24"/>
        </w:rPr>
        <w:t xml:space="preserve"> the data in the first two weeks of the calendar month.  We</w:t>
      </w:r>
      <w:r w:rsidR="004B0A7D">
        <w:rPr>
          <w:sz w:val="24"/>
          <w:szCs w:val="24"/>
        </w:rPr>
        <w:t xml:space="preserve"> process and edit the data as it is received</w:t>
      </w:r>
      <w:r>
        <w:rPr>
          <w:sz w:val="24"/>
          <w:szCs w:val="24"/>
        </w:rPr>
        <w:t xml:space="preserve">.  We </w:t>
      </w:r>
      <w:r w:rsidR="004B0A7D">
        <w:rPr>
          <w:sz w:val="24"/>
          <w:szCs w:val="24"/>
        </w:rPr>
        <w:t>tabulate</w:t>
      </w:r>
      <w:r>
        <w:rPr>
          <w:sz w:val="24"/>
          <w:szCs w:val="24"/>
        </w:rPr>
        <w:t xml:space="preserve"> preliminary estimates of the number of housing units authorized on the 9th workday</w:t>
      </w:r>
      <w:r w:rsidR="000C2747">
        <w:rPr>
          <w:sz w:val="24"/>
          <w:szCs w:val="24"/>
        </w:rPr>
        <w:t xml:space="preserve">, and that data is subsequently </w:t>
      </w:r>
      <w:r w:rsidR="007B1AD4">
        <w:rPr>
          <w:sz w:val="24"/>
          <w:szCs w:val="24"/>
        </w:rPr>
        <w:t xml:space="preserve">generally </w:t>
      </w:r>
      <w:r w:rsidR="000C2747">
        <w:rPr>
          <w:sz w:val="24"/>
          <w:szCs w:val="24"/>
        </w:rPr>
        <w:t>released</w:t>
      </w:r>
      <w:r>
        <w:rPr>
          <w:sz w:val="24"/>
          <w:szCs w:val="24"/>
        </w:rPr>
        <w:t xml:space="preserve"> on the 12th workday.  We </w:t>
      </w:r>
      <w:r w:rsidR="004B0A7D">
        <w:rPr>
          <w:sz w:val="24"/>
          <w:szCs w:val="24"/>
        </w:rPr>
        <w:t>tabulate</w:t>
      </w:r>
      <w:r>
        <w:rPr>
          <w:sz w:val="24"/>
          <w:szCs w:val="24"/>
        </w:rPr>
        <w:t xml:space="preserve"> final estimates on the 14th workday </w:t>
      </w:r>
      <w:r w:rsidR="000C2747">
        <w:rPr>
          <w:sz w:val="24"/>
          <w:szCs w:val="24"/>
        </w:rPr>
        <w:t>which are released on the</w:t>
      </w:r>
      <w:r>
        <w:rPr>
          <w:sz w:val="24"/>
          <w:szCs w:val="24"/>
        </w:rPr>
        <w:t xml:space="preserve"> 1</w:t>
      </w:r>
      <w:r w:rsidR="001F1D79">
        <w:rPr>
          <w:sz w:val="24"/>
          <w:szCs w:val="24"/>
        </w:rPr>
        <w:t>7</w:t>
      </w:r>
      <w:r>
        <w:rPr>
          <w:sz w:val="24"/>
          <w:szCs w:val="24"/>
        </w:rPr>
        <w:t>th workday.</w:t>
      </w:r>
    </w:p>
    <w:p w:rsidR="00164842" w:rsidRDefault="00164842" w14:paraId="51BDA541" w14:textId="77777777">
      <w:pPr>
        <w:rPr>
          <w:sz w:val="24"/>
          <w:szCs w:val="24"/>
        </w:rPr>
      </w:pPr>
    </w:p>
    <w:p w:rsidR="00D5535C" w:rsidRDefault="00164842" w14:paraId="737998DC" w14:textId="77777777">
      <w:pPr>
        <w:tabs>
          <w:tab w:val="left" w:pos="720"/>
        </w:tabs>
        <w:ind w:left="1440"/>
        <w:rPr>
          <w:sz w:val="24"/>
          <w:szCs w:val="24"/>
        </w:rPr>
      </w:pPr>
      <w:r>
        <w:rPr>
          <w:sz w:val="24"/>
          <w:szCs w:val="24"/>
        </w:rPr>
        <w:t xml:space="preserve">We receive the annual </w:t>
      </w:r>
      <w:r w:rsidR="004B0A7D">
        <w:rPr>
          <w:sz w:val="24"/>
          <w:szCs w:val="24"/>
        </w:rPr>
        <w:t>reports</w:t>
      </w:r>
      <w:r>
        <w:rPr>
          <w:sz w:val="24"/>
          <w:szCs w:val="24"/>
        </w:rPr>
        <w:t xml:space="preserve"> in the first three months following the end of the survey year.  We process</w:t>
      </w:r>
      <w:r w:rsidR="004B0A7D">
        <w:rPr>
          <w:sz w:val="24"/>
          <w:szCs w:val="24"/>
        </w:rPr>
        <w:t xml:space="preserve"> and </w:t>
      </w:r>
      <w:r>
        <w:rPr>
          <w:sz w:val="24"/>
          <w:szCs w:val="24"/>
        </w:rPr>
        <w:t>edit</w:t>
      </w:r>
      <w:r w:rsidR="004B0A7D">
        <w:rPr>
          <w:sz w:val="24"/>
          <w:szCs w:val="24"/>
        </w:rPr>
        <w:t xml:space="preserve"> the data as it is </w:t>
      </w:r>
      <w:proofErr w:type="gramStart"/>
      <w:r w:rsidR="004B0A7D">
        <w:rPr>
          <w:sz w:val="24"/>
          <w:szCs w:val="24"/>
        </w:rPr>
        <w:t>received</w:t>
      </w:r>
      <w:r>
        <w:rPr>
          <w:sz w:val="24"/>
          <w:szCs w:val="24"/>
        </w:rPr>
        <w:t>, and</w:t>
      </w:r>
      <w:proofErr w:type="gramEnd"/>
      <w:r>
        <w:rPr>
          <w:sz w:val="24"/>
          <w:szCs w:val="24"/>
        </w:rPr>
        <w:t xml:space="preserve"> tabulate the data in the fourth month following the survey year.  We release the data </w:t>
      </w:r>
      <w:r w:rsidR="0080488F">
        <w:rPr>
          <w:sz w:val="24"/>
          <w:szCs w:val="24"/>
        </w:rPr>
        <w:t>each year on the first working day in May</w:t>
      </w:r>
      <w:r>
        <w:rPr>
          <w:sz w:val="24"/>
          <w:szCs w:val="24"/>
        </w:rPr>
        <w:t>.</w:t>
      </w:r>
    </w:p>
    <w:p w:rsidR="00D5535C" w:rsidRDefault="00D5535C" w14:paraId="1AEA1F7E" w14:textId="77777777">
      <w:pPr>
        <w:tabs>
          <w:tab w:val="left" w:pos="720"/>
        </w:tabs>
        <w:ind w:left="1440"/>
        <w:rPr>
          <w:sz w:val="24"/>
          <w:szCs w:val="24"/>
        </w:rPr>
      </w:pPr>
    </w:p>
    <w:p w:rsidR="00164842" w:rsidRDefault="00164842" w14:paraId="22C6EA16" w14:textId="77777777">
      <w:pPr>
        <w:ind w:left="1350"/>
        <w:rPr>
          <w:sz w:val="24"/>
          <w:szCs w:val="24"/>
        </w:rPr>
      </w:pPr>
    </w:p>
    <w:p w:rsidR="00164842" w:rsidRDefault="00164842" w14:paraId="440F0224" w14:textId="77777777">
      <w:pPr>
        <w:numPr>
          <w:ilvl w:val="12"/>
          <w:numId w:val="0"/>
        </w:numPr>
        <w:tabs>
          <w:tab w:val="left" w:pos="720"/>
          <w:tab w:val="left" w:pos="1440"/>
        </w:tabs>
        <w:ind w:left="1440" w:hanging="720"/>
        <w:rPr>
          <w:b/>
          <w:bCs/>
          <w:sz w:val="24"/>
          <w:szCs w:val="24"/>
        </w:rPr>
      </w:pPr>
      <w:r>
        <w:rPr>
          <w:b/>
          <w:bCs/>
          <w:sz w:val="24"/>
          <w:szCs w:val="24"/>
        </w:rPr>
        <w:t>17.</w:t>
      </w:r>
      <w:r>
        <w:rPr>
          <w:b/>
          <w:bCs/>
          <w:sz w:val="24"/>
          <w:szCs w:val="24"/>
        </w:rPr>
        <w:tab/>
      </w:r>
      <w:r>
        <w:rPr>
          <w:b/>
          <w:bCs/>
          <w:sz w:val="24"/>
          <w:szCs w:val="24"/>
          <w:u w:val="single"/>
        </w:rPr>
        <w:t>Request to Not Display Expiration Date</w:t>
      </w:r>
    </w:p>
    <w:p w:rsidR="00164842" w:rsidRDefault="00164842" w14:paraId="0ED2091B" w14:textId="77777777">
      <w:pPr>
        <w:numPr>
          <w:ilvl w:val="12"/>
          <w:numId w:val="0"/>
        </w:numPr>
        <w:ind w:left="1440"/>
        <w:rPr>
          <w:sz w:val="24"/>
          <w:szCs w:val="24"/>
        </w:rPr>
      </w:pPr>
    </w:p>
    <w:p w:rsidR="00164842" w:rsidRDefault="00164842" w14:paraId="2AB4051C" w14:textId="77777777">
      <w:pPr>
        <w:pStyle w:val="BodyTextIndent"/>
      </w:pPr>
      <w:r>
        <w:t>The expiration date will be printed on the form.</w:t>
      </w:r>
    </w:p>
    <w:p w:rsidR="00164842" w:rsidRDefault="00164842" w14:paraId="5734D4C5" w14:textId="77777777">
      <w:pPr>
        <w:numPr>
          <w:ilvl w:val="12"/>
          <w:numId w:val="0"/>
        </w:numPr>
        <w:ind w:left="1440"/>
        <w:rPr>
          <w:sz w:val="24"/>
          <w:szCs w:val="24"/>
        </w:rPr>
      </w:pPr>
    </w:p>
    <w:p w:rsidR="00164842" w:rsidRDefault="00164842" w14:paraId="20D35BFD" w14:textId="77777777">
      <w:pPr>
        <w:numPr>
          <w:ilvl w:val="12"/>
          <w:numId w:val="0"/>
        </w:numPr>
        <w:tabs>
          <w:tab w:val="left" w:pos="720"/>
          <w:tab w:val="left" w:pos="1440"/>
        </w:tabs>
        <w:ind w:left="1440" w:hanging="720"/>
        <w:rPr>
          <w:b/>
          <w:bCs/>
          <w:sz w:val="24"/>
          <w:szCs w:val="24"/>
        </w:rPr>
      </w:pPr>
      <w:r>
        <w:rPr>
          <w:b/>
          <w:bCs/>
          <w:sz w:val="24"/>
          <w:szCs w:val="24"/>
        </w:rPr>
        <w:lastRenderedPageBreak/>
        <w:t>18.</w:t>
      </w:r>
      <w:r>
        <w:rPr>
          <w:b/>
          <w:bCs/>
          <w:sz w:val="24"/>
          <w:szCs w:val="24"/>
        </w:rPr>
        <w:tab/>
      </w:r>
      <w:r>
        <w:rPr>
          <w:b/>
          <w:bCs/>
          <w:sz w:val="24"/>
          <w:szCs w:val="24"/>
          <w:u w:val="single"/>
        </w:rPr>
        <w:t>Exceptions to the Certification</w:t>
      </w:r>
    </w:p>
    <w:p w:rsidR="00164842" w:rsidRDefault="00164842" w14:paraId="677CCB41" w14:textId="77777777">
      <w:pPr>
        <w:numPr>
          <w:ilvl w:val="12"/>
          <w:numId w:val="0"/>
        </w:numPr>
        <w:rPr>
          <w:sz w:val="24"/>
          <w:szCs w:val="24"/>
        </w:rPr>
      </w:pPr>
    </w:p>
    <w:p w:rsidR="00164842" w:rsidRDefault="00164842" w14:paraId="398E6E5B" w14:textId="77777777">
      <w:pPr>
        <w:pStyle w:val="BodyTextIndent"/>
        <w:numPr>
          <w:ilvl w:val="12"/>
          <w:numId w:val="0"/>
        </w:numPr>
        <w:ind w:left="1440"/>
      </w:pPr>
      <w:r>
        <w:t xml:space="preserve">There are no exceptions. </w:t>
      </w:r>
    </w:p>
    <w:p w:rsidR="00A36331" w:rsidRDefault="00A36331" w14:paraId="282C688F" w14:textId="77777777">
      <w:pPr>
        <w:pStyle w:val="BodyTextIndent"/>
        <w:numPr>
          <w:ilvl w:val="12"/>
          <w:numId w:val="0"/>
        </w:numPr>
        <w:ind w:left="1440"/>
      </w:pPr>
    </w:p>
    <w:p w:rsidR="00A36331" w:rsidP="00A36331" w:rsidRDefault="00A36331" w14:paraId="4AB40513" w14:textId="77777777">
      <w:pPr>
        <w:numPr>
          <w:ilvl w:val="12"/>
          <w:numId w:val="0"/>
        </w:numPr>
        <w:tabs>
          <w:tab w:val="left" w:pos="720"/>
          <w:tab w:val="left" w:pos="1440"/>
        </w:tabs>
        <w:ind w:left="1440" w:hanging="720"/>
        <w:rPr>
          <w:b/>
          <w:bCs/>
          <w:sz w:val="24"/>
          <w:szCs w:val="24"/>
        </w:rPr>
      </w:pPr>
      <w:r>
        <w:rPr>
          <w:b/>
          <w:bCs/>
          <w:sz w:val="24"/>
          <w:szCs w:val="24"/>
        </w:rPr>
        <w:t>19.</w:t>
      </w:r>
      <w:r>
        <w:rPr>
          <w:b/>
          <w:bCs/>
          <w:sz w:val="24"/>
          <w:szCs w:val="24"/>
        </w:rPr>
        <w:tab/>
      </w:r>
      <w:r w:rsidRPr="003C0655">
        <w:rPr>
          <w:b/>
          <w:bCs/>
          <w:sz w:val="24"/>
          <w:szCs w:val="24"/>
          <w:u w:val="single"/>
        </w:rPr>
        <w:t>NAICS Codes Affected</w:t>
      </w:r>
    </w:p>
    <w:p w:rsidR="00A36331" w:rsidRDefault="00A36331" w14:paraId="77337C8C" w14:textId="77777777">
      <w:pPr>
        <w:pStyle w:val="BodyTextIndent"/>
        <w:numPr>
          <w:ilvl w:val="12"/>
          <w:numId w:val="0"/>
        </w:numPr>
        <w:ind w:left="1440"/>
      </w:pPr>
    </w:p>
    <w:p w:rsidR="008145F8" w:rsidRDefault="005D0E16" w14:paraId="0D3DEE1D" w14:textId="77777777">
      <w:pPr>
        <w:pStyle w:val="BodyTextIndent"/>
        <w:numPr>
          <w:ilvl w:val="12"/>
          <w:numId w:val="0"/>
        </w:numPr>
        <w:ind w:left="1440"/>
      </w:pPr>
      <w:r>
        <w:t>The data for this survey are not collected using the NAICS categories</w:t>
      </w:r>
      <w:r w:rsidR="00B03471">
        <w:t>, however, the industries</w:t>
      </w:r>
      <w:r>
        <w:t xml:space="preserve"> being measured fall within NAICS 236115</w:t>
      </w:r>
      <w:r w:rsidR="00F468FE">
        <w:t xml:space="preserve"> (New Single-Family Housing Construction (except For-Sale Builders)) and </w:t>
      </w:r>
      <w:r w:rsidR="00B03471">
        <w:t xml:space="preserve">NAICS </w:t>
      </w:r>
      <w:r>
        <w:t>236116</w:t>
      </w:r>
      <w:r w:rsidR="00F468FE">
        <w:t xml:space="preserve"> (New Multifamily Housing Construction (except For-Sale Builders))</w:t>
      </w:r>
      <w:r>
        <w:t>.</w:t>
      </w:r>
    </w:p>
    <w:sectPr w:rsidR="008145F8">
      <w:headerReference w:type="default" r:id="rId11"/>
      <w:footnotePr>
        <w:numRestart w:val="eachPage"/>
      </w:footnotePr>
      <w:endnotePr>
        <w:numFmt w:val="decimal"/>
      </w:endnotePr>
      <w:type w:val="continuous"/>
      <w:pgSz w:w="12240" w:h="15840"/>
      <w:pgMar w:top="1440" w:right="1440" w:bottom="135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4E5B5" w14:textId="77777777" w:rsidR="002A5D43" w:rsidRDefault="002A5D43">
      <w:r>
        <w:separator/>
      </w:r>
    </w:p>
  </w:endnote>
  <w:endnote w:type="continuationSeparator" w:id="0">
    <w:p w14:paraId="7EFA42A1" w14:textId="77777777" w:rsidR="002A5D43" w:rsidRDefault="002A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48DB4" w14:textId="77777777" w:rsidR="002A5D43" w:rsidRDefault="002A5D43">
      <w:r>
        <w:separator/>
      </w:r>
    </w:p>
  </w:footnote>
  <w:footnote w:type="continuationSeparator" w:id="0">
    <w:p w14:paraId="32605F2D" w14:textId="77777777" w:rsidR="002A5D43" w:rsidRDefault="002A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A18C6" w14:textId="77777777" w:rsidR="003127AD" w:rsidRDefault="003127AD">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F80E2A">
      <w:rPr>
        <w:noProof/>
        <w:sz w:val="24"/>
        <w:szCs w:val="24"/>
      </w:rPr>
      <w:t>5</w:t>
    </w:r>
    <w:r>
      <w:rPr>
        <w:sz w:val="24"/>
        <w:szCs w:val="24"/>
      </w:rPr>
      <w:fldChar w:fldCharType="end"/>
    </w:r>
  </w:p>
  <w:p w14:paraId="1735324F" w14:textId="77777777" w:rsidR="003127AD" w:rsidRDefault="003127AD">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23447" w14:textId="77777777" w:rsidR="003127AD" w:rsidRDefault="003127AD">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F80E2A">
      <w:rPr>
        <w:noProof/>
        <w:sz w:val="24"/>
        <w:szCs w:val="24"/>
      </w:rPr>
      <w:t>8</w:t>
    </w:r>
    <w:r>
      <w:rPr>
        <w:sz w:val="24"/>
        <w:szCs w:val="24"/>
      </w:rPr>
      <w:fldChar w:fldCharType="end"/>
    </w:r>
  </w:p>
  <w:p w14:paraId="0F3C696E" w14:textId="77777777" w:rsidR="003127AD" w:rsidRDefault="003127AD">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1CCE5419"/>
    <w:multiLevelType w:val="hybridMultilevel"/>
    <w:tmpl w:val="2708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847312"/>
    <w:multiLevelType w:val="hybridMultilevel"/>
    <w:tmpl w:val="4494677C"/>
    <w:lvl w:ilvl="0" w:tplc="720CCD44">
      <w:start w:val="13"/>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1232BB"/>
    <w:multiLevelType w:val="hybridMultilevel"/>
    <w:tmpl w:val="21200F24"/>
    <w:lvl w:ilvl="0" w:tplc="7386420C">
      <w:start w:val="4"/>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E362CDF"/>
    <w:multiLevelType w:val="hybridMultilevel"/>
    <w:tmpl w:val="06B0FF30"/>
    <w:lvl w:ilvl="0" w:tplc="D764CE04">
      <w:start w:val="1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514F10DA"/>
    <w:multiLevelType w:val="hybridMultilevel"/>
    <w:tmpl w:val="56DE017A"/>
    <w:lvl w:ilvl="0" w:tplc="C4604604">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F53674"/>
    <w:multiLevelType w:val="hybridMultilevel"/>
    <w:tmpl w:val="C3E4B382"/>
    <w:lvl w:ilvl="0" w:tplc="D29E861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6"/>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164842"/>
    <w:rsid w:val="00004987"/>
    <w:rsid w:val="000058CB"/>
    <w:rsid w:val="00005B0F"/>
    <w:rsid w:val="00005C69"/>
    <w:rsid w:val="00006438"/>
    <w:rsid w:val="000071A8"/>
    <w:rsid w:val="000103CD"/>
    <w:rsid w:val="00020025"/>
    <w:rsid w:val="0002407E"/>
    <w:rsid w:val="00030111"/>
    <w:rsid w:val="00032CEB"/>
    <w:rsid w:val="000347FA"/>
    <w:rsid w:val="00042AAB"/>
    <w:rsid w:val="000541BC"/>
    <w:rsid w:val="00060389"/>
    <w:rsid w:val="0006588E"/>
    <w:rsid w:val="00076AEC"/>
    <w:rsid w:val="0008531C"/>
    <w:rsid w:val="00087CDF"/>
    <w:rsid w:val="000927EB"/>
    <w:rsid w:val="000A624D"/>
    <w:rsid w:val="000B031C"/>
    <w:rsid w:val="000B1104"/>
    <w:rsid w:val="000B11BB"/>
    <w:rsid w:val="000C2747"/>
    <w:rsid w:val="000C2894"/>
    <w:rsid w:val="000C7F2D"/>
    <w:rsid w:val="000D1E57"/>
    <w:rsid w:val="000E2DAA"/>
    <w:rsid w:val="000F08D1"/>
    <w:rsid w:val="000F6138"/>
    <w:rsid w:val="001018E1"/>
    <w:rsid w:val="00101A0E"/>
    <w:rsid w:val="001143A6"/>
    <w:rsid w:val="00133A6C"/>
    <w:rsid w:val="00134C41"/>
    <w:rsid w:val="00142D2A"/>
    <w:rsid w:val="0014648F"/>
    <w:rsid w:val="001533EA"/>
    <w:rsid w:val="00161059"/>
    <w:rsid w:val="00162941"/>
    <w:rsid w:val="00164842"/>
    <w:rsid w:val="00167466"/>
    <w:rsid w:val="0017076A"/>
    <w:rsid w:val="001756A3"/>
    <w:rsid w:val="00187CEB"/>
    <w:rsid w:val="00190572"/>
    <w:rsid w:val="001C3A64"/>
    <w:rsid w:val="001D0C29"/>
    <w:rsid w:val="001D26CB"/>
    <w:rsid w:val="001D5681"/>
    <w:rsid w:val="001F0223"/>
    <w:rsid w:val="001F1D79"/>
    <w:rsid w:val="001F2780"/>
    <w:rsid w:val="001F3756"/>
    <w:rsid w:val="00201AC0"/>
    <w:rsid w:val="002041DF"/>
    <w:rsid w:val="00225155"/>
    <w:rsid w:val="00247BD4"/>
    <w:rsid w:val="00251870"/>
    <w:rsid w:val="00252036"/>
    <w:rsid w:val="00253EED"/>
    <w:rsid w:val="00266F0E"/>
    <w:rsid w:val="00277D44"/>
    <w:rsid w:val="002814AE"/>
    <w:rsid w:val="0029141A"/>
    <w:rsid w:val="002956DB"/>
    <w:rsid w:val="002A3578"/>
    <w:rsid w:val="002A5D43"/>
    <w:rsid w:val="002A6618"/>
    <w:rsid w:val="002B03D9"/>
    <w:rsid w:val="002B54E4"/>
    <w:rsid w:val="002B6954"/>
    <w:rsid w:val="002C39A1"/>
    <w:rsid w:val="002C44BC"/>
    <w:rsid w:val="002E170E"/>
    <w:rsid w:val="002E2AA8"/>
    <w:rsid w:val="002E3EE8"/>
    <w:rsid w:val="002F27D4"/>
    <w:rsid w:val="002F28FE"/>
    <w:rsid w:val="002F6D51"/>
    <w:rsid w:val="00300E32"/>
    <w:rsid w:val="003048C6"/>
    <w:rsid w:val="00305568"/>
    <w:rsid w:val="003127AD"/>
    <w:rsid w:val="003217A8"/>
    <w:rsid w:val="003226E8"/>
    <w:rsid w:val="00324BE7"/>
    <w:rsid w:val="00345A78"/>
    <w:rsid w:val="00346A32"/>
    <w:rsid w:val="00354FD5"/>
    <w:rsid w:val="0036029B"/>
    <w:rsid w:val="003645BA"/>
    <w:rsid w:val="00365F5A"/>
    <w:rsid w:val="00367C7D"/>
    <w:rsid w:val="00390497"/>
    <w:rsid w:val="003976B0"/>
    <w:rsid w:val="003C0655"/>
    <w:rsid w:val="003E6D34"/>
    <w:rsid w:val="00402AD8"/>
    <w:rsid w:val="00406951"/>
    <w:rsid w:val="00407673"/>
    <w:rsid w:val="00424A23"/>
    <w:rsid w:val="00425759"/>
    <w:rsid w:val="00445A86"/>
    <w:rsid w:val="00445F62"/>
    <w:rsid w:val="00462E22"/>
    <w:rsid w:val="00463708"/>
    <w:rsid w:val="004708B8"/>
    <w:rsid w:val="00470BAD"/>
    <w:rsid w:val="00486301"/>
    <w:rsid w:val="00496EC7"/>
    <w:rsid w:val="004A5974"/>
    <w:rsid w:val="004B0A7D"/>
    <w:rsid w:val="004B2602"/>
    <w:rsid w:val="004C13A9"/>
    <w:rsid w:val="004C2490"/>
    <w:rsid w:val="004D059A"/>
    <w:rsid w:val="004E1BDC"/>
    <w:rsid w:val="00510F14"/>
    <w:rsid w:val="00511DC0"/>
    <w:rsid w:val="0051725F"/>
    <w:rsid w:val="005272AE"/>
    <w:rsid w:val="00541C26"/>
    <w:rsid w:val="0055220B"/>
    <w:rsid w:val="00556277"/>
    <w:rsid w:val="00574714"/>
    <w:rsid w:val="00592F07"/>
    <w:rsid w:val="005A2EEC"/>
    <w:rsid w:val="005B2120"/>
    <w:rsid w:val="005B5C7E"/>
    <w:rsid w:val="005B630D"/>
    <w:rsid w:val="005C0106"/>
    <w:rsid w:val="005D0E16"/>
    <w:rsid w:val="005D1C24"/>
    <w:rsid w:val="005D29E5"/>
    <w:rsid w:val="005E1803"/>
    <w:rsid w:val="00601DFE"/>
    <w:rsid w:val="00622C9A"/>
    <w:rsid w:val="0062344D"/>
    <w:rsid w:val="006237AA"/>
    <w:rsid w:val="00625E93"/>
    <w:rsid w:val="00626F50"/>
    <w:rsid w:val="006303AA"/>
    <w:rsid w:val="006351DB"/>
    <w:rsid w:val="006452C2"/>
    <w:rsid w:val="00645820"/>
    <w:rsid w:val="00656028"/>
    <w:rsid w:val="00663B04"/>
    <w:rsid w:val="00667A71"/>
    <w:rsid w:val="00671EC1"/>
    <w:rsid w:val="006732E8"/>
    <w:rsid w:val="006744F4"/>
    <w:rsid w:val="00690082"/>
    <w:rsid w:val="00696F7A"/>
    <w:rsid w:val="006C61D8"/>
    <w:rsid w:val="006D126F"/>
    <w:rsid w:val="006E6331"/>
    <w:rsid w:val="006E7E1A"/>
    <w:rsid w:val="006F0B32"/>
    <w:rsid w:val="006F1D47"/>
    <w:rsid w:val="006F1FEE"/>
    <w:rsid w:val="006F5B44"/>
    <w:rsid w:val="0070614D"/>
    <w:rsid w:val="007223D2"/>
    <w:rsid w:val="0072631F"/>
    <w:rsid w:val="0073045F"/>
    <w:rsid w:val="00732AE2"/>
    <w:rsid w:val="007346AA"/>
    <w:rsid w:val="007372D8"/>
    <w:rsid w:val="00745175"/>
    <w:rsid w:val="00761DFC"/>
    <w:rsid w:val="00780619"/>
    <w:rsid w:val="00783724"/>
    <w:rsid w:val="00791211"/>
    <w:rsid w:val="007A12FE"/>
    <w:rsid w:val="007A1EAC"/>
    <w:rsid w:val="007A4E4F"/>
    <w:rsid w:val="007B1AD4"/>
    <w:rsid w:val="007B295C"/>
    <w:rsid w:val="007B3ACC"/>
    <w:rsid w:val="007C0ABB"/>
    <w:rsid w:val="007C24AF"/>
    <w:rsid w:val="007D00B7"/>
    <w:rsid w:val="007E4F2F"/>
    <w:rsid w:val="00800179"/>
    <w:rsid w:val="008027B0"/>
    <w:rsid w:val="0080488F"/>
    <w:rsid w:val="00804B53"/>
    <w:rsid w:val="00804D37"/>
    <w:rsid w:val="008133BB"/>
    <w:rsid w:val="008145F8"/>
    <w:rsid w:val="008342D5"/>
    <w:rsid w:val="0084135C"/>
    <w:rsid w:val="00841B65"/>
    <w:rsid w:val="0086006B"/>
    <w:rsid w:val="00875876"/>
    <w:rsid w:val="00877F96"/>
    <w:rsid w:val="00881D3F"/>
    <w:rsid w:val="00886A77"/>
    <w:rsid w:val="008936E1"/>
    <w:rsid w:val="0089542B"/>
    <w:rsid w:val="00895A45"/>
    <w:rsid w:val="008A0F9F"/>
    <w:rsid w:val="008B3024"/>
    <w:rsid w:val="008B3070"/>
    <w:rsid w:val="008B616A"/>
    <w:rsid w:val="008C0FDC"/>
    <w:rsid w:val="00901EAD"/>
    <w:rsid w:val="0090263A"/>
    <w:rsid w:val="009277D9"/>
    <w:rsid w:val="00936AA1"/>
    <w:rsid w:val="00943C0E"/>
    <w:rsid w:val="00944C68"/>
    <w:rsid w:val="00967727"/>
    <w:rsid w:val="00974702"/>
    <w:rsid w:val="00995D82"/>
    <w:rsid w:val="009A7CCA"/>
    <w:rsid w:val="009B3642"/>
    <w:rsid w:val="009B608E"/>
    <w:rsid w:val="009C3B2E"/>
    <w:rsid w:val="009C5260"/>
    <w:rsid w:val="009D204B"/>
    <w:rsid w:val="009E439C"/>
    <w:rsid w:val="009F1B82"/>
    <w:rsid w:val="00A01A76"/>
    <w:rsid w:val="00A1182E"/>
    <w:rsid w:val="00A1267B"/>
    <w:rsid w:val="00A223C3"/>
    <w:rsid w:val="00A36331"/>
    <w:rsid w:val="00A37A15"/>
    <w:rsid w:val="00A44449"/>
    <w:rsid w:val="00A459AA"/>
    <w:rsid w:val="00A55559"/>
    <w:rsid w:val="00A658A1"/>
    <w:rsid w:val="00A72D80"/>
    <w:rsid w:val="00A74AEF"/>
    <w:rsid w:val="00A834C4"/>
    <w:rsid w:val="00A83D6F"/>
    <w:rsid w:val="00A92B16"/>
    <w:rsid w:val="00A94F59"/>
    <w:rsid w:val="00A957AF"/>
    <w:rsid w:val="00AA4DFC"/>
    <w:rsid w:val="00AA5A7A"/>
    <w:rsid w:val="00AC4677"/>
    <w:rsid w:val="00AD4A8F"/>
    <w:rsid w:val="00AD7C39"/>
    <w:rsid w:val="00AF38A0"/>
    <w:rsid w:val="00AF7D8B"/>
    <w:rsid w:val="00B03471"/>
    <w:rsid w:val="00B0784D"/>
    <w:rsid w:val="00B12FCC"/>
    <w:rsid w:val="00B15B98"/>
    <w:rsid w:val="00B15DB0"/>
    <w:rsid w:val="00B23477"/>
    <w:rsid w:val="00B33754"/>
    <w:rsid w:val="00B5433F"/>
    <w:rsid w:val="00B87623"/>
    <w:rsid w:val="00B911D8"/>
    <w:rsid w:val="00B96064"/>
    <w:rsid w:val="00BA3224"/>
    <w:rsid w:val="00BA4FDB"/>
    <w:rsid w:val="00BB0107"/>
    <w:rsid w:val="00BB1325"/>
    <w:rsid w:val="00BC69FC"/>
    <w:rsid w:val="00BD0138"/>
    <w:rsid w:val="00C02081"/>
    <w:rsid w:val="00C12ED7"/>
    <w:rsid w:val="00C20E03"/>
    <w:rsid w:val="00C253CE"/>
    <w:rsid w:val="00C273D9"/>
    <w:rsid w:val="00C31641"/>
    <w:rsid w:val="00C337B8"/>
    <w:rsid w:val="00C435CA"/>
    <w:rsid w:val="00C440C9"/>
    <w:rsid w:val="00C84510"/>
    <w:rsid w:val="00C86CCA"/>
    <w:rsid w:val="00C974A5"/>
    <w:rsid w:val="00CA1DB7"/>
    <w:rsid w:val="00CC284D"/>
    <w:rsid w:val="00CC479A"/>
    <w:rsid w:val="00CD04A3"/>
    <w:rsid w:val="00CD41CB"/>
    <w:rsid w:val="00CD4BD5"/>
    <w:rsid w:val="00CE5934"/>
    <w:rsid w:val="00CF7669"/>
    <w:rsid w:val="00D02BD9"/>
    <w:rsid w:val="00D03FE1"/>
    <w:rsid w:val="00D07A57"/>
    <w:rsid w:val="00D13D46"/>
    <w:rsid w:val="00D26579"/>
    <w:rsid w:val="00D4168B"/>
    <w:rsid w:val="00D537D9"/>
    <w:rsid w:val="00D5535C"/>
    <w:rsid w:val="00D57BF4"/>
    <w:rsid w:val="00D66E24"/>
    <w:rsid w:val="00D80955"/>
    <w:rsid w:val="00D93DAA"/>
    <w:rsid w:val="00D97BE5"/>
    <w:rsid w:val="00DA7DCF"/>
    <w:rsid w:val="00DD7C6E"/>
    <w:rsid w:val="00DE58F0"/>
    <w:rsid w:val="00DF3124"/>
    <w:rsid w:val="00E02956"/>
    <w:rsid w:val="00E07F5C"/>
    <w:rsid w:val="00E3086A"/>
    <w:rsid w:val="00E30E01"/>
    <w:rsid w:val="00E40AF9"/>
    <w:rsid w:val="00E5061A"/>
    <w:rsid w:val="00E512FB"/>
    <w:rsid w:val="00E53390"/>
    <w:rsid w:val="00E54170"/>
    <w:rsid w:val="00E61D91"/>
    <w:rsid w:val="00E6287C"/>
    <w:rsid w:val="00E65563"/>
    <w:rsid w:val="00E75105"/>
    <w:rsid w:val="00E852E2"/>
    <w:rsid w:val="00EA0CFB"/>
    <w:rsid w:val="00EA0FD7"/>
    <w:rsid w:val="00EA1701"/>
    <w:rsid w:val="00EA6C4A"/>
    <w:rsid w:val="00EA6F22"/>
    <w:rsid w:val="00EB508F"/>
    <w:rsid w:val="00EC1808"/>
    <w:rsid w:val="00EC69AB"/>
    <w:rsid w:val="00ED3A4C"/>
    <w:rsid w:val="00EE0D79"/>
    <w:rsid w:val="00EF2D46"/>
    <w:rsid w:val="00F04401"/>
    <w:rsid w:val="00F16280"/>
    <w:rsid w:val="00F31EA7"/>
    <w:rsid w:val="00F32175"/>
    <w:rsid w:val="00F33693"/>
    <w:rsid w:val="00F37B57"/>
    <w:rsid w:val="00F41D83"/>
    <w:rsid w:val="00F468FE"/>
    <w:rsid w:val="00F547E8"/>
    <w:rsid w:val="00F738B0"/>
    <w:rsid w:val="00F80E2A"/>
    <w:rsid w:val="00F97592"/>
    <w:rsid w:val="00FA15DF"/>
    <w:rsid w:val="00FA550C"/>
    <w:rsid w:val="00FB0989"/>
    <w:rsid w:val="00FB37A2"/>
    <w:rsid w:val="00FB610E"/>
    <w:rsid w:val="00FC1E1F"/>
    <w:rsid w:val="00FC6059"/>
    <w:rsid w:val="00FD74B0"/>
    <w:rsid w:val="00FE0326"/>
    <w:rsid w:val="00FE7D4E"/>
    <w:rsid w:val="00FF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7FB055"/>
  <w15:chartTrackingRefBased/>
  <w15:docId w15:val="{6756B893-CBE6-4FAA-BDCD-51AAFEEF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ind w:left="2160"/>
      <w:outlineLvl w:val="7"/>
    </w:pPr>
    <w:rPr>
      <w:sz w:val="24"/>
    </w:rPr>
  </w:style>
  <w:style w:type="paragraph" w:styleId="Heading9">
    <w:name w:val="heading 9"/>
    <w:basedOn w:val="Normal"/>
    <w:next w:val="Normal"/>
    <w:qFormat/>
    <w:pPr>
      <w:keepNext/>
      <w:tabs>
        <w:tab w:val="left" w:pos="-1080"/>
        <w:tab w:val="left" w:pos="-720"/>
        <w:tab w:val="left" w:pos="0"/>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8"/>
    </w:pPr>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style>
  <w:style w:type="paragraph" w:styleId="BodyTextIndent2">
    <w:name w:val="Body Text Indent 2"/>
    <w:basedOn w:val="Normal"/>
    <w:semiHidden/>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firstLine="720"/>
    </w:pPr>
    <w:rPr>
      <w:sz w:val="24"/>
      <w:szCs w:val="24"/>
    </w:rPr>
  </w:style>
  <w:style w:type="paragraph" w:styleId="BodyTextIndent3">
    <w:name w:val="Body Text Indent 3"/>
    <w:basedOn w:val="Normal"/>
    <w:semiHidden/>
    <w:pPr>
      <w:ind w:left="1440"/>
    </w:pPr>
    <w:rPr>
      <w:color w:val="FF0000"/>
      <w:sz w:val="24"/>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1533EA"/>
    <w:rPr>
      <w:sz w:val="16"/>
      <w:szCs w:val="16"/>
    </w:rPr>
  </w:style>
  <w:style w:type="paragraph" w:styleId="CommentText">
    <w:name w:val="annotation text"/>
    <w:basedOn w:val="Normal"/>
    <w:link w:val="CommentTextChar"/>
    <w:uiPriority w:val="99"/>
    <w:unhideWhenUsed/>
    <w:rsid w:val="001533EA"/>
  </w:style>
  <w:style w:type="character" w:customStyle="1" w:styleId="CommentTextChar">
    <w:name w:val="Comment Text Char"/>
    <w:basedOn w:val="DefaultParagraphFont"/>
    <w:link w:val="CommentText"/>
    <w:uiPriority w:val="99"/>
    <w:rsid w:val="001533EA"/>
  </w:style>
  <w:style w:type="paragraph" w:styleId="CommentSubject">
    <w:name w:val="annotation subject"/>
    <w:basedOn w:val="CommentText"/>
    <w:next w:val="CommentText"/>
    <w:link w:val="CommentSubjectChar"/>
    <w:uiPriority w:val="99"/>
    <w:semiHidden/>
    <w:unhideWhenUsed/>
    <w:rsid w:val="001533EA"/>
    <w:rPr>
      <w:b/>
      <w:bCs/>
    </w:rPr>
  </w:style>
  <w:style w:type="character" w:customStyle="1" w:styleId="CommentSubjectChar">
    <w:name w:val="Comment Subject Char"/>
    <w:link w:val="CommentSubject"/>
    <w:uiPriority w:val="99"/>
    <w:semiHidden/>
    <w:rsid w:val="001533EA"/>
    <w:rPr>
      <w:b/>
      <w:bCs/>
    </w:rPr>
  </w:style>
  <w:style w:type="paragraph" w:styleId="BalloonText">
    <w:name w:val="Balloon Text"/>
    <w:basedOn w:val="Normal"/>
    <w:link w:val="BalloonTextChar"/>
    <w:uiPriority w:val="99"/>
    <w:semiHidden/>
    <w:unhideWhenUsed/>
    <w:rsid w:val="001533EA"/>
    <w:rPr>
      <w:rFonts w:ascii="Tahoma" w:hAnsi="Tahoma" w:cs="Tahoma"/>
      <w:sz w:val="16"/>
      <w:szCs w:val="16"/>
    </w:rPr>
  </w:style>
  <w:style w:type="character" w:customStyle="1" w:styleId="BalloonTextChar">
    <w:name w:val="Balloon Text Char"/>
    <w:link w:val="BalloonText"/>
    <w:uiPriority w:val="99"/>
    <w:semiHidden/>
    <w:rsid w:val="001533EA"/>
    <w:rPr>
      <w:rFonts w:ascii="Tahoma" w:hAnsi="Tahoma" w:cs="Tahoma"/>
      <w:sz w:val="16"/>
      <w:szCs w:val="16"/>
    </w:rPr>
  </w:style>
  <w:style w:type="paragraph" w:styleId="Revision">
    <w:name w:val="Revision"/>
    <w:hidden/>
    <w:uiPriority w:val="99"/>
    <w:semiHidden/>
    <w:rsid w:val="00DD7C6E"/>
  </w:style>
  <w:style w:type="paragraph" w:styleId="Header">
    <w:name w:val="header"/>
    <w:basedOn w:val="Normal"/>
    <w:link w:val="HeaderChar"/>
    <w:uiPriority w:val="99"/>
    <w:unhideWhenUsed/>
    <w:rsid w:val="00C974A5"/>
    <w:pPr>
      <w:tabs>
        <w:tab w:val="center" w:pos="4680"/>
        <w:tab w:val="right" w:pos="9360"/>
      </w:tabs>
    </w:pPr>
  </w:style>
  <w:style w:type="character" w:customStyle="1" w:styleId="HeaderChar">
    <w:name w:val="Header Char"/>
    <w:basedOn w:val="DefaultParagraphFont"/>
    <w:link w:val="Header"/>
    <w:uiPriority w:val="99"/>
    <w:rsid w:val="00C974A5"/>
  </w:style>
  <w:style w:type="paragraph" w:styleId="Footer">
    <w:name w:val="footer"/>
    <w:basedOn w:val="Normal"/>
    <w:link w:val="FooterChar"/>
    <w:uiPriority w:val="99"/>
    <w:unhideWhenUsed/>
    <w:rsid w:val="00C974A5"/>
    <w:pPr>
      <w:tabs>
        <w:tab w:val="center" w:pos="4680"/>
        <w:tab w:val="right" w:pos="9360"/>
      </w:tabs>
    </w:pPr>
  </w:style>
  <w:style w:type="character" w:customStyle="1" w:styleId="FooterChar">
    <w:name w:val="Footer Char"/>
    <w:basedOn w:val="DefaultParagraphFont"/>
    <w:link w:val="Footer"/>
    <w:uiPriority w:val="99"/>
    <w:rsid w:val="00C9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670684">
      <w:bodyDiv w:val="1"/>
      <w:marLeft w:val="0"/>
      <w:marRight w:val="0"/>
      <w:marTop w:val="0"/>
      <w:marBottom w:val="0"/>
      <w:divBdr>
        <w:top w:val="none" w:sz="0" w:space="0" w:color="auto"/>
        <w:left w:val="none" w:sz="0" w:space="0" w:color="auto"/>
        <w:bottom w:val="none" w:sz="0" w:space="0" w:color="auto"/>
        <w:right w:val="none" w:sz="0" w:space="0" w:color="auto"/>
      </w:divBdr>
      <w:divsChild>
        <w:div w:id="1528986099">
          <w:marLeft w:val="0"/>
          <w:marRight w:val="0"/>
          <w:marTop w:val="0"/>
          <w:marBottom w:val="0"/>
          <w:divBdr>
            <w:top w:val="none" w:sz="0" w:space="0" w:color="auto"/>
            <w:left w:val="none" w:sz="0" w:space="0" w:color="auto"/>
            <w:bottom w:val="none" w:sz="0" w:space="0" w:color="auto"/>
            <w:right w:val="none" w:sz="0" w:space="0" w:color="auto"/>
          </w:divBdr>
          <w:divsChild>
            <w:div w:id="90400037">
              <w:marLeft w:val="0"/>
              <w:marRight w:val="0"/>
              <w:marTop w:val="0"/>
              <w:marBottom w:val="0"/>
              <w:divBdr>
                <w:top w:val="none" w:sz="0" w:space="0" w:color="auto"/>
                <w:left w:val="none" w:sz="0" w:space="0" w:color="auto"/>
                <w:bottom w:val="none" w:sz="0" w:space="0" w:color="auto"/>
                <w:right w:val="none" w:sz="0" w:space="0" w:color="auto"/>
              </w:divBdr>
              <w:divsChild>
                <w:div w:id="441653620">
                  <w:marLeft w:val="0"/>
                  <w:marRight w:val="0"/>
                  <w:marTop w:val="0"/>
                  <w:marBottom w:val="0"/>
                  <w:divBdr>
                    <w:top w:val="none" w:sz="0" w:space="0" w:color="auto"/>
                    <w:left w:val="none" w:sz="0" w:space="0" w:color="auto"/>
                    <w:bottom w:val="none" w:sz="0" w:space="0" w:color="auto"/>
                    <w:right w:val="none" w:sz="0" w:space="0" w:color="auto"/>
                  </w:divBdr>
                  <w:divsChild>
                    <w:div w:id="46295341">
                      <w:marLeft w:val="0"/>
                      <w:marRight w:val="0"/>
                      <w:marTop w:val="0"/>
                      <w:marBottom w:val="0"/>
                      <w:divBdr>
                        <w:top w:val="none" w:sz="0" w:space="0" w:color="auto"/>
                        <w:left w:val="none" w:sz="0" w:space="0" w:color="auto"/>
                        <w:bottom w:val="none" w:sz="0" w:space="0" w:color="auto"/>
                        <w:right w:val="none" w:sz="0" w:space="0" w:color="auto"/>
                      </w:divBdr>
                      <w:divsChild>
                        <w:div w:id="1653676000">
                          <w:marLeft w:val="0"/>
                          <w:marRight w:val="0"/>
                          <w:marTop w:val="0"/>
                          <w:marBottom w:val="0"/>
                          <w:divBdr>
                            <w:top w:val="none" w:sz="0" w:space="0" w:color="auto"/>
                            <w:left w:val="none" w:sz="0" w:space="0" w:color="auto"/>
                            <w:bottom w:val="none" w:sz="0" w:space="0" w:color="auto"/>
                            <w:right w:val="none" w:sz="0" w:space="0" w:color="auto"/>
                          </w:divBdr>
                          <w:divsChild>
                            <w:div w:id="2109764719">
                              <w:marLeft w:val="0"/>
                              <w:marRight w:val="0"/>
                              <w:marTop w:val="0"/>
                              <w:marBottom w:val="0"/>
                              <w:divBdr>
                                <w:top w:val="none" w:sz="0" w:space="0" w:color="auto"/>
                                <w:left w:val="none" w:sz="0" w:space="0" w:color="auto"/>
                                <w:bottom w:val="none" w:sz="0" w:space="0" w:color="auto"/>
                                <w:right w:val="none" w:sz="0" w:space="0" w:color="auto"/>
                              </w:divBdr>
                              <w:divsChild>
                                <w:div w:id="1199971703">
                                  <w:marLeft w:val="0"/>
                                  <w:marRight w:val="0"/>
                                  <w:marTop w:val="0"/>
                                  <w:marBottom w:val="0"/>
                                  <w:divBdr>
                                    <w:top w:val="none" w:sz="0" w:space="0" w:color="auto"/>
                                    <w:left w:val="none" w:sz="0" w:space="0" w:color="auto"/>
                                    <w:bottom w:val="none" w:sz="0" w:space="0" w:color="auto"/>
                                    <w:right w:val="none" w:sz="0" w:space="0" w:color="auto"/>
                                  </w:divBdr>
                                  <w:divsChild>
                                    <w:div w:id="84570165">
                                      <w:marLeft w:val="0"/>
                                      <w:marRight w:val="0"/>
                                      <w:marTop w:val="0"/>
                                      <w:marBottom w:val="0"/>
                                      <w:divBdr>
                                        <w:top w:val="none" w:sz="0" w:space="0" w:color="auto"/>
                                        <w:left w:val="none" w:sz="0" w:space="0" w:color="auto"/>
                                        <w:bottom w:val="none" w:sz="0" w:space="0" w:color="auto"/>
                                        <w:right w:val="none" w:sz="0" w:space="0" w:color="auto"/>
                                      </w:divBdr>
                                      <w:divsChild>
                                        <w:div w:id="1506165097">
                                          <w:marLeft w:val="0"/>
                                          <w:marRight w:val="0"/>
                                          <w:marTop w:val="0"/>
                                          <w:marBottom w:val="0"/>
                                          <w:divBdr>
                                            <w:top w:val="none" w:sz="0" w:space="0" w:color="auto"/>
                                            <w:left w:val="none" w:sz="0" w:space="0" w:color="auto"/>
                                            <w:bottom w:val="none" w:sz="0" w:space="0" w:color="auto"/>
                                            <w:right w:val="none" w:sz="0" w:space="0" w:color="auto"/>
                                          </w:divBdr>
                                          <w:divsChild>
                                            <w:div w:id="170222548">
                                              <w:marLeft w:val="0"/>
                                              <w:marRight w:val="0"/>
                                              <w:marTop w:val="0"/>
                                              <w:marBottom w:val="0"/>
                                              <w:divBdr>
                                                <w:top w:val="none" w:sz="0" w:space="0" w:color="auto"/>
                                                <w:left w:val="none" w:sz="0" w:space="0" w:color="auto"/>
                                                <w:bottom w:val="none" w:sz="0" w:space="0" w:color="auto"/>
                                                <w:right w:val="none" w:sz="0" w:space="0" w:color="auto"/>
                                              </w:divBdr>
                                              <w:divsChild>
                                                <w:div w:id="809859624">
                                                  <w:marLeft w:val="0"/>
                                                  <w:marRight w:val="0"/>
                                                  <w:marTop w:val="0"/>
                                                  <w:marBottom w:val="0"/>
                                                  <w:divBdr>
                                                    <w:top w:val="none" w:sz="0" w:space="0" w:color="auto"/>
                                                    <w:left w:val="none" w:sz="0" w:space="0" w:color="auto"/>
                                                    <w:bottom w:val="none" w:sz="0" w:space="0" w:color="auto"/>
                                                    <w:right w:val="none" w:sz="0" w:space="0" w:color="auto"/>
                                                  </w:divBdr>
                                                  <w:divsChild>
                                                    <w:div w:id="794837441">
                                                      <w:marLeft w:val="0"/>
                                                      <w:marRight w:val="0"/>
                                                      <w:marTop w:val="0"/>
                                                      <w:marBottom w:val="0"/>
                                                      <w:divBdr>
                                                        <w:top w:val="none" w:sz="0" w:space="0" w:color="auto"/>
                                                        <w:left w:val="none" w:sz="0" w:space="0" w:color="auto"/>
                                                        <w:bottom w:val="none" w:sz="0" w:space="0" w:color="auto"/>
                                                        <w:right w:val="none" w:sz="0" w:space="0" w:color="auto"/>
                                                      </w:divBdr>
                                                      <w:divsChild>
                                                        <w:div w:id="1784761127">
                                                          <w:marLeft w:val="0"/>
                                                          <w:marRight w:val="0"/>
                                                          <w:marTop w:val="0"/>
                                                          <w:marBottom w:val="0"/>
                                                          <w:divBdr>
                                                            <w:top w:val="none" w:sz="0" w:space="0" w:color="auto"/>
                                                            <w:left w:val="none" w:sz="0" w:space="0" w:color="auto"/>
                                                            <w:bottom w:val="none" w:sz="0" w:space="0" w:color="auto"/>
                                                            <w:right w:val="none" w:sz="0" w:space="0" w:color="auto"/>
                                                          </w:divBdr>
                                                          <w:divsChild>
                                                            <w:div w:id="1361859623">
                                                              <w:marLeft w:val="0"/>
                                                              <w:marRight w:val="0"/>
                                                              <w:marTop w:val="0"/>
                                                              <w:marBottom w:val="0"/>
                                                              <w:divBdr>
                                                                <w:top w:val="none" w:sz="0" w:space="0" w:color="auto"/>
                                                                <w:left w:val="none" w:sz="0" w:space="0" w:color="auto"/>
                                                                <w:bottom w:val="none" w:sz="0" w:space="0" w:color="auto"/>
                                                                <w:right w:val="none" w:sz="0" w:space="0" w:color="auto"/>
                                                              </w:divBdr>
                                                              <w:divsChild>
                                                                <w:div w:id="1909027383">
                                                                  <w:marLeft w:val="480"/>
                                                                  <w:marRight w:val="0"/>
                                                                  <w:marTop w:val="0"/>
                                                                  <w:marBottom w:val="0"/>
                                                                  <w:divBdr>
                                                                    <w:top w:val="none" w:sz="0" w:space="0" w:color="auto"/>
                                                                    <w:left w:val="none" w:sz="0" w:space="0" w:color="auto"/>
                                                                    <w:bottom w:val="none" w:sz="0" w:space="0" w:color="auto"/>
                                                                    <w:right w:val="none" w:sz="0" w:space="0" w:color="auto"/>
                                                                  </w:divBdr>
                                                                  <w:divsChild>
                                                                    <w:div w:id="1340547931">
                                                                      <w:marLeft w:val="0"/>
                                                                      <w:marRight w:val="0"/>
                                                                      <w:marTop w:val="0"/>
                                                                      <w:marBottom w:val="0"/>
                                                                      <w:divBdr>
                                                                        <w:top w:val="none" w:sz="0" w:space="0" w:color="auto"/>
                                                                        <w:left w:val="none" w:sz="0" w:space="0" w:color="auto"/>
                                                                        <w:bottom w:val="none" w:sz="0" w:space="0" w:color="auto"/>
                                                                        <w:right w:val="none" w:sz="0" w:space="0" w:color="auto"/>
                                                                      </w:divBdr>
                                                                      <w:divsChild>
                                                                        <w:div w:id="394932580">
                                                                          <w:marLeft w:val="0"/>
                                                                          <w:marRight w:val="0"/>
                                                                          <w:marTop w:val="0"/>
                                                                          <w:marBottom w:val="0"/>
                                                                          <w:divBdr>
                                                                            <w:top w:val="none" w:sz="0" w:space="0" w:color="auto"/>
                                                                            <w:left w:val="none" w:sz="0" w:space="0" w:color="auto"/>
                                                                            <w:bottom w:val="none" w:sz="0" w:space="0" w:color="auto"/>
                                                                            <w:right w:val="none" w:sz="0" w:space="0" w:color="auto"/>
                                                                          </w:divBdr>
                                                                          <w:divsChild>
                                                                            <w:div w:id="1770345705">
                                                                              <w:marLeft w:val="0"/>
                                                                              <w:marRight w:val="0"/>
                                                                              <w:marTop w:val="240"/>
                                                                              <w:marBottom w:val="0"/>
                                                                              <w:divBdr>
                                                                                <w:top w:val="none" w:sz="0" w:space="0" w:color="auto"/>
                                                                                <w:left w:val="none" w:sz="0" w:space="0" w:color="auto"/>
                                                                                <w:bottom w:val="none" w:sz="0" w:space="0" w:color="auto"/>
                                                                                <w:right w:val="none" w:sz="0" w:space="0" w:color="auto"/>
                                                                              </w:divBdr>
                                                                              <w:divsChild>
                                                                                <w:div w:id="1964145305">
                                                                                  <w:marLeft w:val="0"/>
                                                                                  <w:marRight w:val="0"/>
                                                                                  <w:marTop w:val="0"/>
                                                                                  <w:marBottom w:val="0"/>
                                                                                  <w:divBdr>
                                                                                    <w:top w:val="none" w:sz="0" w:space="0" w:color="auto"/>
                                                                                    <w:left w:val="none" w:sz="0" w:space="0" w:color="auto"/>
                                                                                    <w:bottom w:val="none" w:sz="0" w:space="0" w:color="auto"/>
                                                                                    <w:right w:val="none" w:sz="0" w:space="0" w:color="auto"/>
                                                                                  </w:divBdr>
                                                                                  <w:divsChild>
                                                                                    <w:div w:id="675425780">
                                                                                      <w:marLeft w:val="0"/>
                                                                                      <w:marRight w:val="0"/>
                                                                                      <w:marTop w:val="0"/>
                                                                                      <w:marBottom w:val="0"/>
                                                                                      <w:divBdr>
                                                                                        <w:top w:val="none" w:sz="0" w:space="0" w:color="auto"/>
                                                                                        <w:left w:val="none" w:sz="0" w:space="0" w:color="auto"/>
                                                                                        <w:bottom w:val="none" w:sz="0" w:space="0" w:color="auto"/>
                                                                                        <w:right w:val="none" w:sz="0" w:space="0" w:color="auto"/>
                                                                                      </w:divBdr>
                                                                                      <w:divsChild>
                                                                                        <w:div w:id="452938835">
                                                                                          <w:marLeft w:val="0"/>
                                                                                          <w:marRight w:val="0"/>
                                                                                          <w:marTop w:val="0"/>
                                                                                          <w:marBottom w:val="0"/>
                                                                                          <w:divBdr>
                                                                                            <w:top w:val="none" w:sz="0" w:space="0" w:color="auto"/>
                                                                                            <w:left w:val="none" w:sz="0" w:space="0" w:color="auto"/>
                                                                                            <w:bottom w:val="none" w:sz="0" w:space="0" w:color="auto"/>
                                                                                            <w:right w:val="none" w:sz="0" w:space="0" w:color="auto"/>
                                                                                          </w:divBdr>
                                                                                          <w:divsChild>
                                                                                            <w:div w:id="1856843750">
                                                                                              <w:marLeft w:val="0"/>
                                                                                              <w:marRight w:val="0"/>
                                                                                              <w:marTop w:val="0"/>
                                                                                              <w:marBottom w:val="0"/>
                                                                                              <w:divBdr>
                                                                                                <w:top w:val="none" w:sz="0" w:space="0" w:color="auto"/>
                                                                                                <w:left w:val="none" w:sz="0" w:space="0" w:color="auto"/>
                                                                                                <w:bottom w:val="none" w:sz="0" w:space="0" w:color="auto"/>
                                                                                                <w:right w:val="none" w:sz="0" w:space="0" w:color="auto"/>
                                                                                              </w:divBdr>
                                                                                              <w:divsChild>
                                                                                                <w:div w:id="1988389261">
                                                                                                  <w:marLeft w:val="0"/>
                                                                                                  <w:marRight w:val="0"/>
                                                                                                  <w:marTop w:val="0"/>
                                                                                                  <w:marBottom w:val="0"/>
                                                                                                  <w:divBdr>
                                                                                                    <w:top w:val="none" w:sz="0" w:space="0" w:color="auto"/>
                                                                                                    <w:left w:val="none" w:sz="0" w:space="0" w:color="auto"/>
                                                                                                    <w:bottom w:val="none" w:sz="0" w:space="0" w:color="auto"/>
                                                                                                    <w:right w:val="none" w:sz="0" w:space="0" w:color="auto"/>
                                                                                                  </w:divBdr>
                                                                                                  <w:divsChild>
                                                                                                    <w:div w:id="642001265">
                                                                                                      <w:marLeft w:val="0"/>
                                                                                                      <w:marRight w:val="0"/>
                                                                                                      <w:marTop w:val="0"/>
                                                                                                      <w:marBottom w:val="0"/>
                                                                                                      <w:divBdr>
                                                                                                        <w:top w:val="none" w:sz="0" w:space="0" w:color="auto"/>
                                                                                                        <w:left w:val="none" w:sz="0" w:space="0" w:color="auto"/>
                                                                                                        <w:bottom w:val="none" w:sz="0" w:space="0" w:color="auto"/>
                                                                                                        <w:right w:val="none" w:sz="0" w:space="0" w:color="auto"/>
                                                                                                      </w:divBdr>
                                                                                                      <w:divsChild>
                                                                                                        <w:div w:id="446698094">
                                                                                                          <w:marLeft w:val="0"/>
                                                                                                          <w:marRight w:val="0"/>
                                                                                                          <w:marTop w:val="0"/>
                                                                                                          <w:marBottom w:val="0"/>
                                                                                                          <w:divBdr>
                                                                                                            <w:top w:val="none" w:sz="0" w:space="0" w:color="auto"/>
                                                                                                            <w:left w:val="none" w:sz="0" w:space="0" w:color="auto"/>
                                                                                                            <w:bottom w:val="none" w:sz="0" w:space="0" w:color="auto"/>
                                                                                                            <w:right w:val="none" w:sz="0" w:space="0" w:color="auto"/>
                                                                                                          </w:divBdr>
                                                                                                          <w:divsChild>
                                                                                                            <w:div w:id="12543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ensus.gov/permitsfa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census.gov/permitsfaq)"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3C09-6C9A-49E9-AE96-C0680691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17899</CharactersWithSpaces>
  <SharedDoc>false</SharedDoc>
  <HLinks>
    <vt:vector size="12" baseType="variant">
      <vt:variant>
        <vt:i4>5636189</vt:i4>
      </vt:variant>
      <vt:variant>
        <vt:i4>17</vt:i4>
      </vt:variant>
      <vt:variant>
        <vt:i4>0</vt:i4>
      </vt:variant>
      <vt:variant>
        <vt:i4>5</vt:i4>
      </vt:variant>
      <vt:variant>
        <vt:lpwstr>http://www.census.gov/permitsfaq)</vt:lpwstr>
      </vt:variant>
      <vt:variant>
        <vt:lpwstr/>
      </vt:variant>
      <vt:variant>
        <vt:i4>5636189</vt:i4>
      </vt:variant>
      <vt:variant>
        <vt:i4>8</vt:i4>
      </vt:variant>
      <vt:variant>
        <vt:i4>0</vt:i4>
      </vt:variant>
      <vt:variant>
        <vt:i4>5</vt:i4>
      </vt:variant>
      <vt:variant>
        <vt:lpwstr>http://www.census.gov/permitsfaq)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allen001</dc:creator>
  <cp:keywords/>
  <dc:description/>
  <cp:lastModifiedBy>Thomas J Smith (CENSUS/EMD FED)</cp:lastModifiedBy>
  <cp:revision>2</cp:revision>
  <cp:lastPrinted>2018-08-24T15:17:00Z</cp:lastPrinted>
  <dcterms:created xsi:type="dcterms:W3CDTF">2021-07-26T10:57:00Z</dcterms:created>
  <dcterms:modified xsi:type="dcterms:W3CDTF">2021-07-26T10:57:00Z</dcterms:modified>
</cp:coreProperties>
</file>