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31DC" w:rsidRDefault="002431DC" w14:paraId="6F005E15" w14:textId="77777777">
      <w:pPr>
        <w:pStyle w:val="Heading3"/>
        <w:jc w:val="center"/>
      </w:pPr>
      <w:r>
        <w:t>Department of Commerce</w:t>
      </w:r>
    </w:p>
    <w:p w:rsidR="002431DC" w:rsidRDefault="002431DC" w14:paraId="7C263DAB" w14:textId="77777777">
      <w:pPr>
        <w:jc w:val="center"/>
        <w:rPr>
          <w:b/>
          <w:sz w:val="24"/>
        </w:rPr>
      </w:pPr>
      <w:r>
        <w:rPr>
          <w:b/>
          <w:sz w:val="24"/>
        </w:rPr>
        <w:t>U.S. Census Bureau</w:t>
      </w:r>
    </w:p>
    <w:p w:rsidR="00A43ED6" w:rsidRDefault="00A43ED6" w14:paraId="6218B4A4" w14:textId="77777777">
      <w:pPr>
        <w:jc w:val="center"/>
        <w:rPr>
          <w:b/>
          <w:sz w:val="24"/>
        </w:rPr>
      </w:pPr>
      <w:r>
        <w:rPr>
          <w:b/>
          <w:sz w:val="24"/>
        </w:rPr>
        <w:t>OMB Information Collection Request</w:t>
      </w:r>
    </w:p>
    <w:p w:rsidR="002431DC" w:rsidRDefault="002431DC" w14:paraId="68D6EA97" w14:textId="77777777">
      <w:pPr>
        <w:pStyle w:val="Heading4"/>
        <w:autoSpaceDE w:val="0"/>
        <w:autoSpaceDN w:val="0"/>
        <w:adjustRightInd w:val="0"/>
        <w:rPr>
          <w:szCs w:val="20"/>
        </w:rPr>
      </w:pPr>
      <w:r>
        <w:rPr>
          <w:szCs w:val="20"/>
        </w:rPr>
        <w:t>Report of Building or Zoning Permits Issued</w:t>
      </w:r>
    </w:p>
    <w:p w:rsidR="002431DC" w:rsidRDefault="002431DC" w14:paraId="17F29C18" w14:textId="77777777">
      <w:pPr>
        <w:jc w:val="center"/>
        <w:rPr>
          <w:b/>
          <w:sz w:val="24"/>
        </w:rPr>
      </w:pPr>
      <w:r>
        <w:rPr>
          <w:b/>
          <w:sz w:val="24"/>
        </w:rPr>
        <w:t>for New Privately-Owned Housing Units (C-404)</w:t>
      </w:r>
    </w:p>
    <w:p w:rsidR="002431DC" w:rsidRDefault="002431DC" w14:paraId="515AF426" w14:textId="77777777">
      <w:pPr>
        <w:jc w:val="center"/>
        <w:rPr>
          <w:b/>
          <w:sz w:val="24"/>
        </w:rPr>
      </w:pPr>
      <w:r>
        <w:rPr>
          <w:b/>
          <w:sz w:val="24"/>
        </w:rPr>
        <w:t>OMB Control Number 0607-0094</w:t>
      </w:r>
    </w:p>
    <w:p w:rsidR="002431DC" w:rsidRDefault="002431DC" w14:paraId="29552ED2" w14:textId="77777777">
      <w:pPr>
        <w:jc w:val="center"/>
        <w:rPr>
          <w:b/>
          <w:sz w:val="24"/>
          <w:szCs w:val="24"/>
        </w:rPr>
      </w:pPr>
    </w:p>
    <w:p w:rsidR="002431DC" w:rsidRDefault="002431DC" w14:paraId="43F20009" w14:textId="77777777">
      <w:pPr>
        <w:pStyle w:val="Heading1"/>
      </w:pPr>
    </w:p>
    <w:p w:rsidR="002431DC" w:rsidRDefault="00A43ED6" w14:paraId="35F839A1" w14:textId="77777777">
      <w:pPr>
        <w:pStyle w:val="Heading1"/>
      </w:pPr>
      <w:r>
        <w:t xml:space="preserve">Part B - </w:t>
      </w:r>
      <w:r w:rsidR="002431DC">
        <w:t>Collection</w:t>
      </w:r>
      <w:r>
        <w:t>s</w:t>
      </w:r>
      <w:r w:rsidR="002431DC">
        <w:t xml:space="preserve"> of Information Employing Statistical Methods</w:t>
      </w:r>
    </w:p>
    <w:p w:rsidR="002431DC" w:rsidRDefault="002431DC" w14:paraId="0EC79F98" w14:textId="77777777">
      <w:pPr>
        <w:pStyle w:val="Level1"/>
        <w:widowControl/>
        <w:rPr>
          <w:b/>
          <w:bCs/>
          <w:u w:val="single"/>
        </w:rPr>
      </w:pPr>
    </w:p>
    <w:p w:rsidR="002431DC" w:rsidRDefault="002431DC" w14:paraId="1B425659" w14:textId="77777777">
      <w:pPr>
        <w:pStyle w:val="Level1"/>
        <w:widowControl/>
        <w:rPr>
          <w:b/>
          <w:bCs/>
          <w:u w:val="single"/>
        </w:rPr>
      </w:pPr>
      <w:r>
        <w:rPr>
          <w:b/>
          <w:bCs/>
        </w:rPr>
        <w:t xml:space="preserve">1. </w:t>
      </w:r>
      <w:r>
        <w:rPr>
          <w:b/>
          <w:bCs/>
        </w:rPr>
        <w:tab/>
        <w:t xml:space="preserve"> </w:t>
      </w:r>
      <w:r>
        <w:rPr>
          <w:b/>
          <w:bCs/>
          <w:u w:val="single"/>
        </w:rPr>
        <w:t>Universe and Respondent Selection</w:t>
      </w:r>
    </w:p>
    <w:p w:rsidR="002431DC" w:rsidRDefault="002431DC" w14:paraId="5AF75CC9" w14:textId="77777777">
      <w:pPr>
        <w:pStyle w:val="Level1"/>
        <w:widowControl/>
        <w:rPr>
          <w:b/>
          <w:bCs/>
        </w:rPr>
      </w:pPr>
    </w:p>
    <w:p w:rsidR="00692EB4" w:rsidP="00692EB4" w:rsidRDefault="00126982" w14:paraId="5EAF7DA9" w14:textId="77777777">
      <w:pPr>
        <w:pStyle w:val="BodyTextIndent"/>
      </w:pPr>
      <w:r>
        <w:rPr>
          <w:lang w:val="en-CA"/>
        </w:rPr>
        <w:t xml:space="preserve">The target population for the survey is all permit-issuing jurisdictions in the United States.  </w:t>
      </w:r>
      <w:r w:rsidR="00D52F24">
        <w:t xml:space="preserve">The universe and monthly sample are </w:t>
      </w:r>
      <w:r w:rsidR="00BA202F">
        <w:t xml:space="preserve">historically </w:t>
      </w:r>
      <w:r w:rsidR="00D52F24">
        <w:t xml:space="preserve">updated every 10 years; a new universe and sample was </w:t>
      </w:r>
      <w:r w:rsidRPr="00E430FA" w:rsidR="00D52F24">
        <w:t>defined in 2013 for use beginning in 2014</w:t>
      </w:r>
      <w:r w:rsidRPr="00B7087E" w:rsidR="00D52F24">
        <w:t xml:space="preserve">.  </w:t>
      </w:r>
      <w:r w:rsidRPr="00B7087E" w:rsidR="00642669">
        <w:t>A</w:t>
      </w:r>
      <w:r w:rsidRPr="00B7087E" w:rsidR="002431DC">
        <w:rPr>
          <w:lang w:val="en-CA"/>
        </w:rPr>
        <w:fldChar w:fldCharType="begin"/>
      </w:r>
      <w:r w:rsidRPr="00B7087E" w:rsidR="002431DC">
        <w:rPr>
          <w:lang w:val="en-CA"/>
        </w:rPr>
        <w:instrText xml:space="preserve"> SEQ CHAPTER \h \r 1</w:instrText>
      </w:r>
      <w:r w:rsidRPr="00B7087E" w:rsidR="002431DC">
        <w:rPr>
          <w:lang w:val="en-CA"/>
        </w:rPr>
        <w:fldChar w:fldCharType="end"/>
      </w:r>
      <w:r w:rsidRPr="00B7087E" w:rsidR="002431DC">
        <w:t xml:space="preserve"> </w:t>
      </w:r>
      <w:r w:rsidR="00443AA7">
        <w:t xml:space="preserve">representative monthly </w:t>
      </w:r>
      <w:r w:rsidRPr="00B7087E" w:rsidR="002431DC">
        <w:t xml:space="preserve">sample </w:t>
      </w:r>
      <w:r w:rsidRPr="00B7087E" w:rsidR="00841547">
        <w:t>was se</w:t>
      </w:r>
      <w:r w:rsidRPr="00B7087E" w:rsidR="00B7087E">
        <w:t xml:space="preserve">lected in 2013, however, </w:t>
      </w:r>
      <w:r w:rsidRPr="00B7087E" w:rsidR="00841547">
        <w:t>changes in coverage</w:t>
      </w:r>
      <w:r w:rsidRPr="00B7087E" w:rsidR="00B7087E">
        <w:t xml:space="preserve"> have resulted in a sample size of</w:t>
      </w:r>
      <w:r w:rsidRPr="00B7087E" w:rsidR="00841547">
        <w:t xml:space="preserve"> </w:t>
      </w:r>
      <w:r w:rsidRPr="00B7087E" w:rsidR="002431DC">
        <w:t xml:space="preserve">about </w:t>
      </w:r>
      <w:r w:rsidRPr="00B7087E" w:rsidR="00841547">
        <w:t>8,</w:t>
      </w:r>
      <w:r w:rsidR="002F5FAF">
        <w:t>353</w:t>
      </w:r>
      <w:r w:rsidRPr="00B7087E" w:rsidR="002F5FAF">
        <w:t xml:space="preserve"> </w:t>
      </w:r>
      <w:r w:rsidRPr="00B7087E" w:rsidR="002431DC">
        <w:t xml:space="preserve">permit-issuing places from a universe of about </w:t>
      </w:r>
      <w:r w:rsidRPr="00B7087E" w:rsidR="00841547">
        <w:t>20,</w:t>
      </w:r>
      <w:r w:rsidR="00AE1E9E">
        <w:t>100</w:t>
      </w:r>
      <w:r w:rsidRPr="00B7087E" w:rsidR="00AE1E9E">
        <w:t xml:space="preserve"> </w:t>
      </w:r>
      <w:r w:rsidRPr="00B7087E" w:rsidR="002431DC">
        <w:t>places</w:t>
      </w:r>
      <w:r w:rsidRPr="00B7087E" w:rsidR="00E430FA">
        <w:t>.</w:t>
      </w:r>
      <w:r w:rsidR="00E430FA">
        <w:t xml:space="preserve">  This sample </w:t>
      </w:r>
      <w:r w:rsidR="00D13EC2">
        <w:t xml:space="preserve">will be </w:t>
      </w:r>
      <w:r w:rsidR="00E430FA">
        <w:t>used to</w:t>
      </w:r>
      <w:r w:rsidR="002431DC">
        <w:t xml:space="preserve"> provide monthly estimates of construction authorized by building permits</w:t>
      </w:r>
      <w:r w:rsidR="00D13EC2">
        <w:t xml:space="preserve"> through December 2021</w:t>
      </w:r>
      <w:r w:rsidR="002431DC">
        <w:t xml:space="preserve">. </w:t>
      </w:r>
      <w:r w:rsidR="00A60A0F">
        <w:t xml:space="preserve"> </w:t>
      </w:r>
      <w:r w:rsidRPr="00AF645F" w:rsidR="00AE1E9E">
        <w:t>The average monthly unit response rate for 20</w:t>
      </w:r>
      <w:r w:rsidR="00AE1E9E">
        <w:t>20</w:t>
      </w:r>
      <w:r w:rsidRPr="00AF645F" w:rsidR="00AE1E9E">
        <w:t xml:space="preserve"> was approximately </w:t>
      </w:r>
      <w:r w:rsidR="00AE1E9E">
        <w:t>67</w:t>
      </w:r>
      <w:r w:rsidRPr="003A25CD" w:rsidR="00AE1E9E">
        <w:t xml:space="preserve"> percent</w:t>
      </w:r>
      <w:r w:rsidR="00AE1E9E">
        <w:t xml:space="preserve"> and the monthly total quantity response rate was approximately 79 percent.</w:t>
      </w:r>
      <w:r w:rsidR="00692EB4">
        <w:t xml:space="preserve"> </w:t>
      </w:r>
    </w:p>
    <w:p w:rsidR="00692EB4" w:rsidP="00692EB4" w:rsidRDefault="00692EB4" w14:paraId="0D7492CA" w14:textId="77777777">
      <w:pPr>
        <w:pStyle w:val="BodyTextIndent"/>
      </w:pPr>
    </w:p>
    <w:p w:rsidRPr="0002407E" w:rsidR="00692EB4" w:rsidP="00692EB4" w:rsidRDefault="00692EB4" w14:paraId="4C30136B" w14:textId="77777777">
      <w:pPr>
        <w:pStyle w:val="BodyTextIndent"/>
      </w:pPr>
      <w:r>
        <w:t xml:space="preserve">An annual survey of all permit-issuing places in the universe </w:t>
      </w:r>
      <w:r w:rsidR="009A7C80">
        <w:t>was</w:t>
      </w:r>
      <w:r>
        <w:t xml:space="preserve"> also conducted. </w:t>
      </w:r>
      <w:r w:rsidRPr="00076AEC">
        <w:t>Our overall unit response rate for 20</w:t>
      </w:r>
      <w:r>
        <w:t>20</w:t>
      </w:r>
      <w:r w:rsidRPr="00076AEC">
        <w:t xml:space="preserve"> (including both monthly and annual reporters) was about 8</w:t>
      </w:r>
      <w:r>
        <w:t>0</w:t>
      </w:r>
      <w:r w:rsidRPr="00076AEC">
        <w:t xml:space="preserve"> percent.  </w:t>
      </w:r>
      <w:r w:rsidRPr="00AF645F">
        <w:t xml:space="preserve">The overall </w:t>
      </w:r>
      <w:r w:rsidR="00BA202F">
        <w:t xml:space="preserve">total quantity </w:t>
      </w:r>
      <w:r w:rsidRPr="00AF645F">
        <w:t>response rate for 20</w:t>
      </w:r>
      <w:r>
        <w:t>20</w:t>
      </w:r>
      <w:r w:rsidRPr="00AF645F">
        <w:t xml:space="preserve"> (for both monthly and annual reporters) was about 9</w:t>
      </w:r>
      <w:r>
        <w:t>0</w:t>
      </w:r>
      <w:r w:rsidRPr="00AF645F">
        <w:t>%.</w:t>
      </w:r>
    </w:p>
    <w:p w:rsidR="00AE1E9E" w:rsidP="00AE1E9E" w:rsidRDefault="00AE1E9E" w14:paraId="6B65C703" w14:textId="77777777">
      <w:pPr>
        <w:pStyle w:val="BodyTextIndent"/>
      </w:pPr>
    </w:p>
    <w:p w:rsidR="00ED4DF3" w:rsidP="00D03924" w:rsidRDefault="00AE1E9E" w14:paraId="3A90A172" w14:textId="77777777">
      <w:pPr>
        <w:pStyle w:val="BodyTextIndent"/>
      </w:pPr>
      <w:r>
        <w:t>Beginning in January 2022, the current monthly sample will be replaced by a new cutoff sample</w:t>
      </w:r>
      <w:r w:rsidR="00D90B64">
        <w:t xml:space="preserve"> that will </w:t>
      </w:r>
      <w:r>
        <w:t>include</w:t>
      </w:r>
      <w:r w:rsidR="00D90B64">
        <w:t xml:space="preserve"> 8,</w:t>
      </w:r>
      <w:r w:rsidR="00023965">
        <w:t xml:space="preserve">613 </w:t>
      </w:r>
      <w:r w:rsidR="00D90B64">
        <w:t>permit-issuing places</w:t>
      </w:r>
      <w:r w:rsidR="00E931A8">
        <w:t xml:space="preserve"> in the monthly data collection</w:t>
      </w:r>
      <w:r w:rsidR="00D90B64">
        <w:t xml:space="preserve">. </w:t>
      </w:r>
      <w:r w:rsidR="00023965">
        <w:t>T</w:t>
      </w:r>
      <w:r w:rsidR="00D90B64">
        <w:t>hese places were selected for monthly collection because their 3-year average activity based on 201</w:t>
      </w:r>
      <w:r w:rsidR="00023965">
        <w:t>7</w:t>
      </w:r>
      <w:r w:rsidR="00D90B64">
        <w:t>-20</w:t>
      </w:r>
      <w:r w:rsidR="00023965">
        <w:t>19</w:t>
      </w:r>
      <w:r w:rsidR="00D90B64">
        <w:t xml:space="preserve"> annual data was </w:t>
      </w:r>
      <w:r w:rsidR="00A60A0F">
        <w:t>more than 5</w:t>
      </w:r>
      <w:r w:rsidR="00D90B64">
        <w:t xml:space="preserve"> units. </w:t>
      </w:r>
    </w:p>
    <w:p w:rsidR="00F611EE" w:rsidP="00F611EE" w:rsidRDefault="00E931A8" w14:paraId="598E66DB" w14:textId="77777777">
      <w:pPr>
        <w:pStyle w:val="BodyTextIndent"/>
      </w:pPr>
      <w:r>
        <w:t xml:space="preserve"> The </w:t>
      </w:r>
      <w:r w:rsidR="00F611EE">
        <w:t xml:space="preserve">remaining </w:t>
      </w:r>
      <w:r w:rsidR="00692EB4">
        <w:t>11,667</w:t>
      </w:r>
      <w:r w:rsidR="004151DF">
        <w:t xml:space="preserve"> </w:t>
      </w:r>
      <w:r w:rsidR="002431DC">
        <w:t xml:space="preserve">places </w:t>
      </w:r>
      <w:r>
        <w:t>below the activity cutoff will be</w:t>
      </w:r>
      <w:r w:rsidR="002431DC">
        <w:t xml:space="preserve"> </w:t>
      </w:r>
      <w:r w:rsidR="00ED4DF3">
        <w:t>included</w:t>
      </w:r>
      <w:r>
        <w:t xml:space="preserve"> in the monthly estimates</w:t>
      </w:r>
      <w:r w:rsidR="00F611EE">
        <w:t>, with imputation,</w:t>
      </w:r>
      <w:r>
        <w:t xml:space="preserve"> but </w:t>
      </w:r>
      <w:r w:rsidR="00ED4DF3">
        <w:t xml:space="preserve">only </w:t>
      </w:r>
      <w:r w:rsidR="002431DC">
        <w:t xml:space="preserve">canvassed annually.  </w:t>
      </w:r>
    </w:p>
    <w:p w:rsidR="002E6580" w:rsidP="00F611EE" w:rsidRDefault="002E6580" w14:paraId="470CD499" w14:textId="77777777">
      <w:pPr>
        <w:pStyle w:val="BodyTextIndent"/>
      </w:pPr>
    </w:p>
    <w:p w:rsidR="002E6580" w:rsidP="00F611EE" w:rsidRDefault="00EB08E0" w14:paraId="5244C0C8" w14:textId="77777777">
      <w:pPr>
        <w:pStyle w:val="BodyTextIndent"/>
      </w:pPr>
      <w:r>
        <w:t xml:space="preserve">The design of the cutoff sample is intended to include </w:t>
      </w:r>
      <w:r w:rsidR="003B4D6D">
        <w:t>t</w:t>
      </w:r>
      <w:r>
        <w:t xml:space="preserve">he jurisdictions that authorize more units.  The 8,613 places that authorize more than 5 units </w:t>
      </w:r>
      <w:r w:rsidR="00AD7775">
        <w:t>on average annually ma</w:t>
      </w:r>
      <w:r w:rsidR="00B46FC7">
        <w:t>d</w:t>
      </w:r>
      <w:r w:rsidR="00AD7775">
        <w:t xml:space="preserve">e up more than 99% of the total units authorized </w:t>
      </w:r>
      <w:r w:rsidR="00B46FC7">
        <w:t xml:space="preserve">in </w:t>
      </w:r>
      <w:r w:rsidR="00AD7775">
        <w:t xml:space="preserve">2019.  The 11,667 jurisdictions where monthly collection will not be attempted only represent 1% of total units authorized during that same period.  Over 4,400 </w:t>
      </w:r>
      <w:r w:rsidR="00B1647D">
        <w:t xml:space="preserve">of the 11,667 </w:t>
      </w:r>
      <w:r w:rsidR="00AD7775">
        <w:t>jurisdiction</w:t>
      </w:r>
      <w:r w:rsidR="00B1647D">
        <w:t xml:space="preserve">s did not authorize any units over the </w:t>
      </w:r>
      <w:r w:rsidR="009D0199">
        <w:t>three-year</w:t>
      </w:r>
      <w:r w:rsidR="00B1647D">
        <w:t xml:space="preserve"> span</w:t>
      </w:r>
      <w:r w:rsidR="00833BB1">
        <w:t>.</w:t>
      </w:r>
      <w:r w:rsidR="00B1647D">
        <w:t xml:space="preserve">  </w:t>
      </w:r>
    </w:p>
    <w:p w:rsidR="00F611EE" w:rsidP="00F611EE" w:rsidRDefault="00F611EE" w14:paraId="32A49246" w14:textId="77777777">
      <w:pPr>
        <w:pStyle w:val="BodyTextIndent"/>
      </w:pPr>
    </w:p>
    <w:p w:rsidR="00D03924" w:rsidP="00D03924" w:rsidRDefault="002431DC" w14:paraId="6E8C4432" w14:textId="77777777">
      <w:pPr>
        <w:pStyle w:val="BodyTextIndent"/>
      </w:pPr>
      <w:r>
        <w:t>At the end of the year, non</w:t>
      </w:r>
      <w:r w:rsidR="005B5A00">
        <w:t>-</w:t>
      </w:r>
      <w:r>
        <w:t xml:space="preserve">respondents to the monthly survey </w:t>
      </w:r>
      <w:r w:rsidR="009A7C80">
        <w:t xml:space="preserve">will </w:t>
      </w:r>
      <w:r>
        <w:t>also</w:t>
      </w:r>
      <w:r w:rsidR="009A7C80">
        <w:t xml:space="preserve"> be</w:t>
      </w:r>
      <w:r>
        <w:t xml:space="preserve"> asked to provide any missing data.  The data from the annual respondents are combined with the data from the monthly respondents to produce an annual total.  </w:t>
      </w:r>
      <w:r w:rsidR="00126982">
        <w:t xml:space="preserve">The response rate goal </w:t>
      </w:r>
      <w:r w:rsidR="00D03924">
        <w:t>for</w:t>
      </w:r>
      <w:r w:rsidR="0015148C">
        <w:t xml:space="preserve"> the conclusion of the annual </w:t>
      </w:r>
      <w:r w:rsidR="00126982">
        <w:t>survey is</w:t>
      </w:r>
      <w:r w:rsidR="00D03924">
        <w:t xml:space="preserve"> 80 percent or above</w:t>
      </w:r>
      <w:r w:rsidR="00126982">
        <w:t xml:space="preserve">, </w:t>
      </w:r>
      <w:r w:rsidR="00126982">
        <w:lastRenderedPageBreak/>
        <w:t xml:space="preserve">which aligns with the response rate goal for the Census Bureau. </w:t>
      </w:r>
    </w:p>
    <w:p w:rsidR="00F611EE" w:rsidP="00D03924" w:rsidRDefault="00F611EE" w14:paraId="162117EB" w14:textId="77777777">
      <w:pPr>
        <w:pStyle w:val="BodyTextIndent"/>
      </w:pPr>
    </w:p>
    <w:p w:rsidRPr="0002407E" w:rsidR="00F611EE" w:rsidP="00D03924" w:rsidRDefault="008E2E79" w14:paraId="0E9F5FA0" w14:textId="77777777">
      <w:pPr>
        <w:pStyle w:val="BodyTextIndent"/>
      </w:pPr>
      <w:r>
        <w:t>Following each annual survey</w:t>
      </w:r>
      <w:r w:rsidR="00D36769">
        <w:t xml:space="preserve"> (April)</w:t>
      </w:r>
      <w:r>
        <w:t>,</w:t>
      </w:r>
      <w:r w:rsidR="00F611EE">
        <w:t xml:space="preserve"> the 3-year average activity will be recalculated for all active places in the universe</w:t>
      </w:r>
      <w:r>
        <w:t xml:space="preserve"> and used to identify</w:t>
      </w:r>
      <w:r w:rsidR="004778D7">
        <w:t xml:space="preserve"> places that </w:t>
      </w:r>
      <w:r w:rsidR="00D321B1">
        <w:t>either exceed the cutoff to be included in the monthly survey or no longer meet the criteria to be included in the monthly survey</w:t>
      </w:r>
      <w:r>
        <w:t>.</w:t>
      </w:r>
      <w:r w:rsidR="00D321B1">
        <w:t xml:space="preserve"> </w:t>
      </w:r>
    </w:p>
    <w:p w:rsidR="002431DC" w:rsidRDefault="002431DC" w14:paraId="13243B05" w14:textId="77777777">
      <w:pPr>
        <w:pStyle w:val="BodyTextIndent"/>
      </w:pPr>
    </w:p>
    <w:p w:rsidRPr="00A1138E" w:rsidR="002431DC" w:rsidRDefault="002431DC" w14:paraId="6FF8E3A3" w14:textId="77777777">
      <w:pPr>
        <w:numPr>
          <w:ilvl w:val="12"/>
          <w:numId w:val="0"/>
        </w:numPr>
        <w:tabs>
          <w:tab w:val="left" w:pos="720"/>
          <w:tab w:val="left" w:pos="1440"/>
        </w:tabs>
        <w:ind w:left="1440" w:hanging="1440"/>
        <w:rPr>
          <w:b/>
          <w:bCs/>
          <w:sz w:val="24"/>
          <w:szCs w:val="24"/>
          <w:u w:val="single"/>
        </w:rPr>
      </w:pPr>
      <w:r>
        <w:rPr>
          <w:b/>
          <w:bCs/>
          <w:sz w:val="24"/>
          <w:szCs w:val="24"/>
        </w:rPr>
        <w:tab/>
        <w:t>2.</w:t>
      </w:r>
      <w:r>
        <w:rPr>
          <w:b/>
          <w:bCs/>
          <w:sz w:val="24"/>
          <w:szCs w:val="24"/>
        </w:rPr>
        <w:tab/>
      </w:r>
      <w:r>
        <w:rPr>
          <w:b/>
          <w:bCs/>
          <w:sz w:val="24"/>
          <w:szCs w:val="24"/>
          <w:u w:val="single"/>
        </w:rPr>
        <w:t>Procedures</w:t>
      </w:r>
      <w:r w:rsidRPr="00A1138E">
        <w:rPr>
          <w:b/>
          <w:bCs/>
          <w:sz w:val="24"/>
          <w:szCs w:val="24"/>
          <w:u w:val="single"/>
        </w:rPr>
        <w:t xml:space="preserve"> </w:t>
      </w:r>
      <w:r w:rsidRPr="00A1138E" w:rsidR="00BF7748">
        <w:rPr>
          <w:b/>
          <w:bCs/>
          <w:sz w:val="24"/>
          <w:szCs w:val="24"/>
          <w:u w:val="single"/>
        </w:rPr>
        <w:t>for Collecting Information</w:t>
      </w:r>
      <w:r w:rsidRPr="00A1138E">
        <w:rPr>
          <w:b/>
          <w:bCs/>
          <w:sz w:val="24"/>
          <w:szCs w:val="24"/>
          <w:u w:val="single"/>
        </w:rPr>
        <w:t xml:space="preserve"> </w:t>
      </w:r>
    </w:p>
    <w:p w:rsidRPr="00A1138E" w:rsidR="002431DC" w:rsidP="00A1138E" w:rsidRDefault="002431DC" w14:paraId="3A41E697" w14:textId="77777777">
      <w:pPr>
        <w:numPr>
          <w:ilvl w:val="12"/>
          <w:numId w:val="0"/>
        </w:numPr>
        <w:tabs>
          <w:tab w:val="left" w:pos="720"/>
          <w:tab w:val="left" w:pos="1440"/>
        </w:tabs>
        <w:ind w:left="1440" w:hanging="1440"/>
        <w:rPr>
          <w:b/>
          <w:bCs/>
          <w:sz w:val="24"/>
          <w:szCs w:val="24"/>
          <w:u w:val="single"/>
        </w:rPr>
      </w:pPr>
    </w:p>
    <w:p w:rsidR="002431DC" w:rsidRDefault="002431DC" w14:paraId="0D380ACC" w14:textId="77777777">
      <w:pPr>
        <w:ind w:left="1440"/>
        <w:rPr>
          <w:sz w:val="24"/>
        </w:rPr>
      </w:pPr>
      <w:r>
        <w:rPr>
          <w:strike/>
          <w:sz w:val="24"/>
          <w:szCs w:val="24"/>
          <w:lang w:val="en-CA"/>
        </w:rPr>
        <w:fldChar w:fldCharType="begin"/>
      </w:r>
      <w:r>
        <w:rPr>
          <w:strike/>
          <w:sz w:val="24"/>
          <w:szCs w:val="24"/>
          <w:lang w:val="en-CA"/>
        </w:rPr>
        <w:instrText xml:space="preserve"> SEQ CHAPTER \h \r 1</w:instrText>
      </w:r>
      <w:r>
        <w:rPr>
          <w:strike/>
          <w:sz w:val="24"/>
          <w:szCs w:val="24"/>
          <w:lang w:val="en-CA"/>
        </w:rPr>
        <w:fldChar w:fldCharType="end"/>
      </w:r>
      <w:r>
        <w:rPr>
          <w:sz w:val="24"/>
        </w:rPr>
        <w:t xml:space="preserve">Monthly estimates </w:t>
      </w:r>
      <w:r w:rsidR="00D321B1">
        <w:rPr>
          <w:sz w:val="24"/>
        </w:rPr>
        <w:t xml:space="preserve">will be </w:t>
      </w:r>
      <w:r>
        <w:rPr>
          <w:sz w:val="24"/>
        </w:rPr>
        <w:t xml:space="preserve">produced by tabulating data </w:t>
      </w:r>
      <w:r w:rsidR="00E931A8">
        <w:rPr>
          <w:sz w:val="24"/>
        </w:rPr>
        <w:t xml:space="preserve">reported by each </w:t>
      </w:r>
      <w:r>
        <w:rPr>
          <w:sz w:val="24"/>
        </w:rPr>
        <w:t xml:space="preserve">permit-issuing place </w:t>
      </w:r>
      <w:r w:rsidR="00E931A8">
        <w:rPr>
          <w:sz w:val="24"/>
        </w:rPr>
        <w:t>and imputing data for places not included in</w:t>
      </w:r>
      <w:r>
        <w:rPr>
          <w:sz w:val="24"/>
        </w:rPr>
        <w:t xml:space="preserve"> the monthly </w:t>
      </w:r>
      <w:r w:rsidR="009A7C80">
        <w:rPr>
          <w:sz w:val="24"/>
        </w:rPr>
        <w:t xml:space="preserve">collection </w:t>
      </w:r>
      <w:r w:rsidR="00E931A8">
        <w:rPr>
          <w:sz w:val="24"/>
        </w:rPr>
        <w:t>and/or those places that fail to re</w:t>
      </w:r>
      <w:r w:rsidR="009A7C80">
        <w:rPr>
          <w:sz w:val="24"/>
        </w:rPr>
        <w:t>spond for that month.</w:t>
      </w:r>
      <w:r>
        <w:rPr>
          <w:sz w:val="24"/>
        </w:rPr>
        <w:t xml:space="preserve">  </w:t>
      </w:r>
      <w:r w:rsidR="007261FE">
        <w:rPr>
          <w:sz w:val="24"/>
        </w:rPr>
        <w:t xml:space="preserve">This will result in complete coverage of the universe for the monthly data </w:t>
      </w:r>
      <w:r w:rsidR="00873FD2">
        <w:rPr>
          <w:sz w:val="24"/>
        </w:rPr>
        <w:t>each</w:t>
      </w:r>
      <w:r w:rsidR="007261FE">
        <w:rPr>
          <w:sz w:val="24"/>
        </w:rPr>
        <w:t xml:space="preserve"> month. </w:t>
      </w:r>
      <w:r>
        <w:rPr>
          <w:sz w:val="24"/>
        </w:rPr>
        <w:t xml:space="preserve">The weight for all places for </w:t>
      </w:r>
      <w:r w:rsidR="00E931A8">
        <w:rPr>
          <w:sz w:val="24"/>
        </w:rPr>
        <w:t xml:space="preserve">monthly and </w:t>
      </w:r>
      <w:r>
        <w:rPr>
          <w:sz w:val="24"/>
        </w:rPr>
        <w:t xml:space="preserve">annual estimates </w:t>
      </w:r>
      <w:r w:rsidR="007261FE">
        <w:rPr>
          <w:sz w:val="24"/>
        </w:rPr>
        <w:t xml:space="preserve">will be </w:t>
      </w:r>
      <w:r>
        <w:rPr>
          <w:sz w:val="24"/>
        </w:rPr>
        <w:t>one.</w:t>
      </w:r>
      <w:r w:rsidR="007261FE">
        <w:rPr>
          <w:sz w:val="24"/>
        </w:rPr>
        <w:t xml:space="preserve">  Prior to January 2021, the monthly survey was based on a representative sample with weighted places selected to represent non-selected places.  This resulted in complete total estimates at the state, </w:t>
      </w:r>
      <w:proofErr w:type="gramStart"/>
      <w:r w:rsidR="007261FE">
        <w:rPr>
          <w:sz w:val="24"/>
        </w:rPr>
        <w:t>region</w:t>
      </w:r>
      <w:proofErr w:type="gramEnd"/>
      <w:r w:rsidR="007261FE">
        <w:rPr>
          <w:sz w:val="24"/>
        </w:rPr>
        <w:t xml:space="preserve"> and total U.S. levels, but incomplete coverage at the county and local levels on a monthly basis.</w:t>
      </w:r>
    </w:p>
    <w:p w:rsidR="00A70443" w:rsidRDefault="00A70443" w14:paraId="3A02E2B7" w14:textId="77777777">
      <w:pPr>
        <w:ind w:left="1440"/>
        <w:rPr>
          <w:sz w:val="24"/>
        </w:rPr>
      </w:pPr>
    </w:p>
    <w:p w:rsidR="009A7C80" w:rsidP="004E1EDF" w:rsidRDefault="002431DC" w14:paraId="1BC05F93" w14:textId="77777777">
      <w:pPr>
        <w:ind w:left="1440"/>
        <w:rPr>
          <w:sz w:val="24"/>
        </w:rPr>
      </w:pPr>
      <w:r>
        <w:rPr>
          <w:sz w:val="24"/>
        </w:rPr>
        <w:t xml:space="preserve">When a report is not received, missing housing unit data are either obtained by using permits listed for Census Bureau’s Survey of Construction (SOC) or are imputed.  Data from the SOC are available for only about </w:t>
      </w:r>
      <w:r w:rsidRPr="00C30269">
        <w:rPr>
          <w:sz w:val="24"/>
        </w:rPr>
        <w:t>900</w:t>
      </w:r>
      <w:r>
        <w:rPr>
          <w:sz w:val="24"/>
        </w:rPr>
        <w:t xml:space="preserve"> permit offices for which Census Bureau field representatives list and sample the permits to be followed up to determine when the units are started, completed, and sold.  </w:t>
      </w:r>
      <w:r w:rsidRPr="00C30269" w:rsidR="00C30269">
        <w:rPr>
          <w:sz w:val="24"/>
        </w:rPr>
        <w:t>If data are not reported and are not available from SOC, estimates are imputed based on the assumption that the ratio of authorizations for the current time period to the prior year total is the same for reporting and nonreporting jurisdictions in that Census Region</w:t>
      </w:r>
      <w:r>
        <w:rPr>
          <w:sz w:val="24"/>
        </w:rPr>
        <w:t>.</w:t>
      </w:r>
      <w:r w:rsidR="007347C1">
        <w:rPr>
          <w:sz w:val="24"/>
        </w:rPr>
        <w:t xml:space="preserve">  In addition, </w:t>
      </w:r>
      <w:r w:rsidR="004E1EDF">
        <w:rPr>
          <w:sz w:val="24"/>
        </w:rPr>
        <w:t>data has been purchased</w:t>
      </w:r>
      <w:r w:rsidR="007347C1">
        <w:rPr>
          <w:sz w:val="24"/>
        </w:rPr>
        <w:t xml:space="preserve"> from 3</w:t>
      </w:r>
      <w:r w:rsidRPr="00457B52" w:rsidR="007347C1">
        <w:rPr>
          <w:sz w:val="24"/>
          <w:vertAlign w:val="superscript"/>
        </w:rPr>
        <w:t>rd</w:t>
      </w:r>
      <w:r w:rsidR="007347C1">
        <w:rPr>
          <w:sz w:val="24"/>
        </w:rPr>
        <w:t xml:space="preserve"> party data vendors that collect similar information.  </w:t>
      </w:r>
      <w:r w:rsidR="004E1EDF">
        <w:rPr>
          <w:sz w:val="24"/>
        </w:rPr>
        <w:t>While the data quality and consistency of the data is still being evaluated, we anticipate being able to use this new source of data as an alternative source to reduce collection costs and respondent burden.</w:t>
      </w:r>
      <w:r w:rsidDel="004E1EDF" w:rsidR="004E1EDF">
        <w:rPr>
          <w:sz w:val="24"/>
        </w:rPr>
        <w:t xml:space="preserve"> </w:t>
      </w:r>
    </w:p>
    <w:p w:rsidR="004E1EDF" w:rsidP="004E1EDF" w:rsidRDefault="004E1EDF" w14:paraId="3E1F3CC1" w14:textId="77777777">
      <w:pPr>
        <w:ind w:left="1440"/>
        <w:rPr>
          <w:sz w:val="24"/>
        </w:rPr>
      </w:pPr>
    </w:p>
    <w:p w:rsidR="00ED4DF3" w:rsidRDefault="00ED4DF3" w14:paraId="4F6A9459" w14:textId="77777777">
      <w:pPr>
        <w:ind w:left="1440"/>
        <w:rPr>
          <w:sz w:val="24"/>
        </w:rPr>
      </w:pPr>
      <w:r>
        <w:rPr>
          <w:sz w:val="24"/>
        </w:rPr>
        <w:t xml:space="preserve">Since </w:t>
      </w:r>
      <w:r w:rsidR="008E2E79">
        <w:rPr>
          <w:sz w:val="24"/>
        </w:rPr>
        <w:t>all active permit-issuing places are included in estimation, there is no sampling error.</w:t>
      </w:r>
      <w:r w:rsidR="00D36769">
        <w:rPr>
          <w:sz w:val="24"/>
        </w:rPr>
        <w:t xml:space="preserve"> However, since we </w:t>
      </w:r>
      <w:r w:rsidR="000468C4">
        <w:rPr>
          <w:sz w:val="24"/>
        </w:rPr>
        <w:t>intend to</w:t>
      </w:r>
      <w:r w:rsidR="00D36769">
        <w:rPr>
          <w:sz w:val="24"/>
        </w:rPr>
        <w:t xml:space="preserve"> imput</w:t>
      </w:r>
      <w:r w:rsidR="000468C4">
        <w:rPr>
          <w:sz w:val="24"/>
        </w:rPr>
        <w:t>e</w:t>
      </w:r>
      <w:r w:rsidR="00D36769">
        <w:rPr>
          <w:sz w:val="24"/>
        </w:rPr>
        <w:t xml:space="preserve"> permit activity for a minimum of about 11,700 places each month plus any nonrespondents in the monthly survey group</w:t>
      </w:r>
      <w:r w:rsidR="00B85283">
        <w:rPr>
          <w:sz w:val="24"/>
        </w:rPr>
        <w:t xml:space="preserve"> we need a measure of non-sampling error.  Based on survey months 201904</w:t>
      </w:r>
      <w:r w:rsidR="001C02AD">
        <w:rPr>
          <w:sz w:val="24"/>
        </w:rPr>
        <w:t xml:space="preserve"> to </w:t>
      </w:r>
      <w:r w:rsidR="00B85283">
        <w:rPr>
          <w:sz w:val="24"/>
        </w:rPr>
        <w:t xml:space="preserve">202003 the monthly unit response rate for places above the cutoff is about 70%.  A simulation study was conducted to measure the non-response error attributable to imputation for our current and future design. </w:t>
      </w:r>
      <w:r w:rsidR="001C02AD">
        <w:rPr>
          <w:sz w:val="24"/>
        </w:rPr>
        <w:t xml:space="preserve">Missing data was simulated </w:t>
      </w:r>
      <w:r w:rsidR="00B969FF">
        <w:rPr>
          <w:sz w:val="24"/>
        </w:rPr>
        <w:t xml:space="preserve">at random </w:t>
      </w:r>
      <w:r w:rsidR="001C02AD">
        <w:rPr>
          <w:sz w:val="24"/>
        </w:rPr>
        <w:t xml:space="preserve">for a subset of monthly respondents and then imputed </w:t>
      </w:r>
      <w:r w:rsidR="000468C4">
        <w:rPr>
          <w:sz w:val="24"/>
        </w:rPr>
        <w:t>using our current imputation methodology</w:t>
      </w:r>
      <w:r w:rsidR="001C02AD">
        <w:rPr>
          <w:sz w:val="24"/>
        </w:rPr>
        <w:t>. Totals by region were then</w:t>
      </w:r>
      <w:r w:rsidR="000468C4">
        <w:rPr>
          <w:sz w:val="24"/>
        </w:rPr>
        <w:t xml:space="preserve"> determined for the original respondent data and the imputed data and t</w:t>
      </w:r>
      <w:r w:rsidR="001C02AD">
        <w:rPr>
          <w:sz w:val="24"/>
        </w:rPr>
        <w:t xml:space="preserve">he root mean square error (RMSE) </w:t>
      </w:r>
      <w:r w:rsidR="000468C4">
        <w:rPr>
          <w:sz w:val="24"/>
        </w:rPr>
        <w:t xml:space="preserve">of 100 simulations was computed and then averaged over 12 months.  The future </w:t>
      </w:r>
      <w:r w:rsidR="00EF4BE7">
        <w:rPr>
          <w:sz w:val="24"/>
        </w:rPr>
        <w:t xml:space="preserve">cutoff sample </w:t>
      </w:r>
      <w:r w:rsidR="000468C4">
        <w:rPr>
          <w:sz w:val="24"/>
        </w:rPr>
        <w:t xml:space="preserve">design </w:t>
      </w:r>
      <w:r w:rsidR="00D33FA8">
        <w:rPr>
          <w:sz w:val="24"/>
        </w:rPr>
        <w:t xml:space="preserve">showed a small decrease in imputation error for three out of four Census regions, and at the national level when compared to the current design.  In the future design, the average error due </w:t>
      </w:r>
      <w:r w:rsidR="00D33FA8">
        <w:rPr>
          <w:sz w:val="24"/>
        </w:rPr>
        <w:lastRenderedPageBreak/>
        <w:t>to imputation was estimated to be 2.2% nationally. The Census regions have average error due to imputation of 13.2% for the Northeast, 4.9% for the Midwest, 2.8% for the South, and 3.7% for the West.</w:t>
      </w:r>
    </w:p>
    <w:p w:rsidR="002431DC" w:rsidRDefault="002431DC" w14:paraId="46CA0B2D" w14:textId="77777777">
      <w:pPr>
        <w:numPr>
          <w:ilvl w:val="12"/>
          <w:numId w:val="0"/>
        </w:numPr>
        <w:tabs>
          <w:tab w:val="left" w:pos="720"/>
          <w:tab w:val="left" w:pos="1440"/>
        </w:tabs>
        <w:ind w:left="1440" w:hanging="720"/>
        <w:rPr>
          <w:b/>
          <w:bCs/>
          <w:sz w:val="24"/>
          <w:szCs w:val="24"/>
        </w:rPr>
      </w:pPr>
    </w:p>
    <w:p w:rsidR="002431DC" w:rsidRDefault="002431DC" w14:paraId="501B85F4" w14:textId="77777777">
      <w:pPr>
        <w:numPr>
          <w:ilvl w:val="12"/>
          <w:numId w:val="0"/>
        </w:numPr>
        <w:tabs>
          <w:tab w:val="left" w:pos="720"/>
          <w:tab w:val="left" w:pos="1440"/>
        </w:tabs>
        <w:ind w:left="1440" w:hanging="720"/>
        <w:rPr>
          <w:b/>
          <w:bCs/>
          <w:sz w:val="24"/>
          <w:szCs w:val="24"/>
        </w:rPr>
      </w:pPr>
      <w:r>
        <w:rPr>
          <w:b/>
          <w:bCs/>
          <w:sz w:val="24"/>
          <w:szCs w:val="24"/>
        </w:rPr>
        <w:t>3.</w:t>
      </w:r>
      <w:r>
        <w:rPr>
          <w:b/>
          <w:bCs/>
          <w:sz w:val="24"/>
          <w:szCs w:val="24"/>
        </w:rPr>
        <w:tab/>
      </w:r>
      <w:r w:rsidR="00BF7748">
        <w:rPr>
          <w:b/>
          <w:bCs/>
          <w:sz w:val="24"/>
          <w:szCs w:val="24"/>
          <w:u w:val="single"/>
        </w:rPr>
        <w:t xml:space="preserve">Methods </w:t>
      </w:r>
      <w:r>
        <w:rPr>
          <w:b/>
          <w:bCs/>
          <w:sz w:val="24"/>
          <w:szCs w:val="24"/>
          <w:u w:val="single"/>
        </w:rPr>
        <w:t>to Maximize Responses</w:t>
      </w:r>
    </w:p>
    <w:p w:rsidR="002431DC" w:rsidRDefault="002431DC" w14:paraId="4AEEBBDB" w14:textId="77777777">
      <w:pPr>
        <w:numPr>
          <w:ilvl w:val="12"/>
          <w:numId w:val="0"/>
        </w:numPr>
        <w:rPr>
          <w:sz w:val="24"/>
          <w:szCs w:val="24"/>
        </w:rPr>
      </w:pPr>
    </w:p>
    <w:p w:rsidR="002431DC" w:rsidRDefault="002431DC" w14:paraId="43A98EB5" w14:textId="77777777">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We send letters (</w:t>
      </w:r>
      <w:r w:rsidRPr="00E76D79" w:rsidR="00E76D79">
        <w:rPr>
          <w:sz w:val="24"/>
          <w:szCs w:val="24"/>
        </w:rPr>
        <w:t>Attachments D</w:t>
      </w:r>
      <w:r w:rsidRPr="00E76D79" w:rsidR="00057543">
        <w:rPr>
          <w:sz w:val="24"/>
          <w:szCs w:val="24"/>
        </w:rPr>
        <w:t xml:space="preserve"> through </w:t>
      </w:r>
      <w:r w:rsidRPr="00E76D79" w:rsidR="00CF4BA5">
        <w:rPr>
          <w:sz w:val="24"/>
          <w:szCs w:val="24"/>
        </w:rPr>
        <w:t>G</w:t>
      </w:r>
      <w:r>
        <w:rPr>
          <w:sz w:val="24"/>
          <w:szCs w:val="24"/>
        </w:rPr>
        <w:t>) and additional survey forms as part of the annual survey to delinquent monthly and annual respondents.  We also periodically contact non</w:t>
      </w:r>
      <w:r w:rsidR="005B5A00">
        <w:rPr>
          <w:sz w:val="24"/>
          <w:szCs w:val="24"/>
        </w:rPr>
        <w:t>-</w:t>
      </w:r>
      <w:r>
        <w:rPr>
          <w:sz w:val="24"/>
          <w:szCs w:val="24"/>
        </w:rPr>
        <w:t xml:space="preserve">respondents by telephone or email to solicit their participation, and we contact higher-level government agencies to request responses from their jurisdictions.  We also ask State Data Centers </w:t>
      </w:r>
      <w:r w:rsidR="0004237D">
        <w:rPr>
          <w:sz w:val="24"/>
          <w:szCs w:val="24"/>
        </w:rPr>
        <w:t xml:space="preserve">and members of the Federal-State Cooperative for Population Estimates for </w:t>
      </w:r>
      <w:r>
        <w:rPr>
          <w:sz w:val="24"/>
          <w:szCs w:val="24"/>
        </w:rPr>
        <w:t>their assistance with name and address updates as well as help obtaining data for prior time periods for places that are currently delinquent to the survey.</w:t>
      </w:r>
      <w:r w:rsidR="00D03924">
        <w:rPr>
          <w:sz w:val="24"/>
          <w:szCs w:val="24"/>
        </w:rPr>
        <w:t xml:space="preserve"> We permit respondents to provide responses in any form</w:t>
      </w:r>
      <w:r w:rsidR="007D533D">
        <w:rPr>
          <w:sz w:val="24"/>
          <w:szCs w:val="24"/>
        </w:rPr>
        <w:t xml:space="preserve">at which best suits their needs, including: internet, fax, phone call, proprietary format files, </w:t>
      </w:r>
      <w:proofErr w:type="gramStart"/>
      <w:r w:rsidR="007D533D">
        <w:rPr>
          <w:sz w:val="24"/>
          <w:szCs w:val="24"/>
        </w:rPr>
        <w:t>etc..</w:t>
      </w:r>
      <w:proofErr w:type="gramEnd"/>
      <w:r w:rsidR="007D533D">
        <w:rPr>
          <w:sz w:val="24"/>
          <w:szCs w:val="24"/>
        </w:rPr>
        <w:t xml:space="preserve"> Additionally, we provide a web site with responses to Frequently Asked Questions to help facilitate reporting.</w:t>
      </w:r>
    </w:p>
    <w:p w:rsidR="002431DC" w:rsidRDefault="002431DC" w14:paraId="5AD4A0E6" w14:textId="77777777">
      <w:pPr>
        <w:numPr>
          <w:ilvl w:val="12"/>
          <w:numId w:val="0"/>
        </w:numPr>
        <w:ind w:left="1440"/>
        <w:rPr>
          <w:sz w:val="24"/>
          <w:szCs w:val="24"/>
        </w:rPr>
      </w:pPr>
      <w:r>
        <w:rPr>
          <w:sz w:val="24"/>
          <w:szCs w:val="24"/>
        </w:rPr>
        <w:t xml:space="preserve"> </w:t>
      </w:r>
    </w:p>
    <w:p w:rsidR="002431DC" w:rsidRDefault="002431DC" w14:paraId="2A2D8E05" w14:textId="77777777">
      <w:pPr>
        <w:numPr>
          <w:ilvl w:val="12"/>
          <w:numId w:val="0"/>
        </w:numPr>
        <w:ind w:left="720"/>
        <w:rPr>
          <w:b/>
          <w:bCs/>
          <w:sz w:val="24"/>
          <w:szCs w:val="24"/>
        </w:rPr>
      </w:pPr>
      <w:r>
        <w:rPr>
          <w:b/>
          <w:bCs/>
          <w:sz w:val="24"/>
          <w:szCs w:val="24"/>
        </w:rPr>
        <w:t>4.</w:t>
      </w:r>
      <w:r>
        <w:rPr>
          <w:b/>
          <w:bCs/>
          <w:sz w:val="24"/>
          <w:szCs w:val="24"/>
        </w:rPr>
        <w:tab/>
      </w:r>
      <w:r>
        <w:rPr>
          <w:b/>
          <w:bCs/>
          <w:sz w:val="24"/>
          <w:szCs w:val="24"/>
          <w:u w:val="single"/>
        </w:rPr>
        <w:t>Tests of</w:t>
      </w:r>
      <w:r w:rsidR="00BF7748">
        <w:rPr>
          <w:b/>
          <w:bCs/>
          <w:sz w:val="24"/>
          <w:szCs w:val="24"/>
          <w:u w:val="single"/>
        </w:rPr>
        <w:t xml:space="preserve"> Procedures or</w:t>
      </w:r>
      <w:r>
        <w:rPr>
          <w:b/>
          <w:bCs/>
          <w:sz w:val="24"/>
          <w:szCs w:val="24"/>
          <w:u w:val="single"/>
        </w:rPr>
        <w:t xml:space="preserve"> Methods</w:t>
      </w:r>
    </w:p>
    <w:p w:rsidR="002431DC" w:rsidRDefault="002431DC" w14:paraId="30AE0FF6" w14:textId="77777777">
      <w:pPr>
        <w:numPr>
          <w:ilvl w:val="12"/>
          <w:numId w:val="0"/>
        </w:numPr>
        <w:rPr>
          <w:sz w:val="24"/>
          <w:szCs w:val="24"/>
        </w:rPr>
      </w:pPr>
    </w:p>
    <w:p w:rsidR="002431DC" w:rsidRDefault="002431DC" w14:paraId="20A72869" w14:textId="77777777">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We completed an evaluation of the BPS as required by the Statistical Policy Directive on Compilation, Release, and Evaluation of Principal Federal Economic Indicators; this evaluation was submi</w:t>
      </w:r>
      <w:r w:rsidRPr="0015148C">
        <w:rPr>
          <w:sz w:val="24"/>
          <w:szCs w:val="24"/>
        </w:rPr>
        <w:t xml:space="preserve">tted to the OMB in </w:t>
      </w:r>
      <w:r w:rsidR="00AD18E5">
        <w:rPr>
          <w:sz w:val="24"/>
          <w:szCs w:val="24"/>
        </w:rPr>
        <w:t>September 2017.</w:t>
      </w:r>
      <w:r w:rsidR="0024080B">
        <w:rPr>
          <w:sz w:val="24"/>
          <w:szCs w:val="24"/>
        </w:rPr>
        <w:t xml:space="preserve"> </w:t>
      </w:r>
      <w:r w:rsidR="00862FA0">
        <w:rPr>
          <w:sz w:val="24"/>
          <w:szCs w:val="24"/>
        </w:rPr>
        <w:t xml:space="preserve">This submission includes a change in sample design and estimation methodology from the previous survey. </w:t>
      </w:r>
    </w:p>
    <w:p w:rsidR="00457B52" w:rsidRDefault="00457B52" w14:paraId="47C60808" w14:textId="77777777">
      <w:pPr>
        <w:ind w:left="1440"/>
        <w:rPr>
          <w:sz w:val="24"/>
          <w:szCs w:val="24"/>
        </w:rPr>
      </w:pPr>
    </w:p>
    <w:p w:rsidR="00F373C4" w:rsidRDefault="00916869" w14:paraId="132EE41D" w14:textId="77777777">
      <w:pPr>
        <w:ind w:left="1440"/>
        <w:rPr>
          <w:sz w:val="24"/>
        </w:rPr>
      </w:pPr>
      <w:r>
        <w:rPr>
          <w:sz w:val="24"/>
        </w:rPr>
        <w:t xml:space="preserve">A simulation study was conducted to measure the non-response error attributable to imputation for our current sample and future cutoff sample design. We also examined </w:t>
      </w:r>
      <w:r w:rsidR="00B86F43">
        <w:rPr>
          <w:sz w:val="24"/>
        </w:rPr>
        <w:t xml:space="preserve">the </w:t>
      </w:r>
      <w:r>
        <w:rPr>
          <w:sz w:val="24"/>
        </w:rPr>
        <w:t xml:space="preserve">Total Quantity Response </w:t>
      </w:r>
      <w:proofErr w:type="gramStart"/>
      <w:r>
        <w:rPr>
          <w:sz w:val="24"/>
        </w:rPr>
        <w:t>Rates</w:t>
      </w:r>
      <w:r w:rsidR="00B86F43">
        <w:rPr>
          <w:sz w:val="24"/>
        </w:rPr>
        <w:t>(</w:t>
      </w:r>
      <w:proofErr w:type="gramEnd"/>
      <w:r w:rsidR="00B86F43">
        <w:rPr>
          <w:sz w:val="24"/>
        </w:rPr>
        <w:t>TQRRs)</w:t>
      </w:r>
      <w:r>
        <w:rPr>
          <w:sz w:val="24"/>
        </w:rPr>
        <w:t xml:space="preserve"> at the state and county level for both designs, using the reporting status from 2019 annual survey.</w:t>
      </w:r>
      <w:r w:rsidR="00862FA0">
        <w:rPr>
          <w:sz w:val="24"/>
        </w:rPr>
        <w:t xml:space="preserve"> We will continue to test and adapt our imputation methods to mitigate the effects of non-response error on our estimates.</w:t>
      </w:r>
    </w:p>
    <w:p w:rsidR="00916869" w:rsidRDefault="00916869" w14:paraId="08F1F1C6" w14:textId="77777777">
      <w:pPr>
        <w:ind w:left="1440"/>
        <w:rPr>
          <w:sz w:val="24"/>
          <w:szCs w:val="24"/>
        </w:rPr>
      </w:pPr>
    </w:p>
    <w:p w:rsidRPr="0015148C" w:rsidR="00F373C4" w:rsidRDefault="00F373C4" w14:paraId="44D4E61D" w14:textId="77777777">
      <w:pPr>
        <w:ind w:left="1440"/>
        <w:rPr>
          <w:sz w:val="24"/>
          <w:szCs w:val="24"/>
        </w:rPr>
      </w:pPr>
      <w:r>
        <w:rPr>
          <w:sz w:val="24"/>
          <w:szCs w:val="24"/>
        </w:rPr>
        <w:t>All changes to methodology or processing systems are tested.  A redesigned interactive survey processing system was put into production in June 2018.  Testing of the system included a documented test plan, numerous test cases, and fully documented testing results.  Tests were performed by analysts at headquarters and the National Processing Center (NPC).</w:t>
      </w:r>
    </w:p>
    <w:p w:rsidRPr="0015148C" w:rsidR="00847ACE" w:rsidRDefault="00847ACE" w14:paraId="368CAE51" w14:textId="77777777">
      <w:pPr>
        <w:ind w:left="1440"/>
        <w:rPr>
          <w:sz w:val="24"/>
          <w:szCs w:val="24"/>
        </w:rPr>
      </w:pPr>
    </w:p>
    <w:p w:rsidR="00847ACE" w:rsidRDefault="00F373C4" w14:paraId="4E0833B7" w14:textId="77777777">
      <w:pPr>
        <w:ind w:left="1440"/>
        <w:rPr>
          <w:sz w:val="24"/>
          <w:szCs w:val="24"/>
        </w:rPr>
      </w:pPr>
      <w:r>
        <w:rPr>
          <w:sz w:val="24"/>
          <w:szCs w:val="24"/>
        </w:rPr>
        <w:t>In addition</w:t>
      </w:r>
      <w:r w:rsidR="0015148C">
        <w:rPr>
          <w:sz w:val="24"/>
          <w:szCs w:val="24"/>
        </w:rPr>
        <w:t>, w</w:t>
      </w:r>
      <w:r w:rsidRPr="0015148C" w:rsidR="00847ACE">
        <w:rPr>
          <w:sz w:val="24"/>
          <w:szCs w:val="24"/>
        </w:rPr>
        <w:t xml:space="preserve">e </w:t>
      </w:r>
      <w:r w:rsidR="008401F5">
        <w:rPr>
          <w:sz w:val="24"/>
          <w:szCs w:val="24"/>
        </w:rPr>
        <w:t xml:space="preserve">have </w:t>
      </w:r>
      <w:r w:rsidRPr="0015148C" w:rsidR="00847ACE">
        <w:rPr>
          <w:sz w:val="24"/>
          <w:szCs w:val="24"/>
        </w:rPr>
        <w:t xml:space="preserve">conducted usability testing of the online questionnaire with a sample of respondents before offering the online questionnaire to all </w:t>
      </w:r>
      <w:r w:rsidRPr="0015148C" w:rsidR="00457B52">
        <w:rPr>
          <w:sz w:val="24"/>
          <w:szCs w:val="24"/>
        </w:rPr>
        <w:t>respondents and</w:t>
      </w:r>
      <w:r w:rsidRPr="0015148C" w:rsidR="0015148C">
        <w:rPr>
          <w:sz w:val="24"/>
          <w:szCs w:val="24"/>
        </w:rPr>
        <w:t xml:space="preserve"> documented the results of the testing</w:t>
      </w:r>
      <w:r w:rsidRPr="0015148C" w:rsidR="00847ACE">
        <w:rPr>
          <w:sz w:val="24"/>
          <w:szCs w:val="24"/>
        </w:rPr>
        <w:t>.</w:t>
      </w:r>
    </w:p>
    <w:p w:rsidR="002431DC" w:rsidRDefault="002431DC" w14:paraId="2BB4C89A" w14:textId="77777777">
      <w:pPr>
        <w:numPr>
          <w:ilvl w:val="12"/>
          <w:numId w:val="0"/>
        </w:numPr>
        <w:ind w:left="1440"/>
        <w:rPr>
          <w:sz w:val="24"/>
          <w:szCs w:val="24"/>
        </w:rPr>
      </w:pPr>
    </w:p>
    <w:p w:rsidR="002431DC" w:rsidRDefault="002431DC" w14:paraId="51807C9C" w14:textId="77777777">
      <w:pPr>
        <w:numPr>
          <w:ilvl w:val="12"/>
          <w:numId w:val="0"/>
        </w:numPr>
        <w:tabs>
          <w:tab w:val="left" w:pos="720"/>
          <w:tab w:val="left" w:pos="1440"/>
        </w:tabs>
        <w:ind w:left="1440" w:hanging="1440"/>
        <w:rPr>
          <w:b/>
          <w:bCs/>
          <w:sz w:val="24"/>
          <w:szCs w:val="24"/>
        </w:rPr>
      </w:pPr>
      <w:r>
        <w:rPr>
          <w:b/>
          <w:bCs/>
          <w:sz w:val="24"/>
          <w:szCs w:val="24"/>
        </w:rPr>
        <w:tab/>
        <w:t>5.</w:t>
      </w:r>
      <w:r>
        <w:rPr>
          <w:b/>
          <w:bCs/>
          <w:sz w:val="24"/>
          <w:szCs w:val="24"/>
        </w:rPr>
        <w:tab/>
      </w:r>
      <w:r>
        <w:rPr>
          <w:b/>
          <w:bCs/>
          <w:sz w:val="24"/>
          <w:szCs w:val="24"/>
          <w:u w:val="single"/>
        </w:rPr>
        <w:t>Contacts</w:t>
      </w:r>
      <w:r w:rsidR="00BF7748">
        <w:rPr>
          <w:b/>
          <w:bCs/>
          <w:sz w:val="24"/>
          <w:szCs w:val="24"/>
          <w:u w:val="single"/>
        </w:rPr>
        <w:t xml:space="preserve"> for Statistical Aspects and Data Collection</w:t>
      </w:r>
    </w:p>
    <w:p w:rsidR="002431DC" w:rsidRDefault="002431DC" w14:paraId="49393D25" w14:textId="77777777">
      <w:pPr>
        <w:numPr>
          <w:ilvl w:val="12"/>
          <w:numId w:val="0"/>
        </w:numPr>
        <w:rPr>
          <w:sz w:val="24"/>
          <w:szCs w:val="24"/>
        </w:rPr>
      </w:pPr>
    </w:p>
    <w:p w:rsidR="002431DC" w:rsidRDefault="002431DC" w14:paraId="33EB916E" w14:textId="77777777">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w:t>
      </w:r>
      <w:r w:rsidR="00005FED">
        <w:rPr>
          <w:sz w:val="24"/>
          <w:szCs w:val="24"/>
        </w:rPr>
        <w:t>Economic Indicators</w:t>
      </w:r>
      <w:r>
        <w:rPr>
          <w:sz w:val="24"/>
          <w:szCs w:val="24"/>
        </w:rPr>
        <w:t xml:space="preserve"> Division plans and coordinates the survey.  This </w:t>
      </w:r>
      <w:r>
        <w:rPr>
          <w:sz w:val="24"/>
          <w:szCs w:val="24"/>
        </w:rPr>
        <w:lastRenderedPageBreak/>
        <w:t>includes the design of the reporting forms, sample selection, instructions for collecting and editing the information, preparation of table formats, and tabulation and release of the data.</w:t>
      </w:r>
    </w:p>
    <w:p w:rsidR="002431DC" w:rsidRDefault="002431DC" w14:paraId="6F36EC65" w14:textId="77777777">
      <w:pPr>
        <w:rPr>
          <w:sz w:val="24"/>
          <w:szCs w:val="24"/>
        </w:rPr>
      </w:pPr>
    </w:p>
    <w:p w:rsidR="002431DC" w:rsidP="0098624B" w:rsidRDefault="002431DC" w14:paraId="2917CAD1" w14:textId="77777777">
      <w:pPr>
        <w:pStyle w:val="BodyTextIndent"/>
      </w:pPr>
      <w:r>
        <w:t>The contact person for questions relating to the statistical aspects of the survey is M</w:t>
      </w:r>
      <w:r w:rsidR="000C02A5">
        <w:t xml:space="preserve">s. </w:t>
      </w:r>
      <w:r w:rsidR="00342FA8">
        <w:t>Bonnie Kegan</w:t>
      </w:r>
      <w:r>
        <w:t xml:space="preserve">, </w:t>
      </w:r>
      <w:r w:rsidR="00C03790">
        <w:t>Chief of the Construction Surveys Statistical Methods Branch</w:t>
      </w:r>
      <w:r w:rsidR="0098624B">
        <w:t xml:space="preserve"> in </w:t>
      </w:r>
      <w:r w:rsidR="00C03790">
        <w:t xml:space="preserve">the </w:t>
      </w:r>
      <w:r w:rsidR="0098624B">
        <w:t>Economic Statistical Methods Division</w:t>
      </w:r>
      <w:r>
        <w:t>.  She can be reached on (301) 763-</w:t>
      </w:r>
      <w:r w:rsidR="00C03790">
        <w:t>7639</w:t>
      </w:r>
      <w:r>
        <w:t>.</w:t>
      </w:r>
    </w:p>
    <w:p w:rsidR="002431DC" w:rsidRDefault="002431DC" w14:paraId="10CC6B9A" w14:textId="77777777">
      <w:pPr>
        <w:rPr>
          <w:sz w:val="24"/>
          <w:szCs w:val="24"/>
        </w:rPr>
      </w:pPr>
    </w:p>
    <w:p w:rsidR="002431DC" w:rsidRDefault="002431DC" w14:paraId="0D48A4DA" w14:textId="77777777">
      <w:pPr>
        <w:pStyle w:val="BodyTextIndent"/>
      </w:pPr>
      <w:r>
        <w:t xml:space="preserve">The contact person for questions relating to the collection and analysis of the data is </w:t>
      </w:r>
      <w:r w:rsidR="004916A3">
        <w:t>Mr. Aidan Smith</w:t>
      </w:r>
      <w:r w:rsidR="005C52AB">
        <w:t xml:space="preserve">, </w:t>
      </w:r>
      <w:r w:rsidR="00C768E9">
        <w:t xml:space="preserve">Assistant Division </w:t>
      </w:r>
      <w:r w:rsidR="005C52AB">
        <w:t xml:space="preserve">Chief for </w:t>
      </w:r>
      <w:r w:rsidR="00C768E9">
        <w:t>Construction Indicator Programs</w:t>
      </w:r>
      <w:r w:rsidR="005C52AB">
        <w:t xml:space="preserve"> in the </w:t>
      </w:r>
      <w:r w:rsidR="00005FED">
        <w:t>Economic Indicators Division</w:t>
      </w:r>
      <w:r w:rsidR="005C52AB">
        <w:t>.</w:t>
      </w:r>
      <w:r>
        <w:t xml:space="preserve"> </w:t>
      </w:r>
      <w:r w:rsidR="004916A3">
        <w:t>He</w:t>
      </w:r>
      <w:r>
        <w:t xml:space="preserve"> can be reached on (301) 763-</w:t>
      </w:r>
      <w:r w:rsidR="004916A3">
        <w:t>2972</w:t>
      </w:r>
      <w:r>
        <w:t>.</w:t>
      </w:r>
    </w:p>
    <w:p w:rsidR="002431DC" w:rsidRDefault="002431DC" w14:paraId="36E8F19F" w14:textId="77777777">
      <w:pPr>
        <w:numPr>
          <w:ilvl w:val="12"/>
          <w:numId w:val="0"/>
        </w:numPr>
        <w:rPr>
          <w:sz w:val="24"/>
          <w:szCs w:val="24"/>
        </w:rPr>
      </w:pPr>
    </w:p>
    <w:p w:rsidR="000C02A5" w:rsidRDefault="000C02A5" w14:paraId="218A43F8" w14:textId="77777777">
      <w:pPr>
        <w:numPr>
          <w:ilvl w:val="12"/>
          <w:numId w:val="0"/>
        </w:numPr>
        <w:rPr>
          <w:sz w:val="24"/>
          <w:szCs w:val="24"/>
        </w:rPr>
      </w:pPr>
    </w:p>
    <w:p w:rsidRPr="0099458A" w:rsidR="002431DC" w:rsidRDefault="002431DC" w14:paraId="505E4773" w14:textId="77777777">
      <w:pPr>
        <w:numPr>
          <w:ilvl w:val="12"/>
          <w:numId w:val="0"/>
        </w:numPr>
        <w:rPr>
          <w:sz w:val="24"/>
          <w:szCs w:val="24"/>
        </w:rPr>
      </w:pPr>
      <w:r w:rsidRPr="0099458A">
        <w:rPr>
          <w:sz w:val="24"/>
          <w:szCs w:val="24"/>
        </w:rPr>
        <w:t>Attachments:</w:t>
      </w:r>
    </w:p>
    <w:p w:rsidRPr="0099458A" w:rsidR="002431DC" w:rsidRDefault="002431DC" w14:paraId="4BE7F61F" w14:textId="77777777">
      <w:pPr>
        <w:numPr>
          <w:ilvl w:val="12"/>
          <w:numId w:val="0"/>
        </w:numPr>
        <w:rPr>
          <w:sz w:val="24"/>
          <w:szCs w:val="24"/>
        </w:rPr>
      </w:pPr>
    </w:p>
    <w:p w:rsidRPr="009452CB" w:rsidR="002431DC" w:rsidP="00C34A14" w:rsidRDefault="002431DC" w14:paraId="1CD9D9F5" w14:textId="77777777">
      <w:pPr>
        <w:pStyle w:val="Heading7"/>
        <w:numPr>
          <w:ilvl w:val="0"/>
          <w:numId w:val="13"/>
        </w:numPr>
      </w:pPr>
      <w:r w:rsidRPr="009452CB">
        <w:t>Form C-404, “Report of Building or Zoning Permits Issued</w:t>
      </w:r>
      <w:r w:rsidRPr="009452CB" w:rsidR="00777DCB">
        <w:t xml:space="preserve"> </w:t>
      </w:r>
      <w:r w:rsidRPr="009452CB">
        <w:t>for New Privately-Owned</w:t>
      </w:r>
      <w:r w:rsidRPr="009452CB" w:rsidR="00126982">
        <w:t xml:space="preserve"> </w:t>
      </w:r>
      <w:r w:rsidRPr="009452CB">
        <w:t>Housing Units”</w:t>
      </w:r>
    </w:p>
    <w:p w:rsidRPr="009452CB" w:rsidR="00CB5EE5" w:rsidP="00CB5EE5" w:rsidRDefault="00CB5EE5" w14:paraId="6C8B458C" w14:textId="77777777">
      <w:pPr>
        <w:pStyle w:val="Heading7"/>
        <w:numPr>
          <w:ilvl w:val="0"/>
          <w:numId w:val="13"/>
        </w:numPr>
      </w:pPr>
      <w:r w:rsidRPr="009452CB">
        <w:t xml:space="preserve">Letter of support from the Bureau of Economic Analysis </w:t>
      </w:r>
    </w:p>
    <w:p w:rsidRPr="009452CB" w:rsidR="0099458A" w:rsidP="00F81D81" w:rsidRDefault="00C34A14" w14:paraId="35F7F8E2" w14:textId="77777777">
      <w:pPr>
        <w:numPr>
          <w:ilvl w:val="0"/>
          <w:numId w:val="13"/>
        </w:numPr>
        <w:rPr>
          <w:sz w:val="24"/>
          <w:szCs w:val="24"/>
        </w:rPr>
      </w:pPr>
      <w:r w:rsidRPr="009452CB">
        <w:rPr>
          <w:sz w:val="24"/>
          <w:szCs w:val="24"/>
        </w:rPr>
        <w:t>Selected Screenshots from Centurion Instrument</w:t>
      </w:r>
    </w:p>
    <w:p w:rsidRPr="009452CB" w:rsidR="002431DC" w:rsidP="00F81D81" w:rsidRDefault="002431DC" w14:paraId="0513B4AC" w14:textId="77777777">
      <w:pPr>
        <w:numPr>
          <w:ilvl w:val="0"/>
          <w:numId w:val="13"/>
        </w:numPr>
        <w:rPr>
          <w:sz w:val="24"/>
          <w:szCs w:val="24"/>
        </w:rPr>
      </w:pPr>
      <w:r w:rsidRPr="009452CB">
        <w:rPr>
          <w:sz w:val="24"/>
          <w:szCs w:val="24"/>
        </w:rPr>
        <w:t xml:space="preserve">C-404-L1 </w:t>
      </w:r>
      <w:r w:rsidR="00227F23">
        <w:rPr>
          <w:sz w:val="24"/>
          <w:szCs w:val="24"/>
        </w:rPr>
        <w:t xml:space="preserve">(PS) </w:t>
      </w:r>
      <w:r w:rsidRPr="009452CB">
        <w:rPr>
          <w:sz w:val="24"/>
          <w:szCs w:val="24"/>
        </w:rPr>
        <w:t xml:space="preserve">– </w:t>
      </w:r>
      <w:r w:rsidRPr="009452CB" w:rsidR="00642669">
        <w:rPr>
          <w:sz w:val="24"/>
          <w:szCs w:val="24"/>
        </w:rPr>
        <w:t>Initial l</w:t>
      </w:r>
      <w:r w:rsidRPr="009452CB">
        <w:rPr>
          <w:sz w:val="24"/>
          <w:szCs w:val="24"/>
        </w:rPr>
        <w:t>etter for annual respondents</w:t>
      </w:r>
    </w:p>
    <w:p w:rsidRPr="009452CB" w:rsidR="002431DC" w:rsidP="00C34A14" w:rsidRDefault="002431DC" w14:paraId="6006D14C" w14:textId="77777777">
      <w:pPr>
        <w:pStyle w:val="Heading7"/>
        <w:numPr>
          <w:ilvl w:val="0"/>
          <w:numId w:val="13"/>
        </w:numPr>
      </w:pPr>
      <w:r w:rsidRPr="009452CB">
        <w:t xml:space="preserve">C-404-L2 </w:t>
      </w:r>
      <w:r w:rsidR="00227F23">
        <w:t xml:space="preserve">(PS) </w:t>
      </w:r>
      <w:r w:rsidRPr="009452CB">
        <w:t>– Letter for monthly respondents not reporting 5 or more months</w:t>
      </w:r>
      <w:r w:rsidRPr="009452CB" w:rsidR="00126982">
        <w:t xml:space="preserve"> </w:t>
      </w:r>
      <w:r w:rsidRPr="009452CB">
        <w:t>of the year</w:t>
      </w:r>
    </w:p>
    <w:p w:rsidRPr="009452CB" w:rsidR="002431DC" w:rsidP="00C34A14" w:rsidRDefault="002431DC" w14:paraId="00982DE6" w14:textId="77777777">
      <w:pPr>
        <w:pStyle w:val="Heading7"/>
        <w:numPr>
          <w:ilvl w:val="0"/>
          <w:numId w:val="13"/>
        </w:numPr>
      </w:pPr>
      <w:r w:rsidRPr="009452CB">
        <w:t xml:space="preserve">C-404-L3 </w:t>
      </w:r>
      <w:r w:rsidR="00227F23">
        <w:t xml:space="preserve">(PS) </w:t>
      </w:r>
      <w:r w:rsidRPr="009452CB">
        <w:t xml:space="preserve">– </w:t>
      </w:r>
      <w:r w:rsidRPr="009452CB" w:rsidR="00642669">
        <w:t>Follow</w:t>
      </w:r>
      <w:r w:rsidRPr="009452CB" w:rsidR="005B5A00">
        <w:t>-</w:t>
      </w:r>
      <w:r w:rsidRPr="009452CB" w:rsidR="00642669">
        <w:t>up l</w:t>
      </w:r>
      <w:r w:rsidRPr="009452CB">
        <w:t>etter for monthly respondents not reporting 1 to 4 months</w:t>
      </w:r>
      <w:r w:rsidRPr="009452CB" w:rsidR="00126982">
        <w:t xml:space="preserve"> </w:t>
      </w:r>
      <w:r w:rsidRPr="009452CB">
        <w:t>of the year</w:t>
      </w:r>
    </w:p>
    <w:p w:rsidR="002431DC" w:rsidP="00C34A14" w:rsidRDefault="002431DC" w14:paraId="6925897F" w14:textId="77777777">
      <w:pPr>
        <w:pStyle w:val="Heading7"/>
        <w:numPr>
          <w:ilvl w:val="0"/>
          <w:numId w:val="13"/>
        </w:numPr>
      </w:pPr>
      <w:r w:rsidRPr="009452CB">
        <w:t>C-404-L4 –</w:t>
      </w:r>
      <w:r w:rsidRPr="009452CB" w:rsidR="00584748">
        <w:t xml:space="preserve"> </w:t>
      </w:r>
      <w:r w:rsidRPr="009452CB" w:rsidR="00642669">
        <w:t>Follow</w:t>
      </w:r>
      <w:r w:rsidRPr="009452CB" w:rsidR="005B5A00">
        <w:t>-</w:t>
      </w:r>
      <w:r w:rsidRPr="009452CB" w:rsidR="00642669">
        <w:t xml:space="preserve">up letter for </w:t>
      </w:r>
      <w:r w:rsidRPr="009452CB">
        <w:t xml:space="preserve">annual </w:t>
      </w:r>
      <w:r w:rsidRPr="009452CB" w:rsidR="00642669">
        <w:t>non</w:t>
      </w:r>
      <w:r w:rsidRPr="009452CB" w:rsidR="005B5A00">
        <w:t>-</w:t>
      </w:r>
      <w:r w:rsidRPr="009452CB">
        <w:t>respondents</w:t>
      </w:r>
    </w:p>
    <w:p w:rsidRPr="009452CB" w:rsidR="009452CB" w:rsidP="009452CB" w:rsidRDefault="009452CB" w14:paraId="6018CF23" w14:textId="77777777">
      <w:pPr>
        <w:numPr>
          <w:ilvl w:val="0"/>
          <w:numId w:val="13"/>
        </w:numPr>
        <w:rPr>
          <w:sz w:val="24"/>
          <w:szCs w:val="24"/>
        </w:rPr>
      </w:pPr>
      <w:r>
        <w:rPr>
          <w:sz w:val="24"/>
          <w:szCs w:val="24"/>
        </w:rPr>
        <w:t>Title 13 Relevant Sections</w:t>
      </w:r>
    </w:p>
    <w:p w:rsidRPr="009452CB" w:rsidR="009452CB" w:rsidP="009452CB" w:rsidRDefault="009452CB" w14:paraId="32CF5CA3" w14:textId="77777777"/>
    <w:p w:rsidRPr="0058575C" w:rsidR="00C34A14" w:rsidP="00E76D79" w:rsidRDefault="00C34A14" w14:paraId="5821BAC5" w14:textId="77777777">
      <w:pPr>
        <w:pStyle w:val="Heading7"/>
        <w:numPr>
          <w:ilvl w:val="0"/>
          <w:numId w:val="0"/>
        </w:numPr>
        <w:ind w:left="1080"/>
        <w:rPr>
          <w:szCs w:val="20"/>
          <w:highlight w:val="yellow"/>
        </w:rPr>
      </w:pPr>
    </w:p>
    <w:p w:rsidR="00642669" w:rsidP="00126982" w:rsidRDefault="00642669" w14:paraId="21070470" w14:textId="77777777">
      <w:pPr>
        <w:ind w:left="1440" w:hanging="1440"/>
        <w:rPr>
          <w:sz w:val="24"/>
          <w:szCs w:val="24"/>
        </w:rPr>
      </w:pPr>
    </w:p>
    <w:sectPr w:rsidR="00642669" w:rsidSect="0099458A">
      <w:headerReference w:type="default" r:id="rId7"/>
      <w:footnotePr>
        <w:numRestart w:val="eachPage"/>
      </w:footnotePr>
      <w:endnotePr>
        <w:numFmt w:val="decimal"/>
      </w:endnotePr>
      <w:type w:val="continuous"/>
      <w:pgSz w:w="12240" w:h="15840"/>
      <w:pgMar w:top="1440" w:right="1440" w:bottom="126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DF443" w14:textId="77777777" w:rsidR="009F7ECF" w:rsidRDefault="009F7ECF">
      <w:r>
        <w:separator/>
      </w:r>
    </w:p>
  </w:endnote>
  <w:endnote w:type="continuationSeparator" w:id="0">
    <w:p w14:paraId="102745D0" w14:textId="77777777" w:rsidR="009F7ECF" w:rsidRDefault="009F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2139B" w14:textId="77777777" w:rsidR="009F7ECF" w:rsidRDefault="009F7ECF">
      <w:r>
        <w:separator/>
      </w:r>
    </w:p>
  </w:footnote>
  <w:footnote w:type="continuationSeparator" w:id="0">
    <w:p w14:paraId="0658C623" w14:textId="77777777" w:rsidR="009F7ECF" w:rsidRDefault="009F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15B07" w14:textId="77777777" w:rsidR="00674995" w:rsidRDefault="00674995">
    <w:pPr>
      <w:framePr w:wrap="notBeside" w:hAnchor="text" w:xAlign="right"/>
      <w:rPr>
        <w:sz w:val="24"/>
        <w:szCs w:val="24"/>
      </w:rPr>
    </w:pPr>
    <w:r>
      <w:rPr>
        <w:sz w:val="24"/>
        <w:szCs w:val="24"/>
      </w:rPr>
      <w:fldChar w:fldCharType="begin"/>
    </w:r>
    <w:r>
      <w:rPr>
        <w:sz w:val="24"/>
        <w:szCs w:val="24"/>
      </w:rPr>
      <w:instrText xml:space="preserve"> PAGE  </w:instrText>
    </w:r>
    <w:r>
      <w:rPr>
        <w:sz w:val="24"/>
        <w:szCs w:val="24"/>
      </w:rPr>
      <w:fldChar w:fldCharType="separate"/>
    </w:r>
    <w:r w:rsidR="0099458A">
      <w:rPr>
        <w:noProof/>
        <w:sz w:val="24"/>
        <w:szCs w:val="24"/>
      </w:rPr>
      <w:t>3</w:t>
    </w:r>
    <w:r>
      <w:rPr>
        <w:sz w:val="24"/>
        <w:szCs w:val="24"/>
      </w:rPr>
      <w:fldChar w:fldCharType="end"/>
    </w:r>
  </w:p>
  <w:p w14:paraId="087DD65E" w14:textId="77777777" w:rsidR="00674995" w:rsidRDefault="00674995">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15:restartNumberingAfterBreak="0">
    <w:nsid w:val="058D10ED"/>
    <w:multiLevelType w:val="hybridMultilevel"/>
    <w:tmpl w:val="EB664E2A"/>
    <w:lvl w:ilvl="0" w:tplc="170ECD7A">
      <w:start w:val="4"/>
      <w:numFmt w:val="upperLetter"/>
      <w:pStyle w:val="Heading9"/>
      <w:lvlText w:val="%1."/>
      <w:lvlJc w:val="left"/>
      <w:pPr>
        <w:tabs>
          <w:tab w:val="num" w:pos="360"/>
        </w:tabs>
        <w:ind w:left="360" w:hanging="360"/>
      </w:pPr>
      <w:rPr>
        <w:rFonts w:hint="default"/>
        <w:color w:val="FF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DA4557"/>
    <w:multiLevelType w:val="hybridMultilevel"/>
    <w:tmpl w:val="9E7E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E7927"/>
    <w:multiLevelType w:val="hybridMultilevel"/>
    <w:tmpl w:val="945AD75E"/>
    <w:lvl w:ilvl="0" w:tplc="7C5EB8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452E7B"/>
    <w:multiLevelType w:val="hybridMultilevel"/>
    <w:tmpl w:val="BB54F668"/>
    <w:lvl w:ilvl="0" w:tplc="4E405ED6">
      <w:start w:val="2"/>
      <w:numFmt w:val="upperLetter"/>
      <w:lvlText w:val="%1."/>
      <w:lvlJc w:val="left"/>
      <w:pPr>
        <w:tabs>
          <w:tab w:val="num" w:pos="816"/>
        </w:tabs>
        <w:ind w:left="816" w:hanging="45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232251"/>
    <w:multiLevelType w:val="hybridMultilevel"/>
    <w:tmpl w:val="CC26473A"/>
    <w:lvl w:ilvl="0" w:tplc="FB684C7C">
      <w:start w:val="4"/>
      <w:numFmt w:val="upperLetter"/>
      <w:pStyle w:val="Heading8"/>
      <w:lvlText w:val="%1."/>
      <w:lvlJc w:val="left"/>
      <w:pPr>
        <w:tabs>
          <w:tab w:val="num" w:pos="468"/>
        </w:tabs>
        <w:ind w:left="468" w:hanging="468"/>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98F6FFF"/>
    <w:multiLevelType w:val="hybridMultilevel"/>
    <w:tmpl w:val="54C444AC"/>
    <w:lvl w:ilvl="0" w:tplc="3DF09DF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42F2B"/>
    <w:multiLevelType w:val="hybridMultilevel"/>
    <w:tmpl w:val="EB664E2A"/>
    <w:lvl w:ilvl="0" w:tplc="8752DB28">
      <w:start w:val="1"/>
      <w:numFmt w:val="bullet"/>
      <w:lvlText w:val="•"/>
      <w:lvlJc w:val="left"/>
      <w:pPr>
        <w:tabs>
          <w:tab w:val="num" w:pos="720"/>
        </w:tabs>
        <w:ind w:left="720" w:hanging="720"/>
      </w:pPr>
      <w:rPr>
        <w:rFonts w:ascii="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CEC2FB5"/>
    <w:multiLevelType w:val="hybridMultilevel"/>
    <w:tmpl w:val="47D8AC3E"/>
    <w:lvl w:ilvl="0" w:tplc="A79CA270">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53081E5E"/>
    <w:multiLevelType w:val="hybridMultilevel"/>
    <w:tmpl w:val="86DE6060"/>
    <w:lvl w:ilvl="0" w:tplc="EF2C1FA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947051"/>
    <w:multiLevelType w:val="hybridMultilevel"/>
    <w:tmpl w:val="BFC8E3EC"/>
    <w:lvl w:ilvl="0" w:tplc="8CDE9DBC">
      <w:start w:val="1"/>
      <w:numFmt w:val="upperLetter"/>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756B6864"/>
    <w:multiLevelType w:val="multilevel"/>
    <w:tmpl w:val="DFBCF0BE"/>
    <w:lvl w:ilvl="0">
      <w:start w:val="10"/>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9"/>
  </w:num>
  <w:num w:numId="2">
    <w:abstractNumId w:val="8"/>
  </w:num>
  <w:num w:numId="3">
    <w:abstractNumId w:val="0"/>
  </w:num>
  <w:num w:numId="4">
    <w:abstractNumId w:val="3"/>
  </w:num>
  <w:num w:numId="5">
    <w:abstractNumId w:val="11"/>
  </w:num>
  <w:num w:numId="6">
    <w:abstractNumId w:val="12"/>
  </w:num>
  <w:num w:numId="7">
    <w:abstractNumId w:val="5"/>
  </w:num>
  <w:num w:numId="8">
    <w:abstractNumId w:val="4"/>
  </w:num>
  <w:num w:numId="9">
    <w:abstractNumId w:val="10"/>
  </w:num>
  <w:num w:numId="10">
    <w:abstractNumId w:val="1"/>
  </w:num>
  <w:num w:numId="11">
    <w:abstractNumId w:val="7"/>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AC5222"/>
    <w:rsid w:val="00005FED"/>
    <w:rsid w:val="00007CF3"/>
    <w:rsid w:val="0001240D"/>
    <w:rsid w:val="000130BA"/>
    <w:rsid w:val="00023965"/>
    <w:rsid w:val="0004237D"/>
    <w:rsid w:val="000468C4"/>
    <w:rsid w:val="00057543"/>
    <w:rsid w:val="000838E1"/>
    <w:rsid w:val="00095D9B"/>
    <w:rsid w:val="00096CBF"/>
    <w:rsid w:val="000B25D2"/>
    <w:rsid w:val="000C02A5"/>
    <w:rsid w:val="000C1691"/>
    <w:rsid w:val="000F5E2F"/>
    <w:rsid w:val="00106FC9"/>
    <w:rsid w:val="001106EC"/>
    <w:rsid w:val="00116268"/>
    <w:rsid w:val="00126982"/>
    <w:rsid w:val="0015148C"/>
    <w:rsid w:val="001531DF"/>
    <w:rsid w:val="001539C1"/>
    <w:rsid w:val="00172C84"/>
    <w:rsid w:val="001A0667"/>
    <w:rsid w:val="001B0270"/>
    <w:rsid w:val="001C02AD"/>
    <w:rsid w:val="001E5BF5"/>
    <w:rsid w:val="001F20C9"/>
    <w:rsid w:val="001F745E"/>
    <w:rsid w:val="00203273"/>
    <w:rsid w:val="0021011F"/>
    <w:rsid w:val="00227F23"/>
    <w:rsid w:val="0024080B"/>
    <w:rsid w:val="00242D65"/>
    <w:rsid w:val="002431DC"/>
    <w:rsid w:val="0027056C"/>
    <w:rsid w:val="002726DB"/>
    <w:rsid w:val="002E448B"/>
    <w:rsid w:val="002E6580"/>
    <w:rsid w:val="002F5FAF"/>
    <w:rsid w:val="00342FA8"/>
    <w:rsid w:val="00356E25"/>
    <w:rsid w:val="00360116"/>
    <w:rsid w:val="00363428"/>
    <w:rsid w:val="003A25CD"/>
    <w:rsid w:val="003B4D6D"/>
    <w:rsid w:val="003C56B4"/>
    <w:rsid w:val="003D781C"/>
    <w:rsid w:val="003E4A90"/>
    <w:rsid w:val="003E6EAC"/>
    <w:rsid w:val="004151DF"/>
    <w:rsid w:val="00440EBE"/>
    <w:rsid w:val="00443AA7"/>
    <w:rsid w:val="00451781"/>
    <w:rsid w:val="00457B52"/>
    <w:rsid w:val="004606C4"/>
    <w:rsid w:val="00460E20"/>
    <w:rsid w:val="004778D7"/>
    <w:rsid w:val="004916A3"/>
    <w:rsid w:val="004E1EDF"/>
    <w:rsid w:val="004F52B6"/>
    <w:rsid w:val="00550ADB"/>
    <w:rsid w:val="00584748"/>
    <w:rsid w:val="0058575C"/>
    <w:rsid w:val="005A6820"/>
    <w:rsid w:val="005B5A00"/>
    <w:rsid w:val="005C52AB"/>
    <w:rsid w:val="005D7E36"/>
    <w:rsid w:val="006250B1"/>
    <w:rsid w:val="00642669"/>
    <w:rsid w:val="00674995"/>
    <w:rsid w:val="00685D90"/>
    <w:rsid w:val="00692EB4"/>
    <w:rsid w:val="006C1DCA"/>
    <w:rsid w:val="006C4759"/>
    <w:rsid w:val="006D7036"/>
    <w:rsid w:val="006E0479"/>
    <w:rsid w:val="006F2892"/>
    <w:rsid w:val="00705B81"/>
    <w:rsid w:val="0070729B"/>
    <w:rsid w:val="00707C9A"/>
    <w:rsid w:val="00715FD6"/>
    <w:rsid w:val="007261FE"/>
    <w:rsid w:val="007347C1"/>
    <w:rsid w:val="00772CA8"/>
    <w:rsid w:val="00777DCB"/>
    <w:rsid w:val="007A1F6F"/>
    <w:rsid w:val="007D248C"/>
    <w:rsid w:val="007D533D"/>
    <w:rsid w:val="007E6E50"/>
    <w:rsid w:val="007F3F56"/>
    <w:rsid w:val="008017F2"/>
    <w:rsid w:val="00806327"/>
    <w:rsid w:val="00812D2F"/>
    <w:rsid w:val="00825A97"/>
    <w:rsid w:val="008334BA"/>
    <w:rsid w:val="00833BB1"/>
    <w:rsid w:val="00837AE1"/>
    <w:rsid w:val="008401F5"/>
    <w:rsid w:val="00841547"/>
    <w:rsid w:val="00847ACE"/>
    <w:rsid w:val="00862FA0"/>
    <w:rsid w:val="00873FD2"/>
    <w:rsid w:val="008817EB"/>
    <w:rsid w:val="008A357B"/>
    <w:rsid w:val="008C3DD4"/>
    <w:rsid w:val="008E2E79"/>
    <w:rsid w:val="008F7973"/>
    <w:rsid w:val="00903052"/>
    <w:rsid w:val="00916869"/>
    <w:rsid w:val="0092479B"/>
    <w:rsid w:val="00932E60"/>
    <w:rsid w:val="00941B50"/>
    <w:rsid w:val="009452CB"/>
    <w:rsid w:val="00957653"/>
    <w:rsid w:val="00965E75"/>
    <w:rsid w:val="00982AC9"/>
    <w:rsid w:val="0098624B"/>
    <w:rsid w:val="0099458A"/>
    <w:rsid w:val="00996DD3"/>
    <w:rsid w:val="009A6303"/>
    <w:rsid w:val="009A7C80"/>
    <w:rsid w:val="009B5F8D"/>
    <w:rsid w:val="009D0199"/>
    <w:rsid w:val="009D588A"/>
    <w:rsid w:val="009D7AFB"/>
    <w:rsid w:val="009E5157"/>
    <w:rsid w:val="009F50D7"/>
    <w:rsid w:val="009F7ECF"/>
    <w:rsid w:val="00A00560"/>
    <w:rsid w:val="00A01539"/>
    <w:rsid w:val="00A1138E"/>
    <w:rsid w:val="00A175DF"/>
    <w:rsid w:val="00A2112C"/>
    <w:rsid w:val="00A24C4B"/>
    <w:rsid w:val="00A43ED6"/>
    <w:rsid w:val="00A60A0F"/>
    <w:rsid w:val="00A62F8A"/>
    <w:rsid w:val="00A70443"/>
    <w:rsid w:val="00A77B99"/>
    <w:rsid w:val="00A846A8"/>
    <w:rsid w:val="00A85145"/>
    <w:rsid w:val="00A86C9A"/>
    <w:rsid w:val="00A901EE"/>
    <w:rsid w:val="00A97AD2"/>
    <w:rsid w:val="00AA5CF1"/>
    <w:rsid w:val="00AC06CF"/>
    <w:rsid w:val="00AC13C1"/>
    <w:rsid w:val="00AC5222"/>
    <w:rsid w:val="00AD18E5"/>
    <w:rsid w:val="00AD5301"/>
    <w:rsid w:val="00AD6D0C"/>
    <w:rsid w:val="00AD7775"/>
    <w:rsid w:val="00AE1E9E"/>
    <w:rsid w:val="00AF645F"/>
    <w:rsid w:val="00B13336"/>
    <w:rsid w:val="00B1647D"/>
    <w:rsid w:val="00B170DC"/>
    <w:rsid w:val="00B176BE"/>
    <w:rsid w:val="00B257B9"/>
    <w:rsid w:val="00B41B68"/>
    <w:rsid w:val="00B46FC7"/>
    <w:rsid w:val="00B4749B"/>
    <w:rsid w:val="00B7087E"/>
    <w:rsid w:val="00B85283"/>
    <w:rsid w:val="00B86F43"/>
    <w:rsid w:val="00B969FF"/>
    <w:rsid w:val="00B9780B"/>
    <w:rsid w:val="00BA202F"/>
    <w:rsid w:val="00BA401B"/>
    <w:rsid w:val="00BC5BCF"/>
    <w:rsid w:val="00BD22C9"/>
    <w:rsid w:val="00BD4052"/>
    <w:rsid w:val="00BE4606"/>
    <w:rsid w:val="00BF7748"/>
    <w:rsid w:val="00C01D08"/>
    <w:rsid w:val="00C03790"/>
    <w:rsid w:val="00C14DEA"/>
    <w:rsid w:val="00C256B8"/>
    <w:rsid w:val="00C30269"/>
    <w:rsid w:val="00C34A14"/>
    <w:rsid w:val="00C768E9"/>
    <w:rsid w:val="00CB2724"/>
    <w:rsid w:val="00CB5EE5"/>
    <w:rsid w:val="00CF4BA5"/>
    <w:rsid w:val="00D03924"/>
    <w:rsid w:val="00D13EC2"/>
    <w:rsid w:val="00D321B1"/>
    <w:rsid w:val="00D33FA8"/>
    <w:rsid w:val="00D36769"/>
    <w:rsid w:val="00D52F24"/>
    <w:rsid w:val="00D672CB"/>
    <w:rsid w:val="00D77834"/>
    <w:rsid w:val="00D84BFC"/>
    <w:rsid w:val="00D90B64"/>
    <w:rsid w:val="00D92919"/>
    <w:rsid w:val="00D97A1E"/>
    <w:rsid w:val="00DA3494"/>
    <w:rsid w:val="00DB0EBB"/>
    <w:rsid w:val="00DE596C"/>
    <w:rsid w:val="00E22323"/>
    <w:rsid w:val="00E430FA"/>
    <w:rsid w:val="00E51F0D"/>
    <w:rsid w:val="00E616B7"/>
    <w:rsid w:val="00E74942"/>
    <w:rsid w:val="00E76D79"/>
    <w:rsid w:val="00E77B21"/>
    <w:rsid w:val="00E931A8"/>
    <w:rsid w:val="00EB08E0"/>
    <w:rsid w:val="00ED4DF3"/>
    <w:rsid w:val="00EF4BE7"/>
    <w:rsid w:val="00F052FC"/>
    <w:rsid w:val="00F373C4"/>
    <w:rsid w:val="00F43D0D"/>
    <w:rsid w:val="00F607B7"/>
    <w:rsid w:val="00F611EE"/>
    <w:rsid w:val="00F62133"/>
    <w:rsid w:val="00F63DAF"/>
    <w:rsid w:val="00F778B6"/>
    <w:rsid w:val="00F81D81"/>
    <w:rsid w:val="00F8794A"/>
    <w:rsid w:val="00FA0ECB"/>
    <w:rsid w:val="00FA1A0B"/>
    <w:rsid w:val="00FB18A5"/>
    <w:rsid w:val="00FC318C"/>
    <w:rsid w:val="00FE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07C6F2"/>
  <w15:chartTrackingRefBased/>
  <w15:docId w15:val="{1AC865F3-9251-47E4-AE48-504EE265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s>
      <w:ind w:left="720" w:hanging="720"/>
      <w:outlineLvl w:val="0"/>
    </w:pPr>
    <w:rPr>
      <w:b/>
      <w:bCs/>
      <w:sz w:val="24"/>
      <w:szCs w:val="24"/>
    </w:rPr>
  </w:style>
  <w:style w:type="paragraph" w:styleId="Heading2">
    <w:name w:val="heading 2"/>
    <w:basedOn w:val="Normal"/>
    <w:next w:val="Normal"/>
    <w:qFormat/>
    <w:pPr>
      <w:keepNext/>
      <w:autoSpaceDE/>
      <w:autoSpaceDN/>
      <w:adjustRightInd/>
      <w:jc w:val="center"/>
      <w:outlineLvl w:val="1"/>
    </w:pPr>
    <w:rPr>
      <w:b/>
      <w:bCs/>
      <w:color w:val="000000"/>
      <w:sz w:val="24"/>
      <w:szCs w:val="24"/>
    </w:rPr>
  </w:style>
  <w:style w:type="paragraph" w:styleId="Heading3">
    <w:name w:val="heading 3"/>
    <w:basedOn w:val="Normal"/>
    <w:next w:val="Normal"/>
    <w:qFormat/>
    <w:pPr>
      <w:keepNext/>
      <w:autoSpaceDE/>
      <w:autoSpaceDN/>
      <w:adjustRightInd/>
      <w:outlineLvl w:val="2"/>
    </w:pPr>
    <w:rPr>
      <w:b/>
      <w:sz w:val="24"/>
      <w:szCs w:val="24"/>
    </w:rPr>
  </w:style>
  <w:style w:type="paragraph" w:styleId="Heading4">
    <w:name w:val="heading 4"/>
    <w:basedOn w:val="Normal"/>
    <w:next w:val="Normal"/>
    <w:qFormat/>
    <w:pPr>
      <w:keepNext/>
      <w:autoSpaceDE/>
      <w:autoSpaceDN/>
      <w:adjustRightInd/>
      <w:jc w:val="center"/>
      <w:outlineLvl w:val="3"/>
    </w:pPr>
    <w:rPr>
      <w:b/>
      <w:sz w:val="24"/>
      <w:szCs w:val="24"/>
    </w:rPr>
  </w:style>
  <w:style w:type="paragraph" w:styleId="Heading5">
    <w:name w:val="heading 5"/>
    <w:basedOn w:val="Normal"/>
    <w:next w:val="Normal"/>
    <w:qFormat/>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pPr>
      <w:keepNext/>
      <w:autoSpaceDE/>
      <w:autoSpaceDN/>
      <w:adjustRightInd/>
      <w:jc w:val="center"/>
      <w:outlineLvl w:val="5"/>
    </w:pPr>
    <w:rPr>
      <w:b/>
      <w:bCs/>
      <w:color w:val="000000"/>
      <w:sz w:val="24"/>
      <w:szCs w:val="24"/>
    </w:rPr>
  </w:style>
  <w:style w:type="paragraph" w:styleId="Heading7">
    <w:name w:val="heading 7"/>
    <w:basedOn w:val="Normal"/>
    <w:next w:val="Normal"/>
    <w:qFormat/>
    <w:pPr>
      <w:keepNext/>
      <w:numPr>
        <w:ilvl w:val="12"/>
      </w:numPr>
      <w:outlineLvl w:val="6"/>
    </w:pPr>
    <w:rPr>
      <w:sz w:val="24"/>
      <w:szCs w:val="24"/>
    </w:rPr>
  </w:style>
  <w:style w:type="paragraph" w:styleId="Heading8">
    <w:name w:val="heading 8"/>
    <w:basedOn w:val="Normal"/>
    <w:next w:val="Normal"/>
    <w:qFormat/>
    <w:pPr>
      <w:keepNext/>
      <w:numPr>
        <w:numId w:val="7"/>
      </w:numPr>
      <w:outlineLvl w:val="7"/>
    </w:pPr>
    <w:rPr>
      <w:sz w:val="24"/>
      <w:szCs w:val="24"/>
    </w:rPr>
  </w:style>
  <w:style w:type="paragraph" w:styleId="Heading9">
    <w:name w:val="heading 9"/>
    <w:basedOn w:val="Normal"/>
    <w:next w:val="Normal"/>
    <w:qFormat/>
    <w:pPr>
      <w:keepNext/>
      <w:numPr>
        <w:numId w:val="10"/>
      </w:numPr>
      <w:outlineLvl w:val="8"/>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sz w:val="24"/>
      <w:szCs w:val="24"/>
    </w:rPr>
  </w:style>
  <w:style w:type="paragraph" w:customStyle="1" w:styleId="Level2">
    <w:name w:val="Level 2"/>
    <w:pPr>
      <w:widowControl w:val="0"/>
      <w:autoSpaceDE w:val="0"/>
      <w:autoSpaceDN w:val="0"/>
      <w:adjustRightInd w:val="0"/>
      <w:ind w:left="1440"/>
      <w:jc w:val="both"/>
    </w:pPr>
    <w:rPr>
      <w:sz w:val="24"/>
      <w:szCs w:val="24"/>
    </w:rPr>
  </w:style>
  <w:style w:type="paragraph" w:customStyle="1" w:styleId="Level3">
    <w:name w:val="Level 3"/>
    <w:pPr>
      <w:widowControl w:val="0"/>
      <w:autoSpaceDE w:val="0"/>
      <w:autoSpaceDN w:val="0"/>
      <w:adjustRightInd w:val="0"/>
      <w:ind w:left="2160"/>
      <w:jc w:val="both"/>
    </w:pPr>
    <w:rPr>
      <w:sz w:val="24"/>
      <w:szCs w:val="24"/>
    </w:rPr>
  </w:style>
  <w:style w:type="paragraph" w:customStyle="1" w:styleId="Level4">
    <w:name w:val="Level 4"/>
    <w:pPr>
      <w:widowControl w:val="0"/>
      <w:autoSpaceDE w:val="0"/>
      <w:autoSpaceDN w:val="0"/>
      <w:adjustRightInd w:val="0"/>
      <w:ind w:left="-1440"/>
      <w:jc w:val="both"/>
    </w:pPr>
    <w:rPr>
      <w:sz w:val="24"/>
      <w:szCs w:val="24"/>
    </w:rPr>
  </w:style>
  <w:style w:type="paragraph" w:customStyle="1" w:styleId="Level5">
    <w:name w:val="Level 5"/>
    <w:pPr>
      <w:widowControl w:val="0"/>
      <w:autoSpaceDE w:val="0"/>
      <w:autoSpaceDN w:val="0"/>
      <w:adjustRightInd w:val="0"/>
      <w:ind w:left="-1440"/>
      <w:jc w:val="both"/>
    </w:pPr>
    <w:rPr>
      <w:sz w:val="24"/>
      <w:szCs w:val="24"/>
    </w:rPr>
  </w:style>
  <w:style w:type="paragraph" w:customStyle="1" w:styleId="Level6">
    <w:name w:val="Level 6"/>
    <w:pPr>
      <w:widowControl w:val="0"/>
      <w:autoSpaceDE w:val="0"/>
      <w:autoSpaceDN w:val="0"/>
      <w:adjustRightInd w:val="0"/>
      <w:ind w:left="-1440"/>
      <w:jc w:val="both"/>
    </w:pPr>
    <w:rPr>
      <w:sz w:val="24"/>
      <w:szCs w:val="24"/>
    </w:rPr>
  </w:style>
  <w:style w:type="paragraph" w:customStyle="1" w:styleId="Level7">
    <w:name w:val="Level 7"/>
    <w:pPr>
      <w:widowControl w:val="0"/>
      <w:autoSpaceDE w:val="0"/>
      <w:autoSpaceDN w:val="0"/>
      <w:adjustRightInd w:val="0"/>
      <w:ind w:left="-1440"/>
      <w:jc w:val="both"/>
    </w:pPr>
    <w:rPr>
      <w:sz w:val="24"/>
      <w:szCs w:val="24"/>
    </w:rPr>
  </w:style>
  <w:style w:type="paragraph" w:customStyle="1" w:styleId="Level8">
    <w:name w:val="Level 8"/>
    <w:pPr>
      <w:widowControl w:val="0"/>
      <w:autoSpaceDE w:val="0"/>
      <w:autoSpaceDN w:val="0"/>
      <w:adjustRightInd w:val="0"/>
      <w:ind w:left="-1440"/>
      <w:jc w:val="both"/>
    </w:pPr>
    <w:rPr>
      <w:sz w:val="24"/>
      <w:szCs w:val="24"/>
    </w:rPr>
  </w:style>
  <w:style w:type="paragraph" w:customStyle="1" w:styleId="Level9">
    <w:name w:val="Level 9"/>
    <w:pPr>
      <w:widowControl w:val="0"/>
      <w:autoSpaceDE w:val="0"/>
      <w:autoSpaceDN w:val="0"/>
      <w:adjustRightInd w:val="0"/>
      <w:ind w:left="-1440"/>
      <w:jc w:val="both"/>
    </w:pPr>
    <w:rPr>
      <w:b/>
      <w:bCs/>
      <w:sz w:val="24"/>
      <w:szCs w:val="24"/>
    </w:rPr>
  </w:style>
  <w:style w:type="paragraph" w:customStyle="1" w:styleId="26">
    <w:name w:val="_26"/>
    <w:pPr>
      <w:widowControl w:val="0"/>
      <w:autoSpaceDE w:val="0"/>
      <w:autoSpaceDN w:val="0"/>
      <w:adjustRightInd w:val="0"/>
      <w:jc w:val="both"/>
    </w:pPr>
    <w:rPr>
      <w:sz w:val="24"/>
      <w:szCs w:val="24"/>
    </w:rPr>
  </w:style>
  <w:style w:type="paragraph" w:customStyle="1" w:styleId="25">
    <w:name w:val="_25"/>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pPr>
      <w:widowControl w:val="0"/>
      <w:tabs>
        <w:tab w:val="left" w:pos="4320"/>
      </w:tabs>
      <w:autoSpaceDE w:val="0"/>
      <w:autoSpaceDN w:val="0"/>
      <w:adjustRightInd w:val="0"/>
      <w:ind w:left="4320"/>
      <w:jc w:val="both"/>
    </w:pPr>
    <w:rPr>
      <w:sz w:val="24"/>
      <w:szCs w:val="24"/>
    </w:rPr>
  </w:style>
  <w:style w:type="paragraph" w:customStyle="1" w:styleId="20">
    <w:name w:val="_20"/>
    <w:pPr>
      <w:widowControl w:val="0"/>
      <w:tabs>
        <w:tab w:val="left" w:pos="5040"/>
      </w:tabs>
      <w:autoSpaceDE w:val="0"/>
      <w:autoSpaceDN w:val="0"/>
      <w:adjustRightInd w:val="0"/>
      <w:ind w:left="5040"/>
      <w:jc w:val="both"/>
    </w:pPr>
    <w:rPr>
      <w:sz w:val="24"/>
      <w:szCs w:val="24"/>
    </w:rPr>
  </w:style>
  <w:style w:type="paragraph" w:customStyle="1" w:styleId="19">
    <w:name w:val="_19"/>
    <w:pPr>
      <w:widowControl w:val="0"/>
      <w:tabs>
        <w:tab w:val="left" w:pos="5760"/>
      </w:tabs>
      <w:autoSpaceDE w:val="0"/>
      <w:autoSpaceDN w:val="0"/>
      <w:adjustRightInd w:val="0"/>
      <w:ind w:left="5760"/>
      <w:jc w:val="both"/>
    </w:pPr>
    <w:rPr>
      <w:sz w:val="24"/>
      <w:szCs w:val="24"/>
    </w:rPr>
  </w:style>
  <w:style w:type="paragraph" w:customStyle="1" w:styleId="18">
    <w:name w:val="_18"/>
    <w:pPr>
      <w:widowControl w:val="0"/>
      <w:tabs>
        <w:tab w:val="left" w:pos="6480"/>
      </w:tabs>
      <w:autoSpaceDE w:val="0"/>
      <w:autoSpaceDN w:val="0"/>
      <w:adjustRightInd w:val="0"/>
      <w:ind w:left="6480"/>
      <w:jc w:val="both"/>
    </w:pPr>
    <w:rPr>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pPr>
      <w:widowControl w:val="0"/>
      <w:tabs>
        <w:tab w:val="left" w:pos="4320"/>
      </w:tabs>
      <w:autoSpaceDE w:val="0"/>
      <w:autoSpaceDN w:val="0"/>
      <w:adjustRightInd w:val="0"/>
      <w:ind w:left="4320"/>
      <w:jc w:val="both"/>
    </w:pPr>
    <w:rPr>
      <w:sz w:val="24"/>
      <w:szCs w:val="24"/>
    </w:rPr>
  </w:style>
  <w:style w:type="paragraph" w:customStyle="1" w:styleId="11">
    <w:name w:val="_11"/>
    <w:pPr>
      <w:widowControl w:val="0"/>
      <w:tabs>
        <w:tab w:val="left" w:pos="5040"/>
      </w:tabs>
      <w:autoSpaceDE w:val="0"/>
      <w:autoSpaceDN w:val="0"/>
      <w:adjustRightInd w:val="0"/>
      <w:ind w:left="5040"/>
      <w:jc w:val="both"/>
    </w:pPr>
    <w:rPr>
      <w:sz w:val="24"/>
      <w:szCs w:val="24"/>
    </w:rPr>
  </w:style>
  <w:style w:type="paragraph" w:customStyle="1" w:styleId="10">
    <w:name w:val="_10"/>
    <w:pPr>
      <w:widowControl w:val="0"/>
      <w:tabs>
        <w:tab w:val="left" w:pos="5760"/>
      </w:tabs>
      <w:autoSpaceDE w:val="0"/>
      <w:autoSpaceDN w:val="0"/>
      <w:adjustRightInd w:val="0"/>
      <w:ind w:left="5760"/>
      <w:jc w:val="both"/>
    </w:pPr>
    <w:rPr>
      <w:sz w:val="24"/>
      <w:szCs w:val="24"/>
    </w:rPr>
  </w:style>
  <w:style w:type="paragraph" w:customStyle="1" w:styleId="9">
    <w:name w:val="_9"/>
    <w:pPr>
      <w:widowControl w:val="0"/>
      <w:tabs>
        <w:tab w:val="left" w:pos="6480"/>
      </w:tabs>
      <w:autoSpaceDE w:val="0"/>
      <w:autoSpaceDN w:val="0"/>
      <w:adjustRightInd w:val="0"/>
      <w:ind w:left="6480"/>
      <w:jc w:val="both"/>
    </w:pPr>
    <w:rPr>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pPr>
      <w:widowControl w:val="0"/>
      <w:tabs>
        <w:tab w:val="left" w:pos="3600"/>
        <w:tab w:val="left" w:pos="4320"/>
      </w:tabs>
      <w:autoSpaceDE w:val="0"/>
      <w:autoSpaceDN w:val="0"/>
      <w:adjustRightInd w:val="0"/>
      <w:ind w:left="3600"/>
      <w:jc w:val="both"/>
    </w:pPr>
    <w:rPr>
      <w:sz w:val="24"/>
      <w:szCs w:val="24"/>
    </w:rPr>
  </w:style>
  <w:style w:type="paragraph" w:customStyle="1" w:styleId="3">
    <w:name w:val="_3"/>
    <w:pPr>
      <w:widowControl w:val="0"/>
      <w:tabs>
        <w:tab w:val="left" w:pos="4320"/>
      </w:tabs>
      <w:autoSpaceDE w:val="0"/>
      <w:autoSpaceDN w:val="0"/>
      <w:adjustRightInd w:val="0"/>
      <w:ind w:left="4320"/>
      <w:jc w:val="both"/>
    </w:pPr>
    <w:rPr>
      <w:sz w:val="24"/>
      <w:szCs w:val="24"/>
    </w:rPr>
  </w:style>
  <w:style w:type="paragraph" w:customStyle="1" w:styleId="2">
    <w:name w:val="_2"/>
    <w:pPr>
      <w:widowControl w:val="0"/>
      <w:tabs>
        <w:tab w:val="left" w:pos="5040"/>
      </w:tabs>
      <w:autoSpaceDE w:val="0"/>
      <w:autoSpaceDN w:val="0"/>
      <w:adjustRightInd w:val="0"/>
      <w:ind w:left="5040"/>
      <w:jc w:val="both"/>
    </w:pPr>
    <w:rPr>
      <w:sz w:val="24"/>
      <w:szCs w:val="24"/>
    </w:rPr>
  </w:style>
  <w:style w:type="paragraph" w:customStyle="1" w:styleId="1">
    <w:name w:val="_1"/>
    <w:pPr>
      <w:widowControl w:val="0"/>
      <w:tabs>
        <w:tab w:val="left" w:pos="5760"/>
      </w:tabs>
      <w:autoSpaceDE w:val="0"/>
      <w:autoSpaceDN w:val="0"/>
      <w:adjustRightInd w:val="0"/>
      <w:ind w:left="5760"/>
      <w:jc w:val="both"/>
    </w:pPr>
    <w:rPr>
      <w:sz w:val="24"/>
      <w:szCs w:val="24"/>
    </w:rPr>
  </w:style>
  <w:style w:type="paragraph" w:customStyle="1" w:styleId="a">
    <w:name w:val="_"/>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semiHidden/>
    <w:pPr>
      <w:ind w:left="1440"/>
    </w:pPr>
    <w:rPr>
      <w:sz w:val="24"/>
      <w:szCs w:val="24"/>
    </w:rPr>
  </w:style>
  <w:style w:type="paragraph" w:styleId="Title">
    <w:name w:val="Title"/>
    <w:basedOn w:val="Normal"/>
    <w:qFormat/>
    <w:pPr>
      <w:autoSpaceDE/>
      <w:autoSpaceDN/>
      <w:adjustRightInd/>
      <w:jc w:val="center"/>
    </w:pPr>
    <w:rPr>
      <w:b/>
      <w:caps/>
      <w:sz w:val="24"/>
      <w:szCs w:val="24"/>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paragraph" w:styleId="BodyTextIndent2">
    <w:name w:val="Body Text Indent 2"/>
    <w:basedOn w:val="Normal"/>
    <w:semiHidden/>
    <w:pPr>
      <w:widowControl/>
      <w:spacing w:line="240" w:lineRule="atLeast"/>
      <w:ind w:left="1440"/>
    </w:pPr>
    <w:rPr>
      <w:color w:val="0000FF"/>
      <w:sz w:val="24"/>
      <w:szCs w:val="24"/>
    </w:rPr>
  </w:style>
  <w:style w:type="paragraph" w:styleId="BalloonText">
    <w:name w:val="Balloon Text"/>
    <w:basedOn w:val="Normal"/>
    <w:link w:val="BalloonTextChar"/>
    <w:uiPriority w:val="99"/>
    <w:semiHidden/>
    <w:unhideWhenUsed/>
    <w:rsid w:val="00B257B9"/>
    <w:rPr>
      <w:rFonts w:ascii="Tahoma" w:hAnsi="Tahoma" w:cs="Tahoma"/>
      <w:sz w:val="16"/>
      <w:szCs w:val="16"/>
    </w:rPr>
  </w:style>
  <w:style w:type="character" w:customStyle="1" w:styleId="BalloonTextChar">
    <w:name w:val="Balloon Text Char"/>
    <w:link w:val="BalloonText"/>
    <w:uiPriority w:val="99"/>
    <w:semiHidden/>
    <w:rsid w:val="00B257B9"/>
    <w:rPr>
      <w:rFonts w:ascii="Tahoma" w:hAnsi="Tahoma" w:cs="Tahoma"/>
      <w:sz w:val="16"/>
      <w:szCs w:val="16"/>
    </w:rPr>
  </w:style>
  <w:style w:type="character" w:styleId="CommentReference">
    <w:name w:val="annotation reference"/>
    <w:uiPriority w:val="99"/>
    <w:semiHidden/>
    <w:unhideWhenUsed/>
    <w:rsid w:val="00B257B9"/>
    <w:rPr>
      <w:sz w:val="16"/>
      <w:szCs w:val="16"/>
    </w:rPr>
  </w:style>
  <w:style w:type="paragraph" w:styleId="CommentText">
    <w:name w:val="annotation text"/>
    <w:basedOn w:val="Normal"/>
    <w:link w:val="CommentTextChar"/>
    <w:uiPriority w:val="99"/>
    <w:semiHidden/>
    <w:unhideWhenUsed/>
    <w:rsid w:val="00B257B9"/>
  </w:style>
  <w:style w:type="character" w:customStyle="1" w:styleId="CommentTextChar">
    <w:name w:val="Comment Text Char"/>
    <w:basedOn w:val="DefaultParagraphFont"/>
    <w:link w:val="CommentText"/>
    <w:uiPriority w:val="99"/>
    <w:semiHidden/>
    <w:rsid w:val="00B257B9"/>
  </w:style>
  <w:style w:type="paragraph" w:styleId="CommentSubject">
    <w:name w:val="annotation subject"/>
    <w:basedOn w:val="CommentText"/>
    <w:next w:val="CommentText"/>
    <w:link w:val="CommentSubjectChar"/>
    <w:uiPriority w:val="99"/>
    <w:semiHidden/>
    <w:unhideWhenUsed/>
    <w:rsid w:val="00B257B9"/>
    <w:rPr>
      <w:b/>
      <w:bCs/>
    </w:rPr>
  </w:style>
  <w:style w:type="character" w:customStyle="1" w:styleId="CommentSubjectChar">
    <w:name w:val="Comment Subject Char"/>
    <w:link w:val="CommentSubject"/>
    <w:uiPriority w:val="99"/>
    <w:semiHidden/>
    <w:rsid w:val="00B257B9"/>
    <w:rPr>
      <w:b/>
      <w:bCs/>
    </w:rPr>
  </w:style>
  <w:style w:type="paragraph" w:customStyle="1" w:styleId="Default">
    <w:name w:val="Default"/>
    <w:rsid w:val="00996DD3"/>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982AC9"/>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3C56B4"/>
    <w:pPr>
      <w:ind w:left="720"/>
      <w:contextualSpacing/>
    </w:pPr>
    <w:rPr>
      <w:sz w:val="24"/>
      <w:szCs w:val="24"/>
    </w:rPr>
  </w:style>
  <w:style w:type="paragraph" w:styleId="Revision">
    <w:name w:val="Revision"/>
    <w:hidden/>
    <w:uiPriority w:val="99"/>
    <w:semiHidden/>
    <w:rsid w:val="00B7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38587">
      <w:bodyDiv w:val="1"/>
      <w:marLeft w:val="0"/>
      <w:marRight w:val="0"/>
      <w:marTop w:val="0"/>
      <w:marBottom w:val="0"/>
      <w:divBdr>
        <w:top w:val="none" w:sz="0" w:space="0" w:color="auto"/>
        <w:left w:val="none" w:sz="0" w:space="0" w:color="auto"/>
        <w:bottom w:val="none" w:sz="0" w:space="0" w:color="auto"/>
        <w:right w:val="none" w:sz="0" w:space="0" w:color="auto"/>
      </w:divBdr>
      <w:divsChild>
        <w:div w:id="53356493">
          <w:marLeft w:val="0"/>
          <w:marRight w:val="120"/>
          <w:marTop w:val="0"/>
          <w:marBottom w:val="0"/>
          <w:divBdr>
            <w:top w:val="none" w:sz="0" w:space="0" w:color="auto"/>
            <w:left w:val="none" w:sz="0" w:space="0" w:color="auto"/>
            <w:bottom w:val="none" w:sz="0" w:space="0" w:color="auto"/>
            <w:right w:val="none" w:sz="0" w:space="0" w:color="auto"/>
          </w:divBdr>
          <w:divsChild>
            <w:div w:id="656883683">
              <w:marLeft w:val="0"/>
              <w:marRight w:val="0"/>
              <w:marTop w:val="0"/>
              <w:marBottom w:val="0"/>
              <w:divBdr>
                <w:top w:val="none" w:sz="0" w:space="0" w:color="auto"/>
                <w:left w:val="none" w:sz="0" w:space="0" w:color="auto"/>
                <w:bottom w:val="none" w:sz="0" w:space="0" w:color="auto"/>
                <w:right w:val="none" w:sz="0" w:space="0" w:color="auto"/>
              </w:divBdr>
              <w:divsChild>
                <w:div w:id="1510212055">
                  <w:marLeft w:val="0"/>
                  <w:marRight w:val="0"/>
                  <w:marTop w:val="0"/>
                  <w:marBottom w:val="0"/>
                  <w:divBdr>
                    <w:top w:val="none" w:sz="0" w:space="0" w:color="auto"/>
                    <w:left w:val="none" w:sz="0" w:space="0" w:color="auto"/>
                    <w:bottom w:val="none" w:sz="0" w:space="0" w:color="auto"/>
                    <w:right w:val="none" w:sz="0" w:space="0" w:color="auto"/>
                  </w:divBdr>
                  <w:divsChild>
                    <w:div w:id="655501747">
                      <w:marLeft w:val="0"/>
                      <w:marRight w:val="0"/>
                      <w:marTop w:val="0"/>
                      <w:marBottom w:val="0"/>
                      <w:divBdr>
                        <w:top w:val="none" w:sz="0" w:space="0" w:color="auto"/>
                        <w:left w:val="none" w:sz="0" w:space="0" w:color="auto"/>
                        <w:bottom w:val="none" w:sz="0" w:space="0" w:color="auto"/>
                        <w:right w:val="none" w:sz="0" w:space="0" w:color="auto"/>
                      </w:divBdr>
                      <w:divsChild>
                        <w:div w:id="2021614116">
                          <w:marLeft w:val="0"/>
                          <w:marRight w:val="0"/>
                          <w:marTop w:val="0"/>
                          <w:marBottom w:val="0"/>
                          <w:divBdr>
                            <w:top w:val="none" w:sz="0" w:space="0" w:color="auto"/>
                            <w:left w:val="none" w:sz="0" w:space="0" w:color="auto"/>
                            <w:bottom w:val="none" w:sz="0" w:space="0" w:color="auto"/>
                            <w:right w:val="none" w:sz="0" w:space="0" w:color="auto"/>
                          </w:divBdr>
                          <w:divsChild>
                            <w:div w:id="361054903">
                              <w:marLeft w:val="0"/>
                              <w:marRight w:val="0"/>
                              <w:marTop w:val="0"/>
                              <w:marBottom w:val="0"/>
                              <w:divBdr>
                                <w:top w:val="none" w:sz="0" w:space="0" w:color="auto"/>
                                <w:left w:val="none" w:sz="0" w:space="0" w:color="auto"/>
                                <w:bottom w:val="none" w:sz="0" w:space="0" w:color="auto"/>
                                <w:right w:val="none" w:sz="0" w:space="0" w:color="auto"/>
                              </w:divBdr>
                              <w:divsChild>
                                <w:div w:id="1236546958">
                                  <w:marLeft w:val="0"/>
                                  <w:marRight w:val="0"/>
                                  <w:marTop w:val="0"/>
                                  <w:marBottom w:val="0"/>
                                  <w:divBdr>
                                    <w:top w:val="none" w:sz="0" w:space="0" w:color="auto"/>
                                    <w:left w:val="none" w:sz="0" w:space="0" w:color="auto"/>
                                    <w:bottom w:val="none" w:sz="0" w:space="0" w:color="auto"/>
                                    <w:right w:val="none" w:sz="0" w:space="0" w:color="auto"/>
                                  </w:divBdr>
                                  <w:divsChild>
                                    <w:div w:id="254286048">
                                      <w:marLeft w:val="0"/>
                                      <w:marRight w:val="0"/>
                                      <w:marTop w:val="0"/>
                                      <w:marBottom w:val="0"/>
                                      <w:divBdr>
                                        <w:top w:val="none" w:sz="0" w:space="0" w:color="auto"/>
                                        <w:left w:val="none" w:sz="0" w:space="0" w:color="auto"/>
                                        <w:bottom w:val="none" w:sz="0" w:space="0" w:color="auto"/>
                                        <w:right w:val="none" w:sz="0" w:space="0" w:color="auto"/>
                                      </w:divBdr>
                                      <w:divsChild>
                                        <w:div w:id="1970084179">
                                          <w:marLeft w:val="0"/>
                                          <w:marRight w:val="0"/>
                                          <w:marTop w:val="0"/>
                                          <w:marBottom w:val="0"/>
                                          <w:divBdr>
                                            <w:top w:val="none" w:sz="0" w:space="0" w:color="auto"/>
                                            <w:left w:val="none" w:sz="0" w:space="0" w:color="auto"/>
                                            <w:bottom w:val="none" w:sz="0" w:space="0" w:color="auto"/>
                                            <w:right w:val="none" w:sz="0" w:space="0" w:color="auto"/>
                                          </w:divBdr>
                                          <w:divsChild>
                                            <w:div w:id="1633705146">
                                              <w:marLeft w:val="0"/>
                                              <w:marRight w:val="0"/>
                                              <w:marTop w:val="0"/>
                                              <w:marBottom w:val="0"/>
                                              <w:divBdr>
                                                <w:top w:val="none" w:sz="0" w:space="0" w:color="auto"/>
                                                <w:left w:val="none" w:sz="0" w:space="0" w:color="auto"/>
                                                <w:bottom w:val="none" w:sz="0" w:space="0" w:color="auto"/>
                                                <w:right w:val="none" w:sz="0" w:space="0" w:color="auto"/>
                                              </w:divBdr>
                                              <w:divsChild>
                                                <w:div w:id="1249584453">
                                                  <w:marLeft w:val="0"/>
                                                  <w:marRight w:val="0"/>
                                                  <w:marTop w:val="0"/>
                                                  <w:marBottom w:val="0"/>
                                                  <w:divBdr>
                                                    <w:top w:val="none" w:sz="0" w:space="0" w:color="auto"/>
                                                    <w:left w:val="none" w:sz="0" w:space="0" w:color="auto"/>
                                                    <w:bottom w:val="none" w:sz="0" w:space="0" w:color="auto"/>
                                                    <w:right w:val="none" w:sz="0" w:space="0" w:color="auto"/>
                                                  </w:divBdr>
                                                  <w:divsChild>
                                                    <w:div w:id="1431046116">
                                                      <w:marLeft w:val="0"/>
                                                      <w:marRight w:val="0"/>
                                                      <w:marTop w:val="0"/>
                                                      <w:marBottom w:val="0"/>
                                                      <w:divBdr>
                                                        <w:top w:val="none" w:sz="0" w:space="0" w:color="auto"/>
                                                        <w:left w:val="none" w:sz="0" w:space="0" w:color="auto"/>
                                                        <w:bottom w:val="none" w:sz="0" w:space="0" w:color="auto"/>
                                                        <w:right w:val="none" w:sz="0" w:space="0" w:color="auto"/>
                                                      </w:divBdr>
                                                      <w:divsChild>
                                                        <w:div w:id="559679017">
                                                          <w:marLeft w:val="0"/>
                                                          <w:marRight w:val="0"/>
                                                          <w:marTop w:val="0"/>
                                                          <w:marBottom w:val="0"/>
                                                          <w:divBdr>
                                                            <w:top w:val="none" w:sz="0" w:space="0" w:color="auto"/>
                                                            <w:left w:val="none" w:sz="0" w:space="0" w:color="auto"/>
                                                            <w:bottom w:val="none" w:sz="0" w:space="0" w:color="auto"/>
                                                            <w:right w:val="none" w:sz="0" w:space="0" w:color="auto"/>
                                                          </w:divBdr>
                                                          <w:divsChild>
                                                            <w:div w:id="1508205422">
                                                              <w:marLeft w:val="0"/>
                                                              <w:marRight w:val="0"/>
                                                              <w:marTop w:val="0"/>
                                                              <w:marBottom w:val="0"/>
                                                              <w:divBdr>
                                                                <w:top w:val="none" w:sz="0" w:space="0" w:color="auto"/>
                                                                <w:left w:val="none" w:sz="0" w:space="0" w:color="auto"/>
                                                                <w:bottom w:val="none" w:sz="0" w:space="0" w:color="auto"/>
                                                                <w:right w:val="none" w:sz="0" w:space="0" w:color="auto"/>
                                                              </w:divBdr>
                                                              <w:divsChild>
                                                                <w:div w:id="165482276">
                                                                  <w:marLeft w:val="480"/>
                                                                  <w:marRight w:val="0"/>
                                                                  <w:marTop w:val="0"/>
                                                                  <w:marBottom w:val="0"/>
                                                                  <w:divBdr>
                                                                    <w:top w:val="none" w:sz="0" w:space="0" w:color="auto"/>
                                                                    <w:left w:val="none" w:sz="0" w:space="0" w:color="auto"/>
                                                                    <w:bottom w:val="none" w:sz="0" w:space="0" w:color="auto"/>
                                                                    <w:right w:val="none" w:sz="0" w:space="0" w:color="auto"/>
                                                                  </w:divBdr>
                                                                  <w:divsChild>
                                                                    <w:div w:id="633296162">
                                                                      <w:marLeft w:val="0"/>
                                                                      <w:marRight w:val="0"/>
                                                                      <w:marTop w:val="0"/>
                                                                      <w:marBottom w:val="0"/>
                                                                      <w:divBdr>
                                                                        <w:top w:val="none" w:sz="0" w:space="0" w:color="auto"/>
                                                                        <w:left w:val="none" w:sz="0" w:space="0" w:color="auto"/>
                                                                        <w:bottom w:val="none" w:sz="0" w:space="0" w:color="auto"/>
                                                                        <w:right w:val="none" w:sz="0" w:space="0" w:color="auto"/>
                                                                      </w:divBdr>
                                                                      <w:divsChild>
                                                                        <w:div w:id="2019232049">
                                                                          <w:marLeft w:val="0"/>
                                                                          <w:marRight w:val="0"/>
                                                                          <w:marTop w:val="0"/>
                                                                          <w:marBottom w:val="0"/>
                                                                          <w:divBdr>
                                                                            <w:top w:val="none" w:sz="0" w:space="0" w:color="auto"/>
                                                                            <w:left w:val="none" w:sz="0" w:space="0" w:color="auto"/>
                                                                            <w:bottom w:val="none" w:sz="0" w:space="0" w:color="auto"/>
                                                                            <w:right w:val="none" w:sz="0" w:space="0" w:color="auto"/>
                                                                          </w:divBdr>
                                                                          <w:divsChild>
                                                                            <w:div w:id="1460685222">
                                                                              <w:marLeft w:val="0"/>
                                                                              <w:marRight w:val="0"/>
                                                                              <w:marTop w:val="240"/>
                                                                              <w:marBottom w:val="0"/>
                                                                              <w:divBdr>
                                                                                <w:top w:val="none" w:sz="0" w:space="0" w:color="auto"/>
                                                                                <w:left w:val="none" w:sz="0" w:space="0" w:color="auto"/>
                                                                                <w:bottom w:val="none" w:sz="0" w:space="0" w:color="auto"/>
                                                                                <w:right w:val="none" w:sz="0" w:space="0" w:color="auto"/>
                                                                              </w:divBdr>
                                                                              <w:divsChild>
                                                                                <w:div w:id="1126315421">
                                                                                  <w:marLeft w:val="0"/>
                                                                                  <w:marRight w:val="0"/>
                                                                                  <w:marTop w:val="0"/>
                                                                                  <w:marBottom w:val="0"/>
                                                                                  <w:divBdr>
                                                                                    <w:top w:val="none" w:sz="0" w:space="0" w:color="auto"/>
                                                                                    <w:left w:val="none" w:sz="0" w:space="0" w:color="auto"/>
                                                                                    <w:bottom w:val="none" w:sz="0" w:space="0" w:color="auto"/>
                                                                                    <w:right w:val="none" w:sz="0" w:space="0" w:color="auto"/>
                                                                                  </w:divBdr>
                                                                                  <w:divsChild>
                                                                                    <w:div w:id="1067997319">
                                                                                      <w:marLeft w:val="0"/>
                                                                                      <w:marRight w:val="0"/>
                                                                                      <w:marTop w:val="0"/>
                                                                                      <w:marBottom w:val="0"/>
                                                                                      <w:divBdr>
                                                                                        <w:top w:val="none" w:sz="0" w:space="0" w:color="auto"/>
                                                                                        <w:left w:val="none" w:sz="0" w:space="0" w:color="auto"/>
                                                                                        <w:bottom w:val="single" w:sz="6" w:space="23" w:color="auto"/>
                                                                                        <w:right w:val="none" w:sz="0" w:space="0" w:color="auto"/>
                                                                                      </w:divBdr>
                                                                                      <w:divsChild>
                                                                                        <w:div w:id="81802642">
                                                                                          <w:marLeft w:val="0"/>
                                                                                          <w:marRight w:val="0"/>
                                                                                          <w:marTop w:val="0"/>
                                                                                          <w:marBottom w:val="0"/>
                                                                                          <w:divBdr>
                                                                                            <w:top w:val="none" w:sz="0" w:space="0" w:color="auto"/>
                                                                                            <w:left w:val="none" w:sz="0" w:space="0" w:color="auto"/>
                                                                                            <w:bottom w:val="none" w:sz="0" w:space="0" w:color="auto"/>
                                                                                            <w:right w:val="none" w:sz="0" w:space="0" w:color="auto"/>
                                                                                          </w:divBdr>
                                                                                          <w:divsChild>
                                                                                            <w:div w:id="1311204222">
                                                                                              <w:marLeft w:val="0"/>
                                                                                              <w:marRight w:val="0"/>
                                                                                              <w:marTop w:val="0"/>
                                                                                              <w:marBottom w:val="0"/>
                                                                                              <w:divBdr>
                                                                                                <w:top w:val="none" w:sz="0" w:space="0" w:color="auto"/>
                                                                                                <w:left w:val="none" w:sz="0" w:space="0" w:color="auto"/>
                                                                                                <w:bottom w:val="none" w:sz="0" w:space="0" w:color="auto"/>
                                                                                                <w:right w:val="none" w:sz="0" w:space="0" w:color="auto"/>
                                                                                              </w:divBdr>
                                                                                              <w:divsChild>
                                                                                                <w:div w:id="1615867185">
                                                                                                  <w:marLeft w:val="0"/>
                                                                                                  <w:marRight w:val="0"/>
                                                                                                  <w:marTop w:val="0"/>
                                                                                                  <w:marBottom w:val="0"/>
                                                                                                  <w:divBdr>
                                                                                                    <w:top w:val="none" w:sz="0" w:space="0" w:color="auto"/>
                                                                                                    <w:left w:val="none" w:sz="0" w:space="0" w:color="auto"/>
                                                                                                    <w:bottom w:val="none" w:sz="0" w:space="0" w:color="auto"/>
                                                                                                    <w:right w:val="none" w:sz="0" w:space="0" w:color="auto"/>
                                                                                                  </w:divBdr>
                                                                                                  <w:divsChild>
                                                                                                    <w:div w:id="1984920370">
                                                                                                      <w:marLeft w:val="0"/>
                                                                                                      <w:marRight w:val="0"/>
                                                                                                      <w:marTop w:val="0"/>
                                                                                                      <w:marBottom w:val="0"/>
                                                                                                      <w:divBdr>
                                                                                                        <w:top w:val="none" w:sz="0" w:space="0" w:color="auto"/>
                                                                                                        <w:left w:val="none" w:sz="0" w:space="0" w:color="auto"/>
                                                                                                        <w:bottom w:val="none" w:sz="0" w:space="0" w:color="auto"/>
                                                                                                        <w:right w:val="none" w:sz="0" w:space="0" w:color="auto"/>
                                                                                                      </w:divBdr>
                                                                                                      <w:divsChild>
                                                                                                        <w:div w:id="758909612">
                                                                                                          <w:marLeft w:val="0"/>
                                                                                                          <w:marRight w:val="0"/>
                                                                                                          <w:marTop w:val="0"/>
                                                                                                          <w:marBottom w:val="0"/>
                                                                                                          <w:divBdr>
                                                                                                            <w:top w:val="none" w:sz="0" w:space="0" w:color="auto"/>
                                                                                                            <w:left w:val="none" w:sz="0" w:space="0" w:color="auto"/>
                                                                                                            <w:bottom w:val="none" w:sz="0" w:space="0" w:color="auto"/>
                                                                                                            <w:right w:val="none" w:sz="0" w:space="0" w:color="auto"/>
                                                                                                          </w:divBdr>
                                                                                                          <w:divsChild>
                                                                                                            <w:div w:id="8040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allen001</dc:creator>
  <cp:keywords/>
  <cp:lastModifiedBy>Thomas J Smith (CENSUS/EMD FED)</cp:lastModifiedBy>
  <cp:revision>2</cp:revision>
  <cp:lastPrinted>2018-08-08T21:24:00Z</cp:lastPrinted>
  <dcterms:created xsi:type="dcterms:W3CDTF">2021-07-26T10:58:00Z</dcterms:created>
  <dcterms:modified xsi:type="dcterms:W3CDTF">2021-07-26T10:58:00Z</dcterms:modified>
</cp:coreProperties>
</file>