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CC" w:rsidRDefault="004F5B66">
      <w:pPr>
        <w:pStyle w:val="Heading1"/>
        <w:ind w:left="0"/>
        <w:jc w:val="center"/>
      </w:pPr>
      <w:r>
        <w:t>SUPPORTING STATEMENT</w:t>
      </w:r>
    </w:p>
    <w:p w:rsidR="001F02CC" w:rsidRDefault="004F5B66">
      <w:pPr>
        <w:spacing w:before="22" w:line="259" w:lineRule="auto"/>
        <w:ind w:firstLine="14"/>
        <w:jc w:val="center"/>
        <w:rPr>
          <w:b/>
        </w:rPr>
      </w:pPr>
      <w:r>
        <w:rPr>
          <w:b/>
        </w:rPr>
        <w:t>U.S. Department of Commerce</w:t>
      </w:r>
    </w:p>
    <w:p w:rsidR="001F02CC" w:rsidRDefault="004F5B66">
      <w:pPr>
        <w:spacing w:before="22" w:line="259" w:lineRule="auto"/>
        <w:ind w:firstLine="14"/>
        <w:jc w:val="center"/>
        <w:rPr>
          <w:b/>
        </w:rPr>
      </w:pPr>
      <w:r>
        <w:rPr>
          <w:b/>
        </w:rPr>
        <w:t>National Oceanic &amp; Atmospheric Administration</w:t>
      </w:r>
    </w:p>
    <w:p w:rsidR="001F02CC" w:rsidRDefault="004F5B66">
      <w:pPr>
        <w:spacing w:line="259" w:lineRule="auto"/>
        <w:ind w:hanging="6"/>
        <w:jc w:val="center"/>
        <w:rPr>
          <w:b/>
        </w:rPr>
      </w:pPr>
      <w:r>
        <w:rPr>
          <w:b/>
        </w:rPr>
        <w:t>National Marine Sanctuary Permits</w:t>
      </w:r>
    </w:p>
    <w:p w:rsidR="001F02CC" w:rsidRDefault="004F5B66">
      <w:pPr>
        <w:spacing w:line="259" w:lineRule="auto"/>
        <w:ind w:hanging="6"/>
        <w:jc w:val="center"/>
        <w:rPr>
          <w:b/>
        </w:rPr>
      </w:pPr>
      <w:r>
        <w:rPr>
          <w:b/>
        </w:rPr>
        <w:t>OMB Control No. 0648-0141</w:t>
      </w:r>
    </w:p>
    <w:p w:rsidR="001F02CC" w:rsidRDefault="001F02CC">
      <w:pPr>
        <w:pBdr>
          <w:top w:val="nil"/>
          <w:left w:val="nil"/>
          <w:bottom w:val="nil"/>
          <w:right w:val="nil"/>
          <w:between w:val="nil"/>
        </w:pBdr>
        <w:spacing w:before="1"/>
        <w:jc w:val="center"/>
        <w:rPr>
          <w:b/>
          <w:color w:val="000000"/>
        </w:rPr>
      </w:pPr>
    </w:p>
    <w:p w:rsidR="001F02CC" w:rsidRDefault="004F5B66">
      <w:pPr>
        <w:spacing w:before="1" w:line="398" w:lineRule="auto"/>
        <w:rPr>
          <w:b/>
        </w:rPr>
      </w:pPr>
      <w:r>
        <w:rPr>
          <w:b/>
          <w:color w:val="000000"/>
        </w:rPr>
        <w:t>SUPPORTING STATEMENT PART A</w:t>
      </w:r>
    </w:p>
    <w:p w:rsidR="001F02CC" w:rsidRDefault="004F5B66">
      <w:pPr>
        <w:pStyle w:val="Heading1"/>
        <w:spacing w:before="199"/>
        <w:ind w:left="0"/>
        <w:rPr>
          <w:color w:val="2F5496"/>
          <w:u w:val="single"/>
        </w:rPr>
      </w:pPr>
      <w:r>
        <w:t>Abstract</w:t>
      </w:r>
    </w:p>
    <w:p w:rsidR="00EE33D4" w:rsidRDefault="00EE33D4">
      <w:pPr>
        <w:spacing w:before="144" w:line="259" w:lineRule="auto"/>
      </w:pPr>
      <w:r>
        <w:t xml:space="preserve">This request is for revision and extension of an existing information collection.  </w:t>
      </w:r>
      <w:r w:rsidR="001A1E30">
        <w:t>Changes from the previous submission include updated ONMS permit application and applicant instructions</w:t>
      </w:r>
      <w:r w:rsidR="001A1E30">
        <w:t xml:space="preserve"> </w:t>
      </w:r>
      <w:r w:rsidR="001A1E30">
        <w:t>to improve the quality of information initially collected and to make the permit process more efficient; the correction of a mathematical error that increased the total burden hours for baitfish permits; the removal of lionfish permits in Florida Keys National Marine Sanctuary (FKNMS); and the addition of ten general permits to the annual estimate, five of these due to the designation of Mallows Bay - Potomac River National Marine Sanctuary (MPNMS), and five permits due to the designation of Wisconsin Shipwreck Coast National Marine Sanctuary (WSCNMS).</w:t>
      </w:r>
    </w:p>
    <w:p w:rsidR="00EE33D4" w:rsidRDefault="004F5B66">
      <w:pPr>
        <w:spacing w:before="144" w:line="259" w:lineRule="auto"/>
      </w:pPr>
      <w:r>
        <w:t xml:space="preserve">This data collection request is for information collected in support of the review of Office of National Marine Sanctuaries (ONMS) permit applications and the issuance of permits in a manner that protects sanctuary resources and qualities. Permit decisions must be consistent with the purposes and policies of the National Marine Sanctuaries Act (NMSA; 16 U.S.C. §§ 1431 </w:t>
      </w:r>
      <w:r>
        <w:rPr>
          <w:i/>
        </w:rPr>
        <w:t>et seq</w:t>
      </w:r>
      <w:r>
        <w:t xml:space="preserve">.), the purposes for which the sanctuary was designated, and the regulations governing the National Marine Sanctuary System (15 CFR Part 922). The regulations list specific activities that are prohibited in national marine sanctuaries and establish that otherwise prohibited activities may be conducted if such activity is specifically authorized by and conducted in accordance with the scope, purpose, terms and conditions of a permit issued by ONMS. For most permit types, persons desiring a permit must submit an application, and anyone obtaining a permit is generally required to submit one or more reports on the activity allowed under the permit. The information collection supports determinations on whether proposed activities comply with ONMS permit categories and applicable regulatory review criteria. It allows ONMS to make decisions on possible permit terms and conditions deemed reasonably necessary to protect sanctuary resources and qualities, such as terms and conditions to avoid, minimize, or mitigate injury to sanctuary resources. </w:t>
      </w:r>
    </w:p>
    <w:p w:rsidR="001F02CC" w:rsidRDefault="001F02CC">
      <w:pPr>
        <w:spacing w:before="144" w:line="259" w:lineRule="auto"/>
      </w:pPr>
    </w:p>
    <w:p w:rsidR="001F02CC" w:rsidRDefault="004F5B66">
      <w:pPr>
        <w:pStyle w:val="Heading1"/>
        <w:spacing w:before="124"/>
        <w:ind w:left="0"/>
      </w:pPr>
      <w:r>
        <w:t>Justification</w:t>
      </w:r>
    </w:p>
    <w:p w:rsidR="001F02CC" w:rsidRDefault="004F5B66">
      <w:pPr>
        <w:numPr>
          <w:ilvl w:val="0"/>
          <w:numId w:val="2"/>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F02CC" w:rsidRDefault="001F02CC">
      <w:pPr>
        <w:widowControl/>
        <w:spacing w:after="200"/>
      </w:pPr>
    </w:p>
    <w:p w:rsidR="001F02CC" w:rsidRDefault="004F5B66">
      <w:pPr>
        <w:widowControl/>
        <w:spacing w:after="200"/>
      </w:pPr>
      <w:r>
        <w:t>The National Marine Sanctuaries Act (</w:t>
      </w:r>
      <w:hyperlink r:id="rId8">
        <w:r>
          <w:rPr>
            <w:color w:val="1155CC"/>
            <w:u w:val="single"/>
          </w:rPr>
          <w:t>NMSA</w:t>
        </w:r>
      </w:hyperlink>
      <w:r>
        <w:t xml:space="preserve">; 16 U.S.C. §§ 1431 </w:t>
      </w:r>
      <w:r>
        <w:rPr>
          <w:i/>
        </w:rPr>
        <w:t>et seq</w:t>
      </w:r>
      <w:r>
        <w:t xml:space="preserve">.), provides for the designation, protection, and management of national marine sanctuaries (NMSs) which possess conservation, ecological, recreational, research, educational, historical, cultural or aesthetic qualities giving them national, and in some cases, international significance.  The National Oceanic and Atmospheric Administration (NOAA), Office of National Marine Sanctuaries (ONMS) has promulgated regulations </w:t>
      </w:r>
      <w:r>
        <w:lastRenderedPageBreak/>
        <w:t xml:space="preserve">to implement the NMSA and each sanctuary designation at </w:t>
      </w:r>
      <w:hyperlink r:id="rId9">
        <w:r>
          <w:rPr>
            <w:color w:val="1155CC"/>
            <w:u w:val="single"/>
          </w:rPr>
          <w:t>15 CFR Part 922</w:t>
        </w:r>
      </w:hyperlink>
      <w:r>
        <w:t xml:space="preserve">.  In subparts specific to each sanctuary, these regulations define the boundaries of the sites as well as prohibit or otherwise regulate the conduct of certain activities in order to protect the resources of each sanctuary. In order to conduct an otherwise prohibited activity, an entity must apply for and be issued an ONMS permit. </w:t>
      </w:r>
    </w:p>
    <w:p w:rsidRPr="00B25F57" w:rsidR="001F02CC" w:rsidRDefault="004F5B66">
      <w:pPr>
        <w:widowControl/>
        <w:spacing w:after="200"/>
      </w:pPr>
      <w:r w:rsidRPr="00B25F57">
        <w:t>ONMS is in the process of updating the regulations governing the permitting process. A notice of proposed rulemaking was published in the Federal Register (January 28, 2013; 78 FR 5997). This rule would update and reorganize the existing regulations, eliminate redundancies across sanctuaries, eliminate outmoded regulations, adopt standard boundary descriptions, and consolidate permitting procedures in a new Subpart D of 15 CFR Part 922. At the time of this information collection renewal, the draft final rule is in clearance. As such, this supporting statement will reference the existing and proposed new regulatory citations as appropriate.</w:t>
      </w:r>
    </w:p>
    <w:p w:rsidR="001F02CC" w:rsidRDefault="004F5B66">
      <w:pPr>
        <w:widowControl/>
        <w:spacing w:after="200"/>
      </w:pPr>
      <w:r>
        <w:t>In this document, the term “permit” refers generally to any form of approval granted by the ONMS to allow an activity that would otherwise not be allowed to take place due to ONMS regulatory prohibitions and other types of permit actions provided for in statute or regulation.  ONMS permits include general permits, special use permits, certifications, and authorizations.</w:t>
      </w:r>
      <w:r>
        <w:rPr>
          <w:vertAlign w:val="superscript"/>
        </w:rPr>
        <w:footnoteReference w:id="1"/>
      </w:r>
      <w:r>
        <w:t xml:space="preserve"> </w:t>
      </w:r>
    </w:p>
    <w:p w:rsidR="001F02CC" w:rsidRDefault="004F5B66">
      <w:pPr>
        <w:widowControl/>
        <w:spacing w:after="200"/>
      </w:pPr>
      <w:r>
        <w:t>General permits are divided into several categories that correspond with the primary purpose of the proposed activity. Most site-specific sanctuary regulations have at least three categories of general permits: (1) management; (2) education; and (3) research. Three other site-specific general permit categories include:</w:t>
      </w:r>
    </w:p>
    <w:p w:rsidR="001F02CC" w:rsidRDefault="004F5B66">
      <w:pPr>
        <w:widowControl/>
        <w:spacing w:after="200"/>
        <w:ind w:left="720"/>
      </w:pPr>
      <w:r>
        <w:t>● Monterey Bay NMS: jade removal;</w:t>
      </w:r>
    </w:p>
    <w:p w:rsidR="001F02CC" w:rsidRDefault="004F5B66">
      <w:pPr>
        <w:widowControl/>
        <w:spacing w:after="200"/>
        <w:ind w:left="720"/>
      </w:pPr>
      <w:r>
        <w:t>● Olympic Coast NMS: tribal self-determination; and</w:t>
      </w:r>
    </w:p>
    <w:p w:rsidR="001F02CC" w:rsidRDefault="004F5B66">
      <w:pPr>
        <w:widowControl/>
        <w:spacing w:after="200"/>
        <w:ind w:left="720"/>
      </w:pPr>
      <w:r>
        <w:t>● Florida Keys NMS: activity furthers sanctuary purposes to the extent compatible with the primary objective of resource protection.</w:t>
      </w:r>
    </w:p>
    <w:p w:rsidR="001F02CC" w:rsidRDefault="004F5B66">
      <w:pPr>
        <w:widowControl/>
        <w:spacing w:after="200"/>
      </w:pPr>
      <w:r>
        <w:t>Because the issuance of a permit by the office is discretionary, the ONMS regulations also establish criteria against which permit applications are reviewed. In addition, a few sanctuaries have site-specific categories, procedures, and criteria for permit issuance that are unique to that sanctuary. These site-specific permit categories only apply to the specific sanctuary.</w:t>
      </w:r>
    </w:p>
    <w:p w:rsidR="001F02CC" w:rsidRDefault="004F5B66">
      <w:pPr>
        <w:widowControl/>
        <w:spacing w:after="200"/>
        <w:rPr>
          <w:color w:val="2F5496"/>
        </w:rPr>
      </w:pPr>
      <w:r>
        <w:t>The ONMS regulations, permit application, and applicant guidance also provide permit applicants with guidance in submitting the appropriate level of information in a permit application.  This collection of information in the permit application is necessary to ensure the ONMS has enough information from the permit applicant to process the request in accordance with program regulations, make a decision consistent with the established criteria, establish appropriate terms and conditions to the permit to protect sanctuary resources and qualities, including to avoid, minimize, or mitigate adverse effects, and if issued, monitor compliance with the permitted activities and their effect on NOAA trust resources.</w:t>
      </w:r>
    </w:p>
    <w:p w:rsidR="001F02CC" w:rsidRDefault="004F5B66">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1F02CC" w:rsidRDefault="001F02CC">
      <w:pPr>
        <w:tabs>
          <w:tab w:val="left" w:pos="360"/>
        </w:tabs>
      </w:pPr>
    </w:p>
    <w:p w:rsidR="001F02CC" w:rsidRDefault="004F5B66">
      <w:pPr>
        <w:widowControl/>
        <w:spacing w:after="200"/>
      </w:pPr>
      <w:r>
        <w:t>Permit applicants submit project information through a permit application form called the NOAA National Marine Sanctuary Permit Application. Permit applications are submitted via email or mail to the Sanctuary Superintendent through the site’s Permit Coordinator. ONMS is working on the potential to have electronic submission of the permit application through a secure web interface.</w:t>
      </w:r>
    </w:p>
    <w:p w:rsidR="001F02CC" w:rsidRDefault="004F5B66">
      <w:pPr>
        <w:widowControl/>
        <w:spacing w:after="200"/>
      </w:pPr>
      <w:r>
        <w:t>General information is collected on the sanctuary site(s) in which the proposed activities would take place and whether it is a new permit application or an amendment to a previously issued permit. Information on the applicant (and co-applicant, if applicable) is collected, including their name, affiliation, organization address, phone number, and email address. The permit applicant provides information on the project: title, project summary, requested project dates, abstract, methods and protocols, and proposed project locations. If collections are being proposed, there is a section on the application where applicants should describe the type, quantity, and size of sample to be collected and the intended sampling locations. The applicant describes the anticipated direct and indirect environmental effects of the proposed activities. The applicant provides additional information on collections activity, where applicable. The applicant also describes the rationale for proposing to conduct the activities in a national marine sanctuary and provides justification for how their project meets the ONMS regulatory permit review criteria. Lastly, information is collected on whether there are other known associated permits/authorizations or consultations required for the project and whether there are existing environmental compliance analyses conducted pursuant to other statutes (e.g., National Environmental Policy Act).</w:t>
      </w:r>
    </w:p>
    <w:p w:rsidR="001F02CC" w:rsidRDefault="004F5B66">
      <w:pPr>
        <w:widowControl/>
        <w:spacing w:after="200"/>
      </w:pPr>
      <w:r>
        <w:t>The information submitted by permit applicants is used to determine whether the proposed project is consistent with any of the potential ONMS approval authorities and their unique statutory or regulatory requirements. For general permits, ONMS regulations require certain findings be made before making a permit decision:</w:t>
      </w:r>
    </w:p>
    <w:p w:rsidR="001F02CC" w:rsidRDefault="004F5B66">
      <w:pPr>
        <w:widowControl/>
        <w:spacing w:after="200"/>
        <w:ind w:left="720"/>
      </w:pPr>
      <w:r>
        <w:t xml:space="preserve">(1) The proposed activity will be conducted in a manner compatible with the primary objective of protection of national marine sanctuary resources and qualities, taking into account the following factors: the extent to which the conduct of the activity may diminish or enhance national marine sanctuary resources and qualities; and any indirect or cumulative effects of the activity; </w:t>
      </w:r>
    </w:p>
    <w:p w:rsidR="001F02CC" w:rsidRDefault="004F5B66">
      <w:pPr>
        <w:widowControl/>
        <w:spacing w:after="200"/>
        <w:ind w:left="720"/>
      </w:pPr>
      <w:r>
        <w:t>(2) It is necessary to conduct the proposed activity within the national marine sanctuary to achieve its stated purpose;</w:t>
      </w:r>
    </w:p>
    <w:p w:rsidR="001F02CC" w:rsidRDefault="004F5B66">
      <w:pPr>
        <w:widowControl/>
        <w:spacing w:after="200"/>
        <w:ind w:left="720"/>
      </w:pPr>
      <w:r>
        <w:t>(3) The methods and procedures proposed by the applicant are appropriate to achieve the proposed activity’s stated purpose and avoid, minimize, or otherwise mitigate adverse effects on sanctuary resources and qualities as much as possible;</w:t>
      </w:r>
    </w:p>
    <w:p w:rsidR="001F02CC" w:rsidRDefault="004F5B66">
      <w:pPr>
        <w:widowControl/>
        <w:spacing w:after="200"/>
        <w:ind w:left="720"/>
      </w:pPr>
      <w:r>
        <w:t>(4) The duration of the proposed activity and its effects are no longer than necessary to achieve the activity’s stated purpose;</w:t>
      </w:r>
    </w:p>
    <w:p w:rsidR="001F02CC" w:rsidRDefault="004F5B66">
      <w:pPr>
        <w:widowControl/>
        <w:spacing w:after="200"/>
        <w:ind w:left="720"/>
      </w:pPr>
      <w:r>
        <w:t>(5) The expected end value of the activity to the furtherance of national marine sanctuary goals and purposes outweighs any potential adverse impacts on sanctuary resources and qualities from the conduct of the activity;</w:t>
      </w:r>
    </w:p>
    <w:p w:rsidR="001F02CC" w:rsidRDefault="004F5B66">
      <w:pPr>
        <w:widowControl/>
        <w:spacing w:after="200"/>
        <w:ind w:left="720"/>
      </w:pPr>
      <w:r>
        <w:t>(6) The applicant is professionally qualified to conduct and complete the proposed activity;</w:t>
      </w:r>
    </w:p>
    <w:p w:rsidR="001F02CC" w:rsidRDefault="004F5B66">
      <w:pPr>
        <w:widowControl/>
        <w:spacing w:after="200"/>
        <w:ind w:left="720"/>
      </w:pPr>
      <w:r>
        <w:t>(7) The applicant has adequate financial resources available to conduct and complete the proposed activity and terms and conditions of the permit;</w:t>
      </w:r>
    </w:p>
    <w:p w:rsidR="001F02CC" w:rsidRDefault="004F5B66">
      <w:pPr>
        <w:widowControl/>
        <w:spacing w:after="200"/>
        <w:ind w:left="720"/>
      </w:pPr>
      <w:r>
        <w:lastRenderedPageBreak/>
        <w:t>(8) There are no other factors that would make the issuance of a permit for the activity inappropriate; and</w:t>
      </w:r>
    </w:p>
    <w:p w:rsidR="001F02CC" w:rsidRDefault="004F5B66">
      <w:pPr>
        <w:widowControl/>
        <w:spacing w:after="200"/>
        <w:ind w:left="720"/>
      </w:pPr>
      <w:r>
        <w:t>(9) For Olympic Coast National Marine Sanctuary, the activity as proposed does not adversely affect any Washington Coast treaty tribe.</w:t>
      </w:r>
    </w:p>
    <w:p w:rsidR="006B3D28" w:rsidP="006B3D28" w:rsidRDefault="004F5B66">
      <w:pPr>
        <w:widowControl/>
      </w:pPr>
      <w:r>
        <w:t>Proposed 15 CFR § 922.33.</w:t>
      </w:r>
      <w:r w:rsidR="006B3D28">
        <w:t xml:space="preserve">  </w:t>
      </w:r>
      <w:r>
        <w:t xml:space="preserve">If an activity is proposed to be in a special management zone, the information must support a justification that it is an appropriate activity for that zone. The ONMS Director must consider these same regulatory review criteria for authorizations. </w:t>
      </w:r>
    </w:p>
    <w:p w:rsidR="006B3D28" w:rsidRDefault="006B3D28">
      <w:pPr>
        <w:widowControl/>
        <w:spacing w:after="200"/>
      </w:pPr>
    </w:p>
    <w:p w:rsidR="001F02CC" w:rsidRDefault="004F5B66">
      <w:pPr>
        <w:widowControl/>
        <w:spacing w:after="200"/>
      </w:pPr>
      <w:r>
        <w:t>Proposed 15 CFR § 922.36. To issue a special use permit, the ONMS Director must determine that the special use permit is necessary to establish conditions of access to and use of sanctuary resources or to promote public use and understanding of a sanctuary resource; additional requirements are contained in  NMSA section 310 (16 U.S.C. § 1441). For authorizations and certifications, information on the underlying federal, state, or local permit, approval, or right is also required.</w:t>
      </w:r>
    </w:p>
    <w:p w:rsidR="001F02CC" w:rsidRDefault="004F5B66">
      <w:pPr>
        <w:widowControl/>
        <w:spacing w:after="200"/>
      </w:pPr>
      <w:r>
        <w:t>The application information allows ONMS to determine whether to approve (in whole or in part) or deny a permit application. The information also informs any special terms and conditions that should be placed on the conduct of the activities that would further protect sanctuary resources and avoid, minimize, or mitigate any adverse effects to sanctuary resources or qualities.</w:t>
      </w:r>
    </w:p>
    <w:p w:rsidR="001F02CC" w:rsidRDefault="004F5B66">
      <w:pPr>
        <w:widowControl/>
        <w:spacing w:after="200"/>
      </w:pPr>
      <w:r>
        <w:t>In addition to informing ONMS’s decisions on permit applications, information submitted in permit applications and reports submitted pursuant to permit conditions may also be used by ONMS to, in some circumstances, inform:</w:t>
      </w:r>
    </w:p>
    <w:p w:rsidR="001F02CC" w:rsidRDefault="004F5B66">
      <w:pPr>
        <w:widowControl/>
        <w:numPr>
          <w:ilvl w:val="0"/>
          <w:numId w:val="5"/>
        </w:numPr>
      </w:pPr>
      <w:r>
        <w:t>Administrative appeals of permit decisions;</w:t>
      </w:r>
    </w:p>
    <w:p w:rsidR="001F02CC" w:rsidRDefault="004F5B66">
      <w:pPr>
        <w:widowControl/>
        <w:numPr>
          <w:ilvl w:val="0"/>
          <w:numId w:val="5"/>
        </w:numPr>
      </w:pPr>
      <w:r>
        <w:t>Decisions on a permit amendment request or another permit application; or</w:t>
      </w:r>
    </w:p>
    <w:p w:rsidR="001F02CC" w:rsidRDefault="004F5B66">
      <w:pPr>
        <w:widowControl/>
        <w:numPr>
          <w:ilvl w:val="0"/>
          <w:numId w:val="5"/>
        </w:numPr>
      </w:pPr>
      <w:r>
        <w:t>Other management actions (e.g., emergency response and enforcement).</w:t>
      </w:r>
    </w:p>
    <w:p w:rsidR="001F02CC" w:rsidRDefault="004F5B66">
      <w:pPr>
        <w:widowControl/>
        <w:spacing w:after="200"/>
      </w:pPr>
      <w:r>
        <w:br/>
        <w:t>The information submitted in permit applications will, in general, only be used at the time the application is submitted to make a final decision on the application.  Some of the information may also be used subsequent to the initial decision-making to inform ONMS management actions or decision-making.  For example, a survey of a project location by one permit applicant may be used by ONMS in the future to respond to a vessel grounding in the same area.  Information submitted in a permit report will be used to assess the permittee’s compliance with permit terms and conditions, assist in evaluating the appropriateness of the permitted activity, and determine its actual impacts on sanctuary resources. It also supports ONMS’ federal environmental compliance requirements pursuant to the National and Environmental Policy Act (NEPA) and other consultations.</w:t>
      </w:r>
    </w:p>
    <w:p w:rsidR="001F02CC" w:rsidRDefault="004F5B66">
      <w:pPr>
        <w:widowControl/>
        <w:spacing w:after="200"/>
      </w:pPr>
      <w:r>
        <w:t>ONMS has developed an internal database which tracks applicant information, details on permit conditions and issuance, permit compliance, and any reporting products submitted for each permit.  The permit applications are the primary source of information entered into the database.  This data is used to evaluate the ONMS permit system by tracking such things as the permit process (number of days to issue a permit, etc.), permittee compliance, and the location and effects of the activity as reported.  This data and tracking ability are necessary for ONMS to evaluate the effectiveness of sanctuary protection and the role of permitted activities in that protection.</w:t>
      </w:r>
    </w:p>
    <w:p w:rsidR="001F02CC" w:rsidRDefault="004F5B66">
      <w:pPr>
        <w:widowControl/>
        <w:spacing w:after="200"/>
      </w:pPr>
      <w:r>
        <w:t xml:space="preserve">ONMS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collected is designed to yield data that meet all applicable information quality </w:t>
      </w:r>
      <w:r>
        <w:lastRenderedPageBreak/>
        <w:t xml:space="preserve">guidelines.  In certain instances, limited relevant information may be shared with state co-managers or in consultation with tribal entities. Although the information collected is not disseminated directly to the public, results may be used in scientific, management, technical, or general informational publications.  Should ONMS decide to disseminate the information, it will be subject to the quality control measures and pre-dissemination review pursuant to </w:t>
      </w:r>
      <w:hyperlink r:id="rId10">
        <w:r>
          <w:rPr>
            <w:color w:val="0000FF"/>
            <w:u w:val="single"/>
          </w:rPr>
          <w:t>Section 515 of Public Law 106-554</w:t>
        </w:r>
      </w:hyperlink>
      <w:r>
        <w:t>.</w:t>
      </w:r>
    </w:p>
    <w:p w:rsidR="001F02CC" w:rsidRDefault="004F5B66">
      <w:pPr>
        <w:numPr>
          <w:ilvl w:val="0"/>
          <w:numId w:val="2"/>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F02CC" w:rsidRDefault="001F02CC">
      <w:pPr>
        <w:spacing w:before="161"/>
      </w:pPr>
    </w:p>
    <w:p w:rsidR="001F02CC" w:rsidRDefault="004F5B66">
      <w:pPr>
        <w:widowControl/>
        <w:spacing w:after="200"/>
        <w:rPr>
          <w:b/>
          <w:color w:val="2F5496"/>
        </w:rPr>
      </w:pPr>
      <w:r>
        <w:t xml:space="preserve">ONMS accepts and encourages the submission of permit applications, logs, and reports via email.  The permit application form and instructions are available on the Internet at </w:t>
      </w:r>
      <w:hyperlink r:id="rId11">
        <w:r>
          <w:rPr>
            <w:color w:val="0000FF"/>
            <w:u w:val="single"/>
          </w:rPr>
          <w:t>https://sanctuaries.noaa.gov/management/permits/</w:t>
        </w:r>
      </w:hyperlink>
      <w:r>
        <w:t xml:space="preserve"> and include a “fillable and printable” Adobe PDF option to facilitate more efficient and accurate data entry by applicants.  In addition, ONMS is planning an Internet-based permit application system which would allow permit applicants to submit their permit applications, logs, and final reports directly via a NOAA Internet website.  The estimated implementation date for this Internet-based permit application system is pending funding and still to be determined.</w:t>
      </w: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F02CC" w:rsidRDefault="001F02CC">
      <w:pPr>
        <w:widowControl/>
        <w:spacing w:after="200"/>
      </w:pPr>
    </w:p>
    <w:p w:rsidR="001F02CC" w:rsidRDefault="004F5B66">
      <w:pPr>
        <w:widowControl/>
        <w:spacing w:after="200"/>
      </w:pPr>
      <w:r>
        <w:t xml:space="preserve">ONMS’s permit decisions are subject to specific statutory and regulatory requirements with respect to process and review criteria, considering the project-specific proposals and the unique resource and human use considerations at each sanctuary. When designating each sanctuary, NOAA consults with the relevant states and Federal agencies regarding their permitting requirements and procedures.  Where appropriate, agreements are put in place to use a coordinated permit process.  Post-designation, ONMS continuously works with other state and Federal agencies to identify and eliminate duplication of permit requirements or conditions and, when appropriate, coordinate reviews of applications.  In addition, ONMS routinely accepts information developed for other purposes (e.g., a report on an activity developed for another agency) as part of an ONMS permit application or to meet requirements of an ONMS permit condition. </w:t>
      </w: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1F02CC" w:rsidRDefault="001F02CC">
      <w:pPr>
        <w:pBdr>
          <w:top w:val="nil"/>
          <w:left w:val="nil"/>
          <w:bottom w:val="nil"/>
          <w:right w:val="nil"/>
          <w:between w:val="nil"/>
        </w:pBdr>
        <w:spacing w:before="160"/>
        <w:rPr>
          <w:color w:val="2F5496"/>
        </w:rPr>
      </w:pPr>
    </w:p>
    <w:p w:rsidR="001F02CC" w:rsidRDefault="004F5B66">
      <w:pPr>
        <w:widowControl/>
        <w:spacing w:after="200"/>
      </w:pPr>
      <w:r>
        <w:t>This collection of information has minimal economic impact on small entities such as small businesses or other small entities.  Most permit applications are for activities conducted by either large institutions (such as academic institutions, salvage companies, and state and Federal agencies) or individuals.  The majority of small businesses affected by ONMS permits are those applying for baitfish collection permits in the Florida Keys NMS, which has a streamlined application process (see response to Question 12(c) of this statement) to minimize burden on small business applicants. Changes to this information collection include revisions to the permit application and instructions to improve clarity intended to result in improved information collection, which is intended to minimize burden to all potential permit applicants.</w:t>
      </w:r>
    </w:p>
    <w:p w:rsidR="001F02CC" w:rsidRDefault="001F02CC">
      <w:pPr>
        <w:pBdr>
          <w:top w:val="nil"/>
          <w:left w:val="nil"/>
          <w:bottom w:val="nil"/>
          <w:right w:val="nil"/>
          <w:between w:val="nil"/>
        </w:pBdr>
        <w:spacing w:before="160"/>
        <w:rPr>
          <w:color w:val="2F5496"/>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lastRenderedPageBreak/>
        <w:t>Describe the consequence to Federal program or policy activities if the collection is not conducted or is conducted less frequently, as well as any technical or legal obstacles to reducing burden.</w:t>
      </w:r>
    </w:p>
    <w:p w:rsidR="001F02CC" w:rsidRDefault="001F02CC">
      <w:pPr>
        <w:widowControl/>
        <w:spacing w:after="200"/>
        <w:rPr>
          <w:color w:val="2F5496"/>
        </w:rPr>
      </w:pPr>
    </w:p>
    <w:p w:rsidR="001F02CC" w:rsidRDefault="004F5B66">
      <w:pPr>
        <w:widowControl/>
        <w:spacing w:after="200"/>
      </w:pPr>
      <w:r>
        <w:t>If the information collection is not conducted, or is conducted less frequently, the management objectives of ONMS and individual sanctuaries could not be met.  ONMS must be able to allow the conduct of otherwise prohibited activities to facilitate important research, education, and management activities that are consistent with the goals and objectives of the sanctuary and the purposes and policies of the NMSA.  The issuance of permits also fulfills ONMS’s statutory mandate to facilitate public and private uses that are compatible with sanctuary resource protection. Furthermore, the permit process allows these activities to take place with appropriate limitations issued through the permit terms and conditions to ensure that the primary mandate of resource protection is achieved.</w:t>
      </w:r>
    </w:p>
    <w:p w:rsidR="001F02CC" w:rsidRDefault="001F02CC">
      <w:pPr>
        <w:pBdr>
          <w:top w:val="nil"/>
          <w:left w:val="nil"/>
          <w:bottom w:val="nil"/>
          <w:right w:val="nil"/>
          <w:between w:val="nil"/>
        </w:pBdr>
        <w:spacing w:before="115"/>
        <w:rPr>
          <w:color w:val="2F5496"/>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1F02CC" w:rsidRDefault="001F02CC">
      <w:pPr>
        <w:widowControl/>
        <w:spacing w:after="200"/>
        <w:rPr>
          <w:b/>
          <w:color w:val="1F497D"/>
        </w:rPr>
      </w:pPr>
    </w:p>
    <w:p w:rsidR="001F02CC" w:rsidP="006B3D28" w:rsidRDefault="006B3D28">
      <w:pPr>
        <w:widowControl/>
        <w:spacing w:after="200"/>
      </w:pPr>
      <w:r>
        <w:t>This information collection will be conducted in a manner consistent with OMB guidelines.</w:t>
      </w:r>
    </w:p>
    <w:p w:rsidR="001F02CC" w:rsidRDefault="001F02CC">
      <w:pPr>
        <w:widowControl/>
        <w:spacing w:after="200"/>
        <w:ind w:left="720"/>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F02CC" w:rsidRDefault="001F02CC">
      <w:pPr>
        <w:rPr>
          <w:color w:val="2F5496"/>
        </w:rPr>
      </w:pPr>
    </w:p>
    <w:p w:rsidR="001F02CC" w:rsidRDefault="004F5B66">
      <w:r>
        <w:t xml:space="preserve">A </w:t>
      </w:r>
      <w:r>
        <w:rPr>
          <w:i/>
        </w:rPr>
        <w:t>Federal Register</w:t>
      </w:r>
      <w:r>
        <w:t xml:space="preserve"> notice published on February 19, 2021 (86 FR 10249) and solicited public comments for 60 days.  No comments were received.</w:t>
      </w:r>
    </w:p>
    <w:p w:rsidR="001F02CC" w:rsidRDefault="001F02CC"/>
    <w:p w:rsidR="001F02CC" w:rsidRDefault="004F5B66">
      <w:pPr>
        <w:widowControl/>
        <w:shd w:val="clear" w:color="auto" w:fill="FFFFFF"/>
        <w:spacing w:after="200" w:line="276" w:lineRule="auto"/>
      </w:pPr>
      <w:r>
        <w:t xml:space="preserve">Permittees from Florida Keys, </w:t>
      </w:r>
      <w:proofErr w:type="spellStart"/>
      <w:r>
        <w:t>Stellwagen</w:t>
      </w:r>
      <w:proofErr w:type="spellEnd"/>
      <w:r>
        <w:t xml:space="preserve"> Bank, and Monterey Bay national marine sanctuaries were asked the following questions in accordance with the instructions above:</w:t>
      </w:r>
    </w:p>
    <w:p w:rsidR="001F02CC" w:rsidRDefault="004F5B66">
      <w:pPr>
        <w:numPr>
          <w:ilvl w:val="0"/>
          <w:numId w:val="1"/>
        </w:numPr>
      </w:pPr>
      <w:r>
        <w:t xml:space="preserve"> Whether the proposed collection of information is necessary for the proper performance of the functions of the agency, including whether the information shall have practical utility;</w:t>
      </w:r>
    </w:p>
    <w:p w:rsidR="001F02CC" w:rsidRDefault="004F5B66">
      <w:pPr>
        <w:numPr>
          <w:ilvl w:val="0"/>
          <w:numId w:val="1"/>
        </w:numPr>
      </w:pPr>
      <w:r>
        <w:t xml:space="preserve"> The accuracy of the agency’s estimate of the burden (including hours and cost) of the proposed collection of information;</w:t>
      </w:r>
    </w:p>
    <w:p w:rsidR="001F02CC" w:rsidRDefault="004F5B66">
      <w:pPr>
        <w:numPr>
          <w:ilvl w:val="0"/>
          <w:numId w:val="1"/>
        </w:numPr>
      </w:pPr>
      <w:r>
        <w:t xml:space="preserve"> Ways to enhance the quality, utility, and clarity of the information to be collected; and</w:t>
      </w:r>
    </w:p>
    <w:p w:rsidR="001F02CC" w:rsidRDefault="004F5B66">
      <w:pPr>
        <w:numPr>
          <w:ilvl w:val="0"/>
          <w:numId w:val="1"/>
        </w:numPr>
      </w:pPr>
      <w:r>
        <w:t xml:space="preserve"> Ways to minimize the burden of the collection of information on respondents, including through the use of automated collection techniques or other forms of information technology.</w:t>
      </w:r>
    </w:p>
    <w:p w:rsidR="001F02CC" w:rsidRDefault="001F02CC">
      <w:pPr>
        <w:ind w:left="1080"/>
        <w:rPr>
          <w:rFonts w:ascii="Calibri" w:hAnsi="Calibri" w:eastAsia="Calibri" w:cs="Calibri"/>
        </w:rPr>
      </w:pPr>
    </w:p>
    <w:p w:rsidR="001F02CC" w:rsidRDefault="004F5B66">
      <w:pPr>
        <w:widowControl/>
        <w:spacing w:after="200"/>
        <w:rPr>
          <w:color w:val="2F5496"/>
        </w:rPr>
      </w:pPr>
      <w:r>
        <w:t xml:space="preserve">All respondents agreed that the information requested in the application is reasonable and relevant to executing the permit program. The respondents also agreed that the time/burden estimates for a general permit vary but are generally accurate at 1.5 hours per application. One respondent indicated that for repeat permits, the burden related to filling out the permit application is an overestimate because they are more efficient when they readily have information from previous permit applications. Another respondent said that for a new permit project, the burden related to filling out the application may be an underestimate because you are starting new and may be unfamiliar with the permit application. One respondent reported that for complex and multifaceted projects, the information in the application often </w:t>
      </w:r>
      <w:r>
        <w:lastRenderedPageBreak/>
        <w:t>needs to be augmented with additional information (e.g., summary documents, tables, and maps) and that the form can be cumbersome for these larger projects. This respondent also reported that for concise and focused projects, the application was effective and efficient. One respondent also reported that reporting can be challenging because of the different formats and platforms various agencies use are not very adaptable and a significant amount of time is spent developing different reporting outputs from essentially the same project data. Lastly, some respondents suggested that ONMS evaluate an online permitting application system that could provide for increased time efficiencies if, for example, information for recurrent applications could be saved and would not need to be re-entered each time a person applies. In addition, if such an online application could allow modifications in real-time versus communication back and forth via email, it would increase efficiency. ONMS will consider this feedback in considering whether it is able to move forward with plans for an online permitting system.</w:t>
      </w: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1F02CC" w:rsidRDefault="001F02CC">
      <w:pPr>
        <w:widowControl/>
        <w:spacing w:after="200"/>
        <w:rPr>
          <w:color w:val="2F5496"/>
        </w:rPr>
      </w:pPr>
    </w:p>
    <w:p w:rsidR="001F02CC" w:rsidRDefault="004F5B66">
      <w:pPr>
        <w:widowControl/>
        <w:spacing w:after="200"/>
      </w:pPr>
      <w:r>
        <w:t>No payments or gifts are provided to any respondents.</w:t>
      </w:r>
    </w:p>
    <w:p w:rsidR="001F02CC" w:rsidRDefault="001F02CC">
      <w:pPr>
        <w:pBdr>
          <w:top w:val="nil"/>
          <w:left w:val="nil"/>
          <w:bottom w:val="nil"/>
          <w:right w:val="nil"/>
          <w:between w:val="nil"/>
        </w:pBdr>
        <w:spacing w:before="161"/>
        <w:rPr>
          <w:color w:val="2F5496"/>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F02CC" w:rsidRDefault="001F02CC">
      <w:pPr>
        <w:widowControl/>
        <w:spacing w:after="200"/>
      </w:pPr>
    </w:p>
    <w:p w:rsidR="001F02CC" w:rsidRDefault="004F5B66">
      <w:pPr>
        <w:widowControl/>
        <w:spacing w:after="200"/>
      </w:pPr>
      <w:r>
        <w:t xml:space="preserve">As stated in the Permit Application Instructions: </w:t>
      </w:r>
    </w:p>
    <w:p w:rsidR="001F02CC" w:rsidRDefault="004F5B66">
      <w:pPr>
        <w:widowControl/>
        <w:spacing w:after="200"/>
      </w:pPr>
      <w:r>
        <w:t>Applicants should identify any proprietary business information in the application.  Such information is typically exempt from disclosure to anyone requesting information pursuant to the Freedom of Information Act (FOIA).  If disclosure is requested under FOIA, NOAA will withhold proprietary information and protect the privacy of permit applicants to the extent possible and consistent with all applicable FOIA exemptions in 5 U.S.C. 552(b).  Typically exempt information includes trade secrets, commercial and financial information (5 U.S.C. 552(b</w:t>
      </w:r>
      <w:proofErr w:type="gramStart"/>
      <w:r>
        <w:t>)(</w:t>
      </w:r>
      <w:proofErr w:type="gramEnd"/>
      <w:r>
        <w:t>4)).  Typically exempt information also includes personnel and medical files and similar files the disclosure of which would constitute a clearly unwarranted invasion of personal privacy under 5 U.S.C. § 552(b</w:t>
      </w:r>
      <w:proofErr w:type="gramStart"/>
      <w:r>
        <w:t>)(</w:t>
      </w:r>
      <w:proofErr w:type="gramEnd"/>
      <w:r>
        <w:t>6).</w:t>
      </w:r>
    </w:p>
    <w:p w:rsidR="001F02CC" w:rsidRDefault="004F5B66">
      <w:pPr>
        <w:spacing w:before="1" w:line="237" w:lineRule="auto"/>
        <w:ind w:right="337"/>
      </w:pPr>
      <w:r>
        <w:rPr>
          <w:b/>
          <w:i/>
        </w:rPr>
        <w:t>Privacy Act Statement</w:t>
      </w:r>
    </w:p>
    <w:p w:rsidR="001F02CC" w:rsidRDefault="001F02CC">
      <w:pPr>
        <w:spacing w:before="1" w:line="237" w:lineRule="auto"/>
        <w:ind w:right="337"/>
      </w:pPr>
    </w:p>
    <w:p w:rsidR="001F02CC" w:rsidRDefault="004F5B66">
      <w:pPr>
        <w:spacing w:before="1" w:line="237" w:lineRule="auto"/>
        <w:ind w:right="337"/>
      </w:pPr>
      <w:r>
        <w:t>Authority: The collection of this information is authorized under 5 U.S.C. § 301 (</w:t>
      </w:r>
      <w:r>
        <w:rPr>
          <w:i/>
        </w:rPr>
        <w:t>Departmental regulations</w:t>
      </w:r>
      <w:r>
        <w:t>), 5 U.S.C. § 552a (</w:t>
      </w:r>
      <w:r>
        <w:rPr>
          <w:i/>
        </w:rPr>
        <w:t>Records maintained on individuals</w:t>
      </w:r>
      <w:r>
        <w:t>), 15 U.S.C. § 1512 (</w:t>
      </w:r>
      <w:r>
        <w:rPr>
          <w:i/>
        </w:rPr>
        <w:t>Powers and duties of Department</w:t>
      </w:r>
      <w:r>
        <w:t>), 44 U.S.C. § 2904 (</w:t>
      </w:r>
      <w:r>
        <w:rPr>
          <w:i/>
        </w:rPr>
        <w:t>General responsibilities for records management</w:t>
      </w:r>
      <w:r>
        <w:t xml:space="preserve">), and 16 U.S.C. § 1431 </w:t>
      </w:r>
      <w:r>
        <w:rPr>
          <w:i/>
        </w:rPr>
        <w:t>et seq</w:t>
      </w:r>
      <w:r>
        <w:t>. (</w:t>
      </w:r>
      <w:r>
        <w:rPr>
          <w:i/>
        </w:rPr>
        <w:t>National Marine Sanctuaries Act (NMSA)</w:t>
      </w:r>
      <w:r>
        <w:t>).</w:t>
      </w:r>
    </w:p>
    <w:p w:rsidR="001F02CC" w:rsidRDefault="001F02CC">
      <w:pPr>
        <w:spacing w:before="1" w:line="237" w:lineRule="auto"/>
        <w:ind w:right="337"/>
      </w:pPr>
    </w:p>
    <w:p w:rsidR="001F02CC" w:rsidRDefault="004F5B66">
      <w:pPr>
        <w:spacing w:before="1" w:line="237" w:lineRule="auto"/>
        <w:ind w:right="337"/>
      </w:pPr>
      <w:r>
        <w:t>Purpose: The collection of names, addresses, contact information, professional information, completed permit application form, and supporting information is required in order for NOAA to review and render decisions on requests to conduct certain activities in national marine sanctuaries, as required under the NMSA and its implementing regulations at 15 CFR Part 922.</w:t>
      </w:r>
    </w:p>
    <w:p w:rsidR="001F02CC" w:rsidRDefault="001F02CC">
      <w:pPr>
        <w:spacing w:before="1" w:line="237" w:lineRule="auto"/>
        <w:ind w:right="337"/>
      </w:pPr>
    </w:p>
    <w:p w:rsidR="001F02CC" w:rsidRDefault="004F5B66">
      <w:pPr>
        <w:spacing w:before="1" w:line="237" w:lineRule="auto"/>
        <w:ind w:right="337"/>
      </w:pPr>
      <w:r>
        <w:t xml:space="preserve">Routine Uses: NOAA will use this information for the purpose set forth above and the information may be used consistent with all of the published routine uses as identified in the Privacy Act System of Records Notice </w:t>
      </w:r>
      <w:hyperlink w:history="1" r:id="rId12">
        <w:r w:rsidRPr="00B25F57">
          <w:rPr>
            <w:rStyle w:val="Hyperlink"/>
          </w:rPr>
          <w:t>COMMERCE/NOAA-12</w:t>
        </w:r>
      </w:hyperlink>
      <w:r>
        <w:t xml:space="preserve">, Marine Mammals, Endangered and Threatened Species, Permits and Authorizations Applicants. Disclosure of this information is permitted under </w:t>
      </w:r>
      <w:r>
        <w:lastRenderedPageBreak/>
        <w:t>the Privacy Act of 1974 (5 U.S.C. Section 552a</w:t>
      </w:r>
      <w:r>
        <w:rPr>
          <w:b/>
        </w:rPr>
        <w:t>)</w:t>
      </w:r>
      <w:r>
        <w:t xml:space="preserve"> to be shared among Department staff for work-related purposes. </w:t>
      </w:r>
    </w:p>
    <w:p w:rsidR="001F02CC" w:rsidRDefault="001F02CC">
      <w:pPr>
        <w:spacing w:before="1" w:line="237" w:lineRule="auto"/>
        <w:ind w:right="337"/>
      </w:pPr>
    </w:p>
    <w:p w:rsidR="001F02CC" w:rsidRDefault="004F5B66">
      <w:pPr>
        <w:spacing w:before="1" w:line="237" w:lineRule="auto"/>
        <w:ind w:right="337"/>
      </w:pPr>
      <w:r>
        <w:t xml:space="preserve">Disclosure:  Furnishing this information is voluntary; however, if the information is not provided or if the individual does not consent to the routine uses of the information described in this Statement, NOAA could not review and render a decision on the permit request. </w:t>
      </w:r>
    </w:p>
    <w:p w:rsidR="00B25F57" w:rsidRDefault="00B25F57">
      <w:pPr>
        <w:spacing w:before="1" w:line="237" w:lineRule="auto"/>
        <w:ind w:right="337"/>
      </w:pPr>
    </w:p>
    <w:p w:rsidR="00B25F57" w:rsidRDefault="00B25F57">
      <w:pPr>
        <w:spacing w:before="1" w:line="237" w:lineRule="auto"/>
        <w:ind w:right="337"/>
      </w:pPr>
      <w:r>
        <w:t xml:space="preserve">The collected information is captured in the Privacy Impact Assessment for </w:t>
      </w:r>
      <w:hyperlink w:history="1" r:id="rId13">
        <w:r w:rsidRPr="00B25F57">
          <w:rPr>
            <w:rStyle w:val="Hyperlink"/>
          </w:rPr>
          <w:t>NOAA6602</w:t>
        </w:r>
      </w:hyperlink>
      <w:r>
        <w:t>.</w:t>
      </w:r>
    </w:p>
    <w:p w:rsidR="001F02CC" w:rsidRDefault="001F02CC">
      <w:pPr>
        <w:widowControl/>
        <w:spacing w:after="200"/>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w:t>
      </w:r>
      <w:r>
        <w:rPr>
          <w:b/>
        </w:rPr>
        <w:t>t.</w:t>
      </w:r>
    </w:p>
    <w:p w:rsidR="001F02CC" w:rsidRDefault="001F02CC">
      <w:pPr>
        <w:pBdr>
          <w:top w:val="nil"/>
          <w:left w:val="nil"/>
          <w:bottom w:val="nil"/>
          <w:right w:val="nil"/>
          <w:between w:val="nil"/>
        </w:pBdr>
        <w:tabs>
          <w:tab w:val="left" w:pos="360"/>
        </w:tabs>
        <w:spacing w:before="80"/>
        <w:rPr>
          <w:b/>
        </w:rPr>
      </w:pPr>
    </w:p>
    <w:p w:rsidR="001F02CC" w:rsidRDefault="004F5B66">
      <w:pPr>
        <w:pBdr>
          <w:top w:val="nil"/>
          <w:left w:val="nil"/>
          <w:bottom w:val="nil"/>
          <w:right w:val="nil"/>
          <w:between w:val="nil"/>
        </w:pBdr>
        <w:tabs>
          <w:tab w:val="left" w:pos="360"/>
        </w:tabs>
        <w:spacing w:before="80"/>
        <w:sectPr w:rsidR="001F02CC" w:rsidSect="00EE33D4">
          <w:footerReference w:type="default" r:id="rId14"/>
          <w:pgSz w:w="12240" w:h="15840"/>
          <w:pgMar w:top="810" w:right="1080" w:bottom="1200" w:left="1080" w:header="0" w:footer="714" w:gutter="0"/>
          <w:pgNumType w:start="1"/>
          <w:cols w:space="720"/>
        </w:sectPr>
      </w:pPr>
      <w:r>
        <w:t>No sensitive questions are asked.</w:t>
      </w:r>
    </w:p>
    <w:p w:rsidR="001F02CC" w:rsidRDefault="001F02CC"/>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1F02CC" w:rsidRDefault="001F02CC">
      <w:pPr>
        <w:widowControl/>
        <w:spacing w:after="200"/>
        <w:rPr>
          <w:color w:val="2F5496"/>
        </w:rPr>
      </w:pPr>
    </w:p>
    <w:p w:rsidR="001F02CC" w:rsidRDefault="004F5B66">
      <w:pPr>
        <w:widowControl/>
        <w:spacing w:after="200"/>
      </w:pPr>
      <w:r>
        <w:t>Because the number of responses and the time per response varies amongst the various types of permit actions, each of the eight types is explained in subsections (a) through (</w:t>
      </w:r>
      <w:proofErr w:type="spellStart"/>
      <w:r>
        <w:t>i</w:t>
      </w:r>
      <w:proofErr w:type="spellEnd"/>
      <w:r>
        <w:t xml:space="preserve">) below and summarized in the table.  The types of permit actions are grouped into these categories based on similar collection of information requirements and burden estimates.  Additionally, the permit types described below are further detailed in the permit application instructions.  </w:t>
      </w:r>
    </w:p>
    <w:p w:rsidR="001F02CC" w:rsidRDefault="004F5B66">
      <w:pPr>
        <w:widowControl/>
        <w:spacing w:after="200"/>
        <w:rPr>
          <w:u w:val="single"/>
        </w:rPr>
      </w:pPr>
      <w:r>
        <w:t xml:space="preserve">(a)  </w:t>
      </w:r>
      <w:r>
        <w:rPr>
          <w:u w:val="single"/>
        </w:rPr>
        <w:t>General Permits and Authorizations</w:t>
      </w:r>
    </w:p>
    <w:p w:rsidR="001F02CC" w:rsidRDefault="004F5B66">
      <w:pPr>
        <w:widowControl/>
        <w:spacing w:after="200"/>
      </w:pPr>
      <w:r>
        <w:t>General permits include applications to conduct scientific research, education, and management activities, as well as several other listed activities, that involve an otherwise prohibited activity processed pursuant to 15 CFR § 922.48 (proposed 15 CFR § 922.30).  This category also includes requests for authorizations of another agency lease, permit, license, approval, or other authorization processed pursuant to 15 CFR § 922.49 (proposed 15 CFR § 922.36). The number of general permits issued annually is expected to increase slightly (estimated ten additional annually) because of the recently designated Mallows Bay - Potomac River National Marine Sanctuary and Wisconsin Shipwreck Coast National Marine Sanctuary.</w:t>
      </w:r>
    </w:p>
    <w:p w:rsidR="001F02CC" w:rsidRDefault="004F5B66">
      <w:pPr>
        <w:widowControl/>
        <w:spacing w:after="200"/>
      </w:pPr>
      <w:r>
        <w:t>Each respondent will generally submit an application for a permit, a cruise or flight log (or some other form of activity report) and a final summary report after the activity is complete, for an average of three responses per permit</w:t>
      </w:r>
      <w:r w:rsidR="00B85E1E">
        <w:t>.</w:t>
      </w:r>
    </w:p>
    <w:p w:rsidR="001F02CC" w:rsidRDefault="004F5B66">
      <w:pPr>
        <w:widowControl/>
        <w:spacing w:after="200"/>
      </w:pPr>
      <w:r>
        <w:t xml:space="preserve">(b)  </w:t>
      </w:r>
      <w:r>
        <w:rPr>
          <w:u w:val="single"/>
        </w:rPr>
        <w:t>Baitfish Permits</w:t>
      </w:r>
    </w:p>
    <w:p w:rsidR="001F02CC" w:rsidRDefault="004F5B66">
      <w:pPr>
        <w:widowControl/>
        <w:spacing w:after="200"/>
      </w:pPr>
      <w:r>
        <w:t>This category includes applications for a permit to collect baitfish in certain Sanctuary Preservation Areas (SPAs) of Florida Keys National Marine Sanctuary that are otherwise closed to fishing. There are two types of baitfish permits that may be issued depending on the gear used (</w:t>
      </w:r>
      <w:proofErr w:type="spellStart"/>
      <w:r>
        <w:t>castnet</w:t>
      </w:r>
      <w:proofErr w:type="spellEnd"/>
      <w:r>
        <w:t xml:space="preserve"> or </w:t>
      </w:r>
      <w:proofErr w:type="spellStart"/>
      <w:r>
        <w:t>lampara</w:t>
      </w:r>
      <w:proofErr w:type="spellEnd"/>
      <w:r>
        <w:t>).</w:t>
      </w:r>
    </w:p>
    <w:p w:rsidR="00AB1B56" w:rsidRDefault="004F5B66">
      <w:pPr>
        <w:widowControl/>
        <w:spacing w:after="200"/>
      </w:pPr>
      <w:r>
        <w:t>To apply for a baitfish permit, an applicant must simply submit (via phone, fax, or email) his/her name and address and boat name(s) and documentation number(s), when known. A log of the number of fish caught is required at the end of the permit term</w:t>
      </w:r>
      <w:r w:rsidR="00AB1B56">
        <w:t>.</w:t>
      </w:r>
    </w:p>
    <w:p w:rsidR="001F02CC" w:rsidRDefault="004F5B66">
      <w:pPr>
        <w:widowControl/>
        <w:spacing w:after="200"/>
      </w:pPr>
      <w:r>
        <w:t xml:space="preserve">(c)  </w:t>
      </w:r>
      <w:r>
        <w:rPr>
          <w:u w:val="single"/>
        </w:rPr>
        <w:t>Archeological Research Permits</w:t>
      </w:r>
    </w:p>
    <w:p w:rsidR="001F02CC" w:rsidRDefault="004F5B66">
      <w:pPr>
        <w:widowControl/>
        <w:spacing w:after="200"/>
      </w:pPr>
      <w:r>
        <w:t xml:space="preserve">This category includes all permit applications for activities aimed at historical, cultural, maritime heritage, and/or submerged archaeological resources of sanctuaries.  </w:t>
      </w:r>
    </w:p>
    <w:p w:rsidR="001F02CC" w:rsidP="00AB1B56" w:rsidRDefault="004F5B66">
      <w:pPr>
        <w:widowControl/>
        <w:spacing w:after="200"/>
      </w:pPr>
      <w:r>
        <w:t xml:space="preserve">Due to the sensitive and complex nature of any work involving such resources, for these permits an average response time of 13 hours is estimated for each response (application, cruise log, and </w:t>
      </w:r>
      <w:proofErr w:type="spellStart"/>
      <w:r>
        <w:t>repor</w:t>
      </w:r>
      <w:proofErr w:type="spellEnd"/>
      <w:proofErr w:type="gramStart"/>
      <w:r w:rsidR="003404DE">
        <w:t>)</w:t>
      </w:r>
      <w:r>
        <w:t>t</w:t>
      </w:r>
      <w:proofErr w:type="gramEnd"/>
      <w:r w:rsidR="00AB1B56">
        <w:t>.</w:t>
      </w:r>
    </w:p>
    <w:p w:rsidR="001F02CC" w:rsidRDefault="004F5B66">
      <w:pPr>
        <w:widowControl/>
        <w:spacing w:after="200"/>
      </w:pPr>
      <w:r>
        <w:t xml:space="preserve">(d)  </w:t>
      </w:r>
      <w:r>
        <w:rPr>
          <w:u w:val="single"/>
        </w:rPr>
        <w:t>Special Use Permits</w:t>
      </w:r>
    </w:p>
    <w:p w:rsidR="001F02CC" w:rsidRDefault="004F5B66">
      <w:pPr>
        <w:widowControl/>
        <w:spacing w:after="240"/>
      </w:pPr>
      <w:r>
        <w:t>This category includes all permit applications processed under section 310 of the NMSA (16 U.S.C. § 1441) (and proposed 15 CFR § 922.31, 922.35). The NMSA requires NOAA to publish “appropriate public notice before identifying any category of activity subject to a special use permit” before NOAA can issue special use permits for those activities. 16 U.S.C. § 1441(b)). Presently, these activities are as follows:</w:t>
      </w:r>
    </w:p>
    <w:p w:rsidR="001F02CC" w:rsidRDefault="004F5B66">
      <w:pPr>
        <w:numPr>
          <w:ilvl w:val="1"/>
          <w:numId w:val="3"/>
        </w:numPr>
      </w:pPr>
      <w:r>
        <w:t>The placement and recovery of objects associated with public or private events on non-living substrate of the submerged lands of any national marine sanctuary.</w:t>
      </w:r>
    </w:p>
    <w:p w:rsidR="001F02CC" w:rsidRDefault="004F5B66">
      <w:pPr>
        <w:numPr>
          <w:ilvl w:val="1"/>
          <w:numId w:val="3"/>
        </w:numPr>
      </w:pPr>
      <w:r>
        <w:lastRenderedPageBreak/>
        <w:t>The placement and recovery of objects related to commercial filming.</w:t>
      </w:r>
    </w:p>
    <w:p w:rsidR="001F02CC" w:rsidRDefault="004F5B66">
      <w:pPr>
        <w:numPr>
          <w:ilvl w:val="1"/>
          <w:numId w:val="3"/>
        </w:numPr>
      </w:pPr>
      <w:r>
        <w:t>The continued presence of commercial submarine cables on or within the submerged lands of any national marine sanctuary.</w:t>
      </w:r>
    </w:p>
    <w:p w:rsidR="001F02CC" w:rsidRDefault="004F5B66">
      <w:pPr>
        <w:numPr>
          <w:ilvl w:val="1"/>
          <w:numId w:val="3"/>
        </w:numPr>
      </w:pPr>
      <w:r>
        <w:t>The disposal of cremated human remains within or into any national marine sanctuary.</w:t>
      </w:r>
    </w:p>
    <w:p w:rsidR="001F02CC" w:rsidRDefault="004F5B66">
      <w:pPr>
        <w:numPr>
          <w:ilvl w:val="1"/>
          <w:numId w:val="3"/>
        </w:numPr>
      </w:pPr>
      <w:r>
        <w:t>Recreational diving near the USS</w:t>
      </w:r>
      <w:r>
        <w:rPr>
          <w:i/>
        </w:rPr>
        <w:t xml:space="preserve"> Monitor</w:t>
      </w:r>
      <w:r>
        <w:t>.</w:t>
      </w:r>
    </w:p>
    <w:p w:rsidR="001F02CC" w:rsidRDefault="004F5B66">
      <w:pPr>
        <w:numPr>
          <w:ilvl w:val="1"/>
          <w:numId w:val="3"/>
        </w:numPr>
      </w:pPr>
      <w:r>
        <w:t>Fireworks displays.</w:t>
      </w:r>
    </w:p>
    <w:p w:rsidR="001F02CC" w:rsidRDefault="004F5B66">
      <w:pPr>
        <w:numPr>
          <w:ilvl w:val="1"/>
          <w:numId w:val="3"/>
        </w:numPr>
      </w:pPr>
      <w:r>
        <w:t>The operation of aircraft below the minimum altitude in restricted zones of national marine sanctuaries.</w:t>
      </w:r>
    </w:p>
    <w:p w:rsidR="001F02CC" w:rsidRDefault="004F5B66">
      <w:pPr>
        <w:numPr>
          <w:ilvl w:val="1"/>
          <w:numId w:val="3"/>
        </w:numPr>
      </w:pPr>
      <w:r>
        <w:t xml:space="preserve">The continued presence of a pipeline transporting seawater to or from a desalination facility in Monterey Bay National Marine Sanctuary. </w:t>
      </w:r>
    </w:p>
    <w:p w:rsidR="001F02CC" w:rsidRDefault="001F02CC">
      <w:pPr>
        <w:ind w:left="1440"/>
      </w:pPr>
    </w:p>
    <w:p w:rsidR="001F02CC" w:rsidP="00AB1B56" w:rsidRDefault="004F5B66">
      <w:pPr>
        <w:widowControl/>
        <w:spacing w:after="200"/>
      </w:pPr>
      <w:r>
        <w:t>For special use permits, an application, a final report, and a financial report are required for each permit (total of three responses per permit).  An average response time of eight hours is estimated for each of these activities.  Financial reports (annual report required by section 310 of the NMSA; due on December 31 of each year) may take less than eight hours but the application will take more time, particularly if additional NEPA documentation is required and information is needed by the respondent</w:t>
      </w:r>
      <w:r w:rsidR="00AB1B56">
        <w:t>.</w:t>
      </w:r>
    </w:p>
    <w:p w:rsidR="001F02CC" w:rsidRDefault="004F5B66">
      <w:pPr>
        <w:widowControl/>
        <w:spacing w:after="200"/>
      </w:pPr>
      <w:r>
        <w:t xml:space="preserve">(e)  </w:t>
      </w:r>
      <w:r>
        <w:rPr>
          <w:u w:val="single"/>
        </w:rPr>
        <w:t>Certification</w:t>
      </w:r>
    </w:p>
    <w:p w:rsidR="001F02CC" w:rsidRDefault="004F5B66">
      <w:pPr>
        <w:widowControl/>
        <w:spacing w:after="200"/>
      </w:pPr>
      <w:r>
        <w:t xml:space="preserve">This category includes all requests, processed under 15 CFR § 922.47 (proposed 15 CFR § 922.10), for the ONMS to certify activities that are being conducted pursuant to a valid lease, permit, license, or right of subsistence use or access in existence on the date of a sanctuary being designated or expanded (commonly known as “grandfathered” activities).  </w:t>
      </w:r>
    </w:p>
    <w:p w:rsidR="001F02CC" w:rsidRDefault="004F5B66">
      <w:pPr>
        <w:widowControl/>
        <w:spacing w:after="200"/>
      </w:pPr>
      <w:r>
        <w:t xml:space="preserve">An average response time of 30 minutes is estimated for providing an application. </w:t>
      </w:r>
    </w:p>
    <w:p w:rsidR="001F02CC" w:rsidRDefault="004F5B66">
      <w:pPr>
        <w:widowControl/>
        <w:spacing w:after="200"/>
      </w:pPr>
      <w:r>
        <w:t xml:space="preserve">(f)  </w:t>
      </w:r>
      <w:r>
        <w:rPr>
          <w:u w:val="single"/>
        </w:rPr>
        <w:t>Permit Amendments</w:t>
      </w:r>
    </w:p>
    <w:p w:rsidR="001F02CC" w:rsidRDefault="004F5B66">
      <w:pPr>
        <w:widowControl/>
        <w:spacing w:after="200"/>
      </w:pPr>
      <w:r>
        <w:t>This category includes requests by permittees to amend permits (proposed 15 CFR § 922.34). Typically, this is a request to extend the expiration date, but can also be requests to modify the nature or geographic scope of the permitted activity.</w:t>
      </w:r>
    </w:p>
    <w:p w:rsidR="001F02CC" w:rsidRDefault="004F5B66">
      <w:pPr>
        <w:widowControl/>
        <w:spacing w:after="200"/>
      </w:pPr>
      <w:r>
        <w:t>For minor changes that do not significantly change the scope of work of the permit (such as a name change or extension request), permittees may apply for an amendment via a brief email, letter, or even a phone call rather than via submission of a new application form.  For significant changes to the permitted activity, more information or even a new application may be required.  On average, the response is estimated to average 30 minutes</w:t>
      </w:r>
      <w:r w:rsidR="00DF1D32">
        <w:t>.</w:t>
      </w:r>
      <w:r>
        <w:t xml:space="preserve"> </w:t>
      </w:r>
    </w:p>
    <w:p w:rsidR="001F02CC" w:rsidRDefault="004F5B66">
      <w:pPr>
        <w:widowControl/>
        <w:spacing w:after="200"/>
      </w:pPr>
      <w:r>
        <w:t>(</w:t>
      </w:r>
      <w:proofErr w:type="gramStart"/>
      <w:r>
        <w:t>g</w:t>
      </w:r>
      <w:proofErr w:type="gramEnd"/>
      <w:r>
        <w:t>)</w:t>
      </w:r>
      <w:r w:rsidR="004827E2">
        <w:t xml:space="preserve"> </w:t>
      </w:r>
      <w:r>
        <w:t xml:space="preserve"> </w:t>
      </w:r>
      <w:r>
        <w:rPr>
          <w:u w:val="single"/>
        </w:rPr>
        <w:t>Tortugas North Access Permits</w:t>
      </w:r>
    </w:p>
    <w:p w:rsidR="001F02CC" w:rsidRDefault="004F5B66">
      <w:pPr>
        <w:widowControl/>
        <w:spacing w:after="200"/>
      </w:pPr>
      <w:r>
        <w:t xml:space="preserve">In 2001, NOAA established the Tortugas Ecological Reserve in the Florida Keys National Marine Sanctuary.  Regulations implementing the reserve include controlling access to the reserve through the granting of “access permits” (15 CFR §922.167).  Applicants give their information and receive their permit via phone or email prior to entering the reserve.  The applicant must provide the applicable information listed on the </w:t>
      </w:r>
      <w:hyperlink r:id="rId15">
        <w:r>
          <w:rPr>
            <w:color w:val="1155CC"/>
            <w:u w:val="single"/>
          </w:rPr>
          <w:t xml:space="preserve">Tortugas Ecological Reserve North Access Permits </w:t>
        </w:r>
      </w:hyperlink>
      <w:hyperlink r:id="rId16">
        <w:r>
          <w:rPr>
            <w:color w:val="1155CC"/>
            <w:u w:val="single"/>
          </w:rPr>
          <w:t>page</w:t>
        </w:r>
      </w:hyperlink>
      <w:r>
        <w:t xml:space="preserve">. </w:t>
      </w:r>
    </w:p>
    <w:p w:rsidR="004827E2" w:rsidRDefault="004F5B66">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200"/>
      </w:pPr>
      <w:r>
        <w:t>Applicants will average three responses per application (call to apply for a permit, call reporting entering the reserve, and call reporting exiting the reserve).  These calls are</w:t>
      </w:r>
      <w:r w:rsidR="00593A76">
        <w:t xml:space="preserve"> estimated to average 5 minutes.</w:t>
      </w:r>
    </w:p>
    <w:p w:rsidR="001F02CC" w:rsidRDefault="004F5B66">
      <w:pPr>
        <w:widowControl/>
        <w:spacing w:after="200"/>
      </w:pPr>
      <w:r>
        <w:t xml:space="preserve">(h)  </w:t>
      </w:r>
      <w:r>
        <w:rPr>
          <w:u w:val="single"/>
        </w:rPr>
        <w:t>Voluntary Registry</w:t>
      </w:r>
    </w:p>
    <w:p w:rsidR="001F02CC" w:rsidRDefault="004F5B66">
      <w:pPr>
        <w:widowControl/>
        <w:spacing w:after="200"/>
      </w:pPr>
      <w:r>
        <w:lastRenderedPageBreak/>
        <w:t>This category is for researchers who are conducting activities that are not otherwise prohibited.  The registry allows them to register their activity, which adds to the database of research activities within a sanctuary.</w:t>
      </w:r>
    </w:p>
    <w:p w:rsidR="001F02CC" w:rsidRDefault="004F5B66">
      <w:pPr>
        <w:widowControl/>
        <w:spacing w:after="200"/>
      </w:pPr>
      <w:r>
        <w:t>An average response time of 15 minutes is estimated for submission of registry information</w:t>
      </w:r>
      <w:r w:rsidR="004827E2">
        <w:t>.</w:t>
      </w:r>
      <w:r>
        <w:t xml:space="preserve"> </w:t>
      </w:r>
    </w:p>
    <w:p w:rsidR="001F02CC" w:rsidRDefault="004F5B66">
      <w:pPr>
        <w:widowControl/>
        <w:spacing w:after="200"/>
      </w:pPr>
      <w:r>
        <w:t>(</w:t>
      </w:r>
      <w:proofErr w:type="spellStart"/>
      <w:r>
        <w:t>i</w:t>
      </w:r>
      <w:proofErr w:type="spellEnd"/>
      <w:r>
        <w:t xml:space="preserve">)  </w:t>
      </w:r>
      <w:r>
        <w:rPr>
          <w:u w:val="single"/>
        </w:rPr>
        <w:t>Appeals</w:t>
      </w:r>
    </w:p>
    <w:p w:rsidR="001F02CC" w:rsidRDefault="004F5B66">
      <w:pPr>
        <w:widowControl/>
        <w:spacing w:after="200"/>
      </w:pPr>
      <w:r>
        <w:t xml:space="preserve">Applicants or permittees have the right to appeal a permit action (e.g., the denial, conditioning, amendment, suspension, or revocation of a permit)) pursuant to 15 CFR §922.50 (proposed 15 CFR § 922.37).  This category includes information requirements for all such appeals.  </w:t>
      </w:r>
    </w:p>
    <w:p w:rsidR="004827E2" w:rsidP="004827E2" w:rsidRDefault="004F5B66">
      <w:pPr>
        <w:widowControl/>
        <w:spacing w:after="200"/>
        <w:rPr>
          <w:i/>
        </w:rPr>
      </w:pPr>
      <w:r>
        <w:t>The applicant/permittee must submit an appeal in writing, state the action(s) being appealed, and state the reason(s) for the appeal.  The Assistant Administrator of NOAA’s National Ocean Service (NOS) may request additional information upon receipt of the appeal.  These two submissions (original appeal and reply to a request for additional information) have an average burden estimate of 24 hours.</w:t>
      </w:r>
    </w:p>
    <w:p w:rsidR="00270A89" w:rsidRDefault="00270A89">
      <w:pPr>
        <w:widowControl/>
        <w:spacing w:after="200"/>
        <w:rPr>
          <w:i/>
        </w:rPr>
        <w:sectPr w:rsidR="00270A89">
          <w:pgSz w:w="12240" w:h="15840"/>
          <w:pgMar w:top="1080" w:right="1200" w:bottom="1080" w:left="640" w:header="0" w:footer="1014" w:gutter="0"/>
          <w:cols w:space="720"/>
        </w:sectPr>
      </w:pPr>
    </w:p>
    <w:p w:rsidR="001F02CC" w:rsidRDefault="001F02CC">
      <w:pPr>
        <w:widowControl/>
        <w:spacing w:after="200"/>
        <w:rPr>
          <w:color w:val="2F5496"/>
        </w:rPr>
      </w:pPr>
    </w:p>
    <w:p w:rsidR="001F02CC" w:rsidRDefault="001F02CC">
      <w:pPr>
        <w:spacing w:line="259" w:lineRule="auto"/>
        <w:ind w:hanging="43"/>
        <w:jc w:val="center"/>
        <w:rPr>
          <w:b/>
          <w:color w:val="FF0000"/>
          <w:sz w:val="22"/>
          <w:szCs w:val="22"/>
        </w:rPr>
      </w:pPr>
    </w:p>
    <w:tbl>
      <w:tblPr>
        <w:tblStyle w:val="a"/>
        <w:tblW w:w="13335" w:type="dxa"/>
        <w:tblInd w:w="-25" w:type="dxa"/>
        <w:tblLayout w:type="fixed"/>
        <w:tblLook w:val="0400" w:firstRow="0" w:lastRow="0" w:firstColumn="0" w:lastColumn="0" w:noHBand="0" w:noVBand="1"/>
      </w:tblPr>
      <w:tblGrid>
        <w:gridCol w:w="1905"/>
        <w:gridCol w:w="1710"/>
        <w:gridCol w:w="1530"/>
        <w:gridCol w:w="1170"/>
        <w:gridCol w:w="1080"/>
        <w:gridCol w:w="900"/>
        <w:gridCol w:w="1170"/>
        <w:gridCol w:w="1620"/>
        <w:gridCol w:w="2250"/>
      </w:tblGrid>
      <w:tr w:rsidRPr="00495ABB" w:rsidR="00495ABB" w:rsidTr="00495ABB">
        <w:trPr>
          <w:trHeight w:val="1365"/>
        </w:trPr>
        <w:tc>
          <w:tcPr>
            <w:tcW w:w="1905"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Information Collection</w:t>
            </w:r>
          </w:p>
        </w:tc>
        <w:tc>
          <w:tcPr>
            <w:tcW w:w="171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Type of Respondent (e.g., Occupational Title)</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 of Respondents/year</w:t>
            </w:r>
            <w:r w:rsidRPr="00495ABB">
              <w:rPr>
                <w:rFonts w:eastAsia="Calibri" w:asciiTheme="majorHAnsi" w:hAnsiTheme="majorHAnsi" w:cstheme="majorHAnsi"/>
                <w:b/>
                <w:color w:val="000000"/>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Annual # of Responses / Respondent</w:t>
            </w:r>
            <w:r w:rsidRPr="00495ABB">
              <w:rPr>
                <w:rFonts w:eastAsia="Calibri" w:asciiTheme="majorHAnsi" w:hAnsiTheme="majorHAnsi" w:cstheme="majorHAnsi"/>
                <w:b/>
                <w:color w:val="000000"/>
                <w:sz w:val="16"/>
                <w:szCs w:val="16"/>
              </w:rPr>
              <w:br/>
              <w:t>(b)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 xml:space="preserve"> Total # of Annual Responses</w:t>
            </w:r>
            <w:r w:rsidRPr="00495ABB">
              <w:rPr>
                <w:rFonts w:eastAsia="Calibri" w:asciiTheme="majorHAnsi" w:hAnsiTheme="majorHAnsi" w:cstheme="majorHAnsi"/>
                <w:b/>
                <w:color w:val="000000"/>
                <w:sz w:val="16"/>
                <w:szCs w:val="16"/>
              </w:rPr>
              <w:br/>
              <w:t>(c) = (a) x (b)</w:t>
            </w:r>
          </w:p>
        </w:tc>
        <w:tc>
          <w:tcPr>
            <w:tcW w:w="90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 xml:space="preserve">Burden </w:t>
            </w:r>
            <w:proofErr w:type="spellStart"/>
            <w:r w:rsidRPr="00495ABB">
              <w:rPr>
                <w:rFonts w:eastAsia="Calibri" w:asciiTheme="majorHAnsi" w:hAnsiTheme="majorHAnsi" w:cstheme="majorHAnsi"/>
                <w:b/>
                <w:color w:val="000000"/>
                <w:sz w:val="16"/>
                <w:szCs w:val="16"/>
              </w:rPr>
              <w:t>Hrs</w:t>
            </w:r>
            <w:proofErr w:type="spellEnd"/>
            <w:r w:rsidRPr="00495ABB">
              <w:rPr>
                <w:rFonts w:eastAsia="Calibri" w:asciiTheme="majorHAnsi" w:hAnsiTheme="majorHAnsi" w:cstheme="majorHAnsi"/>
                <w:b/>
                <w:color w:val="000000"/>
                <w:sz w:val="16"/>
                <w:szCs w:val="16"/>
              </w:rPr>
              <w:t xml:space="preserve"> / Response</w:t>
            </w:r>
            <w:r w:rsidRPr="00495ABB">
              <w:rPr>
                <w:rFonts w:eastAsia="Calibri" w:asciiTheme="majorHAnsi" w:hAnsiTheme="majorHAnsi" w:cstheme="majorHAnsi"/>
                <w:b/>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 xml:space="preserve">Total Annual Burden </w:t>
            </w:r>
            <w:proofErr w:type="spellStart"/>
            <w:r w:rsidRPr="00495ABB">
              <w:rPr>
                <w:rFonts w:eastAsia="Calibri" w:asciiTheme="majorHAnsi" w:hAnsiTheme="majorHAnsi" w:cstheme="majorHAnsi"/>
                <w:b/>
                <w:color w:val="000000"/>
                <w:sz w:val="16"/>
                <w:szCs w:val="16"/>
              </w:rPr>
              <w:t>Hrs</w:t>
            </w:r>
            <w:proofErr w:type="spellEnd"/>
            <w:r w:rsidRPr="00495ABB">
              <w:rPr>
                <w:rFonts w:eastAsia="Calibri" w:asciiTheme="majorHAnsi" w:hAnsiTheme="majorHAnsi" w:cstheme="majorHAnsi"/>
                <w:b/>
                <w:color w:val="000000"/>
                <w:sz w:val="16"/>
                <w:szCs w:val="16"/>
              </w:rPr>
              <w:br/>
              <w:t>(e)  = (c) x (d)</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Hourly Wage Rate  (for Type of Respondent)</w:t>
            </w:r>
            <w:r w:rsidRPr="00495ABB">
              <w:rPr>
                <w:rFonts w:eastAsia="Calibri" w:asciiTheme="majorHAnsi" w:hAnsiTheme="majorHAnsi" w:cstheme="majorHAnsi"/>
                <w:b/>
                <w:color w:val="000000"/>
                <w:sz w:val="16"/>
                <w:szCs w:val="16"/>
              </w:rPr>
              <w:br/>
              <w:t>(f)</w:t>
            </w:r>
          </w:p>
        </w:tc>
        <w:tc>
          <w:tcPr>
            <w:tcW w:w="225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P="00495ABB" w:rsidRDefault="004F5B66">
            <w:pPr>
              <w:widowControl/>
              <w:ind w:right="241"/>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Total Annual Wage Burden Costs</w:t>
            </w:r>
            <w:r w:rsidRPr="00495ABB">
              <w:rPr>
                <w:rFonts w:eastAsia="Calibri" w:asciiTheme="majorHAnsi" w:hAnsiTheme="majorHAnsi" w:cstheme="majorHAnsi"/>
                <w:b/>
                <w:color w:val="000000"/>
                <w:sz w:val="16"/>
                <w:szCs w:val="16"/>
              </w:rPr>
              <w:br/>
              <w:t>(g) = (e) x (f)</w:t>
            </w:r>
          </w:p>
        </w:tc>
      </w:tr>
      <w:tr w:rsidRPr="00495ABB" w:rsidR="00495ABB" w:rsidTr="00495ABB">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General permits and authorizations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Any person</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258</w:t>
            </w:r>
            <w:r w:rsidRPr="00495ABB">
              <w:rPr>
                <w:rFonts w:eastAsia="Calibri" w:asciiTheme="majorHAnsi" w:hAnsiTheme="majorHAnsi" w:cstheme="majorHAns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w:t>
            </w:r>
            <w:r w:rsidRPr="00495ABB">
              <w:rPr>
                <w:rFonts w:eastAsia="Calibri" w:asciiTheme="majorHAnsi" w:hAnsiTheme="majorHAnsi" w:cstheme="majorHAns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774</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1.5</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1161</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$44,292.15</w:t>
            </w:r>
            <w:r w:rsidRPr="00495ABB">
              <w:rPr>
                <w:rFonts w:eastAsia="Calibri" w:asciiTheme="majorHAnsi" w:hAnsiTheme="majorHAnsi" w:cstheme="majorHAnsi"/>
                <w:color w:val="000000"/>
                <w:sz w:val="16"/>
                <w:szCs w:val="16"/>
              </w:rPr>
              <w:t> </w:t>
            </w:r>
          </w:p>
        </w:tc>
      </w:tr>
      <w:tr w:rsidRPr="00495ABB" w:rsidR="00495ABB" w:rsidTr="00495ABB">
        <w:trPr>
          <w:trHeight w:val="285"/>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B</w:t>
            </w:r>
            <w:r w:rsidRPr="00495ABB">
              <w:rPr>
                <w:rFonts w:eastAsia="Calibri" w:asciiTheme="majorHAnsi" w:hAnsiTheme="majorHAnsi" w:cstheme="majorHAnsi"/>
                <w:sz w:val="16"/>
                <w:szCs w:val="16"/>
              </w:rPr>
              <w:t>aitfish permits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95</w:t>
            </w:r>
            <w:r w:rsidRPr="00495ABB">
              <w:rPr>
                <w:rFonts w:eastAsia="Calibri" w:asciiTheme="majorHAnsi" w:hAnsiTheme="majorHAnsi" w:cstheme="majorHAns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w:t>
            </w:r>
            <w:r w:rsidRPr="00495ABB">
              <w:rPr>
                <w:rFonts w:eastAsia="Calibri" w:asciiTheme="majorHAnsi" w:hAnsiTheme="majorHAnsi" w:cstheme="majorHAns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190</w:t>
            </w:r>
            <w:r w:rsidRPr="00495ABB">
              <w:rPr>
                <w:rFonts w:eastAsia="Calibri" w:asciiTheme="majorHAnsi" w:hAnsiTheme="majorHAnsi" w:cstheme="majorHAnsi"/>
                <w:color w:val="000000"/>
                <w:sz w:val="16"/>
                <w:szCs w:val="16"/>
              </w:rPr>
              <w:t> </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0.</w:t>
            </w:r>
            <w:r w:rsidRPr="00495ABB">
              <w:rPr>
                <w:rFonts w:eastAsia="Calibri" w:asciiTheme="majorHAnsi" w:hAnsiTheme="majorHAnsi" w:cstheme="majorHAnsi"/>
                <w:sz w:val="16"/>
                <w:szCs w:val="16"/>
              </w:rPr>
              <w:t>67</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127</w:t>
            </w:r>
            <w:r w:rsidRPr="00495ABB">
              <w:rPr>
                <w:rFonts w:eastAsia="Calibri" w:asciiTheme="majorHAnsi" w:hAnsiTheme="majorHAnsi" w:cstheme="majorHAnsi"/>
                <w:color w:val="000000"/>
                <w:sz w:val="16"/>
                <w:szCs w:val="16"/>
              </w:rPr>
              <w:t> </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P="00495ABB"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$4,845.05</w:t>
            </w:r>
            <w:r w:rsidRPr="00495ABB">
              <w:rPr>
                <w:rFonts w:eastAsia="Calibri" w:asciiTheme="majorHAnsi" w:hAnsiTheme="majorHAnsi" w:cstheme="majorHAnsi"/>
                <w:color w:val="000000"/>
                <w:sz w:val="16"/>
                <w:szCs w:val="16"/>
              </w:rPr>
              <w:t> </w:t>
            </w:r>
          </w:p>
        </w:tc>
      </w:tr>
      <w:tr w:rsidRPr="00495ABB" w:rsidR="00495ABB" w:rsidTr="00495ABB">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w:t>
            </w:r>
            <w:r w:rsidRPr="00495ABB">
              <w:rPr>
                <w:rFonts w:eastAsia="Calibri" w:asciiTheme="majorHAnsi" w:hAnsiTheme="majorHAnsi" w:cstheme="majorHAnsi"/>
                <w:sz w:val="16"/>
                <w:szCs w:val="16"/>
              </w:rPr>
              <w:t>Archeological research  permits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7</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3</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21</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13</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273</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$10,414.95</w:t>
            </w:r>
            <w:r w:rsidRPr="00495ABB">
              <w:rPr>
                <w:rFonts w:eastAsia="Calibri" w:asciiTheme="majorHAnsi" w:hAnsiTheme="majorHAnsi" w:cstheme="majorHAnsi"/>
                <w:color w:val="000000"/>
                <w:sz w:val="16"/>
                <w:szCs w:val="16"/>
              </w:rPr>
              <w:t> </w:t>
            </w:r>
          </w:p>
        </w:tc>
      </w:tr>
      <w:tr w:rsidRPr="00495ABB" w:rsidR="00495ABB" w:rsidTr="00495ABB">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w:t>
            </w:r>
            <w:r w:rsidRPr="00495ABB">
              <w:rPr>
                <w:rFonts w:eastAsia="Calibri" w:asciiTheme="majorHAnsi" w:hAnsiTheme="majorHAnsi" w:cstheme="majorHAnsi"/>
                <w:sz w:val="16"/>
                <w:szCs w:val="16"/>
              </w:rPr>
              <w:t>Special use permits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22</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3</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66</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8</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528</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$20,143.20</w:t>
            </w:r>
            <w:r w:rsidRPr="00495ABB">
              <w:rPr>
                <w:rFonts w:eastAsia="Calibri" w:asciiTheme="majorHAnsi" w:hAnsiTheme="majorHAnsi" w:cstheme="majorHAnsi"/>
                <w:color w:val="000000"/>
                <w:sz w:val="16"/>
                <w:szCs w:val="16"/>
              </w:rPr>
              <w:t> </w:t>
            </w:r>
          </w:p>
        </w:tc>
      </w:tr>
      <w:tr w:rsidRPr="00495ABB" w:rsidR="00495ABB" w:rsidTr="00495ABB">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Certifications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0.5</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0.5</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$19.08</w:t>
            </w:r>
            <w:r w:rsidRPr="00495ABB">
              <w:rPr>
                <w:rFonts w:eastAsia="Calibri" w:asciiTheme="majorHAnsi" w:hAnsiTheme="majorHAnsi" w:cstheme="majorHAnsi"/>
                <w:color w:val="000000"/>
                <w:sz w:val="16"/>
                <w:szCs w:val="16"/>
              </w:rPr>
              <w:t> </w:t>
            </w:r>
          </w:p>
        </w:tc>
      </w:tr>
      <w:tr w:rsidRPr="00495ABB" w:rsidR="00495ABB" w:rsidTr="00495ABB">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Permit amendments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7</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7</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0.5</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3.5</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$133.53</w:t>
            </w:r>
          </w:p>
        </w:tc>
      </w:tr>
      <w:tr w:rsidRPr="00495ABB" w:rsidR="00495ABB" w:rsidTr="00495ABB">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Tortugas North access permits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32</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96</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P="00593A76"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w:t>
            </w:r>
            <w:r w:rsidR="00593A76">
              <w:rPr>
                <w:rFonts w:eastAsia="Calibri" w:asciiTheme="majorHAnsi" w:hAnsiTheme="majorHAnsi" w:cstheme="majorHAnsi"/>
                <w:sz w:val="16"/>
                <w:szCs w:val="16"/>
              </w:rPr>
              <w:t>08</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8</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$305.20</w:t>
            </w:r>
          </w:p>
        </w:tc>
      </w:tr>
      <w:tr w:rsidRPr="00495ABB" w:rsidR="00495ABB" w:rsidTr="00495ABB">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Voluntary registrations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0.25</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0.25</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$9.54</w:t>
            </w:r>
          </w:p>
        </w:tc>
      </w:tr>
      <w:tr w:rsidRPr="00495ABB" w:rsidR="00495ABB" w:rsidTr="00495ABB">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Appeals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See regulations for individuals eligible to appeal permit decisions</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w:t>
            </w:r>
            <w:r w:rsidRPr="00495ABB">
              <w:rPr>
                <w:rFonts w:eastAsia="Calibri" w:asciiTheme="majorHAnsi" w:hAnsiTheme="majorHAnsi" w:cstheme="majorHAnsi"/>
                <w:color w:val="000000"/>
                <w:sz w:val="16"/>
                <w:szCs w:val="16"/>
              </w:rPr>
              <w:t> </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24</w:t>
            </w:r>
            <w:r w:rsidRPr="00495ABB">
              <w:rPr>
                <w:rFonts w:eastAsia="Calibri" w:asciiTheme="majorHAnsi" w:hAnsiTheme="majorHAnsi" w:cstheme="majorHAnsi"/>
                <w:color w:val="000000"/>
                <w:sz w:val="16"/>
                <w:szCs w:val="16"/>
              </w:rPr>
              <w:t> </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48</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$1,831.20</w:t>
            </w:r>
            <w:r w:rsidRPr="00495ABB">
              <w:rPr>
                <w:rFonts w:eastAsia="Calibri" w:asciiTheme="majorHAnsi" w:hAnsiTheme="majorHAnsi" w:cstheme="majorHAnsi"/>
                <w:color w:val="000000"/>
                <w:sz w:val="16"/>
                <w:szCs w:val="16"/>
              </w:rPr>
              <w:t> </w:t>
            </w:r>
          </w:p>
        </w:tc>
      </w:tr>
      <w:tr w:rsidR="00495ABB" w:rsidTr="00495ABB">
        <w:trPr>
          <w:trHeight w:val="411"/>
        </w:trPr>
        <w:tc>
          <w:tcPr>
            <w:tcW w:w="1905" w:type="dxa"/>
            <w:tcBorders>
              <w:top w:val="nil"/>
              <w:left w:val="single" w:color="000000" w:sz="8" w:space="0"/>
              <w:bottom w:val="single" w:color="000000" w:sz="8" w:space="0"/>
              <w:right w:val="single" w:color="000000" w:sz="8" w:space="0"/>
            </w:tcBorders>
            <w:shd w:val="clear" w:color="auto" w:fill="DDEBF7"/>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Totals</w:t>
            </w:r>
          </w:p>
        </w:tc>
        <w:tc>
          <w:tcPr>
            <w:tcW w:w="1710" w:type="dxa"/>
            <w:tcBorders>
              <w:top w:val="nil"/>
              <w:left w:val="nil"/>
              <w:bottom w:val="single" w:color="000000" w:sz="8" w:space="0"/>
              <w:right w:val="single" w:color="000000" w:sz="8" w:space="0"/>
            </w:tcBorders>
            <w:shd w:val="clear" w:color="auto" w:fill="000000"/>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530" w:type="dxa"/>
            <w:tcBorders>
              <w:top w:val="nil"/>
              <w:left w:val="nil"/>
              <w:bottom w:val="single" w:color="000000" w:sz="8" w:space="0"/>
              <w:right w:val="single" w:color="000000" w:sz="8" w:space="0"/>
            </w:tcBorders>
            <w:shd w:val="clear" w:color="auto" w:fill="000000"/>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000000"/>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080" w:type="dxa"/>
            <w:tcBorders>
              <w:top w:val="nil"/>
              <w:left w:val="nil"/>
              <w:bottom w:val="single" w:color="000000" w:sz="8" w:space="0"/>
              <w:right w:val="single" w:color="000000" w:sz="8" w:space="0"/>
            </w:tcBorders>
            <w:shd w:val="clear" w:color="auto" w:fill="DDEBF7"/>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1,158</w:t>
            </w:r>
          </w:p>
        </w:tc>
        <w:tc>
          <w:tcPr>
            <w:tcW w:w="900" w:type="dxa"/>
            <w:tcBorders>
              <w:top w:val="nil"/>
              <w:left w:val="nil"/>
              <w:bottom w:val="single" w:color="000000" w:sz="8" w:space="0"/>
              <w:right w:val="single" w:color="000000" w:sz="8" w:space="0"/>
            </w:tcBorders>
            <w:shd w:val="clear" w:color="auto" w:fill="000000"/>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DDEBF7"/>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2,</w:t>
            </w:r>
            <w:r>
              <w:rPr>
                <w:rFonts w:ascii="Calibri" w:hAnsi="Calibri" w:eastAsia="Calibri" w:cs="Calibri"/>
                <w:b/>
                <w:sz w:val="22"/>
                <w:szCs w:val="22"/>
              </w:rPr>
              <w:t>149.25</w:t>
            </w:r>
          </w:p>
        </w:tc>
        <w:tc>
          <w:tcPr>
            <w:tcW w:w="1620" w:type="dxa"/>
            <w:tcBorders>
              <w:top w:val="nil"/>
              <w:left w:val="nil"/>
              <w:bottom w:val="single" w:color="000000" w:sz="8" w:space="0"/>
              <w:right w:val="single" w:color="000000" w:sz="8" w:space="0"/>
            </w:tcBorders>
            <w:shd w:val="clear" w:color="auto" w:fill="000000"/>
            <w:vAlign w:val="bottom"/>
          </w:tcPr>
          <w:p w:rsidR="001F02CC" w:rsidRDefault="004F5B66">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2250" w:type="dxa"/>
            <w:tcBorders>
              <w:top w:val="nil"/>
              <w:left w:val="nil"/>
              <w:bottom w:val="single" w:color="000000" w:sz="8" w:space="0"/>
              <w:right w:val="single" w:color="000000" w:sz="8" w:space="0"/>
            </w:tcBorders>
            <w:shd w:val="clear" w:color="auto" w:fill="DDEBF7"/>
            <w:vAlign w:val="bottom"/>
          </w:tcPr>
          <w:p w:rsidR="001F02CC" w:rsidP="00495ABB" w:rsidRDefault="004F5B66">
            <w:pPr>
              <w:widowControl/>
              <w:ind w:right="331"/>
              <w:jc w:val="right"/>
              <w:rPr>
                <w:rFonts w:ascii="Calibri" w:hAnsi="Calibri" w:eastAsia="Calibri" w:cs="Calibri"/>
                <w:b/>
                <w:color w:val="000000"/>
                <w:sz w:val="22"/>
                <w:szCs w:val="22"/>
              </w:rPr>
            </w:pPr>
            <w:r>
              <w:rPr>
                <w:rFonts w:ascii="Calibri" w:hAnsi="Calibri" w:eastAsia="Calibri" w:cs="Calibri"/>
                <w:b/>
                <w:color w:val="000000"/>
                <w:sz w:val="22"/>
                <w:szCs w:val="22"/>
              </w:rPr>
              <w:t> $81,994</w:t>
            </w:r>
          </w:p>
        </w:tc>
      </w:tr>
    </w:tbl>
    <w:p w:rsidR="001F02CC" w:rsidRDefault="001F02CC">
      <w:pPr>
        <w:rPr>
          <w:b/>
          <w:sz w:val="22"/>
          <w:szCs w:val="22"/>
        </w:rPr>
      </w:pPr>
    </w:p>
    <w:p w:rsidR="001F02CC" w:rsidRDefault="001F02CC">
      <w:pPr>
        <w:rPr>
          <w:b/>
        </w:rPr>
      </w:pPr>
    </w:p>
    <w:p w:rsidR="00270A89" w:rsidRDefault="004F5B66">
      <w:pPr>
        <w:sectPr w:rsidR="00270A89" w:rsidSect="00270A89">
          <w:pgSz w:w="15840" w:h="12240" w:orient="landscape"/>
          <w:pgMar w:top="640" w:right="1080" w:bottom="1200" w:left="1080" w:header="0" w:footer="1014" w:gutter="0"/>
          <w:cols w:space="720"/>
          <w:docGrid w:linePitch="326"/>
        </w:sectPr>
      </w:pPr>
      <w:r>
        <w:t>Given that many of the permit applicants are from academic institutions, this information collection renewal uses the Bureau of Labor Statistics (BLS) Occupational Employment and Wages (May 2020) for “Life, Physical, and Social Science Occupations.” For this group, BLS estimated a mean hourly wage of $38.15 (</w:t>
      </w:r>
      <w:hyperlink r:id="rId17">
        <w:r>
          <w:rPr>
            <w:color w:val="1155CC"/>
            <w:u w:val="single"/>
          </w:rPr>
          <w:t>https://www.bls.gov/oes/current/oes190000.htm</w:t>
        </w:r>
      </w:hyperlink>
      <w:r>
        <w:t xml:space="preserve">).  </w:t>
      </w: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1F02CC" w:rsidRDefault="001F02CC">
      <w:pPr>
        <w:widowControl/>
        <w:spacing w:after="200"/>
      </w:pPr>
    </w:p>
    <w:p w:rsidR="001F02CC" w:rsidRDefault="004F5B66">
      <w:pPr>
        <w:widowControl/>
        <w:spacing w:after="200"/>
        <w:rPr>
          <w:b/>
        </w:rPr>
      </w:pPr>
      <w:r>
        <w:t xml:space="preserve">There are no capital/start-up or ongoing operation/maintenance costs associated with this information collection. </w:t>
      </w:r>
      <w:r w:rsidR="003404DE">
        <w:t xml:space="preserve"> The submission of information under this collection is primarily via email, phone, or fax and does not result in additional costs to the public.</w:t>
      </w:r>
    </w:p>
    <w:p w:rsidR="001F02CC" w:rsidRDefault="001F02CC">
      <w:pPr>
        <w:pBdr>
          <w:top w:val="nil"/>
          <w:left w:val="nil"/>
          <w:bottom w:val="nil"/>
          <w:right w:val="nil"/>
          <w:between w:val="nil"/>
        </w:pBdr>
        <w:spacing w:before="7"/>
        <w:rPr>
          <w:b/>
          <w:color w:val="000000"/>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F02CC" w:rsidRDefault="001F02CC">
      <w:pPr>
        <w:widowControl/>
        <w:spacing w:after="200"/>
        <w:rPr>
          <w:color w:val="2F5496"/>
        </w:rPr>
      </w:pPr>
    </w:p>
    <w:p w:rsidR="001F02CC" w:rsidRDefault="004F5B66">
      <w:pPr>
        <w:widowControl/>
        <w:spacing w:after="200"/>
        <w:rPr>
          <w:b/>
          <w:color w:val="000000"/>
        </w:rPr>
      </w:pPr>
      <w:r>
        <w:t>The cost to the Federal government is calculated and provided in the table below.</w:t>
      </w:r>
    </w:p>
    <w:tbl>
      <w:tblPr>
        <w:tblStyle w:val="a0"/>
        <w:tblW w:w="8245" w:type="dxa"/>
        <w:tblInd w:w="-25" w:type="dxa"/>
        <w:tblLayout w:type="fixed"/>
        <w:tblLook w:val="0400" w:firstRow="0" w:lastRow="0" w:firstColumn="0" w:lastColumn="0" w:noHBand="0" w:noVBand="1"/>
      </w:tblPr>
      <w:tblGrid>
        <w:gridCol w:w="2280"/>
        <w:gridCol w:w="1120"/>
        <w:gridCol w:w="1320"/>
        <w:gridCol w:w="945"/>
        <w:gridCol w:w="1280"/>
        <w:gridCol w:w="1300"/>
      </w:tblGrid>
      <w:tr w:rsidR="001F02CC">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1F02CC" w:rsidRDefault="004F5B6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1F02CC" w:rsidRDefault="004F5B6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320" w:type="dxa"/>
            <w:tcBorders>
              <w:top w:val="single" w:color="000000" w:sz="8" w:space="0"/>
              <w:left w:val="nil"/>
              <w:bottom w:val="nil"/>
              <w:right w:val="single" w:color="000000" w:sz="8" w:space="0"/>
            </w:tcBorders>
            <w:shd w:val="clear" w:color="auto" w:fill="BDD7EE"/>
            <w:vAlign w:val="center"/>
          </w:tcPr>
          <w:p w:rsidR="001F02CC" w:rsidRDefault="004F5B6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945" w:type="dxa"/>
            <w:tcBorders>
              <w:top w:val="single" w:color="000000" w:sz="8" w:space="0"/>
              <w:left w:val="nil"/>
              <w:bottom w:val="nil"/>
              <w:right w:val="single" w:color="000000" w:sz="8" w:space="0"/>
            </w:tcBorders>
            <w:shd w:val="clear" w:color="auto" w:fill="BDD7EE"/>
            <w:vAlign w:val="center"/>
          </w:tcPr>
          <w:p w:rsidR="001F02CC" w:rsidRDefault="004F5B6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1F02CC" w:rsidRDefault="004F5B6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1F02CC" w:rsidRDefault="004F5B6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1F02CC">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sz w:val="16"/>
                <w:szCs w:val="16"/>
              </w:rPr>
              <w:t>Superintendent permit issuance</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ZA-5</w:t>
            </w:r>
          </w:p>
        </w:tc>
        <w:tc>
          <w:tcPr>
            <w:tcW w:w="1320" w:type="dxa"/>
            <w:tcBorders>
              <w:top w:val="single" w:color="000000" w:sz="4" w:space="0"/>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$240,000 </w:t>
            </w:r>
            <w:r>
              <w:rPr>
                <w:rFonts w:ascii="Calibri" w:hAnsi="Calibri" w:eastAsia="Calibri" w:cs="Calibri"/>
                <w:sz w:val="16"/>
                <w:szCs w:val="16"/>
              </w:rPr>
              <w:t xml:space="preserve">x </w:t>
            </w:r>
            <w:r>
              <w:rPr>
                <w:rFonts w:ascii="Calibri" w:hAnsi="Calibri" w:eastAsia="Calibri" w:cs="Calibri"/>
                <w:color w:val="000000"/>
                <w:sz w:val="16"/>
                <w:szCs w:val="16"/>
              </w:rPr>
              <w:t>13</w:t>
            </w:r>
          </w:p>
        </w:tc>
        <w:tc>
          <w:tcPr>
            <w:tcW w:w="945" w:type="dxa"/>
            <w:tcBorders>
              <w:top w:val="single" w:color="000000" w:sz="4" w:space="0"/>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1%</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1F02CC" w:rsidP="00B25F57"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w:t>
            </w:r>
            <w:r w:rsidR="00B25F57">
              <w:rPr>
                <w:rFonts w:ascii="Calibri" w:hAnsi="Calibri" w:eastAsia="Calibri" w:cs="Calibri"/>
                <w:sz w:val="16"/>
                <w:szCs w:val="16"/>
              </w:rPr>
              <w:t>31,200</w:t>
            </w:r>
          </w:p>
        </w:tc>
      </w:tr>
      <w:tr w:rsidR="001F02CC">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sz w:val="16"/>
                <w:szCs w:val="16"/>
              </w:rPr>
              <w:t>Permit coordination</w:t>
            </w:r>
          </w:p>
        </w:tc>
        <w:tc>
          <w:tcPr>
            <w:tcW w:w="1120" w:type="dxa"/>
            <w:tcBorders>
              <w:top w:val="nil"/>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ZA-3</w:t>
            </w:r>
          </w:p>
        </w:tc>
        <w:tc>
          <w:tcPr>
            <w:tcW w:w="1320" w:type="dxa"/>
            <w:tcBorders>
              <w:top w:val="nil"/>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$153,000 x 18</w:t>
            </w:r>
          </w:p>
        </w:tc>
        <w:tc>
          <w:tcPr>
            <w:tcW w:w="945" w:type="dxa"/>
            <w:tcBorders>
              <w:top w:val="nil"/>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30</w:t>
            </w:r>
            <w:r>
              <w:rPr>
                <w:rFonts w:ascii="Calibri" w:hAnsi="Calibri" w:eastAsia="Calibri" w:cs="Calibri"/>
                <w:color w:val="000000"/>
                <w:sz w:val="16"/>
                <w:szCs w:val="16"/>
              </w:rPr>
              <w:t>%</w:t>
            </w:r>
          </w:p>
        </w:tc>
        <w:tc>
          <w:tcPr>
            <w:tcW w:w="1280" w:type="dxa"/>
            <w:tcBorders>
              <w:top w:val="nil"/>
              <w:left w:val="nil"/>
              <w:bottom w:val="single" w:color="000000" w:sz="4" w:space="0"/>
              <w:right w:val="single" w:color="000000" w:sz="4" w:space="0"/>
            </w:tcBorders>
            <w:shd w:val="clear" w:color="auto" w:fill="808080"/>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1F02CC" w:rsidP="00B25F57"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25F57">
              <w:rPr>
                <w:rFonts w:ascii="Calibri" w:hAnsi="Calibri" w:eastAsia="Calibri" w:cs="Calibri"/>
                <w:sz w:val="16"/>
                <w:szCs w:val="16"/>
              </w:rPr>
              <w:t>826,200</w:t>
            </w:r>
          </w:p>
        </w:tc>
      </w:tr>
      <w:tr w:rsidR="001F02CC">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5" w:type="dxa"/>
            <w:tcBorders>
              <w:top w:val="nil"/>
              <w:left w:val="nil"/>
              <w:bottom w:val="single" w:color="000000" w:sz="4" w:space="0"/>
              <w:right w:val="single" w:color="000000" w:sz="4"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1F02CC">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1F02CC" w:rsidRDefault="004F5B66">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single" w:color="000000" w:sz="8" w:space="0"/>
              <w:left w:val="nil"/>
              <w:bottom w:val="single" w:color="000000" w:sz="8" w:space="0"/>
              <w:right w:val="single" w:color="000000" w:sz="8" w:space="0"/>
            </w:tcBorders>
            <w:shd w:val="clear" w:color="auto" w:fill="808080"/>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5" w:type="dxa"/>
            <w:tcBorders>
              <w:top w:val="single" w:color="000000" w:sz="8" w:space="0"/>
              <w:left w:val="nil"/>
              <w:bottom w:val="single" w:color="000000" w:sz="8" w:space="0"/>
              <w:right w:val="single" w:color="000000" w:sz="8" w:space="0"/>
            </w:tcBorders>
            <w:shd w:val="clear" w:color="auto" w:fill="757171"/>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1F02CC"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1F02CC" w:rsidP="00B25F57" w:rsidRDefault="004F5B66">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 $</w:t>
            </w:r>
            <w:r w:rsidR="00B25F57">
              <w:rPr>
                <w:rFonts w:ascii="Calibri" w:hAnsi="Calibri" w:eastAsia="Calibri" w:cs="Calibri"/>
                <w:sz w:val="16"/>
                <w:szCs w:val="16"/>
              </w:rPr>
              <w:t>857,400</w:t>
            </w:r>
          </w:p>
        </w:tc>
      </w:tr>
    </w:tbl>
    <w:p w:rsidR="001F02CC" w:rsidRDefault="001F02CC">
      <w:pPr>
        <w:pBdr>
          <w:top w:val="nil"/>
          <w:left w:val="nil"/>
          <w:bottom w:val="nil"/>
          <w:right w:val="nil"/>
          <w:between w:val="nil"/>
        </w:pBdr>
        <w:spacing w:before="9" w:after="1"/>
        <w:rPr>
          <w:b/>
        </w:rPr>
      </w:pPr>
    </w:p>
    <w:p w:rsidR="001F02CC" w:rsidRDefault="004F5B66">
      <w:pPr>
        <w:pBdr>
          <w:top w:val="nil"/>
          <w:left w:val="nil"/>
          <w:bottom w:val="nil"/>
          <w:right w:val="nil"/>
          <w:between w:val="nil"/>
        </w:pBdr>
        <w:spacing w:before="9" w:after="1"/>
      </w:pPr>
      <w:r>
        <w:t>Permit issuance authority is delegated to the Sanctuary Superintendent, which is approximately a ZA-5 Band 3 position. Using the US Locality CAPS Standard Pay Table (Rest of U.S.), the position is estimated to have a $160,000 salary rate. The loaded annual salary is estimated to be 1.5 times the base salary, or $240,000. Across the system, superintendents devote about 1% effort to issuing permits. $240,000 loaded salary multiplied by 1% equals $2,400 cost per superintendent. There are thirteen superintendents that may be involved in issuing permits. Therefore the annual total cost associated with their involvement is $2,400 multiplied by thirteen, or $31,200.</w:t>
      </w:r>
    </w:p>
    <w:p w:rsidR="001F02CC" w:rsidRDefault="001F02CC">
      <w:pPr>
        <w:pBdr>
          <w:top w:val="nil"/>
          <w:left w:val="nil"/>
          <w:bottom w:val="nil"/>
          <w:right w:val="nil"/>
          <w:between w:val="nil"/>
        </w:pBdr>
        <w:spacing w:before="9" w:after="1"/>
      </w:pPr>
    </w:p>
    <w:p w:rsidR="001F02CC" w:rsidRDefault="004F5B66">
      <w:pPr>
        <w:pBdr>
          <w:top w:val="nil"/>
          <w:left w:val="nil"/>
          <w:bottom w:val="nil"/>
          <w:right w:val="nil"/>
          <w:between w:val="nil"/>
        </w:pBdr>
        <w:spacing w:before="9" w:after="1"/>
        <w:sectPr w:rsidR="001F02CC">
          <w:pgSz w:w="12240" w:h="15840"/>
          <w:pgMar w:top="640" w:right="1080" w:bottom="1200" w:left="1080" w:header="0" w:footer="1014" w:gutter="0"/>
          <w:cols w:space="720"/>
        </w:sectPr>
      </w:pPr>
      <w:r>
        <w:t xml:space="preserve">Site permit coordinators process the permit applications, evaluate the permit review criteria, conduct any necessary environmental compliance or consultations, and draft the final permit and decision documents. Permit coordinators are approximately a ZA-3 step 04 position. Using the US Locality CAPS Standard Pay Table (Rest of U.S.), the position is estimated to have a $102,000 salary rate. The loaded annual salary is estimated to be 1.5 times the base salary, or $153,000. Across the system, permit coordinators devote about </w:t>
      </w:r>
      <w:r w:rsidR="00B25F57">
        <w:t>3</w:t>
      </w:r>
      <w:r>
        <w:t>0% effort to processing permits. $153,000 loaded salary multiplied by 30% equals $45,900 cost per permit coordinator. There are eighteen permit coordinators involved in processing permits. Therefore the annual total cost associated with their involvement is $45,900 multiplied by 18, or $826,200.</w:t>
      </w:r>
    </w:p>
    <w:p w:rsidR="001F02CC" w:rsidRDefault="001F02CC">
      <w:pPr>
        <w:pBdr>
          <w:top w:val="nil"/>
          <w:left w:val="nil"/>
          <w:bottom w:val="nil"/>
          <w:right w:val="nil"/>
          <w:between w:val="nil"/>
        </w:pBdr>
        <w:spacing w:before="9" w:after="1"/>
        <w:rPr>
          <w:b/>
          <w:color w:val="000000"/>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F02CC" w:rsidRDefault="001F02CC">
      <w:pPr>
        <w:pBdr>
          <w:top w:val="nil"/>
          <w:left w:val="nil"/>
          <w:bottom w:val="nil"/>
          <w:right w:val="nil"/>
          <w:between w:val="nil"/>
        </w:pBdr>
        <w:tabs>
          <w:tab w:val="left" w:pos="360"/>
        </w:tabs>
        <w:spacing w:before="80"/>
        <w:rPr>
          <w:b/>
        </w:rPr>
      </w:pPr>
    </w:p>
    <w:p w:rsidR="001F02CC" w:rsidRDefault="004F5B66">
      <w:pPr>
        <w:widowControl/>
        <w:spacing w:after="200"/>
      </w:pPr>
      <w:r>
        <w:t>The large change in the calculation of cost to the federal government results from guidance issued by OMB on the method to use to estimate cost. The cost estimate for this information collection was previously only based on operational expenses (e.g., printing) and underestimated the value of the time of staff who are involved in reviewing and issuing ONMS permits.</w:t>
      </w:r>
    </w:p>
    <w:p w:rsidR="001F02CC" w:rsidRDefault="001F02CC">
      <w:pPr>
        <w:pBdr>
          <w:top w:val="nil"/>
          <w:left w:val="nil"/>
          <w:bottom w:val="nil"/>
          <w:right w:val="nil"/>
          <w:between w:val="nil"/>
        </w:pBdr>
        <w:spacing w:before="7"/>
        <w:rPr>
          <w:b/>
          <w:color w:val="000000"/>
        </w:rPr>
      </w:pPr>
    </w:p>
    <w:tbl>
      <w:tblPr>
        <w:tblW w:w="12500" w:type="dxa"/>
        <w:tblLook w:val="04A0" w:firstRow="1" w:lastRow="0" w:firstColumn="1" w:lastColumn="0" w:noHBand="0" w:noVBand="1"/>
      </w:tblPr>
      <w:tblGrid>
        <w:gridCol w:w="2330"/>
        <w:gridCol w:w="990"/>
        <w:gridCol w:w="1040"/>
        <w:gridCol w:w="1160"/>
        <w:gridCol w:w="1140"/>
        <w:gridCol w:w="1180"/>
        <w:gridCol w:w="1240"/>
        <w:gridCol w:w="3420"/>
      </w:tblGrid>
      <w:tr w:rsidRPr="00F5594B" w:rsidR="00F5594B" w:rsidTr="00F5594B">
        <w:trPr>
          <w:trHeight w:val="315"/>
        </w:trPr>
        <w:tc>
          <w:tcPr>
            <w:tcW w:w="233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Information Collection</w:t>
            </w:r>
          </w:p>
        </w:tc>
        <w:tc>
          <w:tcPr>
            <w:tcW w:w="203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Burden Hours</w:t>
            </w:r>
          </w:p>
        </w:tc>
        <w:tc>
          <w:tcPr>
            <w:tcW w:w="342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Reason for change or adjustment</w:t>
            </w:r>
          </w:p>
        </w:tc>
      </w:tr>
      <w:tr w:rsidRPr="00F5594B" w:rsidR="00F5594B" w:rsidTr="00F5594B">
        <w:trPr>
          <w:trHeight w:val="690"/>
        </w:trPr>
        <w:tc>
          <w:tcPr>
            <w:tcW w:w="2330" w:type="dxa"/>
            <w:vMerge/>
            <w:tcBorders>
              <w:top w:val="single" w:color="auto" w:sz="8" w:space="0"/>
              <w:left w:val="single" w:color="auto" w:sz="8" w:space="0"/>
              <w:bottom w:val="nil"/>
              <w:right w:val="single" w:color="auto" w:sz="8" w:space="0"/>
            </w:tcBorders>
            <w:vAlign w:val="center"/>
            <w:hideMark/>
          </w:tcPr>
          <w:p w:rsidRPr="00F5594B" w:rsidR="00F5594B" w:rsidP="00F5594B" w:rsidRDefault="00F5594B">
            <w:pPr>
              <w:widowControl/>
              <w:rPr>
                <w:rFonts w:ascii="Calibri" w:hAnsi="Calibri" w:cs="Calibri"/>
                <w:b/>
                <w:bCs/>
                <w:color w:val="000000"/>
                <w:sz w:val="16"/>
                <w:szCs w:val="16"/>
              </w:rPr>
            </w:pPr>
          </w:p>
        </w:tc>
        <w:tc>
          <w:tcPr>
            <w:tcW w:w="990" w:type="dxa"/>
            <w:tcBorders>
              <w:top w:val="nil"/>
              <w:left w:val="nil"/>
              <w:bottom w:val="nil"/>
              <w:right w:val="dashed"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Current Renewal / Revision</w:t>
            </w:r>
          </w:p>
        </w:tc>
        <w:tc>
          <w:tcPr>
            <w:tcW w:w="1040" w:type="dxa"/>
            <w:tcBorders>
              <w:top w:val="nil"/>
              <w:left w:val="nil"/>
              <w:bottom w:val="nil"/>
              <w:right w:val="single"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Previous Renewal / Revision</w:t>
            </w:r>
          </w:p>
        </w:tc>
        <w:tc>
          <w:tcPr>
            <w:tcW w:w="1160" w:type="dxa"/>
            <w:tcBorders>
              <w:top w:val="nil"/>
              <w:left w:val="nil"/>
              <w:bottom w:val="nil"/>
              <w:right w:val="dashed"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Current Renewal / Revision</w:t>
            </w:r>
          </w:p>
        </w:tc>
        <w:tc>
          <w:tcPr>
            <w:tcW w:w="1140" w:type="dxa"/>
            <w:tcBorders>
              <w:top w:val="nil"/>
              <w:left w:val="nil"/>
              <w:bottom w:val="nil"/>
              <w:right w:val="single"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Previous Renewal / Revision</w:t>
            </w:r>
          </w:p>
        </w:tc>
        <w:tc>
          <w:tcPr>
            <w:tcW w:w="1180" w:type="dxa"/>
            <w:tcBorders>
              <w:top w:val="nil"/>
              <w:left w:val="nil"/>
              <w:bottom w:val="nil"/>
              <w:right w:val="dashed"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Current Renewal / Revision</w:t>
            </w:r>
          </w:p>
        </w:tc>
        <w:tc>
          <w:tcPr>
            <w:tcW w:w="1240" w:type="dxa"/>
            <w:tcBorders>
              <w:top w:val="nil"/>
              <w:left w:val="nil"/>
              <w:bottom w:val="nil"/>
              <w:right w:val="single"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Previous Renewal / Revision</w:t>
            </w:r>
          </w:p>
        </w:tc>
        <w:tc>
          <w:tcPr>
            <w:tcW w:w="3420" w:type="dxa"/>
            <w:vMerge/>
            <w:tcBorders>
              <w:top w:val="single" w:color="auto" w:sz="8" w:space="0"/>
              <w:left w:val="single" w:color="auto" w:sz="8" w:space="0"/>
              <w:bottom w:val="nil"/>
              <w:right w:val="single" w:color="auto" w:sz="8" w:space="0"/>
            </w:tcBorders>
            <w:vAlign w:val="center"/>
            <w:hideMark/>
          </w:tcPr>
          <w:p w:rsidRPr="00F5594B" w:rsidR="00F5594B" w:rsidP="00F5594B" w:rsidRDefault="00F5594B">
            <w:pPr>
              <w:widowControl/>
              <w:rPr>
                <w:rFonts w:ascii="Calibri" w:hAnsi="Calibri" w:cs="Calibri"/>
                <w:b/>
                <w:bCs/>
                <w:color w:val="000000"/>
                <w:sz w:val="16"/>
                <w:szCs w:val="16"/>
              </w:rPr>
            </w:pPr>
          </w:p>
        </w:tc>
      </w:tr>
      <w:tr w:rsidRPr="00F5594B" w:rsidR="00F5594B" w:rsidTr="00F5594B">
        <w:trPr>
          <w:trHeight w:val="598"/>
        </w:trPr>
        <w:tc>
          <w:tcPr>
            <w:tcW w:w="233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General Permits &amp; Reports</w:t>
            </w:r>
          </w:p>
        </w:tc>
        <w:tc>
          <w:tcPr>
            <w:tcW w:w="99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258</w:t>
            </w:r>
          </w:p>
        </w:tc>
        <w:tc>
          <w:tcPr>
            <w:tcW w:w="1040" w:type="dxa"/>
            <w:tcBorders>
              <w:top w:val="single" w:color="auto" w:sz="4" w:space="0"/>
              <w:left w:val="nil"/>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248</w:t>
            </w:r>
          </w:p>
        </w:tc>
        <w:tc>
          <w:tcPr>
            <w:tcW w:w="116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774</w:t>
            </w:r>
          </w:p>
        </w:tc>
        <w:tc>
          <w:tcPr>
            <w:tcW w:w="1140" w:type="dxa"/>
            <w:tcBorders>
              <w:top w:val="single" w:color="auto" w:sz="4" w:space="0"/>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744</w:t>
            </w:r>
          </w:p>
        </w:tc>
        <w:tc>
          <w:tcPr>
            <w:tcW w:w="1180" w:type="dxa"/>
            <w:tcBorders>
              <w:top w:val="single" w:color="auto" w:sz="4" w:space="0"/>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1161</w:t>
            </w:r>
          </w:p>
        </w:tc>
        <w:tc>
          <w:tcPr>
            <w:tcW w:w="1240" w:type="dxa"/>
            <w:tcBorders>
              <w:top w:val="single" w:color="auto" w:sz="4" w:space="0"/>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1116</w:t>
            </w:r>
          </w:p>
        </w:tc>
        <w:tc>
          <w:tcPr>
            <w:tcW w:w="3420" w:type="dxa"/>
            <w:tcBorders>
              <w:top w:val="single" w:color="auto" w:sz="4" w:space="0"/>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ind w:firstLine="160" w:firstLineChars="100"/>
              <w:rPr>
                <w:rFonts w:ascii="Calibri" w:hAnsi="Calibri" w:cs="Calibri"/>
                <w:b/>
                <w:bCs/>
                <w:color w:val="000000"/>
                <w:sz w:val="16"/>
                <w:szCs w:val="16"/>
              </w:rPr>
            </w:pPr>
            <w:r w:rsidRPr="00F5594B">
              <w:rPr>
                <w:rFonts w:ascii="Calibri" w:hAnsi="Calibri" w:cs="Calibri"/>
                <w:b/>
                <w:bCs/>
                <w:color w:val="000000"/>
                <w:sz w:val="16"/>
                <w:szCs w:val="16"/>
              </w:rPr>
              <w:t>Increase due to the addition of two new sanctuaries since the previous renewal.</w:t>
            </w:r>
          </w:p>
        </w:tc>
      </w:tr>
      <w:tr w:rsidRPr="00F5594B" w:rsidR="00F5594B" w:rsidTr="00F5594B">
        <w:trPr>
          <w:trHeight w:val="315"/>
        </w:trPr>
        <w:tc>
          <w:tcPr>
            <w:tcW w:w="2330"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Special Use Permits</w:t>
            </w:r>
          </w:p>
        </w:tc>
        <w:tc>
          <w:tcPr>
            <w:tcW w:w="99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22</w:t>
            </w:r>
          </w:p>
        </w:tc>
        <w:tc>
          <w:tcPr>
            <w:tcW w:w="1040" w:type="dxa"/>
            <w:tcBorders>
              <w:top w:val="nil"/>
              <w:left w:val="nil"/>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22</w:t>
            </w:r>
          </w:p>
        </w:tc>
        <w:tc>
          <w:tcPr>
            <w:tcW w:w="116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66</w:t>
            </w:r>
          </w:p>
        </w:tc>
        <w:tc>
          <w:tcPr>
            <w:tcW w:w="114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66</w:t>
            </w:r>
          </w:p>
        </w:tc>
        <w:tc>
          <w:tcPr>
            <w:tcW w:w="1180" w:type="dxa"/>
            <w:tcBorders>
              <w:top w:val="nil"/>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528</w:t>
            </w:r>
          </w:p>
        </w:tc>
        <w:tc>
          <w:tcPr>
            <w:tcW w:w="124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528</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373"/>
        </w:trPr>
        <w:tc>
          <w:tcPr>
            <w:tcW w:w="2330"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Historical Resources Permits</w:t>
            </w:r>
          </w:p>
        </w:tc>
        <w:tc>
          <w:tcPr>
            <w:tcW w:w="99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040" w:type="dxa"/>
            <w:tcBorders>
              <w:top w:val="nil"/>
              <w:left w:val="nil"/>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6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21</w:t>
            </w:r>
          </w:p>
        </w:tc>
        <w:tc>
          <w:tcPr>
            <w:tcW w:w="114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21</w:t>
            </w:r>
          </w:p>
        </w:tc>
        <w:tc>
          <w:tcPr>
            <w:tcW w:w="1180" w:type="dxa"/>
            <w:tcBorders>
              <w:top w:val="nil"/>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273</w:t>
            </w:r>
          </w:p>
        </w:tc>
        <w:tc>
          <w:tcPr>
            <w:tcW w:w="124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273</w:t>
            </w:r>
          </w:p>
        </w:tc>
        <w:tc>
          <w:tcPr>
            <w:tcW w:w="3420" w:type="dxa"/>
            <w:tcBorders>
              <w:top w:val="nil"/>
              <w:left w:val="single" w:color="auto" w:sz="8" w:space="0"/>
              <w:bottom w:val="nil"/>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1057"/>
        </w:trPr>
        <w:tc>
          <w:tcPr>
            <w:tcW w:w="2330"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Baitfish</w:t>
            </w:r>
          </w:p>
        </w:tc>
        <w:tc>
          <w:tcPr>
            <w:tcW w:w="99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95</w:t>
            </w:r>
          </w:p>
        </w:tc>
        <w:tc>
          <w:tcPr>
            <w:tcW w:w="1040" w:type="dxa"/>
            <w:tcBorders>
              <w:top w:val="nil"/>
              <w:left w:val="nil"/>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95</w:t>
            </w:r>
          </w:p>
        </w:tc>
        <w:tc>
          <w:tcPr>
            <w:tcW w:w="116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190</w:t>
            </w:r>
          </w:p>
        </w:tc>
        <w:tc>
          <w:tcPr>
            <w:tcW w:w="114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190</w:t>
            </w:r>
          </w:p>
        </w:tc>
        <w:tc>
          <w:tcPr>
            <w:tcW w:w="1180" w:type="dxa"/>
            <w:tcBorders>
              <w:top w:val="nil"/>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127</w:t>
            </w:r>
          </w:p>
        </w:tc>
        <w:tc>
          <w:tcPr>
            <w:tcW w:w="124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48</w:t>
            </w:r>
          </w:p>
        </w:tc>
        <w:tc>
          <w:tcPr>
            <w:tcW w:w="34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ind w:firstLine="160" w:firstLineChars="100"/>
              <w:rPr>
                <w:rFonts w:ascii="Calibri" w:hAnsi="Calibri" w:cs="Calibri"/>
                <w:b/>
                <w:bCs/>
                <w:color w:val="000000"/>
                <w:sz w:val="16"/>
                <w:szCs w:val="16"/>
              </w:rPr>
            </w:pPr>
            <w:r>
              <w:rPr>
                <w:rFonts w:ascii="Calibri" w:hAnsi="Calibri" w:cs="Calibri"/>
                <w:b/>
                <w:bCs/>
                <w:color w:val="000000"/>
                <w:sz w:val="16"/>
                <w:szCs w:val="16"/>
              </w:rPr>
              <w:t>C</w:t>
            </w:r>
            <w:r w:rsidRPr="00F5594B">
              <w:rPr>
                <w:rFonts w:ascii="Calibri" w:hAnsi="Calibri" w:cs="Calibri"/>
                <w:b/>
                <w:bCs/>
                <w:color w:val="000000"/>
                <w:sz w:val="16"/>
                <w:szCs w:val="16"/>
              </w:rPr>
              <w:t xml:space="preserve">orrection </w:t>
            </w:r>
            <w:r>
              <w:rPr>
                <w:rFonts w:ascii="Calibri" w:hAnsi="Calibri" w:cs="Calibri"/>
                <w:b/>
                <w:bCs/>
                <w:color w:val="000000"/>
                <w:sz w:val="16"/>
                <w:szCs w:val="16"/>
              </w:rPr>
              <w:t xml:space="preserve">of </w:t>
            </w:r>
            <w:r w:rsidRPr="00F5594B">
              <w:rPr>
                <w:rFonts w:ascii="Calibri" w:hAnsi="Calibri" w:cs="Calibri"/>
                <w:b/>
                <w:bCs/>
                <w:color w:val="000000"/>
                <w:sz w:val="16"/>
                <w:szCs w:val="16"/>
              </w:rPr>
              <w:t>a mathematical error: the time to complete the log was inadvertently left off of the calculation of the total annual burden hours in the previous renewal.</w:t>
            </w:r>
          </w:p>
        </w:tc>
      </w:tr>
      <w:tr w:rsidRPr="00F5594B" w:rsidR="00F5594B" w:rsidTr="00F5594B">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Permit Amendments</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3.5</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4</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Certification</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0.5</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Voluntary Registration</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0.25</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Appeals</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48</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48</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Tortugas Access</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32</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32</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96</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96</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8</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8</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trPr>
          <w:trHeight w:val="733"/>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Lionfish Removal</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141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282</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71</w:t>
            </w:r>
          </w:p>
        </w:tc>
        <w:tc>
          <w:tcPr>
            <w:tcW w:w="3420" w:type="dxa"/>
            <w:tcBorders>
              <w:top w:val="nil"/>
              <w:left w:val="single" w:color="auto" w:sz="8" w:space="0"/>
              <w:bottom w:val="nil"/>
              <w:right w:val="single" w:color="auto" w:sz="8" w:space="0"/>
            </w:tcBorders>
            <w:shd w:val="clear" w:color="auto" w:fill="auto"/>
            <w:vAlign w:val="center"/>
            <w:hideMark/>
          </w:tcPr>
          <w:p w:rsidRPr="00F5594B" w:rsidR="00F5594B" w:rsidP="00F5594B" w:rsidRDefault="00F5594B">
            <w:pPr>
              <w:widowControl/>
              <w:ind w:firstLine="160" w:firstLineChars="100"/>
              <w:rPr>
                <w:rFonts w:ascii="Calibri" w:hAnsi="Calibri" w:cs="Calibri"/>
                <w:b/>
                <w:bCs/>
                <w:color w:val="000000"/>
                <w:sz w:val="16"/>
                <w:szCs w:val="16"/>
              </w:rPr>
            </w:pPr>
            <w:r w:rsidRPr="00F5594B">
              <w:rPr>
                <w:rFonts w:ascii="Calibri" w:hAnsi="Calibri" w:cs="Calibri"/>
                <w:b/>
                <w:bCs/>
                <w:color w:val="000000"/>
                <w:sz w:val="16"/>
                <w:szCs w:val="16"/>
              </w:rPr>
              <w:t>This collection is removed as this type of permit is no longer issued.</w:t>
            </w:r>
          </w:p>
        </w:tc>
      </w:tr>
      <w:tr w:rsidRPr="00F5594B" w:rsidR="00F5594B" w:rsidTr="00F5594B">
        <w:trPr>
          <w:trHeight w:val="465"/>
        </w:trPr>
        <w:tc>
          <w:tcPr>
            <w:tcW w:w="2330" w:type="dxa"/>
            <w:tcBorders>
              <w:top w:val="nil"/>
              <w:left w:val="single" w:color="auto" w:sz="8" w:space="0"/>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Total for Collection</w:t>
            </w:r>
          </w:p>
        </w:tc>
        <w:tc>
          <w:tcPr>
            <w:tcW w:w="990" w:type="dxa"/>
            <w:tcBorders>
              <w:top w:val="nil"/>
              <w:left w:val="nil"/>
              <w:bottom w:val="nil"/>
              <w:right w:val="dashed"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424</w:t>
            </w:r>
          </w:p>
        </w:tc>
        <w:tc>
          <w:tcPr>
            <w:tcW w:w="1040" w:type="dxa"/>
            <w:tcBorders>
              <w:top w:val="nil"/>
              <w:left w:val="nil"/>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555</w:t>
            </w:r>
          </w:p>
        </w:tc>
        <w:tc>
          <w:tcPr>
            <w:tcW w:w="1160" w:type="dxa"/>
            <w:tcBorders>
              <w:top w:val="nil"/>
              <w:left w:val="nil"/>
              <w:bottom w:val="nil"/>
              <w:right w:val="dashed"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1158</w:t>
            </w:r>
          </w:p>
        </w:tc>
        <w:tc>
          <w:tcPr>
            <w:tcW w:w="1140" w:type="dxa"/>
            <w:tcBorders>
              <w:top w:val="nil"/>
              <w:left w:val="nil"/>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1410</w:t>
            </w:r>
          </w:p>
        </w:tc>
        <w:tc>
          <w:tcPr>
            <w:tcW w:w="1180" w:type="dxa"/>
            <w:tcBorders>
              <w:top w:val="nil"/>
              <w:left w:val="nil"/>
              <w:bottom w:val="nil"/>
              <w:right w:val="dashed"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2149.25</w:t>
            </w:r>
          </w:p>
        </w:tc>
        <w:tc>
          <w:tcPr>
            <w:tcW w:w="1240" w:type="dxa"/>
            <w:tcBorders>
              <w:top w:val="nil"/>
              <w:left w:val="nil"/>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2098</w:t>
            </w:r>
          </w:p>
        </w:tc>
        <w:tc>
          <w:tcPr>
            <w:tcW w:w="3420" w:type="dxa"/>
            <w:tcBorders>
              <w:top w:val="nil"/>
              <w:left w:val="nil"/>
              <w:bottom w:val="nil"/>
              <w:right w:val="single" w:color="auto" w:sz="8" w:space="0"/>
            </w:tcBorders>
            <w:shd w:val="clear" w:color="000000" w:fill="000000"/>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 </w:t>
            </w:r>
          </w:p>
        </w:tc>
      </w:tr>
      <w:tr w:rsidRPr="00F5594B" w:rsidR="00F5594B" w:rsidTr="00F5594B">
        <w:trPr>
          <w:trHeight w:val="315"/>
        </w:trPr>
        <w:tc>
          <w:tcPr>
            <w:tcW w:w="2330" w:type="dxa"/>
            <w:tcBorders>
              <w:top w:val="single" w:color="auto" w:sz="8" w:space="0"/>
              <w:left w:val="single" w:color="auto" w:sz="8" w:space="0"/>
              <w:bottom w:val="single" w:color="auto" w:sz="8" w:space="0"/>
              <w:right w:val="nil"/>
            </w:tcBorders>
            <w:shd w:val="clear" w:color="000000" w:fill="FCE4D6"/>
            <w:noWrap/>
            <w:vAlign w:val="bottom"/>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Difference</w:t>
            </w:r>
          </w:p>
        </w:tc>
        <w:tc>
          <w:tcPr>
            <w:tcW w:w="203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5594B" w:rsidR="00F5594B" w:rsidP="00F5594B" w:rsidRDefault="00F5594B">
            <w:pPr>
              <w:widowControl/>
              <w:jc w:val="center"/>
              <w:rPr>
                <w:rFonts w:ascii="Calibri" w:hAnsi="Calibri" w:cs="Calibri"/>
                <w:b/>
                <w:bCs/>
                <w:color w:val="000000"/>
                <w:sz w:val="20"/>
                <w:szCs w:val="20"/>
              </w:rPr>
            </w:pPr>
            <w:r w:rsidRPr="00F5594B">
              <w:rPr>
                <w:rFonts w:ascii="Calibri" w:hAnsi="Calibri" w:cs="Calibri"/>
                <w:b/>
                <w:bCs/>
                <w:color w:val="000000"/>
                <w:sz w:val="20"/>
                <w:szCs w:val="20"/>
              </w:rPr>
              <w:t>-131</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00F5594B" w:rsidP="00F5594B" w:rsidRDefault="00F5594B">
            <w:pPr>
              <w:widowControl/>
              <w:jc w:val="center"/>
              <w:rPr>
                <w:rFonts w:ascii="Calibri" w:hAnsi="Calibri" w:cs="Calibri"/>
                <w:b/>
                <w:bCs/>
                <w:color w:val="000000"/>
                <w:sz w:val="20"/>
                <w:szCs w:val="20"/>
              </w:rPr>
            </w:pPr>
            <w:r w:rsidRPr="00F5594B">
              <w:rPr>
                <w:rFonts w:ascii="Calibri" w:hAnsi="Calibri" w:cs="Calibri"/>
                <w:b/>
                <w:bCs/>
                <w:color w:val="000000"/>
                <w:sz w:val="20"/>
                <w:szCs w:val="20"/>
              </w:rPr>
              <w:t>-252</w:t>
            </w:r>
          </w:p>
          <w:p w:rsidR="007D3CD4" w:rsidP="00F5594B" w:rsidRDefault="007D3CD4">
            <w:pPr>
              <w:widowControl/>
              <w:jc w:val="center"/>
              <w:rPr>
                <w:rFonts w:ascii="Calibri" w:hAnsi="Calibri" w:cs="Calibri"/>
                <w:b/>
                <w:bCs/>
                <w:color w:val="000000"/>
                <w:sz w:val="20"/>
                <w:szCs w:val="20"/>
              </w:rPr>
            </w:pPr>
            <w:r>
              <w:rPr>
                <w:rFonts w:ascii="Calibri" w:hAnsi="Calibri" w:cs="Calibri"/>
                <w:b/>
                <w:bCs/>
                <w:color w:val="000000"/>
                <w:sz w:val="20"/>
                <w:szCs w:val="20"/>
              </w:rPr>
              <w:t>(-282 – Change)</w:t>
            </w:r>
          </w:p>
          <w:p w:rsidRPr="00F5594B" w:rsidR="007D3CD4" w:rsidP="00F5594B" w:rsidRDefault="007D3CD4">
            <w:pPr>
              <w:widowControl/>
              <w:jc w:val="center"/>
              <w:rPr>
                <w:rFonts w:ascii="Calibri" w:hAnsi="Calibri" w:cs="Calibri"/>
                <w:b/>
                <w:bCs/>
                <w:color w:val="000000"/>
                <w:sz w:val="20"/>
                <w:szCs w:val="20"/>
              </w:rPr>
            </w:pPr>
            <w:r>
              <w:rPr>
                <w:rFonts w:ascii="Calibri" w:hAnsi="Calibri" w:cs="Calibri"/>
                <w:b/>
                <w:bCs/>
                <w:color w:val="000000"/>
                <w:sz w:val="20"/>
                <w:szCs w:val="20"/>
              </w:rPr>
              <w:t>(+30 – Adjustment)</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00F5594B" w:rsidP="00F5594B" w:rsidRDefault="00F5594B">
            <w:pPr>
              <w:widowControl/>
              <w:jc w:val="center"/>
              <w:rPr>
                <w:rFonts w:ascii="Calibri" w:hAnsi="Calibri" w:cs="Calibri"/>
                <w:b/>
                <w:bCs/>
                <w:color w:val="000000"/>
                <w:sz w:val="20"/>
                <w:szCs w:val="20"/>
              </w:rPr>
            </w:pPr>
            <w:r w:rsidRPr="00F5594B">
              <w:rPr>
                <w:rFonts w:ascii="Calibri" w:hAnsi="Calibri" w:cs="Calibri"/>
                <w:b/>
                <w:bCs/>
                <w:color w:val="000000"/>
                <w:sz w:val="20"/>
                <w:szCs w:val="20"/>
              </w:rPr>
              <w:t>51.25</w:t>
            </w:r>
          </w:p>
          <w:p w:rsidR="007D3CD4" w:rsidP="00F5594B" w:rsidRDefault="007D3CD4">
            <w:pPr>
              <w:widowControl/>
              <w:jc w:val="center"/>
              <w:rPr>
                <w:rFonts w:ascii="Calibri" w:hAnsi="Calibri" w:cs="Calibri"/>
                <w:b/>
                <w:bCs/>
                <w:color w:val="000000"/>
                <w:sz w:val="20"/>
                <w:szCs w:val="20"/>
              </w:rPr>
            </w:pPr>
            <w:r>
              <w:rPr>
                <w:rFonts w:ascii="Calibri" w:hAnsi="Calibri" w:cs="Calibri"/>
                <w:b/>
                <w:bCs/>
                <w:color w:val="000000"/>
                <w:sz w:val="20"/>
                <w:szCs w:val="20"/>
              </w:rPr>
              <w:t>(-71 – Change)</w:t>
            </w:r>
          </w:p>
          <w:p w:rsidRPr="00F5594B" w:rsidR="007D3CD4" w:rsidP="00F5594B" w:rsidRDefault="007D3CD4">
            <w:pPr>
              <w:widowControl/>
              <w:jc w:val="center"/>
              <w:rPr>
                <w:rFonts w:ascii="Calibri" w:hAnsi="Calibri" w:cs="Calibri"/>
                <w:b/>
                <w:bCs/>
                <w:color w:val="000000"/>
                <w:sz w:val="20"/>
                <w:szCs w:val="20"/>
              </w:rPr>
            </w:pPr>
            <w:r>
              <w:rPr>
                <w:rFonts w:ascii="Calibri" w:hAnsi="Calibri" w:cs="Calibri"/>
                <w:b/>
                <w:bCs/>
                <w:color w:val="000000"/>
                <w:sz w:val="20"/>
                <w:szCs w:val="20"/>
              </w:rPr>
              <w:t>(+124 – Adjustment)</w:t>
            </w:r>
          </w:p>
        </w:tc>
        <w:tc>
          <w:tcPr>
            <w:tcW w:w="3420" w:type="dxa"/>
            <w:tcBorders>
              <w:top w:val="single" w:color="auto" w:sz="8" w:space="0"/>
              <w:left w:val="nil"/>
              <w:bottom w:val="single" w:color="auto" w:sz="8" w:space="0"/>
              <w:right w:val="single" w:color="auto" w:sz="8" w:space="0"/>
            </w:tcBorders>
            <w:shd w:val="clear" w:color="000000" w:fill="000000"/>
            <w:noWrap/>
            <w:vAlign w:val="bottom"/>
            <w:hideMark/>
          </w:tcPr>
          <w:p w:rsidRPr="00F5594B" w:rsidR="00F5594B" w:rsidP="00F5594B" w:rsidRDefault="00F5594B">
            <w:pPr>
              <w:widowControl/>
              <w:rPr>
                <w:rFonts w:ascii="Calibri" w:hAnsi="Calibri" w:cs="Calibri"/>
                <w:color w:val="000000"/>
                <w:sz w:val="22"/>
                <w:szCs w:val="22"/>
              </w:rPr>
            </w:pPr>
            <w:r w:rsidRPr="00F5594B">
              <w:rPr>
                <w:rFonts w:ascii="Calibri" w:hAnsi="Calibri" w:cs="Calibri"/>
                <w:color w:val="000000"/>
                <w:sz w:val="22"/>
                <w:szCs w:val="22"/>
              </w:rPr>
              <w:t> </w:t>
            </w:r>
          </w:p>
        </w:tc>
      </w:tr>
    </w:tbl>
    <w:p w:rsidR="001F02CC" w:rsidRDefault="001F02CC">
      <w:pPr>
        <w:pBdr>
          <w:top w:val="nil"/>
          <w:left w:val="nil"/>
          <w:bottom w:val="nil"/>
          <w:right w:val="nil"/>
          <w:between w:val="nil"/>
        </w:pBdr>
        <w:spacing w:before="7"/>
        <w:rPr>
          <w:b/>
          <w:color w:val="000000"/>
        </w:rPr>
      </w:pPr>
    </w:p>
    <w:p w:rsidR="001F02CC" w:rsidRDefault="001F02CC">
      <w:pPr>
        <w:pBdr>
          <w:top w:val="nil"/>
          <w:left w:val="nil"/>
          <w:bottom w:val="nil"/>
          <w:right w:val="nil"/>
          <w:between w:val="nil"/>
        </w:pBdr>
        <w:spacing w:before="7"/>
        <w:rPr>
          <w:b/>
          <w:color w:val="000000"/>
        </w:rPr>
      </w:pPr>
    </w:p>
    <w:tbl>
      <w:tblPr>
        <w:tblW w:w="9440" w:type="dxa"/>
        <w:tblLook w:val="04A0" w:firstRow="1" w:lastRow="0" w:firstColumn="1" w:lastColumn="0" w:noHBand="0" w:noVBand="1"/>
      </w:tblPr>
      <w:tblGrid>
        <w:gridCol w:w="2219"/>
        <w:gridCol w:w="1101"/>
        <w:gridCol w:w="1080"/>
        <w:gridCol w:w="1120"/>
        <w:gridCol w:w="1200"/>
        <w:gridCol w:w="2720"/>
      </w:tblGrid>
      <w:tr w:rsidRPr="00F5594B" w:rsidR="00F5594B" w:rsidTr="00F5594B">
        <w:trPr>
          <w:trHeight w:val="315"/>
        </w:trPr>
        <w:tc>
          <w:tcPr>
            <w:tcW w:w="221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Information Collection</w:t>
            </w:r>
          </w:p>
        </w:tc>
        <w:tc>
          <w:tcPr>
            <w:tcW w:w="2181"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Labor Costs</w:t>
            </w:r>
          </w:p>
        </w:tc>
        <w:tc>
          <w:tcPr>
            <w:tcW w:w="232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Miscellaneous Costs</w:t>
            </w:r>
          </w:p>
        </w:tc>
        <w:tc>
          <w:tcPr>
            <w:tcW w:w="27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Reason for change or adjustment</w:t>
            </w:r>
          </w:p>
        </w:tc>
      </w:tr>
      <w:tr w:rsidRPr="00F5594B" w:rsidR="00F5594B" w:rsidTr="00F5594B">
        <w:trPr>
          <w:trHeight w:val="690"/>
        </w:trPr>
        <w:tc>
          <w:tcPr>
            <w:tcW w:w="2219" w:type="dxa"/>
            <w:vMerge/>
            <w:tcBorders>
              <w:top w:val="single" w:color="auto" w:sz="8" w:space="0"/>
              <w:left w:val="single" w:color="auto" w:sz="8" w:space="0"/>
              <w:bottom w:val="single" w:color="000000" w:sz="8" w:space="0"/>
              <w:right w:val="single" w:color="auto" w:sz="8" w:space="0"/>
            </w:tcBorders>
            <w:vAlign w:val="center"/>
            <w:hideMark/>
          </w:tcPr>
          <w:p w:rsidRPr="00F5594B" w:rsidR="00F5594B" w:rsidP="00F5594B" w:rsidRDefault="00F5594B">
            <w:pPr>
              <w:widowControl/>
              <w:rPr>
                <w:rFonts w:ascii="Calibri" w:hAnsi="Calibri" w:cs="Calibri"/>
                <w:b/>
                <w:bCs/>
                <w:color w:val="000000"/>
                <w:sz w:val="16"/>
                <w:szCs w:val="16"/>
              </w:rPr>
            </w:pPr>
          </w:p>
        </w:tc>
        <w:tc>
          <w:tcPr>
            <w:tcW w:w="1101" w:type="dxa"/>
            <w:tcBorders>
              <w:top w:val="nil"/>
              <w:left w:val="nil"/>
              <w:bottom w:val="single" w:color="auto" w:sz="8" w:space="0"/>
              <w:right w:val="dashed"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Previous</w:t>
            </w:r>
          </w:p>
        </w:tc>
        <w:tc>
          <w:tcPr>
            <w:tcW w:w="1120" w:type="dxa"/>
            <w:tcBorders>
              <w:top w:val="nil"/>
              <w:left w:val="nil"/>
              <w:bottom w:val="single" w:color="auto" w:sz="8" w:space="0"/>
              <w:right w:val="dashed"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Previous</w:t>
            </w:r>
          </w:p>
        </w:tc>
        <w:tc>
          <w:tcPr>
            <w:tcW w:w="2720" w:type="dxa"/>
            <w:vMerge/>
            <w:tcBorders>
              <w:top w:val="single" w:color="auto" w:sz="8" w:space="0"/>
              <w:left w:val="single" w:color="auto" w:sz="8" w:space="0"/>
              <w:bottom w:val="single" w:color="000000" w:sz="8" w:space="0"/>
              <w:right w:val="single" w:color="auto" w:sz="8" w:space="0"/>
            </w:tcBorders>
            <w:vAlign w:val="center"/>
            <w:hideMark/>
          </w:tcPr>
          <w:p w:rsidRPr="00F5594B" w:rsidR="00F5594B" w:rsidP="00F5594B" w:rsidRDefault="00F5594B">
            <w:pPr>
              <w:widowControl/>
              <w:rPr>
                <w:rFonts w:ascii="Calibri" w:hAnsi="Calibri" w:cs="Calibri"/>
                <w:b/>
                <w:bCs/>
                <w:color w:val="000000"/>
                <w:sz w:val="16"/>
                <w:szCs w:val="16"/>
              </w:rPr>
            </w:pPr>
          </w:p>
        </w:tc>
      </w:tr>
      <w:tr w:rsidRPr="00F5594B" w:rsidR="00F5594B" w:rsidTr="00F5594B">
        <w:trPr>
          <w:trHeight w:val="373"/>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General Permits &amp; Reports</w:t>
            </w:r>
          </w:p>
        </w:tc>
        <w:tc>
          <w:tcPr>
            <w:tcW w:w="1101"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44,292.15 </w:t>
            </w:r>
          </w:p>
        </w:tc>
        <w:tc>
          <w:tcPr>
            <w:tcW w:w="1080" w:type="dxa"/>
            <w:vMerge w:val="restart"/>
            <w:tcBorders>
              <w:top w:val="nil"/>
              <w:left w:val="dashed" w:color="auto" w:sz="8" w:space="0"/>
              <w:bottom w:val="nil"/>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Not Previously Calculated</w:t>
            </w: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single" w:color="auto" w:sz="4" w:space="0"/>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$744 </w:t>
            </w:r>
          </w:p>
        </w:tc>
        <w:tc>
          <w:tcPr>
            <w:tcW w:w="2720" w:type="dxa"/>
            <w:vMerge w:val="restart"/>
            <w:tcBorders>
              <w:top w:val="nil"/>
              <w:left w:val="single" w:color="auto" w:sz="8" w:space="0"/>
              <w:bottom w:val="dotted" w:color="000000" w:sz="4" w:space="0"/>
              <w:right w:val="single"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The respondents' labor costs were not calculated in the previous submission.</w:t>
            </w:r>
            <w:r w:rsidRPr="00F5594B">
              <w:rPr>
                <w:rFonts w:ascii="Calibri" w:hAnsi="Calibri" w:cs="Calibri"/>
                <w:color w:val="000000"/>
                <w:sz w:val="16"/>
                <w:szCs w:val="16"/>
              </w:rPr>
              <w:br/>
            </w:r>
            <w:r w:rsidRPr="00F5594B">
              <w:rPr>
                <w:rFonts w:ascii="Calibri" w:hAnsi="Calibri" w:cs="Calibri"/>
                <w:color w:val="000000"/>
                <w:sz w:val="16"/>
                <w:szCs w:val="16"/>
              </w:rPr>
              <w:br/>
              <w:t>Miscellaneous costs have been removed as all submissions are now via email, fax, or phone.</w:t>
            </w:r>
          </w:p>
        </w:tc>
      </w:tr>
      <w:tr w:rsidRPr="00F5594B" w:rsidR="00F5594B" w:rsidTr="00F5594B">
        <w:trPr>
          <w:trHeight w:val="315"/>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Special Use Permits</w:t>
            </w:r>
          </w:p>
        </w:tc>
        <w:tc>
          <w:tcPr>
            <w:tcW w:w="1101"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20,143.20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$66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283"/>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Historical Resources Permits</w:t>
            </w:r>
          </w:p>
        </w:tc>
        <w:tc>
          <w:tcPr>
            <w:tcW w:w="1101"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10,414.95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$21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337"/>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Baitfish</w:t>
            </w:r>
          </w:p>
        </w:tc>
        <w:tc>
          <w:tcPr>
            <w:tcW w:w="1101"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4,845.05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ashed" w:color="auto" w:sz="4" w:space="0"/>
              <w:right w:val="nil"/>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$190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Permit Amendments</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133.53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$7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Certification</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19.08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$1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Voluntary Registration</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9.54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$1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Appeals</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1,831.20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$40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Tortugas Access</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305.20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$10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463"/>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pPr>
              <w:widowControl/>
              <w:rPr>
                <w:rFonts w:ascii="Calibri" w:hAnsi="Calibri" w:cs="Calibri"/>
                <w:color w:val="000000"/>
                <w:sz w:val="16"/>
                <w:szCs w:val="16"/>
              </w:rPr>
            </w:pPr>
            <w:r w:rsidRPr="00F5594B">
              <w:rPr>
                <w:rFonts w:ascii="Calibri" w:hAnsi="Calibri" w:cs="Calibri"/>
                <w:color w:val="000000"/>
                <w:sz w:val="16"/>
                <w:szCs w:val="16"/>
              </w:rPr>
              <w:t>Lionfish Removal</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 $                   -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 xml:space="preserve">$282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pPr>
              <w:widowControl/>
              <w:rPr>
                <w:rFonts w:ascii="Calibri" w:hAnsi="Calibri" w:cs="Calibri"/>
                <w:color w:val="000000"/>
                <w:sz w:val="16"/>
                <w:szCs w:val="16"/>
              </w:rPr>
            </w:pPr>
          </w:p>
        </w:tc>
      </w:tr>
      <w:tr w:rsidRPr="00F5594B" w:rsidR="00F5594B" w:rsidTr="00F5594B">
        <w:trPr>
          <w:trHeight w:val="465"/>
        </w:trPr>
        <w:tc>
          <w:tcPr>
            <w:tcW w:w="2219" w:type="dxa"/>
            <w:tcBorders>
              <w:top w:val="nil"/>
              <w:left w:val="single" w:color="auto" w:sz="8" w:space="0"/>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Total for Collection</w:t>
            </w:r>
          </w:p>
        </w:tc>
        <w:tc>
          <w:tcPr>
            <w:tcW w:w="1101" w:type="dxa"/>
            <w:tcBorders>
              <w:top w:val="nil"/>
              <w:left w:val="nil"/>
              <w:bottom w:val="nil"/>
              <w:right w:val="dashed"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 xml:space="preserve"> $   81,993.90 </w:t>
            </w:r>
          </w:p>
        </w:tc>
        <w:tc>
          <w:tcPr>
            <w:tcW w:w="1080" w:type="dxa"/>
            <w:tcBorders>
              <w:top w:val="nil"/>
              <w:left w:val="nil"/>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 </w:t>
            </w:r>
          </w:p>
        </w:tc>
        <w:tc>
          <w:tcPr>
            <w:tcW w:w="1120" w:type="dxa"/>
            <w:tcBorders>
              <w:top w:val="single" w:color="auto" w:sz="4" w:space="0"/>
              <w:left w:val="nil"/>
              <w:bottom w:val="dashed" w:color="auto" w:sz="4" w:space="0"/>
              <w:right w:val="dashed" w:color="auto" w:sz="8" w:space="0"/>
            </w:tcBorders>
            <w:shd w:val="clear" w:color="000000" w:fill="BDD7EE"/>
            <w:vAlign w:val="center"/>
            <w:hideMark/>
          </w:tcPr>
          <w:p w:rsidRPr="00F5594B" w:rsidR="00F5594B" w:rsidP="00F5594B" w:rsidRDefault="00F5594B">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nil"/>
              <w:right w:val="single" w:color="auto" w:sz="8" w:space="0"/>
            </w:tcBorders>
            <w:shd w:val="clear" w:color="000000" w:fill="BDD6EE"/>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 xml:space="preserve">$1,362 </w:t>
            </w:r>
          </w:p>
        </w:tc>
        <w:tc>
          <w:tcPr>
            <w:tcW w:w="2720" w:type="dxa"/>
            <w:tcBorders>
              <w:top w:val="nil"/>
              <w:left w:val="nil"/>
              <w:bottom w:val="nil"/>
              <w:right w:val="single" w:color="auto" w:sz="8" w:space="0"/>
            </w:tcBorders>
            <w:shd w:val="clear" w:color="000000" w:fill="000000"/>
            <w:vAlign w:val="center"/>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 </w:t>
            </w:r>
          </w:p>
        </w:tc>
      </w:tr>
      <w:tr w:rsidRPr="00F5594B" w:rsidR="00F5594B" w:rsidTr="00F5594B">
        <w:trPr>
          <w:trHeight w:val="315"/>
        </w:trPr>
        <w:tc>
          <w:tcPr>
            <w:tcW w:w="2219" w:type="dxa"/>
            <w:tcBorders>
              <w:top w:val="single" w:color="auto" w:sz="8" w:space="0"/>
              <w:left w:val="single" w:color="auto" w:sz="8" w:space="0"/>
              <w:bottom w:val="single" w:color="auto" w:sz="8" w:space="0"/>
              <w:right w:val="nil"/>
            </w:tcBorders>
            <w:shd w:val="clear" w:color="000000" w:fill="FCE4D6"/>
            <w:noWrap/>
            <w:vAlign w:val="bottom"/>
            <w:hideMark/>
          </w:tcPr>
          <w:p w:rsidRPr="00F5594B" w:rsidR="00F5594B" w:rsidP="00F5594B" w:rsidRDefault="00F5594B">
            <w:pPr>
              <w:widowControl/>
              <w:jc w:val="center"/>
              <w:rPr>
                <w:rFonts w:ascii="Calibri" w:hAnsi="Calibri" w:cs="Calibri"/>
                <w:b/>
                <w:bCs/>
                <w:color w:val="000000"/>
                <w:sz w:val="16"/>
                <w:szCs w:val="16"/>
              </w:rPr>
            </w:pPr>
            <w:r w:rsidRPr="00F5594B">
              <w:rPr>
                <w:rFonts w:ascii="Calibri" w:hAnsi="Calibri" w:cs="Calibri"/>
                <w:b/>
                <w:bCs/>
                <w:color w:val="000000"/>
                <w:sz w:val="16"/>
                <w:szCs w:val="16"/>
              </w:rPr>
              <w:t>Difference</w:t>
            </w:r>
          </w:p>
        </w:tc>
        <w:tc>
          <w:tcPr>
            <w:tcW w:w="2181"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5594B" w:rsidR="00F5594B" w:rsidP="00F5594B" w:rsidRDefault="00F5594B">
            <w:pPr>
              <w:widowControl/>
              <w:jc w:val="center"/>
              <w:rPr>
                <w:rFonts w:ascii="Calibri" w:hAnsi="Calibri" w:cs="Calibri"/>
                <w:b/>
                <w:bCs/>
                <w:color w:val="000000"/>
                <w:sz w:val="20"/>
                <w:szCs w:val="20"/>
              </w:rPr>
            </w:pPr>
            <w:r w:rsidRPr="00F5594B">
              <w:rPr>
                <w:rFonts w:ascii="Calibri" w:hAnsi="Calibri" w:cs="Calibri"/>
                <w:b/>
                <w:bCs/>
                <w:color w:val="000000"/>
                <w:sz w:val="20"/>
                <w:szCs w:val="20"/>
              </w:rPr>
              <w:t xml:space="preserve"> $    81,993.90 </w:t>
            </w:r>
          </w:p>
        </w:tc>
        <w:tc>
          <w:tcPr>
            <w:tcW w:w="232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00F5594B" w:rsidP="00F5594B" w:rsidRDefault="00F5594B">
            <w:pPr>
              <w:widowControl/>
              <w:jc w:val="center"/>
              <w:rPr>
                <w:rFonts w:ascii="Calibri" w:hAnsi="Calibri" w:cs="Calibri"/>
                <w:b/>
                <w:bCs/>
                <w:color w:val="FF0000"/>
                <w:sz w:val="20"/>
                <w:szCs w:val="20"/>
              </w:rPr>
            </w:pPr>
            <w:r w:rsidRPr="00F5594B">
              <w:rPr>
                <w:rFonts w:ascii="Calibri" w:hAnsi="Calibri" w:cs="Calibri"/>
                <w:b/>
                <w:bCs/>
                <w:color w:val="FF0000"/>
                <w:sz w:val="20"/>
                <w:szCs w:val="20"/>
              </w:rPr>
              <w:t>($1,362)</w:t>
            </w:r>
          </w:p>
          <w:p w:rsidR="007D3CD4" w:rsidP="00F5594B" w:rsidRDefault="007D3CD4">
            <w:pPr>
              <w:widowControl/>
              <w:jc w:val="center"/>
              <w:rPr>
                <w:rFonts w:ascii="Calibri" w:hAnsi="Calibri" w:cs="Calibri"/>
                <w:b/>
                <w:bCs/>
                <w:color w:val="FF0000"/>
                <w:sz w:val="20"/>
                <w:szCs w:val="20"/>
              </w:rPr>
            </w:pPr>
            <w:r>
              <w:rPr>
                <w:rFonts w:ascii="Calibri" w:hAnsi="Calibri" w:cs="Calibri"/>
                <w:b/>
                <w:bCs/>
                <w:color w:val="FF0000"/>
                <w:sz w:val="20"/>
                <w:szCs w:val="20"/>
              </w:rPr>
              <w:t>($282 – Change)</w:t>
            </w:r>
          </w:p>
          <w:p w:rsidRPr="00F5594B" w:rsidR="007D3CD4" w:rsidP="00F5594B" w:rsidRDefault="007D3CD4">
            <w:pPr>
              <w:widowControl/>
              <w:jc w:val="center"/>
              <w:rPr>
                <w:rFonts w:ascii="Calibri" w:hAnsi="Calibri" w:cs="Calibri"/>
                <w:b/>
                <w:bCs/>
                <w:color w:val="000000"/>
                <w:sz w:val="20"/>
                <w:szCs w:val="20"/>
              </w:rPr>
            </w:pPr>
            <w:r>
              <w:rPr>
                <w:rFonts w:ascii="Calibri" w:hAnsi="Calibri" w:cs="Calibri"/>
                <w:b/>
                <w:bCs/>
                <w:color w:val="FF0000"/>
                <w:sz w:val="20"/>
                <w:szCs w:val="20"/>
              </w:rPr>
              <w:t>($1,080 – Adjustment)</w:t>
            </w:r>
            <w:bookmarkStart w:name="_GoBack" w:id="0"/>
            <w:bookmarkEnd w:id="0"/>
          </w:p>
        </w:tc>
        <w:tc>
          <w:tcPr>
            <w:tcW w:w="2720" w:type="dxa"/>
            <w:tcBorders>
              <w:top w:val="single" w:color="auto" w:sz="8" w:space="0"/>
              <w:left w:val="nil"/>
              <w:bottom w:val="single" w:color="auto" w:sz="8" w:space="0"/>
              <w:right w:val="single" w:color="auto" w:sz="8" w:space="0"/>
            </w:tcBorders>
            <w:shd w:val="clear" w:color="000000" w:fill="000000"/>
            <w:noWrap/>
            <w:vAlign w:val="bottom"/>
            <w:hideMark/>
          </w:tcPr>
          <w:p w:rsidRPr="00F5594B" w:rsidR="00F5594B" w:rsidP="00F5594B" w:rsidRDefault="00F5594B">
            <w:pPr>
              <w:widowControl/>
              <w:rPr>
                <w:rFonts w:ascii="Calibri" w:hAnsi="Calibri" w:cs="Calibri"/>
                <w:color w:val="000000"/>
                <w:sz w:val="22"/>
                <w:szCs w:val="22"/>
              </w:rPr>
            </w:pPr>
            <w:r w:rsidRPr="00F5594B">
              <w:rPr>
                <w:rFonts w:ascii="Calibri" w:hAnsi="Calibri" w:cs="Calibri"/>
                <w:color w:val="000000"/>
                <w:sz w:val="22"/>
                <w:szCs w:val="22"/>
              </w:rPr>
              <w:t> </w:t>
            </w:r>
          </w:p>
        </w:tc>
      </w:tr>
    </w:tbl>
    <w:p w:rsidR="001F02CC" w:rsidRDefault="001F02CC">
      <w:pPr>
        <w:pBdr>
          <w:top w:val="nil"/>
          <w:left w:val="nil"/>
          <w:bottom w:val="nil"/>
          <w:right w:val="nil"/>
          <w:between w:val="nil"/>
        </w:pBdr>
        <w:spacing w:before="7"/>
        <w:rPr>
          <w:b/>
          <w:color w:val="000000"/>
        </w:rPr>
      </w:pPr>
    </w:p>
    <w:p w:rsidR="001F02CC" w:rsidRDefault="001F02CC">
      <w:pPr>
        <w:pBdr>
          <w:top w:val="nil"/>
          <w:left w:val="nil"/>
          <w:bottom w:val="nil"/>
          <w:right w:val="nil"/>
          <w:between w:val="nil"/>
        </w:pBdr>
        <w:spacing w:before="7"/>
        <w:rPr>
          <w:b/>
          <w:color w:val="000000"/>
        </w:rPr>
      </w:pPr>
    </w:p>
    <w:p w:rsidR="001F02CC" w:rsidRDefault="001F02CC">
      <w:pPr>
        <w:pBdr>
          <w:top w:val="nil"/>
          <w:left w:val="nil"/>
          <w:bottom w:val="nil"/>
          <w:right w:val="nil"/>
          <w:between w:val="nil"/>
        </w:pBdr>
        <w:spacing w:before="7"/>
        <w:rPr>
          <w:b/>
          <w:color w:val="000000"/>
        </w:rPr>
        <w:sectPr w:rsidR="001F02CC" w:rsidSect="00F5594B">
          <w:pgSz w:w="15840" w:h="12240" w:orient="landscape"/>
          <w:pgMar w:top="1200" w:right="1080" w:bottom="640" w:left="1080" w:header="0" w:footer="1014" w:gutter="0"/>
          <w:cols w:space="720"/>
          <w:docGrid w:linePitch="326"/>
        </w:sectPr>
      </w:pPr>
    </w:p>
    <w:p w:rsidR="001F02CC" w:rsidRDefault="001F02CC">
      <w:pPr>
        <w:pBdr>
          <w:top w:val="nil"/>
          <w:left w:val="nil"/>
          <w:bottom w:val="nil"/>
          <w:right w:val="nil"/>
          <w:between w:val="nil"/>
        </w:pBdr>
        <w:spacing w:before="7"/>
        <w:rPr>
          <w:b/>
          <w:color w:val="000000"/>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02CC" w:rsidRDefault="001F02CC">
      <w:pPr>
        <w:pBdr>
          <w:top w:val="nil"/>
          <w:left w:val="nil"/>
          <w:bottom w:val="nil"/>
          <w:right w:val="nil"/>
          <w:between w:val="nil"/>
        </w:pBdr>
        <w:tabs>
          <w:tab w:val="left" w:pos="360"/>
        </w:tabs>
        <w:spacing w:before="80"/>
        <w:rPr>
          <w:b/>
        </w:rPr>
      </w:pPr>
    </w:p>
    <w:p w:rsidR="001F02CC" w:rsidRDefault="004F5B66">
      <w:pPr>
        <w:widowControl/>
        <w:spacing w:after="200"/>
      </w:pPr>
      <w:r>
        <w:t>The information collected will not be published.</w:t>
      </w: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1F02CC" w:rsidRDefault="001F02CC">
      <w:pPr>
        <w:widowControl/>
        <w:spacing w:after="200"/>
        <w:rPr>
          <w:i/>
          <w:color w:val="2F5496"/>
        </w:rPr>
      </w:pPr>
    </w:p>
    <w:p w:rsidR="001F02CC" w:rsidRDefault="004F5B66">
      <w:pPr>
        <w:widowControl/>
        <w:spacing w:after="200"/>
      </w:pPr>
      <w:r>
        <w:t>The OMB approval number and expiration date for this information collection will be displayed on the permit application form and in the permit instructions for any activities not required to use the application form. For Tortugas Access Permits, which are handled orally and therefore do not involve an application form, the OMB Control Number and expiration date will be provided over the phone.</w:t>
      </w:r>
    </w:p>
    <w:p w:rsidR="001F02CC" w:rsidRDefault="001F02CC">
      <w:pPr>
        <w:spacing w:before="161"/>
        <w:rPr>
          <w:i/>
        </w:rPr>
      </w:pPr>
    </w:p>
    <w:p w:rsidR="001F02CC" w:rsidRDefault="004F5B66">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1F02CC" w:rsidRDefault="004F5B66">
      <w:pPr>
        <w:spacing w:before="221" w:line="259" w:lineRule="auto"/>
        <w:jc w:val="both"/>
        <w:rPr>
          <w:color w:val="1F497D"/>
        </w:rPr>
      </w:pPr>
      <w:r>
        <w:t xml:space="preserve">The agency certifies compliance with </w:t>
      </w:r>
      <w:hyperlink r:id="rId18">
        <w:r>
          <w:rPr>
            <w:color w:val="0563C1"/>
            <w:u w:val="single"/>
          </w:rPr>
          <w:t>5 CFR 1320.9</w:t>
        </w:r>
      </w:hyperlink>
      <w:hyperlink r:id="rId19">
        <w:r>
          <w:rPr>
            <w:color w:val="0563C1"/>
          </w:rPr>
          <w:t xml:space="preserve"> </w:t>
        </w:r>
      </w:hyperlink>
      <w:r>
        <w:t xml:space="preserve">and the related provisions of </w:t>
      </w:r>
      <w:hyperlink r:id="rId20">
        <w:r>
          <w:rPr>
            <w:color w:val="0563C1"/>
            <w:u w:val="single"/>
          </w:rPr>
          <w:t>5 CFR</w:t>
        </w:r>
      </w:hyperlink>
      <w:r>
        <w:rPr>
          <w:color w:val="0563C1"/>
        </w:rPr>
        <w:t xml:space="preserve"> </w:t>
      </w:r>
      <w:hyperlink r:id="rId21">
        <w:r>
          <w:rPr>
            <w:color w:val="0563C1"/>
            <w:u w:val="single"/>
          </w:rPr>
          <w:t>1320.8(b)(3)</w:t>
        </w:r>
      </w:hyperlink>
      <w:r>
        <w:t>.</w:t>
      </w:r>
    </w:p>
    <w:p w:rsidR="001F02CC" w:rsidRDefault="001F02CC">
      <w:pPr>
        <w:spacing w:before="221" w:line="259" w:lineRule="auto"/>
        <w:jc w:val="both"/>
        <w:rPr>
          <w:color w:val="1F497D"/>
        </w:rPr>
      </w:pPr>
      <w:bookmarkStart w:name="_hbu0nsmmmnrx" w:colFirst="0" w:colLast="0" w:id="1"/>
      <w:bookmarkEnd w:id="1"/>
    </w:p>
    <w:p w:rsidR="001F02CC" w:rsidP="00B25F57" w:rsidRDefault="001F02CC">
      <w:pPr>
        <w:widowControl/>
        <w:spacing w:after="200"/>
        <w:rPr>
          <w:color w:val="1F497D"/>
        </w:rPr>
      </w:pPr>
      <w:bookmarkStart w:name="_y2begaodlbd1" w:colFirst="0" w:colLast="0" w:id="2"/>
      <w:bookmarkEnd w:id="2"/>
    </w:p>
    <w:sectPr w:rsidR="001F02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985" w:rsidRDefault="004F5B66">
      <w:r>
        <w:separator/>
      </w:r>
    </w:p>
  </w:endnote>
  <w:endnote w:type="continuationSeparator" w:id="0">
    <w:p w:rsidR="00BC4985" w:rsidRDefault="004F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324566"/>
      <w:docPartObj>
        <w:docPartGallery w:val="Page Numbers (Bottom of Page)"/>
        <w:docPartUnique/>
      </w:docPartObj>
    </w:sdtPr>
    <w:sdtEndPr>
      <w:rPr>
        <w:noProof/>
      </w:rPr>
    </w:sdtEndPr>
    <w:sdtContent>
      <w:p w:rsidR="00EE33D4" w:rsidRDefault="00EE33D4">
        <w:pPr>
          <w:pStyle w:val="Footer"/>
        </w:pPr>
        <w:r>
          <w:t xml:space="preserve">Page | </w:t>
        </w:r>
        <w:r>
          <w:fldChar w:fldCharType="begin"/>
        </w:r>
        <w:r>
          <w:instrText xml:space="preserve"> PAGE   \* MERGEFORMAT </w:instrText>
        </w:r>
        <w:r>
          <w:fldChar w:fldCharType="separate"/>
        </w:r>
        <w:r w:rsidR="007D3CD4">
          <w:rPr>
            <w:noProof/>
          </w:rPr>
          <w:t>16</w:t>
        </w:r>
        <w:r>
          <w:rPr>
            <w:noProof/>
          </w:rPr>
          <w:fldChar w:fldCharType="end"/>
        </w:r>
      </w:p>
    </w:sdtContent>
  </w:sdt>
  <w:p w:rsidR="001F02CC" w:rsidRDefault="001F02C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985" w:rsidRDefault="004F5B66">
      <w:r>
        <w:separator/>
      </w:r>
    </w:p>
  </w:footnote>
  <w:footnote w:type="continuationSeparator" w:id="0">
    <w:p w:rsidR="00BC4985" w:rsidRDefault="004F5B66">
      <w:r>
        <w:continuationSeparator/>
      </w:r>
    </w:p>
  </w:footnote>
  <w:footnote w:id="1">
    <w:p w:rsidR="001F02CC" w:rsidRDefault="004F5B66">
      <w:pPr>
        <w:widowControl/>
        <w:rPr>
          <w:sz w:val="20"/>
          <w:szCs w:val="20"/>
        </w:rPr>
      </w:pPr>
      <w:r>
        <w:rPr>
          <w:vertAlign w:val="superscript"/>
        </w:rPr>
        <w:footnoteRef/>
      </w:r>
      <w:r>
        <w:rPr>
          <w:sz w:val="20"/>
          <w:szCs w:val="20"/>
        </w:rPr>
        <w:t xml:space="preserve"> For the purpose of this document, the term “permit” includes “general permits” processed pursuant to 15 CFR § 922.48 (proposed 15 CFR § 922.30) and site-specific regulations; “authorizations” processed pursuant to 15 CFR § 922.49 (proposed 15 CFR § 922.36); “special use permits” processed pursuant to section 310 of the NMSA (16 U.S.C. § 1441; proposed 15 CFR §§ 922.31, 922.35); “certifications” processed pursuant to 15 CFR § 922.47 (proposed 15 CFR § 922.10); “amendments” to any permit action (proposed 15 CFR § 922.34); and administrative permit “appeals” 15 CFR § 922.50 (proposed 15 CFR § 922.37).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FB8"/>
    <w:multiLevelType w:val="multilevel"/>
    <w:tmpl w:val="5436EE5E"/>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267DD1"/>
    <w:multiLevelType w:val="multilevel"/>
    <w:tmpl w:val="328690A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19F91864"/>
    <w:multiLevelType w:val="multilevel"/>
    <w:tmpl w:val="4BD0EBB4"/>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B57479C"/>
    <w:multiLevelType w:val="multilevel"/>
    <w:tmpl w:val="F198F3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DE50BBC"/>
    <w:multiLevelType w:val="multilevel"/>
    <w:tmpl w:val="CC580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CC"/>
    <w:rsid w:val="001A1E30"/>
    <w:rsid w:val="001F02CC"/>
    <w:rsid w:val="00270A89"/>
    <w:rsid w:val="003404DE"/>
    <w:rsid w:val="004827E2"/>
    <w:rsid w:val="00495ABB"/>
    <w:rsid w:val="004F5B66"/>
    <w:rsid w:val="00593A76"/>
    <w:rsid w:val="006B3D28"/>
    <w:rsid w:val="006F714F"/>
    <w:rsid w:val="007D3CD4"/>
    <w:rsid w:val="00AB1B56"/>
    <w:rsid w:val="00B25F57"/>
    <w:rsid w:val="00B85E1E"/>
    <w:rsid w:val="00BC4985"/>
    <w:rsid w:val="00DF1D32"/>
    <w:rsid w:val="00EE33D4"/>
    <w:rsid w:val="00F5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402C6"/>
  <w15:docId w15:val="{6C3C040F-717C-4841-85A0-E6531C3B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EE33D4"/>
    <w:pPr>
      <w:tabs>
        <w:tab w:val="center" w:pos="4680"/>
        <w:tab w:val="right" w:pos="9360"/>
      </w:tabs>
    </w:pPr>
  </w:style>
  <w:style w:type="character" w:customStyle="1" w:styleId="HeaderChar">
    <w:name w:val="Header Char"/>
    <w:basedOn w:val="DefaultParagraphFont"/>
    <w:link w:val="Header"/>
    <w:uiPriority w:val="99"/>
    <w:rsid w:val="00EE33D4"/>
  </w:style>
  <w:style w:type="paragraph" w:styleId="Footer">
    <w:name w:val="footer"/>
    <w:basedOn w:val="Normal"/>
    <w:link w:val="FooterChar"/>
    <w:uiPriority w:val="99"/>
    <w:unhideWhenUsed/>
    <w:rsid w:val="00EE33D4"/>
    <w:pPr>
      <w:tabs>
        <w:tab w:val="center" w:pos="4680"/>
        <w:tab w:val="right" w:pos="9360"/>
      </w:tabs>
    </w:pPr>
  </w:style>
  <w:style w:type="character" w:customStyle="1" w:styleId="FooterChar">
    <w:name w:val="Footer Char"/>
    <w:basedOn w:val="DefaultParagraphFont"/>
    <w:link w:val="Footer"/>
    <w:uiPriority w:val="99"/>
    <w:rsid w:val="00EE33D4"/>
  </w:style>
  <w:style w:type="character" w:styleId="Hyperlink">
    <w:name w:val="Hyperlink"/>
    <w:basedOn w:val="DefaultParagraphFont"/>
    <w:uiPriority w:val="99"/>
    <w:unhideWhenUsed/>
    <w:rsid w:val="00B25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210">
      <w:bodyDiv w:val="1"/>
      <w:marLeft w:val="0"/>
      <w:marRight w:val="0"/>
      <w:marTop w:val="0"/>
      <w:marBottom w:val="0"/>
      <w:divBdr>
        <w:top w:val="none" w:sz="0" w:space="0" w:color="auto"/>
        <w:left w:val="none" w:sz="0" w:space="0" w:color="auto"/>
        <w:bottom w:val="none" w:sz="0" w:space="0" w:color="auto"/>
        <w:right w:val="none" w:sz="0" w:space="0" w:color="auto"/>
      </w:divBdr>
    </w:div>
    <w:div w:id="196519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ssanctuaries.blob.core.windows.net/sanctuaries-prod/media/archive/library/national/nmsa.pdf" TargetMode="External"/><Relationship Id="rId13" Type="http://schemas.openxmlformats.org/officeDocument/2006/relationships/hyperlink" Target="https://www.osec.doc.gov/opog/privacy/NOAA%20PIAs/NOAA6602_PIA_SAOP_Approved.pdf"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www.osec.doc.gov/opog/PrivacyAct/SORNs/noaa-12.html" TargetMode="External"/><Relationship Id="rId17" Type="http://schemas.openxmlformats.org/officeDocument/2006/relationships/hyperlink" Target="https://www.bls.gov/oes/current/oes190000.htm" TargetMode="External"/><Relationship Id="rId2" Type="http://schemas.openxmlformats.org/officeDocument/2006/relationships/numbering" Target="numbering.xml"/><Relationship Id="rId16" Type="http://schemas.openxmlformats.org/officeDocument/2006/relationships/hyperlink" Target="https://floridakeys.noaa.gov/permits/tortugas.html"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ctuaries.noaa.gov/management/permits/" TargetMode="External"/><Relationship Id="rId5" Type="http://schemas.openxmlformats.org/officeDocument/2006/relationships/webSettings" Target="webSettings.xml"/><Relationship Id="rId15" Type="http://schemas.openxmlformats.org/officeDocument/2006/relationships/hyperlink" Target="https://floridakeys.noaa.gov/permits/tortugas.html" TargetMode="External"/><Relationship Id="rId23" Type="http://schemas.openxmlformats.org/officeDocument/2006/relationships/theme" Target="theme/theme1.xml"/><Relationship Id="rId10" Type="http://schemas.openxmlformats.org/officeDocument/2006/relationships/hyperlink" Target="http://www.fws.gov/informationquality/section515.html"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www.ecfr.gov/cgi-bin/text-idx?tpl=/ecfrbrowse/Title15/15cfr922_main_02.tpl"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EA33-C526-408C-AC6B-4021CEFF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6175</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14</cp:revision>
  <dcterms:created xsi:type="dcterms:W3CDTF">2021-07-16T20:41:00Z</dcterms:created>
  <dcterms:modified xsi:type="dcterms:W3CDTF">2021-07-17T17:52:00Z</dcterms:modified>
</cp:coreProperties>
</file>