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F11C9" w:rsidP="00F66D32" w:rsidRDefault="000F11C9" w14:paraId="6AEBBA96" w14:textId="4E30E70C">
      <w:pPr>
        <w:spacing w:after="0" w:line="240" w:lineRule="auto"/>
        <w:jc w:val="center"/>
        <w:rPr>
          <w:rFonts w:ascii="Times New Roman" w:hAnsi="Times New Roman"/>
          <w:sz w:val="24"/>
          <w:szCs w:val="24"/>
        </w:rPr>
      </w:pPr>
      <w:r>
        <w:rPr>
          <w:rFonts w:ascii="Times New Roman" w:hAnsi="Times New Roman"/>
          <w:sz w:val="24"/>
          <w:szCs w:val="24"/>
        </w:rPr>
        <w:t xml:space="preserve">FOOD </w:t>
      </w:r>
      <w:r w:rsidR="007352D9">
        <w:rPr>
          <w:rFonts w:ascii="Times New Roman" w:hAnsi="Times New Roman"/>
          <w:sz w:val="24"/>
          <w:szCs w:val="24"/>
        </w:rPr>
        <w:t xml:space="preserve">&amp; </w:t>
      </w:r>
      <w:r>
        <w:rPr>
          <w:rFonts w:ascii="Times New Roman" w:hAnsi="Times New Roman"/>
          <w:sz w:val="24"/>
          <w:szCs w:val="24"/>
        </w:rPr>
        <w:t>DRUG ADMINISTRATION</w:t>
      </w:r>
    </w:p>
    <w:p w:rsidRPr="000F11C9" w:rsidR="00ED1F53" w:rsidP="008E1A54" w:rsidRDefault="00ED1F53" w14:paraId="7AF328F7" w14:textId="77777777">
      <w:pPr>
        <w:spacing w:after="0" w:line="240" w:lineRule="auto"/>
        <w:jc w:val="center"/>
        <w:rPr>
          <w:rFonts w:ascii="Times New Roman" w:hAnsi="Times New Roman"/>
          <w:sz w:val="24"/>
          <w:szCs w:val="24"/>
        </w:rPr>
      </w:pPr>
    </w:p>
    <w:p w:rsidR="00DA065D" w:rsidP="008E1A54" w:rsidRDefault="00DA065D" w14:paraId="2E8B2B75" w14:textId="762EC5CA">
      <w:pPr>
        <w:spacing w:after="0" w:line="240" w:lineRule="auto"/>
        <w:jc w:val="center"/>
        <w:rPr>
          <w:rFonts w:ascii="Times New Roman" w:hAnsi="Times New Roman"/>
          <w:sz w:val="24"/>
          <w:szCs w:val="24"/>
        </w:rPr>
      </w:pPr>
      <w:r w:rsidRPr="00862CDB">
        <w:rPr>
          <w:rFonts w:ascii="Times New Roman" w:hAnsi="Times New Roman"/>
          <w:sz w:val="24"/>
          <w:szCs w:val="24"/>
        </w:rPr>
        <w:t>Drug Supply Chain Security Act</w:t>
      </w:r>
      <w:r w:rsidR="00320DCD">
        <w:rPr>
          <w:rFonts w:ascii="Times New Roman" w:hAnsi="Times New Roman"/>
          <w:sz w:val="24"/>
          <w:szCs w:val="24"/>
        </w:rPr>
        <w:t xml:space="preserve"> Implementation</w:t>
      </w:r>
    </w:p>
    <w:p w:rsidR="000F11C9" w:rsidP="008E1A54" w:rsidRDefault="000F11C9" w14:paraId="4D873C3C" w14:textId="77777777">
      <w:pPr>
        <w:spacing w:after="0" w:line="240" w:lineRule="auto"/>
        <w:jc w:val="center"/>
        <w:rPr>
          <w:rFonts w:ascii="Times New Roman" w:hAnsi="Times New Roman"/>
          <w:sz w:val="24"/>
          <w:szCs w:val="24"/>
        </w:rPr>
      </w:pPr>
    </w:p>
    <w:p w:rsidRPr="00EF34FE" w:rsidR="00926886" w:rsidP="00E301AD" w:rsidRDefault="000F11C9" w14:paraId="6BBD88E5" w14:textId="555A9385">
      <w:pPr>
        <w:spacing w:line="240" w:lineRule="auto"/>
        <w:jc w:val="center"/>
        <w:rPr>
          <w:rFonts w:ascii="Times New Roman" w:hAnsi="Times New Roman"/>
          <w:sz w:val="24"/>
          <w:szCs w:val="24"/>
          <w:u w:val="single"/>
        </w:rPr>
      </w:pPr>
      <w:r w:rsidRPr="00EF34FE">
        <w:rPr>
          <w:rFonts w:ascii="Times New Roman" w:hAnsi="Times New Roman"/>
          <w:sz w:val="24"/>
          <w:szCs w:val="24"/>
          <w:u w:val="single"/>
        </w:rPr>
        <w:t xml:space="preserve">OMB Control No. </w:t>
      </w:r>
      <w:r w:rsidRPr="00EF34FE" w:rsidR="00596FC7">
        <w:rPr>
          <w:rFonts w:ascii="Times New Roman" w:hAnsi="Times New Roman"/>
          <w:sz w:val="24"/>
          <w:szCs w:val="24"/>
          <w:u w:val="single"/>
        </w:rPr>
        <w:t>0910</w:t>
      </w:r>
      <w:r w:rsidRPr="00EF34FE">
        <w:rPr>
          <w:rFonts w:ascii="Times New Roman" w:hAnsi="Times New Roman"/>
          <w:sz w:val="24"/>
          <w:szCs w:val="24"/>
          <w:u w:val="single"/>
        </w:rPr>
        <w:t>-</w:t>
      </w:r>
      <w:r w:rsidRPr="00EF34FE" w:rsidR="009E4488">
        <w:rPr>
          <w:rFonts w:ascii="Times New Roman" w:hAnsi="Times New Roman"/>
          <w:sz w:val="24"/>
          <w:szCs w:val="24"/>
          <w:u w:val="single"/>
        </w:rPr>
        <w:t>08</w:t>
      </w:r>
      <w:r w:rsidRPr="00EF34FE" w:rsidR="00EF34FE">
        <w:rPr>
          <w:rFonts w:ascii="Times New Roman" w:hAnsi="Times New Roman"/>
          <w:sz w:val="24"/>
          <w:szCs w:val="24"/>
          <w:u w:val="single"/>
        </w:rPr>
        <w:t>06</w:t>
      </w:r>
      <w:r w:rsidR="002766F1">
        <w:rPr>
          <w:rFonts w:ascii="Times New Roman" w:hAnsi="Times New Roman"/>
          <w:sz w:val="24"/>
          <w:szCs w:val="24"/>
          <w:u w:val="single"/>
        </w:rPr>
        <w:t xml:space="preserve"> - </w:t>
      </w:r>
      <w:r w:rsidRPr="00EF34FE" w:rsidR="00F11F37">
        <w:rPr>
          <w:rFonts w:ascii="Times New Roman" w:hAnsi="Times New Roman"/>
          <w:sz w:val="24"/>
          <w:szCs w:val="24"/>
          <w:u w:val="single"/>
        </w:rPr>
        <w:t>Revision</w:t>
      </w:r>
    </w:p>
    <w:p w:rsidR="00A8734D" w:rsidP="008E1A54" w:rsidRDefault="00A8734D" w14:paraId="4469E743" w14:textId="77777777">
      <w:pPr>
        <w:spacing w:line="240" w:lineRule="auto"/>
        <w:rPr>
          <w:rFonts w:ascii="Times New Roman" w:hAnsi="Times New Roman"/>
          <w:sz w:val="24"/>
          <w:szCs w:val="24"/>
        </w:rPr>
      </w:pPr>
    </w:p>
    <w:p w:rsidRPr="002766F1" w:rsidR="00ED1F53" w:rsidP="008E1A54" w:rsidRDefault="000F11C9" w14:paraId="4DF6B1F0" w14:textId="11B413D7">
      <w:pPr>
        <w:spacing w:line="240" w:lineRule="auto"/>
        <w:rPr>
          <w:rFonts w:ascii="Times New Roman" w:hAnsi="Times New Roman"/>
          <w:sz w:val="24"/>
          <w:szCs w:val="24"/>
        </w:rPr>
      </w:pPr>
      <w:r w:rsidRPr="000F11C9">
        <w:rPr>
          <w:rFonts w:ascii="Times New Roman" w:hAnsi="Times New Roman"/>
          <w:sz w:val="24"/>
          <w:szCs w:val="24"/>
        </w:rPr>
        <w:t>SUPPORTING STATEMENT</w:t>
      </w:r>
      <w:r w:rsidR="002766F1">
        <w:rPr>
          <w:rFonts w:ascii="Times New Roman" w:hAnsi="Times New Roman"/>
          <w:sz w:val="24"/>
          <w:szCs w:val="24"/>
        </w:rPr>
        <w:t xml:space="preserve"> – </w:t>
      </w:r>
      <w:r w:rsidRPr="00ED1F53" w:rsidR="00ED1F53">
        <w:rPr>
          <w:rFonts w:ascii="Times New Roman" w:hAnsi="Times New Roman"/>
          <w:b/>
          <w:sz w:val="24"/>
          <w:szCs w:val="24"/>
        </w:rPr>
        <w:t>Part A</w:t>
      </w:r>
      <w:r w:rsidR="00ED1F53">
        <w:rPr>
          <w:rFonts w:ascii="Times New Roman" w:hAnsi="Times New Roman"/>
          <w:b/>
          <w:sz w:val="24"/>
          <w:szCs w:val="24"/>
        </w:rPr>
        <w:t xml:space="preserve">:  </w:t>
      </w:r>
      <w:r w:rsidRPr="003454A2" w:rsidR="00A259A6">
        <w:rPr>
          <w:rFonts w:ascii="Times New Roman" w:hAnsi="Times New Roman"/>
          <w:b/>
          <w:sz w:val="24"/>
          <w:szCs w:val="24"/>
        </w:rPr>
        <w:t>Justification</w:t>
      </w:r>
    </w:p>
    <w:p w:rsidR="00A259A6" w:rsidP="008E1A54" w:rsidRDefault="00A259A6" w14:paraId="337795CF" w14:textId="4B2F478C">
      <w:pPr>
        <w:spacing w:after="0" w:line="240" w:lineRule="auto"/>
        <w:rPr>
          <w:rFonts w:ascii="Times New Roman" w:hAnsi="Times New Roman"/>
          <w:sz w:val="24"/>
          <w:szCs w:val="24"/>
          <w:u w:val="single"/>
        </w:rPr>
      </w:pPr>
      <w:r w:rsidRPr="00006A9F">
        <w:rPr>
          <w:rFonts w:ascii="Times New Roman" w:hAnsi="Times New Roman"/>
          <w:sz w:val="24"/>
          <w:szCs w:val="24"/>
        </w:rPr>
        <w:t xml:space="preserve">1. </w:t>
      </w:r>
      <w:r w:rsidRPr="00006A9F">
        <w:rPr>
          <w:rFonts w:ascii="Times New Roman" w:hAnsi="Times New Roman"/>
          <w:sz w:val="24"/>
          <w:szCs w:val="24"/>
          <w:u w:val="single"/>
        </w:rPr>
        <w:t>Circumstances Making the Collection of Information Necessary</w:t>
      </w:r>
    </w:p>
    <w:p w:rsidRPr="00006A9F" w:rsidR="000F11C9" w:rsidP="008E1A54" w:rsidRDefault="000F11C9" w14:paraId="2144780F" w14:textId="77777777">
      <w:pPr>
        <w:spacing w:after="0" w:line="240" w:lineRule="auto"/>
        <w:ind w:left="720" w:hanging="360"/>
        <w:rPr>
          <w:rFonts w:ascii="Times New Roman" w:hAnsi="Times New Roman"/>
          <w:sz w:val="24"/>
          <w:szCs w:val="24"/>
        </w:rPr>
      </w:pPr>
    </w:p>
    <w:p w:rsidR="007F4882" w:rsidP="00FF4C2D" w:rsidRDefault="002861B1" w14:paraId="2235FA5E" w14:textId="252AF0C4">
      <w:pPr>
        <w:pStyle w:val="BodyText"/>
        <w:ind w:left="0"/>
      </w:pPr>
      <w:r w:rsidRPr="002861B1">
        <w:t xml:space="preserve">This information collection supports implementation of provisions in section </w:t>
      </w:r>
      <w:r w:rsidR="008C58EA">
        <w:t xml:space="preserve">581 and </w:t>
      </w:r>
      <w:r w:rsidRPr="002861B1">
        <w:t>582 of the Federal Food, Drug, and Cosmetic Act (FD&amp;C Act) regarding the pharmaceutical distribution supply chain.  Section 202 of the Drug Supply Chain Security Act (DSCSA) (Title II of Pub. L. 113-54), added sections 581 and 582 to the FD&amp;C Act (21 U.S.C. 360eee and 360eee-1) and governs the tracing of certain pharmaceutical drugs, outlining critical steps for an electronic interoperable system to identify these products as they are distributed within the United States.</w:t>
      </w:r>
    </w:p>
    <w:p w:rsidR="00A67DF3" w:rsidP="00FF4C2D" w:rsidRDefault="00A67DF3" w14:paraId="29F13F9B" w14:textId="77777777">
      <w:pPr>
        <w:pStyle w:val="BodyText"/>
        <w:ind w:left="0"/>
      </w:pPr>
    </w:p>
    <w:p w:rsidR="0065181E" w:rsidP="00FF4C2D" w:rsidRDefault="0065181E" w14:paraId="73FA3271" w14:textId="2EA6E6DC">
      <w:pPr>
        <w:pStyle w:val="BodyText"/>
        <w:ind w:left="0"/>
      </w:pPr>
      <w:r>
        <w:t>To strengthen FDA’s ability to help protect consumers from exposure to drugs that may be counterfeit, stolen, contaminated, or otherwise harmful, section 203 of the DSCSA added enhanced security provisions to section 582 of the FD&amp;C Act.  The terms and definitions established in section 581 of the FD&amp;C Act are applicable to provisions set forth in section 582, which require the capture, exchange, and verification of pharmaceutical drug product transaction information, transaction history, and transaction statements by respondents.  Section 582 also requires that certain notifications are made by respondents to FDA and provides for respondent notification disclosures applicable to suspect and illegitimate product data elements.  The recordkeeping and notification provisions included in section 582 also provide for inspection of records by FDA and establish minimum retention schedules.  Finally, section 582 provides for the establishment of waivers, exceptions, and exemptions from any of the requirements.</w:t>
      </w:r>
    </w:p>
    <w:p w:rsidR="0065181E" w:rsidP="00FF4C2D" w:rsidRDefault="0065181E" w14:paraId="53F346CF" w14:textId="77777777">
      <w:pPr>
        <w:pStyle w:val="BodyText"/>
        <w:ind w:left="0"/>
      </w:pPr>
    </w:p>
    <w:p w:rsidR="0065181E" w:rsidP="00FF4C2D" w:rsidRDefault="0065181E" w14:paraId="606E0B9D" w14:textId="78938D80">
      <w:pPr>
        <w:pStyle w:val="BodyText"/>
        <w:ind w:left="0"/>
      </w:pPr>
      <w:r>
        <w:t xml:space="preserve">To assist respondents with reporting requirements, we developed Form FDA 3911 entitled Drug Notification and the corresponding instructional document “INSTRUCTIONS FOR COMPLETION OF FORM FDA 3911--DRUG NOTIFICATION.”  Form FDA 3911 and the instructions are available from, and may be completed using, our website at </w:t>
      </w:r>
      <w:hyperlink w:history="1" r:id="rId8">
        <w:r w:rsidRPr="004F57F3" w:rsidR="00FD7DEC">
          <w:rPr>
            <w:rStyle w:val="Hyperlink"/>
          </w:rPr>
          <w:t>https://www.fda.gov/drugs/drug-supply-chain-security-act-dscsa/drug-notifications-frequently-asked-questions</w:t>
        </w:r>
      </w:hyperlink>
      <w:r>
        <w:t xml:space="preserve">.  Form FDA 3911 is intended to provide a uniform format for initial notifications, followup notifications, and requests for the termination of a notification.  The guidance document entitled “Drug Supply Chain Security Act Implementation:  Identification of Suspect Product and Notification” (Revision 1, June 2021; available at </w:t>
      </w:r>
      <w:hyperlink w:history="1" r:id="rId9">
        <w:r w:rsidRPr="003314F9" w:rsidR="00AD5274">
          <w:rPr>
            <w:rStyle w:val="Hyperlink"/>
          </w:rPr>
          <w:t>https://www.fda.gov/regulatory-information/search-fda-guidance-documents/drug-supply-chain-security-act-implementation-identification-suspect-product-and-notification</w:t>
        </w:r>
      </w:hyperlink>
      <w:r>
        <w:t>) was developed to assist respondents with identifying a suspect product as defined at section 581(21) of the FD&amp;C Act and in making determinations in this regard.</w:t>
      </w:r>
    </w:p>
    <w:p w:rsidR="0065181E" w:rsidP="00FF4C2D" w:rsidRDefault="0065181E" w14:paraId="3D82F664" w14:textId="77777777">
      <w:pPr>
        <w:pStyle w:val="BodyText"/>
        <w:ind w:left="0"/>
      </w:pPr>
    </w:p>
    <w:p w:rsidR="0065181E" w:rsidP="00FF4C2D" w:rsidRDefault="0065181E" w14:paraId="78C07BE5" w14:textId="1AA02150">
      <w:pPr>
        <w:pStyle w:val="BodyText"/>
        <w:ind w:left="0"/>
      </w:pPr>
      <w:r>
        <w:t>We also developed the draft guidance document entitled “</w:t>
      </w:r>
      <w:r w:rsidRPr="00A8734D">
        <w:rPr>
          <w:i/>
          <w:iCs/>
        </w:rPr>
        <w:t>Waivers, Exceptions, and Exemptions from the Requirements of Section 582 of the Federal Food, Drug, and Cosmetic Act</w:t>
      </w:r>
      <w:r>
        <w:t xml:space="preserve">” (May 2018; </w:t>
      </w:r>
      <w:r>
        <w:lastRenderedPageBreak/>
        <w:t xml:space="preserve">available at </w:t>
      </w:r>
      <w:hyperlink w:history="1" r:id="rId10">
        <w:r w:rsidRPr="003314F9" w:rsidR="00AD5274">
          <w:rPr>
            <w:rStyle w:val="Hyperlink"/>
          </w:rPr>
          <w:t>https://www.fda.gov/regulatory-information/search-fda-guidance-documents/waivers-exceptions-and-exemptions-requirements-section-582-federal-food-drug-and-cosmetic-act</w:t>
        </w:r>
      </w:hyperlink>
      <w:r>
        <w:t>).  Respondents seeking waivers, exceptions, or exemptions from any of the requirements may submit a request to FDA.  The draft guidance explains Agency established processes by which:  (1) a trading partner may request a waiver from certain requirements in section 582 if it would result in an undue economic hardship or for emergency medical reasons; (2) a manufacturer or repackager may request an exception to the section 582 requirements related to product identifiers if a product is packaged in a container too small or otherwise unable to accommodate a label with sufficient space to bear the required information; and (3) FDA may determine other products or transactions that shall be exempt from requirements of section 582.</w:t>
      </w:r>
    </w:p>
    <w:p w:rsidR="0065181E" w:rsidP="00FF4C2D" w:rsidRDefault="0065181E" w14:paraId="1834CC06" w14:textId="77777777">
      <w:pPr>
        <w:pStyle w:val="BodyText"/>
        <w:ind w:left="0"/>
      </w:pPr>
    </w:p>
    <w:p w:rsidR="000F11C9" w:rsidRDefault="00B763F3" w14:paraId="5D5CDB51" w14:textId="694368C8">
      <w:pPr>
        <w:spacing w:after="0" w:line="240" w:lineRule="auto"/>
        <w:rPr>
          <w:rFonts w:ascii="Times New Roman" w:hAnsi="Times New Roman"/>
          <w:color w:val="000000"/>
          <w:sz w:val="24"/>
          <w:szCs w:val="24"/>
          <w:lang w:val="en"/>
        </w:rPr>
      </w:pPr>
      <w:r w:rsidRPr="007723B3">
        <w:rPr>
          <w:rFonts w:ascii="Times New Roman" w:hAnsi="Times New Roman" w:eastAsia="Times New Roman" w:cstheme="minorBidi"/>
          <w:sz w:val="24"/>
          <w:szCs w:val="24"/>
        </w:rPr>
        <w:t xml:space="preserve">We </w:t>
      </w:r>
      <w:r w:rsidR="00A34DA8">
        <w:rPr>
          <w:rFonts w:ascii="Times New Roman" w:hAnsi="Times New Roman" w:eastAsia="Times New Roman" w:cstheme="minorBidi"/>
          <w:sz w:val="24"/>
          <w:szCs w:val="24"/>
        </w:rPr>
        <w:t xml:space="preserve">therefore </w:t>
      </w:r>
      <w:r w:rsidRPr="007723B3" w:rsidR="00D601BC">
        <w:rPr>
          <w:rFonts w:ascii="Times New Roman" w:hAnsi="Times New Roman" w:eastAsia="Times New Roman" w:cstheme="minorBidi"/>
          <w:sz w:val="24"/>
          <w:szCs w:val="24"/>
        </w:rPr>
        <w:t>request OMB approval</w:t>
      </w:r>
      <w:r w:rsidR="00C51E04">
        <w:rPr>
          <w:rFonts w:ascii="Times New Roman" w:hAnsi="Times New Roman" w:eastAsia="Times New Roman" w:cstheme="minorBidi"/>
          <w:sz w:val="24"/>
          <w:szCs w:val="24"/>
        </w:rPr>
        <w:t xml:space="preserve"> </w:t>
      </w:r>
      <w:r w:rsidR="00A34DA8">
        <w:rPr>
          <w:rFonts w:ascii="Times New Roman" w:hAnsi="Times New Roman" w:eastAsia="Times New Roman" w:cstheme="minorBidi"/>
          <w:sz w:val="24"/>
          <w:szCs w:val="24"/>
        </w:rPr>
        <w:t xml:space="preserve">of </w:t>
      </w:r>
      <w:r w:rsidRPr="007723B3" w:rsidR="00D601BC">
        <w:rPr>
          <w:rFonts w:ascii="Times New Roman" w:hAnsi="Times New Roman" w:eastAsia="Times New Roman" w:cstheme="minorBidi"/>
          <w:sz w:val="24"/>
          <w:szCs w:val="24"/>
        </w:rPr>
        <w:t xml:space="preserve"> the information collection </w:t>
      </w:r>
      <w:r w:rsidR="00C51E04">
        <w:rPr>
          <w:rFonts w:ascii="Times New Roman" w:hAnsi="Times New Roman" w:eastAsia="Times New Roman" w:cstheme="minorBidi"/>
          <w:sz w:val="24"/>
          <w:szCs w:val="24"/>
        </w:rPr>
        <w:t xml:space="preserve">provisions </w:t>
      </w:r>
      <w:r w:rsidRPr="007723B3" w:rsidR="00D601BC">
        <w:rPr>
          <w:rFonts w:ascii="Times New Roman" w:hAnsi="Times New Roman" w:eastAsia="Times New Roman" w:cstheme="minorBidi"/>
          <w:sz w:val="24"/>
          <w:szCs w:val="24"/>
        </w:rPr>
        <w:t xml:space="preserve">found in </w:t>
      </w:r>
      <w:r w:rsidRPr="007723B3" w:rsidR="00657865">
        <w:rPr>
          <w:rFonts w:ascii="Times New Roman" w:hAnsi="Times New Roman" w:eastAsia="Times New Roman" w:cstheme="minorBidi"/>
          <w:sz w:val="24"/>
          <w:szCs w:val="24"/>
        </w:rPr>
        <w:t xml:space="preserve">21 U.S.C. </w:t>
      </w:r>
      <w:r w:rsidRPr="007723B3" w:rsidR="00A819F4">
        <w:rPr>
          <w:rFonts w:ascii="Times New Roman" w:hAnsi="Times New Roman" w:eastAsia="Times New Roman" w:cstheme="minorBidi"/>
          <w:sz w:val="24"/>
          <w:szCs w:val="24"/>
        </w:rPr>
        <w:t>360eee-1 regarding notifications of illegitimate product and product with a high risk of illegitimacy</w:t>
      </w:r>
      <w:r w:rsidR="0016173C">
        <w:rPr>
          <w:rFonts w:ascii="Times New Roman" w:hAnsi="Times New Roman"/>
          <w:color w:val="000000"/>
          <w:sz w:val="24"/>
          <w:szCs w:val="24"/>
          <w:lang w:val="en"/>
        </w:rPr>
        <w:t xml:space="preserve"> </w:t>
      </w:r>
      <w:r w:rsidR="00C51E04">
        <w:rPr>
          <w:rFonts w:ascii="Times New Roman" w:hAnsi="Times New Roman"/>
          <w:color w:val="000000"/>
          <w:sz w:val="24"/>
          <w:szCs w:val="24"/>
          <w:lang w:val="en"/>
        </w:rPr>
        <w:t xml:space="preserve">as </w:t>
      </w:r>
      <w:r w:rsidRPr="00D601BC" w:rsidR="00D601BC">
        <w:rPr>
          <w:rFonts w:ascii="Times New Roman" w:hAnsi="Times New Roman"/>
          <w:color w:val="000000"/>
          <w:sz w:val="24"/>
          <w:szCs w:val="24"/>
          <w:lang w:val="en"/>
        </w:rPr>
        <w:t xml:space="preserve">discussed in </w:t>
      </w:r>
      <w:r w:rsidR="00A34DA8">
        <w:rPr>
          <w:rFonts w:ascii="Times New Roman" w:hAnsi="Times New Roman"/>
          <w:color w:val="000000"/>
          <w:sz w:val="24"/>
          <w:szCs w:val="24"/>
          <w:lang w:val="en"/>
        </w:rPr>
        <w:t xml:space="preserve">the referenced agency </w:t>
      </w:r>
      <w:r w:rsidRPr="00D601BC" w:rsidR="00D601BC">
        <w:rPr>
          <w:rFonts w:ascii="Times New Roman" w:hAnsi="Times New Roman"/>
          <w:color w:val="000000"/>
          <w:sz w:val="24"/>
          <w:szCs w:val="24"/>
          <w:lang w:val="en"/>
        </w:rPr>
        <w:t>guidance documents</w:t>
      </w:r>
      <w:r w:rsidR="00966141">
        <w:rPr>
          <w:rFonts w:ascii="Times New Roman" w:hAnsi="Times New Roman"/>
          <w:color w:val="000000"/>
          <w:sz w:val="24"/>
          <w:szCs w:val="24"/>
          <w:lang w:val="en"/>
        </w:rPr>
        <w:t>.</w:t>
      </w:r>
      <w:r w:rsidRPr="00D601BC" w:rsidDel="00A97E03" w:rsidR="00A97E03">
        <w:rPr>
          <w:rFonts w:ascii="Times New Roman" w:hAnsi="Times New Roman"/>
          <w:color w:val="000000"/>
          <w:sz w:val="24"/>
          <w:szCs w:val="24"/>
          <w:lang w:val="en"/>
        </w:rPr>
        <w:t xml:space="preserve"> </w:t>
      </w:r>
    </w:p>
    <w:p w:rsidR="00B0620D" w:rsidP="008E1A54" w:rsidRDefault="00B0620D" w14:paraId="3152CFE7" w14:textId="77777777">
      <w:pPr>
        <w:spacing w:after="0" w:line="240" w:lineRule="auto"/>
        <w:rPr>
          <w:rFonts w:ascii="Times New Roman" w:hAnsi="Times New Roman"/>
          <w:color w:val="000000"/>
          <w:sz w:val="24"/>
          <w:szCs w:val="24"/>
          <w:lang w:val="en"/>
        </w:rPr>
      </w:pPr>
    </w:p>
    <w:p w:rsidR="00A259A6" w:rsidP="008E1A54" w:rsidRDefault="000F11C9" w14:paraId="337795D1" w14:textId="36145BF0">
      <w:pPr>
        <w:spacing w:after="0" w:line="240" w:lineRule="auto"/>
        <w:rPr>
          <w:rFonts w:ascii="Times New Roman" w:hAnsi="Times New Roman"/>
          <w:sz w:val="24"/>
          <w:szCs w:val="24"/>
          <w:u w:val="single"/>
        </w:rPr>
      </w:pPr>
      <w:r>
        <w:rPr>
          <w:rFonts w:ascii="Times New Roman" w:hAnsi="Times New Roman"/>
          <w:sz w:val="24"/>
          <w:szCs w:val="24"/>
        </w:rPr>
        <w:t xml:space="preserve">2. </w:t>
      </w:r>
      <w:r w:rsidR="00A259A6">
        <w:rPr>
          <w:rFonts w:ascii="Times New Roman" w:hAnsi="Times New Roman"/>
          <w:sz w:val="24"/>
          <w:szCs w:val="24"/>
          <w:u w:val="single"/>
        </w:rPr>
        <w:t>Purpose and Use of the Information Collection</w:t>
      </w:r>
    </w:p>
    <w:p w:rsidR="00AD5274" w:rsidP="008E1A54" w:rsidRDefault="00AD5274" w14:paraId="4617E918" w14:textId="77777777">
      <w:pPr>
        <w:spacing w:after="0" w:line="240" w:lineRule="auto"/>
        <w:rPr>
          <w:rFonts w:ascii="Times New Roman" w:hAnsi="Times New Roman"/>
          <w:sz w:val="24"/>
          <w:szCs w:val="24"/>
          <w:u w:val="single"/>
        </w:rPr>
      </w:pPr>
    </w:p>
    <w:p w:rsidRPr="00B02CC0" w:rsidR="00D4276B" w:rsidP="00D4276B" w:rsidRDefault="00EA764D" w14:paraId="78857A0E" w14:textId="7734CB4E">
      <w:pPr>
        <w:spacing w:after="0" w:line="240" w:lineRule="auto"/>
        <w:ind w:right="86"/>
        <w:rPr>
          <w:rFonts w:ascii="Times New Roman" w:hAnsi="Times New Roman" w:eastAsia="Times New Roman" w:cstheme="minorBidi"/>
          <w:sz w:val="24"/>
          <w:szCs w:val="24"/>
        </w:rPr>
      </w:pPr>
      <w:r w:rsidRPr="00EA764D">
        <w:rPr>
          <w:rFonts w:ascii="Times New Roman" w:hAnsi="Times New Roman" w:eastAsia="Times New Roman" w:cstheme="minorBidi"/>
          <w:sz w:val="24"/>
          <w:szCs w:val="24"/>
        </w:rPr>
        <w:t>Respondents to the information collection are manufacturers, wholesale distributors (“wholesalers”), dispensers, and repackagers, as defined in section 581 of the FD&amp;C Act, of pharmaceutical drug products.</w:t>
      </w:r>
    </w:p>
    <w:p w:rsidRPr="00B02CC0" w:rsidR="00D4276B" w:rsidP="00D4276B" w:rsidRDefault="00D4276B" w14:paraId="33A8715C" w14:textId="77777777">
      <w:pPr>
        <w:spacing w:after="0" w:line="240" w:lineRule="auto"/>
        <w:ind w:left="115" w:right="86"/>
        <w:rPr>
          <w:rFonts w:ascii="Times New Roman" w:hAnsi="Times New Roman" w:eastAsia="Times New Roman" w:cstheme="minorBidi"/>
          <w:sz w:val="24"/>
          <w:szCs w:val="24"/>
        </w:rPr>
      </w:pPr>
    </w:p>
    <w:p w:rsidRPr="00260052" w:rsidR="00681689" w:rsidP="00D4276B" w:rsidRDefault="00D86FD8" w14:paraId="3CD196C9" w14:textId="30C17A5D">
      <w:pPr>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We use the information to evaluate </w:t>
      </w:r>
      <w:r w:rsidRPr="00260052" w:rsidR="00681689">
        <w:rPr>
          <w:rFonts w:ascii="Times New Roman" w:hAnsi="Times New Roman" w:eastAsia="Times New Roman"/>
          <w:sz w:val="24"/>
          <w:szCs w:val="24"/>
        </w:rPr>
        <w:t>the likelihood that</w:t>
      </w:r>
      <w:r w:rsidR="005B1425">
        <w:rPr>
          <w:rFonts w:ascii="Times New Roman" w:hAnsi="Times New Roman" w:eastAsia="Times New Roman"/>
          <w:sz w:val="24"/>
          <w:szCs w:val="24"/>
        </w:rPr>
        <w:t xml:space="preserve">  </w:t>
      </w:r>
      <w:r w:rsidRPr="00260052" w:rsidR="00681689">
        <w:rPr>
          <w:rFonts w:ascii="Times New Roman" w:hAnsi="Times New Roman" w:eastAsia="Times New Roman"/>
          <w:sz w:val="24"/>
          <w:szCs w:val="24"/>
        </w:rPr>
        <w:t>illegitimate products or products with a high risk of illegitimacy</w:t>
      </w:r>
      <w:r w:rsidR="00AB7ECF">
        <w:rPr>
          <w:rFonts w:ascii="Times New Roman" w:hAnsi="Times New Roman" w:eastAsia="Times New Roman"/>
          <w:sz w:val="24"/>
          <w:szCs w:val="24"/>
        </w:rPr>
        <w:t xml:space="preserve"> may</w:t>
      </w:r>
      <w:r w:rsidRPr="00260052" w:rsidR="00681689">
        <w:rPr>
          <w:rFonts w:ascii="Times New Roman" w:hAnsi="Times New Roman" w:eastAsia="Times New Roman"/>
          <w:sz w:val="24"/>
          <w:szCs w:val="24"/>
        </w:rPr>
        <w:t xml:space="preserve"> be widely disseminated in the U.S. supply chain</w:t>
      </w:r>
      <w:r w:rsidR="00110902">
        <w:rPr>
          <w:rFonts w:ascii="Times New Roman" w:hAnsi="Times New Roman" w:eastAsia="Times New Roman"/>
          <w:sz w:val="24"/>
          <w:szCs w:val="24"/>
        </w:rPr>
        <w:t xml:space="preserve"> so that mitigation of public health risks can be expeditiously administered</w:t>
      </w:r>
      <w:r w:rsidRPr="00260052" w:rsidR="00681689">
        <w:rPr>
          <w:rFonts w:ascii="Times New Roman" w:hAnsi="Times New Roman" w:eastAsia="Times New Roman"/>
          <w:sz w:val="24"/>
          <w:szCs w:val="24"/>
        </w:rPr>
        <w:t xml:space="preserve">.  </w:t>
      </w:r>
      <w:r w:rsidR="00A94854">
        <w:rPr>
          <w:rFonts w:ascii="Times New Roman" w:hAnsi="Times New Roman" w:eastAsia="Times New Roman"/>
          <w:sz w:val="24"/>
          <w:szCs w:val="24"/>
        </w:rPr>
        <w:t xml:space="preserve">Notifying FDA and trading partners that could possess the illegitimate product (or product with a high risk of illegitimacy) allows stakeholders </w:t>
      </w:r>
      <w:r w:rsidRPr="00260052" w:rsidR="00681689">
        <w:rPr>
          <w:rFonts w:ascii="Times New Roman" w:hAnsi="Times New Roman" w:eastAsia="Times New Roman"/>
          <w:sz w:val="24"/>
          <w:szCs w:val="24"/>
        </w:rPr>
        <w:t xml:space="preserve">to work </w:t>
      </w:r>
      <w:r w:rsidR="00ED0E0E">
        <w:rPr>
          <w:rFonts w:ascii="Times New Roman" w:hAnsi="Times New Roman" w:eastAsia="Times New Roman"/>
          <w:sz w:val="24"/>
          <w:szCs w:val="24"/>
        </w:rPr>
        <w:t xml:space="preserve">collaboratively </w:t>
      </w:r>
      <w:r w:rsidRPr="00260052" w:rsidR="00681689">
        <w:rPr>
          <w:rFonts w:ascii="Times New Roman" w:hAnsi="Times New Roman" w:eastAsia="Times New Roman"/>
          <w:sz w:val="24"/>
          <w:szCs w:val="24"/>
        </w:rPr>
        <w:t xml:space="preserve">to </w:t>
      </w:r>
      <w:r w:rsidR="00ED0E0E">
        <w:rPr>
          <w:rFonts w:ascii="Times New Roman" w:hAnsi="Times New Roman" w:eastAsia="Times New Roman"/>
          <w:sz w:val="24"/>
          <w:szCs w:val="24"/>
        </w:rPr>
        <w:t xml:space="preserve">remove potentially dangerous product from the </w:t>
      </w:r>
      <w:r w:rsidR="00A94854">
        <w:rPr>
          <w:rFonts w:ascii="Times New Roman" w:hAnsi="Times New Roman" w:eastAsia="Times New Roman"/>
          <w:sz w:val="24"/>
          <w:szCs w:val="24"/>
        </w:rPr>
        <w:t xml:space="preserve">supply chain and </w:t>
      </w:r>
      <w:r w:rsidRPr="00260052" w:rsidR="00681689">
        <w:rPr>
          <w:rFonts w:ascii="Times New Roman" w:hAnsi="Times New Roman" w:eastAsia="Times New Roman"/>
          <w:sz w:val="24"/>
          <w:szCs w:val="24"/>
        </w:rPr>
        <w:t>alert consumers about the product, if necessary.</w:t>
      </w:r>
    </w:p>
    <w:p w:rsidRPr="00260052" w:rsidR="00260052" w:rsidP="00681689" w:rsidRDefault="00260052" w14:paraId="6BE7FDB8" w14:textId="4403199E">
      <w:pPr>
        <w:spacing w:after="0" w:line="240" w:lineRule="auto"/>
        <w:rPr>
          <w:rFonts w:ascii="Times New Roman" w:hAnsi="Times New Roman" w:eastAsia="Times New Roman"/>
          <w:sz w:val="24"/>
          <w:szCs w:val="24"/>
        </w:rPr>
      </w:pPr>
    </w:p>
    <w:p w:rsidR="00A259A6" w:rsidP="008E1A54" w:rsidRDefault="000F11C9" w14:paraId="337795D4" w14:textId="29AFF00E">
      <w:pPr>
        <w:spacing w:after="0" w:line="240" w:lineRule="auto"/>
        <w:rPr>
          <w:rFonts w:ascii="Times New Roman" w:hAnsi="Times New Roman"/>
          <w:sz w:val="24"/>
          <w:szCs w:val="24"/>
          <w:u w:val="single"/>
        </w:rPr>
      </w:pPr>
      <w:r>
        <w:rPr>
          <w:rFonts w:ascii="Times New Roman" w:hAnsi="Times New Roman"/>
          <w:sz w:val="24"/>
          <w:szCs w:val="24"/>
        </w:rPr>
        <w:t xml:space="preserve">3. </w:t>
      </w:r>
      <w:r w:rsidR="00A259A6">
        <w:rPr>
          <w:rFonts w:ascii="Times New Roman" w:hAnsi="Times New Roman"/>
          <w:sz w:val="24"/>
          <w:szCs w:val="24"/>
          <w:u w:val="single"/>
        </w:rPr>
        <w:t>Use of Improved Information Technology and Burden Reduction</w:t>
      </w:r>
    </w:p>
    <w:p w:rsidR="000F11C9" w:rsidP="008E1A54" w:rsidRDefault="000F11C9" w14:paraId="2B861048" w14:textId="77777777">
      <w:pPr>
        <w:spacing w:after="0" w:line="240" w:lineRule="auto"/>
        <w:rPr>
          <w:rFonts w:ascii="Times New Roman" w:hAnsi="Times New Roman"/>
          <w:sz w:val="24"/>
          <w:szCs w:val="24"/>
          <w:u w:val="single"/>
        </w:rPr>
      </w:pPr>
    </w:p>
    <w:p w:rsidR="000F11C9" w:rsidP="009E0E08" w:rsidRDefault="00F16403" w14:paraId="611FC21E" w14:textId="0CE8D3AB">
      <w:pPr>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We developed </w:t>
      </w:r>
      <w:r w:rsidR="0089667F">
        <w:rPr>
          <w:rFonts w:ascii="Times New Roman" w:hAnsi="Times New Roman"/>
          <w:color w:val="000000"/>
          <w:sz w:val="24"/>
          <w:szCs w:val="24"/>
          <w:lang w:val="en"/>
        </w:rPr>
        <w:t xml:space="preserve">Form </w:t>
      </w:r>
      <w:r w:rsidR="00046CAD">
        <w:rPr>
          <w:rFonts w:ascii="Times New Roman" w:hAnsi="Times New Roman"/>
          <w:color w:val="000000"/>
          <w:sz w:val="24"/>
          <w:szCs w:val="24"/>
          <w:lang w:val="en"/>
        </w:rPr>
        <w:t xml:space="preserve">FDA </w:t>
      </w:r>
      <w:r w:rsidR="00260052">
        <w:rPr>
          <w:rFonts w:ascii="Times New Roman" w:hAnsi="Times New Roman"/>
          <w:color w:val="000000"/>
          <w:sz w:val="24"/>
          <w:szCs w:val="24"/>
          <w:lang w:val="en"/>
        </w:rPr>
        <w:t xml:space="preserve">3911 as an efficient way to standardize and collect the information that </w:t>
      </w:r>
      <w:r>
        <w:rPr>
          <w:rFonts w:ascii="Times New Roman" w:hAnsi="Times New Roman"/>
          <w:color w:val="000000"/>
          <w:sz w:val="24"/>
          <w:szCs w:val="24"/>
          <w:lang w:val="en"/>
        </w:rPr>
        <w:t>we</w:t>
      </w:r>
      <w:r w:rsidR="00260052">
        <w:rPr>
          <w:rFonts w:ascii="Times New Roman" w:hAnsi="Times New Roman"/>
          <w:color w:val="000000"/>
          <w:sz w:val="24"/>
          <w:szCs w:val="24"/>
          <w:lang w:val="en"/>
        </w:rPr>
        <w:t xml:space="preserve"> need from the various trading partners about an illegitimate product or product with a high risk of illegitimacy</w:t>
      </w:r>
      <w:r w:rsidR="009E0E08">
        <w:rPr>
          <w:rFonts w:ascii="Times New Roman" w:hAnsi="Times New Roman"/>
          <w:color w:val="000000"/>
          <w:sz w:val="24"/>
          <w:szCs w:val="24"/>
          <w:lang w:val="en"/>
        </w:rPr>
        <w:t xml:space="preserve">. </w:t>
      </w:r>
      <w:r w:rsidR="00A135A9">
        <w:rPr>
          <w:rFonts w:ascii="Times New Roman" w:hAnsi="Times New Roman"/>
          <w:color w:val="000000"/>
          <w:sz w:val="24"/>
          <w:szCs w:val="24"/>
          <w:lang w:val="en"/>
        </w:rPr>
        <w:t xml:space="preserve"> </w:t>
      </w:r>
      <w:r w:rsidR="009E0E08">
        <w:rPr>
          <w:rFonts w:ascii="Times New Roman" w:hAnsi="Times New Roman"/>
          <w:color w:val="000000"/>
          <w:sz w:val="24"/>
          <w:szCs w:val="24"/>
          <w:lang w:val="en"/>
        </w:rPr>
        <w:t>It is a fillable form that simplifies the process and provides for more efficient notification by trading partners.</w:t>
      </w:r>
    </w:p>
    <w:p w:rsidR="009E0E08" w:rsidP="009E0E08" w:rsidRDefault="009E0E08" w14:paraId="339E4BBC" w14:textId="77777777">
      <w:pPr>
        <w:spacing w:after="0" w:line="240" w:lineRule="auto"/>
      </w:pPr>
    </w:p>
    <w:p w:rsidR="00A259A6" w:rsidP="008E1A54" w:rsidRDefault="000F11C9" w14:paraId="337795D6" w14:textId="186A8D7C">
      <w:pPr>
        <w:spacing w:after="0" w:line="240" w:lineRule="auto"/>
        <w:rPr>
          <w:rFonts w:ascii="Times New Roman" w:hAnsi="Times New Roman"/>
          <w:sz w:val="24"/>
          <w:szCs w:val="24"/>
          <w:u w:val="single"/>
        </w:rPr>
      </w:pPr>
      <w:r>
        <w:rPr>
          <w:rFonts w:ascii="Times New Roman" w:hAnsi="Times New Roman"/>
          <w:sz w:val="24"/>
          <w:szCs w:val="24"/>
        </w:rPr>
        <w:t>4.</w:t>
      </w:r>
      <w:r w:rsidR="00772F7F">
        <w:rPr>
          <w:rFonts w:ascii="Times New Roman" w:hAnsi="Times New Roman"/>
          <w:sz w:val="24"/>
          <w:szCs w:val="24"/>
        </w:rPr>
        <w:t xml:space="preserve"> </w:t>
      </w:r>
      <w:r w:rsidR="00A259A6">
        <w:rPr>
          <w:rFonts w:ascii="Times New Roman" w:hAnsi="Times New Roman"/>
          <w:sz w:val="24"/>
          <w:szCs w:val="24"/>
          <w:u w:val="single"/>
        </w:rPr>
        <w:t>Efforts to Identify Duplication and Use of Similar Information</w:t>
      </w:r>
    </w:p>
    <w:p w:rsidR="001C16BD" w:rsidP="008E1A54" w:rsidRDefault="001C16BD" w14:paraId="711005BA" w14:textId="77777777">
      <w:pPr>
        <w:autoSpaceDE w:val="0"/>
        <w:autoSpaceDN w:val="0"/>
        <w:adjustRightInd w:val="0"/>
        <w:spacing w:after="0" w:line="240" w:lineRule="auto"/>
        <w:rPr>
          <w:rFonts w:ascii="Times New Roman" w:hAnsi="Times New Roman"/>
          <w:sz w:val="24"/>
          <w:szCs w:val="24"/>
        </w:rPr>
      </w:pPr>
    </w:p>
    <w:p w:rsidR="009E0E08" w:rsidP="008E1A54" w:rsidRDefault="00A55D33" w14:paraId="1A62211C" w14:textId="693B5ED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We are unaware of duplicative information collection</w:t>
      </w:r>
      <w:r w:rsidR="00F57465">
        <w:rPr>
          <w:rFonts w:ascii="Times New Roman" w:hAnsi="Times New Roman"/>
          <w:sz w:val="24"/>
          <w:szCs w:val="24"/>
        </w:rPr>
        <w:t>s</w:t>
      </w:r>
      <w:r w:rsidR="009E0E08">
        <w:rPr>
          <w:rFonts w:ascii="Times New Roman" w:hAnsi="Times New Roman"/>
          <w:sz w:val="24"/>
          <w:szCs w:val="24"/>
        </w:rPr>
        <w:t xml:space="preserve">. </w:t>
      </w:r>
      <w:r w:rsidR="008E75DB">
        <w:rPr>
          <w:rFonts w:ascii="Times New Roman" w:hAnsi="Times New Roman"/>
          <w:sz w:val="24"/>
          <w:szCs w:val="24"/>
        </w:rPr>
        <w:t xml:space="preserve"> </w:t>
      </w:r>
    </w:p>
    <w:p w:rsidR="00FF4C2D" w:rsidP="008E1A54" w:rsidRDefault="00FF4C2D" w14:paraId="45093DE1" w14:textId="77777777">
      <w:pPr>
        <w:autoSpaceDE w:val="0"/>
        <w:autoSpaceDN w:val="0"/>
        <w:adjustRightInd w:val="0"/>
        <w:spacing w:after="0" w:line="240" w:lineRule="auto"/>
        <w:rPr>
          <w:rFonts w:ascii="Times New Roman" w:hAnsi="Times New Roman"/>
          <w:sz w:val="24"/>
          <w:szCs w:val="24"/>
        </w:rPr>
      </w:pPr>
    </w:p>
    <w:p w:rsidR="00A259A6" w:rsidP="008E1A54" w:rsidRDefault="00A259A6" w14:paraId="337795D8" w14:textId="121286C0">
      <w:pPr>
        <w:spacing w:after="0" w:line="480" w:lineRule="auto"/>
        <w:rPr>
          <w:rFonts w:ascii="Times New Roman" w:hAnsi="Times New Roman"/>
          <w:sz w:val="24"/>
          <w:szCs w:val="24"/>
        </w:rPr>
      </w:pPr>
      <w:r>
        <w:rPr>
          <w:rFonts w:ascii="Times New Roman" w:hAnsi="Times New Roman"/>
          <w:sz w:val="24"/>
          <w:szCs w:val="24"/>
        </w:rPr>
        <w:t>5.</w:t>
      </w:r>
      <w:r w:rsidR="00772F7F">
        <w:rPr>
          <w:rFonts w:ascii="Times New Roman" w:hAnsi="Times New Roman"/>
          <w:sz w:val="24"/>
          <w:szCs w:val="24"/>
        </w:rPr>
        <w:t xml:space="preserve"> </w:t>
      </w:r>
      <w:r>
        <w:rPr>
          <w:rFonts w:ascii="Times New Roman" w:hAnsi="Times New Roman"/>
          <w:sz w:val="24"/>
          <w:szCs w:val="24"/>
          <w:u w:val="single"/>
        </w:rPr>
        <w:t xml:space="preserve">Impact on Small Businesses or Other Small Entities </w:t>
      </w:r>
    </w:p>
    <w:p w:rsidR="00A259A6" w:rsidP="008E1A54" w:rsidRDefault="006D2954" w14:paraId="337795D9" w14:textId="615DA253">
      <w:pPr>
        <w:spacing w:after="0" w:line="240" w:lineRule="auto"/>
        <w:rPr>
          <w:rFonts w:ascii="Times New Roman" w:hAnsi="Times New Roman"/>
          <w:sz w:val="24"/>
          <w:szCs w:val="24"/>
        </w:rPr>
      </w:pPr>
      <w:r>
        <w:rPr>
          <w:rFonts w:ascii="Times New Roman" w:hAnsi="Times New Roman"/>
          <w:sz w:val="24"/>
          <w:szCs w:val="24"/>
        </w:rPr>
        <w:t xml:space="preserve">The information collection poses no undue burden on small entities.  </w:t>
      </w:r>
      <w:r w:rsidRPr="000653F5" w:rsidR="000653F5">
        <w:rPr>
          <w:rFonts w:ascii="Times New Roman" w:hAnsi="Times New Roman"/>
          <w:sz w:val="24"/>
          <w:szCs w:val="24"/>
        </w:rPr>
        <w:t xml:space="preserve">We believe that the recordkeeping discussed in the guidance documents is usual and customary for respondents and explain our assumptions more fully in </w:t>
      </w:r>
      <w:r w:rsidRPr="007C2D01" w:rsidR="000653F5">
        <w:rPr>
          <w:rFonts w:ascii="Times New Roman" w:hAnsi="Times New Roman"/>
          <w:i/>
          <w:sz w:val="24"/>
          <w:szCs w:val="24"/>
          <w:u w:val="single"/>
        </w:rPr>
        <w:t>Question 12</w:t>
      </w:r>
      <w:r w:rsidRPr="000653F5" w:rsidR="000653F5">
        <w:rPr>
          <w:rFonts w:ascii="Times New Roman" w:hAnsi="Times New Roman"/>
          <w:sz w:val="24"/>
          <w:szCs w:val="24"/>
        </w:rPr>
        <w:t xml:space="preserve"> below</w:t>
      </w:r>
      <w:r w:rsidR="003F71AA">
        <w:rPr>
          <w:rFonts w:ascii="Times New Roman" w:hAnsi="Times New Roman"/>
          <w:sz w:val="24"/>
          <w:szCs w:val="24"/>
        </w:rPr>
        <w:t>.</w:t>
      </w:r>
    </w:p>
    <w:p w:rsidR="00BD3FD4" w:rsidP="008E1A54" w:rsidRDefault="00BD3FD4" w14:paraId="3EF2A58C" w14:textId="77777777">
      <w:pPr>
        <w:spacing w:after="0" w:line="240" w:lineRule="auto"/>
        <w:rPr>
          <w:rFonts w:ascii="Times New Roman" w:hAnsi="Times New Roman"/>
          <w:sz w:val="24"/>
          <w:szCs w:val="24"/>
        </w:rPr>
      </w:pPr>
    </w:p>
    <w:p w:rsidR="00A259A6" w:rsidP="008E1A54" w:rsidRDefault="00A259A6" w14:paraId="337795DA" w14:textId="254B85EF">
      <w:pPr>
        <w:spacing w:after="0" w:line="240" w:lineRule="auto"/>
        <w:rPr>
          <w:rFonts w:ascii="Times New Roman" w:hAnsi="Times New Roman"/>
          <w:sz w:val="24"/>
          <w:szCs w:val="24"/>
          <w:u w:val="single"/>
        </w:rPr>
      </w:pPr>
      <w:r>
        <w:rPr>
          <w:rFonts w:ascii="Times New Roman" w:hAnsi="Times New Roman"/>
          <w:sz w:val="24"/>
          <w:szCs w:val="24"/>
        </w:rPr>
        <w:lastRenderedPageBreak/>
        <w:t>6.</w:t>
      </w:r>
      <w:r w:rsidR="00772F7F">
        <w:rPr>
          <w:rFonts w:ascii="Times New Roman" w:hAnsi="Times New Roman"/>
          <w:sz w:val="24"/>
          <w:szCs w:val="24"/>
        </w:rPr>
        <w:t xml:space="preserve"> </w:t>
      </w:r>
      <w:r>
        <w:rPr>
          <w:rFonts w:ascii="Times New Roman" w:hAnsi="Times New Roman"/>
          <w:sz w:val="24"/>
          <w:szCs w:val="24"/>
          <w:u w:val="single"/>
        </w:rPr>
        <w:t>Consequences of Collecting the Information Less Frequently</w:t>
      </w:r>
    </w:p>
    <w:p w:rsidR="00A15007" w:rsidP="008E1A54" w:rsidRDefault="00A15007" w14:paraId="6649B4FB" w14:textId="77777777">
      <w:pPr>
        <w:spacing w:after="0" w:line="240" w:lineRule="auto"/>
        <w:rPr>
          <w:rFonts w:ascii="Times New Roman" w:hAnsi="Times New Roman"/>
          <w:sz w:val="24"/>
          <w:szCs w:val="24"/>
        </w:rPr>
      </w:pPr>
    </w:p>
    <w:p w:rsidR="00FF3905" w:rsidP="0081723A" w:rsidRDefault="007C2D01" w14:paraId="2F01F113" w14:textId="7A4A4A6F">
      <w:pPr>
        <w:pStyle w:val="BodyText"/>
        <w:ind w:left="0"/>
      </w:pPr>
      <w:r>
        <w:t>The information collection schedule is consistent with statutory requirements</w:t>
      </w:r>
      <w:r w:rsidR="000D71C1">
        <w:t>.</w:t>
      </w:r>
      <w:r w:rsidR="00BD3FD4">
        <w:t xml:space="preserve">  </w:t>
      </w:r>
    </w:p>
    <w:p w:rsidR="00591F0E" w:rsidP="007723B3" w:rsidRDefault="00591F0E" w14:paraId="0F16723F" w14:textId="77777777">
      <w:pPr>
        <w:pStyle w:val="BodyText"/>
        <w:spacing w:before="69"/>
        <w:ind w:left="100" w:right="47"/>
      </w:pPr>
    </w:p>
    <w:p w:rsidR="00A259A6" w:rsidP="008E1A54" w:rsidRDefault="00A259A6" w14:paraId="337795DC" w14:textId="0CD2C41D">
      <w:pPr>
        <w:spacing w:after="0" w:line="240" w:lineRule="auto"/>
        <w:rPr>
          <w:rFonts w:ascii="Times New Roman" w:hAnsi="Times New Roman"/>
          <w:sz w:val="24"/>
          <w:szCs w:val="24"/>
          <w:u w:val="single"/>
        </w:rPr>
      </w:pPr>
      <w:r>
        <w:rPr>
          <w:rFonts w:ascii="Times New Roman" w:hAnsi="Times New Roman"/>
          <w:sz w:val="24"/>
          <w:szCs w:val="24"/>
        </w:rPr>
        <w:t>7.</w:t>
      </w:r>
      <w:r w:rsidR="00772F7F">
        <w:rPr>
          <w:rFonts w:ascii="Times New Roman" w:hAnsi="Times New Roman"/>
          <w:sz w:val="24"/>
          <w:szCs w:val="24"/>
        </w:rPr>
        <w:t xml:space="preserve"> </w:t>
      </w:r>
      <w:r>
        <w:rPr>
          <w:rFonts w:ascii="Times New Roman" w:hAnsi="Times New Roman"/>
          <w:sz w:val="24"/>
          <w:szCs w:val="24"/>
          <w:u w:val="single"/>
        </w:rPr>
        <w:t>Special Circumstances Relating to the Guidelines in 5 CFR 1320.5</w:t>
      </w:r>
    </w:p>
    <w:p w:rsidR="00A15007" w:rsidP="008E1A54" w:rsidRDefault="00A15007" w14:paraId="34B0F3C0" w14:textId="77777777">
      <w:pPr>
        <w:spacing w:after="0" w:line="240" w:lineRule="auto"/>
        <w:rPr>
          <w:rFonts w:ascii="Times New Roman" w:hAnsi="Times New Roman"/>
          <w:sz w:val="24"/>
          <w:szCs w:val="24"/>
          <w:u w:val="single"/>
        </w:rPr>
      </w:pPr>
    </w:p>
    <w:p w:rsidR="00A259A6" w:rsidP="008E1A54" w:rsidRDefault="0089667F" w14:paraId="337795DD" w14:textId="6B29A058">
      <w:pPr>
        <w:spacing w:after="0" w:line="240" w:lineRule="auto"/>
        <w:rPr>
          <w:rFonts w:ascii="Times New Roman" w:hAnsi="Times New Roman"/>
          <w:sz w:val="24"/>
          <w:szCs w:val="24"/>
        </w:rPr>
      </w:pPr>
      <w:r>
        <w:rPr>
          <w:rFonts w:ascii="Times New Roman" w:hAnsi="Times New Roman"/>
          <w:sz w:val="24"/>
          <w:szCs w:val="24"/>
        </w:rPr>
        <w:t>No</w:t>
      </w:r>
      <w:r w:rsidR="00A259A6">
        <w:rPr>
          <w:rFonts w:ascii="Times New Roman" w:hAnsi="Times New Roman"/>
          <w:sz w:val="24"/>
          <w:szCs w:val="24"/>
        </w:rPr>
        <w:t xml:space="preserve"> special circumstances </w:t>
      </w:r>
      <w:r>
        <w:rPr>
          <w:rFonts w:ascii="Times New Roman" w:hAnsi="Times New Roman"/>
          <w:sz w:val="24"/>
          <w:szCs w:val="24"/>
        </w:rPr>
        <w:t>are associated with</w:t>
      </w:r>
      <w:r w:rsidR="00A259A6">
        <w:rPr>
          <w:rFonts w:ascii="Times New Roman" w:hAnsi="Times New Roman"/>
          <w:sz w:val="24"/>
          <w:szCs w:val="24"/>
        </w:rPr>
        <w:t xml:space="preserve"> this information collection.</w:t>
      </w:r>
    </w:p>
    <w:p w:rsidR="00591F0E" w:rsidP="008E1A54" w:rsidRDefault="00591F0E" w14:paraId="36F9386B" w14:textId="77777777">
      <w:pPr>
        <w:spacing w:after="0" w:line="240" w:lineRule="auto"/>
        <w:rPr>
          <w:rFonts w:ascii="Times New Roman" w:hAnsi="Times New Roman"/>
          <w:sz w:val="24"/>
          <w:szCs w:val="24"/>
        </w:rPr>
      </w:pPr>
    </w:p>
    <w:p w:rsidR="00A259A6" w:rsidP="00772F7F" w:rsidRDefault="00A259A6" w14:paraId="337795DE" w14:textId="7D0D3C2A">
      <w:pPr>
        <w:spacing w:after="0" w:line="240" w:lineRule="auto"/>
        <w:rPr>
          <w:rFonts w:ascii="Times New Roman" w:hAnsi="Times New Roman"/>
          <w:sz w:val="24"/>
          <w:szCs w:val="24"/>
          <w:u w:val="single"/>
        </w:rPr>
      </w:pPr>
      <w:r>
        <w:rPr>
          <w:rFonts w:ascii="Times New Roman" w:hAnsi="Times New Roman"/>
          <w:sz w:val="24"/>
          <w:szCs w:val="24"/>
        </w:rPr>
        <w:t>8.</w:t>
      </w:r>
      <w:r w:rsidR="00772F7F">
        <w:rPr>
          <w:rFonts w:ascii="Times New Roman" w:hAnsi="Times New Roman"/>
          <w:sz w:val="24"/>
          <w:szCs w:val="24"/>
        </w:rPr>
        <w:t xml:space="preserve"> </w:t>
      </w:r>
      <w:r>
        <w:rPr>
          <w:rFonts w:ascii="Times New Roman" w:hAnsi="Times New Roman"/>
          <w:sz w:val="24"/>
          <w:szCs w:val="24"/>
          <w:u w:val="single"/>
        </w:rPr>
        <w:t>Comments in Response to the Federal Register Notice and Efforts to Consult Outside the</w:t>
      </w:r>
      <w:r w:rsidR="00772F7F">
        <w:rPr>
          <w:rFonts w:ascii="Times New Roman" w:hAnsi="Times New Roman"/>
          <w:sz w:val="24"/>
          <w:szCs w:val="24"/>
          <w:u w:val="single"/>
        </w:rPr>
        <w:t xml:space="preserve"> </w:t>
      </w:r>
      <w:r>
        <w:rPr>
          <w:rFonts w:ascii="Times New Roman" w:hAnsi="Times New Roman"/>
          <w:sz w:val="24"/>
          <w:szCs w:val="24"/>
          <w:u w:val="single"/>
        </w:rPr>
        <w:t>Agency</w:t>
      </w:r>
    </w:p>
    <w:p w:rsidR="00A67DF3" w:rsidRDefault="00A67DF3" w14:paraId="4D844F66" w14:textId="77777777">
      <w:pPr>
        <w:autoSpaceDE w:val="0"/>
        <w:autoSpaceDN w:val="0"/>
        <w:adjustRightInd w:val="0"/>
        <w:spacing w:after="0" w:line="240" w:lineRule="auto"/>
        <w:rPr>
          <w:rFonts w:ascii="Times New Roman" w:hAnsi="Times New Roman"/>
          <w:sz w:val="24"/>
          <w:szCs w:val="24"/>
        </w:rPr>
      </w:pPr>
    </w:p>
    <w:p w:rsidRPr="00EA764D" w:rsidR="00EA764D" w:rsidP="00EA764D" w:rsidRDefault="00EA764D" w14:paraId="689140CA" w14:textId="2B42FA3D">
      <w:pPr>
        <w:autoSpaceDE w:val="0"/>
        <w:autoSpaceDN w:val="0"/>
        <w:adjustRightInd w:val="0"/>
        <w:spacing w:after="0" w:line="240" w:lineRule="auto"/>
        <w:rPr>
          <w:rFonts w:ascii="Times New Roman" w:hAnsi="Times New Roman"/>
          <w:sz w:val="24"/>
          <w:szCs w:val="24"/>
        </w:rPr>
      </w:pPr>
      <w:r w:rsidRPr="00EA764D">
        <w:rPr>
          <w:rFonts w:ascii="Times New Roman" w:hAnsi="Times New Roman"/>
          <w:sz w:val="24"/>
          <w:szCs w:val="24"/>
        </w:rPr>
        <w:t xml:space="preserve">In the </w:t>
      </w:r>
      <w:r w:rsidRPr="00FF4C2D">
        <w:rPr>
          <w:rFonts w:ascii="Times New Roman" w:hAnsi="Times New Roman"/>
          <w:i/>
          <w:iCs/>
          <w:sz w:val="24"/>
          <w:szCs w:val="24"/>
        </w:rPr>
        <w:t>Federal Register</w:t>
      </w:r>
      <w:r w:rsidRPr="00EA764D">
        <w:rPr>
          <w:rFonts w:ascii="Times New Roman" w:hAnsi="Times New Roman"/>
          <w:sz w:val="24"/>
          <w:szCs w:val="24"/>
        </w:rPr>
        <w:t xml:space="preserve"> of September 3, 2021 (86 FR 49538), we published a 60-day notice soliciting public comment on the proposed collection of information.  A few comments were received requesting that FDA clarify the scope of the information collection request.  </w:t>
      </w:r>
      <w:r w:rsidR="007E455C">
        <w:rPr>
          <w:rFonts w:ascii="Times New Roman" w:hAnsi="Times New Roman"/>
          <w:sz w:val="24"/>
          <w:szCs w:val="24"/>
        </w:rPr>
        <w:t>=</w:t>
      </w:r>
      <w:r w:rsidRPr="00EA764D">
        <w:rPr>
          <w:rFonts w:ascii="Times New Roman" w:hAnsi="Times New Roman"/>
          <w:sz w:val="24"/>
          <w:szCs w:val="24"/>
        </w:rPr>
        <w:t xml:space="preserve">  Although our 60-day notice discussed both draft and final topic-specific guidance documents pertaining to statutory requirements found in section 582 of the FD&amp;C Act, </w:t>
      </w:r>
      <w:r w:rsidR="00A15CC4">
        <w:rPr>
          <w:rFonts w:ascii="Times New Roman" w:hAnsi="Times New Roman"/>
          <w:sz w:val="24"/>
          <w:szCs w:val="24"/>
        </w:rPr>
        <w:t>we explained in our 30-day notice of January 11, 2022 (87 FR</w:t>
      </w:r>
      <w:r w:rsidR="008C1A13">
        <w:rPr>
          <w:rFonts w:ascii="Times New Roman" w:hAnsi="Times New Roman"/>
          <w:sz w:val="24"/>
          <w:szCs w:val="24"/>
        </w:rPr>
        <w:t xml:space="preserve"> 1419) that</w:t>
      </w:r>
      <w:r w:rsidR="00A15CC4">
        <w:rPr>
          <w:rFonts w:ascii="Times New Roman" w:hAnsi="Times New Roman"/>
          <w:sz w:val="24"/>
          <w:szCs w:val="24"/>
        </w:rPr>
        <w:t xml:space="preserve"> </w:t>
      </w:r>
      <w:r w:rsidRPr="00EA764D">
        <w:rPr>
          <w:rFonts w:ascii="Times New Roman" w:hAnsi="Times New Roman"/>
          <w:sz w:val="24"/>
          <w:szCs w:val="24"/>
        </w:rPr>
        <w:t>not all the guidance documents discussed in the notice included information collection as defined by the PRA and subject to review and approval by OMB.  Rather, and consistent with regulations found in 21 CFR 10.115, guidance documents are intended to communicate</w:t>
      </w:r>
      <w:r w:rsidR="00052A04">
        <w:rPr>
          <w:rFonts w:ascii="Times New Roman" w:hAnsi="Times New Roman"/>
          <w:sz w:val="24"/>
          <w:szCs w:val="24"/>
        </w:rPr>
        <w:t xml:space="preserve"> our</w:t>
      </w:r>
      <w:r w:rsidRPr="00EA764D">
        <w:rPr>
          <w:rFonts w:ascii="Times New Roman" w:hAnsi="Times New Roman"/>
          <w:sz w:val="24"/>
          <w:szCs w:val="24"/>
        </w:rPr>
        <w:t xml:space="preserve"> thinking on a particular topic and can therefore be helpful to respondents in understanding related information collection activities.</w:t>
      </w:r>
    </w:p>
    <w:p w:rsidR="00EA764D" w:rsidP="00EA764D" w:rsidRDefault="00EA764D" w14:paraId="27DF9560" w14:textId="77777777">
      <w:pPr>
        <w:autoSpaceDE w:val="0"/>
        <w:autoSpaceDN w:val="0"/>
        <w:adjustRightInd w:val="0"/>
        <w:spacing w:after="0" w:line="240" w:lineRule="auto"/>
        <w:rPr>
          <w:rFonts w:ascii="Times New Roman" w:hAnsi="Times New Roman"/>
          <w:sz w:val="24"/>
          <w:szCs w:val="24"/>
        </w:rPr>
      </w:pPr>
    </w:p>
    <w:p w:rsidRPr="00EA764D" w:rsidR="00EA764D" w:rsidP="00EA764D" w:rsidRDefault="00EA764D" w14:paraId="276F6D16" w14:textId="18891A1D">
      <w:pPr>
        <w:autoSpaceDE w:val="0"/>
        <w:autoSpaceDN w:val="0"/>
        <w:adjustRightInd w:val="0"/>
        <w:spacing w:after="0" w:line="240" w:lineRule="auto"/>
        <w:rPr>
          <w:rFonts w:ascii="Times New Roman" w:hAnsi="Times New Roman"/>
          <w:sz w:val="24"/>
          <w:szCs w:val="24"/>
        </w:rPr>
      </w:pPr>
      <w:r w:rsidRPr="00EA764D">
        <w:rPr>
          <w:rFonts w:ascii="Times New Roman" w:hAnsi="Times New Roman"/>
          <w:sz w:val="24"/>
          <w:szCs w:val="24"/>
        </w:rPr>
        <w:t>To clarify however,</w:t>
      </w:r>
      <w:r w:rsidR="00A41BA6">
        <w:rPr>
          <w:rFonts w:ascii="Times New Roman" w:hAnsi="Times New Roman"/>
          <w:sz w:val="24"/>
          <w:szCs w:val="24"/>
        </w:rPr>
        <w:t xml:space="preserve"> we explained that</w:t>
      </w:r>
      <w:r w:rsidRPr="00EA764D">
        <w:rPr>
          <w:rFonts w:ascii="Times New Roman" w:hAnsi="Times New Roman"/>
          <w:sz w:val="24"/>
          <w:szCs w:val="24"/>
        </w:rPr>
        <w:t xml:space="preserve"> this information collection request is intended to account for the burden respondents may incur from completing and submitting notifications as required by section 582 of the FD&amp;C Act using Form FDA 3911, consistent with the corresponding instructions, as well as the burden that may be attributable to information collection associated with the required disclosures/notifications to trading partners and discussed in the guidance document entitled “</w:t>
      </w:r>
      <w:r w:rsidRPr="00052A04">
        <w:rPr>
          <w:rFonts w:ascii="Times New Roman" w:hAnsi="Times New Roman"/>
          <w:i/>
          <w:iCs/>
          <w:sz w:val="24"/>
          <w:szCs w:val="24"/>
        </w:rPr>
        <w:t>Drug Supply Chain Security Act Implementation:  Identification of Suspect Product and Notification</w:t>
      </w:r>
      <w:r w:rsidRPr="00EA764D">
        <w:rPr>
          <w:rFonts w:ascii="Times New Roman" w:hAnsi="Times New Roman"/>
          <w:sz w:val="24"/>
          <w:szCs w:val="24"/>
        </w:rPr>
        <w:t>.”  The information collection request is also intended to account for the burden that respondents may incur associated with requesting waivers, exceptions, and exemptions provided for in section 582(a)(3) of the FD&amp;C Act.  To enable respondents to make such requests, we are currently utilizing information collection recommendations discussed in the draft guidance document entitled “</w:t>
      </w:r>
      <w:r w:rsidRPr="000437DC">
        <w:rPr>
          <w:rFonts w:ascii="Times New Roman" w:hAnsi="Times New Roman"/>
          <w:i/>
          <w:iCs/>
          <w:sz w:val="24"/>
          <w:szCs w:val="24"/>
        </w:rPr>
        <w:t>Waivers, Exceptions, and Exemptions from the Requirements of Section 582 of the Federal Food, Drug, and Cosmetic Act</w:t>
      </w:r>
      <w:r w:rsidRPr="00EA764D">
        <w:rPr>
          <w:rFonts w:ascii="Times New Roman" w:hAnsi="Times New Roman"/>
          <w:sz w:val="24"/>
          <w:szCs w:val="24"/>
        </w:rPr>
        <w:t>.”  Specifically, the draft guidance instructs respondents on submitting requests and identifies responsible Agency review components.</w:t>
      </w:r>
    </w:p>
    <w:p w:rsidR="003361DA" w:rsidP="00137340" w:rsidRDefault="003361DA" w14:paraId="753653D2" w14:textId="77777777">
      <w:pPr>
        <w:autoSpaceDE w:val="0"/>
        <w:autoSpaceDN w:val="0"/>
        <w:adjustRightInd w:val="0"/>
        <w:spacing w:after="0" w:line="240" w:lineRule="auto"/>
        <w:rPr>
          <w:rFonts w:ascii="Times New Roman" w:hAnsi="Times New Roman"/>
          <w:sz w:val="24"/>
          <w:szCs w:val="24"/>
        </w:rPr>
      </w:pPr>
    </w:p>
    <w:p w:rsidR="003361DA" w:rsidP="00137340" w:rsidRDefault="00EA764D" w14:paraId="22BAE552" w14:textId="380C65BB">
      <w:pPr>
        <w:autoSpaceDE w:val="0"/>
        <w:autoSpaceDN w:val="0"/>
        <w:adjustRightInd w:val="0"/>
        <w:spacing w:after="0" w:line="240" w:lineRule="auto"/>
        <w:rPr>
          <w:rFonts w:ascii="Times New Roman" w:hAnsi="Times New Roman"/>
          <w:sz w:val="24"/>
          <w:szCs w:val="24"/>
        </w:rPr>
      </w:pPr>
      <w:r w:rsidRPr="00EA764D">
        <w:rPr>
          <w:rFonts w:ascii="Times New Roman" w:hAnsi="Times New Roman"/>
          <w:sz w:val="24"/>
          <w:szCs w:val="24"/>
        </w:rPr>
        <w:t>The comments also provided feedback on the accuracy of our burden estimates</w:t>
      </w:r>
      <w:r w:rsidR="000437DC">
        <w:rPr>
          <w:rFonts w:ascii="Times New Roman" w:hAnsi="Times New Roman"/>
          <w:sz w:val="24"/>
          <w:szCs w:val="24"/>
        </w:rPr>
        <w:t xml:space="preserve"> and </w:t>
      </w:r>
      <w:r w:rsidR="00AF0629">
        <w:rPr>
          <w:rFonts w:ascii="Times New Roman" w:hAnsi="Times New Roman"/>
          <w:sz w:val="24"/>
          <w:szCs w:val="24"/>
        </w:rPr>
        <w:t>upon consideration</w:t>
      </w:r>
      <w:r w:rsidR="000437DC">
        <w:rPr>
          <w:rFonts w:ascii="Times New Roman" w:hAnsi="Times New Roman"/>
          <w:sz w:val="24"/>
          <w:szCs w:val="24"/>
        </w:rPr>
        <w:t xml:space="preserve"> we revised</w:t>
      </w:r>
      <w:r w:rsidR="00AF0629">
        <w:rPr>
          <w:rFonts w:ascii="Times New Roman" w:hAnsi="Times New Roman"/>
          <w:sz w:val="24"/>
          <w:szCs w:val="24"/>
        </w:rPr>
        <w:t xml:space="preserve"> our estimate </w:t>
      </w:r>
      <w:r w:rsidR="006A5828">
        <w:rPr>
          <w:rFonts w:ascii="Times New Roman" w:hAnsi="Times New Roman"/>
          <w:sz w:val="24"/>
          <w:szCs w:val="24"/>
        </w:rPr>
        <w:t xml:space="preserve">upward to reflect additional burden as reflected in </w:t>
      </w:r>
      <w:r w:rsidRPr="0084636A" w:rsidR="006A5828">
        <w:rPr>
          <w:rFonts w:ascii="Times New Roman" w:hAnsi="Times New Roman"/>
          <w:i/>
          <w:iCs/>
          <w:sz w:val="24"/>
          <w:szCs w:val="24"/>
        </w:rPr>
        <w:t>Question 12</w:t>
      </w:r>
      <w:r w:rsidR="006A5828">
        <w:rPr>
          <w:rFonts w:ascii="Times New Roman" w:hAnsi="Times New Roman"/>
          <w:sz w:val="24"/>
          <w:szCs w:val="24"/>
        </w:rPr>
        <w:t>, below.</w:t>
      </w:r>
    </w:p>
    <w:p w:rsidR="00FF4C2D" w:rsidP="0017763B" w:rsidRDefault="00FF4C2D" w14:paraId="275D6B4E" w14:textId="77777777">
      <w:pPr>
        <w:spacing w:after="0" w:line="240" w:lineRule="auto"/>
        <w:rPr>
          <w:rFonts w:ascii="Times New Roman" w:hAnsi="Times New Roman"/>
          <w:sz w:val="24"/>
          <w:szCs w:val="24"/>
        </w:rPr>
      </w:pPr>
    </w:p>
    <w:p w:rsidRPr="00137340" w:rsidR="00A259A6" w:rsidP="0017763B" w:rsidRDefault="00A259A6" w14:paraId="337795E0" w14:textId="7B0FC74A">
      <w:pPr>
        <w:spacing w:after="0" w:line="240" w:lineRule="auto"/>
        <w:rPr>
          <w:rFonts w:ascii="Times New Roman" w:hAnsi="Times New Roman"/>
          <w:sz w:val="24"/>
          <w:szCs w:val="24"/>
        </w:rPr>
      </w:pPr>
      <w:r>
        <w:rPr>
          <w:rFonts w:ascii="Times New Roman" w:hAnsi="Times New Roman"/>
          <w:sz w:val="24"/>
          <w:szCs w:val="24"/>
        </w:rPr>
        <w:t>9.</w:t>
      </w:r>
      <w:r w:rsidR="00772F7F">
        <w:rPr>
          <w:rFonts w:ascii="Times New Roman" w:hAnsi="Times New Roman"/>
          <w:sz w:val="24"/>
          <w:szCs w:val="24"/>
        </w:rPr>
        <w:t xml:space="preserve"> </w:t>
      </w:r>
      <w:r>
        <w:rPr>
          <w:rFonts w:ascii="Times New Roman" w:hAnsi="Times New Roman"/>
          <w:sz w:val="24"/>
          <w:szCs w:val="24"/>
          <w:u w:val="single"/>
        </w:rPr>
        <w:t>Explanation of Any Payment or Gift to Respondents</w:t>
      </w:r>
    </w:p>
    <w:p w:rsidR="00A15007" w:rsidP="008E1A54" w:rsidRDefault="00A15007" w14:paraId="4AB231F2" w14:textId="77777777">
      <w:pPr>
        <w:spacing w:after="0" w:line="240" w:lineRule="auto"/>
        <w:ind w:hanging="360"/>
        <w:rPr>
          <w:rFonts w:ascii="Times New Roman" w:hAnsi="Times New Roman"/>
          <w:sz w:val="24"/>
          <w:szCs w:val="24"/>
          <w:u w:val="single"/>
        </w:rPr>
      </w:pPr>
    </w:p>
    <w:p w:rsidR="00ED1F53" w:rsidP="008E1A54" w:rsidRDefault="0089667F" w14:paraId="24016388" w14:textId="493570E5">
      <w:pPr>
        <w:spacing w:after="0" w:line="240" w:lineRule="auto"/>
        <w:rPr>
          <w:rFonts w:ascii="Times New Roman" w:hAnsi="Times New Roman"/>
          <w:sz w:val="24"/>
          <w:szCs w:val="24"/>
        </w:rPr>
      </w:pPr>
      <w:r>
        <w:rPr>
          <w:rFonts w:ascii="Times New Roman" w:hAnsi="Times New Roman"/>
          <w:sz w:val="24"/>
          <w:szCs w:val="24"/>
        </w:rPr>
        <w:t>No</w:t>
      </w:r>
      <w:r w:rsidR="00A259A6">
        <w:rPr>
          <w:rFonts w:ascii="Times New Roman" w:hAnsi="Times New Roman"/>
          <w:sz w:val="24"/>
          <w:szCs w:val="24"/>
        </w:rPr>
        <w:t xml:space="preserve"> payment</w:t>
      </w:r>
      <w:r>
        <w:rPr>
          <w:rFonts w:ascii="Times New Roman" w:hAnsi="Times New Roman"/>
          <w:sz w:val="24"/>
          <w:szCs w:val="24"/>
        </w:rPr>
        <w:t>s</w:t>
      </w:r>
      <w:r w:rsidR="00A259A6">
        <w:rPr>
          <w:rFonts w:ascii="Times New Roman" w:hAnsi="Times New Roman"/>
          <w:sz w:val="24"/>
          <w:szCs w:val="24"/>
        </w:rPr>
        <w:t xml:space="preserve"> or gift</w:t>
      </w:r>
      <w:r>
        <w:rPr>
          <w:rFonts w:ascii="Times New Roman" w:hAnsi="Times New Roman"/>
          <w:sz w:val="24"/>
          <w:szCs w:val="24"/>
        </w:rPr>
        <w:t>s</w:t>
      </w:r>
      <w:r w:rsidR="00A259A6">
        <w:rPr>
          <w:rFonts w:ascii="Times New Roman" w:hAnsi="Times New Roman"/>
          <w:sz w:val="24"/>
          <w:szCs w:val="24"/>
        </w:rPr>
        <w:t xml:space="preserve"> to respondents </w:t>
      </w:r>
      <w:r>
        <w:rPr>
          <w:rFonts w:ascii="Times New Roman" w:hAnsi="Times New Roman"/>
          <w:sz w:val="24"/>
          <w:szCs w:val="24"/>
        </w:rPr>
        <w:t xml:space="preserve">are </w:t>
      </w:r>
      <w:r w:rsidR="00A259A6">
        <w:rPr>
          <w:rFonts w:ascii="Times New Roman" w:hAnsi="Times New Roman"/>
          <w:sz w:val="24"/>
          <w:szCs w:val="24"/>
        </w:rPr>
        <w:t xml:space="preserve">associated with this </w:t>
      </w:r>
      <w:r w:rsidR="00054FB3">
        <w:rPr>
          <w:rFonts w:ascii="Times New Roman" w:hAnsi="Times New Roman"/>
          <w:sz w:val="24"/>
          <w:szCs w:val="24"/>
        </w:rPr>
        <w:t>information collection</w:t>
      </w:r>
      <w:r w:rsidR="00A259A6">
        <w:rPr>
          <w:rFonts w:ascii="Times New Roman" w:hAnsi="Times New Roman"/>
          <w:sz w:val="24"/>
          <w:szCs w:val="24"/>
        </w:rPr>
        <w:t>.</w:t>
      </w:r>
    </w:p>
    <w:p w:rsidR="00772F7F" w:rsidP="008E1A54" w:rsidRDefault="00772F7F" w14:paraId="237AE1DB" w14:textId="77777777">
      <w:pPr>
        <w:spacing w:after="0" w:line="240" w:lineRule="auto"/>
        <w:rPr>
          <w:rFonts w:ascii="Times New Roman" w:hAnsi="Times New Roman"/>
          <w:sz w:val="24"/>
          <w:szCs w:val="24"/>
        </w:rPr>
      </w:pPr>
    </w:p>
    <w:p w:rsidR="00A259A6" w:rsidP="008E1A54" w:rsidRDefault="00A259A6" w14:paraId="337795E3" w14:textId="456F8C3E">
      <w:pPr>
        <w:spacing w:after="0" w:line="240" w:lineRule="auto"/>
        <w:rPr>
          <w:rFonts w:ascii="Times New Roman" w:hAnsi="Times New Roman"/>
          <w:sz w:val="24"/>
          <w:szCs w:val="24"/>
          <w:u w:val="single"/>
        </w:rPr>
      </w:pPr>
      <w:r w:rsidRPr="001D27F3">
        <w:rPr>
          <w:rFonts w:ascii="Times New Roman" w:hAnsi="Times New Roman"/>
          <w:sz w:val="24"/>
          <w:szCs w:val="24"/>
        </w:rPr>
        <w:lastRenderedPageBreak/>
        <w:t xml:space="preserve">10. </w:t>
      </w:r>
      <w:r w:rsidRPr="001D27F3">
        <w:rPr>
          <w:rFonts w:ascii="Times New Roman" w:hAnsi="Times New Roman"/>
          <w:sz w:val="24"/>
          <w:szCs w:val="24"/>
          <w:u w:val="single"/>
        </w:rPr>
        <w:t>Assurance of Confidentiality Provided to Respondents</w:t>
      </w:r>
    </w:p>
    <w:p w:rsidR="00545B0D" w:rsidP="008E1A54" w:rsidRDefault="00545B0D" w14:paraId="6364083A" w14:textId="77777777">
      <w:pPr>
        <w:spacing w:after="0" w:line="240" w:lineRule="auto"/>
        <w:rPr>
          <w:rFonts w:ascii="Times New Roman" w:hAnsi="Times New Roman"/>
          <w:sz w:val="24"/>
          <w:szCs w:val="24"/>
          <w:u w:val="single"/>
        </w:rPr>
      </w:pPr>
    </w:p>
    <w:p w:rsidR="0089667F" w:rsidP="008E1A54" w:rsidRDefault="000E35CD" w14:paraId="1F6353FB" w14:textId="7C487BC7">
      <w:pPr>
        <w:spacing w:after="0" w:line="240" w:lineRule="auto"/>
        <w:outlineLvl w:val="2"/>
        <w:rPr>
          <w:rFonts w:ascii="Times New Roman" w:hAnsi="Times New Roman"/>
          <w:sz w:val="24"/>
          <w:szCs w:val="24"/>
        </w:rPr>
      </w:pPr>
      <w:r w:rsidRPr="00E86419">
        <w:rPr>
          <w:rFonts w:ascii="Times New Roman" w:hAnsi="Times New Roman"/>
          <w:sz w:val="24"/>
          <w:szCs w:val="24"/>
        </w:rPr>
        <w:t xml:space="preserve">The submitted information will be </w:t>
      </w:r>
      <w:r w:rsidRPr="00E86419">
        <w:rPr>
          <w:rFonts w:ascii="Times New Roman" w:hAnsi="Times New Roman" w:eastAsia="Times New Roman"/>
          <w:sz w:val="24"/>
          <w:szCs w:val="24"/>
        </w:rPr>
        <w:t xml:space="preserve">handled according to </w:t>
      </w:r>
      <w:r w:rsidR="0089667F">
        <w:rPr>
          <w:rFonts w:ascii="Times New Roman" w:hAnsi="Times New Roman" w:eastAsia="Times New Roman"/>
          <w:sz w:val="24"/>
          <w:szCs w:val="24"/>
        </w:rPr>
        <w:t>A</w:t>
      </w:r>
      <w:r w:rsidRPr="00E86419">
        <w:rPr>
          <w:rFonts w:ascii="Times New Roman" w:hAnsi="Times New Roman" w:eastAsia="Times New Roman"/>
          <w:sz w:val="24"/>
          <w:szCs w:val="24"/>
        </w:rPr>
        <w:t xml:space="preserve">gency regulations, the Freedom of Information Act, and other applicable disclosure law.  </w:t>
      </w:r>
      <w:r w:rsidRPr="00E86419" w:rsidR="00CE0F17">
        <w:rPr>
          <w:rFonts w:ascii="Times New Roman" w:hAnsi="Times New Roman"/>
          <w:sz w:val="24"/>
          <w:szCs w:val="24"/>
        </w:rPr>
        <w:t xml:space="preserve">Confidentiality of the information submitted under these requirements is protected under 21 CFR </w:t>
      </w:r>
      <w:r w:rsidR="0089667F">
        <w:rPr>
          <w:rFonts w:ascii="Times New Roman" w:hAnsi="Times New Roman"/>
          <w:sz w:val="24"/>
          <w:szCs w:val="24"/>
        </w:rPr>
        <w:t>p</w:t>
      </w:r>
      <w:r w:rsidRPr="00E86419" w:rsidR="00CE0F17">
        <w:rPr>
          <w:rFonts w:ascii="Times New Roman" w:hAnsi="Times New Roman"/>
          <w:sz w:val="24"/>
          <w:szCs w:val="24"/>
        </w:rPr>
        <w:t xml:space="preserve">art 20.  The unauthorized use or disclosure of trade secrets is specifically prohibited under </w:t>
      </w:r>
      <w:r w:rsidRPr="00E86419" w:rsidR="006A3A04">
        <w:rPr>
          <w:rFonts w:ascii="Times New Roman" w:hAnsi="Times New Roman"/>
          <w:sz w:val="24"/>
          <w:szCs w:val="24"/>
        </w:rPr>
        <w:t xml:space="preserve">section </w:t>
      </w:r>
      <w:r w:rsidRPr="00E86419" w:rsidR="00CE0F17">
        <w:rPr>
          <w:rFonts w:ascii="Times New Roman" w:hAnsi="Times New Roman"/>
          <w:sz w:val="24"/>
          <w:szCs w:val="24"/>
        </w:rPr>
        <w:t xml:space="preserve">310(j) of the FD&amp;C Act. </w:t>
      </w:r>
      <w:r w:rsidRPr="00E86419" w:rsidR="00B0591F">
        <w:rPr>
          <w:rFonts w:ascii="Times New Roman" w:hAnsi="Times New Roman"/>
          <w:sz w:val="24"/>
          <w:szCs w:val="24"/>
        </w:rPr>
        <w:t xml:space="preserve"> </w:t>
      </w:r>
    </w:p>
    <w:p w:rsidR="0089667F" w:rsidP="008E1A54" w:rsidRDefault="0089667F" w14:paraId="5EBDAFF5" w14:textId="77777777">
      <w:pPr>
        <w:spacing w:after="0" w:line="240" w:lineRule="auto"/>
        <w:outlineLvl w:val="2"/>
        <w:rPr>
          <w:rFonts w:ascii="Times New Roman" w:hAnsi="Times New Roman"/>
          <w:sz w:val="24"/>
          <w:szCs w:val="24"/>
        </w:rPr>
      </w:pPr>
    </w:p>
    <w:p w:rsidRPr="00E86419" w:rsidR="007B3F63" w:rsidP="008E1A54" w:rsidRDefault="00CE0F17" w14:paraId="344FD5B9" w14:textId="40999388">
      <w:pPr>
        <w:spacing w:after="0" w:line="240" w:lineRule="auto"/>
        <w:outlineLvl w:val="2"/>
        <w:rPr>
          <w:rFonts w:ascii="Times New Roman" w:hAnsi="Times New Roman"/>
          <w:sz w:val="24"/>
          <w:szCs w:val="24"/>
        </w:rPr>
      </w:pPr>
      <w:r w:rsidRPr="00E86419">
        <w:rPr>
          <w:rFonts w:ascii="Times New Roman" w:hAnsi="Times New Roman"/>
          <w:sz w:val="24"/>
          <w:szCs w:val="24"/>
        </w:rPr>
        <w:t xml:space="preserve">FDA will not disclose any information considered </w:t>
      </w:r>
      <w:r w:rsidR="00E63434">
        <w:rPr>
          <w:rFonts w:ascii="Times New Roman" w:hAnsi="Times New Roman"/>
          <w:sz w:val="24"/>
          <w:szCs w:val="24"/>
        </w:rPr>
        <w:t>as</w:t>
      </w:r>
      <w:r w:rsidRPr="00E86419" w:rsidR="003058BF">
        <w:rPr>
          <w:rFonts w:ascii="Times New Roman" w:hAnsi="Times New Roman"/>
          <w:sz w:val="24"/>
          <w:szCs w:val="24"/>
        </w:rPr>
        <w:t xml:space="preserve"> </w:t>
      </w:r>
      <w:r w:rsidRPr="00E86419">
        <w:rPr>
          <w:rFonts w:ascii="Times New Roman" w:hAnsi="Times New Roman"/>
          <w:sz w:val="24"/>
          <w:szCs w:val="24"/>
        </w:rPr>
        <w:t>a trade secret and prohibited under section 310(j) of the FD&amp;C Act</w:t>
      </w:r>
      <w:r w:rsidRPr="00E86419" w:rsidR="00B0591F">
        <w:rPr>
          <w:rFonts w:ascii="Times New Roman" w:hAnsi="Times New Roman"/>
          <w:sz w:val="24"/>
          <w:szCs w:val="24"/>
        </w:rPr>
        <w:t xml:space="preserve"> if such information is included in the notification to FDA.  </w:t>
      </w:r>
    </w:p>
    <w:p w:rsidR="00A259A6" w:rsidP="008E1A54" w:rsidRDefault="00E63434" w14:paraId="337795E4" w14:textId="674B3A9D">
      <w:pPr>
        <w:spacing w:after="0" w:line="240" w:lineRule="auto"/>
        <w:rPr>
          <w:rFonts w:ascii="Times New Roman" w:hAnsi="Times New Roman"/>
          <w:sz w:val="24"/>
          <w:szCs w:val="24"/>
        </w:rPr>
      </w:pPr>
      <w:r>
        <w:rPr>
          <w:rFonts w:ascii="Times New Roman" w:hAnsi="Times New Roman"/>
          <w:sz w:val="24"/>
          <w:szCs w:val="24"/>
        </w:rPr>
        <w:t>FDA employees handle the information sent to FDA</w:t>
      </w:r>
      <w:r w:rsidR="00545B0D">
        <w:rPr>
          <w:rFonts w:ascii="Times New Roman" w:hAnsi="Times New Roman"/>
          <w:sz w:val="24"/>
          <w:szCs w:val="24"/>
        </w:rPr>
        <w:t>.</w:t>
      </w:r>
      <w:r w:rsidR="00FD7DEC">
        <w:rPr>
          <w:rFonts w:ascii="Times New Roman" w:hAnsi="Times New Roman"/>
          <w:sz w:val="24"/>
          <w:szCs w:val="24"/>
        </w:rPr>
        <w:t xml:space="preserve">  </w:t>
      </w:r>
      <w:r>
        <w:rPr>
          <w:rFonts w:ascii="Times New Roman" w:hAnsi="Times New Roman"/>
          <w:sz w:val="24"/>
          <w:szCs w:val="24"/>
        </w:rPr>
        <w:t>We will maintain t</w:t>
      </w:r>
      <w:r w:rsidRPr="00E86419" w:rsidR="00D61DBE">
        <w:rPr>
          <w:rFonts w:ascii="Times New Roman" w:hAnsi="Times New Roman"/>
          <w:sz w:val="24"/>
          <w:szCs w:val="24"/>
        </w:rPr>
        <w:t xml:space="preserve">he electronic files </w:t>
      </w:r>
      <w:r w:rsidRPr="00E86419" w:rsidR="00A259A6">
        <w:rPr>
          <w:rFonts w:ascii="Times New Roman" w:hAnsi="Times New Roman"/>
          <w:sz w:val="24"/>
          <w:szCs w:val="24"/>
        </w:rPr>
        <w:t>according to FDA</w:t>
      </w:r>
      <w:r>
        <w:rPr>
          <w:rFonts w:ascii="Times New Roman" w:hAnsi="Times New Roman"/>
          <w:sz w:val="24"/>
          <w:szCs w:val="24"/>
        </w:rPr>
        <w:t>’s</w:t>
      </w:r>
      <w:r w:rsidRPr="00E86419" w:rsidR="00A259A6">
        <w:rPr>
          <w:rFonts w:ascii="Times New Roman" w:hAnsi="Times New Roman"/>
          <w:sz w:val="24"/>
          <w:szCs w:val="24"/>
        </w:rPr>
        <w:t xml:space="preserve"> document retention schedules and destroy</w:t>
      </w:r>
      <w:r>
        <w:rPr>
          <w:rFonts w:ascii="Times New Roman" w:hAnsi="Times New Roman"/>
          <w:sz w:val="24"/>
          <w:szCs w:val="24"/>
        </w:rPr>
        <w:t xml:space="preserve"> files </w:t>
      </w:r>
      <w:r w:rsidRPr="00E86419" w:rsidR="00A259A6">
        <w:rPr>
          <w:rFonts w:ascii="Times New Roman" w:hAnsi="Times New Roman"/>
          <w:sz w:val="24"/>
          <w:szCs w:val="24"/>
        </w:rPr>
        <w:t>when no longer needed for administrative, legal, or audit purposes.</w:t>
      </w:r>
    </w:p>
    <w:p w:rsidRPr="00212969" w:rsidR="00A15007" w:rsidP="008E1A54" w:rsidRDefault="00A15007" w14:paraId="61C68EBC" w14:textId="77777777">
      <w:pPr>
        <w:spacing w:after="0" w:line="240" w:lineRule="auto"/>
        <w:rPr>
          <w:rFonts w:ascii="Times New Roman" w:hAnsi="Times New Roman"/>
          <w:sz w:val="24"/>
          <w:szCs w:val="24"/>
        </w:rPr>
      </w:pPr>
    </w:p>
    <w:p w:rsidR="00A259A6" w:rsidP="008E1A54" w:rsidRDefault="00A259A6" w14:paraId="337795E5" w14:textId="03C18A0B">
      <w:pPr>
        <w:spacing w:after="0" w:line="240" w:lineRule="auto"/>
        <w:rPr>
          <w:rFonts w:ascii="Times New Roman" w:hAnsi="Times New Roman"/>
          <w:sz w:val="24"/>
          <w:szCs w:val="24"/>
          <w:u w:val="single"/>
        </w:rPr>
      </w:pPr>
      <w:r>
        <w:rPr>
          <w:rFonts w:ascii="Times New Roman" w:hAnsi="Times New Roman"/>
          <w:sz w:val="24"/>
          <w:szCs w:val="24"/>
        </w:rPr>
        <w:t xml:space="preserve">11. </w:t>
      </w:r>
      <w:r>
        <w:rPr>
          <w:rFonts w:ascii="Times New Roman" w:hAnsi="Times New Roman"/>
          <w:sz w:val="24"/>
          <w:szCs w:val="24"/>
          <w:u w:val="single"/>
        </w:rPr>
        <w:t>Justification for Sensitive Questions</w:t>
      </w:r>
    </w:p>
    <w:p w:rsidR="00A15007" w:rsidP="008E1A54" w:rsidRDefault="00A15007" w14:paraId="620DE90B" w14:textId="77777777">
      <w:pPr>
        <w:spacing w:after="0" w:line="240" w:lineRule="auto"/>
        <w:ind w:hanging="360"/>
        <w:rPr>
          <w:rFonts w:ascii="Times New Roman" w:hAnsi="Times New Roman"/>
          <w:sz w:val="24"/>
          <w:szCs w:val="24"/>
          <w:u w:val="single"/>
        </w:rPr>
      </w:pPr>
    </w:p>
    <w:p w:rsidR="00A259A6" w:rsidP="008E1A54" w:rsidRDefault="00A259A6" w14:paraId="337795E6" w14:textId="53054FE2">
      <w:pPr>
        <w:spacing w:after="0" w:line="240" w:lineRule="auto"/>
        <w:rPr>
          <w:rFonts w:ascii="Times New Roman" w:hAnsi="Times New Roman"/>
          <w:sz w:val="24"/>
          <w:szCs w:val="24"/>
        </w:rPr>
      </w:pPr>
      <w:r>
        <w:rPr>
          <w:rFonts w:ascii="Times New Roman" w:hAnsi="Times New Roman"/>
          <w:sz w:val="24"/>
          <w:szCs w:val="24"/>
        </w:rPr>
        <w:t xml:space="preserve">There are no sensitive questions associated with this </w:t>
      </w:r>
      <w:r w:rsidR="00220C27">
        <w:rPr>
          <w:rFonts w:ascii="Times New Roman" w:hAnsi="Times New Roman"/>
          <w:sz w:val="24"/>
          <w:szCs w:val="24"/>
        </w:rPr>
        <w:t>information collection</w:t>
      </w:r>
      <w:r>
        <w:rPr>
          <w:rFonts w:ascii="Times New Roman" w:hAnsi="Times New Roman"/>
          <w:sz w:val="24"/>
          <w:szCs w:val="24"/>
        </w:rPr>
        <w:t>.</w:t>
      </w:r>
    </w:p>
    <w:p w:rsidR="00FF3905" w:rsidP="008E1A54" w:rsidRDefault="00FF3905" w14:paraId="4541101F" w14:textId="77777777">
      <w:pPr>
        <w:spacing w:after="0" w:line="240" w:lineRule="auto"/>
        <w:ind w:firstLine="720"/>
        <w:rPr>
          <w:rFonts w:ascii="Times New Roman" w:hAnsi="Times New Roman"/>
          <w:sz w:val="24"/>
          <w:szCs w:val="24"/>
        </w:rPr>
      </w:pPr>
    </w:p>
    <w:p w:rsidR="00A259A6" w:rsidP="008E1A54" w:rsidRDefault="00A259A6" w14:paraId="337795E8" w14:textId="77777777">
      <w:pPr>
        <w:spacing w:after="0" w:line="240" w:lineRule="auto"/>
        <w:rPr>
          <w:rFonts w:ascii="Times New Roman" w:hAnsi="Times New Roman"/>
          <w:sz w:val="24"/>
          <w:szCs w:val="24"/>
          <w:u w:val="single"/>
        </w:rPr>
      </w:pPr>
      <w:r>
        <w:rPr>
          <w:rFonts w:ascii="Times New Roman" w:hAnsi="Times New Roman"/>
          <w:sz w:val="24"/>
          <w:szCs w:val="24"/>
        </w:rPr>
        <w:t xml:space="preserve">12. </w:t>
      </w:r>
      <w:r>
        <w:rPr>
          <w:rFonts w:ascii="Times New Roman" w:hAnsi="Times New Roman"/>
          <w:sz w:val="24"/>
          <w:szCs w:val="24"/>
          <w:u w:val="single"/>
        </w:rPr>
        <w:t>Estimates of Annualized Hour Burden and Costs</w:t>
      </w:r>
    </w:p>
    <w:p w:rsidR="00FF3905" w:rsidP="008E1A54" w:rsidRDefault="00FF3905" w14:paraId="6C144FD9" w14:textId="77777777">
      <w:pPr>
        <w:spacing w:after="0" w:line="240" w:lineRule="auto"/>
        <w:ind w:hanging="360"/>
        <w:rPr>
          <w:rFonts w:ascii="Times New Roman" w:hAnsi="Times New Roman"/>
          <w:sz w:val="24"/>
          <w:szCs w:val="24"/>
          <w:u w:val="single"/>
        </w:rPr>
      </w:pPr>
    </w:p>
    <w:p w:rsidR="00080CC4" w:rsidP="008E1A54" w:rsidRDefault="00D14AA2" w14:paraId="33BBF071" w14:textId="5661A04A">
      <w:pPr>
        <w:spacing w:after="0" w:line="240" w:lineRule="auto"/>
        <w:ind w:hanging="360"/>
        <w:rPr>
          <w:rFonts w:ascii="Times New Roman" w:hAnsi="Times New Roman"/>
          <w:i/>
          <w:sz w:val="24"/>
          <w:szCs w:val="24"/>
        </w:rPr>
      </w:pPr>
      <w:r>
        <w:rPr>
          <w:rFonts w:ascii="Times New Roman" w:hAnsi="Times New Roman"/>
          <w:sz w:val="24"/>
          <w:szCs w:val="24"/>
        </w:rPr>
        <w:tab/>
      </w:r>
      <w:r w:rsidR="0084636A">
        <w:rPr>
          <w:rFonts w:ascii="Times New Roman" w:hAnsi="Times New Roman"/>
          <w:sz w:val="24"/>
          <w:szCs w:val="24"/>
        </w:rPr>
        <w:tab/>
      </w:r>
      <w:r w:rsidRPr="000367B4" w:rsidR="00A259A6">
        <w:rPr>
          <w:rFonts w:ascii="Times New Roman" w:hAnsi="Times New Roman"/>
          <w:i/>
          <w:sz w:val="24"/>
          <w:szCs w:val="24"/>
        </w:rPr>
        <w:t>12a. Annualized Hour Burden Estimate</w:t>
      </w:r>
    </w:p>
    <w:p w:rsidR="006A5828" w:rsidP="00080CC4" w:rsidRDefault="006A5828" w14:paraId="5C529AC6" w14:textId="77777777">
      <w:pPr>
        <w:spacing w:after="0" w:line="240" w:lineRule="auto"/>
        <w:rPr>
          <w:rFonts w:ascii="Times New Roman" w:hAnsi="Times New Roman"/>
          <w:sz w:val="24"/>
          <w:szCs w:val="24"/>
        </w:rPr>
      </w:pPr>
    </w:p>
    <w:p w:rsidRPr="00874665" w:rsidR="006A5828" w:rsidP="006A5828" w:rsidRDefault="006A5828" w14:paraId="236133FA" w14:textId="77777777">
      <w:pPr>
        <w:autoSpaceDE w:val="0"/>
        <w:autoSpaceDN w:val="0"/>
        <w:adjustRightInd w:val="0"/>
        <w:spacing w:after="0" w:line="240" w:lineRule="auto"/>
        <w:jc w:val="center"/>
        <w:rPr>
          <w:rFonts w:ascii="Times New Roman" w:hAnsi="Times New Roman"/>
          <w:sz w:val="20"/>
          <w:szCs w:val="20"/>
        </w:rPr>
      </w:pPr>
      <w:r w:rsidRPr="00874665">
        <w:rPr>
          <w:rFonts w:ascii="Times New Roman" w:hAnsi="Times New Roman"/>
          <w:sz w:val="20"/>
          <w:szCs w:val="20"/>
        </w:rPr>
        <w:t>Table 1.--Estimated Annual Reporting Burden</w:t>
      </w:r>
      <w:r w:rsidRPr="00874665">
        <w:rPr>
          <w:rFonts w:ascii="Times New Roman" w:hAnsi="Times New Roman"/>
          <w:bCs/>
          <w:iCs/>
          <w:sz w:val="20"/>
          <w:szCs w:val="20"/>
          <w:vertAlign w:val="superscript"/>
        </w:rPr>
        <w:t>1</w:t>
      </w:r>
    </w:p>
    <w:tbl>
      <w:tblPr>
        <w:tblW w:w="8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98"/>
        <w:gridCol w:w="1514"/>
        <w:gridCol w:w="1447"/>
        <w:gridCol w:w="1241"/>
        <w:gridCol w:w="1288"/>
        <w:gridCol w:w="1030"/>
      </w:tblGrid>
      <w:tr w:rsidRPr="00874665" w:rsidR="006A5828" w:rsidTr="00FE7DCE" w14:paraId="662732E6" w14:textId="77777777">
        <w:trPr>
          <w:trHeight w:val="634"/>
        </w:trPr>
        <w:tc>
          <w:tcPr>
            <w:tcW w:w="2398" w:type="dxa"/>
            <w:shd w:val="clear" w:color="auto" w:fill="auto"/>
          </w:tcPr>
          <w:p w:rsidRPr="00874665" w:rsidR="006A5828" w:rsidP="00AD0FE8" w:rsidRDefault="006A5828" w14:paraId="6313BEEF" w14:textId="77777777">
            <w:pPr>
              <w:autoSpaceDE w:val="0"/>
              <w:autoSpaceDN w:val="0"/>
              <w:adjustRightInd w:val="0"/>
              <w:spacing w:after="0" w:line="240" w:lineRule="auto"/>
              <w:rPr>
                <w:rFonts w:ascii="Times New Roman" w:hAnsi="Times New Roman"/>
                <w:sz w:val="20"/>
                <w:szCs w:val="20"/>
              </w:rPr>
            </w:pPr>
            <w:r w:rsidRPr="00874665">
              <w:rPr>
                <w:rFonts w:ascii="Times New Roman" w:hAnsi="Times New Roman"/>
                <w:sz w:val="20"/>
                <w:szCs w:val="20"/>
              </w:rPr>
              <w:t xml:space="preserve">Sec. 582 FD&amp;C Act; </w:t>
            </w:r>
          </w:p>
          <w:p w:rsidRPr="00874665" w:rsidR="006A5828" w:rsidP="00AD0FE8" w:rsidRDefault="006A5828" w14:paraId="0790B640" w14:textId="77777777">
            <w:pPr>
              <w:autoSpaceDE w:val="0"/>
              <w:autoSpaceDN w:val="0"/>
              <w:adjustRightInd w:val="0"/>
              <w:spacing w:after="0" w:line="240" w:lineRule="auto"/>
              <w:rPr>
                <w:rFonts w:ascii="Times New Roman" w:hAnsi="Times New Roman"/>
                <w:sz w:val="20"/>
                <w:szCs w:val="20"/>
              </w:rPr>
            </w:pPr>
            <w:r w:rsidRPr="00874665">
              <w:rPr>
                <w:rFonts w:ascii="Times New Roman" w:hAnsi="Times New Roman"/>
                <w:sz w:val="20"/>
                <w:szCs w:val="20"/>
              </w:rPr>
              <w:t>Information Collection Activity</w:t>
            </w:r>
          </w:p>
        </w:tc>
        <w:tc>
          <w:tcPr>
            <w:tcW w:w="1514" w:type="dxa"/>
            <w:shd w:val="clear" w:color="auto" w:fill="auto"/>
          </w:tcPr>
          <w:p w:rsidRPr="00874665" w:rsidR="006A5828" w:rsidP="00AD0FE8" w:rsidRDefault="006A5828" w14:paraId="55AC61C2" w14:textId="77777777">
            <w:pPr>
              <w:autoSpaceDE w:val="0"/>
              <w:autoSpaceDN w:val="0"/>
              <w:adjustRightInd w:val="0"/>
              <w:spacing w:after="0" w:line="240" w:lineRule="auto"/>
              <w:rPr>
                <w:rFonts w:ascii="Times New Roman" w:hAnsi="Times New Roman"/>
                <w:sz w:val="20"/>
                <w:szCs w:val="20"/>
              </w:rPr>
            </w:pPr>
            <w:r w:rsidRPr="00874665">
              <w:rPr>
                <w:rFonts w:ascii="Times New Roman" w:hAnsi="Times New Roman"/>
                <w:sz w:val="20"/>
                <w:szCs w:val="20"/>
              </w:rPr>
              <w:t>No. of Respondents</w:t>
            </w:r>
          </w:p>
        </w:tc>
        <w:tc>
          <w:tcPr>
            <w:tcW w:w="0" w:type="auto"/>
            <w:shd w:val="clear" w:color="auto" w:fill="auto"/>
          </w:tcPr>
          <w:p w:rsidRPr="00874665" w:rsidR="006A5828" w:rsidP="00AD0FE8" w:rsidRDefault="006A5828" w14:paraId="512F2545" w14:textId="77777777">
            <w:pPr>
              <w:autoSpaceDE w:val="0"/>
              <w:autoSpaceDN w:val="0"/>
              <w:adjustRightInd w:val="0"/>
              <w:spacing w:after="0" w:line="240" w:lineRule="auto"/>
              <w:rPr>
                <w:rFonts w:ascii="Times New Roman" w:hAnsi="Times New Roman"/>
                <w:sz w:val="20"/>
                <w:szCs w:val="20"/>
              </w:rPr>
            </w:pPr>
            <w:r w:rsidRPr="00874665">
              <w:rPr>
                <w:rFonts w:ascii="Times New Roman" w:hAnsi="Times New Roman"/>
                <w:sz w:val="20"/>
                <w:szCs w:val="20"/>
              </w:rPr>
              <w:t>No. of Responses per Respondent</w:t>
            </w:r>
          </w:p>
        </w:tc>
        <w:tc>
          <w:tcPr>
            <w:tcW w:w="0" w:type="auto"/>
            <w:shd w:val="clear" w:color="auto" w:fill="auto"/>
          </w:tcPr>
          <w:p w:rsidRPr="00874665" w:rsidR="006A5828" w:rsidP="00AD0FE8" w:rsidRDefault="006A5828" w14:paraId="18B5A115" w14:textId="77777777">
            <w:pPr>
              <w:autoSpaceDE w:val="0"/>
              <w:autoSpaceDN w:val="0"/>
              <w:adjustRightInd w:val="0"/>
              <w:spacing w:after="0" w:line="240" w:lineRule="auto"/>
              <w:rPr>
                <w:rFonts w:ascii="Times New Roman" w:hAnsi="Times New Roman"/>
                <w:sz w:val="20"/>
                <w:szCs w:val="20"/>
              </w:rPr>
            </w:pPr>
            <w:r w:rsidRPr="00874665">
              <w:rPr>
                <w:rFonts w:ascii="Times New Roman" w:hAnsi="Times New Roman"/>
                <w:sz w:val="20"/>
                <w:szCs w:val="20"/>
              </w:rPr>
              <w:t>Total Annual Responses</w:t>
            </w:r>
          </w:p>
        </w:tc>
        <w:tc>
          <w:tcPr>
            <w:tcW w:w="1288" w:type="dxa"/>
            <w:shd w:val="clear" w:color="auto" w:fill="auto"/>
          </w:tcPr>
          <w:p w:rsidRPr="00874665" w:rsidR="006A5828" w:rsidP="00AD0FE8" w:rsidRDefault="006A5828" w14:paraId="0AF17461" w14:textId="77777777">
            <w:pPr>
              <w:autoSpaceDE w:val="0"/>
              <w:autoSpaceDN w:val="0"/>
              <w:adjustRightInd w:val="0"/>
              <w:spacing w:after="0" w:line="240" w:lineRule="auto"/>
              <w:rPr>
                <w:rFonts w:ascii="Times New Roman" w:hAnsi="Times New Roman"/>
                <w:sz w:val="20"/>
                <w:szCs w:val="20"/>
              </w:rPr>
            </w:pPr>
            <w:r w:rsidRPr="00874665">
              <w:rPr>
                <w:rFonts w:ascii="Times New Roman" w:hAnsi="Times New Roman"/>
                <w:sz w:val="20"/>
                <w:szCs w:val="20"/>
              </w:rPr>
              <w:t>Average Time per Response (in hours)</w:t>
            </w:r>
          </w:p>
        </w:tc>
        <w:tc>
          <w:tcPr>
            <w:tcW w:w="1030" w:type="dxa"/>
            <w:shd w:val="clear" w:color="auto" w:fill="auto"/>
          </w:tcPr>
          <w:p w:rsidRPr="00874665" w:rsidR="006A5828" w:rsidP="00AD0FE8" w:rsidRDefault="006A5828" w14:paraId="6C0A673B" w14:textId="77777777">
            <w:pPr>
              <w:autoSpaceDE w:val="0"/>
              <w:autoSpaceDN w:val="0"/>
              <w:adjustRightInd w:val="0"/>
              <w:spacing w:after="0" w:line="240" w:lineRule="auto"/>
              <w:rPr>
                <w:rFonts w:ascii="Times New Roman" w:hAnsi="Times New Roman"/>
                <w:sz w:val="20"/>
                <w:szCs w:val="20"/>
              </w:rPr>
            </w:pPr>
            <w:r w:rsidRPr="00874665">
              <w:rPr>
                <w:rFonts w:ascii="Times New Roman" w:hAnsi="Times New Roman"/>
                <w:sz w:val="20"/>
                <w:szCs w:val="20"/>
              </w:rPr>
              <w:t>Total Hours</w:t>
            </w:r>
          </w:p>
        </w:tc>
      </w:tr>
      <w:tr w:rsidRPr="00874665" w:rsidR="006A5828" w:rsidTr="00FE7DCE" w14:paraId="30BE2849" w14:textId="77777777">
        <w:trPr>
          <w:cantSplit/>
          <w:trHeight w:val="495"/>
        </w:trPr>
        <w:tc>
          <w:tcPr>
            <w:tcW w:w="2398" w:type="dxa"/>
            <w:shd w:val="clear" w:color="auto" w:fill="auto"/>
          </w:tcPr>
          <w:p w:rsidRPr="00874665" w:rsidR="006A5828" w:rsidP="00AD0FE8" w:rsidRDefault="006A5828" w14:paraId="08D89420" w14:textId="77777777">
            <w:pPr>
              <w:autoSpaceDE w:val="0"/>
              <w:autoSpaceDN w:val="0"/>
              <w:adjustRightInd w:val="0"/>
              <w:spacing w:after="0" w:line="240" w:lineRule="auto"/>
              <w:rPr>
                <w:rFonts w:ascii="Times New Roman" w:hAnsi="Times New Roman"/>
                <w:sz w:val="20"/>
                <w:szCs w:val="20"/>
              </w:rPr>
            </w:pPr>
            <w:r w:rsidRPr="00874665">
              <w:rPr>
                <w:rFonts w:ascii="Times New Roman" w:hAnsi="Times New Roman"/>
                <w:sz w:val="20"/>
                <w:szCs w:val="20"/>
              </w:rPr>
              <w:t>Notifications of illegitimate product:  Form FDA 3911</w:t>
            </w:r>
          </w:p>
        </w:tc>
        <w:tc>
          <w:tcPr>
            <w:tcW w:w="1514" w:type="dxa"/>
            <w:shd w:val="clear" w:color="auto" w:fill="auto"/>
          </w:tcPr>
          <w:p w:rsidRPr="00874665" w:rsidR="006A5828" w:rsidP="00F74E84" w:rsidRDefault="006A5828" w14:paraId="77B738AF" w14:textId="77777777">
            <w:pPr>
              <w:autoSpaceDE w:val="0"/>
              <w:autoSpaceDN w:val="0"/>
              <w:adjustRightInd w:val="0"/>
              <w:spacing w:after="0" w:line="240" w:lineRule="auto"/>
              <w:jc w:val="right"/>
              <w:rPr>
                <w:rFonts w:ascii="Times New Roman" w:hAnsi="Times New Roman"/>
                <w:sz w:val="20"/>
                <w:szCs w:val="20"/>
              </w:rPr>
            </w:pPr>
            <w:r w:rsidRPr="00874665">
              <w:rPr>
                <w:rFonts w:ascii="Times New Roman" w:hAnsi="Times New Roman"/>
                <w:sz w:val="20"/>
                <w:szCs w:val="20"/>
              </w:rPr>
              <w:t>500</w:t>
            </w:r>
          </w:p>
        </w:tc>
        <w:tc>
          <w:tcPr>
            <w:tcW w:w="0" w:type="auto"/>
            <w:shd w:val="clear" w:color="auto" w:fill="auto"/>
          </w:tcPr>
          <w:p w:rsidRPr="00874665" w:rsidR="006A5828" w:rsidP="00F74E84" w:rsidRDefault="006A5828" w14:paraId="4B068018" w14:textId="77777777">
            <w:pPr>
              <w:autoSpaceDE w:val="0"/>
              <w:autoSpaceDN w:val="0"/>
              <w:adjustRightInd w:val="0"/>
              <w:spacing w:after="0" w:line="240" w:lineRule="auto"/>
              <w:jc w:val="right"/>
              <w:rPr>
                <w:rFonts w:ascii="Times New Roman" w:hAnsi="Times New Roman"/>
                <w:sz w:val="20"/>
                <w:szCs w:val="20"/>
              </w:rPr>
            </w:pPr>
            <w:r w:rsidRPr="00874665">
              <w:rPr>
                <w:rFonts w:ascii="Times New Roman" w:hAnsi="Times New Roman"/>
                <w:sz w:val="20"/>
                <w:szCs w:val="20"/>
              </w:rPr>
              <w:t>28.2</w:t>
            </w:r>
          </w:p>
        </w:tc>
        <w:tc>
          <w:tcPr>
            <w:tcW w:w="0" w:type="auto"/>
            <w:shd w:val="clear" w:color="auto" w:fill="auto"/>
          </w:tcPr>
          <w:p w:rsidRPr="00874665" w:rsidR="006A5828" w:rsidP="00F74E84" w:rsidRDefault="006A5828" w14:paraId="536CEF8F" w14:textId="77777777">
            <w:pPr>
              <w:autoSpaceDE w:val="0"/>
              <w:autoSpaceDN w:val="0"/>
              <w:adjustRightInd w:val="0"/>
              <w:spacing w:after="0" w:line="240" w:lineRule="auto"/>
              <w:jc w:val="right"/>
              <w:rPr>
                <w:rFonts w:ascii="Times New Roman" w:hAnsi="Times New Roman"/>
                <w:sz w:val="20"/>
                <w:szCs w:val="20"/>
              </w:rPr>
            </w:pPr>
            <w:r w:rsidRPr="00874665">
              <w:rPr>
                <w:rFonts w:ascii="Times New Roman" w:hAnsi="Times New Roman"/>
                <w:sz w:val="20"/>
                <w:szCs w:val="20"/>
              </w:rPr>
              <w:t>14,100</w:t>
            </w:r>
          </w:p>
        </w:tc>
        <w:tc>
          <w:tcPr>
            <w:tcW w:w="1288" w:type="dxa"/>
            <w:shd w:val="clear" w:color="auto" w:fill="auto"/>
          </w:tcPr>
          <w:p w:rsidRPr="00874665" w:rsidR="006A5828" w:rsidP="00F74E84" w:rsidRDefault="006A5828" w14:paraId="152F2ECC" w14:textId="77777777">
            <w:pPr>
              <w:autoSpaceDE w:val="0"/>
              <w:autoSpaceDN w:val="0"/>
              <w:adjustRightInd w:val="0"/>
              <w:spacing w:after="0" w:line="240" w:lineRule="auto"/>
              <w:jc w:val="right"/>
              <w:rPr>
                <w:rFonts w:ascii="Times New Roman" w:hAnsi="Times New Roman"/>
                <w:sz w:val="20"/>
                <w:szCs w:val="20"/>
              </w:rPr>
            </w:pPr>
            <w:r w:rsidRPr="00874665">
              <w:rPr>
                <w:rFonts w:ascii="Times New Roman" w:hAnsi="Times New Roman"/>
                <w:sz w:val="20"/>
                <w:szCs w:val="20"/>
              </w:rPr>
              <w:t>8</w:t>
            </w:r>
          </w:p>
        </w:tc>
        <w:tc>
          <w:tcPr>
            <w:tcW w:w="1030" w:type="dxa"/>
            <w:shd w:val="clear" w:color="auto" w:fill="auto"/>
          </w:tcPr>
          <w:p w:rsidRPr="00874665" w:rsidR="006A5828" w:rsidP="00F74E84" w:rsidRDefault="006A5828" w14:paraId="4E230686" w14:textId="77777777">
            <w:pPr>
              <w:autoSpaceDE w:val="0"/>
              <w:autoSpaceDN w:val="0"/>
              <w:adjustRightInd w:val="0"/>
              <w:spacing w:after="0" w:line="240" w:lineRule="auto"/>
              <w:jc w:val="right"/>
              <w:rPr>
                <w:rFonts w:ascii="Times New Roman" w:hAnsi="Times New Roman"/>
                <w:sz w:val="20"/>
                <w:szCs w:val="20"/>
              </w:rPr>
            </w:pPr>
            <w:r w:rsidRPr="00874665">
              <w:rPr>
                <w:rFonts w:ascii="Times New Roman" w:hAnsi="Times New Roman"/>
                <w:sz w:val="20"/>
                <w:szCs w:val="20"/>
              </w:rPr>
              <w:t>112,800</w:t>
            </w:r>
          </w:p>
        </w:tc>
      </w:tr>
      <w:tr w:rsidRPr="00874665" w:rsidR="006A5828" w:rsidTr="00FE7DCE" w14:paraId="1FBEEC73" w14:textId="77777777">
        <w:trPr>
          <w:cantSplit/>
          <w:trHeight w:val="1016"/>
        </w:trPr>
        <w:tc>
          <w:tcPr>
            <w:tcW w:w="2398" w:type="dxa"/>
            <w:shd w:val="clear" w:color="auto" w:fill="auto"/>
          </w:tcPr>
          <w:p w:rsidRPr="00874665" w:rsidR="006A5828" w:rsidP="00AD0FE8" w:rsidRDefault="006A5828" w14:paraId="0A1C37B0" w14:textId="77777777">
            <w:pPr>
              <w:autoSpaceDE w:val="0"/>
              <w:autoSpaceDN w:val="0"/>
              <w:adjustRightInd w:val="0"/>
              <w:spacing w:after="0" w:line="240" w:lineRule="auto"/>
              <w:rPr>
                <w:rFonts w:ascii="Times New Roman" w:hAnsi="Times New Roman"/>
                <w:sz w:val="20"/>
                <w:szCs w:val="20"/>
              </w:rPr>
            </w:pPr>
            <w:r w:rsidRPr="00874665">
              <w:rPr>
                <w:rFonts w:ascii="Times New Roman" w:hAnsi="Times New Roman"/>
                <w:sz w:val="20"/>
                <w:szCs w:val="20"/>
              </w:rPr>
              <w:t>Consultation/terminations of notification of illegitimate product (Notifications Guidance, sec. IV.B)</w:t>
            </w:r>
          </w:p>
        </w:tc>
        <w:tc>
          <w:tcPr>
            <w:tcW w:w="1514" w:type="dxa"/>
            <w:shd w:val="clear" w:color="auto" w:fill="auto"/>
          </w:tcPr>
          <w:p w:rsidRPr="00874665" w:rsidR="006A5828" w:rsidP="00F74E84" w:rsidRDefault="006A5828" w14:paraId="77911321" w14:textId="77777777">
            <w:pPr>
              <w:autoSpaceDE w:val="0"/>
              <w:autoSpaceDN w:val="0"/>
              <w:adjustRightInd w:val="0"/>
              <w:spacing w:after="0" w:line="240" w:lineRule="auto"/>
              <w:jc w:val="right"/>
              <w:rPr>
                <w:rFonts w:ascii="Times New Roman" w:hAnsi="Times New Roman"/>
                <w:sz w:val="20"/>
                <w:szCs w:val="20"/>
              </w:rPr>
            </w:pPr>
            <w:r w:rsidRPr="00874665">
              <w:rPr>
                <w:rFonts w:ascii="Times New Roman" w:hAnsi="Times New Roman"/>
                <w:sz w:val="20"/>
                <w:szCs w:val="20"/>
              </w:rPr>
              <w:t>500</w:t>
            </w:r>
          </w:p>
        </w:tc>
        <w:tc>
          <w:tcPr>
            <w:tcW w:w="0" w:type="auto"/>
            <w:shd w:val="clear" w:color="auto" w:fill="auto"/>
          </w:tcPr>
          <w:p w:rsidRPr="00874665" w:rsidR="006A5828" w:rsidP="00F74E84" w:rsidRDefault="006A5828" w14:paraId="1397E209" w14:textId="77777777">
            <w:pPr>
              <w:autoSpaceDE w:val="0"/>
              <w:autoSpaceDN w:val="0"/>
              <w:adjustRightInd w:val="0"/>
              <w:spacing w:after="0" w:line="240" w:lineRule="auto"/>
              <w:jc w:val="right"/>
              <w:rPr>
                <w:rFonts w:ascii="Times New Roman" w:hAnsi="Times New Roman"/>
                <w:sz w:val="20"/>
                <w:szCs w:val="20"/>
              </w:rPr>
            </w:pPr>
            <w:r w:rsidRPr="00874665">
              <w:rPr>
                <w:rFonts w:ascii="Times New Roman" w:hAnsi="Times New Roman"/>
                <w:sz w:val="20"/>
                <w:szCs w:val="20"/>
              </w:rPr>
              <w:t>1</w:t>
            </w:r>
          </w:p>
        </w:tc>
        <w:tc>
          <w:tcPr>
            <w:tcW w:w="0" w:type="auto"/>
            <w:shd w:val="clear" w:color="auto" w:fill="auto"/>
          </w:tcPr>
          <w:p w:rsidRPr="00874665" w:rsidR="006A5828" w:rsidP="00F74E84" w:rsidRDefault="006A5828" w14:paraId="44C72F4A" w14:textId="77777777">
            <w:pPr>
              <w:autoSpaceDE w:val="0"/>
              <w:autoSpaceDN w:val="0"/>
              <w:adjustRightInd w:val="0"/>
              <w:spacing w:after="0" w:line="240" w:lineRule="auto"/>
              <w:jc w:val="right"/>
              <w:rPr>
                <w:rFonts w:ascii="Times New Roman" w:hAnsi="Times New Roman"/>
                <w:sz w:val="20"/>
                <w:szCs w:val="20"/>
              </w:rPr>
            </w:pPr>
            <w:r w:rsidRPr="00874665">
              <w:rPr>
                <w:rFonts w:ascii="Times New Roman" w:hAnsi="Times New Roman"/>
                <w:sz w:val="20"/>
                <w:szCs w:val="20"/>
              </w:rPr>
              <w:t>500</w:t>
            </w:r>
          </w:p>
        </w:tc>
        <w:tc>
          <w:tcPr>
            <w:tcW w:w="1288" w:type="dxa"/>
            <w:shd w:val="clear" w:color="auto" w:fill="auto"/>
          </w:tcPr>
          <w:p w:rsidRPr="00874665" w:rsidR="006A5828" w:rsidP="00F74E84" w:rsidRDefault="006A5828" w14:paraId="286DF051" w14:textId="77777777">
            <w:pPr>
              <w:autoSpaceDE w:val="0"/>
              <w:autoSpaceDN w:val="0"/>
              <w:adjustRightInd w:val="0"/>
              <w:spacing w:after="0" w:line="240" w:lineRule="auto"/>
              <w:jc w:val="right"/>
              <w:rPr>
                <w:rFonts w:ascii="Times New Roman" w:hAnsi="Times New Roman"/>
                <w:sz w:val="20"/>
                <w:szCs w:val="20"/>
              </w:rPr>
            </w:pPr>
            <w:r w:rsidRPr="00874665">
              <w:rPr>
                <w:rFonts w:ascii="Times New Roman" w:hAnsi="Times New Roman"/>
                <w:sz w:val="20"/>
                <w:szCs w:val="20"/>
              </w:rPr>
              <w:t>1</w:t>
            </w:r>
          </w:p>
        </w:tc>
        <w:tc>
          <w:tcPr>
            <w:tcW w:w="1030" w:type="dxa"/>
            <w:shd w:val="clear" w:color="auto" w:fill="auto"/>
          </w:tcPr>
          <w:p w:rsidRPr="00874665" w:rsidR="006A5828" w:rsidP="00F74E84" w:rsidRDefault="006A5828" w14:paraId="1CA92360" w14:textId="77777777">
            <w:pPr>
              <w:autoSpaceDE w:val="0"/>
              <w:autoSpaceDN w:val="0"/>
              <w:adjustRightInd w:val="0"/>
              <w:spacing w:after="0" w:line="240" w:lineRule="auto"/>
              <w:jc w:val="right"/>
              <w:rPr>
                <w:rFonts w:ascii="Times New Roman" w:hAnsi="Times New Roman"/>
                <w:sz w:val="20"/>
                <w:szCs w:val="20"/>
              </w:rPr>
            </w:pPr>
            <w:r w:rsidRPr="00874665">
              <w:rPr>
                <w:rFonts w:ascii="Times New Roman" w:hAnsi="Times New Roman"/>
                <w:sz w:val="20"/>
                <w:szCs w:val="20"/>
              </w:rPr>
              <w:t>500</w:t>
            </w:r>
          </w:p>
        </w:tc>
      </w:tr>
      <w:tr w:rsidRPr="00874665" w:rsidR="006A5828" w:rsidTr="00FE7DCE" w14:paraId="5C8AE329" w14:textId="77777777">
        <w:trPr>
          <w:cantSplit/>
          <w:trHeight w:val="260"/>
        </w:trPr>
        <w:tc>
          <w:tcPr>
            <w:tcW w:w="8918" w:type="dxa"/>
            <w:gridSpan w:val="6"/>
            <w:shd w:val="clear" w:color="auto" w:fill="auto"/>
          </w:tcPr>
          <w:p w:rsidRPr="00874665" w:rsidR="006A5828" w:rsidP="00AD0FE8" w:rsidRDefault="006A5828" w14:paraId="7A81B1B2" w14:textId="77777777">
            <w:pPr>
              <w:autoSpaceDE w:val="0"/>
              <w:autoSpaceDN w:val="0"/>
              <w:adjustRightInd w:val="0"/>
              <w:spacing w:after="0" w:line="240" w:lineRule="auto"/>
              <w:rPr>
                <w:rFonts w:ascii="Times New Roman" w:hAnsi="Times New Roman"/>
                <w:sz w:val="20"/>
                <w:szCs w:val="20"/>
              </w:rPr>
            </w:pPr>
            <w:r w:rsidRPr="00874665">
              <w:rPr>
                <w:rFonts w:ascii="Times New Roman" w:hAnsi="Times New Roman"/>
                <w:sz w:val="20"/>
                <w:szCs w:val="20"/>
              </w:rPr>
              <w:t>582(a)(3); Waivers, exceptions, and exemptions of any requirement:</w:t>
            </w:r>
          </w:p>
        </w:tc>
      </w:tr>
      <w:tr w:rsidRPr="00874665" w:rsidR="006A5828" w:rsidTr="00FE7DCE" w14:paraId="79E482EA" w14:textId="77777777">
        <w:trPr>
          <w:cantSplit/>
          <w:trHeight w:val="756"/>
        </w:trPr>
        <w:tc>
          <w:tcPr>
            <w:tcW w:w="2398" w:type="dxa"/>
            <w:shd w:val="clear" w:color="auto" w:fill="auto"/>
          </w:tcPr>
          <w:p w:rsidRPr="00874665" w:rsidR="006A5828" w:rsidP="00AD0FE8" w:rsidRDefault="006A5828" w14:paraId="57399281" w14:textId="77777777">
            <w:pPr>
              <w:autoSpaceDE w:val="0"/>
              <w:autoSpaceDN w:val="0"/>
              <w:adjustRightInd w:val="0"/>
              <w:spacing w:after="0" w:line="240" w:lineRule="auto"/>
              <w:rPr>
                <w:rFonts w:ascii="Times New Roman" w:hAnsi="Times New Roman"/>
                <w:sz w:val="20"/>
                <w:szCs w:val="20"/>
              </w:rPr>
            </w:pPr>
            <w:r w:rsidRPr="00874665">
              <w:rPr>
                <w:rFonts w:ascii="Times New Roman" w:hAnsi="Times New Roman"/>
                <w:sz w:val="20"/>
                <w:szCs w:val="20"/>
              </w:rPr>
              <w:t>Request submissions (Waivers Guidance, sec. III.A.)</w:t>
            </w:r>
          </w:p>
        </w:tc>
        <w:tc>
          <w:tcPr>
            <w:tcW w:w="1514" w:type="dxa"/>
            <w:shd w:val="clear" w:color="auto" w:fill="auto"/>
          </w:tcPr>
          <w:p w:rsidRPr="00874665" w:rsidR="006A5828" w:rsidP="00F74E84" w:rsidRDefault="006A5828" w14:paraId="56B64D4E" w14:textId="77777777">
            <w:pPr>
              <w:autoSpaceDE w:val="0"/>
              <w:autoSpaceDN w:val="0"/>
              <w:adjustRightInd w:val="0"/>
              <w:spacing w:after="0" w:line="240" w:lineRule="auto"/>
              <w:jc w:val="right"/>
              <w:rPr>
                <w:rFonts w:ascii="Times New Roman" w:hAnsi="Times New Roman"/>
                <w:sz w:val="20"/>
                <w:szCs w:val="20"/>
              </w:rPr>
            </w:pPr>
            <w:r w:rsidRPr="00874665">
              <w:rPr>
                <w:rFonts w:ascii="Times New Roman" w:hAnsi="Times New Roman"/>
                <w:sz w:val="20"/>
                <w:szCs w:val="20"/>
              </w:rPr>
              <w:t>20</w:t>
            </w:r>
          </w:p>
        </w:tc>
        <w:tc>
          <w:tcPr>
            <w:tcW w:w="0" w:type="auto"/>
            <w:shd w:val="clear" w:color="auto" w:fill="auto"/>
          </w:tcPr>
          <w:p w:rsidRPr="00874665" w:rsidR="006A5828" w:rsidP="00F74E84" w:rsidRDefault="006A5828" w14:paraId="2AC09F80" w14:textId="77777777">
            <w:pPr>
              <w:autoSpaceDE w:val="0"/>
              <w:autoSpaceDN w:val="0"/>
              <w:adjustRightInd w:val="0"/>
              <w:spacing w:after="0" w:line="240" w:lineRule="auto"/>
              <w:jc w:val="right"/>
              <w:rPr>
                <w:rFonts w:ascii="Times New Roman" w:hAnsi="Times New Roman"/>
                <w:sz w:val="20"/>
                <w:szCs w:val="20"/>
              </w:rPr>
            </w:pPr>
            <w:r w:rsidRPr="00874665">
              <w:rPr>
                <w:rFonts w:ascii="Times New Roman" w:hAnsi="Times New Roman"/>
                <w:sz w:val="20"/>
                <w:szCs w:val="20"/>
              </w:rPr>
              <w:t>1</w:t>
            </w:r>
          </w:p>
        </w:tc>
        <w:tc>
          <w:tcPr>
            <w:tcW w:w="0" w:type="auto"/>
            <w:shd w:val="clear" w:color="auto" w:fill="auto"/>
          </w:tcPr>
          <w:p w:rsidRPr="00874665" w:rsidR="006A5828" w:rsidP="00F74E84" w:rsidRDefault="006A5828" w14:paraId="3AB3B623" w14:textId="77777777">
            <w:pPr>
              <w:autoSpaceDE w:val="0"/>
              <w:autoSpaceDN w:val="0"/>
              <w:adjustRightInd w:val="0"/>
              <w:spacing w:after="0" w:line="240" w:lineRule="auto"/>
              <w:jc w:val="right"/>
              <w:rPr>
                <w:rFonts w:ascii="Times New Roman" w:hAnsi="Times New Roman"/>
                <w:sz w:val="20"/>
                <w:szCs w:val="20"/>
              </w:rPr>
            </w:pPr>
            <w:r w:rsidRPr="00874665">
              <w:rPr>
                <w:rFonts w:ascii="Times New Roman" w:hAnsi="Times New Roman"/>
                <w:sz w:val="20"/>
                <w:szCs w:val="20"/>
              </w:rPr>
              <w:t>20</w:t>
            </w:r>
          </w:p>
        </w:tc>
        <w:tc>
          <w:tcPr>
            <w:tcW w:w="1288" w:type="dxa"/>
            <w:shd w:val="clear" w:color="auto" w:fill="auto"/>
          </w:tcPr>
          <w:p w:rsidRPr="00874665" w:rsidR="006A5828" w:rsidP="00F74E84" w:rsidRDefault="006A5828" w14:paraId="1B5F1EE1" w14:textId="77777777">
            <w:pPr>
              <w:autoSpaceDE w:val="0"/>
              <w:autoSpaceDN w:val="0"/>
              <w:adjustRightInd w:val="0"/>
              <w:spacing w:after="0" w:line="240" w:lineRule="auto"/>
              <w:jc w:val="right"/>
              <w:rPr>
                <w:rFonts w:ascii="Times New Roman" w:hAnsi="Times New Roman"/>
                <w:sz w:val="20"/>
                <w:szCs w:val="20"/>
              </w:rPr>
            </w:pPr>
            <w:r w:rsidRPr="00874665">
              <w:rPr>
                <w:rFonts w:ascii="Times New Roman" w:hAnsi="Times New Roman"/>
                <w:sz w:val="20"/>
                <w:szCs w:val="20"/>
              </w:rPr>
              <w:t>80</w:t>
            </w:r>
          </w:p>
        </w:tc>
        <w:tc>
          <w:tcPr>
            <w:tcW w:w="1030" w:type="dxa"/>
            <w:shd w:val="clear" w:color="auto" w:fill="auto"/>
          </w:tcPr>
          <w:p w:rsidRPr="00874665" w:rsidR="006A5828" w:rsidP="00F74E84" w:rsidRDefault="006A5828" w14:paraId="2B306020" w14:textId="77777777">
            <w:pPr>
              <w:autoSpaceDE w:val="0"/>
              <w:autoSpaceDN w:val="0"/>
              <w:adjustRightInd w:val="0"/>
              <w:spacing w:after="0" w:line="240" w:lineRule="auto"/>
              <w:jc w:val="right"/>
              <w:rPr>
                <w:rFonts w:ascii="Times New Roman" w:hAnsi="Times New Roman"/>
                <w:sz w:val="20"/>
                <w:szCs w:val="20"/>
              </w:rPr>
            </w:pPr>
            <w:r w:rsidRPr="00874665">
              <w:rPr>
                <w:rFonts w:ascii="Times New Roman" w:hAnsi="Times New Roman"/>
                <w:sz w:val="20"/>
                <w:szCs w:val="20"/>
              </w:rPr>
              <w:t>1,600</w:t>
            </w:r>
          </w:p>
        </w:tc>
      </w:tr>
      <w:tr w:rsidRPr="00874665" w:rsidR="006A5828" w:rsidTr="00FE7DCE" w14:paraId="6FBADE37" w14:textId="77777777">
        <w:trPr>
          <w:cantSplit/>
          <w:trHeight w:val="521"/>
        </w:trPr>
        <w:tc>
          <w:tcPr>
            <w:tcW w:w="2398" w:type="dxa"/>
            <w:shd w:val="clear" w:color="auto" w:fill="auto"/>
          </w:tcPr>
          <w:p w:rsidRPr="00874665" w:rsidR="006A5828" w:rsidP="00AD0FE8" w:rsidRDefault="006A5828" w14:paraId="4E7F3C4D" w14:textId="77777777">
            <w:pPr>
              <w:autoSpaceDE w:val="0"/>
              <w:autoSpaceDN w:val="0"/>
              <w:adjustRightInd w:val="0"/>
              <w:spacing w:after="0" w:line="240" w:lineRule="auto"/>
              <w:rPr>
                <w:rFonts w:ascii="Times New Roman" w:hAnsi="Times New Roman"/>
                <w:sz w:val="20"/>
                <w:szCs w:val="20"/>
              </w:rPr>
            </w:pPr>
            <w:r w:rsidRPr="00874665">
              <w:rPr>
                <w:rFonts w:ascii="Times New Roman" w:hAnsi="Times New Roman"/>
                <w:sz w:val="20"/>
                <w:szCs w:val="20"/>
              </w:rPr>
              <w:t>Material changes (Waivers Guidance, sec. III.D)</w:t>
            </w:r>
          </w:p>
        </w:tc>
        <w:tc>
          <w:tcPr>
            <w:tcW w:w="1514" w:type="dxa"/>
            <w:shd w:val="clear" w:color="auto" w:fill="auto"/>
          </w:tcPr>
          <w:p w:rsidRPr="00874665" w:rsidR="006A5828" w:rsidP="00F74E84" w:rsidRDefault="006A5828" w14:paraId="02392207" w14:textId="77777777">
            <w:pPr>
              <w:autoSpaceDE w:val="0"/>
              <w:autoSpaceDN w:val="0"/>
              <w:adjustRightInd w:val="0"/>
              <w:spacing w:after="0" w:line="240" w:lineRule="auto"/>
              <w:jc w:val="right"/>
              <w:rPr>
                <w:rFonts w:ascii="Times New Roman" w:hAnsi="Times New Roman"/>
                <w:sz w:val="20"/>
                <w:szCs w:val="20"/>
              </w:rPr>
            </w:pPr>
            <w:r w:rsidRPr="00874665">
              <w:rPr>
                <w:rFonts w:ascii="Times New Roman" w:hAnsi="Times New Roman"/>
                <w:sz w:val="20"/>
                <w:szCs w:val="20"/>
              </w:rPr>
              <w:t>1</w:t>
            </w:r>
          </w:p>
        </w:tc>
        <w:tc>
          <w:tcPr>
            <w:tcW w:w="0" w:type="auto"/>
            <w:shd w:val="clear" w:color="auto" w:fill="auto"/>
          </w:tcPr>
          <w:p w:rsidRPr="00874665" w:rsidR="006A5828" w:rsidP="00F74E84" w:rsidRDefault="006A5828" w14:paraId="64DB2807" w14:textId="77777777">
            <w:pPr>
              <w:autoSpaceDE w:val="0"/>
              <w:autoSpaceDN w:val="0"/>
              <w:adjustRightInd w:val="0"/>
              <w:spacing w:after="0" w:line="240" w:lineRule="auto"/>
              <w:jc w:val="right"/>
              <w:rPr>
                <w:rFonts w:ascii="Times New Roman" w:hAnsi="Times New Roman"/>
                <w:sz w:val="20"/>
                <w:szCs w:val="20"/>
              </w:rPr>
            </w:pPr>
            <w:r w:rsidRPr="00874665">
              <w:rPr>
                <w:rFonts w:ascii="Times New Roman" w:hAnsi="Times New Roman"/>
                <w:sz w:val="20"/>
                <w:szCs w:val="20"/>
              </w:rPr>
              <w:t>1</w:t>
            </w:r>
          </w:p>
        </w:tc>
        <w:tc>
          <w:tcPr>
            <w:tcW w:w="0" w:type="auto"/>
            <w:shd w:val="clear" w:color="auto" w:fill="auto"/>
          </w:tcPr>
          <w:p w:rsidRPr="00874665" w:rsidR="006A5828" w:rsidP="00F74E84" w:rsidRDefault="006A5828" w14:paraId="469B8B4E" w14:textId="77777777">
            <w:pPr>
              <w:autoSpaceDE w:val="0"/>
              <w:autoSpaceDN w:val="0"/>
              <w:adjustRightInd w:val="0"/>
              <w:spacing w:after="0" w:line="240" w:lineRule="auto"/>
              <w:jc w:val="right"/>
              <w:rPr>
                <w:rFonts w:ascii="Times New Roman" w:hAnsi="Times New Roman"/>
                <w:sz w:val="20"/>
                <w:szCs w:val="20"/>
              </w:rPr>
            </w:pPr>
            <w:r w:rsidRPr="00874665">
              <w:rPr>
                <w:rFonts w:ascii="Times New Roman" w:hAnsi="Times New Roman"/>
                <w:sz w:val="20"/>
                <w:szCs w:val="20"/>
              </w:rPr>
              <w:t>1</w:t>
            </w:r>
          </w:p>
        </w:tc>
        <w:tc>
          <w:tcPr>
            <w:tcW w:w="1288" w:type="dxa"/>
            <w:shd w:val="clear" w:color="auto" w:fill="auto"/>
          </w:tcPr>
          <w:p w:rsidRPr="00874665" w:rsidR="006A5828" w:rsidP="00F74E84" w:rsidRDefault="006A5828" w14:paraId="583C1C5B" w14:textId="77777777">
            <w:pPr>
              <w:autoSpaceDE w:val="0"/>
              <w:autoSpaceDN w:val="0"/>
              <w:adjustRightInd w:val="0"/>
              <w:spacing w:after="0" w:line="240" w:lineRule="auto"/>
              <w:jc w:val="right"/>
              <w:rPr>
                <w:rFonts w:ascii="Times New Roman" w:hAnsi="Times New Roman"/>
                <w:sz w:val="20"/>
                <w:szCs w:val="20"/>
              </w:rPr>
            </w:pPr>
            <w:r w:rsidRPr="00874665">
              <w:rPr>
                <w:rFonts w:ascii="Times New Roman" w:hAnsi="Times New Roman"/>
                <w:sz w:val="20"/>
                <w:szCs w:val="20"/>
              </w:rPr>
              <w:t>16</w:t>
            </w:r>
          </w:p>
        </w:tc>
        <w:tc>
          <w:tcPr>
            <w:tcW w:w="1030" w:type="dxa"/>
            <w:shd w:val="clear" w:color="auto" w:fill="auto"/>
          </w:tcPr>
          <w:p w:rsidRPr="00874665" w:rsidR="006A5828" w:rsidP="00F74E84" w:rsidRDefault="006A5828" w14:paraId="1518B3EA" w14:textId="77777777">
            <w:pPr>
              <w:autoSpaceDE w:val="0"/>
              <w:autoSpaceDN w:val="0"/>
              <w:adjustRightInd w:val="0"/>
              <w:spacing w:after="0" w:line="240" w:lineRule="auto"/>
              <w:jc w:val="right"/>
              <w:rPr>
                <w:rFonts w:ascii="Times New Roman" w:hAnsi="Times New Roman"/>
                <w:sz w:val="20"/>
                <w:szCs w:val="20"/>
              </w:rPr>
            </w:pPr>
            <w:r w:rsidRPr="00874665">
              <w:rPr>
                <w:rFonts w:ascii="Times New Roman" w:hAnsi="Times New Roman"/>
                <w:sz w:val="20"/>
                <w:szCs w:val="20"/>
              </w:rPr>
              <w:t>16</w:t>
            </w:r>
          </w:p>
        </w:tc>
      </w:tr>
      <w:tr w:rsidRPr="00874665" w:rsidR="006A5828" w:rsidTr="00FE7DCE" w14:paraId="16FDD8BA" w14:textId="77777777">
        <w:trPr>
          <w:cantSplit/>
          <w:trHeight w:val="495"/>
        </w:trPr>
        <w:tc>
          <w:tcPr>
            <w:tcW w:w="2398" w:type="dxa"/>
            <w:shd w:val="clear" w:color="auto" w:fill="auto"/>
          </w:tcPr>
          <w:p w:rsidRPr="00874665" w:rsidR="006A5828" w:rsidP="00AD0FE8" w:rsidRDefault="006A5828" w14:paraId="6EEBC562" w14:textId="77777777">
            <w:pPr>
              <w:autoSpaceDE w:val="0"/>
              <w:autoSpaceDN w:val="0"/>
              <w:adjustRightInd w:val="0"/>
              <w:spacing w:after="0" w:line="240" w:lineRule="auto"/>
              <w:rPr>
                <w:rFonts w:ascii="Times New Roman" w:hAnsi="Times New Roman"/>
                <w:sz w:val="20"/>
                <w:szCs w:val="20"/>
              </w:rPr>
            </w:pPr>
            <w:r w:rsidRPr="00874665">
              <w:rPr>
                <w:rFonts w:ascii="Times New Roman" w:hAnsi="Times New Roman"/>
                <w:sz w:val="20"/>
                <w:szCs w:val="20"/>
              </w:rPr>
              <w:t>Request renewals (Waivers Guidance, sec. III)</w:t>
            </w:r>
          </w:p>
        </w:tc>
        <w:tc>
          <w:tcPr>
            <w:tcW w:w="1514" w:type="dxa"/>
            <w:shd w:val="clear" w:color="auto" w:fill="auto"/>
          </w:tcPr>
          <w:p w:rsidRPr="00874665" w:rsidR="006A5828" w:rsidP="00F74E84" w:rsidRDefault="006A5828" w14:paraId="660045E6" w14:textId="77777777">
            <w:pPr>
              <w:autoSpaceDE w:val="0"/>
              <w:autoSpaceDN w:val="0"/>
              <w:adjustRightInd w:val="0"/>
              <w:spacing w:after="0" w:line="240" w:lineRule="auto"/>
              <w:jc w:val="right"/>
              <w:rPr>
                <w:rFonts w:ascii="Times New Roman" w:hAnsi="Times New Roman"/>
                <w:sz w:val="20"/>
                <w:szCs w:val="20"/>
              </w:rPr>
            </w:pPr>
            <w:r w:rsidRPr="00874665">
              <w:rPr>
                <w:rFonts w:ascii="Times New Roman" w:hAnsi="Times New Roman"/>
                <w:sz w:val="20"/>
                <w:szCs w:val="20"/>
              </w:rPr>
              <w:t>1</w:t>
            </w:r>
          </w:p>
        </w:tc>
        <w:tc>
          <w:tcPr>
            <w:tcW w:w="0" w:type="auto"/>
            <w:shd w:val="clear" w:color="auto" w:fill="auto"/>
          </w:tcPr>
          <w:p w:rsidRPr="00874665" w:rsidR="006A5828" w:rsidP="00F74E84" w:rsidRDefault="006A5828" w14:paraId="338667CA" w14:textId="77777777">
            <w:pPr>
              <w:autoSpaceDE w:val="0"/>
              <w:autoSpaceDN w:val="0"/>
              <w:adjustRightInd w:val="0"/>
              <w:spacing w:after="0" w:line="240" w:lineRule="auto"/>
              <w:jc w:val="right"/>
              <w:rPr>
                <w:rFonts w:ascii="Times New Roman" w:hAnsi="Times New Roman"/>
                <w:sz w:val="20"/>
                <w:szCs w:val="20"/>
              </w:rPr>
            </w:pPr>
            <w:r w:rsidRPr="00874665">
              <w:rPr>
                <w:rFonts w:ascii="Times New Roman" w:hAnsi="Times New Roman"/>
                <w:sz w:val="20"/>
                <w:szCs w:val="20"/>
              </w:rPr>
              <w:t>1</w:t>
            </w:r>
          </w:p>
        </w:tc>
        <w:tc>
          <w:tcPr>
            <w:tcW w:w="0" w:type="auto"/>
            <w:shd w:val="clear" w:color="auto" w:fill="auto"/>
          </w:tcPr>
          <w:p w:rsidRPr="00874665" w:rsidR="006A5828" w:rsidP="00F74E84" w:rsidRDefault="006A5828" w14:paraId="4648850D" w14:textId="77777777">
            <w:pPr>
              <w:autoSpaceDE w:val="0"/>
              <w:autoSpaceDN w:val="0"/>
              <w:adjustRightInd w:val="0"/>
              <w:spacing w:after="0" w:line="240" w:lineRule="auto"/>
              <w:jc w:val="right"/>
              <w:rPr>
                <w:rFonts w:ascii="Times New Roman" w:hAnsi="Times New Roman"/>
                <w:sz w:val="20"/>
                <w:szCs w:val="20"/>
              </w:rPr>
            </w:pPr>
            <w:r w:rsidRPr="00874665">
              <w:rPr>
                <w:rFonts w:ascii="Times New Roman" w:hAnsi="Times New Roman"/>
                <w:sz w:val="20"/>
                <w:szCs w:val="20"/>
              </w:rPr>
              <w:t>1</w:t>
            </w:r>
          </w:p>
        </w:tc>
        <w:tc>
          <w:tcPr>
            <w:tcW w:w="1288" w:type="dxa"/>
            <w:shd w:val="clear" w:color="auto" w:fill="auto"/>
          </w:tcPr>
          <w:p w:rsidRPr="00874665" w:rsidR="006A5828" w:rsidP="00F74E84" w:rsidRDefault="006A5828" w14:paraId="6725274D" w14:textId="77777777">
            <w:pPr>
              <w:autoSpaceDE w:val="0"/>
              <w:autoSpaceDN w:val="0"/>
              <w:adjustRightInd w:val="0"/>
              <w:spacing w:after="0" w:line="240" w:lineRule="auto"/>
              <w:jc w:val="right"/>
              <w:rPr>
                <w:rFonts w:ascii="Times New Roman" w:hAnsi="Times New Roman"/>
                <w:sz w:val="20"/>
                <w:szCs w:val="20"/>
              </w:rPr>
            </w:pPr>
            <w:r w:rsidRPr="00874665">
              <w:rPr>
                <w:rFonts w:ascii="Times New Roman" w:hAnsi="Times New Roman"/>
                <w:sz w:val="20"/>
                <w:szCs w:val="20"/>
              </w:rPr>
              <w:t>16</w:t>
            </w:r>
          </w:p>
        </w:tc>
        <w:tc>
          <w:tcPr>
            <w:tcW w:w="1030" w:type="dxa"/>
            <w:shd w:val="clear" w:color="auto" w:fill="auto"/>
          </w:tcPr>
          <w:p w:rsidRPr="00874665" w:rsidR="006A5828" w:rsidP="00F74E84" w:rsidRDefault="006A5828" w14:paraId="17619E2D" w14:textId="77777777">
            <w:pPr>
              <w:autoSpaceDE w:val="0"/>
              <w:autoSpaceDN w:val="0"/>
              <w:adjustRightInd w:val="0"/>
              <w:spacing w:after="0" w:line="240" w:lineRule="auto"/>
              <w:jc w:val="right"/>
              <w:rPr>
                <w:rFonts w:ascii="Times New Roman" w:hAnsi="Times New Roman"/>
                <w:sz w:val="20"/>
                <w:szCs w:val="20"/>
              </w:rPr>
            </w:pPr>
            <w:r w:rsidRPr="00874665">
              <w:rPr>
                <w:rFonts w:ascii="Times New Roman" w:hAnsi="Times New Roman"/>
                <w:sz w:val="20"/>
                <w:szCs w:val="20"/>
              </w:rPr>
              <w:t>16</w:t>
            </w:r>
          </w:p>
        </w:tc>
      </w:tr>
      <w:tr w:rsidRPr="00874665" w:rsidR="006A5828" w:rsidTr="00FE7DCE" w14:paraId="4B9930CB" w14:textId="77777777">
        <w:trPr>
          <w:cantSplit/>
          <w:trHeight w:val="21"/>
        </w:trPr>
        <w:tc>
          <w:tcPr>
            <w:tcW w:w="2398" w:type="dxa"/>
            <w:shd w:val="clear" w:color="auto" w:fill="auto"/>
          </w:tcPr>
          <w:p w:rsidRPr="00874665" w:rsidR="006A5828" w:rsidP="00AD0FE8" w:rsidRDefault="006A5828" w14:paraId="237009C6" w14:textId="77777777">
            <w:pPr>
              <w:autoSpaceDE w:val="0"/>
              <w:autoSpaceDN w:val="0"/>
              <w:adjustRightInd w:val="0"/>
              <w:spacing w:after="0" w:line="240" w:lineRule="auto"/>
              <w:rPr>
                <w:rFonts w:ascii="Times New Roman" w:hAnsi="Times New Roman"/>
                <w:sz w:val="20"/>
                <w:szCs w:val="20"/>
              </w:rPr>
            </w:pPr>
            <w:r w:rsidRPr="00874665">
              <w:rPr>
                <w:rFonts w:ascii="Times New Roman" w:hAnsi="Times New Roman"/>
                <w:sz w:val="20"/>
                <w:szCs w:val="20"/>
              </w:rPr>
              <w:t>Total</w:t>
            </w:r>
          </w:p>
        </w:tc>
        <w:tc>
          <w:tcPr>
            <w:tcW w:w="1514" w:type="dxa"/>
            <w:shd w:val="clear" w:color="auto" w:fill="auto"/>
          </w:tcPr>
          <w:p w:rsidRPr="00874665" w:rsidR="006A5828" w:rsidP="00AD0FE8" w:rsidRDefault="006A5828" w14:paraId="1C33BF3B" w14:textId="77777777">
            <w:pPr>
              <w:autoSpaceDE w:val="0"/>
              <w:autoSpaceDN w:val="0"/>
              <w:adjustRightInd w:val="0"/>
              <w:spacing w:after="0" w:line="240" w:lineRule="auto"/>
              <w:rPr>
                <w:rFonts w:ascii="Times New Roman" w:hAnsi="Times New Roman"/>
                <w:sz w:val="20"/>
                <w:szCs w:val="20"/>
              </w:rPr>
            </w:pPr>
          </w:p>
        </w:tc>
        <w:tc>
          <w:tcPr>
            <w:tcW w:w="0" w:type="auto"/>
            <w:shd w:val="clear" w:color="auto" w:fill="auto"/>
          </w:tcPr>
          <w:p w:rsidRPr="00874665" w:rsidR="006A5828" w:rsidP="00AD0FE8" w:rsidRDefault="006A5828" w14:paraId="083C0D28" w14:textId="77777777">
            <w:pPr>
              <w:autoSpaceDE w:val="0"/>
              <w:autoSpaceDN w:val="0"/>
              <w:adjustRightInd w:val="0"/>
              <w:spacing w:after="0" w:line="240" w:lineRule="auto"/>
              <w:rPr>
                <w:rFonts w:ascii="Times New Roman" w:hAnsi="Times New Roman"/>
                <w:sz w:val="20"/>
                <w:szCs w:val="20"/>
              </w:rPr>
            </w:pPr>
          </w:p>
        </w:tc>
        <w:tc>
          <w:tcPr>
            <w:tcW w:w="0" w:type="auto"/>
            <w:shd w:val="clear" w:color="auto" w:fill="auto"/>
          </w:tcPr>
          <w:p w:rsidRPr="00874665" w:rsidR="006A5828" w:rsidP="00F74E84" w:rsidRDefault="006A5828" w14:paraId="02D17F64" w14:textId="77777777">
            <w:pPr>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14,622</w:t>
            </w:r>
          </w:p>
        </w:tc>
        <w:tc>
          <w:tcPr>
            <w:tcW w:w="1288" w:type="dxa"/>
            <w:shd w:val="clear" w:color="auto" w:fill="auto"/>
          </w:tcPr>
          <w:p w:rsidRPr="00874665" w:rsidR="006A5828" w:rsidP="00AD0FE8" w:rsidRDefault="006A5828" w14:paraId="3A10DA39" w14:textId="77777777">
            <w:pPr>
              <w:autoSpaceDE w:val="0"/>
              <w:autoSpaceDN w:val="0"/>
              <w:adjustRightInd w:val="0"/>
              <w:spacing w:after="0" w:line="240" w:lineRule="auto"/>
              <w:rPr>
                <w:rFonts w:ascii="Times New Roman" w:hAnsi="Times New Roman"/>
                <w:sz w:val="20"/>
                <w:szCs w:val="20"/>
              </w:rPr>
            </w:pPr>
          </w:p>
        </w:tc>
        <w:tc>
          <w:tcPr>
            <w:tcW w:w="1030" w:type="dxa"/>
            <w:shd w:val="clear" w:color="auto" w:fill="auto"/>
          </w:tcPr>
          <w:p w:rsidRPr="00874665" w:rsidR="006A5828" w:rsidP="00F74E84" w:rsidRDefault="006A5828" w14:paraId="33908DB5" w14:textId="77777777">
            <w:pPr>
              <w:autoSpaceDE w:val="0"/>
              <w:autoSpaceDN w:val="0"/>
              <w:adjustRightInd w:val="0"/>
              <w:spacing w:after="0" w:line="240" w:lineRule="auto"/>
              <w:jc w:val="right"/>
              <w:rPr>
                <w:rFonts w:ascii="Times New Roman" w:hAnsi="Times New Roman"/>
                <w:sz w:val="20"/>
                <w:szCs w:val="20"/>
              </w:rPr>
            </w:pPr>
            <w:r w:rsidRPr="00874665">
              <w:rPr>
                <w:rFonts w:ascii="Times New Roman" w:hAnsi="Times New Roman"/>
                <w:sz w:val="20"/>
                <w:szCs w:val="20"/>
              </w:rPr>
              <w:t>114,932</w:t>
            </w:r>
          </w:p>
        </w:tc>
      </w:tr>
    </w:tbl>
    <w:p w:rsidRPr="00874665" w:rsidR="006A5828" w:rsidP="006A5828" w:rsidRDefault="006A5828" w14:paraId="4EF1C5FE" w14:textId="77777777">
      <w:pPr>
        <w:autoSpaceDE w:val="0"/>
        <w:autoSpaceDN w:val="0"/>
        <w:adjustRightInd w:val="0"/>
        <w:spacing w:after="0" w:line="240" w:lineRule="auto"/>
        <w:rPr>
          <w:rFonts w:ascii="Times New Roman" w:hAnsi="Times New Roman"/>
          <w:iCs/>
          <w:sz w:val="20"/>
          <w:szCs w:val="20"/>
        </w:rPr>
      </w:pPr>
    </w:p>
    <w:p w:rsidR="009F09B1" w:rsidRDefault="009F09B1" w14:paraId="58EA70A6" w14:textId="77777777">
      <w:r>
        <w:br w:type="page"/>
      </w:r>
    </w:p>
    <w:tbl>
      <w:tblPr>
        <w:tblStyle w:val="TableGrid"/>
        <w:tblW w:w="4830" w:type="pct"/>
        <w:tblLook w:val="04A0" w:firstRow="1" w:lastRow="0" w:firstColumn="1" w:lastColumn="0" w:noHBand="0" w:noVBand="1"/>
      </w:tblPr>
      <w:tblGrid>
        <w:gridCol w:w="2776"/>
        <w:gridCol w:w="1380"/>
        <w:gridCol w:w="1289"/>
        <w:gridCol w:w="1279"/>
        <w:gridCol w:w="1190"/>
        <w:gridCol w:w="1128"/>
      </w:tblGrid>
      <w:tr w:rsidRPr="00874665" w:rsidR="006A5828" w:rsidTr="00FE7DCE" w14:paraId="03D273B5" w14:textId="77777777">
        <w:trPr>
          <w:trHeight w:val="266"/>
        </w:trPr>
        <w:tc>
          <w:tcPr>
            <w:tcW w:w="5000" w:type="pct"/>
            <w:gridSpan w:val="6"/>
            <w:tcBorders>
              <w:top w:val="nil"/>
              <w:left w:val="nil"/>
              <w:bottom w:val="single" w:color="auto" w:sz="4" w:space="0"/>
              <w:right w:val="nil"/>
            </w:tcBorders>
            <w:hideMark/>
          </w:tcPr>
          <w:p w:rsidRPr="00874665" w:rsidR="006A5828" w:rsidP="00AD0FE8" w:rsidRDefault="006A5828" w14:paraId="2C4590D8" w14:textId="5A17AA3B">
            <w:pPr>
              <w:autoSpaceDE w:val="0"/>
              <w:autoSpaceDN w:val="0"/>
              <w:adjustRightInd w:val="0"/>
              <w:spacing w:after="0" w:line="240" w:lineRule="auto"/>
              <w:jc w:val="center"/>
              <w:rPr>
                <w:rFonts w:ascii="Times New Roman" w:hAnsi="Times New Roman"/>
                <w:iCs/>
                <w:sz w:val="20"/>
                <w:szCs w:val="20"/>
              </w:rPr>
            </w:pPr>
            <w:r w:rsidRPr="00874665">
              <w:rPr>
                <w:rFonts w:ascii="Times New Roman" w:hAnsi="Times New Roman"/>
                <w:iCs/>
                <w:sz w:val="20"/>
                <w:szCs w:val="20"/>
              </w:rPr>
              <w:lastRenderedPageBreak/>
              <w:t>Table 2.--Estimated Annual Disclosure Burden</w:t>
            </w:r>
          </w:p>
        </w:tc>
      </w:tr>
      <w:tr w:rsidRPr="00874665" w:rsidR="006A5828" w:rsidTr="00FE7DCE" w14:paraId="2F6A9578" w14:textId="77777777">
        <w:trPr>
          <w:trHeight w:val="678"/>
        </w:trPr>
        <w:tc>
          <w:tcPr>
            <w:tcW w:w="1535" w:type="pct"/>
            <w:tcBorders>
              <w:top w:val="single" w:color="auto" w:sz="4" w:space="0"/>
              <w:left w:val="single" w:color="auto" w:sz="4" w:space="0"/>
              <w:bottom w:val="single" w:color="auto" w:sz="4" w:space="0"/>
              <w:right w:val="single" w:color="auto" w:sz="4" w:space="0"/>
            </w:tcBorders>
            <w:hideMark/>
          </w:tcPr>
          <w:p w:rsidRPr="00874665" w:rsidR="006A5828" w:rsidP="00AD0FE8" w:rsidRDefault="006A5828" w14:paraId="3BAD93F0" w14:textId="77777777">
            <w:pPr>
              <w:autoSpaceDE w:val="0"/>
              <w:autoSpaceDN w:val="0"/>
              <w:adjustRightInd w:val="0"/>
              <w:spacing w:after="0" w:line="240" w:lineRule="auto"/>
              <w:rPr>
                <w:rFonts w:ascii="Times New Roman" w:hAnsi="Times New Roman"/>
                <w:iCs/>
                <w:sz w:val="20"/>
                <w:szCs w:val="20"/>
              </w:rPr>
            </w:pPr>
            <w:r w:rsidRPr="00874665">
              <w:rPr>
                <w:rFonts w:ascii="Times New Roman" w:hAnsi="Times New Roman"/>
                <w:iCs/>
                <w:sz w:val="20"/>
                <w:szCs w:val="20"/>
              </w:rPr>
              <w:t>Sec. 582 FD&amp;C Act;</w:t>
            </w:r>
          </w:p>
          <w:p w:rsidRPr="00874665" w:rsidR="006A5828" w:rsidP="00AD0FE8" w:rsidRDefault="006A5828" w14:paraId="0D1125F9" w14:textId="77777777">
            <w:pPr>
              <w:autoSpaceDE w:val="0"/>
              <w:autoSpaceDN w:val="0"/>
              <w:adjustRightInd w:val="0"/>
              <w:spacing w:after="0" w:line="240" w:lineRule="auto"/>
              <w:rPr>
                <w:rFonts w:ascii="Times New Roman" w:hAnsi="Times New Roman"/>
                <w:iCs/>
                <w:sz w:val="20"/>
                <w:szCs w:val="20"/>
              </w:rPr>
            </w:pPr>
            <w:r w:rsidRPr="00874665">
              <w:rPr>
                <w:rFonts w:ascii="Times New Roman" w:hAnsi="Times New Roman"/>
                <w:iCs/>
                <w:sz w:val="20"/>
                <w:szCs w:val="20"/>
              </w:rPr>
              <w:t>Information Collection Activity</w:t>
            </w:r>
          </w:p>
        </w:tc>
        <w:tc>
          <w:tcPr>
            <w:tcW w:w="763" w:type="pct"/>
            <w:tcBorders>
              <w:top w:val="single" w:color="auto" w:sz="4" w:space="0"/>
              <w:left w:val="single" w:color="auto" w:sz="4" w:space="0"/>
              <w:bottom w:val="single" w:color="auto" w:sz="4" w:space="0"/>
              <w:right w:val="single" w:color="auto" w:sz="4" w:space="0"/>
            </w:tcBorders>
            <w:hideMark/>
          </w:tcPr>
          <w:p w:rsidRPr="00874665" w:rsidR="006A5828" w:rsidP="00AD0FE8" w:rsidRDefault="006A5828" w14:paraId="65EA7561" w14:textId="77777777">
            <w:pPr>
              <w:autoSpaceDE w:val="0"/>
              <w:autoSpaceDN w:val="0"/>
              <w:adjustRightInd w:val="0"/>
              <w:spacing w:after="0" w:line="240" w:lineRule="auto"/>
              <w:rPr>
                <w:rFonts w:ascii="Times New Roman" w:hAnsi="Times New Roman"/>
                <w:iCs/>
                <w:sz w:val="20"/>
                <w:szCs w:val="20"/>
              </w:rPr>
            </w:pPr>
            <w:r w:rsidRPr="00874665">
              <w:rPr>
                <w:rFonts w:ascii="Times New Roman" w:hAnsi="Times New Roman"/>
                <w:iCs/>
                <w:sz w:val="20"/>
                <w:szCs w:val="20"/>
              </w:rPr>
              <w:t>No. of Respondents</w:t>
            </w:r>
          </w:p>
        </w:tc>
        <w:tc>
          <w:tcPr>
            <w:tcW w:w="713" w:type="pct"/>
            <w:tcBorders>
              <w:top w:val="single" w:color="auto" w:sz="4" w:space="0"/>
              <w:left w:val="single" w:color="auto" w:sz="4" w:space="0"/>
              <w:bottom w:val="single" w:color="auto" w:sz="4" w:space="0"/>
              <w:right w:val="single" w:color="auto" w:sz="4" w:space="0"/>
            </w:tcBorders>
            <w:hideMark/>
          </w:tcPr>
          <w:p w:rsidRPr="00874665" w:rsidR="006A5828" w:rsidP="00AD0FE8" w:rsidRDefault="006A5828" w14:paraId="6EA605B8" w14:textId="77777777">
            <w:pPr>
              <w:autoSpaceDE w:val="0"/>
              <w:autoSpaceDN w:val="0"/>
              <w:adjustRightInd w:val="0"/>
              <w:spacing w:after="0" w:line="240" w:lineRule="auto"/>
              <w:rPr>
                <w:rFonts w:ascii="Times New Roman" w:hAnsi="Times New Roman"/>
                <w:iCs/>
                <w:sz w:val="20"/>
                <w:szCs w:val="20"/>
              </w:rPr>
            </w:pPr>
            <w:r w:rsidRPr="00874665">
              <w:rPr>
                <w:rFonts w:ascii="Times New Roman" w:hAnsi="Times New Roman"/>
                <w:iCs/>
                <w:sz w:val="20"/>
                <w:szCs w:val="20"/>
              </w:rPr>
              <w:t>No. of Disclosures per Respondent</w:t>
            </w:r>
          </w:p>
        </w:tc>
        <w:tc>
          <w:tcPr>
            <w:tcW w:w="707" w:type="pct"/>
            <w:tcBorders>
              <w:top w:val="single" w:color="auto" w:sz="4" w:space="0"/>
              <w:left w:val="single" w:color="auto" w:sz="4" w:space="0"/>
              <w:bottom w:val="single" w:color="auto" w:sz="4" w:space="0"/>
              <w:right w:val="single" w:color="auto" w:sz="4" w:space="0"/>
            </w:tcBorders>
            <w:hideMark/>
          </w:tcPr>
          <w:p w:rsidRPr="00874665" w:rsidR="006A5828" w:rsidP="00AD0FE8" w:rsidRDefault="006A5828" w14:paraId="72364ADE" w14:textId="77777777">
            <w:pPr>
              <w:autoSpaceDE w:val="0"/>
              <w:autoSpaceDN w:val="0"/>
              <w:adjustRightInd w:val="0"/>
              <w:spacing w:after="0" w:line="240" w:lineRule="auto"/>
              <w:rPr>
                <w:rFonts w:ascii="Times New Roman" w:hAnsi="Times New Roman"/>
                <w:iCs/>
                <w:sz w:val="20"/>
                <w:szCs w:val="20"/>
              </w:rPr>
            </w:pPr>
            <w:r w:rsidRPr="00874665">
              <w:rPr>
                <w:rFonts w:ascii="Times New Roman" w:hAnsi="Times New Roman"/>
                <w:iCs/>
                <w:sz w:val="20"/>
                <w:szCs w:val="20"/>
              </w:rPr>
              <w:t>Total Disclosures</w:t>
            </w:r>
          </w:p>
        </w:tc>
        <w:tc>
          <w:tcPr>
            <w:tcW w:w="658" w:type="pct"/>
            <w:tcBorders>
              <w:top w:val="single" w:color="auto" w:sz="4" w:space="0"/>
              <w:left w:val="single" w:color="auto" w:sz="4" w:space="0"/>
              <w:bottom w:val="single" w:color="auto" w:sz="4" w:space="0"/>
              <w:right w:val="single" w:color="auto" w:sz="4" w:space="0"/>
            </w:tcBorders>
            <w:hideMark/>
          </w:tcPr>
          <w:p w:rsidRPr="00874665" w:rsidR="006A5828" w:rsidP="00AD0FE8" w:rsidRDefault="006A5828" w14:paraId="27E31D90" w14:textId="77777777">
            <w:pPr>
              <w:autoSpaceDE w:val="0"/>
              <w:autoSpaceDN w:val="0"/>
              <w:adjustRightInd w:val="0"/>
              <w:spacing w:after="0" w:line="240" w:lineRule="auto"/>
              <w:rPr>
                <w:rFonts w:ascii="Times New Roman" w:hAnsi="Times New Roman"/>
                <w:iCs/>
                <w:sz w:val="20"/>
                <w:szCs w:val="20"/>
              </w:rPr>
            </w:pPr>
            <w:r w:rsidRPr="00874665">
              <w:rPr>
                <w:rFonts w:ascii="Times New Roman" w:hAnsi="Times New Roman"/>
                <w:sz w:val="20"/>
                <w:szCs w:val="20"/>
              </w:rPr>
              <w:t>Average Time per Disclosure (in hours)</w:t>
            </w:r>
          </w:p>
        </w:tc>
        <w:tc>
          <w:tcPr>
            <w:tcW w:w="623" w:type="pct"/>
            <w:tcBorders>
              <w:top w:val="single" w:color="auto" w:sz="4" w:space="0"/>
              <w:left w:val="single" w:color="auto" w:sz="4" w:space="0"/>
              <w:bottom w:val="single" w:color="auto" w:sz="4" w:space="0"/>
              <w:right w:val="single" w:color="auto" w:sz="4" w:space="0"/>
            </w:tcBorders>
            <w:hideMark/>
          </w:tcPr>
          <w:p w:rsidRPr="00874665" w:rsidR="006A5828" w:rsidP="00AD0FE8" w:rsidRDefault="006A5828" w14:paraId="4EF1DAFA" w14:textId="77777777">
            <w:pPr>
              <w:autoSpaceDE w:val="0"/>
              <w:autoSpaceDN w:val="0"/>
              <w:adjustRightInd w:val="0"/>
              <w:spacing w:after="0" w:line="240" w:lineRule="auto"/>
              <w:rPr>
                <w:rFonts w:ascii="Times New Roman" w:hAnsi="Times New Roman"/>
                <w:iCs/>
                <w:sz w:val="20"/>
                <w:szCs w:val="20"/>
              </w:rPr>
            </w:pPr>
            <w:r w:rsidRPr="00874665">
              <w:rPr>
                <w:rFonts w:ascii="Times New Roman" w:hAnsi="Times New Roman"/>
                <w:iCs/>
                <w:sz w:val="20"/>
                <w:szCs w:val="20"/>
              </w:rPr>
              <w:t>Total Hours</w:t>
            </w:r>
          </w:p>
        </w:tc>
      </w:tr>
      <w:tr w:rsidRPr="00874665" w:rsidR="006A5828" w:rsidTr="00FE7DCE" w14:paraId="19DD97F9" w14:textId="77777777">
        <w:trPr>
          <w:trHeight w:val="308"/>
        </w:trPr>
        <w:tc>
          <w:tcPr>
            <w:tcW w:w="1535" w:type="pct"/>
            <w:shd w:val="clear" w:color="auto" w:fill="auto"/>
            <w:hideMark/>
          </w:tcPr>
          <w:p w:rsidRPr="00874665" w:rsidR="006A5828" w:rsidP="00AD0FE8" w:rsidRDefault="006A5828" w14:paraId="26F4DE9C" w14:textId="77777777">
            <w:pPr>
              <w:autoSpaceDE w:val="0"/>
              <w:autoSpaceDN w:val="0"/>
              <w:adjustRightInd w:val="0"/>
              <w:spacing w:after="0" w:line="240" w:lineRule="auto"/>
              <w:rPr>
                <w:rFonts w:ascii="Times New Roman" w:hAnsi="Times New Roman"/>
                <w:iCs/>
                <w:sz w:val="20"/>
                <w:szCs w:val="20"/>
              </w:rPr>
            </w:pPr>
            <w:r w:rsidRPr="00874665">
              <w:rPr>
                <w:rFonts w:ascii="Times New Roman" w:hAnsi="Times New Roman"/>
                <w:iCs/>
                <w:sz w:val="20"/>
                <w:szCs w:val="20"/>
              </w:rPr>
              <w:t>Illegitimate product notifications to trading partners (Notifications Guidance, sec. III.B)</w:t>
            </w:r>
          </w:p>
        </w:tc>
        <w:tc>
          <w:tcPr>
            <w:tcW w:w="763" w:type="pct"/>
            <w:shd w:val="clear" w:color="auto" w:fill="auto"/>
          </w:tcPr>
          <w:p w:rsidRPr="00874665" w:rsidR="006A5828" w:rsidP="00F74E84" w:rsidRDefault="006A5828" w14:paraId="1B0CBB20" w14:textId="77777777">
            <w:pPr>
              <w:autoSpaceDE w:val="0"/>
              <w:autoSpaceDN w:val="0"/>
              <w:adjustRightInd w:val="0"/>
              <w:spacing w:after="0" w:line="240" w:lineRule="auto"/>
              <w:jc w:val="right"/>
              <w:rPr>
                <w:rFonts w:ascii="Times New Roman" w:hAnsi="Times New Roman"/>
                <w:iCs/>
                <w:sz w:val="20"/>
                <w:szCs w:val="20"/>
              </w:rPr>
            </w:pPr>
            <w:r w:rsidRPr="00874665">
              <w:rPr>
                <w:rFonts w:ascii="Times New Roman" w:hAnsi="Times New Roman"/>
                <w:iCs/>
                <w:sz w:val="20"/>
                <w:szCs w:val="20"/>
              </w:rPr>
              <w:t>500</w:t>
            </w:r>
          </w:p>
        </w:tc>
        <w:tc>
          <w:tcPr>
            <w:tcW w:w="713" w:type="pct"/>
            <w:shd w:val="clear" w:color="auto" w:fill="auto"/>
          </w:tcPr>
          <w:p w:rsidRPr="00874665" w:rsidR="006A5828" w:rsidP="00F74E84" w:rsidRDefault="006A5828" w14:paraId="527373CB" w14:textId="77777777">
            <w:pPr>
              <w:autoSpaceDE w:val="0"/>
              <w:autoSpaceDN w:val="0"/>
              <w:adjustRightInd w:val="0"/>
              <w:spacing w:after="0" w:line="240" w:lineRule="auto"/>
              <w:jc w:val="right"/>
              <w:rPr>
                <w:rFonts w:ascii="Times New Roman" w:hAnsi="Times New Roman"/>
                <w:iCs/>
                <w:sz w:val="20"/>
                <w:szCs w:val="20"/>
              </w:rPr>
            </w:pPr>
            <w:r w:rsidRPr="00874665">
              <w:rPr>
                <w:rFonts w:ascii="Times New Roman" w:hAnsi="Times New Roman"/>
                <w:iCs/>
                <w:sz w:val="20"/>
                <w:szCs w:val="20"/>
              </w:rPr>
              <w:t>310</w:t>
            </w:r>
          </w:p>
        </w:tc>
        <w:tc>
          <w:tcPr>
            <w:tcW w:w="707" w:type="pct"/>
            <w:shd w:val="clear" w:color="auto" w:fill="auto"/>
          </w:tcPr>
          <w:p w:rsidRPr="00874665" w:rsidR="006A5828" w:rsidP="00F74E84" w:rsidRDefault="006A5828" w14:paraId="322E234A" w14:textId="77777777">
            <w:pPr>
              <w:autoSpaceDE w:val="0"/>
              <w:autoSpaceDN w:val="0"/>
              <w:adjustRightInd w:val="0"/>
              <w:spacing w:after="0" w:line="240" w:lineRule="auto"/>
              <w:jc w:val="right"/>
              <w:rPr>
                <w:rFonts w:ascii="Times New Roman" w:hAnsi="Times New Roman"/>
                <w:iCs/>
                <w:sz w:val="20"/>
                <w:szCs w:val="20"/>
              </w:rPr>
            </w:pPr>
            <w:r w:rsidRPr="00874665">
              <w:rPr>
                <w:rFonts w:ascii="Times New Roman" w:hAnsi="Times New Roman"/>
                <w:iCs/>
                <w:sz w:val="20"/>
                <w:szCs w:val="20"/>
              </w:rPr>
              <w:t>155,000</w:t>
            </w:r>
          </w:p>
        </w:tc>
        <w:tc>
          <w:tcPr>
            <w:tcW w:w="658" w:type="pct"/>
            <w:shd w:val="clear" w:color="auto" w:fill="auto"/>
          </w:tcPr>
          <w:p w:rsidRPr="00874665" w:rsidR="006A5828" w:rsidP="00F74E84" w:rsidRDefault="006A5828" w14:paraId="2F0CA0FB" w14:textId="77777777">
            <w:pPr>
              <w:autoSpaceDE w:val="0"/>
              <w:autoSpaceDN w:val="0"/>
              <w:adjustRightInd w:val="0"/>
              <w:spacing w:after="0" w:line="240" w:lineRule="auto"/>
              <w:jc w:val="right"/>
              <w:rPr>
                <w:rFonts w:ascii="Times New Roman" w:hAnsi="Times New Roman"/>
                <w:iCs/>
                <w:sz w:val="20"/>
                <w:szCs w:val="20"/>
              </w:rPr>
            </w:pPr>
            <w:r w:rsidRPr="00874665">
              <w:rPr>
                <w:rFonts w:ascii="Times New Roman" w:hAnsi="Times New Roman"/>
                <w:iCs/>
                <w:sz w:val="20"/>
                <w:szCs w:val="20"/>
              </w:rPr>
              <w:t>8</w:t>
            </w:r>
          </w:p>
        </w:tc>
        <w:tc>
          <w:tcPr>
            <w:tcW w:w="623" w:type="pct"/>
            <w:tcBorders>
              <w:bottom w:val="single" w:color="auto" w:sz="4" w:space="0"/>
            </w:tcBorders>
            <w:shd w:val="clear" w:color="auto" w:fill="auto"/>
            <w:hideMark/>
          </w:tcPr>
          <w:p w:rsidRPr="00874665" w:rsidR="006A5828" w:rsidP="00F74E84" w:rsidRDefault="006A5828" w14:paraId="12888185" w14:textId="77777777">
            <w:pPr>
              <w:autoSpaceDE w:val="0"/>
              <w:autoSpaceDN w:val="0"/>
              <w:adjustRightInd w:val="0"/>
              <w:spacing w:after="0" w:line="240" w:lineRule="auto"/>
              <w:jc w:val="right"/>
              <w:rPr>
                <w:rFonts w:ascii="Times New Roman" w:hAnsi="Times New Roman"/>
                <w:iCs/>
                <w:sz w:val="20"/>
                <w:szCs w:val="20"/>
              </w:rPr>
            </w:pPr>
            <w:r w:rsidRPr="00874665">
              <w:rPr>
                <w:rFonts w:ascii="Times New Roman" w:hAnsi="Times New Roman"/>
                <w:iCs/>
                <w:sz w:val="20"/>
                <w:szCs w:val="20"/>
              </w:rPr>
              <w:t>1,240,000</w:t>
            </w:r>
          </w:p>
        </w:tc>
      </w:tr>
      <w:tr w:rsidRPr="00874665" w:rsidR="006A5828" w:rsidTr="00FE7DCE" w14:paraId="404F2F39" w14:textId="77777777">
        <w:trPr>
          <w:trHeight w:val="799"/>
        </w:trPr>
        <w:tc>
          <w:tcPr>
            <w:tcW w:w="1535" w:type="pct"/>
            <w:tcBorders>
              <w:bottom w:val="single" w:color="auto" w:sz="4" w:space="0"/>
            </w:tcBorders>
            <w:shd w:val="clear" w:color="auto" w:fill="auto"/>
          </w:tcPr>
          <w:p w:rsidRPr="00874665" w:rsidR="006A5828" w:rsidP="00AD0FE8" w:rsidRDefault="006A5828" w14:paraId="651BD7F6" w14:textId="77777777">
            <w:pPr>
              <w:autoSpaceDE w:val="0"/>
              <w:autoSpaceDN w:val="0"/>
              <w:adjustRightInd w:val="0"/>
              <w:spacing w:after="0" w:line="240" w:lineRule="auto"/>
              <w:rPr>
                <w:rFonts w:ascii="Times New Roman" w:hAnsi="Times New Roman"/>
                <w:iCs/>
                <w:sz w:val="20"/>
                <w:szCs w:val="20"/>
              </w:rPr>
            </w:pPr>
            <w:r w:rsidRPr="00874665">
              <w:rPr>
                <w:rFonts w:ascii="Times New Roman" w:hAnsi="Times New Roman"/>
                <w:iCs/>
                <w:sz w:val="20"/>
                <w:szCs w:val="20"/>
              </w:rPr>
              <w:t>Illegitimate product notification terminations to trading partners (Notifications Guidance, sec. III)</w:t>
            </w:r>
          </w:p>
        </w:tc>
        <w:tc>
          <w:tcPr>
            <w:tcW w:w="763" w:type="pct"/>
            <w:tcBorders>
              <w:bottom w:val="single" w:color="auto" w:sz="4" w:space="0"/>
            </w:tcBorders>
            <w:shd w:val="clear" w:color="auto" w:fill="auto"/>
          </w:tcPr>
          <w:p w:rsidRPr="00874665" w:rsidR="006A5828" w:rsidP="00F74E84" w:rsidRDefault="006A5828" w14:paraId="7838F485" w14:textId="77777777">
            <w:pPr>
              <w:autoSpaceDE w:val="0"/>
              <w:autoSpaceDN w:val="0"/>
              <w:adjustRightInd w:val="0"/>
              <w:spacing w:after="0" w:line="240" w:lineRule="auto"/>
              <w:jc w:val="right"/>
              <w:rPr>
                <w:rFonts w:ascii="Times New Roman" w:hAnsi="Times New Roman"/>
                <w:iCs/>
                <w:sz w:val="20"/>
                <w:szCs w:val="20"/>
              </w:rPr>
            </w:pPr>
            <w:r w:rsidRPr="00874665">
              <w:rPr>
                <w:rFonts w:ascii="Times New Roman" w:hAnsi="Times New Roman"/>
                <w:iCs/>
                <w:sz w:val="20"/>
                <w:szCs w:val="20"/>
              </w:rPr>
              <w:t>500</w:t>
            </w:r>
          </w:p>
        </w:tc>
        <w:tc>
          <w:tcPr>
            <w:tcW w:w="713" w:type="pct"/>
            <w:tcBorders>
              <w:bottom w:val="single" w:color="auto" w:sz="4" w:space="0"/>
            </w:tcBorders>
            <w:shd w:val="clear" w:color="auto" w:fill="auto"/>
          </w:tcPr>
          <w:p w:rsidRPr="00874665" w:rsidR="006A5828" w:rsidP="00F74E84" w:rsidRDefault="006A5828" w14:paraId="3C0991B2" w14:textId="77777777">
            <w:pPr>
              <w:autoSpaceDE w:val="0"/>
              <w:autoSpaceDN w:val="0"/>
              <w:adjustRightInd w:val="0"/>
              <w:spacing w:after="0" w:line="240" w:lineRule="auto"/>
              <w:jc w:val="right"/>
              <w:rPr>
                <w:rFonts w:ascii="Times New Roman" w:hAnsi="Times New Roman"/>
                <w:iCs/>
                <w:sz w:val="20"/>
                <w:szCs w:val="20"/>
              </w:rPr>
            </w:pPr>
            <w:r w:rsidRPr="00874665">
              <w:rPr>
                <w:rFonts w:ascii="Times New Roman" w:hAnsi="Times New Roman"/>
                <w:iCs/>
                <w:sz w:val="20"/>
                <w:szCs w:val="20"/>
              </w:rPr>
              <w:t>310</w:t>
            </w:r>
          </w:p>
        </w:tc>
        <w:tc>
          <w:tcPr>
            <w:tcW w:w="707" w:type="pct"/>
            <w:tcBorders>
              <w:bottom w:val="single" w:color="auto" w:sz="4" w:space="0"/>
            </w:tcBorders>
            <w:shd w:val="clear" w:color="auto" w:fill="auto"/>
          </w:tcPr>
          <w:p w:rsidRPr="00874665" w:rsidR="006A5828" w:rsidP="00F74E84" w:rsidRDefault="006A5828" w14:paraId="56272B69" w14:textId="77777777">
            <w:pPr>
              <w:autoSpaceDE w:val="0"/>
              <w:autoSpaceDN w:val="0"/>
              <w:adjustRightInd w:val="0"/>
              <w:spacing w:after="0" w:line="240" w:lineRule="auto"/>
              <w:jc w:val="right"/>
              <w:rPr>
                <w:rFonts w:ascii="Times New Roman" w:hAnsi="Times New Roman"/>
                <w:iCs/>
                <w:sz w:val="20"/>
                <w:szCs w:val="20"/>
              </w:rPr>
            </w:pPr>
            <w:r w:rsidRPr="00874665">
              <w:rPr>
                <w:rFonts w:ascii="Times New Roman" w:hAnsi="Times New Roman"/>
                <w:iCs/>
                <w:sz w:val="20"/>
                <w:szCs w:val="20"/>
              </w:rPr>
              <w:t>155,000</w:t>
            </w:r>
          </w:p>
        </w:tc>
        <w:tc>
          <w:tcPr>
            <w:tcW w:w="658" w:type="pct"/>
            <w:tcBorders>
              <w:bottom w:val="single" w:color="auto" w:sz="4" w:space="0"/>
            </w:tcBorders>
            <w:shd w:val="clear" w:color="auto" w:fill="auto"/>
          </w:tcPr>
          <w:p w:rsidRPr="00874665" w:rsidR="006A5828" w:rsidP="00F74E84" w:rsidRDefault="006A5828" w14:paraId="37B93B81" w14:textId="77777777">
            <w:pPr>
              <w:autoSpaceDE w:val="0"/>
              <w:autoSpaceDN w:val="0"/>
              <w:adjustRightInd w:val="0"/>
              <w:spacing w:after="0" w:line="240" w:lineRule="auto"/>
              <w:jc w:val="right"/>
              <w:rPr>
                <w:rFonts w:ascii="Times New Roman" w:hAnsi="Times New Roman"/>
                <w:iCs/>
                <w:sz w:val="20"/>
                <w:szCs w:val="20"/>
              </w:rPr>
            </w:pPr>
            <w:r w:rsidRPr="00874665">
              <w:rPr>
                <w:rFonts w:ascii="Times New Roman" w:hAnsi="Times New Roman"/>
                <w:iCs/>
                <w:sz w:val="20"/>
                <w:szCs w:val="20"/>
              </w:rPr>
              <w:t>4</w:t>
            </w:r>
          </w:p>
        </w:tc>
        <w:tc>
          <w:tcPr>
            <w:tcW w:w="623" w:type="pct"/>
            <w:tcBorders>
              <w:bottom w:val="single" w:color="auto" w:sz="6" w:space="0"/>
            </w:tcBorders>
            <w:shd w:val="clear" w:color="auto" w:fill="auto"/>
          </w:tcPr>
          <w:p w:rsidRPr="00874665" w:rsidR="006A5828" w:rsidP="00F74E84" w:rsidRDefault="006A5828" w14:paraId="582C8DF7" w14:textId="77777777">
            <w:pPr>
              <w:autoSpaceDE w:val="0"/>
              <w:autoSpaceDN w:val="0"/>
              <w:adjustRightInd w:val="0"/>
              <w:spacing w:after="0" w:line="240" w:lineRule="auto"/>
              <w:jc w:val="right"/>
              <w:rPr>
                <w:rFonts w:ascii="Times New Roman" w:hAnsi="Times New Roman"/>
                <w:iCs/>
                <w:sz w:val="20"/>
                <w:szCs w:val="20"/>
              </w:rPr>
            </w:pPr>
            <w:r w:rsidRPr="00874665">
              <w:rPr>
                <w:rFonts w:ascii="Times New Roman" w:hAnsi="Times New Roman"/>
                <w:iCs/>
                <w:sz w:val="20"/>
                <w:szCs w:val="20"/>
              </w:rPr>
              <w:t>620,000</w:t>
            </w:r>
          </w:p>
        </w:tc>
      </w:tr>
      <w:tr w:rsidRPr="00874665" w:rsidR="006A5828" w:rsidTr="00FE7DCE" w14:paraId="2A89513C" w14:textId="77777777">
        <w:trPr>
          <w:trHeight w:val="278"/>
        </w:trPr>
        <w:tc>
          <w:tcPr>
            <w:tcW w:w="1535" w:type="pct"/>
            <w:shd w:val="clear" w:color="auto" w:fill="auto"/>
          </w:tcPr>
          <w:p w:rsidRPr="00874665" w:rsidR="006A5828" w:rsidP="00AD0FE8" w:rsidRDefault="006A5828" w14:paraId="38D3662A" w14:textId="77777777">
            <w:pPr>
              <w:autoSpaceDE w:val="0"/>
              <w:autoSpaceDN w:val="0"/>
              <w:adjustRightInd w:val="0"/>
              <w:spacing w:after="0" w:line="240" w:lineRule="auto"/>
              <w:rPr>
                <w:rFonts w:ascii="Times New Roman" w:hAnsi="Times New Roman"/>
                <w:sz w:val="20"/>
                <w:szCs w:val="20"/>
              </w:rPr>
            </w:pPr>
            <w:r w:rsidRPr="00874665">
              <w:rPr>
                <w:rFonts w:ascii="Times New Roman" w:hAnsi="Times New Roman"/>
                <w:sz w:val="20"/>
                <w:szCs w:val="20"/>
              </w:rPr>
              <w:t>Total</w:t>
            </w:r>
          </w:p>
        </w:tc>
        <w:tc>
          <w:tcPr>
            <w:tcW w:w="763" w:type="pct"/>
            <w:shd w:val="clear" w:color="auto" w:fill="auto"/>
          </w:tcPr>
          <w:p w:rsidRPr="00874665" w:rsidR="006A5828" w:rsidP="00F74E84" w:rsidRDefault="006A5828" w14:paraId="21032589" w14:textId="77777777">
            <w:pPr>
              <w:autoSpaceDE w:val="0"/>
              <w:autoSpaceDN w:val="0"/>
              <w:adjustRightInd w:val="0"/>
              <w:spacing w:after="0" w:line="240" w:lineRule="auto"/>
              <w:jc w:val="right"/>
              <w:rPr>
                <w:rFonts w:ascii="Times New Roman" w:hAnsi="Times New Roman"/>
                <w:sz w:val="20"/>
                <w:szCs w:val="20"/>
              </w:rPr>
            </w:pPr>
          </w:p>
        </w:tc>
        <w:tc>
          <w:tcPr>
            <w:tcW w:w="713" w:type="pct"/>
            <w:shd w:val="clear" w:color="auto" w:fill="auto"/>
          </w:tcPr>
          <w:p w:rsidRPr="00874665" w:rsidR="006A5828" w:rsidP="00F74E84" w:rsidRDefault="006A5828" w14:paraId="10C3CF2A" w14:textId="77777777">
            <w:pPr>
              <w:autoSpaceDE w:val="0"/>
              <w:autoSpaceDN w:val="0"/>
              <w:adjustRightInd w:val="0"/>
              <w:spacing w:after="0" w:line="240" w:lineRule="auto"/>
              <w:jc w:val="right"/>
              <w:rPr>
                <w:rFonts w:ascii="Times New Roman" w:hAnsi="Times New Roman"/>
                <w:sz w:val="20"/>
                <w:szCs w:val="20"/>
              </w:rPr>
            </w:pPr>
          </w:p>
        </w:tc>
        <w:tc>
          <w:tcPr>
            <w:tcW w:w="707" w:type="pct"/>
            <w:shd w:val="clear" w:color="auto" w:fill="auto"/>
          </w:tcPr>
          <w:p w:rsidRPr="00874665" w:rsidR="006A5828" w:rsidP="00F74E84" w:rsidRDefault="006A5828" w14:paraId="42EF424B" w14:textId="77777777">
            <w:pPr>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310,000</w:t>
            </w:r>
          </w:p>
        </w:tc>
        <w:tc>
          <w:tcPr>
            <w:tcW w:w="658" w:type="pct"/>
            <w:shd w:val="clear" w:color="auto" w:fill="auto"/>
          </w:tcPr>
          <w:p w:rsidRPr="00874665" w:rsidR="006A5828" w:rsidP="00F74E84" w:rsidRDefault="006A5828" w14:paraId="6FCF0E63" w14:textId="77777777">
            <w:pPr>
              <w:autoSpaceDE w:val="0"/>
              <w:autoSpaceDN w:val="0"/>
              <w:adjustRightInd w:val="0"/>
              <w:spacing w:after="0" w:line="240" w:lineRule="auto"/>
              <w:jc w:val="right"/>
              <w:rPr>
                <w:rFonts w:ascii="Times New Roman" w:hAnsi="Times New Roman"/>
                <w:sz w:val="20"/>
                <w:szCs w:val="20"/>
              </w:rPr>
            </w:pPr>
          </w:p>
        </w:tc>
        <w:tc>
          <w:tcPr>
            <w:tcW w:w="623" w:type="pct"/>
            <w:shd w:val="clear" w:color="auto" w:fill="auto"/>
          </w:tcPr>
          <w:p w:rsidRPr="00874665" w:rsidR="006A5828" w:rsidP="00F74E84" w:rsidRDefault="006A5828" w14:paraId="7567CF51" w14:textId="77777777">
            <w:pPr>
              <w:autoSpaceDE w:val="0"/>
              <w:autoSpaceDN w:val="0"/>
              <w:adjustRightInd w:val="0"/>
              <w:spacing w:after="0" w:line="240" w:lineRule="auto"/>
              <w:jc w:val="right"/>
              <w:rPr>
                <w:rFonts w:ascii="Times New Roman" w:hAnsi="Times New Roman"/>
                <w:sz w:val="20"/>
                <w:szCs w:val="20"/>
              </w:rPr>
            </w:pPr>
            <w:r w:rsidRPr="00874665">
              <w:rPr>
                <w:rFonts w:ascii="Times New Roman" w:hAnsi="Times New Roman"/>
                <w:sz w:val="20"/>
                <w:szCs w:val="20"/>
              </w:rPr>
              <w:t>1,860,000</w:t>
            </w:r>
          </w:p>
        </w:tc>
      </w:tr>
    </w:tbl>
    <w:p w:rsidR="006A5828" w:rsidP="00080CC4" w:rsidRDefault="006A5828" w14:paraId="5311274B" w14:textId="77777777">
      <w:pPr>
        <w:spacing w:after="0" w:line="240" w:lineRule="auto"/>
        <w:rPr>
          <w:rFonts w:ascii="Times New Roman" w:hAnsi="Times New Roman"/>
          <w:sz w:val="24"/>
          <w:szCs w:val="24"/>
        </w:rPr>
      </w:pPr>
    </w:p>
    <w:p w:rsidRPr="00080CC4" w:rsidR="00080CC4" w:rsidP="00080CC4" w:rsidRDefault="004364F8" w14:paraId="6DD024D2" w14:textId="72949B19">
      <w:pPr>
        <w:spacing w:after="0" w:line="240" w:lineRule="auto"/>
        <w:rPr>
          <w:rFonts w:ascii="Times New Roman" w:hAnsi="Times New Roman"/>
          <w:sz w:val="24"/>
          <w:szCs w:val="24"/>
        </w:rPr>
      </w:pPr>
      <w:r>
        <w:rPr>
          <w:rFonts w:ascii="Times New Roman" w:hAnsi="Times New Roman"/>
          <w:sz w:val="24"/>
          <w:szCs w:val="24"/>
        </w:rPr>
        <w:t>As explained in our 30-day notice, w</w:t>
      </w:r>
      <w:r w:rsidRPr="00080CC4" w:rsidR="00080CC4">
        <w:rPr>
          <w:rFonts w:ascii="Times New Roman" w:hAnsi="Times New Roman"/>
          <w:sz w:val="24"/>
          <w:szCs w:val="24"/>
        </w:rPr>
        <w:t xml:space="preserve">e have reorganized the information collection by respondent activity and clarified where information collection elements are discussed in the respective </w:t>
      </w:r>
      <w:r>
        <w:rPr>
          <w:rFonts w:ascii="Times New Roman" w:hAnsi="Times New Roman"/>
          <w:sz w:val="24"/>
          <w:szCs w:val="24"/>
        </w:rPr>
        <w:t xml:space="preserve">referenced </w:t>
      </w:r>
      <w:r w:rsidRPr="00080CC4" w:rsidR="00080CC4">
        <w:rPr>
          <w:rFonts w:ascii="Times New Roman" w:hAnsi="Times New Roman"/>
          <w:sz w:val="24"/>
          <w:szCs w:val="24"/>
        </w:rPr>
        <w:t>guidance documents.  Based on illegitimate product notifications FDA has already received, we previously estimated a total of 250 respondents.  However, we have considered industry feedback indicating that more notifications may be submitted based on stakeholder understanding of FDA’s recent clarification of stolen product in the “Definitions of Suspect Product and Illegitimate Product for Verification Obligations Under the Drug Supply Chain Security Act” draft guidance (June 2021).  As such, we have increased our number of estimated respondents to 500 and assume 40 percent are manufacturers (200), 50 percent are wholesale distributors (250), and 10 percent are pharmacies (50).  Because manufacturers, repackagers, and wholesale distributors are collectively responsible for prescription drugs from the point of manufacturing through distribution in the drug supply chain, we continue to assume that these three trading partners submit most notifications of illegitimate products.</w:t>
      </w:r>
    </w:p>
    <w:p w:rsidR="00080CC4" w:rsidP="00080CC4" w:rsidRDefault="00080CC4" w14:paraId="0341A374" w14:textId="77777777">
      <w:pPr>
        <w:spacing w:after="0" w:line="240" w:lineRule="auto"/>
        <w:rPr>
          <w:rFonts w:ascii="Times New Roman" w:hAnsi="Times New Roman"/>
          <w:sz w:val="24"/>
          <w:szCs w:val="24"/>
        </w:rPr>
      </w:pPr>
    </w:p>
    <w:p w:rsidR="00B41CA1" w:rsidP="00080CC4" w:rsidRDefault="00080CC4" w14:paraId="25421E38" w14:textId="5AAB7FD3">
      <w:pPr>
        <w:spacing w:after="0" w:line="240" w:lineRule="auto"/>
        <w:rPr>
          <w:rFonts w:ascii="Times New Roman" w:hAnsi="Times New Roman"/>
          <w:sz w:val="24"/>
          <w:szCs w:val="24"/>
        </w:rPr>
      </w:pPr>
      <w:r w:rsidRPr="00080CC4">
        <w:rPr>
          <w:rFonts w:ascii="Times New Roman" w:hAnsi="Times New Roman"/>
          <w:sz w:val="24"/>
          <w:szCs w:val="24"/>
        </w:rPr>
        <w:t>In response to industry feedback, we have increased our estimate of the average time per response from 1 hour to 8 hours to more accurately reflect the burden respondents may incur in satisfying the information collection.  We have otherwise retained the average burden per response for activities associated with consultations and waiver/exception/exemption requests.</w:t>
      </w:r>
      <w:r w:rsidR="009E7837">
        <w:rPr>
          <w:rFonts w:ascii="Times New Roman" w:hAnsi="Times New Roman"/>
          <w:sz w:val="24"/>
          <w:szCs w:val="24"/>
        </w:rPr>
        <w:t xml:space="preserve">  </w:t>
      </w:r>
      <w:r w:rsidRPr="00080CC4">
        <w:rPr>
          <w:rFonts w:ascii="Times New Roman" w:hAnsi="Times New Roman"/>
          <w:sz w:val="24"/>
          <w:szCs w:val="24"/>
        </w:rPr>
        <w:t xml:space="preserve">Finally, also based on public comment and industry feedback, we have increased our estimate of the average number of disclosures/notifications per respondent, as well as our assumption of the average time necessary for each disclosure notification, for an increase from 66,070 to 1,860,000 hours annually.  </w:t>
      </w:r>
    </w:p>
    <w:p w:rsidR="00874665" w:rsidP="006A4A39" w:rsidRDefault="00874665" w14:paraId="55A36FDF" w14:textId="77777777">
      <w:pPr>
        <w:spacing w:after="0" w:line="240" w:lineRule="auto"/>
        <w:rPr>
          <w:rFonts w:ascii="Times New Roman" w:hAnsi="Times New Roman"/>
          <w:iCs/>
          <w:sz w:val="24"/>
          <w:szCs w:val="24"/>
        </w:rPr>
      </w:pPr>
    </w:p>
    <w:p w:rsidRPr="00500CD1" w:rsidR="00A259A6" w:rsidP="006A4A39" w:rsidRDefault="00B00F51" w14:paraId="33779724" w14:textId="2FFE0CA8">
      <w:pPr>
        <w:spacing w:after="0" w:line="240" w:lineRule="auto"/>
        <w:rPr>
          <w:rFonts w:ascii="Times New Roman" w:hAnsi="Times New Roman"/>
          <w:i/>
          <w:sz w:val="24"/>
          <w:szCs w:val="24"/>
        </w:rPr>
      </w:pPr>
      <w:r>
        <w:rPr>
          <w:rFonts w:ascii="Times New Roman" w:hAnsi="Times New Roman"/>
          <w:i/>
          <w:sz w:val="24"/>
          <w:szCs w:val="24"/>
        </w:rPr>
        <w:tab/>
      </w:r>
      <w:r w:rsidRPr="00500CD1" w:rsidR="00A259A6">
        <w:rPr>
          <w:rFonts w:ascii="Times New Roman" w:hAnsi="Times New Roman"/>
          <w:i/>
          <w:sz w:val="24"/>
          <w:szCs w:val="24"/>
        </w:rPr>
        <w:t>12b.</w:t>
      </w:r>
      <w:r w:rsidRPr="00500CD1" w:rsidR="000F11C9">
        <w:rPr>
          <w:rFonts w:ascii="Times New Roman" w:hAnsi="Times New Roman"/>
          <w:i/>
          <w:sz w:val="24"/>
          <w:szCs w:val="24"/>
        </w:rPr>
        <w:t xml:space="preserve">  </w:t>
      </w:r>
      <w:r w:rsidRPr="00500CD1" w:rsidR="00A259A6">
        <w:rPr>
          <w:rFonts w:ascii="Times New Roman" w:hAnsi="Times New Roman"/>
          <w:i/>
          <w:sz w:val="24"/>
          <w:szCs w:val="24"/>
        </w:rPr>
        <w:t>Annualized Cost Burden Estimate</w:t>
      </w:r>
    </w:p>
    <w:p w:rsidR="00E84C5D" w:rsidP="006238E7" w:rsidRDefault="00E84C5D" w14:paraId="20FDCF85" w14:textId="77777777">
      <w:pPr>
        <w:autoSpaceDE w:val="0"/>
        <w:autoSpaceDN w:val="0"/>
        <w:adjustRightInd w:val="0"/>
        <w:spacing w:after="0" w:line="240" w:lineRule="auto"/>
        <w:rPr>
          <w:rFonts w:ascii="Times New Roman" w:hAnsi="Times New Roman"/>
          <w:sz w:val="24"/>
          <w:szCs w:val="24"/>
        </w:rPr>
      </w:pPr>
      <w:bookmarkStart w:name="_Hlk70055719" w:id="0"/>
    </w:p>
    <w:p w:rsidRPr="007F4882" w:rsidR="00CC6D21" w:rsidP="00DA569D" w:rsidRDefault="00D321D4" w14:paraId="4FFD1A22" w14:textId="0CA595F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sidR="004003AB">
        <w:rPr>
          <w:rFonts w:ascii="Times New Roman" w:hAnsi="Times New Roman"/>
          <w:sz w:val="24"/>
          <w:szCs w:val="24"/>
        </w:rPr>
        <w:t xml:space="preserve">Assuming an average wage rate of </w:t>
      </w:r>
      <w:r w:rsidR="00433F9D">
        <w:rPr>
          <w:rFonts w:ascii="Times New Roman" w:hAnsi="Times New Roman"/>
          <w:sz w:val="24"/>
          <w:szCs w:val="24"/>
        </w:rPr>
        <w:t>$120 per hour (using the Bureau of Labor Statistics data for positions ranging from pharmacists to distributors) and multiplying that figure by the annual burden hours</w:t>
      </w:r>
      <w:r w:rsidR="00DA569D">
        <w:rPr>
          <w:rFonts w:ascii="Times New Roman" w:hAnsi="Times New Roman"/>
          <w:sz w:val="24"/>
          <w:szCs w:val="24"/>
        </w:rPr>
        <w:t>,</w:t>
      </w:r>
      <w:r w:rsidR="00433F9D">
        <w:rPr>
          <w:rFonts w:ascii="Times New Roman" w:hAnsi="Times New Roman"/>
          <w:sz w:val="24"/>
          <w:szCs w:val="24"/>
        </w:rPr>
        <w:t xml:space="preserve"> we calculate an estimated cost to respondents of </w:t>
      </w:r>
      <w:r w:rsidR="00681D3B">
        <w:rPr>
          <w:rFonts w:ascii="Times New Roman" w:hAnsi="Times New Roman"/>
          <w:sz w:val="24"/>
          <w:szCs w:val="24"/>
        </w:rPr>
        <w:t>$</w:t>
      </w:r>
      <w:r w:rsidR="007F4882">
        <w:rPr>
          <w:rFonts w:ascii="Times New Roman" w:hAnsi="Times New Roman"/>
          <w:sz w:val="24"/>
          <w:szCs w:val="24"/>
        </w:rPr>
        <w:t>236,991,840</w:t>
      </w:r>
      <w:r w:rsidR="006E1D42">
        <w:rPr>
          <w:rFonts w:ascii="Times New Roman" w:hAnsi="Times New Roman"/>
          <w:sz w:val="24"/>
          <w:szCs w:val="24"/>
        </w:rPr>
        <w:t xml:space="preserve"> </w:t>
      </w:r>
      <w:r w:rsidR="00433F9D">
        <w:rPr>
          <w:rFonts w:ascii="Times New Roman" w:hAnsi="Times New Roman"/>
          <w:sz w:val="24"/>
          <w:szCs w:val="24"/>
        </w:rPr>
        <w:t>(</w:t>
      </w:r>
      <w:r w:rsidRPr="007F4882" w:rsidR="006238E7">
        <w:rPr>
          <w:rFonts w:ascii="Times New Roman" w:hAnsi="Times New Roman"/>
          <w:sz w:val="24"/>
          <w:szCs w:val="24"/>
        </w:rPr>
        <w:t>114,932</w:t>
      </w:r>
      <w:r w:rsidRPr="007F4882" w:rsidR="00433F9D">
        <w:rPr>
          <w:rFonts w:ascii="Times New Roman" w:hAnsi="Times New Roman"/>
          <w:sz w:val="24"/>
          <w:szCs w:val="24"/>
        </w:rPr>
        <w:t>+</w:t>
      </w:r>
      <w:r w:rsidRPr="007F4882" w:rsidR="006238E7">
        <w:rPr>
          <w:rFonts w:ascii="Times New Roman" w:hAnsi="Times New Roman"/>
          <w:sz w:val="24"/>
          <w:szCs w:val="24"/>
        </w:rPr>
        <w:t>1,860,000</w:t>
      </w:r>
      <w:r w:rsidR="00DA569D">
        <w:rPr>
          <w:rFonts w:ascii="Times New Roman" w:hAnsi="Times New Roman"/>
          <w:sz w:val="24"/>
          <w:szCs w:val="24"/>
        </w:rPr>
        <w:t xml:space="preserve"> </w:t>
      </w:r>
      <w:r w:rsidRPr="006238E7" w:rsidR="00433F9D">
        <w:rPr>
          <w:rFonts w:ascii="Times New Roman" w:hAnsi="Times New Roman"/>
          <w:sz w:val="24"/>
          <w:szCs w:val="24"/>
        </w:rPr>
        <w:t>=</w:t>
      </w:r>
      <w:r w:rsidR="00DA569D">
        <w:rPr>
          <w:rFonts w:ascii="Times New Roman" w:hAnsi="Times New Roman"/>
          <w:sz w:val="24"/>
          <w:szCs w:val="24"/>
        </w:rPr>
        <w:t xml:space="preserve"> </w:t>
      </w:r>
      <w:r w:rsidR="006238E7">
        <w:rPr>
          <w:rFonts w:ascii="Times New Roman" w:hAnsi="Times New Roman"/>
          <w:sz w:val="24"/>
          <w:szCs w:val="24"/>
        </w:rPr>
        <w:t>1,974,932</w:t>
      </w:r>
      <w:r w:rsidRPr="007F4882" w:rsidR="00433F9D">
        <w:rPr>
          <w:rFonts w:ascii="Times New Roman" w:hAnsi="Times New Roman"/>
          <w:sz w:val="24"/>
          <w:szCs w:val="24"/>
        </w:rPr>
        <w:t xml:space="preserve">). </w:t>
      </w:r>
    </w:p>
    <w:p w:rsidR="006E1D42" w:rsidP="00433F9D" w:rsidRDefault="006E1D42" w14:paraId="2A6AD455" w14:textId="77777777">
      <w:pPr>
        <w:spacing w:after="0" w:line="240" w:lineRule="auto"/>
        <w:ind w:left="720"/>
        <w:rPr>
          <w:rFonts w:ascii="Times New Roman" w:hAnsi="Times New Roman"/>
          <w:sz w:val="24"/>
          <w:szCs w:val="24"/>
        </w:rPr>
      </w:pPr>
    </w:p>
    <w:bookmarkEnd w:id="0"/>
    <w:p w:rsidR="00425750" w:rsidRDefault="00425750" w14:paraId="1E56005F" w14:textId="77777777">
      <w:pPr>
        <w:spacing w:after="0" w:line="240" w:lineRule="auto"/>
        <w:rPr>
          <w:rFonts w:ascii="Times New Roman" w:hAnsi="Times New Roman"/>
          <w:sz w:val="24"/>
          <w:szCs w:val="24"/>
        </w:rPr>
      </w:pPr>
      <w:r>
        <w:rPr>
          <w:rFonts w:ascii="Times New Roman" w:hAnsi="Times New Roman"/>
          <w:sz w:val="24"/>
          <w:szCs w:val="24"/>
        </w:rPr>
        <w:br w:type="page"/>
      </w:r>
    </w:p>
    <w:p w:rsidRPr="00425750" w:rsidR="00A259A6" w:rsidP="00C768FF" w:rsidRDefault="00A259A6" w14:paraId="3377978F" w14:textId="078E67B8">
      <w:pPr>
        <w:spacing w:after="0" w:line="240" w:lineRule="auto"/>
        <w:rPr>
          <w:rFonts w:ascii="Times New Roman" w:hAnsi="Times New Roman"/>
          <w:sz w:val="24"/>
          <w:szCs w:val="24"/>
        </w:rPr>
      </w:pPr>
      <w:r>
        <w:rPr>
          <w:rFonts w:ascii="Times New Roman" w:hAnsi="Times New Roman"/>
          <w:sz w:val="24"/>
          <w:szCs w:val="24"/>
        </w:rPr>
        <w:lastRenderedPageBreak/>
        <w:t xml:space="preserve">13.  </w:t>
      </w:r>
      <w:r>
        <w:rPr>
          <w:rFonts w:ascii="Times New Roman" w:hAnsi="Times New Roman"/>
          <w:sz w:val="24"/>
          <w:szCs w:val="24"/>
          <w:u w:val="single"/>
        </w:rPr>
        <w:t>Estimates of Other Total Annual Cost Burden to Respondents and/or Recordkeepers/Capital Costs</w:t>
      </w:r>
    </w:p>
    <w:p w:rsidR="00FF3905" w:rsidP="008E1A54" w:rsidRDefault="00FF3905" w14:paraId="32FC21BC" w14:textId="77777777">
      <w:pPr>
        <w:spacing w:after="0" w:line="240" w:lineRule="auto"/>
        <w:ind w:hanging="360"/>
        <w:rPr>
          <w:rFonts w:ascii="Times New Roman" w:hAnsi="Times New Roman"/>
          <w:sz w:val="24"/>
          <w:szCs w:val="24"/>
          <w:u w:val="single"/>
        </w:rPr>
      </w:pPr>
    </w:p>
    <w:p w:rsidR="00B00F51" w:rsidP="008E1A54" w:rsidRDefault="002730D0" w14:paraId="49872C9D" w14:textId="44F3708B">
      <w:pPr>
        <w:spacing w:after="0" w:line="240" w:lineRule="auto"/>
        <w:rPr>
          <w:rFonts w:ascii="Times New Roman" w:hAnsi="Times New Roman"/>
          <w:sz w:val="24"/>
          <w:szCs w:val="24"/>
        </w:rPr>
      </w:pPr>
      <w:r>
        <w:rPr>
          <w:rFonts w:ascii="Times New Roman" w:hAnsi="Times New Roman"/>
          <w:sz w:val="24"/>
          <w:szCs w:val="24"/>
        </w:rPr>
        <w:t xml:space="preserve">We </w:t>
      </w:r>
      <w:r w:rsidR="007A37F5">
        <w:rPr>
          <w:rFonts w:ascii="Times New Roman" w:hAnsi="Times New Roman"/>
          <w:sz w:val="24"/>
          <w:szCs w:val="24"/>
        </w:rPr>
        <w:t xml:space="preserve">estimate no </w:t>
      </w:r>
      <w:r w:rsidRPr="004D4A52" w:rsidR="00A259A6">
        <w:rPr>
          <w:rFonts w:ascii="Times New Roman" w:hAnsi="Times New Roman"/>
          <w:sz w:val="24"/>
          <w:szCs w:val="24"/>
        </w:rPr>
        <w:t>capital, start-up, operating, or maintenance costs with this information collection.</w:t>
      </w:r>
    </w:p>
    <w:p w:rsidR="00A135A9" w:rsidP="008E1A54" w:rsidRDefault="007651C3" w14:paraId="77769E87" w14:textId="403843A0">
      <w:pPr>
        <w:spacing w:after="0" w:line="240" w:lineRule="auto"/>
        <w:rPr>
          <w:rFonts w:ascii="Times New Roman" w:hAnsi="Times New Roman"/>
          <w:sz w:val="24"/>
          <w:szCs w:val="24"/>
        </w:rPr>
      </w:pPr>
      <w:r>
        <w:rPr>
          <w:rFonts w:ascii="Times New Roman" w:hAnsi="Times New Roman"/>
          <w:sz w:val="24"/>
          <w:szCs w:val="24"/>
        </w:rPr>
        <w:t xml:space="preserve"> </w:t>
      </w:r>
    </w:p>
    <w:p w:rsidR="00A259A6" w:rsidP="008E1A54" w:rsidRDefault="00A259A6" w14:paraId="33779791" w14:textId="77777777">
      <w:pPr>
        <w:spacing w:after="0" w:line="240" w:lineRule="auto"/>
        <w:rPr>
          <w:rFonts w:ascii="Times New Roman" w:hAnsi="Times New Roman"/>
          <w:sz w:val="24"/>
          <w:szCs w:val="24"/>
          <w:u w:val="single"/>
        </w:rPr>
      </w:pPr>
      <w:r>
        <w:rPr>
          <w:rFonts w:ascii="Times New Roman" w:hAnsi="Times New Roman"/>
          <w:sz w:val="24"/>
          <w:szCs w:val="24"/>
        </w:rPr>
        <w:t xml:space="preserve">14. </w:t>
      </w:r>
      <w:r>
        <w:rPr>
          <w:rFonts w:ascii="Times New Roman" w:hAnsi="Times New Roman"/>
          <w:sz w:val="24"/>
          <w:szCs w:val="24"/>
          <w:u w:val="single"/>
        </w:rPr>
        <w:t>Annualized Cost to the Federal Government</w:t>
      </w:r>
    </w:p>
    <w:p w:rsidRPr="00CD3F4C" w:rsidR="00823A7B" w:rsidP="00291CC5" w:rsidRDefault="00823A7B" w14:paraId="4B78F51E" w14:textId="061EFF10">
      <w:pPr>
        <w:spacing w:after="0" w:line="240" w:lineRule="auto"/>
        <w:rPr>
          <w:rFonts w:ascii="Times New Roman" w:hAnsi="Times New Roman"/>
          <w:b/>
          <w:bCs/>
          <w:sz w:val="24"/>
          <w:szCs w:val="24"/>
        </w:rPr>
      </w:pPr>
    </w:p>
    <w:p w:rsidR="004003AB" w:rsidP="00291CC5" w:rsidRDefault="004003AB" w14:paraId="38F46BB1" w14:textId="6FD1394B">
      <w:pPr>
        <w:spacing w:after="0" w:line="240" w:lineRule="auto"/>
        <w:rPr>
          <w:rFonts w:ascii="Times New Roman" w:hAnsi="Times New Roman"/>
          <w:sz w:val="24"/>
          <w:szCs w:val="24"/>
        </w:rPr>
      </w:pPr>
      <w:r>
        <w:rPr>
          <w:rFonts w:ascii="Times New Roman" w:hAnsi="Times New Roman"/>
          <w:sz w:val="24"/>
          <w:szCs w:val="24"/>
        </w:rPr>
        <w:t xml:space="preserve">Consistent with cost analysis used with establishing this collection, FDA allocates </w:t>
      </w:r>
      <w:r w:rsidR="00A135A9">
        <w:rPr>
          <w:rFonts w:ascii="Times New Roman" w:hAnsi="Times New Roman"/>
          <w:sz w:val="24"/>
          <w:szCs w:val="24"/>
        </w:rPr>
        <w:t>2</w:t>
      </w:r>
      <w:r>
        <w:rPr>
          <w:rFonts w:ascii="Times New Roman" w:hAnsi="Times New Roman"/>
          <w:sz w:val="24"/>
          <w:szCs w:val="24"/>
        </w:rPr>
        <w:t xml:space="preserve"> full time employees to review the collection.  </w:t>
      </w:r>
      <w:r w:rsidR="008F045D">
        <w:rPr>
          <w:rFonts w:ascii="Times New Roman" w:hAnsi="Times New Roman"/>
          <w:sz w:val="24"/>
          <w:szCs w:val="24"/>
        </w:rPr>
        <w:t xml:space="preserve">Using 2022 OPM salary rates for </w:t>
      </w:r>
      <w:r>
        <w:rPr>
          <w:rFonts w:ascii="Times New Roman" w:hAnsi="Times New Roman"/>
          <w:sz w:val="24"/>
          <w:szCs w:val="24"/>
        </w:rPr>
        <w:t>a GS-13</w:t>
      </w:r>
      <w:r w:rsidR="007822FD">
        <w:rPr>
          <w:rFonts w:ascii="Times New Roman" w:hAnsi="Times New Roman"/>
          <w:sz w:val="24"/>
          <w:szCs w:val="24"/>
        </w:rPr>
        <w:t>/Step 5</w:t>
      </w:r>
      <w:r>
        <w:rPr>
          <w:rFonts w:ascii="Times New Roman" w:hAnsi="Times New Roman"/>
          <w:sz w:val="24"/>
          <w:szCs w:val="24"/>
        </w:rPr>
        <w:t xml:space="preserve"> employee in the Washington, DC area, we estimate an annual cost to the Federal Government of $</w:t>
      </w:r>
      <w:r w:rsidR="0004558C">
        <w:rPr>
          <w:rFonts w:ascii="Times New Roman" w:hAnsi="Times New Roman"/>
          <w:sz w:val="24"/>
          <w:szCs w:val="24"/>
        </w:rPr>
        <w:t>242,130</w:t>
      </w:r>
      <w:r>
        <w:rPr>
          <w:rFonts w:ascii="Times New Roman" w:hAnsi="Times New Roman"/>
          <w:sz w:val="24"/>
          <w:szCs w:val="24"/>
        </w:rPr>
        <w:t>.</w:t>
      </w:r>
    </w:p>
    <w:p w:rsidRPr="007651C3" w:rsidR="007651C3" w:rsidP="007651C3" w:rsidRDefault="007651C3" w14:paraId="41BDB4D7" w14:textId="77777777">
      <w:pPr>
        <w:widowControl w:val="0"/>
        <w:spacing w:after="0" w:line="240" w:lineRule="auto"/>
        <w:rPr>
          <w:rFonts w:ascii="Times New Roman" w:hAnsi="Times New Roman" w:eastAsia="Times New Roman"/>
          <w:sz w:val="24"/>
          <w:szCs w:val="24"/>
        </w:rPr>
      </w:pPr>
    </w:p>
    <w:p w:rsidR="00A15007" w:rsidP="00346B83" w:rsidRDefault="00346B83" w14:paraId="54F2DBBE" w14:textId="301E7064">
      <w:pPr>
        <w:spacing w:after="0" w:line="240" w:lineRule="auto"/>
        <w:rPr>
          <w:rFonts w:ascii="Times New Roman" w:hAnsi="Times New Roman"/>
          <w:sz w:val="24"/>
          <w:szCs w:val="24"/>
          <w:u w:val="single"/>
        </w:rPr>
      </w:pPr>
      <w:r w:rsidRPr="005D4030">
        <w:rPr>
          <w:rFonts w:ascii="Times New Roman" w:hAnsi="Times New Roman"/>
          <w:sz w:val="24"/>
          <w:szCs w:val="24"/>
        </w:rPr>
        <w:t>1</w:t>
      </w:r>
      <w:r w:rsidRPr="005D4030" w:rsidR="002221C9">
        <w:rPr>
          <w:rFonts w:ascii="Times New Roman" w:hAnsi="Times New Roman"/>
          <w:sz w:val="24"/>
          <w:szCs w:val="24"/>
        </w:rPr>
        <w:t xml:space="preserve">5. </w:t>
      </w:r>
      <w:r w:rsidRPr="005D4030" w:rsidR="00A259A6">
        <w:rPr>
          <w:rFonts w:ascii="Times New Roman" w:hAnsi="Times New Roman"/>
          <w:sz w:val="24"/>
          <w:szCs w:val="24"/>
          <w:u w:val="single"/>
        </w:rPr>
        <w:t>Explanation for Program Changes or Adjustments</w:t>
      </w:r>
    </w:p>
    <w:p w:rsidRPr="00E301AD" w:rsidR="006A4A39" w:rsidP="00346B83" w:rsidRDefault="006A4A39" w14:paraId="1ACA82CC" w14:textId="77777777">
      <w:pPr>
        <w:spacing w:after="0" w:line="240" w:lineRule="auto"/>
        <w:rPr>
          <w:rFonts w:ascii="Times New Roman" w:hAnsi="Times New Roman"/>
          <w:sz w:val="24"/>
          <w:szCs w:val="24"/>
          <w:u w:val="single"/>
        </w:rPr>
      </w:pPr>
    </w:p>
    <w:p w:rsidRPr="00C03497" w:rsidR="00080CC4" w:rsidP="00C03497" w:rsidRDefault="002766F1" w14:paraId="60C1D6F6" w14:textId="1504BF87">
      <w:pPr>
        <w:spacing w:after="0" w:line="240" w:lineRule="auto"/>
        <w:rPr>
          <w:rFonts w:ascii="Times New Roman" w:hAnsi="Times New Roman"/>
          <w:sz w:val="24"/>
          <w:szCs w:val="24"/>
        </w:rPr>
      </w:pPr>
      <w:r>
        <w:rPr>
          <w:rFonts w:ascii="Times New Roman" w:hAnsi="Times New Roman"/>
          <w:sz w:val="24"/>
          <w:szCs w:val="24"/>
        </w:rPr>
        <w:t>As explained</w:t>
      </w:r>
      <w:r w:rsidR="0034051E">
        <w:rPr>
          <w:rFonts w:ascii="Times New Roman" w:hAnsi="Times New Roman"/>
          <w:sz w:val="24"/>
          <w:szCs w:val="24"/>
        </w:rPr>
        <w:t xml:space="preserve"> in </w:t>
      </w:r>
      <w:r w:rsidRPr="00EE7BBA" w:rsidR="0034051E">
        <w:rPr>
          <w:rFonts w:ascii="Times New Roman" w:hAnsi="Times New Roman"/>
          <w:i/>
          <w:iCs/>
          <w:sz w:val="24"/>
          <w:szCs w:val="24"/>
        </w:rPr>
        <w:t>Question 12</w:t>
      </w:r>
      <w:r w:rsidR="0034051E">
        <w:rPr>
          <w:rFonts w:ascii="Times New Roman" w:hAnsi="Times New Roman"/>
          <w:sz w:val="24"/>
          <w:szCs w:val="24"/>
        </w:rPr>
        <w:t xml:space="preserve"> above, we have reorganized the information collection and clarified its scope in response to public comment.  </w:t>
      </w:r>
      <w:r w:rsidR="00F64938">
        <w:rPr>
          <w:rFonts w:ascii="Times New Roman" w:hAnsi="Times New Roman"/>
          <w:sz w:val="24"/>
          <w:szCs w:val="24"/>
        </w:rPr>
        <w:t>We have also revised</w:t>
      </w:r>
      <w:r w:rsidR="00D67252">
        <w:rPr>
          <w:rFonts w:ascii="Times New Roman" w:hAnsi="Times New Roman"/>
          <w:sz w:val="24"/>
          <w:szCs w:val="24"/>
        </w:rPr>
        <w:t xml:space="preserve"> the guidance document </w:t>
      </w:r>
      <w:r w:rsidRPr="00C03497" w:rsidR="00C03497">
        <w:rPr>
          <w:rFonts w:ascii="Times New Roman" w:hAnsi="Times New Roman"/>
          <w:sz w:val="24"/>
          <w:szCs w:val="24"/>
        </w:rPr>
        <w:t>Drug Supply Chain Security</w:t>
      </w:r>
      <w:r w:rsidR="00C03497">
        <w:rPr>
          <w:rFonts w:ascii="Times New Roman" w:hAnsi="Times New Roman"/>
          <w:sz w:val="24"/>
          <w:szCs w:val="24"/>
        </w:rPr>
        <w:t xml:space="preserve"> </w:t>
      </w:r>
      <w:r w:rsidRPr="00C03497" w:rsidR="00C03497">
        <w:rPr>
          <w:rFonts w:ascii="Times New Roman" w:hAnsi="Times New Roman"/>
          <w:sz w:val="24"/>
          <w:szCs w:val="24"/>
        </w:rPr>
        <w:t>Act Implementation: Identification of</w:t>
      </w:r>
      <w:r w:rsidR="00C03497">
        <w:rPr>
          <w:rFonts w:ascii="Times New Roman" w:hAnsi="Times New Roman"/>
          <w:sz w:val="24"/>
          <w:szCs w:val="24"/>
        </w:rPr>
        <w:t xml:space="preserve"> </w:t>
      </w:r>
      <w:r w:rsidRPr="00C03497" w:rsidR="00C03497">
        <w:rPr>
          <w:rFonts w:ascii="Times New Roman" w:hAnsi="Times New Roman"/>
          <w:sz w:val="24"/>
          <w:szCs w:val="24"/>
        </w:rPr>
        <w:t>Suspect Product and Notification</w:t>
      </w:r>
      <w:r w:rsidR="00C03497">
        <w:rPr>
          <w:rFonts w:ascii="Times New Roman" w:hAnsi="Times New Roman"/>
          <w:sz w:val="24"/>
          <w:szCs w:val="24"/>
        </w:rPr>
        <w:t xml:space="preserve">, to </w:t>
      </w:r>
      <w:r w:rsidRPr="00236F68" w:rsidR="00236F68">
        <w:rPr>
          <w:rFonts w:ascii="Times New Roman" w:hAnsi="Times New Roman"/>
          <w:sz w:val="24"/>
          <w:szCs w:val="24"/>
        </w:rPr>
        <w:t>finalizes remaining draft portion</w:t>
      </w:r>
      <w:r w:rsidR="00D76F3D">
        <w:rPr>
          <w:rFonts w:ascii="Times New Roman" w:hAnsi="Times New Roman"/>
          <w:sz w:val="24"/>
          <w:szCs w:val="24"/>
        </w:rPr>
        <w:t xml:space="preserve">s </w:t>
      </w:r>
      <w:r w:rsidRPr="00236F68" w:rsidR="00236F68">
        <w:rPr>
          <w:rFonts w:ascii="Times New Roman" w:hAnsi="Times New Roman"/>
          <w:sz w:val="24"/>
          <w:szCs w:val="24"/>
        </w:rPr>
        <w:t>issued in December 2016.</w:t>
      </w:r>
      <w:r w:rsidR="00D76F3D">
        <w:rPr>
          <w:rFonts w:ascii="Times New Roman" w:hAnsi="Times New Roman"/>
          <w:sz w:val="24"/>
          <w:szCs w:val="24"/>
        </w:rPr>
        <w:t xml:space="preserve">  </w:t>
      </w:r>
      <w:r w:rsidRPr="00236F68" w:rsidR="00236F68">
        <w:rPr>
          <w:rFonts w:ascii="Times New Roman" w:hAnsi="Times New Roman"/>
          <w:sz w:val="24"/>
          <w:szCs w:val="24"/>
        </w:rPr>
        <w:t>In particular, th</w:t>
      </w:r>
      <w:r w:rsidR="00D76F3D">
        <w:rPr>
          <w:rFonts w:ascii="Times New Roman" w:hAnsi="Times New Roman"/>
          <w:sz w:val="24"/>
          <w:szCs w:val="24"/>
        </w:rPr>
        <w:t>e June 2021 revision</w:t>
      </w:r>
      <w:r w:rsidRPr="00236F68" w:rsidR="00236F68">
        <w:rPr>
          <w:rFonts w:ascii="Times New Roman" w:hAnsi="Times New Roman"/>
          <w:sz w:val="24"/>
          <w:szCs w:val="24"/>
        </w:rPr>
        <w:t xml:space="preserve"> finalizes section III.C, issued for comment purposes in the December 2016</w:t>
      </w:r>
      <w:r w:rsidR="006E1D12">
        <w:rPr>
          <w:rFonts w:ascii="Times New Roman" w:hAnsi="Times New Roman"/>
          <w:sz w:val="24"/>
          <w:szCs w:val="24"/>
        </w:rPr>
        <w:t xml:space="preserve">.  </w:t>
      </w:r>
      <w:r w:rsidRPr="00080CC4" w:rsidR="00080CC4">
        <w:rPr>
          <w:rFonts w:ascii="Times New Roman" w:hAnsi="Times New Roman"/>
          <w:sz w:val="24"/>
          <w:szCs w:val="24"/>
        </w:rPr>
        <w:t xml:space="preserve">As a result of </w:t>
      </w:r>
      <w:r w:rsidR="006E1D12">
        <w:rPr>
          <w:rFonts w:ascii="Times New Roman" w:hAnsi="Times New Roman"/>
          <w:sz w:val="24"/>
          <w:szCs w:val="24"/>
        </w:rPr>
        <w:t xml:space="preserve">these changes and </w:t>
      </w:r>
      <w:r w:rsidRPr="00080CC4" w:rsidR="00080CC4">
        <w:rPr>
          <w:rFonts w:ascii="Times New Roman" w:hAnsi="Times New Roman"/>
          <w:sz w:val="24"/>
          <w:szCs w:val="24"/>
        </w:rPr>
        <w:t>adjustments, our estimated burden for the information collection reflects a cumulative increase since last OMB review and approval of 265,390 responses and 1,962,846 hours annually.  We attribute this increase to a more recent evaluation of the information collection and informal communications with industry and other interested stakeholders regarding burden estimates.</w:t>
      </w:r>
    </w:p>
    <w:p w:rsidRPr="00893D5F" w:rsidR="007723B3" w:rsidP="000A0F5C" w:rsidRDefault="007723B3" w14:paraId="358081EC" w14:textId="77777777">
      <w:pPr>
        <w:spacing w:after="0" w:line="240" w:lineRule="auto"/>
        <w:rPr>
          <w:rFonts w:ascii="Times New Roman" w:hAnsi="Times New Roman"/>
          <w:sz w:val="24"/>
          <w:szCs w:val="24"/>
        </w:rPr>
      </w:pPr>
    </w:p>
    <w:p w:rsidR="00A259A6" w:rsidP="008E1A54" w:rsidRDefault="00A259A6" w14:paraId="337797EF" w14:textId="77777777">
      <w:pPr>
        <w:spacing w:after="0" w:line="240" w:lineRule="auto"/>
        <w:ind w:left="720" w:hanging="720"/>
        <w:rPr>
          <w:rFonts w:ascii="Times New Roman" w:hAnsi="Times New Roman"/>
          <w:sz w:val="24"/>
          <w:szCs w:val="24"/>
          <w:u w:val="single"/>
        </w:rPr>
      </w:pPr>
      <w:r w:rsidRPr="00893D5F">
        <w:rPr>
          <w:rFonts w:ascii="Times New Roman" w:hAnsi="Times New Roman"/>
          <w:sz w:val="24"/>
          <w:szCs w:val="24"/>
        </w:rPr>
        <w:t xml:space="preserve">16.  </w:t>
      </w:r>
      <w:r w:rsidRPr="00893D5F">
        <w:rPr>
          <w:rFonts w:ascii="Times New Roman" w:hAnsi="Times New Roman"/>
          <w:sz w:val="24"/>
          <w:szCs w:val="24"/>
          <w:u w:val="single"/>
        </w:rPr>
        <w:t>Plans for Tabulation and Publication</w:t>
      </w:r>
      <w:r>
        <w:rPr>
          <w:rFonts w:ascii="Times New Roman" w:hAnsi="Times New Roman"/>
          <w:sz w:val="24"/>
          <w:szCs w:val="24"/>
          <w:u w:val="single"/>
        </w:rPr>
        <w:t xml:space="preserve"> and Project Time Schedule</w:t>
      </w:r>
    </w:p>
    <w:p w:rsidR="00502BFC" w:rsidP="00F01670" w:rsidRDefault="00502BFC" w14:paraId="50783C61" w14:textId="77777777">
      <w:pPr>
        <w:spacing w:after="0" w:line="240" w:lineRule="auto"/>
        <w:rPr>
          <w:rFonts w:ascii="Times New Roman" w:hAnsi="Times New Roman"/>
          <w:sz w:val="24"/>
          <w:szCs w:val="24"/>
          <w:u w:val="single"/>
        </w:rPr>
      </w:pPr>
    </w:p>
    <w:p w:rsidR="00A259A6" w:rsidP="008E1A54" w:rsidRDefault="0089667F" w14:paraId="337797F0" w14:textId="352EE2A6">
      <w:pPr>
        <w:spacing w:after="0" w:line="240" w:lineRule="auto"/>
        <w:rPr>
          <w:rFonts w:ascii="Times New Roman" w:hAnsi="Times New Roman"/>
          <w:sz w:val="24"/>
          <w:szCs w:val="24"/>
        </w:rPr>
      </w:pPr>
      <w:r>
        <w:rPr>
          <w:rFonts w:ascii="Times New Roman" w:hAnsi="Times New Roman"/>
          <w:sz w:val="24"/>
          <w:szCs w:val="24"/>
        </w:rPr>
        <w:t>N</w:t>
      </w:r>
      <w:r w:rsidR="00A259A6">
        <w:rPr>
          <w:rFonts w:ascii="Times New Roman" w:hAnsi="Times New Roman"/>
          <w:sz w:val="24"/>
          <w:szCs w:val="24"/>
        </w:rPr>
        <w:t>o plans for tabulation and publication and project time scheduling</w:t>
      </w:r>
      <w:r>
        <w:rPr>
          <w:rFonts w:ascii="Times New Roman" w:hAnsi="Times New Roman"/>
          <w:sz w:val="24"/>
          <w:szCs w:val="24"/>
        </w:rPr>
        <w:t xml:space="preserve"> are associated with this information collection</w:t>
      </w:r>
      <w:r w:rsidR="00A259A6">
        <w:rPr>
          <w:rFonts w:ascii="Times New Roman" w:hAnsi="Times New Roman"/>
          <w:sz w:val="24"/>
          <w:szCs w:val="24"/>
        </w:rPr>
        <w:t>.</w:t>
      </w:r>
    </w:p>
    <w:p w:rsidR="00B263C4" w:rsidRDefault="00B263C4" w14:paraId="54E89A9A" w14:textId="62B9C515">
      <w:pPr>
        <w:spacing w:after="0" w:line="240" w:lineRule="auto"/>
        <w:rPr>
          <w:rFonts w:ascii="Times New Roman" w:hAnsi="Times New Roman"/>
          <w:sz w:val="24"/>
          <w:szCs w:val="24"/>
        </w:rPr>
      </w:pPr>
    </w:p>
    <w:p w:rsidR="00A259A6" w:rsidP="008E1A54" w:rsidRDefault="00A259A6" w14:paraId="337797F2" w14:textId="2AA34707">
      <w:pPr>
        <w:spacing w:after="0" w:line="240" w:lineRule="auto"/>
        <w:ind w:left="720" w:hanging="720"/>
        <w:rPr>
          <w:rFonts w:ascii="Times New Roman" w:hAnsi="Times New Roman"/>
          <w:sz w:val="24"/>
          <w:szCs w:val="24"/>
          <w:u w:val="single"/>
        </w:rPr>
      </w:pPr>
      <w:r>
        <w:rPr>
          <w:rFonts w:ascii="Times New Roman" w:hAnsi="Times New Roman"/>
          <w:sz w:val="24"/>
          <w:szCs w:val="24"/>
        </w:rPr>
        <w:t xml:space="preserve">17. </w:t>
      </w:r>
      <w:r>
        <w:rPr>
          <w:rFonts w:ascii="Times New Roman" w:hAnsi="Times New Roman"/>
          <w:sz w:val="24"/>
          <w:szCs w:val="24"/>
          <w:u w:val="single"/>
        </w:rPr>
        <w:t>Reason(s) Display of OMB Expiration Date is Inappropriate</w:t>
      </w:r>
    </w:p>
    <w:p w:rsidR="00502BFC" w:rsidP="008E1A54" w:rsidRDefault="00502BFC" w14:paraId="2FB12C75" w14:textId="77777777">
      <w:pPr>
        <w:spacing w:after="0" w:line="240" w:lineRule="auto"/>
        <w:ind w:left="720" w:hanging="720"/>
        <w:rPr>
          <w:rFonts w:ascii="Times New Roman" w:hAnsi="Times New Roman"/>
          <w:sz w:val="24"/>
          <w:szCs w:val="24"/>
          <w:u w:val="single"/>
        </w:rPr>
      </w:pPr>
    </w:p>
    <w:p w:rsidRPr="00A57256" w:rsidR="00A57256" w:rsidP="00A57256" w:rsidRDefault="00A57256" w14:paraId="782D6D91" w14:textId="77777777">
      <w:pPr>
        <w:widowControl w:val="0"/>
        <w:tabs>
          <w:tab w:val="left" w:pos="319"/>
        </w:tabs>
        <w:autoSpaceDE w:val="0"/>
        <w:autoSpaceDN w:val="0"/>
        <w:spacing w:after="0" w:line="240" w:lineRule="auto"/>
        <w:rPr>
          <w:rFonts w:ascii="Times New Roman" w:hAnsi="Times New Roman" w:eastAsia="Times New Roman"/>
          <w:iCs/>
          <w:color w:val="000000"/>
          <w:sz w:val="24"/>
          <w:szCs w:val="24"/>
        </w:rPr>
      </w:pPr>
      <w:bookmarkStart w:name="_Hlk80872835" w:id="1"/>
      <w:r w:rsidRPr="00A57256">
        <w:rPr>
          <w:rFonts w:ascii="Times New Roman" w:hAnsi="Times New Roman" w:eastAsia="Times New Roman"/>
          <w:iCs/>
          <w:color w:val="000000"/>
          <w:sz w:val="24"/>
          <w:szCs w:val="24"/>
        </w:rPr>
        <w:t xml:space="preserve">FDA will display the OMB control number as required by 5 CFR 1320.5 (and 21 CFR 1320.8(b)(1)); however, because documents are more frequently being accessed electronically we are considering technological changes that will enable us to display the expiration date by linking to approval information found at www.reginfo.gov.  We intend to include the OMB control number and expiration date on the guidance landing page, allowing those who download the document an easily identifiable option to view this information.  This also allows the agency to more easily update the expiration date upon renewal and/or revision of OMB approval.  We are taking this approach to improve compatibility with our current our website platform (Drupal). </w:t>
      </w:r>
      <w:bookmarkEnd w:id="1"/>
    </w:p>
    <w:p w:rsidR="00FF3905" w:rsidP="008E1A54" w:rsidRDefault="00FF3905" w14:paraId="660065FA" w14:textId="77777777">
      <w:pPr>
        <w:spacing w:after="0" w:line="240" w:lineRule="auto"/>
        <w:ind w:left="720" w:hanging="360"/>
        <w:rPr>
          <w:rFonts w:ascii="Times New Roman" w:hAnsi="Times New Roman"/>
          <w:sz w:val="24"/>
          <w:szCs w:val="24"/>
        </w:rPr>
      </w:pPr>
    </w:p>
    <w:p w:rsidR="00A259A6" w:rsidP="008E1A54" w:rsidRDefault="00A259A6" w14:paraId="337797F5" w14:textId="77777777">
      <w:pPr>
        <w:spacing w:after="0" w:line="240" w:lineRule="auto"/>
        <w:ind w:left="720" w:hanging="720"/>
        <w:rPr>
          <w:rFonts w:ascii="Times New Roman" w:hAnsi="Times New Roman"/>
          <w:sz w:val="24"/>
          <w:szCs w:val="24"/>
          <w:u w:val="single"/>
        </w:rPr>
      </w:pPr>
      <w:r>
        <w:rPr>
          <w:rFonts w:ascii="Times New Roman" w:hAnsi="Times New Roman"/>
          <w:sz w:val="24"/>
          <w:szCs w:val="24"/>
        </w:rPr>
        <w:t xml:space="preserve">18. </w:t>
      </w:r>
      <w:r>
        <w:rPr>
          <w:rFonts w:ascii="Times New Roman" w:hAnsi="Times New Roman"/>
          <w:sz w:val="24"/>
          <w:szCs w:val="24"/>
          <w:u w:val="single"/>
        </w:rPr>
        <w:t xml:space="preserve">Exceptions to Certification for Paperwork Reduction Act Submissions </w:t>
      </w:r>
    </w:p>
    <w:p w:rsidR="00A15007" w:rsidP="008E1A54" w:rsidRDefault="00A15007" w14:paraId="5D260917" w14:textId="77777777">
      <w:pPr>
        <w:spacing w:after="0" w:line="240" w:lineRule="auto"/>
        <w:ind w:left="720" w:hanging="720"/>
        <w:rPr>
          <w:rFonts w:ascii="Times New Roman" w:hAnsi="Times New Roman"/>
          <w:sz w:val="24"/>
          <w:szCs w:val="24"/>
        </w:rPr>
      </w:pPr>
    </w:p>
    <w:p w:rsidR="00931D82" w:rsidP="008E1A54" w:rsidRDefault="00A259A6" w14:paraId="337797F8" w14:textId="173795FE">
      <w:pPr>
        <w:spacing w:after="0" w:line="240" w:lineRule="auto"/>
        <w:rPr>
          <w:sz w:val="24"/>
          <w:szCs w:val="24"/>
        </w:rPr>
      </w:pPr>
      <w:r>
        <w:rPr>
          <w:rFonts w:ascii="Times New Roman" w:hAnsi="Times New Roman"/>
          <w:sz w:val="24"/>
          <w:szCs w:val="24"/>
        </w:rPr>
        <w:t>There are no exceptions to the certification in 5 CFR 1320.9.</w:t>
      </w:r>
    </w:p>
    <w:sectPr w:rsidR="00931D82" w:rsidSect="009E7837">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2C075B" w14:textId="77777777" w:rsidR="005C4C10" w:rsidRDefault="005C4C10" w:rsidP="00006A9F">
      <w:pPr>
        <w:spacing w:after="0" w:line="240" w:lineRule="auto"/>
      </w:pPr>
      <w:r>
        <w:separator/>
      </w:r>
    </w:p>
  </w:endnote>
  <w:endnote w:type="continuationSeparator" w:id="0">
    <w:p w14:paraId="22909619" w14:textId="77777777" w:rsidR="005C4C10" w:rsidRDefault="005C4C10" w:rsidP="00006A9F">
      <w:pPr>
        <w:spacing w:after="0" w:line="240" w:lineRule="auto"/>
      </w:pPr>
      <w:r>
        <w:continuationSeparator/>
      </w:r>
    </w:p>
  </w:endnote>
  <w:endnote w:type="continuationNotice" w:id="1">
    <w:p w14:paraId="2D0F1257" w14:textId="77777777" w:rsidR="005C4C10" w:rsidRDefault="005C4C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FF0C36" w14:textId="77777777" w:rsidR="002902A6" w:rsidRDefault="002902A6" w:rsidP="007E3BB2">
    <w:pPr>
      <w:pStyle w:val="Footer"/>
      <w:jc w:val="center"/>
      <w:rPr>
        <w:rFonts w:ascii="Times New Roman" w:hAnsi="Times New Roman"/>
        <w:sz w:val="24"/>
        <w:szCs w:val="24"/>
      </w:rPr>
    </w:pPr>
  </w:p>
  <w:p w14:paraId="33779804" w14:textId="110027AF" w:rsidR="002902A6" w:rsidRDefault="002902A6" w:rsidP="007E3BB2">
    <w:pPr>
      <w:pStyle w:val="Footer"/>
      <w:jc w:val="center"/>
    </w:pPr>
    <w:r w:rsidRPr="007E3BB2">
      <w:rPr>
        <w:rFonts w:ascii="Times New Roman" w:hAnsi="Times New Roman"/>
        <w:sz w:val="24"/>
        <w:szCs w:val="24"/>
      </w:rPr>
      <w:fldChar w:fldCharType="begin"/>
    </w:r>
    <w:r w:rsidRPr="007E3BB2">
      <w:rPr>
        <w:rFonts w:ascii="Times New Roman" w:hAnsi="Times New Roman"/>
        <w:sz w:val="24"/>
        <w:szCs w:val="24"/>
      </w:rPr>
      <w:instrText xml:space="preserve"> PAGE   \* MERGEFORMAT </w:instrText>
    </w:r>
    <w:r w:rsidRPr="007E3BB2">
      <w:rPr>
        <w:rFonts w:ascii="Times New Roman" w:hAnsi="Times New Roman"/>
        <w:sz w:val="24"/>
        <w:szCs w:val="24"/>
      </w:rPr>
      <w:fldChar w:fldCharType="separate"/>
    </w:r>
    <w:r>
      <w:rPr>
        <w:rFonts w:ascii="Times New Roman" w:hAnsi="Times New Roman"/>
        <w:noProof/>
        <w:sz w:val="24"/>
        <w:szCs w:val="24"/>
      </w:rPr>
      <w:t>10</w:t>
    </w:r>
    <w:r w:rsidRPr="007E3BB2">
      <w:rPr>
        <w:rFonts w:ascii="Times New Roman" w:hAnsi="Times New Roman"/>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57DEB4" w14:textId="77777777" w:rsidR="005C4C10" w:rsidRDefault="005C4C10" w:rsidP="00006A9F">
      <w:pPr>
        <w:spacing w:after="0" w:line="240" w:lineRule="auto"/>
      </w:pPr>
      <w:r>
        <w:separator/>
      </w:r>
    </w:p>
  </w:footnote>
  <w:footnote w:type="continuationSeparator" w:id="0">
    <w:p w14:paraId="1E833571" w14:textId="77777777" w:rsidR="005C4C10" w:rsidRDefault="005C4C10" w:rsidP="00006A9F">
      <w:pPr>
        <w:spacing w:after="0" w:line="240" w:lineRule="auto"/>
      </w:pPr>
      <w:r>
        <w:continuationSeparator/>
      </w:r>
    </w:p>
  </w:footnote>
  <w:footnote w:type="continuationNotice" w:id="1">
    <w:p w14:paraId="3DA2AF57" w14:textId="77777777" w:rsidR="005C4C10" w:rsidRDefault="005C4C1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92DD1"/>
    <w:multiLevelType w:val="hybridMultilevel"/>
    <w:tmpl w:val="12F6D6AC"/>
    <w:lvl w:ilvl="0" w:tplc="C8784A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AA32F3"/>
    <w:multiLevelType w:val="hybridMultilevel"/>
    <w:tmpl w:val="EC3E8A22"/>
    <w:lvl w:ilvl="0" w:tplc="EF82F2B6">
      <w:start w:val="15"/>
      <w:numFmt w:val="bullet"/>
      <w:lvlText w:val="-"/>
      <w:lvlJc w:val="left"/>
      <w:pPr>
        <w:ind w:left="405" w:hanging="360"/>
      </w:pPr>
      <w:rPr>
        <w:rFonts w:ascii="Calibri" w:eastAsia="Calibr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 w15:restartNumberingAfterBreak="0">
    <w:nsid w:val="4A0F580A"/>
    <w:multiLevelType w:val="hybridMultilevel"/>
    <w:tmpl w:val="D6AAE90A"/>
    <w:lvl w:ilvl="0" w:tplc="254090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78119DA"/>
    <w:multiLevelType w:val="hybridMultilevel"/>
    <w:tmpl w:val="04C65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EF7EBE"/>
    <w:multiLevelType w:val="hybridMultilevel"/>
    <w:tmpl w:val="1D1400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80D"/>
    <w:rsid w:val="00000BB9"/>
    <w:rsid w:val="000040B4"/>
    <w:rsid w:val="0000688D"/>
    <w:rsid w:val="00006A9F"/>
    <w:rsid w:val="00007EE8"/>
    <w:rsid w:val="00011D5C"/>
    <w:rsid w:val="000153C0"/>
    <w:rsid w:val="00016EA7"/>
    <w:rsid w:val="00017FBC"/>
    <w:rsid w:val="00021ED2"/>
    <w:rsid w:val="00025390"/>
    <w:rsid w:val="00031956"/>
    <w:rsid w:val="00031BF2"/>
    <w:rsid w:val="000367B4"/>
    <w:rsid w:val="00037C36"/>
    <w:rsid w:val="00037CEA"/>
    <w:rsid w:val="000437DC"/>
    <w:rsid w:val="00043855"/>
    <w:rsid w:val="0004558C"/>
    <w:rsid w:val="00045F57"/>
    <w:rsid w:val="00046BEC"/>
    <w:rsid w:val="00046CAD"/>
    <w:rsid w:val="0005058D"/>
    <w:rsid w:val="00052A04"/>
    <w:rsid w:val="00054A70"/>
    <w:rsid w:val="00054FB3"/>
    <w:rsid w:val="00056E13"/>
    <w:rsid w:val="00062C80"/>
    <w:rsid w:val="00064EEF"/>
    <w:rsid w:val="000653F5"/>
    <w:rsid w:val="00065600"/>
    <w:rsid w:val="00070AB9"/>
    <w:rsid w:val="00071269"/>
    <w:rsid w:val="00072A9D"/>
    <w:rsid w:val="00073A80"/>
    <w:rsid w:val="00080CC4"/>
    <w:rsid w:val="000811B5"/>
    <w:rsid w:val="00081A2A"/>
    <w:rsid w:val="000852E3"/>
    <w:rsid w:val="00091BDF"/>
    <w:rsid w:val="00091E17"/>
    <w:rsid w:val="00093196"/>
    <w:rsid w:val="000943FD"/>
    <w:rsid w:val="00096AB7"/>
    <w:rsid w:val="000A0F08"/>
    <w:rsid w:val="000A0F5C"/>
    <w:rsid w:val="000A6708"/>
    <w:rsid w:val="000A74AA"/>
    <w:rsid w:val="000A7D7D"/>
    <w:rsid w:val="000B2909"/>
    <w:rsid w:val="000B610E"/>
    <w:rsid w:val="000C2971"/>
    <w:rsid w:val="000C655A"/>
    <w:rsid w:val="000C791B"/>
    <w:rsid w:val="000D1938"/>
    <w:rsid w:val="000D71C1"/>
    <w:rsid w:val="000D77CA"/>
    <w:rsid w:val="000E0B08"/>
    <w:rsid w:val="000E135E"/>
    <w:rsid w:val="000E3311"/>
    <w:rsid w:val="000E35CD"/>
    <w:rsid w:val="000E6551"/>
    <w:rsid w:val="000E67BE"/>
    <w:rsid w:val="000E6DCF"/>
    <w:rsid w:val="000F11C9"/>
    <w:rsid w:val="000F5E5F"/>
    <w:rsid w:val="001001CA"/>
    <w:rsid w:val="00106106"/>
    <w:rsid w:val="0010674B"/>
    <w:rsid w:val="00110902"/>
    <w:rsid w:val="0011302D"/>
    <w:rsid w:val="001139DB"/>
    <w:rsid w:val="00121F69"/>
    <w:rsid w:val="0012336C"/>
    <w:rsid w:val="00133ED9"/>
    <w:rsid w:val="00136882"/>
    <w:rsid w:val="00137013"/>
    <w:rsid w:val="00137340"/>
    <w:rsid w:val="00137FE4"/>
    <w:rsid w:val="0014116C"/>
    <w:rsid w:val="0014179F"/>
    <w:rsid w:val="0014246A"/>
    <w:rsid w:val="0014419F"/>
    <w:rsid w:val="00146890"/>
    <w:rsid w:val="00146995"/>
    <w:rsid w:val="0014718C"/>
    <w:rsid w:val="00151C8C"/>
    <w:rsid w:val="00153953"/>
    <w:rsid w:val="001539B6"/>
    <w:rsid w:val="00156271"/>
    <w:rsid w:val="0016173C"/>
    <w:rsid w:val="00163D36"/>
    <w:rsid w:val="00164620"/>
    <w:rsid w:val="0017179F"/>
    <w:rsid w:val="00171843"/>
    <w:rsid w:val="00171D27"/>
    <w:rsid w:val="00176371"/>
    <w:rsid w:val="001767F6"/>
    <w:rsid w:val="0017763B"/>
    <w:rsid w:val="00182FB1"/>
    <w:rsid w:val="00184EE8"/>
    <w:rsid w:val="001857D0"/>
    <w:rsid w:val="00186458"/>
    <w:rsid w:val="00187077"/>
    <w:rsid w:val="0019111F"/>
    <w:rsid w:val="00193C01"/>
    <w:rsid w:val="001948C8"/>
    <w:rsid w:val="00194AA3"/>
    <w:rsid w:val="00197623"/>
    <w:rsid w:val="001A0508"/>
    <w:rsid w:val="001B3310"/>
    <w:rsid w:val="001B6C33"/>
    <w:rsid w:val="001C16BD"/>
    <w:rsid w:val="001C62A7"/>
    <w:rsid w:val="001D0198"/>
    <w:rsid w:val="001D0E39"/>
    <w:rsid w:val="001D27F3"/>
    <w:rsid w:val="001D4634"/>
    <w:rsid w:val="001D4DFD"/>
    <w:rsid w:val="001D6F42"/>
    <w:rsid w:val="001F0F19"/>
    <w:rsid w:val="001F28E9"/>
    <w:rsid w:val="001F6F39"/>
    <w:rsid w:val="00202DBE"/>
    <w:rsid w:val="00204090"/>
    <w:rsid w:val="00210FC3"/>
    <w:rsid w:val="00211256"/>
    <w:rsid w:val="002113E8"/>
    <w:rsid w:val="00212F3E"/>
    <w:rsid w:val="00212F9B"/>
    <w:rsid w:val="00215409"/>
    <w:rsid w:val="00216992"/>
    <w:rsid w:val="00220C27"/>
    <w:rsid w:val="002221C9"/>
    <w:rsid w:val="0022348E"/>
    <w:rsid w:val="002304ED"/>
    <w:rsid w:val="0023062E"/>
    <w:rsid w:val="00234A15"/>
    <w:rsid w:val="00236F68"/>
    <w:rsid w:val="0023718C"/>
    <w:rsid w:val="0024221D"/>
    <w:rsid w:val="002430AD"/>
    <w:rsid w:val="00246133"/>
    <w:rsid w:val="00253D90"/>
    <w:rsid w:val="00256900"/>
    <w:rsid w:val="002577B3"/>
    <w:rsid w:val="00260052"/>
    <w:rsid w:val="00260FB2"/>
    <w:rsid w:val="00263C18"/>
    <w:rsid w:val="002640D5"/>
    <w:rsid w:val="00265892"/>
    <w:rsid w:val="00266CAF"/>
    <w:rsid w:val="00272C5D"/>
    <w:rsid w:val="00272C7D"/>
    <w:rsid w:val="002730D0"/>
    <w:rsid w:val="00273311"/>
    <w:rsid w:val="00274ECE"/>
    <w:rsid w:val="002766F1"/>
    <w:rsid w:val="00276ED0"/>
    <w:rsid w:val="00277AB1"/>
    <w:rsid w:val="0028039D"/>
    <w:rsid w:val="00282D15"/>
    <w:rsid w:val="00285D5B"/>
    <w:rsid w:val="00285ED6"/>
    <w:rsid w:val="002861B1"/>
    <w:rsid w:val="002902A6"/>
    <w:rsid w:val="00291547"/>
    <w:rsid w:val="00291CC5"/>
    <w:rsid w:val="002934CA"/>
    <w:rsid w:val="00293C21"/>
    <w:rsid w:val="00296297"/>
    <w:rsid w:val="002A1508"/>
    <w:rsid w:val="002A1DA7"/>
    <w:rsid w:val="002A4879"/>
    <w:rsid w:val="002B1143"/>
    <w:rsid w:val="002B3CF3"/>
    <w:rsid w:val="002B6C06"/>
    <w:rsid w:val="002B76B2"/>
    <w:rsid w:val="002C30D4"/>
    <w:rsid w:val="002C4EDA"/>
    <w:rsid w:val="002C7A36"/>
    <w:rsid w:val="002D755D"/>
    <w:rsid w:val="002E089D"/>
    <w:rsid w:val="002E7586"/>
    <w:rsid w:val="002F34EE"/>
    <w:rsid w:val="002F457D"/>
    <w:rsid w:val="003011A6"/>
    <w:rsid w:val="003058BF"/>
    <w:rsid w:val="00310937"/>
    <w:rsid w:val="00310A1B"/>
    <w:rsid w:val="00311B18"/>
    <w:rsid w:val="003125E2"/>
    <w:rsid w:val="003136BF"/>
    <w:rsid w:val="003167F6"/>
    <w:rsid w:val="00320DCD"/>
    <w:rsid w:val="00324A43"/>
    <w:rsid w:val="0032599D"/>
    <w:rsid w:val="003358F1"/>
    <w:rsid w:val="003361DA"/>
    <w:rsid w:val="0034051E"/>
    <w:rsid w:val="003422DB"/>
    <w:rsid w:val="00346B83"/>
    <w:rsid w:val="00352B4B"/>
    <w:rsid w:val="00355ED8"/>
    <w:rsid w:val="00356F59"/>
    <w:rsid w:val="0035761A"/>
    <w:rsid w:val="00357DF5"/>
    <w:rsid w:val="003601E1"/>
    <w:rsid w:val="003606C4"/>
    <w:rsid w:val="0036121F"/>
    <w:rsid w:val="00363832"/>
    <w:rsid w:val="00365122"/>
    <w:rsid w:val="003659EC"/>
    <w:rsid w:val="003679B2"/>
    <w:rsid w:val="003713C8"/>
    <w:rsid w:val="003737D5"/>
    <w:rsid w:val="00375304"/>
    <w:rsid w:val="0037739A"/>
    <w:rsid w:val="0039169B"/>
    <w:rsid w:val="003947DA"/>
    <w:rsid w:val="00394C2F"/>
    <w:rsid w:val="003A6DDB"/>
    <w:rsid w:val="003B443F"/>
    <w:rsid w:val="003B5D35"/>
    <w:rsid w:val="003B5DBB"/>
    <w:rsid w:val="003C0CE2"/>
    <w:rsid w:val="003C15C2"/>
    <w:rsid w:val="003C4086"/>
    <w:rsid w:val="003D1520"/>
    <w:rsid w:val="003D312F"/>
    <w:rsid w:val="003E149E"/>
    <w:rsid w:val="003E1D80"/>
    <w:rsid w:val="003F2450"/>
    <w:rsid w:val="003F713D"/>
    <w:rsid w:val="003F71AA"/>
    <w:rsid w:val="003F7DCE"/>
    <w:rsid w:val="004003AB"/>
    <w:rsid w:val="00400A63"/>
    <w:rsid w:val="0040345B"/>
    <w:rsid w:val="00407BF5"/>
    <w:rsid w:val="004105E4"/>
    <w:rsid w:val="00415FAE"/>
    <w:rsid w:val="00416B10"/>
    <w:rsid w:val="0042275F"/>
    <w:rsid w:val="00425630"/>
    <w:rsid w:val="00425750"/>
    <w:rsid w:val="00426139"/>
    <w:rsid w:val="00433BB0"/>
    <w:rsid w:val="00433F9D"/>
    <w:rsid w:val="004364F8"/>
    <w:rsid w:val="00443078"/>
    <w:rsid w:val="004451A6"/>
    <w:rsid w:val="00445245"/>
    <w:rsid w:val="0044561F"/>
    <w:rsid w:val="00450257"/>
    <w:rsid w:val="004563F9"/>
    <w:rsid w:val="00465A52"/>
    <w:rsid w:val="004663B9"/>
    <w:rsid w:val="00477138"/>
    <w:rsid w:val="004803D9"/>
    <w:rsid w:val="00483D74"/>
    <w:rsid w:val="004860F9"/>
    <w:rsid w:val="004868BB"/>
    <w:rsid w:val="004873A7"/>
    <w:rsid w:val="004875C5"/>
    <w:rsid w:val="004929A8"/>
    <w:rsid w:val="004944FA"/>
    <w:rsid w:val="004A003C"/>
    <w:rsid w:val="004A11D9"/>
    <w:rsid w:val="004A3AFD"/>
    <w:rsid w:val="004A546F"/>
    <w:rsid w:val="004A5E0E"/>
    <w:rsid w:val="004A68E8"/>
    <w:rsid w:val="004B051E"/>
    <w:rsid w:val="004B25B6"/>
    <w:rsid w:val="004B41EB"/>
    <w:rsid w:val="004C2082"/>
    <w:rsid w:val="004C25B9"/>
    <w:rsid w:val="004C6346"/>
    <w:rsid w:val="004D1A34"/>
    <w:rsid w:val="004D2856"/>
    <w:rsid w:val="004D2EDE"/>
    <w:rsid w:val="004D4A52"/>
    <w:rsid w:val="004F0048"/>
    <w:rsid w:val="004F0D00"/>
    <w:rsid w:val="004F3AB2"/>
    <w:rsid w:val="005004FD"/>
    <w:rsid w:val="00500CD1"/>
    <w:rsid w:val="00502BFC"/>
    <w:rsid w:val="00504287"/>
    <w:rsid w:val="00505DA6"/>
    <w:rsid w:val="00516353"/>
    <w:rsid w:val="0052069E"/>
    <w:rsid w:val="0052436E"/>
    <w:rsid w:val="00524935"/>
    <w:rsid w:val="00532362"/>
    <w:rsid w:val="005325E9"/>
    <w:rsid w:val="005333BF"/>
    <w:rsid w:val="005343DF"/>
    <w:rsid w:val="0053665D"/>
    <w:rsid w:val="005409B6"/>
    <w:rsid w:val="00540D61"/>
    <w:rsid w:val="00541821"/>
    <w:rsid w:val="00543AED"/>
    <w:rsid w:val="00544EBB"/>
    <w:rsid w:val="00545B0D"/>
    <w:rsid w:val="00547202"/>
    <w:rsid w:val="00550815"/>
    <w:rsid w:val="00550F15"/>
    <w:rsid w:val="0055129A"/>
    <w:rsid w:val="00551784"/>
    <w:rsid w:val="005522D7"/>
    <w:rsid w:val="00555BE5"/>
    <w:rsid w:val="00557490"/>
    <w:rsid w:val="00561685"/>
    <w:rsid w:val="00564640"/>
    <w:rsid w:val="005675BB"/>
    <w:rsid w:val="00581EF4"/>
    <w:rsid w:val="005854BA"/>
    <w:rsid w:val="0058648F"/>
    <w:rsid w:val="005872D9"/>
    <w:rsid w:val="00587F36"/>
    <w:rsid w:val="00591F0E"/>
    <w:rsid w:val="00596FC7"/>
    <w:rsid w:val="005A3222"/>
    <w:rsid w:val="005A3756"/>
    <w:rsid w:val="005A73AF"/>
    <w:rsid w:val="005A7AEB"/>
    <w:rsid w:val="005B0705"/>
    <w:rsid w:val="005B1425"/>
    <w:rsid w:val="005B76E4"/>
    <w:rsid w:val="005B7F8B"/>
    <w:rsid w:val="005C12F7"/>
    <w:rsid w:val="005C4C10"/>
    <w:rsid w:val="005D4030"/>
    <w:rsid w:val="005E0142"/>
    <w:rsid w:val="005E08C6"/>
    <w:rsid w:val="005E25C1"/>
    <w:rsid w:val="005E390E"/>
    <w:rsid w:val="005F298E"/>
    <w:rsid w:val="005F36E2"/>
    <w:rsid w:val="0060183C"/>
    <w:rsid w:val="00603793"/>
    <w:rsid w:val="0060618B"/>
    <w:rsid w:val="00610469"/>
    <w:rsid w:val="006106B9"/>
    <w:rsid w:val="00612328"/>
    <w:rsid w:val="0061327C"/>
    <w:rsid w:val="006238E7"/>
    <w:rsid w:val="006241B9"/>
    <w:rsid w:val="00627175"/>
    <w:rsid w:val="00640C6C"/>
    <w:rsid w:val="00645FD2"/>
    <w:rsid w:val="00646198"/>
    <w:rsid w:val="0065181E"/>
    <w:rsid w:val="0065603B"/>
    <w:rsid w:val="00657865"/>
    <w:rsid w:val="00657B8E"/>
    <w:rsid w:val="0066181C"/>
    <w:rsid w:val="0066346D"/>
    <w:rsid w:val="00664407"/>
    <w:rsid w:val="00667F3E"/>
    <w:rsid w:val="0067054F"/>
    <w:rsid w:val="006706EA"/>
    <w:rsid w:val="00680955"/>
    <w:rsid w:val="00681689"/>
    <w:rsid w:val="00681D3B"/>
    <w:rsid w:val="006826A9"/>
    <w:rsid w:val="00692B0C"/>
    <w:rsid w:val="00694330"/>
    <w:rsid w:val="006A21C6"/>
    <w:rsid w:val="006A3103"/>
    <w:rsid w:val="006A3799"/>
    <w:rsid w:val="006A3A04"/>
    <w:rsid w:val="006A3BC4"/>
    <w:rsid w:val="006A4A39"/>
    <w:rsid w:val="006A5828"/>
    <w:rsid w:val="006B367A"/>
    <w:rsid w:val="006B63A3"/>
    <w:rsid w:val="006B6437"/>
    <w:rsid w:val="006B6BA1"/>
    <w:rsid w:val="006C05D2"/>
    <w:rsid w:val="006C2D81"/>
    <w:rsid w:val="006C690A"/>
    <w:rsid w:val="006C7298"/>
    <w:rsid w:val="006D2954"/>
    <w:rsid w:val="006D4C2D"/>
    <w:rsid w:val="006D5709"/>
    <w:rsid w:val="006D780F"/>
    <w:rsid w:val="006E1D12"/>
    <w:rsid w:val="006E1D42"/>
    <w:rsid w:val="006E2A7B"/>
    <w:rsid w:val="006E3152"/>
    <w:rsid w:val="006E389A"/>
    <w:rsid w:val="006E6BC8"/>
    <w:rsid w:val="006F77F1"/>
    <w:rsid w:val="00703599"/>
    <w:rsid w:val="0071218C"/>
    <w:rsid w:val="00714E63"/>
    <w:rsid w:val="00715419"/>
    <w:rsid w:val="00715F26"/>
    <w:rsid w:val="00725093"/>
    <w:rsid w:val="007258FC"/>
    <w:rsid w:val="00734239"/>
    <w:rsid w:val="007352D9"/>
    <w:rsid w:val="00736129"/>
    <w:rsid w:val="00736AB9"/>
    <w:rsid w:val="00744ED1"/>
    <w:rsid w:val="007513B8"/>
    <w:rsid w:val="007531CB"/>
    <w:rsid w:val="00753A1F"/>
    <w:rsid w:val="00755A98"/>
    <w:rsid w:val="007573E1"/>
    <w:rsid w:val="00760768"/>
    <w:rsid w:val="007615B8"/>
    <w:rsid w:val="00764E0B"/>
    <w:rsid w:val="007651C3"/>
    <w:rsid w:val="007723B3"/>
    <w:rsid w:val="00772C09"/>
    <w:rsid w:val="00772F7F"/>
    <w:rsid w:val="00777517"/>
    <w:rsid w:val="00777B3E"/>
    <w:rsid w:val="007822FD"/>
    <w:rsid w:val="00786B24"/>
    <w:rsid w:val="00787B49"/>
    <w:rsid w:val="00787F65"/>
    <w:rsid w:val="00792B62"/>
    <w:rsid w:val="007A37F5"/>
    <w:rsid w:val="007A7078"/>
    <w:rsid w:val="007B3F63"/>
    <w:rsid w:val="007B5BC2"/>
    <w:rsid w:val="007B5D41"/>
    <w:rsid w:val="007B6EA6"/>
    <w:rsid w:val="007C2844"/>
    <w:rsid w:val="007C2D01"/>
    <w:rsid w:val="007C2D2E"/>
    <w:rsid w:val="007C6DA1"/>
    <w:rsid w:val="007D0CE8"/>
    <w:rsid w:val="007D14FA"/>
    <w:rsid w:val="007D4ABF"/>
    <w:rsid w:val="007D5467"/>
    <w:rsid w:val="007E1DAE"/>
    <w:rsid w:val="007E3BB2"/>
    <w:rsid w:val="007E455C"/>
    <w:rsid w:val="007E615B"/>
    <w:rsid w:val="007E6AE3"/>
    <w:rsid w:val="007E75D5"/>
    <w:rsid w:val="007F0C43"/>
    <w:rsid w:val="007F4882"/>
    <w:rsid w:val="007F600F"/>
    <w:rsid w:val="00801B87"/>
    <w:rsid w:val="00805221"/>
    <w:rsid w:val="00814010"/>
    <w:rsid w:val="00815090"/>
    <w:rsid w:val="0081723A"/>
    <w:rsid w:val="00822E5A"/>
    <w:rsid w:val="00823149"/>
    <w:rsid w:val="00823A7B"/>
    <w:rsid w:val="00824D5D"/>
    <w:rsid w:val="00827226"/>
    <w:rsid w:val="008306E9"/>
    <w:rsid w:val="00836FC5"/>
    <w:rsid w:val="00837682"/>
    <w:rsid w:val="00837C3B"/>
    <w:rsid w:val="0084636A"/>
    <w:rsid w:val="00847683"/>
    <w:rsid w:val="00855755"/>
    <w:rsid w:val="00856829"/>
    <w:rsid w:val="008570A1"/>
    <w:rsid w:val="0086236A"/>
    <w:rsid w:val="008657B9"/>
    <w:rsid w:val="00867B8E"/>
    <w:rsid w:val="00874665"/>
    <w:rsid w:val="0088023C"/>
    <w:rsid w:val="00880750"/>
    <w:rsid w:val="0088111E"/>
    <w:rsid w:val="00881B3F"/>
    <w:rsid w:val="0088220D"/>
    <w:rsid w:val="00882D02"/>
    <w:rsid w:val="008857BE"/>
    <w:rsid w:val="00886D31"/>
    <w:rsid w:val="008902A9"/>
    <w:rsid w:val="00890C22"/>
    <w:rsid w:val="008923A5"/>
    <w:rsid w:val="00893D5F"/>
    <w:rsid w:val="00894BBC"/>
    <w:rsid w:val="0089667F"/>
    <w:rsid w:val="008A629E"/>
    <w:rsid w:val="008B0DE1"/>
    <w:rsid w:val="008B1571"/>
    <w:rsid w:val="008B31CC"/>
    <w:rsid w:val="008B7388"/>
    <w:rsid w:val="008B7A15"/>
    <w:rsid w:val="008C1805"/>
    <w:rsid w:val="008C1A13"/>
    <w:rsid w:val="008C1D45"/>
    <w:rsid w:val="008C35D7"/>
    <w:rsid w:val="008C4CE9"/>
    <w:rsid w:val="008C58EA"/>
    <w:rsid w:val="008C6E61"/>
    <w:rsid w:val="008D2BBE"/>
    <w:rsid w:val="008D4606"/>
    <w:rsid w:val="008D4A9B"/>
    <w:rsid w:val="008D6154"/>
    <w:rsid w:val="008E1A54"/>
    <w:rsid w:val="008E75DB"/>
    <w:rsid w:val="008F045D"/>
    <w:rsid w:val="00901186"/>
    <w:rsid w:val="009031C1"/>
    <w:rsid w:val="00903265"/>
    <w:rsid w:val="009039A1"/>
    <w:rsid w:val="00904FB8"/>
    <w:rsid w:val="00911247"/>
    <w:rsid w:val="0091272D"/>
    <w:rsid w:val="0092160A"/>
    <w:rsid w:val="009260D8"/>
    <w:rsid w:val="00926886"/>
    <w:rsid w:val="00927429"/>
    <w:rsid w:val="009304AD"/>
    <w:rsid w:val="00931015"/>
    <w:rsid w:val="009312A5"/>
    <w:rsid w:val="00931B50"/>
    <w:rsid w:val="00931D82"/>
    <w:rsid w:val="00932303"/>
    <w:rsid w:val="009330B9"/>
    <w:rsid w:val="00940594"/>
    <w:rsid w:val="00944757"/>
    <w:rsid w:val="00945CC9"/>
    <w:rsid w:val="00950691"/>
    <w:rsid w:val="00953110"/>
    <w:rsid w:val="00953F9E"/>
    <w:rsid w:val="009545BA"/>
    <w:rsid w:val="00957436"/>
    <w:rsid w:val="0095762D"/>
    <w:rsid w:val="0095777A"/>
    <w:rsid w:val="00962446"/>
    <w:rsid w:val="009644BE"/>
    <w:rsid w:val="00966141"/>
    <w:rsid w:val="00970D2E"/>
    <w:rsid w:val="0097102B"/>
    <w:rsid w:val="00974EE3"/>
    <w:rsid w:val="00977919"/>
    <w:rsid w:val="00981696"/>
    <w:rsid w:val="00984456"/>
    <w:rsid w:val="009847E8"/>
    <w:rsid w:val="00984AF1"/>
    <w:rsid w:val="009860C1"/>
    <w:rsid w:val="009906DB"/>
    <w:rsid w:val="00995273"/>
    <w:rsid w:val="009954B9"/>
    <w:rsid w:val="009A014D"/>
    <w:rsid w:val="009A0F8E"/>
    <w:rsid w:val="009A2864"/>
    <w:rsid w:val="009A4595"/>
    <w:rsid w:val="009B368E"/>
    <w:rsid w:val="009D360B"/>
    <w:rsid w:val="009D5EAF"/>
    <w:rsid w:val="009D699B"/>
    <w:rsid w:val="009E0E08"/>
    <w:rsid w:val="009E22F3"/>
    <w:rsid w:val="009E2B30"/>
    <w:rsid w:val="009E4488"/>
    <w:rsid w:val="009E585B"/>
    <w:rsid w:val="009E7837"/>
    <w:rsid w:val="009F09B1"/>
    <w:rsid w:val="009F2C02"/>
    <w:rsid w:val="009F3E1A"/>
    <w:rsid w:val="009F4DF6"/>
    <w:rsid w:val="00A01730"/>
    <w:rsid w:val="00A03CF7"/>
    <w:rsid w:val="00A064CA"/>
    <w:rsid w:val="00A06D08"/>
    <w:rsid w:val="00A07F66"/>
    <w:rsid w:val="00A135A9"/>
    <w:rsid w:val="00A1479A"/>
    <w:rsid w:val="00A15007"/>
    <w:rsid w:val="00A15CC4"/>
    <w:rsid w:val="00A1681D"/>
    <w:rsid w:val="00A17ADE"/>
    <w:rsid w:val="00A20680"/>
    <w:rsid w:val="00A2155D"/>
    <w:rsid w:val="00A23DC5"/>
    <w:rsid w:val="00A259A6"/>
    <w:rsid w:val="00A3238C"/>
    <w:rsid w:val="00A34DA8"/>
    <w:rsid w:val="00A35E4D"/>
    <w:rsid w:val="00A40A44"/>
    <w:rsid w:val="00A41BA6"/>
    <w:rsid w:val="00A431F6"/>
    <w:rsid w:val="00A50D54"/>
    <w:rsid w:val="00A5170B"/>
    <w:rsid w:val="00A55D33"/>
    <w:rsid w:val="00A57256"/>
    <w:rsid w:val="00A61E44"/>
    <w:rsid w:val="00A63EAC"/>
    <w:rsid w:val="00A654AA"/>
    <w:rsid w:val="00A656C1"/>
    <w:rsid w:val="00A67DF3"/>
    <w:rsid w:val="00A74359"/>
    <w:rsid w:val="00A77BD8"/>
    <w:rsid w:val="00A819F4"/>
    <w:rsid w:val="00A84548"/>
    <w:rsid w:val="00A847D9"/>
    <w:rsid w:val="00A8734D"/>
    <w:rsid w:val="00A92CDC"/>
    <w:rsid w:val="00A94854"/>
    <w:rsid w:val="00A97E03"/>
    <w:rsid w:val="00AA33BB"/>
    <w:rsid w:val="00AA507D"/>
    <w:rsid w:val="00AA5AA2"/>
    <w:rsid w:val="00AB4373"/>
    <w:rsid w:val="00AB52CB"/>
    <w:rsid w:val="00AB70D1"/>
    <w:rsid w:val="00AB7ECF"/>
    <w:rsid w:val="00AC3091"/>
    <w:rsid w:val="00AC3BDF"/>
    <w:rsid w:val="00AD2297"/>
    <w:rsid w:val="00AD5274"/>
    <w:rsid w:val="00AD61CA"/>
    <w:rsid w:val="00AE0B3F"/>
    <w:rsid w:val="00AE4078"/>
    <w:rsid w:val="00AE4F94"/>
    <w:rsid w:val="00AE7745"/>
    <w:rsid w:val="00AF0629"/>
    <w:rsid w:val="00AF1CE6"/>
    <w:rsid w:val="00AF6E29"/>
    <w:rsid w:val="00AF73EE"/>
    <w:rsid w:val="00B00B3A"/>
    <w:rsid w:val="00B00F51"/>
    <w:rsid w:val="00B02CC0"/>
    <w:rsid w:val="00B0423B"/>
    <w:rsid w:val="00B0591F"/>
    <w:rsid w:val="00B05F82"/>
    <w:rsid w:val="00B0620D"/>
    <w:rsid w:val="00B062BB"/>
    <w:rsid w:val="00B11B26"/>
    <w:rsid w:val="00B13511"/>
    <w:rsid w:val="00B161E3"/>
    <w:rsid w:val="00B16480"/>
    <w:rsid w:val="00B263C4"/>
    <w:rsid w:val="00B26A44"/>
    <w:rsid w:val="00B271BC"/>
    <w:rsid w:val="00B27D19"/>
    <w:rsid w:val="00B41CA1"/>
    <w:rsid w:val="00B43D9E"/>
    <w:rsid w:val="00B45FB9"/>
    <w:rsid w:val="00B500D2"/>
    <w:rsid w:val="00B5051D"/>
    <w:rsid w:val="00B56B14"/>
    <w:rsid w:val="00B62FE0"/>
    <w:rsid w:val="00B64713"/>
    <w:rsid w:val="00B73CEC"/>
    <w:rsid w:val="00B763F3"/>
    <w:rsid w:val="00B76D60"/>
    <w:rsid w:val="00B81827"/>
    <w:rsid w:val="00B81BE2"/>
    <w:rsid w:val="00B8357D"/>
    <w:rsid w:val="00B85B56"/>
    <w:rsid w:val="00B864E1"/>
    <w:rsid w:val="00B86B8F"/>
    <w:rsid w:val="00B87D11"/>
    <w:rsid w:val="00B905FA"/>
    <w:rsid w:val="00B9280B"/>
    <w:rsid w:val="00B973B0"/>
    <w:rsid w:val="00BA65EC"/>
    <w:rsid w:val="00BB17A7"/>
    <w:rsid w:val="00BB1B27"/>
    <w:rsid w:val="00BC0C00"/>
    <w:rsid w:val="00BC1C03"/>
    <w:rsid w:val="00BC6C19"/>
    <w:rsid w:val="00BC7F83"/>
    <w:rsid w:val="00BD023C"/>
    <w:rsid w:val="00BD0C08"/>
    <w:rsid w:val="00BD3FD4"/>
    <w:rsid w:val="00BE0682"/>
    <w:rsid w:val="00BE1E3F"/>
    <w:rsid w:val="00BE2B0D"/>
    <w:rsid w:val="00BF3B18"/>
    <w:rsid w:val="00BF5255"/>
    <w:rsid w:val="00C03497"/>
    <w:rsid w:val="00C0449F"/>
    <w:rsid w:val="00C121F0"/>
    <w:rsid w:val="00C13BF9"/>
    <w:rsid w:val="00C17A87"/>
    <w:rsid w:val="00C200DF"/>
    <w:rsid w:val="00C21D08"/>
    <w:rsid w:val="00C241B8"/>
    <w:rsid w:val="00C31205"/>
    <w:rsid w:val="00C33250"/>
    <w:rsid w:val="00C370E8"/>
    <w:rsid w:val="00C377CA"/>
    <w:rsid w:val="00C41D66"/>
    <w:rsid w:val="00C4384F"/>
    <w:rsid w:val="00C43AAF"/>
    <w:rsid w:val="00C51898"/>
    <w:rsid w:val="00C51E04"/>
    <w:rsid w:val="00C6189B"/>
    <w:rsid w:val="00C61C35"/>
    <w:rsid w:val="00C63B82"/>
    <w:rsid w:val="00C66B18"/>
    <w:rsid w:val="00C7380C"/>
    <w:rsid w:val="00C768FF"/>
    <w:rsid w:val="00C76D31"/>
    <w:rsid w:val="00C8086A"/>
    <w:rsid w:val="00C818C6"/>
    <w:rsid w:val="00C91CD2"/>
    <w:rsid w:val="00C933C3"/>
    <w:rsid w:val="00CA7D31"/>
    <w:rsid w:val="00CB2506"/>
    <w:rsid w:val="00CB7A7D"/>
    <w:rsid w:val="00CC3172"/>
    <w:rsid w:val="00CC6D21"/>
    <w:rsid w:val="00CD3F4C"/>
    <w:rsid w:val="00CD6671"/>
    <w:rsid w:val="00CD6DCD"/>
    <w:rsid w:val="00CE0E23"/>
    <w:rsid w:val="00CE0F17"/>
    <w:rsid w:val="00CE3AB3"/>
    <w:rsid w:val="00CE3CEF"/>
    <w:rsid w:val="00CE4490"/>
    <w:rsid w:val="00CE628F"/>
    <w:rsid w:val="00CE7739"/>
    <w:rsid w:val="00CF0F5F"/>
    <w:rsid w:val="00CF4E54"/>
    <w:rsid w:val="00CF6817"/>
    <w:rsid w:val="00D046C4"/>
    <w:rsid w:val="00D053B0"/>
    <w:rsid w:val="00D07A6F"/>
    <w:rsid w:val="00D11D51"/>
    <w:rsid w:val="00D1209A"/>
    <w:rsid w:val="00D13061"/>
    <w:rsid w:val="00D141A0"/>
    <w:rsid w:val="00D14AA2"/>
    <w:rsid w:val="00D26033"/>
    <w:rsid w:val="00D26E66"/>
    <w:rsid w:val="00D27DE2"/>
    <w:rsid w:val="00D315AA"/>
    <w:rsid w:val="00D321D4"/>
    <w:rsid w:val="00D37D12"/>
    <w:rsid w:val="00D4276B"/>
    <w:rsid w:val="00D43F36"/>
    <w:rsid w:val="00D44ACF"/>
    <w:rsid w:val="00D470A6"/>
    <w:rsid w:val="00D508BA"/>
    <w:rsid w:val="00D56542"/>
    <w:rsid w:val="00D57090"/>
    <w:rsid w:val="00D601BC"/>
    <w:rsid w:val="00D61DBE"/>
    <w:rsid w:val="00D62888"/>
    <w:rsid w:val="00D657C2"/>
    <w:rsid w:val="00D67252"/>
    <w:rsid w:val="00D7159E"/>
    <w:rsid w:val="00D72CF6"/>
    <w:rsid w:val="00D7680F"/>
    <w:rsid w:val="00D76F3D"/>
    <w:rsid w:val="00D807B4"/>
    <w:rsid w:val="00D84B02"/>
    <w:rsid w:val="00D86788"/>
    <w:rsid w:val="00D86FD8"/>
    <w:rsid w:val="00D87CE5"/>
    <w:rsid w:val="00D92213"/>
    <w:rsid w:val="00D93AAC"/>
    <w:rsid w:val="00D9528E"/>
    <w:rsid w:val="00DA065D"/>
    <w:rsid w:val="00DA2528"/>
    <w:rsid w:val="00DA569D"/>
    <w:rsid w:val="00DB0778"/>
    <w:rsid w:val="00DB0B07"/>
    <w:rsid w:val="00DB16F4"/>
    <w:rsid w:val="00DD4BC2"/>
    <w:rsid w:val="00DD5902"/>
    <w:rsid w:val="00DE155A"/>
    <w:rsid w:val="00DE3A68"/>
    <w:rsid w:val="00DF05AD"/>
    <w:rsid w:val="00DF3477"/>
    <w:rsid w:val="00DF58E7"/>
    <w:rsid w:val="00E02F67"/>
    <w:rsid w:val="00E0335E"/>
    <w:rsid w:val="00E03CDA"/>
    <w:rsid w:val="00E06284"/>
    <w:rsid w:val="00E07B52"/>
    <w:rsid w:val="00E1149E"/>
    <w:rsid w:val="00E16207"/>
    <w:rsid w:val="00E21873"/>
    <w:rsid w:val="00E23683"/>
    <w:rsid w:val="00E2723F"/>
    <w:rsid w:val="00E27DA5"/>
    <w:rsid w:val="00E301AD"/>
    <w:rsid w:val="00E31EED"/>
    <w:rsid w:val="00E32E18"/>
    <w:rsid w:val="00E3531A"/>
    <w:rsid w:val="00E36713"/>
    <w:rsid w:val="00E40D18"/>
    <w:rsid w:val="00E50543"/>
    <w:rsid w:val="00E54092"/>
    <w:rsid w:val="00E60852"/>
    <w:rsid w:val="00E60ACD"/>
    <w:rsid w:val="00E60F8D"/>
    <w:rsid w:val="00E63434"/>
    <w:rsid w:val="00E64E96"/>
    <w:rsid w:val="00E70B3F"/>
    <w:rsid w:val="00E7401E"/>
    <w:rsid w:val="00E7436C"/>
    <w:rsid w:val="00E7666B"/>
    <w:rsid w:val="00E7686E"/>
    <w:rsid w:val="00E80B07"/>
    <w:rsid w:val="00E8127D"/>
    <w:rsid w:val="00E84C5D"/>
    <w:rsid w:val="00E85D3E"/>
    <w:rsid w:val="00E86419"/>
    <w:rsid w:val="00E8659C"/>
    <w:rsid w:val="00E94524"/>
    <w:rsid w:val="00E96E01"/>
    <w:rsid w:val="00EA625A"/>
    <w:rsid w:val="00EA764D"/>
    <w:rsid w:val="00EB09FE"/>
    <w:rsid w:val="00EB1350"/>
    <w:rsid w:val="00EB3D07"/>
    <w:rsid w:val="00EB5BCE"/>
    <w:rsid w:val="00EB7084"/>
    <w:rsid w:val="00EC0B5F"/>
    <w:rsid w:val="00EC0FAC"/>
    <w:rsid w:val="00EC47F1"/>
    <w:rsid w:val="00EC7097"/>
    <w:rsid w:val="00ED0E0E"/>
    <w:rsid w:val="00ED1F53"/>
    <w:rsid w:val="00ED7526"/>
    <w:rsid w:val="00EE5C46"/>
    <w:rsid w:val="00EE7BBA"/>
    <w:rsid w:val="00EF34FE"/>
    <w:rsid w:val="00EF3EA8"/>
    <w:rsid w:val="00EF60E2"/>
    <w:rsid w:val="00F0103A"/>
    <w:rsid w:val="00F01670"/>
    <w:rsid w:val="00F04A71"/>
    <w:rsid w:val="00F06563"/>
    <w:rsid w:val="00F10BD4"/>
    <w:rsid w:val="00F114E3"/>
    <w:rsid w:val="00F1194C"/>
    <w:rsid w:val="00F11E4C"/>
    <w:rsid w:val="00F11F37"/>
    <w:rsid w:val="00F16403"/>
    <w:rsid w:val="00F16AE3"/>
    <w:rsid w:val="00F226BB"/>
    <w:rsid w:val="00F26576"/>
    <w:rsid w:val="00F26653"/>
    <w:rsid w:val="00F32126"/>
    <w:rsid w:val="00F33DF6"/>
    <w:rsid w:val="00F34B62"/>
    <w:rsid w:val="00F41727"/>
    <w:rsid w:val="00F43C0A"/>
    <w:rsid w:val="00F43E69"/>
    <w:rsid w:val="00F44EFB"/>
    <w:rsid w:val="00F50864"/>
    <w:rsid w:val="00F56BA6"/>
    <w:rsid w:val="00F57465"/>
    <w:rsid w:val="00F57780"/>
    <w:rsid w:val="00F60965"/>
    <w:rsid w:val="00F62DB2"/>
    <w:rsid w:val="00F63518"/>
    <w:rsid w:val="00F63C75"/>
    <w:rsid w:val="00F64938"/>
    <w:rsid w:val="00F66D32"/>
    <w:rsid w:val="00F738C1"/>
    <w:rsid w:val="00F74E84"/>
    <w:rsid w:val="00F75B83"/>
    <w:rsid w:val="00F80480"/>
    <w:rsid w:val="00F841BB"/>
    <w:rsid w:val="00F848D2"/>
    <w:rsid w:val="00F863BD"/>
    <w:rsid w:val="00F939E1"/>
    <w:rsid w:val="00F94D20"/>
    <w:rsid w:val="00F95BB7"/>
    <w:rsid w:val="00F963E4"/>
    <w:rsid w:val="00FA0F02"/>
    <w:rsid w:val="00FB226C"/>
    <w:rsid w:val="00FB22EC"/>
    <w:rsid w:val="00FB3E73"/>
    <w:rsid w:val="00FB716E"/>
    <w:rsid w:val="00FC0DBA"/>
    <w:rsid w:val="00FC380D"/>
    <w:rsid w:val="00FC6FE1"/>
    <w:rsid w:val="00FD4D23"/>
    <w:rsid w:val="00FD5BEC"/>
    <w:rsid w:val="00FD7306"/>
    <w:rsid w:val="00FD7DEC"/>
    <w:rsid w:val="00FE140D"/>
    <w:rsid w:val="00FE74C8"/>
    <w:rsid w:val="00FE7DCE"/>
    <w:rsid w:val="00FF3905"/>
    <w:rsid w:val="00FF4C2D"/>
    <w:rsid w:val="00FF4F02"/>
    <w:rsid w:val="00FF5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779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8E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C380D"/>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unhideWhenUsed/>
    <w:rsid w:val="00A259A6"/>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nhideWhenUsed/>
    <w:rsid w:val="00A259A6"/>
    <w:rPr>
      <w:color w:val="0000FF"/>
      <w:u w:val="single"/>
    </w:rPr>
  </w:style>
  <w:style w:type="paragraph" w:styleId="Header">
    <w:name w:val="header"/>
    <w:basedOn w:val="Normal"/>
    <w:link w:val="HeaderChar"/>
    <w:uiPriority w:val="99"/>
    <w:unhideWhenUsed/>
    <w:rsid w:val="00006A9F"/>
    <w:pPr>
      <w:tabs>
        <w:tab w:val="center" w:pos="4680"/>
        <w:tab w:val="right" w:pos="9360"/>
      </w:tabs>
    </w:pPr>
  </w:style>
  <w:style w:type="character" w:customStyle="1" w:styleId="HeaderChar">
    <w:name w:val="Header Char"/>
    <w:link w:val="Header"/>
    <w:uiPriority w:val="99"/>
    <w:rsid w:val="00006A9F"/>
    <w:rPr>
      <w:sz w:val="22"/>
      <w:szCs w:val="22"/>
    </w:rPr>
  </w:style>
  <w:style w:type="paragraph" w:styleId="Footer">
    <w:name w:val="footer"/>
    <w:basedOn w:val="Normal"/>
    <w:link w:val="FooterChar"/>
    <w:uiPriority w:val="99"/>
    <w:unhideWhenUsed/>
    <w:rsid w:val="00006A9F"/>
    <w:pPr>
      <w:tabs>
        <w:tab w:val="center" w:pos="4680"/>
        <w:tab w:val="right" w:pos="9360"/>
      </w:tabs>
    </w:pPr>
  </w:style>
  <w:style w:type="character" w:customStyle="1" w:styleId="FooterChar">
    <w:name w:val="Footer Char"/>
    <w:link w:val="Footer"/>
    <w:uiPriority w:val="99"/>
    <w:rsid w:val="00006A9F"/>
    <w:rPr>
      <w:sz w:val="22"/>
      <w:szCs w:val="22"/>
    </w:rPr>
  </w:style>
  <w:style w:type="character" w:styleId="CommentReference">
    <w:name w:val="annotation reference"/>
    <w:basedOn w:val="DefaultParagraphFont"/>
    <w:unhideWhenUsed/>
    <w:rsid w:val="00E0335E"/>
    <w:rPr>
      <w:sz w:val="16"/>
      <w:szCs w:val="16"/>
    </w:rPr>
  </w:style>
  <w:style w:type="paragraph" w:styleId="CommentText">
    <w:name w:val="annotation text"/>
    <w:basedOn w:val="Normal"/>
    <w:link w:val="CommentTextChar"/>
    <w:unhideWhenUsed/>
    <w:rsid w:val="00E0335E"/>
    <w:pPr>
      <w:spacing w:line="240" w:lineRule="auto"/>
    </w:pPr>
    <w:rPr>
      <w:sz w:val="20"/>
      <w:szCs w:val="20"/>
    </w:rPr>
  </w:style>
  <w:style w:type="character" w:customStyle="1" w:styleId="CommentTextChar">
    <w:name w:val="Comment Text Char"/>
    <w:basedOn w:val="DefaultParagraphFont"/>
    <w:link w:val="CommentText"/>
    <w:rsid w:val="00E0335E"/>
  </w:style>
  <w:style w:type="paragraph" w:styleId="CommentSubject">
    <w:name w:val="annotation subject"/>
    <w:basedOn w:val="CommentText"/>
    <w:next w:val="CommentText"/>
    <w:link w:val="CommentSubjectChar"/>
    <w:uiPriority w:val="99"/>
    <w:semiHidden/>
    <w:unhideWhenUsed/>
    <w:rsid w:val="00E0335E"/>
    <w:rPr>
      <w:b/>
      <w:bCs/>
    </w:rPr>
  </w:style>
  <w:style w:type="character" w:customStyle="1" w:styleId="CommentSubjectChar">
    <w:name w:val="Comment Subject Char"/>
    <w:basedOn w:val="CommentTextChar"/>
    <w:link w:val="CommentSubject"/>
    <w:uiPriority w:val="99"/>
    <w:semiHidden/>
    <w:rsid w:val="00E0335E"/>
    <w:rPr>
      <w:b/>
      <w:bCs/>
    </w:rPr>
  </w:style>
  <w:style w:type="paragraph" w:styleId="BalloonText">
    <w:name w:val="Balloon Text"/>
    <w:basedOn w:val="Normal"/>
    <w:link w:val="BalloonTextChar"/>
    <w:uiPriority w:val="99"/>
    <w:semiHidden/>
    <w:unhideWhenUsed/>
    <w:rsid w:val="00E033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335E"/>
    <w:rPr>
      <w:rFonts w:ascii="Tahoma" w:hAnsi="Tahoma" w:cs="Tahoma"/>
      <w:sz w:val="16"/>
      <w:szCs w:val="16"/>
    </w:rPr>
  </w:style>
  <w:style w:type="paragraph" w:styleId="Revision">
    <w:name w:val="Revision"/>
    <w:hidden/>
    <w:uiPriority w:val="99"/>
    <w:semiHidden/>
    <w:rsid w:val="00365122"/>
    <w:rPr>
      <w:sz w:val="22"/>
      <w:szCs w:val="22"/>
    </w:rPr>
  </w:style>
  <w:style w:type="table" w:styleId="TableGrid">
    <w:name w:val="Table Grid"/>
    <w:basedOn w:val="TableNormal"/>
    <w:uiPriority w:val="59"/>
    <w:rsid w:val="002430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11D9"/>
    <w:pPr>
      <w:ind w:left="720"/>
      <w:contextualSpacing/>
    </w:pPr>
  </w:style>
  <w:style w:type="paragraph" w:styleId="NoSpacing">
    <w:name w:val="No Spacing"/>
    <w:uiPriority w:val="1"/>
    <w:qFormat/>
    <w:rsid w:val="00FA0F02"/>
    <w:rPr>
      <w:sz w:val="22"/>
      <w:szCs w:val="22"/>
    </w:rPr>
  </w:style>
  <w:style w:type="character" w:styleId="UnresolvedMention">
    <w:name w:val="Unresolved Mention"/>
    <w:basedOn w:val="DefaultParagraphFont"/>
    <w:uiPriority w:val="99"/>
    <w:semiHidden/>
    <w:unhideWhenUsed/>
    <w:rsid w:val="00E96E01"/>
    <w:rPr>
      <w:color w:val="605E5C"/>
      <w:shd w:val="clear" w:color="auto" w:fill="E1DFDD"/>
    </w:rPr>
  </w:style>
  <w:style w:type="paragraph" w:styleId="FootnoteText">
    <w:name w:val="footnote text"/>
    <w:basedOn w:val="Normal"/>
    <w:link w:val="FootnoteTextChar"/>
    <w:uiPriority w:val="99"/>
    <w:semiHidden/>
    <w:unhideWhenUsed/>
    <w:rsid w:val="000712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1269"/>
  </w:style>
  <w:style w:type="character" w:styleId="FootnoteReference">
    <w:name w:val="footnote reference"/>
    <w:basedOn w:val="DefaultParagraphFont"/>
    <w:uiPriority w:val="99"/>
    <w:semiHidden/>
    <w:unhideWhenUsed/>
    <w:rsid w:val="00071269"/>
    <w:rPr>
      <w:vertAlign w:val="superscript"/>
    </w:rPr>
  </w:style>
  <w:style w:type="paragraph" w:styleId="BodyText">
    <w:name w:val="Body Text"/>
    <w:basedOn w:val="Normal"/>
    <w:link w:val="BodyTextChar"/>
    <w:uiPriority w:val="1"/>
    <w:qFormat/>
    <w:rsid w:val="00EF34FE"/>
    <w:pPr>
      <w:widowControl w:val="0"/>
      <w:spacing w:after="0" w:line="240" w:lineRule="auto"/>
      <w:ind w:left="120"/>
    </w:pPr>
    <w:rPr>
      <w:rFonts w:ascii="Times New Roman" w:eastAsia="Times New Roman" w:hAnsi="Times New Roman" w:cstheme="minorBidi"/>
      <w:sz w:val="24"/>
      <w:szCs w:val="24"/>
    </w:rPr>
  </w:style>
  <w:style w:type="character" w:customStyle="1" w:styleId="BodyTextChar">
    <w:name w:val="Body Text Char"/>
    <w:basedOn w:val="DefaultParagraphFont"/>
    <w:link w:val="BodyText"/>
    <w:uiPriority w:val="1"/>
    <w:rsid w:val="00EF34FE"/>
    <w:rPr>
      <w:rFonts w:ascii="Times New Roman" w:eastAsia="Times New Roman" w:hAnsi="Times New Roman" w:cstheme="minorBidi"/>
      <w:sz w:val="24"/>
      <w:szCs w:val="24"/>
    </w:rPr>
  </w:style>
  <w:style w:type="character" w:styleId="FollowedHyperlink">
    <w:name w:val="FollowedHyperlink"/>
    <w:basedOn w:val="DefaultParagraphFont"/>
    <w:uiPriority w:val="99"/>
    <w:semiHidden/>
    <w:unhideWhenUsed/>
    <w:rsid w:val="006B63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042819">
      <w:bodyDiv w:val="1"/>
      <w:marLeft w:val="0"/>
      <w:marRight w:val="0"/>
      <w:marTop w:val="0"/>
      <w:marBottom w:val="0"/>
      <w:divBdr>
        <w:top w:val="none" w:sz="0" w:space="0" w:color="auto"/>
        <w:left w:val="none" w:sz="0" w:space="0" w:color="auto"/>
        <w:bottom w:val="none" w:sz="0" w:space="0" w:color="auto"/>
        <w:right w:val="none" w:sz="0" w:space="0" w:color="auto"/>
      </w:divBdr>
    </w:div>
    <w:div w:id="1071195708">
      <w:bodyDiv w:val="1"/>
      <w:marLeft w:val="0"/>
      <w:marRight w:val="0"/>
      <w:marTop w:val="0"/>
      <w:marBottom w:val="0"/>
      <w:divBdr>
        <w:top w:val="none" w:sz="0" w:space="0" w:color="auto"/>
        <w:left w:val="none" w:sz="0" w:space="0" w:color="auto"/>
        <w:bottom w:val="none" w:sz="0" w:space="0" w:color="auto"/>
        <w:right w:val="none" w:sz="0" w:space="0" w:color="auto"/>
      </w:divBdr>
    </w:div>
    <w:div w:id="1366491210">
      <w:bodyDiv w:val="1"/>
      <w:marLeft w:val="0"/>
      <w:marRight w:val="0"/>
      <w:marTop w:val="0"/>
      <w:marBottom w:val="0"/>
      <w:divBdr>
        <w:top w:val="none" w:sz="0" w:space="0" w:color="auto"/>
        <w:left w:val="none" w:sz="0" w:space="0" w:color="auto"/>
        <w:bottom w:val="none" w:sz="0" w:space="0" w:color="auto"/>
        <w:right w:val="none" w:sz="0" w:space="0" w:color="auto"/>
      </w:divBdr>
    </w:div>
    <w:div w:id="1442989363">
      <w:bodyDiv w:val="1"/>
      <w:marLeft w:val="0"/>
      <w:marRight w:val="0"/>
      <w:marTop w:val="0"/>
      <w:marBottom w:val="0"/>
      <w:divBdr>
        <w:top w:val="none" w:sz="0" w:space="0" w:color="auto"/>
        <w:left w:val="none" w:sz="0" w:space="0" w:color="auto"/>
        <w:bottom w:val="none" w:sz="0" w:space="0" w:color="auto"/>
        <w:right w:val="none" w:sz="0" w:space="0" w:color="auto"/>
      </w:divBdr>
    </w:div>
    <w:div w:id="151973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da.gov/drugs/drug-supply-chain-security-act-dscsa/drug-notifications-frequently-asked-question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fda.gov/regulatory-information/search-fda-guidance-documents/waivers-exceptions-and-exemptions-requirements-section-582-federal-food-drug-and-cosmetic-act" TargetMode="External"/><Relationship Id="rId4" Type="http://schemas.openxmlformats.org/officeDocument/2006/relationships/settings" Target="settings.xml"/><Relationship Id="rId9" Type="http://schemas.openxmlformats.org/officeDocument/2006/relationships/hyperlink" Target="https://www.fda.gov/regulatory-information/search-fda-guidance-documents/drug-supply-chain-security-act-implementation-identification-suspect-product-and-notif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5E5AA-F3E5-4BAA-8F00-73BB66ED4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2424</Words>
  <Characters>13822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16214</CharactersWithSpaces>
  <SharedDoc>false</SharedDoc>
  <HLinks>
    <vt:vector size="6" baseType="variant">
      <vt:variant>
        <vt:i4>4390914</vt:i4>
      </vt:variant>
      <vt:variant>
        <vt:i4>0</vt:i4>
      </vt:variant>
      <vt:variant>
        <vt:i4>0</vt:i4>
      </vt:variant>
      <vt:variant>
        <vt:i4>5</vt:i4>
      </vt:variant>
      <vt:variant>
        <vt:lpwstr>https://www.federalregister.gov/select-citation/2014/06/11/21-CFR-314.81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2022-01-26T02:54:00Z</dcterms:created>
  <dcterms:modified xsi:type="dcterms:W3CDTF">2022-01-26T12:12:00Z</dcterms:modified>
</cp:coreProperties>
</file>