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3D" w:rsidP="009B633D" w:rsidRDefault="009B633D" w14:paraId="504718FC" w14:textId="77777777">
      <w:pPr>
        <w:jc w:val="center"/>
        <w:rPr>
          <w:sz w:val="28"/>
          <w:szCs w:val="28"/>
        </w:rPr>
      </w:pPr>
    </w:p>
    <w:p w:rsidR="009B633D" w:rsidP="009B633D" w:rsidRDefault="009B633D" w14:paraId="52965D2D" w14:textId="77777777">
      <w:pPr>
        <w:jc w:val="center"/>
        <w:rPr>
          <w:sz w:val="28"/>
          <w:szCs w:val="28"/>
        </w:rPr>
      </w:pPr>
    </w:p>
    <w:p w:rsidR="009B633D" w:rsidP="009B633D" w:rsidRDefault="00456179" w14:paraId="6D817B2F" w14:textId="77777777">
      <w:pPr>
        <w:jc w:val="center"/>
        <w:rPr>
          <w:b/>
          <w:sz w:val="28"/>
          <w:szCs w:val="28"/>
        </w:rPr>
      </w:pPr>
      <w:r w:rsidRPr="00456179">
        <w:rPr>
          <w:b/>
          <w:sz w:val="28"/>
          <w:szCs w:val="28"/>
        </w:rPr>
        <w:t>SUPPORTING STATEMENT</w:t>
      </w:r>
    </w:p>
    <w:p w:rsidR="00635119" w:rsidP="009B633D" w:rsidRDefault="00635119" w14:paraId="1B5FB33C" w14:textId="77777777">
      <w:pPr>
        <w:jc w:val="center"/>
        <w:rPr>
          <w:b/>
          <w:sz w:val="28"/>
          <w:szCs w:val="28"/>
        </w:rPr>
      </w:pPr>
    </w:p>
    <w:p w:rsidR="009B633D" w:rsidP="009B633D" w:rsidRDefault="00456179" w14:paraId="416BD3B2" w14:textId="77777777">
      <w:pPr>
        <w:jc w:val="center"/>
        <w:rPr>
          <w:sz w:val="28"/>
          <w:szCs w:val="28"/>
        </w:rPr>
      </w:pPr>
      <w:r>
        <w:rPr>
          <w:b/>
          <w:sz w:val="28"/>
          <w:szCs w:val="28"/>
        </w:rPr>
        <w:t>Part A</w:t>
      </w:r>
    </w:p>
    <w:p w:rsidR="009B633D" w:rsidP="009B633D" w:rsidRDefault="009B633D" w14:paraId="60A537C4" w14:textId="77777777">
      <w:pPr>
        <w:jc w:val="center"/>
        <w:rPr>
          <w:sz w:val="28"/>
          <w:szCs w:val="28"/>
        </w:rPr>
      </w:pPr>
    </w:p>
    <w:p w:rsidR="009B633D" w:rsidP="009B633D" w:rsidRDefault="009B633D" w14:paraId="3D594DD1" w14:textId="77777777">
      <w:pPr>
        <w:jc w:val="center"/>
        <w:rPr>
          <w:sz w:val="28"/>
          <w:szCs w:val="28"/>
        </w:rPr>
      </w:pPr>
    </w:p>
    <w:p w:rsidR="009B633D" w:rsidP="009B633D" w:rsidRDefault="009B633D" w14:paraId="260B2F2F" w14:textId="77777777">
      <w:pPr>
        <w:jc w:val="center"/>
        <w:rPr>
          <w:sz w:val="28"/>
          <w:szCs w:val="28"/>
        </w:rPr>
      </w:pPr>
    </w:p>
    <w:p w:rsidR="009B633D" w:rsidP="009B633D" w:rsidRDefault="009B633D" w14:paraId="161DD2E7" w14:textId="77777777">
      <w:pPr>
        <w:jc w:val="center"/>
        <w:rPr>
          <w:sz w:val="28"/>
          <w:szCs w:val="28"/>
        </w:rPr>
      </w:pPr>
    </w:p>
    <w:p w:rsidR="009B633D" w:rsidP="009B633D" w:rsidRDefault="009B633D" w14:paraId="11309D92" w14:textId="77777777">
      <w:pPr>
        <w:jc w:val="center"/>
        <w:rPr>
          <w:sz w:val="28"/>
          <w:szCs w:val="28"/>
        </w:rPr>
      </w:pPr>
    </w:p>
    <w:p w:rsidR="009B633D" w:rsidP="009B633D" w:rsidRDefault="009B633D" w14:paraId="11199F9E" w14:textId="77777777">
      <w:pPr>
        <w:jc w:val="center"/>
        <w:rPr>
          <w:sz w:val="28"/>
          <w:szCs w:val="28"/>
        </w:rPr>
      </w:pPr>
    </w:p>
    <w:p w:rsidRPr="00082047" w:rsidR="009B633D" w:rsidP="009B633D" w:rsidRDefault="00DB1E0F" w14:paraId="1F0D1F02" w14:textId="12D3B168">
      <w:pPr>
        <w:jc w:val="center"/>
        <w:rPr>
          <w:i/>
          <w:sz w:val="28"/>
          <w:szCs w:val="28"/>
        </w:rPr>
      </w:pPr>
      <w:r w:rsidRPr="00DB1E0F">
        <w:rPr>
          <w:i/>
          <w:sz w:val="28"/>
          <w:szCs w:val="28"/>
        </w:rPr>
        <w:t>Identifying and Testing Strategies for Management of Opioid Use and Misuse in Older Adults in Primary Care Practices</w:t>
      </w:r>
    </w:p>
    <w:p w:rsidR="009B633D" w:rsidP="009B633D" w:rsidRDefault="009B633D" w14:paraId="556B4274" w14:textId="77777777">
      <w:pPr>
        <w:jc w:val="center"/>
        <w:rPr>
          <w:sz w:val="28"/>
          <w:szCs w:val="28"/>
        </w:rPr>
      </w:pPr>
    </w:p>
    <w:p w:rsidR="009B633D" w:rsidP="009B633D" w:rsidRDefault="009B633D" w14:paraId="0EE134DC" w14:textId="77777777">
      <w:pPr>
        <w:jc w:val="center"/>
        <w:rPr>
          <w:sz w:val="28"/>
          <w:szCs w:val="28"/>
        </w:rPr>
      </w:pPr>
    </w:p>
    <w:p w:rsidR="009B633D" w:rsidP="009B633D" w:rsidRDefault="009B633D" w14:paraId="70B591CB" w14:textId="77777777">
      <w:pPr>
        <w:jc w:val="center"/>
        <w:rPr>
          <w:sz w:val="28"/>
          <w:szCs w:val="28"/>
        </w:rPr>
      </w:pPr>
    </w:p>
    <w:p w:rsidRPr="00C4006D" w:rsidR="009B633D" w:rsidP="009B633D" w:rsidRDefault="00BB1C2F" w14:paraId="00A70998" w14:textId="47BE0F6D">
      <w:pPr>
        <w:jc w:val="center"/>
        <w:rPr>
          <w:i/>
          <w:sz w:val="28"/>
          <w:szCs w:val="28"/>
        </w:rPr>
      </w:pPr>
      <w:r>
        <w:rPr>
          <w:b/>
          <w:sz w:val="28"/>
          <w:szCs w:val="28"/>
        </w:rPr>
        <w:t>Version</w:t>
      </w:r>
      <w:r w:rsidR="00FF42BD">
        <w:rPr>
          <w:b/>
          <w:sz w:val="28"/>
          <w:szCs w:val="28"/>
        </w:rPr>
        <w:t>:</w:t>
      </w:r>
      <w:r>
        <w:rPr>
          <w:b/>
          <w:sz w:val="28"/>
          <w:szCs w:val="28"/>
        </w:rPr>
        <w:t xml:space="preserve"> </w:t>
      </w:r>
      <w:r w:rsidR="00DB1E0F">
        <w:rPr>
          <w:i/>
          <w:sz w:val="28"/>
          <w:szCs w:val="28"/>
        </w:rPr>
        <w:t>April 1, 2020</w:t>
      </w:r>
    </w:p>
    <w:p w:rsidR="009B633D" w:rsidP="009B633D" w:rsidRDefault="009B633D" w14:paraId="2327AE9D" w14:textId="77777777">
      <w:pPr>
        <w:jc w:val="center"/>
        <w:rPr>
          <w:i/>
          <w:sz w:val="28"/>
          <w:szCs w:val="28"/>
        </w:rPr>
      </w:pPr>
    </w:p>
    <w:p w:rsidR="009B633D" w:rsidP="009B633D" w:rsidRDefault="009B633D" w14:paraId="44627ED3" w14:textId="77777777">
      <w:pPr>
        <w:jc w:val="center"/>
        <w:rPr>
          <w:sz w:val="28"/>
          <w:szCs w:val="28"/>
        </w:rPr>
      </w:pPr>
    </w:p>
    <w:p w:rsidR="009B633D" w:rsidP="009B633D" w:rsidRDefault="009B633D" w14:paraId="11A83611" w14:textId="77777777">
      <w:pPr>
        <w:jc w:val="center"/>
        <w:rPr>
          <w:sz w:val="28"/>
          <w:szCs w:val="28"/>
        </w:rPr>
      </w:pPr>
    </w:p>
    <w:p w:rsidR="009B633D" w:rsidP="009B633D" w:rsidRDefault="009B633D" w14:paraId="7D2ED807" w14:textId="77777777">
      <w:pPr>
        <w:jc w:val="center"/>
        <w:rPr>
          <w:sz w:val="28"/>
          <w:szCs w:val="28"/>
        </w:rPr>
      </w:pPr>
    </w:p>
    <w:p w:rsidR="009B633D" w:rsidP="009B633D" w:rsidRDefault="009B633D" w14:paraId="09228B0B" w14:textId="77777777">
      <w:pPr>
        <w:jc w:val="center"/>
        <w:rPr>
          <w:sz w:val="28"/>
          <w:szCs w:val="28"/>
        </w:rPr>
      </w:pPr>
    </w:p>
    <w:p w:rsidR="009B633D" w:rsidP="009B633D" w:rsidRDefault="009B633D" w14:paraId="0D3CDA46" w14:textId="77777777">
      <w:pPr>
        <w:jc w:val="center"/>
        <w:rPr>
          <w:sz w:val="28"/>
          <w:szCs w:val="28"/>
        </w:rPr>
      </w:pPr>
    </w:p>
    <w:p w:rsidR="009B633D" w:rsidP="009B633D" w:rsidRDefault="009B633D" w14:paraId="728E6886" w14:textId="3BA904B1">
      <w:pPr>
        <w:jc w:val="center"/>
        <w:rPr>
          <w:sz w:val="28"/>
          <w:szCs w:val="28"/>
        </w:rPr>
      </w:pPr>
      <w:r w:rsidRPr="00677A0B">
        <w:rPr>
          <w:sz w:val="28"/>
          <w:szCs w:val="28"/>
        </w:rPr>
        <w:t xml:space="preserve">Agency </w:t>
      </w:r>
      <w:r w:rsidR="002A505B">
        <w:rPr>
          <w:sz w:val="28"/>
          <w:szCs w:val="28"/>
        </w:rPr>
        <w:t>for</w:t>
      </w:r>
      <w:r w:rsidRPr="00677A0B" w:rsidR="002A505B">
        <w:rPr>
          <w:sz w:val="28"/>
          <w:szCs w:val="28"/>
        </w:rPr>
        <w:t xml:space="preserve"> </w:t>
      </w:r>
      <w:r w:rsidRPr="00677A0B">
        <w:rPr>
          <w:sz w:val="28"/>
          <w:szCs w:val="28"/>
        </w:rPr>
        <w:t>Healthcare Research and Quality (AHRQ)</w:t>
      </w:r>
    </w:p>
    <w:p w:rsidR="009B633D" w:rsidRDefault="009B633D" w14:paraId="5C4CC641" w14:textId="77777777">
      <w:pPr>
        <w:rPr>
          <w:sz w:val="28"/>
          <w:szCs w:val="28"/>
        </w:rPr>
      </w:pPr>
    </w:p>
    <w:p w:rsidR="009B633D" w:rsidRDefault="009B633D" w14:paraId="085E82E9" w14:textId="77777777">
      <w:pPr>
        <w:rPr>
          <w:sz w:val="28"/>
          <w:szCs w:val="28"/>
        </w:rPr>
      </w:pPr>
    </w:p>
    <w:p w:rsidR="00D057D1" w:rsidP="008C580E" w:rsidRDefault="00D057D1" w14:paraId="7AD33501" w14:textId="77777777">
      <w:pPr>
        <w:sectPr w:rsidR="00D057D1" w:rsidSect="00164C9C">
          <w:footerReference w:type="even" r:id="rId8"/>
          <w:footerReference w:type="default" r:id="rId9"/>
          <w:endnotePr>
            <w:numFmt w:val="decimal"/>
          </w:endnotePr>
          <w:pgSz w:w="12240" w:h="15840"/>
          <w:pgMar w:top="1440" w:right="1800" w:bottom="1260" w:left="1800" w:header="720" w:footer="720" w:gutter="0"/>
          <w:pgNumType w:fmt="numberInDash"/>
          <w:cols w:space="720"/>
          <w:titlePg/>
          <w:docGrid w:linePitch="360"/>
        </w:sectPr>
      </w:pPr>
    </w:p>
    <w:p w:rsidRPr="002A2F7B" w:rsidR="009B633D" w:rsidP="002A2F7B" w:rsidRDefault="009B633D" w14:paraId="2CD0C936" w14:textId="22E5E36E">
      <w:pPr>
        <w:pStyle w:val="TOCHeading"/>
      </w:pPr>
      <w:r w:rsidRPr="002A2F7B">
        <w:lastRenderedPageBreak/>
        <w:t xml:space="preserve">Table of </w:t>
      </w:r>
      <w:r w:rsidRPr="002A2F7B" w:rsidR="00D057D1">
        <w:t>C</w:t>
      </w:r>
      <w:r w:rsidRPr="002A2F7B">
        <w:t>ontents</w:t>
      </w:r>
    </w:p>
    <w:p w:rsidR="003B4A50" w:rsidRDefault="00D94803" w14:paraId="5A00D406" w14:textId="77777777">
      <w:pPr>
        <w:pStyle w:val="TOC1"/>
        <w:rPr>
          <w:rFonts w:asciiTheme="minorHAnsi" w:hAnsiTheme="minorHAnsi" w:eastAsiaTheme="minorEastAsia" w:cstheme="minorBidi"/>
          <w:b w:val="0"/>
          <w:sz w:val="22"/>
          <w:szCs w:val="22"/>
        </w:rPr>
      </w:pPr>
      <w:r>
        <w:rPr>
          <w:b w:val="0"/>
        </w:rPr>
        <w:fldChar w:fldCharType="begin"/>
      </w:r>
      <w:r>
        <w:rPr>
          <w:b w:val="0"/>
        </w:rPr>
        <w:instrText xml:space="preserve"> TOC \o "1-3" \h \z \u </w:instrText>
      </w:r>
      <w:r>
        <w:rPr>
          <w:b w:val="0"/>
        </w:rPr>
        <w:fldChar w:fldCharType="separate"/>
      </w:r>
      <w:hyperlink w:history="1" w:anchor="_Toc38531516">
        <w:r w:rsidRPr="006B09EC" w:rsidR="003B4A50">
          <w:rPr>
            <w:rStyle w:val="Hyperlink"/>
          </w:rPr>
          <w:t>A. Justification</w:t>
        </w:r>
        <w:r w:rsidR="003B4A50">
          <w:rPr>
            <w:webHidden/>
          </w:rPr>
          <w:tab/>
        </w:r>
        <w:r w:rsidR="003B4A50">
          <w:rPr>
            <w:webHidden/>
          </w:rPr>
          <w:fldChar w:fldCharType="begin"/>
        </w:r>
        <w:r w:rsidR="003B4A50">
          <w:rPr>
            <w:webHidden/>
          </w:rPr>
          <w:instrText xml:space="preserve"> PAGEREF _Toc38531516 \h </w:instrText>
        </w:r>
        <w:r w:rsidR="003B4A50">
          <w:rPr>
            <w:webHidden/>
          </w:rPr>
        </w:r>
        <w:r w:rsidR="003B4A50">
          <w:rPr>
            <w:webHidden/>
          </w:rPr>
          <w:fldChar w:fldCharType="separate"/>
        </w:r>
        <w:r w:rsidR="003B4A50">
          <w:rPr>
            <w:webHidden/>
          </w:rPr>
          <w:t>1</w:t>
        </w:r>
        <w:r w:rsidR="003B4A50">
          <w:rPr>
            <w:webHidden/>
          </w:rPr>
          <w:fldChar w:fldCharType="end"/>
        </w:r>
      </w:hyperlink>
    </w:p>
    <w:p w:rsidR="003B4A50" w:rsidRDefault="00853553" w14:paraId="6CD2CB22" w14:textId="77777777">
      <w:pPr>
        <w:pStyle w:val="TOC2"/>
        <w:rPr>
          <w:rFonts w:asciiTheme="minorHAnsi" w:hAnsiTheme="minorHAnsi" w:eastAsiaTheme="minorEastAsia" w:cstheme="minorBidi"/>
          <w:sz w:val="22"/>
          <w:szCs w:val="22"/>
        </w:rPr>
      </w:pPr>
      <w:hyperlink w:history="1" w:anchor="_Toc38531517">
        <w:r w:rsidRPr="006B09EC" w:rsidR="003B4A50">
          <w:rPr>
            <w:rStyle w:val="Hyperlink"/>
          </w:rPr>
          <w:t>1. Circumstances that Make the Collection of Information Necessary</w:t>
        </w:r>
        <w:r w:rsidR="003B4A50">
          <w:rPr>
            <w:webHidden/>
          </w:rPr>
          <w:tab/>
        </w:r>
        <w:r w:rsidR="003B4A50">
          <w:rPr>
            <w:webHidden/>
          </w:rPr>
          <w:fldChar w:fldCharType="begin"/>
        </w:r>
        <w:r w:rsidR="003B4A50">
          <w:rPr>
            <w:webHidden/>
          </w:rPr>
          <w:instrText xml:space="preserve"> PAGEREF _Toc38531517 \h </w:instrText>
        </w:r>
        <w:r w:rsidR="003B4A50">
          <w:rPr>
            <w:webHidden/>
          </w:rPr>
        </w:r>
        <w:r w:rsidR="003B4A50">
          <w:rPr>
            <w:webHidden/>
          </w:rPr>
          <w:fldChar w:fldCharType="separate"/>
        </w:r>
        <w:r w:rsidR="003B4A50">
          <w:rPr>
            <w:webHidden/>
          </w:rPr>
          <w:t>1</w:t>
        </w:r>
        <w:r w:rsidR="003B4A50">
          <w:rPr>
            <w:webHidden/>
          </w:rPr>
          <w:fldChar w:fldCharType="end"/>
        </w:r>
      </w:hyperlink>
    </w:p>
    <w:p w:rsidR="003B4A50" w:rsidRDefault="00853553" w14:paraId="6DC7D933" w14:textId="77777777">
      <w:pPr>
        <w:pStyle w:val="TOC2"/>
        <w:rPr>
          <w:rFonts w:asciiTheme="minorHAnsi" w:hAnsiTheme="minorHAnsi" w:eastAsiaTheme="minorEastAsia" w:cstheme="minorBidi"/>
          <w:sz w:val="22"/>
          <w:szCs w:val="22"/>
        </w:rPr>
      </w:pPr>
      <w:hyperlink w:history="1" w:anchor="_Toc38531518">
        <w:r w:rsidRPr="006B09EC" w:rsidR="003B4A50">
          <w:rPr>
            <w:rStyle w:val="Hyperlink"/>
          </w:rPr>
          <w:t>2. Purpose and Use of Information</w:t>
        </w:r>
        <w:r w:rsidR="003B4A50">
          <w:rPr>
            <w:webHidden/>
          </w:rPr>
          <w:tab/>
        </w:r>
        <w:r w:rsidR="003B4A50">
          <w:rPr>
            <w:webHidden/>
          </w:rPr>
          <w:fldChar w:fldCharType="begin"/>
        </w:r>
        <w:r w:rsidR="003B4A50">
          <w:rPr>
            <w:webHidden/>
          </w:rPr>
          <w:instrText xml:space="preserve"> PAGEREF _Toc38531518 \h </w:instrText>
        </w:r>
        <w:r w:rsidR="003B4A50">
          <w:rPr>
            <w:webHidden/>
          </w:rPr>
        </w:r>
        <w:r w:rsidR="003B4A50">
          <w:rPr>
            <w:webHidden/>
          </w:rPr>
          <w:fldChar w:fldCharType="separate"/>
        </w:r>
        <w:r w:rsidR="003B4A50">
          <w:rPr>
            <w:webHidden/>
          </w:rPr>
          <w:t>6</w:t>
        </w:r>
        <w:r w:rsidR="003B4A50">
          <w:rPr>
            <w:webHidden/>
          </w:rPr>
          <w:fldChar w:fldCharType="end"/>
        </w:r>
      </w:hyperlink>
    </w:p>
    <w:p w:rsidR="003B4A50" w:rsidRDefault="00853553" w14:paraId="26E4717D" w14:textId="77777777">
      <w:pPr>
        <w:pStyle w:val="TOC2"/>
        <w:rPr>
          <w:rFonts w:asciiTheme="minorHAnsi" w:hAnsiTheme="minorHAnsi" w:eastAsiaTheme="minorEastAsia" w:cstheme="minorBidi"/>
          <w:sz w:val="22"/>
          <w:szCs w:val="22"/>
        </w:rPr>
      </w:pPr>
      <w:hyperlink w:history="1" w:anchor="_Toc38531519">
        <w:r w:rsidRPr="006B09EC" w:rsidR="003B4A50">
          <w:rPr>
            <w:rStyle w:val="Hyperlink"/>
          </w:rPr>
          <w:t>3. Use of Improved Information Technology</w:t>
        </w:r>
        <w:r w:rsidR="003B4A50">
          <w:rPr>
            <w:webHidden/>
          </w:rPr>
          <w:tab/>
        </w:r>
        <w:r w:rsidR="003B4A50">
          <w:rPr>
            <w:webHidden/>
          </w:rPr>
          <w:fldChar w:fldCharType="begin"/>
        </w:r>
        <w:r w:rsidR="003B4A50">
          <w:rPr>
            <w:webHidden/>
          </w:rPr>
          <w:instrText xml:space="preserve"> PAGEREF _Toc38531519 \h </w:instrText>
        </w:r>
        <w:r w:rsidR="003B4A50">
          <w:rPr>
            <w:webHidden/>
          </w:rPr>
        </w:r>
        <w:r w:rsidR="003B4A50">
          <w:rPr>
            <w:webHidden/>
          </w:rPr>
          <w:fldChar w:fldCharType="separate"/>
        </w:r>
        <w:r w:rsidR="003B4A50">
          <w:rPr>
            <w:webHidden/>
          </w:rPr>
          <w:t>8</w:t>
        </w:r>
        <w:r w:rsidR="003B4A50">
          <w:rPr>
            <w:webHidden/>
          </w:rPr>
          <w:fldChar w:fldCharType="end"/>
        </w:r>
      </w:hyperlink>
    </w:p>
    <w:p w:rsidR="003B4A50" w:rsidRDefault="00853553" w14:paraId="24E29AE8" w14:textId="77777777">
      <w:pPr>
        <w:pStyle w:val="TOC2"/>
        <w:rPr>
          <w:rFonts w:asciiTheme="minorHAnsi" w:hAnsiTheme="minorHAnsi" w:eastAsiaTheme="minorEastAsia" w:cstheme="minorBidi"/>
          <w:sz w:val="22"/>
          <w:szCs w:val="22"/>
        </w:rPr>
      </w:pPr>
      <w:hyperlink w:history="1" w:anchor="_Toc38531520">
        <w:r w:rsidRPr="006B09EC" w:rsidR="003B4A50">
          <w:rPr>
            <w:rStyle w:val="Hyperlink"/>
          </w:rPr>
          <w:t>4. Efforts to Identify Duplication</w:t>
        </w:r>
        <w:r w:rsidR="003B4A50">
          <w:rPr>
            <w:webHidden/>
          </w:rPr>
          <w:tab/>
        </w:r>
        <w:r w:rsidR="003B4A50">
          <w:rPr>
            <w:webHidden/>
          </w:rPr>
          <w:fldChar w:fldCharType="begin"/>
        </w:r>
        <w:r w:rsidR="003B4A50">
          <w:rPr>
            <w:webHidden/>
          </w:rPr>
          <w:instrText xml:space="preserve"> PAGEREF _Toc38531520 \h </w:instrText>
        </w:r>
        <w:r w:rsidR="003B4A50">
          <w:rPr>
            <w:webHidden/>
          </w:rPr>
        </w:r>
        <w:r w:rsidR="003B4A50">
          <w:rPr>
            <w:webHidden/>
          </w:rPr>
          <w:fldChar w:fldCharType="separate"/>
        </w:r>
        <w:r w:rsidR="003B4A50">
          <w:rPr>
            <w:webHidden/>
          </w:rPr>
          <w:t>9</w:t>
        </w:r>
        <w:r w:rsidR="003B4A50">
          <w:rPr>
            <w:webHidden/>
          </w:rPr>
          <w:fldChar w:fldCharType="end"/>
        </w:r>
      </w:hyperlink>
    </w:p>
    <w:p w:rsidR="003B4A50" w:rsidRDefault="00853553" w14:paraId="245D8F99" w14:textId="77777777">
      <w:pPr>
        <w:pStyle w:val="TOC2"/>
        <w:rPr>
          <w:rFonts w:asciiTheme="minorHAnsi" w:hAnsiTheme="minorHAnsi" w:eastAsiaTheme="minorEastAsia" w:cstheme="minorBidi"/>
          <w:sz w:val="22"/>
          <w:szCs w:val="22"/>
        </w:rPr>
      </w:pPr>
      <w:hyperlink w:history="1" w:anchor="_Toc38531521">
        <w:r w:rsidRPr="006B09EC" w:rsidR="003B4A50">
          <w:rPr>
            <w:rStyle w:val="Hyperlink"/>
          </w:rPr>
          <w:t>5. Involvement of Small Entities</w:t>
        </w:r>
        <w:r w:rsidR="003B4A50">
          <w:rPr>
            <w:webHidden/>
          </w:rPr>
          <w:tab/>
        </w:r>
        <w:r w:rsidR="003B4A50">
          <w:rPr>
            <w:webHidden/>
          </w:rPr>
          <w:fldChar w:fldCharType="begin"/>
        </w:r>
        <w:r w:rsidR="003B4A50">
          <w:rPr>
            <w:webHidden/>
          </w:rPr>
          <w:instrText xml:space="preserve"> PAGEREF _Toc38531521 \h </w:instrText>
        </w:r>
        <w:r w:rsidR="003B4A50">
          <w:rPr>
            <w:webHidden/>
          </w:rPr>
        </w:r>
        <w:r w:rsidR="003B4A50">
          <w:rPr>
            <w:webHidden/>
          </w:rPr>
          <w:fldChar w:fldCharType="separate"/>
        </w:r>
        <w:r w:rsidR="003B4A50">
          <w:rPr>
            <w:webHidden/>
          </w:rPr>
          <w:t>9</w:t>
        </w:r>
        <w:r w:rsidR="003B4A50">
          <w:rPr>
            <w:webHidden/>
          </w:rPr>
          <w:fldChar w:fldCharType="end"/>
        </w:r>
      </w:hyperlink>
    </w:p>
    <w:p w:rsidR="003B4A50" w:rsidRDefault="00853553" w14:paraId="345AA7D7" w14:textId="77777777">
      <w:pPr>
        <w:pStyle w:val="TOC2"/>
        <w:rPr>
          <w:rFonts w:asciiTheme="minorHAnsi" w:hAnsiTheme="minorHAnsi" w:eastAsiaTheme="minorEastAsia" w:cstheme="minorBidi"/>
          <w:sz w:val="22"/>
          <w:szCs w:val="22"/>
        </w:rPr>
      </w:pPr>
      <w:hyperlink w:history="1" w:anchor="_Toc38531522">
        <w:r w:rsidRPr="006B09EC" w:rsidR="003B4A50">
          <w:rPr>
            <w:rStyle w:val="Hyperlink"/>
          </w:rPr>
          <w:t>6. Consequences if Information Collected Less Frequently</w:t>
        </w:r>
        <w:r w:rsidR="003B4A50">
          <w:rPr>
            <w:webHidden/>
          </w:rPr>
          <w:tab/>
        </w:r>
        <w:r w:rsidR="003B4A50">
          <w:rPr>
            <w:webHidden/>
          </w:rPr>
          <w:fldChar w:fldCharType="begin"/>
        </w:r>
        <w:r w:rsidR="003B4A50">
          <w:rPr>
            <w:webHidden/>
          </w:rPr>
          <w:instrText xml:space="preserve"> PAGEREF _Toc38531522 \h </w:instrText>
        </w:r>
        <w:r w:rsidR="003B4A50">
          <w:rPr>
            <w:webHidden/>
          </w:rPr>
        </w:r>
        <w:r w:rsidR="003B4A50">
          <w:rPr>
            <w:webHidden/>
          </w:rPr>
          <w:fldChar w:fldCharType="separate"/>
        </w:r>
        <w:r w:rsidR="003B4A50">
          <w:rPr>
            <w:webHidden/>
          </w:rPr>
          <w:t>10</w:t>
        </w:r>
        <w:r w:rsidR="003B4A50">
          <w:rPr>
            <w:webHidden/>
          </w:rPr>
          <w:fldChar w:fldCharType="end"/>
        </w:r>
      </w:hyperlink>
    </w:p>
    <w:p w:rsidR="003B4A50" w:rsidRDefault="00853553" w14:paraId="14E5B2FB" w14:textId="77777777">
      <w:pPr>
        <w:pStyle w:val="TOC2"/>
        <w:rPr>
          <w:rFonts w:asciiTheme="minorHAnsi" w:hAnsiTheme="minorHAnsi" w:eastAsiaTheme="minorEastAsia" w:cstheme="minorBidi"/>
          <w:sz w:val="22"/>
          <w:szCs w:val="22"/>
        </w:rPr>
      </w:pPr>
      <w:hyperlink w:history="1" w:anchor="_Toc38531523">
        <w:r w:rsidRPr="006B09EC" w:rsidR="003B4A50">
          <w:rPr>
            <w:rStyle w:val="Hyperlink"/>
          </w:rPr>
          <w:t>7. Special Circumstances</w:t>
        </w:r>
        <w:r w:rsidR="003B4A50">
          <w:rPr>
            <w:webHidden/>
          </w:rPr>
          <w:tab/>
        </w:r>
        <w:r w:rsidR="003B4A50">
          <w:rPr>
            <w:webHidden/>
          </w:rPr>
          <w:fldChar w:fldCharType="begin"/>
        </w:r>
        <w:r w:rsidR="003B4A50">
          <w:rPr>
            <w:webHidden/>
          </w:rPr>
          <w:instrText xml:space="preserve"> PAGEREF _Toc38531523 \h </w:instrText>
        </w:r>
        <w:r w:rsidR="003B4A50">
          <w:rPr>
            <w:webHidden/>
          </w:rPr>
        </w:r>
        <w:r w:rsidR="003B4A50">
          <w:rPr>
            <w:webHidden/>
          </w:rPr>
          <w:fldChar w:fldCharType="separate"/>
        </w:r>
        <w:r w:rsidR="003B4A50">
          <w:rPr>
            <w:webHidden/>
          </w:rPr>
          <w:t>11</w:t>
        </w:r>
        <w:r w:rsidR="003B4A50">
          <w:rPr>
            <w:webHidden/>
          </w:rPr>
          <w:fldChar w:fldCharType="end"/>
        </w:r>
      </w:hyperlink>
    </w:p>
    <w:p w:rsidR="003B4A50" w:rsidRDefault="00853553" w14:paraId="4B1012C9" w14:textId="77777777">
      <w:pPr>
        <w:pStyle w:val="TOC2"/>
        <w:rPr>
          <w:rFonts w:asciiTheme="minorHAnsi" w:hAnsiTheme="minorHAnsi" w:eastAsiaTheme="minorEastAsia" w:cstheme="minorBidi"/>
          <w:sz w:val="22"/>
          <w:szCs w:val="22"/>
        </w:rPr>
      </w:pPr>
      <w:hyperlink w:history="1" w:anchor="_Toc38531524">
        <w:r w:rsidRPr="006B09EC" w:rsidR="003B4A50">
          <w:rPr>
            <w:rStyle w:val="Hyperlink"/>
          </w:rPr>
          <w:t>8. Federal Register Notice and Outside Consultations</w:t>
        </w:r>
        <w:r w:rsidR="003B4A50">
          <w:rPr>
            <w:webHidden/>
          </w:rPr>
          <w:tab/>
        </w:r>
        <w:r w:rsidR="003B4A50">
          <w:rPr>
            <w:webHidden/>
          </w:rPr>
          <w:fldChar w:fldCharType="begin"/>
        </w:r>
        <w:r w:rsidR="003B4A50">
          <w:rPr>
            <w:webHidden/>
          </w:rPr>
          <w:instrText xml:space="preserve"> PAGEREF _Toc38531524 \h </w:instrText>
        </w:r>
        <w:r w:rsidR="003B4A50">
          <w:rPr>
            <w:webHidden/>
          </w:rPr>
        </w:r>
        <w:r w:rsidR="003B4A50">
          <w:rPr>
            <w:webHidden/>
          </w:rPr>
          <w:fldChar w:fldCharType="separate"/>
        </w:r>
        <w:r w:rsidR="003B4A50">
          <w:rPr>
            <w:webHidden/>
          </w:rPr>
          <w:t>11</w:t>
        </w:r>
        <w:r w:rsidR="003B4A50">
          <w:rPr>
            <w:webHidden/>
          </w:rPr>
          <w:fldChar w:fldCharType="end"/>
        </w:r>
      </w:hyperlink>
    </w:p>
    <w:p w:rsidR="003B4A50" w:rsidRDefault="00853553" w14:paraId="42AD8D6C" w14:textId="77777777">
      <w:pPr>
        <w:pStyle w:val="TOC2"/>
        <w:rPr>
          <w:rFonts w:asciiTheme="minorHAnsi" w:hAnsiTheme="minorHAnsi" w:eastAsiaTheme="minorEastAsia" w:cstheme="minorBidi"/>
          <w:sz w:val="22"/>
          <w:szCs w:val="22"/>
        </w:rPr>
      </w:pPr>
      <w:hyperlink w:history="1" w:anchor="_Toc38531525">
        <w:r w:rsidRPr="006B09EC" w:rsidR="003B4A50">
          <w:rPr>
            <w:rStyle w:val="Hyperlink"/>
          </w:rPr>
          <w:t>9. Payments/Gifts to Respondents</w:t>
        </w:r>
        <w:r w:rsidR="003B4A50">
          <w:rPr>
            <w:webHidden/>
          </w:rPr>
          <w:tab/>
        </w:r>
        <w:r w:rsidR="003B4A50">
          <w:rPr>
            <w:webHidden/>
          </w:rPr>
          <w:fldChar w:fldCharType="begin"/>
        </w:r>
        <w:r w:rsidR="003B4A50">
          <w:rPr>
            <w:webHidden/>
          </w:rPr>
          <w:instrText xml:space="preserve"> PAGEREF _Toc38531525 \h </w:instrText>
        </w:r>
        <w:r w:rsidR="003B4A50">
          <w:rPr>
            <w:webHidden/>
          </w:rPr>
        </w:r>
        <w:r w:rsidR="003B4A50">
          <w:rPr>
            <w:webHidden/>
          </w:rPr>
          <w:fldChar w:fldCharType="separate"/>
        </w:r>
        <w:r w:rsidR="003B4A50">
          <w:rPr>
            <w:webHidden/>
          </w:rPr>
          <w:t>11</w:t>
        </w:r>
        <w:r w:rsidR="003B4A50">
          <w:rPr>
            <w:webHidden/>
          </w:rPr>
          <w:fldChar w:fldCharType="end"/>
        </w:r>
      </w:hyperlink>
    </w:p>
    <w:p w:rsidR="003B4A50" w:rsidRDefault="00853553" w14:paraId="1717515D" w14:textId="77777777">
      <w:pPr>
        <w:pStyle w:val="TOC2"/>
        <w:rPr>
          <w:rFonts w:asciiTheme="minorHAnsi" w:hAnsiTheme="minorHAnsi" w:eastAsiaTheme="minorEastAsia" w:cstheme="minorBidi"/>
          <w:sz w:val="22"/>
          <w:szCs w:val="22"/>
        </w:rPr>
      </w:pPr>
      <w:hyperlink w:history="1" w:anchor="_Toc38531526">
        <w:r w:rsidRPr="006B09EC" w:rsidR="003B4A50">
          <w:rPr>
            <w:rStyle w:val="Hyperlink"/>
          </w:rPr>
          <w:t>10. Assurance of Confidentiality</w:t>
        </w:r>
        <w:r w:rsidR="003B4A50">
          <w:rPr>
            <w:webHidden/>
          </w:rPr>
          <w:tab/>
        </w:r>
        <w:r w:rsidR="003B4A50">
          <w:rPr>
            <w:webHidden/>
          </w:rPr>
          <w:fldChar w:fldCharType="begin"/>
        </w:r>
        <w:r w:rsidR="003B4A50">
          <w:rPr>
            <w:webHidden/>
          </w:rPr>
          <w:instrText xml:space="preserve"> PAGEREF _Toc38531526 \h </w:instrText>
        </w:r>
        <w:r w:rsidR="003B4A50">
          <w:rPr>
            <w:webHidden/>
          </w:rPr>
        </w:r>
        <w:r w:rsidR="003B4A50">
          <w:rPr>
            <w:webHidden/>
          </w:rPr>
          <w:fldChar w:fldCharType="separate"/>
        </w:r>
        <w:r w:rsidR="003B4A50">
          <w:rPr>
            <w:webHidden/>
          </w:rPr>
          <w:t>14</w:t>
        </w:r>
        <w:r w:rsidR="003B4A50">
          <w:rPr>
            <w:webHidden/>
          </w:rPr>
          <w:fldChar w:fldCharType="end"/>
        </w:r>
      </w:hyperlink>
    </w:p>
    <w:p w:rsidR="003B4A50" w:rsidRDefault="00853553" w14:paraId="74990A30" w14:textId="77777777">
      <w:pPr>
        <w:pStyle w:val="TOC2"/>
        <w:rPr>
          <w:rFonts w:asciiTheme="minorHAnsi" w:hAnsiTheme="minorHAnsi" w:eastAsiaTheme="minorEastAsia" w:cstheme="minorBidi"/>
          <w:sz w:val="22"/>
          <w:szCs w:val="22"/>
        </w:rPr>
      </w:pPr>
      <w:hyperlink w:history="1" w:anchor="_Toc38531527">
        <w:r w:rsidRPr="006B09EC" w:rsidR="003B4A50">
          <w:rPr>
            <w:rStyle w:val="Hyperlink"/>
          </w:rPr>
          <w:t>11. Questions of a Sensitive Nature</w:t>
        </w:r>
        <w:r w:rsidR="003B4A50">
          <w:rPr>
            <w:webHidden/>
          </w:rPr>
          <w:tab/>
        </w:r>
        <w:r w:rsidR="003B4A50">
          <w:rPr>
            <w:webHidden/>
          </w:rPr>
          <w:fldChar w:fldCharType="begin"/>
        </w:r>
        <w:r w:rsidR="003B4A50">
          <w:rPr>
            <w:webHidden/>
          </w:rPr>
          <w:instrText xml:space="preserve"> PAGEREF _Toc38531527 \h </w:instrText>
        </w:r>
        <w:r w:rsidR="003B4A50">
          <w:rPr>
            <w:webHidden/>
          </w:rPr>
        </w:r>
        <w:r w:rsidR="003B4A50">
          <w:rPr>
            <w:webHidden/>
          </w:rPr>
          <w:fldChar w:fldCharType="separate"/>
        </w:r>
        <w:r w:rsidR="003B4A50">
          <w:rPr>
            <w:webHidden/>
          </w:rPr>
          <w:t>14</w:t>
        </w:r>
        <w:r w:rsidR="003B4A50">
          <w:rPr>
            <w:webHidden/>
          </w:rPr>
          <w:fldChar w:fldCharType="end"/>
        </w:r>
      </w:hyperlink>
    </w:p>
    <w:p w:rsidR="003B4A50" w:rsidRDefault="00853553" w14:paraId="2E28D67D" w14:textId="77777777">
      <w:pPr>
        <w:pStyle w:val="TOC2"/>
        <w:rPr>
          <w:rFonts w:asciiTheme="minorHAnsi" w:hAnsiTheme="minorHAnsi" w:eastAsiaTheme="minorEastAsia" w:cstheme="minorBidi"/>
          <w:sz w:val="22"/>
          <w:szCs w:val="22"/>
        </w:rPr>
      </w:pPr>
      <w:hyperlink w:history="1" w:anchor="_Toc38531528">
        <w:r w:rsidRPr="006B09EC" w:rsidR="003B4A50">
          <w:rPr>
            <w:rStyle w:val="Hyperlink"/>
          </w:rPr>
          <w:t>12. Estimates of Annualized Burden Hours and Costs</w:t>
        </w:r>
        <w:r w:rsidR="003B4A50">
          <w:rPr>
            <w:webHidden/>
          </w:rPr>
          <w:tab/>
        </w:r>
        <w:r w:rsidR="003B4A50">
          <w:rPr>
            <w:webHidden/>
          </w:rPr>
          <w:fldChar w:fldCharType="begin"/>
        </w:r>
        <w:r w:rsidR="003B4A50">
          <w:rPr>
            <w:webHidden/>
          </w:rPr>
          <w:instrText xml:space="preserve"> PAGEREF _Toc38531528 \h </w:instrText>
        </w:r>
        <w:r w:rsidR="003B4A50">
          <w:rPr>
            <w:webHidden/>
          </w:rPr>
        </w:r>
        <w:r w:rsidR="003B4A50">
          <w:rPr>
            <w:webHidden/>
          </w:rPr>
          <w:fldChar w:fldCharType="separate"/>
        </w:r>
        <w:r w:rsidR="003B4A50">
          <w:rPr>
            <w:webHidden/>
          </w:rPr>
          <w:t>14</w:t>
        </w:r>
        <w:r w:rsidR="003B4A50">
          <w:rPr>
            <w:webHidden/>
          </w:rPr>
          <w:fldChar w:fldCharType="end"/>
        </w:r>
      </w:hyperlink>
    </w:p>
    <w:p w:rsidR="003B4A50" w:rsidRDefault="00853553" w14:paraId="6FB94768" w14:textId="77777777">
      <w:pPr>
        <w:pStyle w:val="TOC2"/>
        <w:rPr>
          <w:rFonts w:asciiTheme="minorHAnsi" w:hAnsiTheme="minorHAnsi" w:eastAsiaTheme="minorEastAsia" w:cstheme="minorBidi"/>
          <w:sz w:val="22"/>
          <w:szCs w:val="22"/>
        </w:rPr>
      </w:pPr>
      <w:hyperlink w:history="1" w:anchor="_Toc38531529">
        <w:r w:rsidRPr="006B09EC" w:rsidR="003B4A50">
          <w:rPr>
            <w:rStyle w:val="Hyperlink"/>
          </w:rPr>
          <w:t>13. Estimates of Annualized Respondent Capital and Maintenance Costs</w:t>
        </w:r>
        <w:r w:rsidR="003B4A50">
          <w:rPr>
            <w:webHidden/>
          </w:rPr>
          <w:tab/>
        </w:r>
        <w:r w:rsidR="003B4A50">
          <w:rPr>
            <w:webHidden/>
          </w:rPr>
          <w:fldChar w:fldCharType="begin"/>
        </w:r>
        <w:r w:rsidR="003B4A50">
          <w:rPr>
            <w:webHidden/>
          </w:rPr>
          <w:instrText xml:space="preserve"> PAGEREF _Toc38531529 \h </w:instrText>
        </w:r>
        <w:r w:rsidR="003B4A50">
          <w:rPr>
            <w:webHidden/>
          </w:rPr>
        </w:r>
        <w:r w:rsidR="003B4A50">
          <w:rPr>
            <w:webHidden/>
          </w:rPr>
          <w:fldChar w:fldCharType="separate"/>
        </w:r>
        <w:r w:rsidR="003B4A50">
          <w:rPr>
            <w:webHidden/>
          </w:rPr>
          <w:t>18</w:t>
        </w:r>
        <w:r w:rsidR="003B4A50">
          <w:rPr>
            <w:webHidden/>
          </w:rPr>
          <w:fldChar w:fldCharType="end"/>
        </w:r>
      </w:hyperlink>
    </w:p>
    <w:p w:rsidR="003B4A50" w:rsidRDefault="00853553" w14:paraId="31F5645B" w14:textId="77777777">
      <w:pPr>
        <w:pStyle w:val="TOC2"/>
        <w:rPr>
          <w:rFonts w:asciiTheme="minorHAnsi" w:hAnsiTheme="minorHAnsi" w:eastAsiaTheme="minorEastAsia" w:cstheme="minorBidi"/>
          <w:sz w:val="22"/>
          <w:szCs w:val="22"/>
        </w:rPr>
      </w:pPr>
      <w:hyperlink w:history="1" w:anchor="_Toc38531530">
        <w:r w:rsidRPr="006B09EC" w:rsidR="003B4A50">
          <w:rPr>
            <w:rStyle w:val="Hyperlink"/>
          </w:rPr>
          <w:t>14. Estimates of Annualized Cost to the Government</w:t>
        </w:r>
        <w:r w:rsidR="003B4A50">
          <w:rPr>
            <w:webHidden/>
          </w:rPr>
          <w:tab/>
        </w:r>
        <w:r w:rsidR="003B4A50">
          <w:rPr>
            <w:webHidden/>
          </w:rPr>
          <w:fldChar w:fldCharType="begin"/>
        </w:r>
        <w:r w:rsidR="003B4A50">
          <w:rPr>
            <w:webHidden/>
          </w:rPr>
          <w:instrText xml:space="preserve"> PAGEREF _Toc38531530 \h </w:instrText>
        </w:r>
        <w:r w:rsidR="003B4A50">
          <w:rPr>
            <w:webHidden/>
          </w:rPr>
        </w:r>
        <w:r w:rsidR="003B4A50">
          <w:rPr>
            <w:webHidden/>
          </w:rPr>
          <w:fldChar w:fldCharType="separate"/>
        </w:r>
        <w:r w:rsidR="003B4A50">
          <w:rPr>
            <w:webHidden/>
          </w:rPr>
          <w:t>18</w:t>
        </w:r>
        <w:r w:rsidR="003B4A50">
          <w:rPr>
            <w:webHidden/>
          </w:rPr>
          <w:fldChar w:fldCharType="end"/>
        </w:r>
      </w:hyperlink>
    </w:p>
    <w:p w:rsidR="003B4A50" w:rsidRDefault="00853553" w14:paraId="2E17CF67" w14:textId="77777777">
      <w:pPr>
        <w:pStyle w:val="TOC2"/>
        <w:rPr>
          <w:rFonts w:asciiTheme="minorHAnsi" w:hAnsiTheme="minorHAnsi" w:eastAsiaTheme="minorEastAsia" w:cstheme="minorBidi"/>
          <w:sz w:val="22"/>
          <w:szCs w:val="22"/>
        </w:rPr>
      </w:pPr>
      <w:hyperlink w:history="1" w:anchor="_Toc38531531">
        <w:r w:rsidRPr="006B09EC" w:rsidR="003B4A50">
          <w:rPr>
            <w:rStyle w:val="Hyperlink"/>
          </w:rPr>
          <w:t>15. Changes in Hour Burden</w:t>
        </w:r>
        <w:r w:rsidR="003B4A50">
          <w:rPr>
            <w:webHidden/>
          </w:rPr>
          <w:tab/>
        </w:r>
        <w:r w:rsidR="003B4A50">
          <w:rPr>
            <w:webHidden/>
          </w:rPr>
          <w:fldChar w:fldCharType="begin"/>
        </w:r>
        <w:r w:rsidR="003B4A50">
          <w:rPr>
            <w:webHidden/>
          </w:rPr>
          <w:instrText xml:space="preserve"> PAGEREF _Toc38531531 \h </w:instrText>
        </w:r>
        <w:r w:rsidR="003B4A50">
          <w:rPr>
            <w:webHidden/>
          </w:rPr>
        </w:r>
        <w:r w:rsidR="003B4A50">
          <w:rPr>
            <w:webHidden/>
          </w:rPr>
          <w:fldChar w:fldCharType="separate"/>
        </w:r>
        <w:r w:rsidR="003B4A50">
          <w:rPr>
            <w:webHidden/>
          </w:rPr>
          <w:t>20</w:t>
        </w:r>
        <w:r w:rsidR="003B4A50">
          <w:rPr>
            <w:webHidden/>
          </w:rPr>
          <w:fldChar w:fldCharType="end"/>
        </w:r>
      </w:hyperlink>
    </w:p>
    <w:p w:rsidR="003B4A50" w:rsidRDefault="00853553" w14:paraId="627C5BD0" w14:textId="77777777">
      <w:pPr>
        <w:pStyle w:val="TOC2"/>
        <w:rPr>
          <w:rFonts w:asciiTheme="minorHAnsi" w:hAnsiTheme="minorHAnsi" w:eastAsiaTheme="minorEastAsia" w:cstheme="minorBidi"/>
          <w:sz w:val="22"/>
          <w:szCs w:val="22"/>
        </w:rPr>
      </w:pPr>
      <w:hyperlink w:history="1" w:anchor="_Toc38531532">
        <w:r w:rsidRPr="006B09EC" w:rsidR="003B4A50">
          <w:rPr>
            <w:rStyle w:val="Hyperlink"/>
          </w:rPr>
          <w:t>16. Time Schedule, Publication and Analysis Plans</w:t>
        </w:r>
        <w:r w:rsidR="003B4A50">
          <w:rPr>
            <w:webHidden/>
          </w:rPr>
          <w:tab/>
        </w:r>
        <w:r w:rsidR="003B4A50">
          <w:rPr>
            <w:webHidden/>
          </w:rPr>
          <w:fldChar w:fldCharType="begin"/>
        </w:r>
        <w:r w:rsidR="003B4A50">
          <w:rPr>
            <w:webHidden/>
          </w:rPr>
          <w:instrText xml:space="preserve"> PAGEREF _Toc38531532 \h </w:instrText>
        </w:r>
        <w:r w:rsidR="003B4A50">
          <w:rPr>
            <w:webHidden/>
          </w:rPr>
        </w:r>
        <w:r w:rsidR="003B4A50">
          <w:rPr>
            <w:webHidden/>
          </w:rPr>
          <w:fldChar w:fldCharType="separate"/>
        </w:r>
        <w:r w:rsidR="003B4A50">
          <w:rPr>
            <w:webHidden/>
          </w:rPr>
          <w:t>20</w:t>
        </w:r>
        <w:r w:rsidR="003B4A50">
          <w:rPr>
            <w:webHidden/>
          </w:rPr>
          <w:fldChar w:fldCharType="end"/>
        </w:r>
      </w:hyperlink>
    </w:p>
    <w:p w:rsidR="003B4A50" w:rsidRDefault="00853553" w14:paraId="57DB19A5" w14:textId="77777777">
      <w:pPr>
        <w:pStyle w:val="TOC2"/>
        <w:rPr>
          <w:rFonts w:asciiTheme="minorHAnsi" w:hAnsiTheme="minorHAnsi" w:eastAsiaTheme="minorEastAsia" w:cstheme="minorBidi"/>
          <w:sz w:val="22"/>
          <w:szCs w:val="22"/>
        </w:rPr>
      </w:pPr>
      <w:hyperlink w:history="1" w:anchor="_Toc38531533">
        <w:r w:rsidRPr="006B09EC" w:rsidR="003B4A50">
          <w:rPr>
            <w:rStyle w:val="Hyperlink"/>
          </w:rPr>
          <w:t>17. Exemption for Display of Expiration Date</w:t>
        </w:r>
        <w:r w:rsidR="003B4A50">
          <w:rPr>
            <w:webHidden/>
          </w:rPr>
          <w:tab/>
        </w:r>
        <w:r w:rsidR="003B4A50">
          <w:rPr>
            <w:webHidden/>
          </w:rPr>
          <w:fldChar w:fldCharType="begin"/>
        </w:r>
        <w:r w:rsidR="003B4A50">
          <w:rPr>
            <w:webHidden/>
          </w:rPr>
          <w:instrText xml:space="preserve"> PAGEREF _Toc38531533 \h </w:instrText>
        </w:r>
        <w:r w:rsidR="003B4A50">
          <w:rPr>
            <w:webHidden/>
          </w:rPr>
        </w:r>
        <w:r w:rsidR="003B4A50">
          <w:rPr>
            <w:webHidden/>
          </w:rPr>
          <w:fldChar w:fldCharType="separate"/>
        </w:r>
        <w:r w:rsidR="003B4A50">
          <w:rPr>
            <w:webHidden/>
          </w:rPr>
          <w:t>22</w:t>
        </w:r>
        <w:r w:rsidR="003B4A50">
          <w:rPr>
            <w:webHidden/>
          </w:rPr>
          <w:fldChar w:fldCharType="end"/>
        </w:r>
      </w:hyperlink>
    </w:p>
    <w:p w:rsidR="003B4A50" w:rsidRDefault="00853553" w14:paraId="0B73BC0A" w14:textId="77777777">
      <w:pPr>
        <w:pStyle w:val="TOC2"/>
        <w:rPr>
          <w:rFonts w:asciiTheme="minorHAnsi" w:hAnsiTheme="minorHAnsi" w:eastAsiaTheme="minorEastAsia" w:cstheme="minorBidi"/>
          <w:sz w:val="22"/>
          <w:szCs w:val="22"/>
        </w:rPr>
      </w:pPr>
      <w:hyperlink w:history="1" w:anchor="_Toc38531534">
        <w:r w:rsidRPr="006B09EC" w:rsidR="003B4A50">
          <w:rPr>
            <w:rStyle w:val="Hyperlink"/>
          </w:rPr>
          <w:t>List of Attachments</w:t>
        </w:r>
        <w:r w:rsidR="003B4A50">
          <w:rPr>
            <w:webHidden/>
          </w:rPr>
          <w:tab/>
        </w:r>
        <w:r w:rsidR="003B4A50">
          <w:rPr>
            <w:webHidden/>
          </w:rPr>
          <w:fldChar w:fldCharType="begin"/>
        </w:r>
        <w:r w:rsidR="003B4A50">
          <w:rPr>
            <w:webHidden/>
          </w:rPr>
          <w:instrText xml:space="preserve"> PAGEREF _Toc38531534 \h </w:instrText>
        </w:r>
        <w:r w:rsidR="003B4A50">
          <w:rPr>
            <w:webHidden/>
          </w:rPr>
        </w:r>
        <w:r w:rsidR="003B4A50">
          <w:rPr>
            <w:webHidden/>
          </w:rPr>
          <w:fldChar w:fldCharType="separate"/>
        </w:r>
        <w:r w:rsidR="003B4A50">
          <w:rPr>
            <w:webHidden/>
          </w:rPr>
          <w:t>22</w:t>
        </w:r>
        <w:r w:rsidR="003B4A50">
          <w:rPr>
            <w:webHidden/>
          </w:rPr>
          <w:fldChar w:fldCharType="end"/>
        </w:r>
      </w:hyperlink>
    </w:p>
    <w:p w:rsidR="003B4A50" w:rsidRDefault="00853553" w14:paraId="72019117" w14:textId="77777777">
      <w:pPr>
        <w:pStyle w:val="TOC2"/>
        <w:rPr>
          <w:rFonts w:asciiTheme="minorHAnsi" w:hAnsiTheme="minorHAnsi" w:eastAsiaTheme="minorEastAsia" w:cstheme="minorBidi"/>
          <w:sz w:val="22"/>
          <w:szCs w:val="22"/>
        </w:rPr>
      </w:pPr>
      <w:hyperlink w:history="1" w:anchor="_Toc38531535">
        <w:r w:rsidRPr="006B09EC" w:rsidR="003B4A50">
          <w:rPr>
            <w:rStyle w:val="Hyperlink"/>
          </w:rPr>
          <w:t>Citations</w:t>
        </w:r>
        <w:r w:rsidR="003B4A50">
          <w:rPr>
            <w:webHidden/>
          </w:rPr>
          <w:tab/>
        </w:r>
        <w:r w:rsidR="003B4A50">
          <w:rPr>
            <w:webHidden/>
          </w:rPr>
          <w:fldChar w:fldCharType="begin"/>
        </w:r>
        <w:r w:rsidR="003B4A50">
          <w:rPr>
            <w:webHidden/>
          </w:rPr>
          <w:instrText xml:space="preserve"> PAGEREF _Toc38531535 \h </w:instrText>
        </w:r>
        <w:r w:rsidR="003B4A50">
          <w:rPr>
            <w:webHidden/>
          </w:rPr>
        </w:r>
        <w:r w:rsidR="003B4A50">
          <w:rPr>
            <w:webHidden/>
          </w:rPr>
          <w:fldChar w:fldCharType="separate"/>
        </w:r>
        <w:r w:rsidR="003B4A50">
          <w:rPr>
            <w:webHidden/>
          </w:rPr>
          <w:t>23</w:t>
        </w:r>
        <w:r w:rsidR="003B4A50">
          <w:rPr>
            <w:webHidden/>
          </w:rPr>
          <w:fldChar w:fldCharType="end"/>
        </w:r>
      </w:hyperlink>
    </w:p>
    <w:p w:rsidRPr="003600B8" w:rsidR="009B633D" w:rsidP="003600B8" w:rsidRDefault="00D94803" w14:paraId="09943647" w14:textId="0A32DEC9">
      <w:r>
        <w:rPr>
          <w:b/>
          <w:noProof/>
        </w:rPr>
        <w:fldChar w:fldCharType="end"/>
      </w:r>
    </w:p>
    <w:p w:rsidR="00900F8A" w:rsidP="0098792B" w:rsidRDefault="00900F8A" w14:paraId="34137B1B" w14:textId="77777777">
      <w:pPr>
        <w:pStyle w:val="Heading1"/>
        <w:spacing w:after="240"/>
        <w:rPr>
          <w:sz w:val="24"/>
          <w:szCs w:val="24"/>
        </w:rPr>
        <w:sectPr w:rsidR="00900F8A" w:rsidSect="00900F8A">
          <w:footerReference w:type="default" r:id="rId10"/>
          <w:endnotePr>
            <w:numFmt w:val="decimal"/>
          </w:endnotePr>
          <w:pgSz w:w="12240" w:h="15840" w:code="1"/>
          <w:pgMar w:top="1440" w:right="1800" w:bottom="1440" w:left="1800" w:header="720" w:footer="720" w:gutter="0"/>
          <w:pgNumType w:fmt="lowerRoman" w:start="1"/>
          <w:cols w:space="720"/>
          <w:docGrid w:linePitch="360"/>
        </w:sectPr>
      </w:pPr>
      <w:bookmarkStart w:name="_Toc151782175" w:id="0"/>
      <w:bookmarkStart w:name="_Toc158526215" w:id="1"/>
    </w:p>
    <w:p w:rsidRPr="006014DB" w:rsidR="009B633D" w:rsidP="0098792B" w:rsidRDefault="009B633D" w14:paraId="15F2FB1E" w14:textId="5AD8391A">
      <w:pPr>
        <w:pStyle w:val="Heading1"/>
        <w:spacing w:after="240"/>
        <w:rPr>
          <w:sz w:val="24"/>
          <w:szCs w:val="24"/>
        </w:rPr>
      </w:pPr>
      <w:bookmarkStart w:name="_Toc38531516" w:id="2"/>
      <w:r w:rsidRPr="006014DB">
        <w:rPr>
          <w:sz w:val="24"/>
          <w:szCs w:val="24"/>
        </w:rPr>
        <w:lastRenderedPageBreak/>
        <w:t>A. Justification</w:t>
      </w:r>
      <w:bookmarkEnd w:id="0"/>
      <w:bookmarkEnd w:id="1"/>
      <w:bookmarkEnd w:id="2"/>
    </w:p>
    <w:p w:rsidR="009B633D" w:rsidP="003600B8" w:rsidRDefault="009B633D" w14:paraId="619A5485" w14:textId="630A860A">
      <w:pPr>
        <w:pStyle w:val="Heading2"/>
      </w:pPr>
      <w:bookmarkStart w:name="_Toc151782176" w:id="3"/>
      <w:bookmarkStart w:name="_Toc158526216" w:id="4"/>
      <w:bookmarkStart w:name="_Toc38531517" w:id="5"/>
      <w:r w:rsidRPr="00620475">
        <w:t xml:space="preserve">1. </w:t>
      </w:r>
      <w:bookmarkEnd w:id="3"/>
      <w:bookmarkEnd w:id="4"/>
      <w:r w:rsidRPr="00620475" w:rsidR="006014DB">
        <w:t xml:space="preserve">Circumstances that </w:t>
      </w:r>
      <w:r w:rsidRPr="003600B8" w:rsidR="00DB7093">
        <w:t>Make</w:t>
      </w:r>
      <w:r w:rsidRPr="00620475" w:rsidR="00DB7093">
        <w:t xml:space="preserve"> </w:t>
      </w:r>
      <w:r w:rsidRPr="003600B8" w:rsidR="006014DB">
        <w:t>the</w:t>
      </w:r>
      <w:r w:rsidRPr="00620475" w:rsidR="006014DB">
        <w:t xml:space="preserve"> </w:t>
      </w:r>
      <w:r w:rsidRPr="00620475" w:rsidR="00DB7093">
        <w:t xml:space="preserve">Collection </w:t>
      </w:r>
      <w:r w:rsidRPr="00620475" w:rsidR="006014DB">
        <w:t xml:space="preserve">of </w:t>
      </w:r>
      <w:r w:rsidRPr="00620475" w:rsidR="00DB7093">
        <w:t>Information Necessary</w:t>
      </w:r>
      <w:bookmarkEnd w:id="5"/>
    </w:p>
    <w:p w:rsidR="00606400" w:rsidP="003600B8" w:rsidRDefault="000A140E" w14:paraId="210377E8" w14:textId="6F258F34">
      <w:pPr>
        <w:pStyle w:val="BodyText"/>
      </w:pPr>
      <w:r>
        <w:t xml:space="preserve">The mission of the Agency for Healthcare Research and Quality (AHRQ) set out in its authorizing legislation, The Healthcare Research and Quality Act of 1999 (see </w:t>
      </w:r>
      <w:hyperlink w:history="1" r:id="rId11">
        <w:r w:rsidR="00BC053E">
          <w:rPr>
            <w:rStyle w:val="Hyperlink"/>
          </w:rPr>
          <w:t>https://www.ahrq.gov/policymakers/hrqa99a.html</w:t>
        </w:r>
      </w:hyperlink>
      <w:r>
        <w:t xml:space="preserve">),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w:t>
      </w:r>
      <w:r w:rsidRPr="003600B8">
        <w:t>conditions</w:t>
      </w:r>
      <w:r>
        <w:t>.  AHRQ shall promote health care quality improvement by conducting and supporting:</w:t>
      </w:r>
      <w:r w:rsidR="00606400">
        <w:tab/>
      </w:r>
    </w:p>
    <w:p w:rsidRPr="00DB7093" w:rsidR="00325B9C" w:rsidP="00DB7093" w:rsidRDefault="00DB1E0F" w14:paraId="4A609140" w14:textId="17C55F86">
      <w:pPr>
        <w:pStyle w:val="Numbers"/>
      </w:pPr>
      <w:r w:rsidRPr="00DB7093">
        <w:t xml:space="preserve">Research </w:t>
      </w:r>
      <w:r w:rsidRPr="00DB7093" w:rsidR="00606400">
        <w:t>that develops and presents scientific evidence regardi</w:t>
      </w:r>
      <w:r w:rsidRPr="00DB7093" w:rsidR="00AA1DDC">
        <w:t>ng all aspects of health care</w:t>
      </w:r>
      <w:r w:rsidRPr="00DB7093" w:rsidR="00325B9C">
        <w:t>;</w:t>
      </w:r>
      <w:r w:rsidRPr="00DB7093" w:rsidR="00B645ED">
        <w:t xml:space="preserve"> and</w:t>
      </w:r>
    </w:p>
    <w:p w:rsidRPr="00DB7093" w:rsidR="00B645ED" w:rsidP="00DB7093" w:rsidRDefault="00B645ED" w14:paraId="2A1DC486" w14:textId="1A3E1BBC">
      <w:pPr>
        <w:pStyle w:val="Numbers"/>
      </w:pPr>
      <w:r w:rsidRPr="00DB7093">
        <w:t>the synthesis and dissemination of available scientific evidence for use by patients, consumers, practitioners, providers, purchasers, policy makers, and educators; and</w:t>
      </w:r>
    </w:p>
    <w:p w:rsidRPr="00DB7093" w:rsidR="002722F2" w:rsidP="00DB7093" w:rsidRDefault="00B645ED" w14:paraId="489B5EC6" w14:textId="7D8D2273">
      <w:pPr>
        <w:pStyle w:val="Numbers"/>
      </w:pPr>
      <w:proofErr w:type="gramStart"/>
      <w:r w:rsidRPr="00DB7093">
        <w:t>initiatives</w:t>
      </w:r>
      <w:proofErr w:type="gramEnd"/>
      <w:r w:rsidRPr="00DB7093">
        <w:t xml:space="preserve"> to advance private and public efforts to improve health care quality.</w:t>
      </w:r>
    </w:p>
    <w:p w:rsidR="008450C0" w:rsidP="003600B8" w:rsidRDefault="008450C0" w14:paraId="719D197B" w14:textId="0B8FB3F0">
      <w:pPr>
        <w:pStyle w:val="BodyText"/>
      </w:pPr>
      <w: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Pr="009B33CF" w:rsidR="00C625BB" w:rsidP="0081520C" w:rsidRDefault="00C625BB" w14:paraId="091DA25F" w14:textId="52EF2E3C">
      <w:pPr>
        <w:pStyle w:val="Heading4"/>
      </w:pPr>
      <w:r w:rsidRPr="009B33CF">
        <w:t xml:space="preserve">Project Overview and Alignment with </w:t>
      </w:r>
      <w:r w:rsidRPr="003600B8">
        <w:t>AHRQ</w:t>
      </w:r>
      <w:r w:rsidRPr="009B33CF">
        <w:t xml:space="preserve"> Mission</w:t>
      </w:r>
    </w:p>
    <w:p w:rsidRPr="008628B0" w:rsidR="008628B0" w:rsidP="003600B8" w:rsidRDefault="008628B0" w14:paraId="76065548" w14:textId="47828567">
      <w:pPr>
        <w:pStyle w:val="BodyText"/>
      </w:pPr>
      <w:r w:rsidRPr="008628B0">
        <w:t>The project “</w:t>
      </w:r>
      <w:r w:rsidRPr="00DB1E0F" w:rsidR="004D6B4C">
        <w:rPr>
          <w:i/>
        </w:rPr>
        <w:t>Identifying and Testing Strategies for Management of Opioid Use and Misuse in Older Adults in Primary Care Practices</w:t>
      </w:r>
      <w:r w:rsidRPr="008628B0">
        <w:t xml:space="preserve">” fully supports AHRQ’s mission. </w:t>
      </w:r>
      <w:r w:rsidRPr="004D6B4C" w:rsidR="004D6B4C">
        <w:t xml:space="preserve">The </w:t>
      </w:r>
      <w:r w:rsidR="004D6B4C">
        <w:t>goals</w:t>
      </w:r>
      <w:r w:rsidRPr="004D6B4C" w:rsidR="004D6B4C">
        <w:t xml:space="preserve"> of this project </w:t>
      </w:r>
      <w:r w:rsidR="00C63B36">
        <w:t>are</w:t>
      </w:r>
      <w:r w:rsidRPr="004D6B4C" w:rsidR="004D6B4C">
        <w:t xml:space="preserve"> to assess and describe the current prevalence, awareness, and management of opioid use</w:t>
      </w:r>
      <w:r w:rsidR="00FE2B64">
        <w:t xml:space="preserve">, </w:t>
      </w:r>
      <w:r w:rsidRPr="004D6B4C" w:rsidR="004D6B4C">
        <w:t>misuse</w:t>
      </w:r>
      <w:r w:rsidR="00FE2B64">
        <w:t>, and abuse</w:t>
      </w:r>
      <w:r w:rsidRPr="004D6B4C" w:rsidR="004D6B4C">
        <w:t xml:space="preserve"> in older adults</w:t>
      </w:r>
      <w:r w:rsidR="004D6B4C">
        <w:t>,</w:t>
      </w:r>
      <w:r w:rsidRPr="004D6B4C" w:rsidR="004D6B4C">
        <w:t xml:space="preserve"> and identify gaps and areas of needed research. </w:t>
      </w:r>
      <w:r w:rsidR="004D6B4C">
        <w:t>Additionally</w:t>
      </w:r>
      <w:r w:rsidRPr="004D6B4C" w:rsidR="004D6B4C">
        <w:t xml:space="preserve">, this project will support primary care practices </w:t>
      </w:r>
      <w:r w:rsidR="00441E08">
        <w:t xml:space="preserve">(PCP) </w:t>
      </w:r>
      <w:r w:rsidRPr="004D6B4C" w:rsidR="004D6B4C">
        <w:t xml:space="preserve">in developing and testing innovative strategies, approaches, and/or tools for opioid management within the context of facilitated learning </w:t>
      </w:r>
      <w:proofErr w:type="spellStart"/>
      <w:r w:rsidRPr="004D6B4C" w:rsidR="004D6B4C">
        <w:t>collaboratives</w:t>
      </w:r>
      <w:proofErr w:type="spellEnd"/>
      <w:r w:rsidRPr="004D6B4C" w:rsidR="004D6B4C">
        <w:t xml:space="preserve">, culminating in a </w:t>
      </w:r>
      <w:r w:rsidR="00441E08">
        <w:t>C</w:t>
      </w:r>
      <w:r w:rsidRPr="004D6B4C" w:rsidR="00441E08">
        <w:t xml:space="preserve">ompendium </w:t>
      </w:r>
      <w:r w:rsidRPr="004D6B4C" w:rsidR="004D6B4C">
        <w:t xml:space="preserve">of </w:t>
      </w:r>
      <w:r w:rsidR="00441E08">
        <w:t>S</w:t>
      </w:r>
      <w:r w:rsidRPr="004D6B4C" w:rsidR="00441E08">
        <w:t xml:space="preserve">trategies </w:t>
      </w:r>
      <w:r w:rsidRPr="004D6B4C" w:rsidR="004D6B4C">
        <w:t>for opioid management in older adults in primary care settings</w:t>
      </w:r>
      <w:r w:rsidRPr="008628B0">
        <w:t xml:space="preserve">. </w:t>
      </w:r>
    </w:p>
    <w:p w:rsidRPr="00717D37" w:rsidR="007A77FE" w:rsidP="003600B8" w:rsidRDefault="007A77FE" w14:paraId="63A1C8CC" w14:textId="7ECEE650">
      <w:pPr>
        <w:pStyle w:val="BodyText"/>
        <w:rPr>
          <w:rFonts w:asciiTheme="minorHAnsi" w:hAnsiTheme="minorHAnsi" w:cstheme="minorHAnsi"/>
          <w:szCs w:val="22"/>
        </w:rPr>
      </w:pPr>
      <w:r w:rsidRPr="00A8033C">
        <w:t xml:space="preserve">On average, 130 Americans die every day from an opioid </w:t>
      </w:r>
      <w:r w:rsidRPr="00A8033C">
        <w:rPr>
          <w:rStyle w:val="Hyperlink"/>
          <w:color w:val="auto"/>
          <w:u w:val="none"/>
        </w:rPr>
        <w:t>overdose.</w:t>
      </w:r>
      <w:r w:rsidRPr="00A8033C">
        <w:rPr>
          <w:rStyle w:val="EndnoteReference"/>
        </w:rPr>
        <w:endnoteReference w:id="1"/>
      </w:r>
      <w:r w:rsidRPr="00A8033C">
        <w:t xml:space="preserve"> In 2016, the </w:t>
      </w:r>
      <w:r w:rsidRPr="00A8033C">
        <w:rPr>
          <w:rStyle w:val="Hyperlink"/>
          <w:color w:val="auto"/>
          <w:u w:val="none"/>
        </w:rPr>
        <w:t>National Survey on Drug Use and Health (NSDUH)</w:t>
      </w:r>
      <w:r w:rsidRPr="00A8033C">
        <w:t xml:space="preserve"> reported over 2 million individuals had an opioid use disorder (OUD), and over 11 million individuals reported misusing prescription opioids – 2 million for the first time.</w:t>
      </w:r>
      <w:r w:rsidRPr="00A8033C">
        <w:rPr>
          <w:rStyle w:val="EndnoteReference"/>
        </w:rPr>
        <w:endnoteReference w:id="2"/>
      </w:r>
      <w:r w:rsidRPr="00A8033C">
        <w:t xml:space="preserve"> The Department of Health and Human Services (HHS) declared the opioid epidemic a </w:t>
      </w:r>
      <w:r w:rsidRPr="00A8033C">
        <w:rPr>
          <w:rStyle w:val="Hyperlink"/>
          <w:color w:val="auto"/>
          <w:u w:val="none"/>
        </w:rPr>
        <w:t>public health emergency in 2017</w:t>
      </w:r>
      <w:r w:rsidRPr="00A8033C">
        <w:t>.</w:t>
      </w:r>
      <w:r w:rsidRPr="00A8033C">
        <w:rPr>
          <w:rStyle w:val="EndnoteReference"/>
        </w:rPr>
        <w:endnoteReference w:id="3"/>
      </w:r>
      <w:r w:rsidRPr="00A8033C">
        <w:t xml:space="preserve"> </w:t>
      </w:r>
      <w:r w:rsidRPr="00A8033C" w:rsidR="00C63B36">
        <w:t xml:space="preserve">In response to this national crisis, policymakers passed the bipartisan </w:t>
      </w:r>
      <w:r w:rsidRPr="00A8033C" w:rsidR="00A8033C">
        <w:t>SUPPORT Act</w:t>
      </w:r>
      <w:r w:rsidRPr="00A8033C" w:rsidR="00A8033C">
        <w:rPr>
          <w:rStyle w:val="EndnoteReference"/>
        </w:rPr>
        <w:endnoteReference w:id="4"/>
      </w:r>
      <w:r w:rsidRPr="00A8033C" w:rsidR="00A8033C">
        <w:t xml:space="preserve"> to </w:t>
      </w:r>
      <w:r w:rsidR="00A8033C">
        <w:t>mitigate the opioid crisis, which was signed into law on October 24, 2018. HHS devised a 5-point strategy to combat the opioid crisis, and the Agency for Healthcare Research and Quality (AHRQ) has done its part synthesizing the evidence, leveraging data and supporting practices.</w:t>
      </w:r>
      <w:r w:rsidR="00A8033C">
        <w:rPr>
          <w:rStyle w:val="EndnoteReference"/>
        </w:rPr>
        <w:endnoteReference w:id="5"/>
      </w:r>
      <w:r w:rsidRPr="00C63B36" w:rsidR="00C63B36">
        <w:t xml:space="preserve">  </w:t>
      </w:r>
    </w:p>
    <w:p w:rsidRPr="00C625BB" w:rsidR="00C625BB" w:rsidP="003600B8" w:rsidRDefault="007A77FE" w14:paraId="3F6AF1DB" w14:textId="052A5D2F">
      <w:pPr>
        <w:pStyle w:val="BodyText"/>
      </w:pPr>
      <w:r w:rsidRPr="007A77FE">
        <w:t>While there have been extensive efforts to address the opioid epidemic in general, there has been relatively little attention on the risks and effects of opioid use, misuse and OUD in older adults. The rate of opioid misuse in older adults increased in recent years compared to a decrease over the same time in the non-older adult population.</w:t>
      </w:r>
      <w:r w:rsidRPr="007A77FE">
        <w:rPr>
          <w:rStyle w:val="EndnoteReference"/>
          <w:color w:val="000000"/>
          <w:szCs w:val="22"/>
        </w:rPr>
        <w:endnoteReference w:id="6"/>
      </w:r>
      <w:r w:rsidRPr="007A77FE">
        <w:t xml:space="preserve"> Use of opioids among older adults is associated with increased risk of harm compared to a younger population due to changes in metabolism, physiology, drug-drug interactions, among other reasons.</w:t>
      </w:r>
      <w:r w:rsidRPr="007A77FE">
        <w:rPr>
          <w:rStyle w:val="EndnoteReference"/>
          <w:color w:val="000000"/>
          <w:szCs w:val="22"/>
        </w:rPr>
        <w:endnoteReference w:id="7"/>
      </w:r>
      <w:r w:rsidRPr="007A77FE">
        <w:t xml:space="preserve"> For several decades, opioid medications have been included in the Beers Criteria, a list of inappropriate medications for older adults,</w:t>
      </w:r>
      <w:r w:rsidRPr="007A77FE">
        <w:rPr>
          <w:rStyle w:val="EndnoteReference"/>
          <w:color w:val="000000"/>
          <w:szCs w:val="22"/>
        </w:rPr>
        <w:endnoteReference w:id="8"/>
      </w:r>
      <w:r w:rsidRPr="007A77FE">
        <w:t xml:space="preserve"> for whom the risk of harm is often greater than the benefit. A recent Healthcare Cost and Utilization Project (HCUP) report by AHRQ provides evidence of this risk of harm by documenting a significant increase in opioid-related inpatient admissions and emergency department visits among older adults between 2010 and 2015, paralleling the corresponding increase in use of opioids in Part D Medicare pharmacy data.</w:t>
      </w:r>
      <w:r w:rsidRPr="007A77FE">
        <w:rPr>
          <w:rStyle w:val="EndnoteReference"/>
          <w:color w:val="000000"/>
          <w:szCs w:val="22"/>
        </w:rPr>
        <w:endnoteReference w:id="9"/>
      </w:r>
      <w:r w:rsidRPr="007A77FE">
        <w:t xml:space="preserve"> The majority of opioid prescriptions provided to older adults are written by primary care clinicians,</w:t>
      </w:r>
      <w:r w:rsidRPr="007A77FE">
        <w:rPr>
          <w:rStyle w:val="EndnoteReference"/>
          <w:color w:val="000000"/>
          <w:szCs w:val="22"/>
        </w:rPr>
        <w:endnoteReference w:id="10"/>
      </w:r>
      <w:r w:rsidRPr="007A77FE">
        <w:t xml:space="preserve"> and older adults’ chronic pain is commonly managed in primary care settings. Therefore, any strategy designed to address opioid use, misuse, and abuse in older adults must be a good fit for the typical </w:t>
      </w:r>
      <w:r w:rsidR="00441E08">
        <w:t xml:space="preserve">PCP </w:t>
      </w:r>
      <w:r w:rsidRPr="007A77FE">
        <w:t>context (e.g., mapping onto workflows).</w:t>
      </w:r>
    </w:p>
    <w:p w:rsidR="00A8033C" w:rsidP="003600B8" w:rsidRDefault="00A8033C" w14:paraId="6032AC39" w14:textId="77777777">
      <w:pPr>
        <w:pStyle w:val="BodyText"/>
      </w:pPr>
      <w:r w:rsidRPr="00A8033C">
        <w:t>Strategies for managing opioid use are not one-size-fits-all; rather their effectiveness depends on how well they address the specific concerns and conditions of patients and how providers apply those strategies (to whom and when). Many conditions that cause chronic pain are more common in older adults than in younger adults</w:t>
      </w:r>
      <w:r w:rsidRPr="00A8033C">
        <w:rPr>
          <w:rStyle w:val="EndnoteReference"/>
          <w:szCs w:val="22"/>
        </w:rPr>
        <w:endnoteReference w:id="11"/>
      </w:r>
      <w:r w:rsidRPr="00A8033C">
        <w:t>, and opioids—and certain specific opioids— are more effective for treating some of these conditions than others. The risks of adverse medication consequences also differ for older adults, including falls, respiratory depression, negative cognitive effects, hazardous drug-drug interactions (e.g., concurrent prescriptions for opioids and benzodiazepines), and poorly coordinated care, among others.</w:t>
      </w:r>
      <w:r w:rsidRPr="00A8033C">
        <w:rPr>
          <w:rStyle w:val="EndnoteReference"/>
          <w:szCs w:val="22"/>
        </w:rPr>
        <w:endnoteReference w:id="12"/>
      </w:r>
      <w:r w:rsidRPr="00A8033C">
        <w:rPr>
          <w:vertAlign w:val="superscript"/>
        </w:rPr>
        <w:t>,</w:t>
      </w:r>
      <w:r w:rsidRPr="00A8033C">
        <w:rPr>
          <w:rStyle w:val="EndnoteReference"/>
          <w:szCs w:val="22"/>
        </w:rPr>
        <w:endnoteReference w:id="13"/>
      </w:r>
      <w:r w:rsidRPr="00A8033C">
        <w:rPr>
          <w:vertAlign w:val="superscript"/>
        </w:rPr>
        <w:t>,</w:t>
      </w:r>
      <w:r w:rsidRPr="00A8033C">
        <w:rPr>
          <w:rStyle w:val="EndnoteReference"/>
          <w:szCs w:val="22"/>
        </w:rPr>
        <w:endnoteReference w:id="14"/>
      </w:r>
      <w:r w:rsidRPr="00A8033C">
        <w:t xml:space="preserve">   How patients presenting with pain are treated also differs significantly from one prescriber to another. Provider practices differ according to patient characteristics including age, racial/ethnic status, geographic region of residence, gender, etc.</w:t>
      </w:r>
      <w:r w:rsidRPr="00A8033C">
        <w:rPr>
          <w:rStyle w:val="EndnoteReference"/>
          <w:szCs w:val="22"/>
        </w:rPr>
        <w:endnoteReference w:id="15"/>
      </w:r>
      <w:r w:rsidRPr="00A8033C">
        <w:rPr>
          <w:vertAlign w:val="superscript"/>
        </w:rPr>
        <w:t>,</w:t>
      </w:r>
      <w:r w:rsidRPr="00A8033C">
        <w:rPr>
          <w:rStyle w:val="EndnoteReference"/>
          <w:szCs w:val="22"/>
        </w:rPr>
        <w:endnoteReference w:id="16"/>
      </w:r>
      <w:r w:rsidRPr="00A8033C">
        <w:rPr>
          <w:vertAlign w:val="superscript"/>
        </w:rPr>
        <w:t>,</w:t>
      </w:r>
      <w:r w:rsidRPr="00A8033C">
        <w:rPr>
          <w:rStyle w:val="EndnoteReference"/>
          <w:szCs w:val="22"/>
        </w:rPr>
        <w:endnoteReference w:id="17"/>
      </w:r>
      <w:r w:rsidRPr="00A8033C">
        <w:rPr>
          <w:vertAlign w:val="superscript"/>
        </w:rPr>
        <w:t>,</w:t>
      </w:r>
      <w:r w:rsidRPr="00A8033C">
        <w:rPr>
          <w:rStyle w:val="EndnoteReference"/>
          <w:szCs w:val="22"/>
        </w:rPr>
        <w:endnoteReference w:id="18"/>
      </w:r>
      <w:r w:rsidRPr="00A8033C">
        <w:t xml:space="preserve"> Understanding how pain in older adults is treated in practice, as well as the risks and benefits of prescribing opioids and other medications to older adults is therefore a necessary initial step in our project.  </w:t>
      </w:r>
    </w:p>
    <w:p w:rsidRPr="009B33CF" w:rsidR="00C625BB" w:rsidP="0081520C" w:rsidRDefault="00C625BB" w14:paraId="45457904" w14:textId="372E0E7A">
      <w:pPr>
        <w:pStyle w:val="Heading4"/>
      </w:pPr>
      <w:r w:rsidRPr="009B33CF">
        <w:t xml:space="preserve">Project Goals and </w:t>
      </w:r>
      <w:r w:rsidRPr="00F4125A">
        <w:rPr>
          <w:rStyle w:val="HTMLAcronym"/>
        </w:rPr>
        <w:t>Data</w:t>
      </w:r>
      <w:r w:rsidRPr="009B33CF">
        <w:t xml:space="preserve"> Sources</w:t>
      </w:r>
    </w:p>
    <w:p w:rsidRPr="00A8033C" w:rsidR="00A8033C" w:rsidP="003600B8" w:rsidRDefault="00A8033C" w14:paraId="626691DB" w14:textId="3F435E2C">
      <w:pPr>
        <w:pStyle w:val="BodyText"/>
      </w:pPr>
      <w:r w:rsidRPr="00A8033C">
        <w:t>Through this project, AHRQ is addressing the gap in knowledge around opioid use in older adults</w:t>
      </w:r>
      <w:r w:rsidR="005F293C">
        <w:t xml:space="preserve"> in primary care settings. To accomplish this we are</w:t>
      </w:r>
      <w:r w:rsidRPr="00A8033C">
        <w:t xml:space="preserve"> synthesizing what is known </w:t>
      </w:r>
      <w:r w:rsidR="006555B6">
        <w:t>about</w:t>
      </w:r>
      <w:r w:rsidRPr="00A8033C" w:rsidR="006555B6">
        <w:t xml:space="preserve"> </w:t>
      </w:r>
      <w:r w:rsidRPr="00A8033C">
        <w:t xml:space="preserve">the development and testing of innovative strategies, approaches, </w:t>
      </w:r>
      <w:r w:rsidRPr="005F293C" w:rsidR="005F293C">
        <w:t>and/or tools for opioid management of older adults with pain on opioid medication</w:t>
      </w:r>
      <w:r w:rsidR="005F293C">
        <w:t>,</w:t>
      </w:r>
      <w:r w:rsidRPr="005F293C" w:rsidR="005F293C">
        <w:t xml:space="preserve"> and/or opioid use disorder</w:t>
      </w:r>
      <w:r w:rsidRPr="006555B6">
        <w:t>.</w:t>
      </w:r>
    </w:p>
    <w:p w:rsidRPr="002A04C8" w:rsidR="002A04C8" w:rsidP="003600B8" w:rsidRDefault="002A04C8" w14:paraId="7C3DCF83" w14:textId="77777777">
      <w:pPr>
        <w:pStyle w:val="BodyText"/>
      </w:pPr>
      <w:r w:rsidRPr="002A04C8">
        <w:t xml:space="preserve">The </w:t>
      </w:r>
      <w:r w:rsidRPr="00C625BB">
        <w:t>goals</w:t>
      </w:r>
      <w:r w:rsidRPr="0094542F">
        <w:t xml:space="preserve"> of</w:t>
      </w:r>
      <w:r w:rsidRPr="002A04C8">
        <w:t xml:space="preserve"> this project are to:</w:t>
      </w:r>
    </w:p>
    <w:p w:rsidR="002A04C8" w:rsidP="00A568CA" w:rsidRDefault="002A04C8" w14:paraId="6F59A949" w14:textId="45DAF0B1">
      <w:pPr>
        <w:pStyle w:val="ListParagraph"/>
        <w:numPr>
          <w:ilvl w:val="0"/>
          <w:numId w:val="6"/>
        </w:numPr>
        <w:spacing w:after="120"/>
        <w:contextualSpacing w:val="0"/>
        <w:rPr>
          <w:rFonts w:ascii="Times New Roman" w:hAnsi="Times New Roman" w:cs="Times New Roman"/>
        </w:rPr>
      </w:pPr>
      <w:r>
        <w:rPr>
          <w:rFonts w:ascii="Times New Roman" w:hAnsi="Times New Roman" w:cs="Times New Roman"/>
        </w:rPr>
        <w:t>A</w:t>
      </w:r>
      <w:r w:rsidRPr="002A04C8">
        <w:rPr>
          <w:rFonts w:ascii="Times New Roman" w:hAnsi="Times New Roman" w:cs="Times New Roman"/>
        </w:rPr>
        <w:t xml:space="preserve">ssess and describe the current prevalence, awareness, and management of opioid use, misuse and abuse in older adults in </w:t>
      </w:r>
      <w:r w:rsidR="00441E08">
        <w:rPr>
          <w:rFonts w:ascii="Times New Roman" w:hAnsi="Times New Roman" w:cs="Times New Roman"/>
        </w:rPr>
        <w:t>PCPs</w:t>
      </w:r>
      <w:r w:rsidRPr="002A04C8">
        <w:rPr>
          <w:rFonts w:ascii="Times New Roman" w:hAnsi="Times New Roman" w:cs="Times New Roman"/>
        </w:rPr>
        <w:t xml:space="preserve"> in order to</w:t>
      </w:r>
      <w:r w:rsidRPr="009B33CF">
        <w:rPr>
          <w:rFonts w:ascii="Times New Roman" w:hAnsi="Times New Roman" w:cs="Times New Roman"/>
          <w:b/>
        </w:rPr>
        <w:t xml:space="preserve"> identify gaps and areas of needed research</w:t>
      </w:r>
      <w:r>
        <w:rPr>
          <w:rFonts w:ascii="Times New Roman" w:hAnsi="Times New Roman" w:cs="Times New Roman"/>
        </w:rPr>
        <w:t>.</w:t>
      </w:r>
      <w:r w:rsidRPr="002A04C8">
        <w:rPr>
          <w:rFonts w:ascii="Times New Roman" w:hAnsi="Times New Roman" w:cs="Times New Roman"/>
        </w:rPr>
        <w:t xml:space="preserve"> </w:t>
      </w:r>
    </w:p>
    <w:p w:rsidR="002A04C8" w:rsidP="00A568CA" w:rsidRDefault="002A04C8" w14:paraId="7F89720B" w14:textId="2A369B17">
      <w:pPr>
        <w:pStyle w:val="ListParagraph"/>
        <w:numPr>
          <w:ilvl w:val="0"/>
          <w:numId w:val="6"/>
        </w:numPr>
        <w:spacing w:after="120"/>
        <w:contextualSpacing w:val="0"/>
        <w:rPr>
          <w:rFonts w:ascii="Times New Roman" w:hAnsi="Times New Roman" w:cs="Times New Roman"/>
        </w:rPr>
      </w:pPr>
      <w:r w:rsidRPr="009B33CF">
        <w:rPr>
          <w:rFonts w:ascii="Times New Roman" w:hAnsi="Times New Roman" w:cs="Times New Roman"/>
          <w:b/>
        </w:rPr>
        <w:t xml:space="preserve">Support </w:t>
      </w:r>
      <w:r w:rsidRPr="009B33CF" w:rsidR="00441E08">
        <w:rPr>
          <w:rFonts w:ascii="Times New Roman" w:hAnsi="Times New Roman" w:cs="Times New Roman"/>
          <w:b/>
        </w:rPr>
        <w:t>PCPs</w:t>
      </w:r>
      <w:r w:rsidRPr="009B33CF">
        <w:rPr>
          <w:rFonts w:ascii="Times New Roman" w:hAnsi="Times New Roman" w:cs="Times New Roman"/>
          <w:b/>
        </w:rPr>
        <w:t xml:space="preserve"> in developing and testing innovative strategies, approaches, and/or tools </w:t>
      </w:r>
      <w:r w:rsidRPr="002A04C8">
        <w:rPr>
          <w:rFonts w:ascii="Times New Roman" w:hAnsi="Times New Roman" w:cs="Times New Roman"/>
        </w:rPr>
        <w:t xml:space="preserve">for opioid management within the context of facilitated learning </w:t>
      </w:r>
      <w:proofErr w:type="spellStart"/>
      <w:r w:rsidRPr="002A04C8">
        <w:rPr>
          <w:rFonts w:ascii="Times New Roman" w:hAnsi="Times New Roman" w:cs="Times New Roman"/>
        </w:rPr>
        <w:t>collaboratives</w:t>
      </w:r>
      <w:proofErr w:type="spellEnd"/>
      <w:r>
        <w:rPr>
          <w:rFonts w:ascii="Times New Roman" w:hAnsi="Times New Roman" w:cs="Times New Roman"/>
        </w:rPr>
        <w:t>.</w:t>
      </w:r>
    </w:p>
    <w:p w:rsidRPr="002A04C8" w:rsidR="004B3FEE" w:rsidP="00A568CA" w:rsidRDefault="002A04C8" w14:paraId="1E12079F" w14:textId="2FE5F3B3">
      <w:pPr>
        <w:pStyle w:val="ListParagraph"/>
        <w:numPr>
          <w:ilvl w:val="0"/>
          <w:numId w:val="6"/>
        </w:numPr>
        <w:spacing w:after="120"/>
        <w:contextualSpacing w:val="0"/>
        <w:rPr>
          <w:rFonts w:ascii="Times New Roman" w:hAnsi="Times New Roman" w:cs="Times New Roman"/>
        </w:rPr>
      </w:pPr>
      <w:r w:rsidRPr="009B33CF">
        <w:rPr>
          <w:rFonts w:ascii="Times New Roman" w:hAnsi="Times New Roman" w:cs="Times New Roman"/>
          <w:b/>
        </w:rPr>
        <w:t xml:space="preserve">Produce a </w:t>
      </w:r>
      <w:r w:rsidRPr="009B33CF" w:rsidR="00441E08">
        <w:rPr>
          <w:rFonts w:ascii="Times New Roman" w:hAnsi="Times New Roman" w:cs="Times New Roman"/>
          <w:b/>
        </w:rPr>
        <w:t>Compendium</w:t>
      </w:r>
      <w:r w:rsidRPr="002A04C8" w:rsidR="00441E08">
        <w:rPr>
          <w:rFonts w:ascii="Times New Roman" w:hAnsi="Times New Roman" w:cs="Times New Roman"/>
        </w:rPr>
        <w:t xml:space="preserve"> </w:t>
      </w:r>
      <w:r w:rsidRPr="002A04C8">
        <w:rPr>
          <w:rFonts w:ascii="Times New Roman" w:hAnsi="Times New Roman" w:cs="Times New Roman"/>
        </w:rPr>
        <w:t>of new and existing strategies, tools, and approaches to support the management of opioid use</w:t>
      </w:r>
      <w:r w:rsidR="00FE2B64">
        <w:rPr>
          <w:rFonts w:ascii="Times New Roman" w:hAnsi="Times New Roman" w:cs="Times New Roman"/>
        </w:rPr>
        <w:t xml:space="preserve">, </w:t>
      </w:r>
      <w:r w:rsidRPr="002A04C8">
        <w:rPr>
          <w:rFonts w:ascii="Times New Roman" w:hAnsi="Times New Roman" w:cs="Times New Roman"/>
        </w:rPr>
        <w:t>misuse</w:t>
      </w:r>
      <w:r w:rsidR="00FE2B64">
        <w:rPr>
          <w:rFonts w:ascii="Times New Roman" w:hAnsi="Times New Roman" w:cs="Times New Roman"/>
        </w:rPr>
        <w:t xml:space="preserve"> and abuse</w:t>
      </w:r>
      <w:r w:rsidRPr="002A04C8">
        <w:rPr>
          <w:rFonts w:ascii="Times New Roman" w:hAnsi="Times New Roman" w:cs="Times New Roman"/>
        </w:rPr>
        <w:t xml:space="preserve"> in older adult in primary care settings.</w:t>
      </w:r>
    </w:p>
    <w:p w:rsidR="00527BBD" w:rsidP="003600B8" w:rsidRDefault="00527BBD" w14:paraId="0E6D958E" w14:textId="77777777">
      <w:pPr>
        <w:pStyle w:val="BodyText"/>
      </w:pPr>
      <w:r>
        <w:t>To achieve the goals of this project the following data collections will be implemented:</w:t>
      </w:r>
    </w:p>
    <w:p w:rsidR="000A4317" w:rsidP="00A568CA" w:rsidRDefault="000A4317" w14:paraId="369DF7CF" w14:textId="05C57F48">
      <w:pPr>
        <w:pStyle w:val="ListParagraph"/>
        <w:numPr>
          <w:ilvl w:val="0"/>
          <w:numId w:val="7"/>
        </w:numPr>
        <w:spacing w:after="120"/>
        <w:ind w:left="720"/>
        <w:contextualSpacing w:val="0"/>
        <w:rPr>
          <w:rFonts w:ascii="Times New Roman" w:hAnsi="Times New Roman" w:cs="Times New Roman"/>
        </w:rPr>
      </w:pPr>
      <w:r>
        <w:rPr>
          <w:rFonts w:ascii="Times New Roman" w:hAnsi="Times New Roman" w:cs="Times New Roman"/>
        </w:rPr>
        <w:t xml:space="preserve">We will conduct a </w:t>
      </w:r>
      <w:r w:rsidR="009B33CF">
        <w:rPr>
          <w:rFonts w:ascii="Times New Roman" w:hAnsi="Times New Roman" w:cs="Times New Roman"/>
          <w:b/>
        </w:rPr>
        <w:t>thorough</w:t>
      </w:r>
      <w:r w:rsidRPr="000A4317" w:rsidR="009B33CF">
        <w:rPr>
          <w:rFonts w:ascii="Times New Roman" w:hAnsi="Times New Roman" w:cs="Times New Roman"/>
          <w:b/>
        </w:rPr>
        <w:t xml:space="preserve"> </w:t>
      </w:r>
      <w:r w:rsidR="009B33CF">
        <w:rPr>
          <w:rFonts w:ascii="Times New Roman" w:hAnsi="Times New Roman" w:cs="Times New Roman"/>
          <w:b/>
        </w:rPr>
        <w:t xml:space="preserve">environmental scan </w:t>
      </w:r>
      <w:r w:rsidRPr="000A4317">
        <w:rPr>
          <w:rFonts w:ascii="Times New Roman" w:hAnsi="Times New Roman" w:cs="Times New Roman"/>
        </w:rPr>
        <w:t>to identify existing opioid management strategies, resources, and tools for primary care clinicians</w:t>
      </w:r>
      <w:r w:rsidR="00ED3BD8">
        <w:rPr>
          <w:rFonts w:ascii="Times New Roman" w:hAnsi="Times New Roman" w:cs="Times New Roman"/>
        </w:rPr>
        <w:t>.</w:t>
      </w:r>
      <w:r>
        <w:rPr>
          <w:rFonts w:ascii="Times New Roman" w:hAnsi="Times New Roman" w:cs="Times New Roman"/>
        </w:rPr>
        <w:t xml:space="preserve"> It</w:t>
      </w:r>
      <w:r w:rsidRPr="000A4317">
        <w:rPr>
          <w:rFonts w:ascii="Times New Roman" w:hAnsi="Times New Roman" w:cs="Times New Roman"/>
        </w:rPr>
        <w:t xml:space="preserve"> will consist of targeted searches of specific organizations’ websites on geriatrics (e.g., </w:t>
      </w:r>
      <w:proofErr w:type="spellStart"/>
      <w:r w:rsidRPr="000A4317">
        <w:rPr>
          <w:rFonts w:ascii="Times New Roman" w:hAnsi="Times New Roman" w:cs="Times New Roman"/>
        </w:rPr>
        <w:t>Gerontological</w:t>
      </w:r>
      <w:proofErr w:type="spellEnd"/>
      <w:r w:rsidRPr="000A4317">
        <w:rPr>
          <w:rFonts w:ascii="Times New Roman" w:hAnsi="Times New Roman" w:cs="Times New Roman"/>
        </w:rPr>
        <w:t xml:space="preserve"> Society of America), pain (e.g., NIH Pain Consortium Centers of Excellence in Pain Education), opioid tools (e.g., CDC, AHRQ, National Academy of Medicine, AHRQ CDS Connect), and other known resource pages (e.g., Oregon Pain Guidance). We will also conduct a </w:t>
      </w:r>
      <w:r w:rsidRPr="009B33CF">
        <w:rPr>
          <w:rFonts w:ascii="Times New Roman" w:hAnsi="Times New Roman" w:cs="Times New Roman"/>
          <w:b/>
        </w:rPr>
        <w:t>search of the peer-reviewed and gray literature</w:t>
      </w:r>
      <w:r w:rsidRPr="000A4317">
        <w:rPr>
          <w:rFonts w:ascii="Times New Roman" w:hAnsi="Times New Roman" w:cs="Times New Roman"/>
        </w:rPr>
        <w:t xml:space="preserve"> to identify recent and relevant evidence, existing strategies, resources and tools.</w:t>
      </w:r>
    </w:p>
    <w:p w:rsidRPr="009D14E1" w:rsidR="009D14E1" w:rsidP="00A568CA" w:rsidRDefault="009D14E1" w14:paraId="5EA773D9" w14:textId="289CC93C">
      <w:pPr>
        <w:pStyle w:val="ListParagraph"/>
        <w:numPr>
          <w:ilvl w:val="0"/>
          <w:numId w:val="7"/>
        </w:numPr>
        <w:spacing w:after="120"/>
        <w:ind w:left="720"/>
        <w:contextualSpacing w:val="0"/>
        <w:rPr>
          <w:rFonts w:ascii="Times New Roman" w:hAnsi="Times New Roman" w:cs="Times New Roman"/>
        </w:rPr>
      </w:pPr>
      <w:r w:rsidRPr="009D14E1">
        <w:rPr>
          <w:rFonts w:ascii="Times New Roman" w:hAnsi="Times New Roman" w:cs="Times New Roman"/>
        </w:rPr>
        <w:t xml:space="preserve">We will conduct a </w:t>
      </w:r>
      <w:r w:rsidRPr="00B87FE0" w:rsidR="004626EE">
        <w:rPr>
          <w:rFonts w:ascii="Times New Roman" w:hAnsi="Times New Roman" w:cs="Times New Roman"/>
          <w:b/>
        </w:rPr>
        <w:t xml:space="preserve">web-based </w:t>
      </w:r>
      <w:r w:rsidRPr="00B87FE0">
        <w:rPr>
          <w:rFonts w:ascii="Times New Roman" w:hAnsi="Times New Roman" w:cs="Times New Roman"/>
          <w:b/>
        </w:rPr>
        <w:t>survey of primary care clinicians</w:t>
      </w:r>
      <w:r w:rsidRPr="009D14E1">
        <w:rPr>
          <w:rFonts w:ascii="Times New Roman" w:hAnsi="Times New Roman" w:cs="Times New Roman"/>
        </w:rPr>
        <w:t xml:space="preserve"> </w:t>
      </w:r>
      <w:r w:rsidRPr="007E25DE" w:rsidR="004626EE">
        <w:rPr>
          <w:rFonts w:ascii="Times New Roman" w:hAnsi="Times New Roman" w:cs="Times New Roman"/>
          <w:b/>
        </w:rPr>
        <w:t>(Attachment A)</w:t>
      </w:r>
      <w:r w:rsidR="004626EE">
        <w:rPr>
          <w:rFonts w:ascii="Times New Roman" w:hAnsi="Times New Roman" w:cs="Times New Roman"/>
        </w:rPr>
        <w:t xml:space="preserve"> </w:t>
      </w:r>
      <w:r w:rsidRPr="009D14E1">
        <w:rPr>
          <w:rFonts w:ascii="Times New Roman" w:hAnsi="Times New Roman" w:cs="Times New Roman"/>
        </w:rPr>
        <w:t xml:space="preserve">who care for older adults. The purpose of the survey is to assess primary care clinician experiences caring for older adult patients with chronic pain on opioids. The survey will </w:t>
      </w:r>
      <w:r w:rsidR="004626EE">
        <w:rPr>
          <w:rFonts w:ascii="Times New Roman" w:hAnsi="Times New Roman" w:cs="Times New Roman"/>
        </w:rPr>
        <w:t xml:space="preserve">be sent to 5,000 randomly selected primary care clinicians and will </w:t>
      </w:r>
      <w:r w:rsidRPr="009D14E1">
        <w:rPr>
          <w:rFonts w:ascii="Times New Roman" w:hAnsi="Times New Roman" w:cs="Times New Roman"/>
        </w:rPr>
        <w:t>address the following research questions:</w:t>
      </w:r>
    </w:p>
    <w:p w:rsidRPr="00F76C0B" w:rsidR="009D14E1" w:rsidP="00A568CA" w:rsidRDefault="009D14E1" w14:paraId="59144284" w14:textId="47BCB574">
      <w:pPr>
        <w:numPr>
          <w:ilvl w:val="0"/>
          <w:numId w:val="11"/>
        </w:numPr>
        <w:tabs>
          <w:tab w:val="left" w:pos="1440"/>
        </w:tabs>
        <w:spacing w:after="120"/>
        <w:ind w:left="1440"/>
      </w:pPr>
      <w:r w:rsidRPr="00F76C0B">
        <w:t>How have clinician experiences been providing care for patients with chronic pain on long-term opioid therapy? How confident are primary care providers in their ability to provide care for older adults using opioids? What approaches do primary care providers use in providing care for older adults using opioids?</w:t>
      </w:r>
    </w:p>
    <w:p w:rsidRPr="00F76C0B" w:rsidR="009D14E1" w:rsidP="00A568CA" w:rsidRDefault="009D14E1" w14:paraId="7948B75D" w14:textId="77777777">
      <w:pPr>
        <w:numPr>
          <w:ilvl w:val="0"/>
          <w:numId w:val="11"/>
        </w:numPr>
        <w:tabs>
          <w:tab w:val="left" w:pos="1440"/>
        </w:tabs>
        <w:spacing w:after="120"/>
        <w:ind w:left="1440"/>
      </w:pPr>
      <w:r w:rsidRPr="00F76C0B">
        <w:t>Which resources do primary care providers have to provide care for older adults with chronic pain on long-term opioid therapy? Which resources do they feel are lacking?</w:t>
      </w:r>
    </w:p>
    <w:p w:rsidRPr="00F76C0B" w:rsidR="009D14E1" w:rsidP="00A568CA" w:rsidRDefault="009D14E1" w14:paraId="75AF5CD3" w14:textId="77777777">
      <w:pPr>
        <w:numPr>
          <w:ilvl w:val="0"/>
          <w:numId w:val="11"/>
        </w:numPr>
        <w:tabs>
          <w:tab w:val="left" w:pos="1440"/>
        </w:tabs>
        <w:spacing w:after="120"/>
        <w:ind w:left="1440"/>
      </w:pPr>
      <w:r w:rsidRPr="00F76C0B">
        <w:t>How do clinician experiences and reported availability of resources vary by provider and practice characteristics?</w:t>
      </w:r>
    </w:p>
    <w:p w:rsidR="00686619" w:rsidP="00A568CA" w:rsidRDefault="00686619" w14:paraId="4769ADE9" w14:textId="51588AD1">
      <w:pPr>
        <w:pStyle w:val="BodyText"/>
        <w:numPr>
          <w:ilvl w:val="0"/>
          <w:numId w:val="7"/>
        </w:numPr>
        <w:ind w:left="720"/>
      </w:pPr>
      <w:r>
        <w:t xml:space="preserve">We plan to conduct an </w:t>
      </w:r>
      <w:r w:rsidRPr="00B87FE0">
        <w:rPr>
          <w:b/>
        </w:rPr>
        <w:t>informal interview with nine exemplar practices</w:t>
      </w:r>
      <w:r>
        <w:t xml:space="preserve"> that have </w:t>
      </w:r>
      <w:r w:rsidR="005E7FE8">
        <w:t xml:space="preserve">developed and/or are implementing </w:t>
      </w:r>
      <w:r w:rsidRPr="00B4075F" w:rsidR="005E7FE8">
        <w:t>innovative approaches to managing opioid medications for chronic pain</w:t>
      </w:r>
      <w:r w:rsidR="005E7FE8">
        <w:t>, pa</w:t>
      </w:r>
      <w:r w:rsidRPr="00B4075F" w:rsidR="005E7FE8">
        <w:t xml:space="preserve">rticularly relevant for </w:t>
      </w:r>
      <w:r w:rsidRPr="00B4075F" w:rsidR="005E7FE8">
        <w:rPr>
          <w:b/>
          <w:u w:val="single"/>
        </w:rPr>
        <w:t>older adults</w:t>
      </w:r>
      <w:r w:rsidRPr="00B4075F" w:rsidR="005E7FE8">
        <w:t xml:space="preserve">. </w:t>
      </w:r>
      <w:r>
        <w:t>The following questions will help guide the discussion:</w:t>
      </w:r>
    </w:p>
    <w:p w:rsidR="00686619" w:rsidP="00A568CA" w:rsidRDefault="00686619" w14:paraId="354BEA8D" w14:textId="32B02E3B">
      <w:pPr>
        <w:numPr>
          <w:ilvl w:val="0"/>
          <w:numId w:val="15"/>
        </w:numPr>
        <w:tabs>
          <w:tab w:val="left" w:pos="1440"/>
        </w:tabs>
        <w:spacing w:after="120"/>
        <w:ind w:left="1440"/>
      </w:pPr>
      <w:r>
        <w:t>Would you please take a few minutes to describe your approach or strategy again?</w:t>
      </w:r>
    </w:p>
    <w:p w:rsidR="00686619" w:rsidP="00A568CA" w:rsidRDefault="00686619" w14:paraId="3C71EA7B" w14:textId="26C60783">
      <w:pPr>
        <w:numPr>
          <w:ilvl w:val="0"/>
          <w:numId w:val="15"/>
        </w:numPr>
        <w:tabs>
          <w:tab w:val="left" w:pos="1440"/>
        </w:tabs>
        <w:spacing w:after="120"/>
        <w:ind w:left="1440"/>
      </w:pPr>
      <w:r>
        <w:t>Why did you initiate this strategy? What concern were you hoping to address?</w:t>
      </w:r>
    </w:p>
    <w:p w:rsidR="00686619" w:rsidP="00A568CA" w:rsidRDefault="00686619" w14:paraId="793D408E" w14:textId="138C7B8B">
      <w:pPr>
        <w:numPr>
          <w:ilvl w:val="0"/>
          <w:numId w:val="15"/>
        </w:numPr>
        <w:tabs>
          <w:tab w:val="left" w:pos="1440"/>
        </w:tabs>
        <w:spacing w:after="120"/>
        <w:ind w:left="1440"/>
      </w:pPr>
      <w:r>
        <w:t>How did you roll this strategy out, barriers (specific implementation strategies)? What challenges did you encounter and how did you overcome them?</w:t>
      </w:r>
    </w:p>
    <w:p w:rsidR="00686619" w:rsidP="00A568CA" w:rsidRDefault="00686619" w14:paraId="3DE2798D" w14:textId="153EEBE8">
      <w:pPr>
        <w:numPr>
          <w:ilvl w:val="0"/>
          <w:numId w:val="15"/>
        </w:numPr>
        <w:tabs>
          <w:tab w:val="left" w:pos="1440"/>
        </w:tabs>
        <w:spacing w:after="120"/>
        <w:ind w:left="1440"/>
      </w:pPr>
      <w:r>
        <w:t>What additional resources or staff training were required to implement?</w:t>
      </w:r>
    </w:p>
    <w:p w:rsidR="00686619" w:rsidP="00A568CA" w:rsidRDefault="00686619" w14:paraId="345DFAB4" w14:textId="183A9ABA">
      <w:pPr>
        <w:numPr>
          <w:ilvl w:val="0"/>
          <w:numId w:val="15"/>
        </w:numPr>
        <w:tabs>
          <w:tab w:val="left" w:pos="1440"/>
        </w:tabs>
        <w:spacing w:after="120"/>
        <w:ind w:left="1440"/>
      </w:pPr>
      <w:r>
        <w:t>What has been the patient response?</w:t>
      </w:r>
    </w:p>
    <w:p w:rsidR="00686619" w:rsidP="00A568CA" w:rsidRDefault="00686619" w14:paraId="14679520" w14:textId="4DDFFFCE">
      <w:pPr>
        <w:numPr>
          <w:ilvl w:val="0"/>
          <w:numId w:val="15"/>
        </w:numPr>
        <w:tabs>
          <w:tab w:val="left" w:pos="1440"/>
        </w:tabs>
        <w:spacing w:after="120"/>
        <w:ind w:left="1440"/>
      </w:pPr>
      <w:r>
        <w:t>How has implementing this strategy impacted patient outcomes?</w:t>
      </w:r>
    </w:p>
    <w:p w:rsidR="00686619" w:rsidP="00A568CA" w:rsidRDefault="00686619" w14:paraId="5C8E1215" w14:textId="3BF5362B">
      <w:pPr>
        <w:numPr>
          <w:ilvl w:val="0"/>
          <w:numId w:val="15"/>
        </w:numPr>
        <w:tabs>
          <w:tab w:val="left" w:pos="1440"/>
        </w:tabs>
        <w:spacing w:after="120"/>
        <w:ind w:left="1440"/>
      </w:pPr>
      <w:r>
        <w:t>What metrics/data did you collect to either prepare for or monitor your innovation?</w:t>
      </w:r>
    </w:p>
    <w:p w:rsidR="005E7FE8" w:rsidP="00E40408" w:rsidRDefault="00686619" w14:paraId="13AA17EA" w14:textId="47F4DDB0">
      <w:pPr>
        <w:pStyle w:val="BodyTextIndent"/>
      </w:pPr>
      <w:r>
        <w:t>To identify the exemplar practices, w</w:t>
      </w:r>
      <w:r w:rsidR="005E7FE8">
        <w:t>e posted a 45-day notice in the Federal Registry.</w:t>
      </w:r>
      <w:r w:rsidR="005E7FE8">
        <w:rPr>
          <w:rStyle w:val="EndnoteReference"/>
        </w:rPr>
        <w:endnoteReference w:id="19"/>
      </w:r>
      <w:r w:rsidR="005E7FE8">
        <w:t xml:space="preserve"> The Request for Information stated that ARHQ is interested in all innovative approaches that address the opioid management concerns in older adults, but respondents are welcome to address as many or as few as they choose and to address additional </w:t>
      </w:r>
      <w:r w:rsidRPr="00E40408" w:rsidR="005E7FE8">
        <w:t>areas</w:t>
      </w:r>
      <w:r w:rsidR="005E7FE8">
        <w:t xml:space="preserve"> of interest not listed. The s</w:t>
      </w:r>
      <w:r w:rsidRPr="00EB1721" w:rsidR="005E7FE8">
        <w:t xml:space="preserve">trategies and approaches could come from a variety of health care settings including but not limited to home health care organizations, </w:t>
      </w:r>
      <w:r w:rsidR="00441E08">
        <w:t>PCPs</w:t>
      </w:r>
      <w:r w:rsidRPr="00EB1721" w:rsidR="005E7FE8">
        <w:t>, skilled nursing care settings, emergency departments and inpatient care. Other sources of these strategies might include health care payers, accountable care organizations, and organizations that provide external quality improvement support.</w:t>
      </w:r>
    </w:p>
    <w:p w:rsidR="00686619" w:rsidP="00E40408" w:rsidRDefault="00686619" w14:paraId="1AF90D6E" w14:textId="3BC7F62F">
      <w:pPr>
        <w:pStyle w:val="BodyTextIndent"/>
      </w:pPr>
      <w:r>
        <w:t>From the responses</w:t>
      </w:r>
      <w:r w:rsidR="00F65573">
        <w:t xml:space="preserve"> to the Federal Registry notice</w:t>
      </w:r>
      <w:r>
        <w:t>, the team will select the nine most relevant</w:t>
      </w:r>
      <w:r w:rsidR="00F65573">
        <w:t>, innovate</w:t>
      </w:r>
      <w:r>
        <w:t xml:space="preserve"> strategies and conduct </w:t>
      </w:r>
      <w:r w:rsidR="00F65573">
        <w:t xml:space="preserve">informal </w:t>
      </w:r>
      <w:r>
        <w:t>telephone interviews</w:t>
      </w:r>
      <w:r w:rsidR="009B33CF">
        <w:t xml:space="preserve"> with practices that submitted entries</w:t>
      </w:r>
      <w:r w:rsidR="00F65573">
        <w:t>.</w:t>
      </w:r>
    </w:p>
    <w:p w:rsidR="00574896" w:rsidP="00A568CA" w:rsidRDefault="004626EE" w14:paraId="0F4DACA3" w14:textId="6509977A">
      <w:pPr>
        <w:pStyle w:val="BodyText"/>
        <w:numPr>
          <w:ilvl w:val="0"/>
          <w:numId w:val="7"/>
        </w:numPr>
        <w:ind w:left="720"/>
      </w:pPr>
      <w:r>
        <w:t>P</w:t>
      </w:r>
      <w:r w:rsidRPr="004626EE">
        <w:t xml:space="preserve">articipating </w:t>
      </w:r>
      <w:r w:rsidR="00620475">
        <w:t>l</w:t>
      </w:r>
      <w:r w:rsidRPr="004626EE" w:rsidR="00620475">
        <w:t xml:space="preserve">earning </w:t>
      </w:r>
      <w:r w:rsidR="00620475">
        <w:t>c</w:t>
      </w:r>
      <w:r w:rsidRPr="004626EE" w:rsidR="00620475">
        <w:t xml:space="preserve">ollaborative </w:t>
      </w:r>
      <w:r w:rsidRPr="004626EE">
        <w:t xml:space="preserve">practices </w:t>
      </w:r>
      <w:r>
        <w:t xml:space="preserve">will be asked </w:t>
      </w:r>
      <w:r w:rsidRPr="004626EE">
        <w:t xml:space="preserve">to implement strategies related to each of the key areas on the continuum: prevention, management and treatment of opioid use, misuse and OUD in older adults.  </w:t>
      </w:r>
      <w:r w:rsidRPr="00B87FE0" w:rsidR="00620475">
        <w:rPr>
          <w:b/>
        </w:rPr>
        <w:t>We will collect primary data via observations, interviews, and a survey, and secondary data including practice and learning collaborative documents.</w:t>
      </w:r>
      <w:r w:rsidRPr="00574896" w:rsidR="00620475">
        <w:t xml:space="preserve"> </w:t>
      </w:r>
      <w:r w:rsidRPr="00574896" w:rsidR="00574896">
        <w:t xml:space="preserve">The following </w:t>
      </w:r>
      <w:r w:rsidR="00FF6B73">
        <w:t xml:space="preserve">data collection activities </w:t>
      </w:r>
      <w:r w:rsidRPr="00574896" w:rsidR="00574896">
        <w:t>are the proposed</w:t>
      </w:r>
      <w:r w:rsidR="00574896">
        <w:t>:</w:t>
      </w:r>
      <w:r w:rsidRPr="00574896" w:rsidR="00574896">
        <w:t xml:space="preserve"> </w:t>
      </w:r>
    </w:p>
    <w:p w:rsidRPr="00E40408" w:rsidR="00B87FE0" w:rsidP="00A568CA" w:rsidRDefault="00B87FE0" w14:paraId="498848E9" w14:textId="62A9C106">
      <w:pPr>
        <w:pStyle w:val="BodyText"/>
        <w:numPr>
          <w:ilvl w:val="1"/>
          <w:numId w:val="7"/>
        </w:numPr>
        <w:ind w:left="1080"/>
        <w:rPr>
          <w:b/>
        </w:rPr>
      </w:pPr>
      <w:r w:rsidRPr="00E40408">
        <w:rPr>
          <w:b/>
        </w:rPr>
        <w:t xml:space="preserve">Primary Data </w:t>
      </w:r>
    </w:p>
    <w:p w:rsidRPr="004626EE" w:rsidR="004626EE" w:rsidP="00A568CA" w:rsidRDefault="00582CA5" w14:paraId="7FD79070" w14:textId="381F1A2C">
      <w:pPr>
        <w:numPr>
          <w:ilvl w:val="0"/>
          <w:numId w:val="5"/>
        </w:numPr>
        <w:spacing w:after="120"/>
        <w:ind w:left="1440"/>
      </w:pPr>
      <w:r>
        <w:rPr>
          <w:b/>
        </w:rPr>
        <w:t xml:space="preserve">PCP </w:t>
      </w:r>
      <w:r w:rsidRPr="004626EE" w:rsidR="004626EE">
        <w:rPr>
          <w:b/>
        </w:rPr>
        <w:t>Clinical Staff Survey (Attachment B).</w:t>
      </w:r>
      <w:r w:rsidRPr="004626EE" w:rsidR="004626EE">
        <w:t xml:space="preserve"> A brief</w:t>
      </w:r>
      <w:r w:rsidR="00876D68">
        <w:t xml:space="preserve"> web-based</w:t>
      </w:r>
      <w:r w:rsidRPr="004626EE" w:rsidR="004626EE">
        <w:t xml:space="preserve"> survey will be emailed to all clinic</w:t>
      </w:r>
      <w:r w:rsidR="00426BBF">
        <w:t>al staff</w:t>
      </w:r>
      <w:r w:rsidRPr="004626EE" w:rsidR="004626EE">
        <w:t xml:space="preserve"> </w:t>
      </w:r>
      <w:r w:rsidR="007E25DE">
        <w:t xml:space="preserve">participating in the learning collaborative </w:t>
      </w:r>
      <w:r w:rsidRPr="004626EE" w:rsidR="004626EE">
        <w:t xml:space="preserve">at baseline before starting implementation and approximately 15- months later. We assumed 20 clinical staff per clinic site, and 24 clinics for a total of 480 staff. </w:t>
      </w:r>
    </w:p>
    <w:p w:rsidRPr="007E25DE" w:rsidR="004626EE" w:rsidP="00A568CA" w:rsidRDefault="004626EE" w14:paraId="0BCD111A" w14:textId="043749F0">
      <w:pPr>
        <w:numPr>
          <w:ilvl w:val="0"/>
          <w:numId w:val="5"/>
        </w:numPr>
        <w:spacing w:after="120"/>
        <w:ind w:left="1440"/>
      </w:pPr>
      <w:r w:rsidRPr="007E25DE">
        <w:rPr>
          <w:b/>
        </w:rPr>
        <w:t>Interviews</w:t>
      </w:r>
      <w:r w:rsidRPr="007E25DE">
        <w:t xml:space="preserve">. In-depth interviews will occur with up to </w:t>
      </w:r>
      <w:r w:rsidR="007E25DE">
        <w:t>three</w:t>
      </w:r>
      <w:r w:rsidRPr="007E25DE" w:rsidR="007E25DE">
        <w:t xml:space="preserve"> </w:t>
      </w:r>
      <w:r w:rsidRPr="007E25DE">
        <w:t>staff at each health care organization</w:t>
      </w:r>
      <w:r w:rsidR="007E25DE">
        <w:t xml:space="preserve"> participating in the learning collaborative</w:t>
      </w:r>
      <w:r w:rsidRPr="007E25DE">
        <w:t xml:space="preserve">, for a total of up to 72 individuals. </w:t>
      </w:r>
      <w:r w:rsidR="00BD45F0">
        <w:t>The evaluation team</w:t>
      </w:r>
      <w:r w:rsidRPr="007E25DE" w:rsidR="00BD45F0">
        <w:t xml:space="preserve"> </w:t>
      </w:r>
      <w:r w:rsidRPr="007E25DE">
        <w:t xml:space="preserve">will conduct these interviews with: </w:t>
      </w:r>
    </w:p>
    <w:p w:rsidRPr="007E25DE" w:rsidR="004626EE" w:rsidP="00A568CA" w:rsidRDefault="00D76187" w14:paraId="5515C206" w14:textId="2AC1BACE">
      <w:pPr>
        <w:numPr>
          <w:ilvl w:val="3"/>
          <w:numId w:val="5"/>
        </w:numPr>
        <w:spacing w:after="120"/>
        <w:ind w:left="1980"/>
      </w:pPr>
      <w:r>
        <w:t>Quality Improvement (QI) c</w:t>
      </w:r>
      <w:r w:rsidRPr="007E25DE">
        <w:t xml:space="preserve">hampion </w:t>
      </w:r>
      <w:r w:rsidRPr="007E25DE" w:rsidR="004626EE">
        <w:t xml:space="preserve">for the initiative in the clinics at baseline, mid-point and post-implementation </w:t>
      </w:r>
      <w:r w:rsidRPr="007E25DE" w:rsidR="004626EE">
        <w:rPr>
          <w:b/>
        </w:rPr>
        <w:t xml:space="preserve">(Attachment </w:t>
      </w:r>
      <w:r w:rsidR="007E25DE">
        <w:rPr>
          <w:b/>
        </w:rPr>
        <w:t>C</w:t>
      </w:r>
      <w:r w:rsidRPr="007E25DE" w:rsidR="004626EE">
        <w:rPr>
          <w:b/>
        </w:rPr>
        <w:t>)</w:t>
      </w:r>
    </w:p>
    <w:p w:rsidRPr="007E25DE" w:rsidR="004626EE" w:rsidP="00A568CA" w:rsidRDefault="004626EE" w14:paraId="3EC14722" w14:textId="6E8C7F94">
      <w:pPr>
        <w:numPr>
          <w:ilvl w:val="3"/>
          <w:numId w:val="5"/>
        </w:numPr>
        <w:spacing w:after="120"/>
        <w:ind w:left="1980"/>
      </w:pPr>
      <w:r w:rsidRPr="007E25DE">
        <w:t xml:space="preserve">Two additional staff (e.g. clinician, information technology analyst, behavioral health specialist) per organization (mid-point and post-implementation). </w:t>
      </w:r>
      <w:r w:rsidRPr="007E25DE">
        <w:rPr>
          <w:b/>
        </w:rPr>
        <w:t xml:space="preserve">(Attachment </w:t>
      </w:r>
      <w:r w:rsidR="007E25DE">
        <w:rPr>
          <w:b/>
        </w:rPr>
        <w:t>D</w:t>
      </w:r>
      <w:r w:rsidRPr="007E25DE">
        <w:rPr>
          <w:b/>
        </w:rPr>
        <w:t>)</w:t>
      </w:r>
    </w:p>
    <w:p w:rsidRPr="007E25DE" w:rsidR="004626EE" w:rsidP="00A568CA" w:rsidRDefault="004626EE" w14:paraId="17D2ACDC" w14:textId="1C3BE686">
      <w:pPr>
        <w:numPr>
          <w:ilvl w:val="0"/>
          <w:numId w:val="5"/>
        </w:numPr>
        <w:spacing w:after="120"/>
        <w:ind w:left="1440"/>
      </w:pPr>
      <w:r w:rsidRPr="007E25DE">
        <w:rPr>
          <w:b/>
        </w:rPr>
        <w:t xml:space="preserve">Self-Assessment. </w:t>
      </w:r>
      <w:r w:rsidR="000671B8">
        <w:t xml:space="preserve">The </w:t>
      </w:r>
      <w:r w:rsidR="00D76187">
        <w:t xml:space="preserve">QI </w:t>
      </w:r>
      <w:r w:rsidR="000671B8">
        <w:t>champion will complete a</w:t>
      </w:r>
      <w:r w:rsidRPr="007E25DE">
        <w:t xml:space="preserve"> self-assessment tool </w:t>
      </w:r>
      <w:r w:rsidR="00A44295">
        <w:t xml:space="preserve">at baseline. </w:t>
      </w:r>
      <w:r w:rsidR="002F6701">
        <w:t xml:space="preserve">A similar </w:t>
      </w:r>
      <w:r w:rsidR="00A44295">
        <w:t xml:space="preserve">tool is </w:t>
      </w:r>
      <w:r w:rsidRPr="007E25DE">
        <w:t>used in the Six Building Blocks program</w:t>
      </w:r>
      <w:r w:rsidR="00C34038">
        <w:rPr>
          <w:rStyle w:val="EndnoteReference"/>
          <w:color w:val="000000"/>
          <w:szCs w:val="23"/>
        </w:rPr>
        <w:endnoteReference w:id="20"/>
      </w:r>
      <w:r w:rsidRPr="007E25DE">
        <w:t xml:space="preserve">, and </w:t>
      </w:r>
      <w:r w:rsidR="007E25DE">
        <w:t>Centers for Disease Control (</w:t>
      </w:r>
      <w:r w:rsidRPr="007E25DE">
        <w:t>CDC</w:t>
      </w:r>
      <w:r w:rsidR="007E25DE">
        <w:t>)</w:t>
      </w:r>
      <w:r w:rsidRPr="007E25DE">
        <w:t xml:space="preserve"> Opioid </w:t>
      </w:r>
      <w:r w:rsidR="007E25DE">
        <w:t>QI</w:t>
      </w:r>
      <w:r w:rsidRPr="007E25DE">
        <w:t xml:space="preserve"> Collaborative</w:t>
      </w:r>
      <w:r w:rsidR="007E25DE">
        <w:t xml:space="preserve"> (</w:t>
      </w:r>
      <w:r w:rsidR="007E25DE">
        <w:rPr>
          <w:b/>
        </w:rPr>
        <w:t>Attachment E)</w:t>
      </w:r>
      <w:r w:rsidR="007E25DE">
        <w:t xml:space="preserve">. This tool is </w:t>
      </w:r>
      <w:r w:rsidRPr="007E25DE">
        <w:t xml:space="preserve">for clinics or health systems to assess </w:t>
      </w:r>
      <w:r w:rsidR="007E25DE">
        <w:t>the status</w:t>
      </w:r>
      <w:r w:rsidRPr="007E25DE">
        <w:t xml:space="preserve"> their QI efforts to improve opioid prescribing, and </w:t>
      </w:r>
      <w:r w:rsidR="007E25DE">
        <w:t xml:space="preserve">the </w:t>
      </w:r>
      <w:r w:rsidRPr="007E25DE">
        <w:t xml:space="preserve">extent to which care </w:t>
      </w:r>
      <w:r w:rsidR="007E25DE">
        <w:t xml:space="preserve">is </w:t>
      </w:r>
      <w:r w:rsidRPr="007E25DE">
        <w:t>consistent with the CDC Opioid Prescribing Guideline</w:t>
      </w:r>
      <w:r w:rsidR="007E25DE">
        <w:t>s</w:t>
      </w:r>
      <w:r w:rsidRPr="007E25DE">
        <w:t>.</w:t>
      </w:r>
    </w:p>
    <w:p w:rsidR="004626EE" w:rsidP="00A568CA" w:rsidRDefault="000671B8" w14:paraId="0F9E1DC4" w14:textId="25BC92C9">
      <w:pPr>
        <w:numPr>
          <w:ilvl w:val="0"/>
          <w:numId w:val="5"/>
        </w:numPr>
        <w:spacing w:after="120"/>
        <w:ind w:left="1440"/>
      </w:pPr>
      <w:r>
        <w:rPr>
          <w:b/>
        </w:rPr>
        <w:t xml:space="preserve">Quality Improvement </w:t>
      </w:r>
      <w:r w:rsidRPr="007E25DE" w:rsidR="004626EE">
        <w:rPr>
          <w:b/>
        </w:rPr>
        <w:t>Measures</w:t>
      </w:r>
      <w:r w:rsidRPr="007E25DE" w:rsidR="004626EE">
        <w:t xml:space="preserve">. </w:t>
      </w:r>
      <w:r w:rsidRPr="00E87291" w:rsidR="00B87FE0">
        <w:t xml:space="preserve">Each clinic </w:t>
      </w:r>
      <w:r w:rsidR="00B87FE0">
        <w:t>will</w:t>
      </w:r>
      <w:r w:rsidRPr="00E87291" w:rsidR="00B87FE0">
        <w:t xml:space="preserve"> report quarterly on the QI measures</w:t>
      </w:r>
      <w:r w:rsidR="00616C60">
        <w:t xml:space="preserve"> (see Attachment F)</w:t>
      </w:r>
      <w:r w:rsidRPr="00E87291" w:rsidR="00B87FE0">
        <w:t xml:space="preserve">. </w:t>
      </w:r>
      <w:r w:rsidR="00B87FE0">
        <w:t xml:space="preserve"> The QI measures include both process and outcome measures</w:t>
      </w:r>
      <w:r w:rsidR="008129A7">
        <w:t>. P</w:t>
      </w:r>
      <w:r w:rsidRPr="007E25DE" w:rsidR="008129A7">
        <w:t xml:space="preserve">rocess </w:t>
      </w:r>
      <w:r w:rsidRPr="007E25DE" w:rsidR="004626EE">
        <w:t xml:space="preserve">measures </w:t>
      </w:r>
      <w:r w:rsidR="008129A7">
        <w:t>are reflective of recommend</w:t>
      </w:r>
      <w:r w:rsidR="008C72F9">
        <w:t>ed</w:t>
      </w:r>
      <w:r w:rsidR="008129A7">
        <w:t xml:space="preserve"> clinical strategies or tools being implemented,</w:t>
      </w:r>
      <w:r w:rsidRPr="007E25DE" w:rsidR="004626EE">
        <w:t xml:space="preserve"> and </w:t>
      </w:r>
      <w:r w:rsidR="00FF6B73">
        <w:t xml:space="preserve">outcome </w:t>
      </w:r>
      <w:r w:rsidRPr="007E25DE" w:rsidR="004626EE">
        <w:t>measures examine intermediate outcomes.</w:t>
      </w:r>
      <w:r w:rsidR="008C72F9">
        <w:t xml:space="preserve"> </w:t>
      </w:r>
      <w:r w:rsidRPr="007E25DE" w:rsidR="004626EE">
        <w:t>A</w:t>
      </w:r>
      <w:r w:rsidR="008C72F9">
        <w:t xml:space="preserve"> </w:t>
      </w:r>
      <w:r w:rsidRPr="007E25DE" w:rsidR="008C72F9">
        <w:t>data analyst at each organization</w:t>
      </w:r>
      <w:r w:rsidR="008C72F9">
        <w:t xml:space="preserve"> will provide</w:t>
      </w:r>
      <w:r w:rsidRPr="007E25DE" w:rsidR="008C72F9">
        <w:t xml:space="preserve"> </w:t>
      </w:r>
      <w:r w:rsidR="008C72F9">
        <w:t>a</w:t>
      </w:r>
      <w:r w:rsidRPr="007E25DE" w:rsidR="004626EE">
        <w:t xml:space="preserve">ggregate reports of the specified QI measures </w:t>
      </w:r>
      <w:r w:rsidR="00E87291">
        <w:t xml:space="preserve">to </w:t>
      </w:r>
      <w:r w:rsidR="00BD45F0">
        <w:t xml:space="preserve">the evaluation team </w:t>
      </w:r>
      <w:r w:rsidRPr="007E25DE" w:rsidR="004626EE">
        <w:t>on a quarterly basis over the course of a 1</w:t>
      </w:r>
      <w:r w:rsidR="00582CA5">
        <w:t>5</w:t>
      </w:r>
      <w:r w:rsidRPr="007E25DE" w:rsidR="004626EE">
        <w:t>-month period</w:t>
      </w:r>
      <w:r w:rsidR="00E87291">
        <w:t xml:space="preserve">. </w:t>
      </w:r>
      <w:r w:rsidRPr="007E25DE" w:rsidR="004626EE">
        <w:t xml:space="preserve">The QI measures are measures of opioid prescribing that are critical for understanding the potential improvements in opioid prescribing in implementing the </w:t>
      </w:r>
      <w:r w:rsidRPr="003B4A50" w:rsidR="004626EE">
        <w:t>strategies. The prioritized measures to monitor improvements in recommended prescribing practices could include the following</w:t>
      </w:r>
      <w:r w:rsidRPr="007E25DE" w:rsidR="004626EE">
        <w:t>:</w:t>
      </w:r>
    </w:p>
    <w:p w:rsidR="002F6701" w:rsidP="00343D74" w:rsidRDefault="002F6701" w14:paraId="06AC8B6B" w14:textId="62946C12">
      <w:pPr>
        <w:numPr>
          <w:ilvl w:val="3"/>
          <w:numId w:val="5"/>
        </w:numPr>
        <w:spacing w:after="120"/>
        <w:ind w:left="1980"/>
      </w:pPr>
      <w:r>
        <w:t>Number and percentage of clinical staff that completed training on opioids and older adults</w:t>
      </w:r>
    </w:p>
    <w:p w:rsidR="005F293C" w:rsidP="005F293C" w:rsidRDefault="005F293C" w14:paraId="0AD79A34" w14:textId="77777777">
      <w:pPr>
        <w:numPr>
          <w:ilvl w:val="3"/>
          <w:numId w:val="5"/>
        </w:numPr>
        <w:spacing w:after="120"/>
        <w:ind w:left="1980"/>
      </w:pPr>
      <w:r>
        <w:t>Number and percent of patients who are on opioid medication</w:t>
      </w:r>
    </w:p>
    <w:p w:rsidR="005F293C" w:rsidP="005F293C" w:rsidRDefault="005F293C" w14:paraId="0C4377B6" w14:textId="77777777">
      <w:pPr>
        <w:numPr>
          <w:ilvl w:val="3"/>
          <w:numId w:val="5"/>
        </w:numPr>
        <w:spacing w:after="120"/>
        <w:ind w:left="1980"/>
      </w:pPr>
      <w:r>
        <w:t>Number and percentage of patients who are on opioid medication for pain</w:t>
      </w:r>
    </w:p>
    <w:p w:rsidR="002F6701" w:rsidP="00343D74" w:rsidRDefault="002F6701" w14:paraId="246D2E50" w14:textId="145A9B7C">
      <w:pPr>
        <w:numPr>
          <w:ilvl w:val="3"/>
          <w:numId w:val="5"/>
        </w:numPr>
        <w:spacing w:after="120"/>
        <w:ind w:left="1980"/>
      </w:pPr>
      <w:r>
        <w:t>Number of patients on long-term opioid therapy (LTOT)</w:t>
      </w:r>
    </w:p>
    <w:p w:rsidR="002F6701" w:rsidP="00343D74" w:rsidRDefault="002F6701" w14:paraId="0B966D83" w14:textId="344E5D06">
      <w:pPr>
        <w:numPr>
          <w:ilvl w:val="3"/>
          <w:numId w:val="5"/>
        </w:numPr>
        <w:spacing w:after="120"/>
        <w:ind w:left="1980"/>
      </w:pPr>
      <w:r>
        <w:t>Number of patients tapered off LTOT/discontinued opioids</w:t>
      </w:r>
    </w:p>
    <w:p w:rsidR="002F6701" w:rsidP="00343D74" w:rsidRDefault="002F6701" w14:paraId="24F3E1C8" w14:textId="4D14F6E0">
      <w:pPr>
        <w:numPr>
          <w:ilvl w:val="3"/>
          <w:numId w:val="5"/>
        </w:numPr>
        <w:spacing w:after="120"/>
        <w:ind w:left="1980"/>
      </w:pPr>
      <w:r>
        <w:t>Number of older adult patients on LTOT</w:t>
      </w:r>
    </w:p>
    <w:p w:rsidR="002F6701" w:rsidP="00343D74" w:rsidRDefault="002F6701" w14:paraId="3B29690F" w14:textId="0320836A">
      <w:pPr>
        <w:numPr>
          <w:ilvl w:val="3"/>
          <w:numId w:val="5"/>
        </w:numPr>
        <w:spacing w:after="120"/>
        <w:ind w:left="1980"/>
      </w:pPr>
      <w:r>
        <w:t xml:space="preserve">Number and percentage of patients in which the was used PEG with older adults to assess pain and function </w:t>
      </w:r>
    </w:p>
    <w:p w:rsidR="002F6701" w:rsidP="00343D74" w:rsidRDefault="002F6701" w14:paraId="3EB02F27" w14:textId="584E9B4D">
      <w:pPr>
        <w:numPr>
          <w:ilvl w:val="3"/>
          <w:numId w:val="5"/>
        </w:numPr>
        <w:spacing w:after="120"/>
        <w:ind w:left="1980"/>
      </w:pPr>
      <w:r>
        <w:t>Percentage of older adult patients on LTOT who are on greater than 50 morphine milligram equivalents (MMEs)</w:t>
      </w:r>
    </w:p>
    <w:p w:rsidR="002F6701" w:rsidP="00343D74" w:rsidRDefault="002F6701" w14:paraId="080DC8AF" w14:textId="731B5833">
      <w:pPr>
        <w:numPr>
          <w:ilvl w:val="3"/>
          <w:numId w:val="5"/>
        </w:numPr>
        <w:spacing w:after="120"/>
        <w:ind w:left="1980"/>
      </w:pPr>
      <w:r>
        <w:t xml:space="preserve">Percentage of older adult patients on LTOT who are co-prescribed a benzodiazepine </w:t>
      </w:r>
    </w:p>
    <w:p w:rsidR="002F6701" w:rsidP="00343D74" w:rsidRDefault="002F6701" w14:paraId="13D88911" w14:textId="07ECB22B">
      <w:pPr>
        <w:numPr>
          <w:ilvl w:val="3"/>
          <w:numId w:val="5"/>
        </w:numPr>
        <w:spacing w:after="120"/>
        <w:ind w:left="1980"/>
      </w:pPr>
      <w:r>
        <w:t xml:space="preserve">Percentage of older adult patients on LTOT who had the prescription drug monitoring program (PDMP) checked </w:t>
      </w:r>
    </w:p>
    <w:p w:rsidR="002F6701" w:rsidP="00343D74" w:rsidRDefault="002F6701" w14:paraId="750EFA15" w14:textId="1E7BD76B">
      <w:pPr>
        <w:numPr>
          <w:ilvl w:val="3"/>
          <w:numId w:val="5"/>
        </w:numPr>
        <w:spacing w:after="120"/>
        <w:ind w:left="1980"/>
      </w:pPr>
      <w:r>
        <w:t>Percentage of older adult patients on LTOT who have had a urine drug screen</w:t>
      </w:r>
    </w:p>
    <w:p w:rsidR="002F6701" w:rsidP="00343D74" w:rsidRDefault="002F6701" w14:paraId="5A9CFE93" w14:textId="1003D567">
      <w:pPr>
        <w:numPr>
          <w:ilvl w:val="3"/>
          <w:numId w:val="5"/>
        </w:numPr>
        <w:spacing w:after="120"/>
        <w:ind w:left="1980"/>
      </w:pPr>
      <w:r>
        <w:t>Number and percentage of providers assessed older adult patients for OUD</w:t>
      </w:r>
    </w:p>
    <w:p w:rsidR="002F6701" w:rsidP="00343D74" w:rsidRDefault="002F6701" w14:paraId="53DF2C7C" w14:textId="7E1E865D">
      <w:pPr>
        <w:numPr>
          <w:ilvl w:val="3"/>
          <w:numId w:val="5"/>
        </w:numPr>
        <w:spacing w:after="120"/>
        <w:ind w:left="1980"/>
      </w:pPr>
      <w:r>
        <w:t xml:space="preserve">Of the older adult patients with OUD, the percentage that are prescribed or referred to MAT </w:t>
      </w:r>
    </w:p>
    <w:p w:rsidR="002F6701" w:rsidP="00343D74" w:rsidRDefault="002F6701" w14:paraId="33BA7E25" w14:textId="74159598">
      <w:pPr>
        <w:numPr>
          <w:ilvl w:val="3"/>
          <w:numId w:val="5"/>
        </w:numPr>
        <w:spacing w:after="120"/>
        <w:ind w:left="1980"/>
      </w:pPr>
      <w:r>
        <w:t>Percentage of older adults patients on LTOT who are prescribed naloxone</w:t>
      </w:r>
    </w:p>
    <w:p w:rsidRPr="007E25DE" w:rsidR="002F6701" w:rsidP="00343D74" w:rsidRDefault="002F6701" w14:paraId="038EEB64" w14:textId="7B18D323">
      <w:pPr>
        <w:numPr>
          <w:ilvl w:val="3"/>
          <w:numId w:val="5"/>
        </w:numPr>
        <w:spacing w:after="120"/>
        <w:ind w:left="1980"/>
      </w:pPr>
      <w:r>
        <w:t>Number of BH providers engaged in pain management/opioid use</w:t>
      </w:r>
    </w:p>
    <w:p w:rsidRPr="00BD2A46" w:rsidR="0055196D" w:rsidP="00A568CA" w:rsidRDefault="0055196D" w14:paraId="334449CB" w14:textId="0268EDB7">
      <w:pPr>
        <w:pStyle w:val="ListParagraph"/>
        <w:numPr>
          <w:ilvl w:val="1"/>
          <w:numId w:val="7"/>
        </w:numPr>
        <w:tabs>
          <w:tab w:val="left" w:pos="360"/>
        </w:tabs>
        <w:spacing w:after="120"/>
        <w:ind w:left="1080"/>
        <w:contextualSpacing w:val="0"/>
        <w:rPr>
          <w:rFonts w:ascii="Times New Roman" w:hAnsi="Times New Roman" w:cs="Times New Roman"/>
          <w:b/>
        </w:rPr>
      </w:pPr>
      <w:r w:rsidRPr="00BD2A46">
        <w:rPr>
          <w:rFonts w:ascii="Times New Roman" w:hAnsi="Times New Roman" w:cs="Times New Roman"/>
          <w:b/>
        </w:rPr>
        <w:t>Secondary Data</w:t>
      </w:r>
    </w:p>
    <w:p w:rsidRPr="0055196D" w:rsidR="00B87FE0" w:rsidP="00A568CA" w:rsidRDefault="009D14E1" w14:paraId="38EE0671" w14:textId="7735E5A2">
      <w:pPr>
        <w:pStyle w:val="ListParagraph"/>
        <w:numPr>
          <w:ilvl w:val="2"/>
          <w:numId w:val="7"/>
        </w:numPr>
        <w:tabs>
          <w:tab w:val="left" w:pos="360"/>
          <w:tab w:val="left" w:pos="2700"/>
        </w:tabs>
        <w:spacing w:after="120"/>
        <w:ind w:left="1440" w:hanging="360"/>
        <w:contextualSpacing w:val="0"/>
        <w:rPr>
          <w:rFonts w:ascii="Times New Roman" w:hAnsi="Times New Roman" w:cs="Times New Roman"/>
        </w:rPr>
      </w:pPr>
      <w:r w:rsidRPr="0055196D">
        <w:rPr>
          <w:rFonts w:ascii="Times New Roman" w:hAnsi="Times New Roman" w:cs="Times New Roman"/>
          <w:b/>
        </w:rPr>
        <w:t>Practice documents</w:t>
      </w:r>
      <w:r w:rsidRPr="0055196D" w:rsidR="0055196D">
        <w:rPr>
          <w:rFonts w:ascii="Times New Roman" w:hAnsi="Times New Roman" w:cs="Times New Roman"/>
          <w:b/>
        </w:rPr>
        <w:t>.</w:t>
      </w:r>
      <w:r w:rsidRPr="0055196D">
        <w:rPr>
          <w:rFonts w:ascii="Times New Roman" w:hAnsi="Times New Roman" w:cs="Times New Roman"/>
          <w:b/>
        </w:rPr>
        <w:t xml:space="preserve"> </w:t>
      </w:r>
      <w:r w:rsidRPr="0055196D" w:rsidR="0055196D">
        <w:rPr>
          <w:rFonts w:ascii="Times New Roman" w:hAnsi="Times New Roman" w:cs="Times New Roman"/>
        </w:rPr>
        <w:t>S</w:t>
      </w:r>
      <w:r w:rsidRPr="0055196D">
        <w:rPr>
          <w:rFonts w:ascii="Times New Roman" w:hAnsi="Times New Roman" w:cs="Times New Roman"/>
        </w:rPr>
        <w:t xml:space="preserve">econdary data will be provided by the </w:t>
      </w:r>
      <w:r w:rsidR="00D76187">
        <w:rPr>
          <w:rFonts w:ascii="Times New Roman" w:hAnsi="Times New Roman" w:cs="Times New Roman"/>
        </w:rPr>
        <w:t xml:space="preserve">QI </w:t>
      </w:r>
      <w:r w:rsidRPr="0055196D">
        <w:rPr>
          <w:rFonts w:ascii="Times New Roman" w:hAnsi="Times New Roman" w:cs="Times New Roman"/>
        </w:rPr>
        <w:t>champion at each organization</w:t>
      </w:r>
      <w:r w:rsidR="000E189B">
        <w:rPr>
          <w:rFonts w:ascii="Times New Roman" w:hAnsi="Times New Roman" w:cs="Times New Roman"/>
        </w:rPr>
        <w:t xml:space="preserve"> at the end of the implementation</w:t>
      </w:r>
      <w:r w:rsidRPr="0055196D">
        <w:rPr>
          <w:rFonts w:ascii="Times New Roman" w:hAnsi="Times New Roman" w:cs="Times New Roman"/>
        </w:rPr>
        <w:t xml:space="preserve">. </w:t>
      </w:r>
      <w:r w:rsidRPr="0055196D" w:rsidR="0055196D">
        <w:rPr>
          <w:rFonts w:ascii="Times New Roman" w:hAnsi="Times New Roman" w:cs="Times New Roman"/>
        </w:rPr>
        <w:t xml:space="preserve">Documents that are relevant to the project </w:t>
      </w:r>
      <w:r w:rsidR="002B49DE">
        <w:rPr>
          <w:rFonts w:ascii="Times New Roman" w:hAnsi="Times New Roman" w:cs="Times New Roman"/>
        </w:rPr>
        <w:t>and</w:t>
      </w:r>
      <w:r w:rsidRPr="0055196D" w:rsidR="0055196D">
        <w:rPr>
          <w:rFonts w:ascii="Times New Roman" w:hAnsi="Times New Roman" w:cs="Times New Roman"/>
        </w:rPr>
        <w:t xml:space="preserve"> compiled as part of routine business practice, will be provided to </w:t>
      </w:r>
      <w:r w:rsidR="00BD45F0">
        <w:rPr>
          <w:rFonts w:ascii="Times New Roman" w:hAnsi="Times New Roman" w:cs="Times New Roman"/>
        </w:rPr>
        <w:t>the evaluation team</w:t>
      </w:r>
      <w:r w:rsidRPr="0055196D" w:rsidR="00BD45F0">
        <w:rPr>
          <w:rFonts w:ascii="Times New Roman" w:hAnsi="Times New Roman" w:cs="Times New Roman"/>
        </w:rPr>
        <w:t xml:space="preserve"> </w:t>
      </w:r>
      <w:r w:rsidRPr="0055196D" w:rsidR="0055196D">
        <w:rPr>
          <w:rFonts w:ascii="Times New Roman" w:hAnsi="Times New Roman" w:cs="Times New Roman"/>
        </w:rPr>
        <w:t xml:space="preserve">by the </w:t>
      </w:r>
      <w:r w:rsidR="00D76187">
        <w:rPr>
          <w:rFonts w:ascii="Times New Roman" w:hAnsi="Times New Roman" w:cs="Times New Roman"/>
        </w:rPr>
        <w:t xml:space="preserve">QI </w:t>
      </w:r>
      <w:r w:rsidRPr="0055196D" w:rsidR="0055196D">
        <w:rPr>
          <w:rFonts w:ascii="Times New Roman" w:hAnsi="Times New Roman" w:cs="Times New Roman"/>
        </w:rPr>
        <w:t xml:space="preserve">champion at each practice.  </w:t>
      </w:r>
      <w:r w:rsidRPr="0055196D" w:rsidR="00B87FE0">
        <w:rPr>
          <w:rFonts w:ascii="Times New Roman" w:hAnsi="Times New Roman" w:cs="Times New Roman"/>
        </w:rPr>
        <w:t xml:space="preserve">Examples </w:t>
      </w:r>
      <w:r w:rsidRPr="0055196D" w:rsidR="0055196D">
        <w:rPr>
          <w:rFonts w:ascii="Times New Roman" w:hAnsi="Times New Roman" w:cs="Times New Roman"/>
        </w:rPr>
        <w:t xml:space="preserve">of practice documents </w:t>
      </w:r>
      <w:r w:rsidRPr="0055196D" w:rsidR="00B87FE0">
        <w:rPr>
          <w:rFonts w:ascii="Times New Roman" w:hAnsi="Times New Roman" w:cs="Times New Roman"/>
        </w:rPr>
        <w:t>include:</w:t>
      </w:r>
    </w:p>
    <w:p w:rsidRPr="0055196D" w:rsidR="00B87FE0" w:rsidP="00A568CA" w:rsidRDefault="00B87FE0" w14:paraId="57497372" w14:textId="77777777">
      <w:pPr>
        <w:pStyle w:val="ListParagraph"/>
        <w:numPr>
          <w:ilvl w:val="3"/>
          <w:numId w:val="7"/>
        </w:numPr>
        <w:tabs>
          <w:tab w:val="left" w:pos="360"/>
        </w:tabs>
        <w:spacing w:after="120"/>
        <w:ind w:left="1980"/>
        <w:contextualSpacing w:val="0"/>
        <w:rPr>
          <w:rFonts w:ascii="Times New Roman" w:hAnsi="Times New Roman" w:cs="Times New Roman"/>
        </w:rPr>
      </w:pPr>
      <w:r w:rsidRPr="0055196D">
        <w:rPr>
          <w:rFonts w:ascii="Times New Roman" w:hAnsi="Times New Roman" w:cs="Times New Roman"/>
        </w:rPr>
        <w:t>A</w:t>
      </w:r>
      <w:r w:rsidRPr="0055196D" w:rsidR="00727196">
        <w:rPr>
          <w:rFonts w:ascii="Times New Roman" w:hAnsi="Times New Roman" w:cs="Times New Roman"/>
        </w:rPr>
        <w:t xml:space="preserve"> copy of new</w:t>
      </w:r>
      <w:r w:rsidRPr="0055196D">
        <w:rPr>
          <w:rFonts w:ascii="Times New Roman" w:hAnsi="Times New Roman" w:cs="Times New Roman"/>
        </w:rPr>
        <w:t>ly</w:t>
      </w:r>
      <w:r w:rsidRPr="0055196D" w:rsidR="00727196">
        <w:rPr>
          <w:rFonts w:ascii="Times New Roman" w:hAnsi="Times New Roman" w:cs="Times New Roman"/>
        </w:rPr>
        <w:t xml:space="preserve"> recommended policy </w:t>
      </w:r>
      <w:r w:rsidRPr="0055196D">
        <w:rPr>
          <w:rFonts w:ascii="Times New Roman" w:hAnsi="Times New Roman" w:cs="Times New Roman"/>
        </w:rPr>
        <w:t>and</w:t>
      </w:r>
      <w:r w:rsidRPr="0055196D" w:rsidR="00727196">
        <w:rPr>
          <w:rFonts w:ascii="Times New Roman" w:hAnsi="Times New Roman" w:cs="Times New Roman"/>
        </w:rPr>
        <w:t xml:space="preserve"> procedures for car</w:t>
      </w:r>
      <w:r w:rsidRPr="0055196D">
        <w:rPr>
          <w:rFonts w:ascii="Times New Roman" w:hAnsi="Times New Roman" w:cs="Times New Roman"/>
        </w:rPr>
        <w:t>ing</w:t>
      </w:r>
      <w:r w:rsidRPr="0055196D" w:rsidR="00727196">
        <w:rPr>
          <w:rFonts w:ascii="Times New Roman" w:hAnsi="Times New Roman" w:cs="Times New Roman"/>
        </w:rPr>
        <w:t xml:space="preserve"> for older adults</w:t>
      </w:r>
      <w:r w:rsidRPr="0055196D">
        <w:rPr>
          <w:rFonts w:ascii="Times New Roman" w:hAnsi="Times New Roman" w:cs="Times New Roman"/>
        </w:rPr>
        <w:t>.</w:t>
      </w:r>
    </w:p>
    <w:p w:rsidRPr="0055196D" w:rsidR="00B87FE0" w:rsidP="00A568CA" w:rsidRDefault="00B87FE0" w14:paraId="479ED25C" w14:textId="77777777">
      <w:pPr>
        <w:pStyle w:val="ListParagraph"/>
        <w:numPr>
          <w:ilvl w:val="3"/>
          <w:numId w:val="7"/>
        </w:numPr>
        <w:tabs>
          <w:tab w:val="left" w:pos="360"/>
        </w:tabs>
        <w:spacing w:after="120"/>
        <w:ind w:left="1980"/>
        <w:contextualSpacing w:val="0"/>
        <w:rPr>
          <w:rFonts w:ascii="Times New Roman" w:hAnsi="Times New Roman" w:cs="Times New Roman"/>
        </w:rPr>
      </w:pPr>
      <w:r w:rsidRPr="0055196D">
        <w:rPr>
          <w:rFonts w:ascii="Times New Roman" w:hAnsi="Times New Roman" w:cs="Times New Roman"/>
        </w:rPr>
        <w:t>M</w:t>
      </w:r>
      <w:r w:rsidRPr="0055196D" w:rsidR="00727196">
        <w:rPr>
          <w:rFonts w:ascii="Times New Roman" w:hAnsi="Times New Roman" w:cs="Times New Roman"/>
        </w:rPr>
        <w:t xml:space="preserve">eeting notes from kickoff </w:t>
      </w:r>
      <w:r w:rsidRPr="0055196D">
        <w:rPr>
          <w:rFonts w:ascii="Times New Roman" w:hAnsi="Times New Roman" w:cs="Times New Roman"/>
        </w:rPr>
        <w:t>with</w:t>
      </w:r>
      <w:r w:rsidRPr="0055196D" w:rsidR="00727196">
        <w:rPr>
          <w:rFonts w:ascii="Times New Roman" w:hAnsi="Times New Roman" w:cs="Times New Roman"/>
        </w:rPr>
        <w:t xml:space="preserve"> clinicians </w:t>
      </w:r>
      <w:r w:rsidRPr="0055196D">
        <w:rPr>
          <w:rFonts w:ascii="Times New Roman" w:hAnsi="Times New Roman" w:cs="Times New Roman"/>
        </w:rPr>
        <w:t>for</w:t>
      </w:r>
      <w:r w:rsidRPr="0055196D" w:rsidR="00727196">
        <w:rPr>
          <w:rFonts w:ascii="Times New Roman" w:hAnsi="Times New Roman" w:cs="Times New Roman"/>
        </w:rPr>
        <w:t xml:space="preserve"> how they are going to improve care </w:t>
      </w:r>
      <w:r w:rsidRPr="0055196D">
        <w:rPr>
          <w:rFonts w:ascii="Times New Roman" w:hAnsi="Times New Roman" w:cs="Times New Roman"/>
        </w:rPr>
        <w:t>and</w:t>
      </w:r>
      <w:r w:rsidRPr="0055196D" w:rsidR="00727196">
        <w:rPr>
          <w:rFonts w:ascii="Times New Roman" w:hAnsi="Times New Roman" w:cs="Times New Roman"/>
        </w:rPr>
        <w:t xml:space="preserve"> how they are going to implement these strategies. </w:t>
      </w:r>
    </w:p>
    <w:p w:rsidRPr="0055196D" w:rsidR="00B87FE0" w:rsidP="00A568CA" w:rsidRDefault="00727196" w14:paraId="5EF2E1A9" w14:textId="77777777">
      <w:pPr>
        <w:pStyle w:val="ListParagraph"/>
        <w:numPr>
          <w:ilvl w:val="3"/>
          <w:numId w:val="7"/>
        </w:numPr>
        <w:tabs>
          <w:tab w:val="left" w:pos="360"/>
        </w:tabs>
        <w:spacing w:after="120"/>
        <w:ind w:left="1980"/>
        <w:contextualSpacing w:val="0"/>
        <w:rPr>
          <w:rFonts w:ascii="Times New Roman" w:hAnsi="Times New Roman" w:cs="Times New Roman"/>
        </w:rPr>
      </w:pPr>
      <w:r w:rsidRPr="0055196D">
        <w:rPr>
          <w:rFonts w:ascii="Times New Roman" w:hAnsi="Times New Roman" w:cs="Times New Roman"/>
        </w:rPr>
        <w:t xml:space="preserve">Revised treatment </w:t>
      </w:r>
      <w:r w:rsidRPr="0055196D" w:rsidR="00B87FE0">
        <w:rPr>
          <w:rFonts w:ascii="Times New Roman" w:hAnsi="Times New Roman" w:cs="Times New Roman"/>
        </w:rPr>
        <w:t>agreements</w:t>
      </w:r>
      <w:r w:rsidRPr="0055196D">
        <w:rPr>
          <w:rFonts w:ascii="Times New Roman" w:hAnsi="Times New Roman" w:cs="Times New Roman"/>
        </w:rPr>
        <w:t xml:space="preserve"> tailored to </w:t>
      </w:r>
      <w:r w:rsidRPr="0055196D" w:rsidR="00B87FE0">
        <w:rPr>
          <w:rFonts w:ascii="Times New Roman" w:hAnsi="Times New Roman" w:cs="Times New Roman"/>
        </w:rPr>
        <w:t>older adults</w:t>
      </w:r>
      <w:r w:rsidRPr="0055196D">
        <w:rPr>
          <w:rFonts w:ascii="Times New Roman" w:hAnsi="Times New Roman" w:cs="Times New Roman"/>
        </w:rPr>
        <w:t xml:space="preserve"> (</w:t>
      </w:r>
      <w:r w:rsidRPr="0055196D" w:rsidR="00B87FE0">
        <w:rPr>
          <w:rFonts w:ascii="Times New Roman" w:hAnsi="Times New Roman" w:cs="Times New Roman"/>
        </w:rPr>
        <w:t xml:space="preserve">i.e., </w:t>
      </w:r>
      <w:r w:rsidRPr="0055196D">
        <w:rPr>
          <w:rFonts w:ascii="Times New Roman" w:hAnsi="Times New Roman" w:cs="Times New Roman"/>
        </w:rPr>
        <w:t xml:space="preserve">pain contract). </w:t>
      </w:r>
    </w:p>
    <w:p w:rsidRPr="0055196D" w:rsidR="00454448" w:rsidP="00A568CA" w:rsidRDefault="00727196" w14:paraId="3EC9ABAA" w14:textId="2D7BB764">
      <w:pPr>
        <w:pStyle w:val="ListParagraph"/>
        <w:numPr>
          <w:ilvl w:val="3"/>
          <w:numId w:val="7"/>
        </w:numPr>
        <w:tabs>
          <w:tab w:val="left" w:pos="360"/>
        </w:tabs>
        <w:spacing w:after="120"/>
        <w:ind w:left="1980"/>
        <w:contextualSpacing w:val="0"/>
        <w:rPr>
          <w:rFonts w:ascii="Times New Roman" w:hAnsi="Times New Roman" w:cs="Times New Roman"/>
        </w:rPr>
      </w:pPr>
      <w:r w:rsidRPr="0055196D">
        <w:rPr>
          <w:rFonts w:ascii="Times New Roman" w:hAnsi="Times New Roman" w:cs="Times New Roman"/>
        </w:rPr>
        <w:t xml:space="preserve">New patient education materials for </w:t>
      </w:r>
      <w:r w:rsidRPr="0055196D" w:rsidR="00B87FE0">
        <w:rPr>
          <w:rFonts w:ascii="Times New Roman" w:hAnsi="Times New Roman" w:cs="Times New Roman"/>
        </w:rPr>
        <w:t>older adults</w:t>
      </w:r>
      <w:r w:rsidRPr="0055196D">
        <w:rPr>
          <w:rFonts w:ascii="Times New Roman" w:hAnsi="Times New Roman" w:cs="Times New Roman"/>
        </w:rPr>
        <w:t xml:space="preserve"> and/or </w:t>
      </w:r>
      <w:r w:rsidRPr="0055196D" w:rsidR="00B87FE0">
        <w:rPr>
          <w:rFonts w:ascii="Times New Roman" w:hAnsi="Times New Roman" w:cs="Times New Roman"/>
        </w:rPr>
        <w:t xml:space="preserve">their </w:t>
      </w:r>
      <w:r w:rsidRPr="0055196D">
        <w:rPr>
          <w:rFonts w:ascii="Times New Roman" w:hAnsi="Times New Roman" w:cs="Times New Roman"/>
        </w:rPr>
        <w:t xml:space="preserve">caregivers. </w:t>
      </w:r>
    </w:p>
    <w:p w:rsidRPr="00527BBD" w:rsidR="00527BBD" w:rsidP="003600B8" w:rsidRDefault="00527BBD" w14:paraId="59CB6C60" w14:textId="77777777">
      <w:pPr>
        <w:pStyle w:val="BodyText"/>
      </w:pPr>
      <w:r w:rsidRPr="00527BBD">
        <w:t xml:space="preserve">This study is being conducted by AHRQ through its contractor, </w:t>
      </w:r>
      <w:proofErr w:type="spellStart"/>
      <w:r w:rsidRPr="00DF56E9" w:rsidR="00650CFA">
        <w:rPr>
          <w:rStyle w:val="CommentReference"/>
          <w:sz w:val="24"/>
          <w:szCs w:val="24"/>
        </w:rPr>
        <w:t>Abt</w:t>
      </w:r>
      <w:proofErr w:type="spellEnd"/>
      <w:r w:rsidRPr="00DF56E9" w:rsidR="00650CFA">
        <w:rPr>
          <w:rStyle w:val="CommentReference"/>
          <w:sz w:val="24"/>
          <w:szCs w:val="24"/>
        </w:rPr>
        <w:t xml:space="preserve"> Associates Inc.</w:t>
      </w:r>
      <w:r w:rsidRPr="00527BBD">
        <w:t xml:space="preserve">, pursuant to AHRQ’s statutory authority to conduct and support research on healthcare and on systems for the delivery of such care, including activities with respect to the quality, effectiveness, efficiency, appropriateness and value of healthcare services and with respect to quality measurement and improvement.  42 U.S.C. </w:t>
      </w:r>
      <w:proofErr w:type="gramStart"/>
      <w:r w:rsidRPr="00527BBD">
        <w:t>299a(</w:t>
      </w:r>
      <w:proofErr w:type="gramEnd"/>
      <w:r w:rsidRPr="00527BBD">
        <w:t>a)(1) and (2).</w:t>
      </w:r>
    </w:p>
    <w:p w:rsidRPr="00983636" w:rsidR="009B633D" w:rsidP="003600B8" w:rsidRDefault="009B633D" w14:paraId="6C0993FC" w14:textId="77777777">
      <w:pPr>
        <w:pStyle w:val="Heading2"/>
      </w:pPr>
      <w:bookmarkStart w:name="_Toc151782177" w:id="6"/>
      <w:bookmarkStart w:name="_Toc158526217" w:id="7"/>
      <w:bookmarkStart w:name="_Toc38531518" w:id="8"/>
      <w:r w:rsidRPr="00983636">
        <w:t xml:space="preserve">2. </w:t>
      </w:r>
      <w:r w:rsidRPr="00B92618">
        <w:t>Purpose and Use of Information</w:t>
      </w:r>
      <w:bookmarkEnd w:id="6"/>
      <w:bookmarkEnd w:id="7"/>
      <w:bookmarkEnd w:id="8"/>
    </w:p>
    <w:p w:rsidR="00C4006D" w:rsidP="003600B8" w:rsidRDefault="00204509" w14:paraId="467F2714" w14:textId="7E7D4373">
      <w:pPr>
        <w:pStyle w:val="BodyText"/>
        <w:rPr>
          <w:color w:val="000000"/>
        </w:rPr>
      </w:pPr>
      <w:r>
        <w:t xml:space="preserve">The purpose of the proposed data collection effort is </w:t>
      </w:r>
      <w:r w:rsidR="00F7583E">
        <w:t xml:space="preserve">to </w:t>
      </w:r>
      <w:r w:rsidR="0043362E">
        <w:t xml:space="preserve">1) </w:t>
      </w:r>
      <w:r w:rsidR="00F7583E">
        <w:t>assess and describe current perceptions of the challenges associated with managing opioid use</w:t>
      </w:r>
      <w:r w:rsidR="00FE2B64">
        <w:t>,</w:t>
      </w:r>
      <w:r w:rsidR="00F7583E">
        <w:t xml:space="preserve"> misuse</w:t>
      </w:r>
      <w:r w:rsidR="00FE2B64">
        <w:t xml:space="preserve"> and abuse</w:t>
      </w:r>
      <w:r w:rsidR="00F7583E">
        <w:t xml:space="preserve"> in older adults; </w:t>
      </w:r>
      <w:r w:rsidR="000A4317">
        <w:t xml:space="preserve">and 2) </w:t>
      </w:r>
      <w:r w:rsidR="00F7583E">
        <w:t xml:space="preserve">create a </w:t>
      </w:r>
      <w:r w:rsidR="0043362E">
        <w:t xml:space="preserve">final, public-facing </w:t>
      </w:r>
      <w:r w:rsidR="00441E08">
        <w:t xml:space="preserve">Compendium </w:t>
      </w:r>
      <w:r w:rsidR="00F7583E">
        <w:t xml:space="preserve">of </w:t>
      </w:r>
      <w:r w:rsidR="0043362E">
        <w:t>Strategies</w:t>
      </w:r>
      <w:r w:rsidR="00F7583E">
        <w:t xml:space="preserve"> for </w:t>
      </w:r>
      <w:r w:rsidR="0043362E">
        <w:t xml:space="preserve">the management of </w:t>
      </w:r>
      <w:r w:rsidR="00F7583E">
        <w:t>opioid use</w:t>
      </w:r>
      <w:r w:rsidR="00FE2B64">
        <w:t xml:space="preserve">, </w:t>
      </w:r>
      <w:r w:rsidR="00F7583E">
        <w:t>misuse</w:t>
      </w:r>
      <w:r w:rsidR="00FE2B64">
        <w:t xml:space="preserve"> and abuse</w:t>
      </w:r>
      <w:r w:rsidR="00F7583E">
        <w:t xml:space="preserve"> in older adults in primary care settings.</w:t>
      </w:r>
      <w:r w:rsidRPr="00F7583E" w:rsidR="00F7583E">
        <w:t xml:space="preserve">  </w:t>
      </w:r>
    </w:p>
    <w:p w:rsidR="0048256B" w:rsidP="003600B8" w:rsidRDefault="00FD3F3F" w14:paraId="5047C70F" w14:textId="0E771AA8">
      <w:pPr>
        <w:pStyle w:val="BodyText"/>
        <w:rPr>
          <w:color w:val="000000"/>
        </w:rPr>
      </w:pPr>
      <w:r w:rsidRPr="00F7583E">
        <w:t xml:space="preserve">The evaluation </w:t>
      </w:r>
      <w:r>
        <w:t xml:space="preserve">of the strategies implemented by learning collaborative </w:t>
      </w:r>
      <w:r w:rsidR="00441E08">
        <w:t>PCP</w:t>
      </w:r>
      <w:r>
        <w:t xml:space="preserve">s </w:t>
      </w:r>
      <w:r w:rsidRPr="00F7583E">
        <w:t>is a hybrid type III implementation-effectiveness design</w:t>
      </w:r>
      <w:r w:rsidR="00A22E0C">
        <w:t>.</w:t>
      </w:r>
      <w:r>
        <w:rPr>
          <w:rStyle w:val="EndnoteReference"/>
        </w:rPr>
        <w:endnoteReference w:id="21"/>
      </w:r>
      <w:r>
        <w:t xml:space="preserve"> </w:t>
      </w:r>
      <w:r w:rsidRPr="00AD38AF" w:rsidR="00AD38AF">
        <w:rPr>
          <w:color w:val="000000"/>
        </w:rPr>
        <w:t xml:space="preserve">The data collected will help the project team: 1) understand the </w:t>
      </w:r>
      <w:r>
        <w:rPr>
          <w:color w:val="000000"/>
        </w:rPr>
        <w:t xml:space="preserve">feasibility and effectiveness of implementing </w:t>
      </w:r>
      <w:r w:rsidRPr="00F7583E">
        <w:t>the strategies on workflow</w:t>
      </w:r>
      <w:r>
        <w:t xml:space="preserve"> and</w:t>
      </w:r>
      <w:r w:rsidRPr="00F7583E">
        <w:t xml:space="preserve"> processes</w:t>
      </w:r>
      <w:r>
        <w:t>, 2) illustrate</w:t>
      </w:r>
      <w:r w:rsidRPr="00F7583E">
        <w:t xml:space="preserve"> </w:t>
      </w:r>
      <w:r>
        <w:t xml:space="preserve">the effectiveness of the strategies on </w:t>
      </w:r>
      <w:r w:rsidRPr="00F7583E">
        <w:t>intermediate outcomes</w:t>
      </w:r>
      <w:r>
        <w:t xml:space="preserve">, </w:t>
      </w:r>
      <w:r>
        <w:rPr>
          <w:color w:val="000000"/>
        </w:rPr>
        <w:t xml:space="preserve">3) </w:t>
      </w:r>
      <w:r w:rsidRPr="00AD38AF" w:rsidR="00AD38AF">
        <w:rPr>
          <w:color w:val="000000"/>
        </w:rPr>
        <w:t xml:space="preserve">recommend </w:t>
      </w:r>
      <w:r>
        <w:rPr>
          <w:color w:val="000000"/>
        </w:rPr>
        <w:t xml:space="preserve">changes or </w:t>
      </w:r>
      <w:r w:rsidRPr="00AD38AF" w:rsidR="00AD38AF">
        <w:rPr>
          <w:color w:val="000000"/>
        </w:rPr>
        <w:t xml:space="preserve">improvements to </w:t>
      </w:r>
      <w:r>
        <w:rPr>
          <w:color w:val="000000"/>
        </w:rPr>
        <w:t xml:space="preserve">the strategies tailored to needs and workflow of </w:t>
      </w:r>
      <w:r w:rsidR="00620475">
        <w:rPr>
          <w:color w:val="000000"/>
        </w:rPr>
        <w:t xml:space="preserve">specific </w:t>
      </w:r>
      <w:r>
        <w:rPr>
          <w:color w:val="000000"/>
        </w:rPr>
        <w:t>practices</w:t>
      </w:r>
      <w:r w:rsidR="00620475">
        <w:rPr>
          <w:color w:val="000000"/>
        </w:rPr>
        <w:t xml:space="preserve">, and 4) culminate in the development of a public-facing </w:t>
      </w:r>
      <w:r w:rsidR="00441E08">
        <w:rPr>
          <w:color w:val="000000"/>
        </w:rPr>
        <w:t xml:space="preserve">Compendium </w:t>
      </w:r>
      <w:r w:rsidR="00620475">
        <w:rPr>
          <w:color w:val="000000"/>
        </w:rPr>
        <w:t xml:space="preserve">of </w:t>
      </w:r>
      <w:r w:rsidR="00441E08">
        <w:rPr>
          <w:color w:val="000000"/>
        </w:rPr>
        <w:t>Strategies</w:t>
      </w:r>
      <w:r w:rsidR="001776D9">
        <w:rPr>
          <w:color w:val="000000"/>
        </w:rPr>
        <w:t>.</w:t>
      </w:r>
      <w:r w:rsidRPr="00AD38AF" w:rsidR="001776D9">
        <w:rPr>
          <w:color w:val="000000"/>
        </w:rPr>
        <w:t xml:space="preserve"> </w:t>
      </w:r>
      <w:r w:rsidRPr="00AD38AF" w:rsidR="00AD38AF">
        <w:rPr>
          <w:color w:val="000000"/>
        </w:rPr>
        <w:t xml:space="preserve">The data collection effort </w:t>
      </w:r>
      <w:r>
        <w:rPr>
          <w:color w:val="000000"/>
        </w:rPr>
        <w:t xml:space="preserve">will provide feedback that will inform the final version of a </w:t>
      </w:r>
      <w:r w:rsidR="00441E08">
        <w:rPr>
          <w:color w:val="000000"/>
        </w:rPr>
        <w:t xml:space="preserve">Compendium </w:t>
      </w:r>
      <w:r>
        <w:rPr>
          <w:color w:val="000000"/>
        </w:rPr>
        <w:t>of tools and resources for the prevention, management and treatment of opioid use</w:t>
      </w:r>
      <w:r w:rsidR="00FE2B64">
        <w:rPr>
          <w:color w:val="000000"/>
        </w:rPr>
        <w:t xml:space="preserve">, </w:t>
      </w:r>
      <w:r>
        <w:rPr>
          <w:color w:val="000000"/>
        </w:rPr>
        <w:t>misuse</w:t>
      </w:r>
      <w:r w:rsidR="00FE2B64">
        <w:rPr>
          <w:color w:val="000000"/>
        </w:rPr>
        <w:t xml:space="preserve"> and abuse</w:t>
      </w:r>
      <w:r>
        <w:rPr>
          <w:color w:val="000000"/>
        </w:rPr>
        <w:t xml:space="preserve"> in older adults. </w:t>
      </w:r>
      <w:r w:rsidR="0048256B">
        <w:rPr>
          <w:color w:val="000000"/>
        </w:rPr>
        <w:t xml:space="preserve">The </w:t>
      </w:r>
      <w:r w:rsidR="00441E08">
        <w:rPr>
          <w:color w:val="000000"/>
        </w:rPr>
        <w:t xml:space="preserve">Compendium </w:t>
      </w:r>
      <w:r w:rsidR="0048256B">
        <w:rPr>
          <w:color w:val="000000"/>
        </w:rPr>
        <w:t xml:space="preserve">content will be driven by the findings, along with the concepts outlined in the Six Building Blocks of Opioid Management as the framework. </w:t>
      </w:r>
      <w:r w:rsidR="0048256B">
        <w:t>The Six Building Blocks study, funded by AHRQ, clearly demonstrated that changes in clinic systems can result in significant changes in opioid prescribing.</w:t>
      </w:r>
      <w:r w:rsidR="0048256B">
        <w:rPr>
          <w:rStyle w:val="EndnoteReference"/>
          <w:color w:val="000000"/>
          <w:szCs w:val="23"/>
        </w:rPr>
        <w:endnoteReference w:id="22"/>
      </w:r>
      <w:r w:rsidR="0048256B">
        <w:t xml:space="preserve"> </w:t>
      </w:r>
      <w:r w:rsidR="0048256B">
        <w:rPr>
          <w:color w:val="000000"/>
        </w:rPr>
        <w:t xml:space="preserve"> We will identify and adapt examples of how each building block can be applied uniquely to older adults’ care </w:t>
      </w:r>
      <w:r w:rsidR="0043362E">
        <w:rPr>
          <w:color w:val="000000"/>
        </w:rPr>
        <w:t>in the following graphic</w:t>
      </w:r>
      <w:r w:rsidR="0048256B">
        <w:rPr>
          <w:color w:val="000000"/>
        </w:rPr>
        <w:t xml:space="preserve">. </w:t>
      </w:r>
    </w:p>
    <w:p w:rsidR="002722F2" w:rsidRDefault="002722F2" w14:paraId="7F3957FC" w14:textId="77777777">
      <w:pPr>
        <w:rPr>
          <w:rStyle w:val="Hyperlink"/>
          <w:rFonts w:ascii="Arial Narrow" w:hAnsi="Arial Narrow" w:eastAsiaTheme="minorHAnsi" w:cstheme="minorBidi"/>
          <w:b/>
          <w:i/>
          <w:sz w:val="22"/>
          <w:szCs w:val="22"/>
        </w:rPr>
      </w:pPr>
      <w:r>
        <w:rPr>
          <w:rStyle w:val="Hyperlink"/>
        </w:rPr>
        <w:br w:type="page"/>
      </w:r>
    </w:p>
    <w:p w:rsidRPr="00CE61A5" w:rsidR="0048256B" w:rsidP="00CE61A5" w:rsidRDefault="0048256B" w14:paraId="14DDB65D" w14:textId="002921DE">
      <w:pPr>
        <w:pStyle w:val="Caption"/>
        <w:rPr>
          <w:rStyle w:val="Hyperlink"/>
          <w:color w:val="auto"/>
          <w:u w:val="none"/>
        </w:rPr>
      </w:pPr>
      <w:r w:rsidRPr="00CE61A5">
        <w:rPr>
          <w:rStyle w:val="Hyperlink"/>
          <w:color w:val="auto"/>
          <w:u w:val="none"/>
        </w:rPr>
        <w:t xml:space="preserve">Adaptations of the 6BBs Change Framework for Older Adults </w:t>
      </w:r>
    </w:p>
    <w:tbl>
      <w:tblPr>
        <w:tblStyle w:val="TableGrid"/>
        <w:tblW w:w="5092" w:type="pct"/>
        <w:tblInd w:w="-180" w:type="dxa"/>
        <w:tblLayout w:type="fixed"/>
        <w:tblCellMar>
          <w:left w:w="43" w:type="dxa"/>
          <w:right w:w="43" w:type="dxa"/>
        </w:tblCellMar>
        <w:tblLook w:val="04A0" w:firstRow="1" w:lastRow="0" w:firstColumn="1" w:lastColumn="0" w:noHBand="0" w:noVBand="1"/>
      </w:tblPr>
      <w:tblGrid>
        <w:gridCol w:w="990"/>
        <w:gridCol w:w="1530"/>
        <w:gridCol w:w="6274"/>
      </w:tblGrid>
      <w:tr w:rsidRPr="00981F92" w:rsidR="0048256B" w:rsidTr="00CE61A5" w14:paraId="31C766E3" w14:textId="77777777">
        <w:trPr>
          <w:tblHeader/>
        </w:trPr>
        <w:tc>
          <w:tcPr>
            <w:tcW w:w="990" w:type="dxa"/>
            <w:tcBorders>
              <w:top w:val="nil"/>
              <w:left w:val="nil"/>
              <w:bottom w:val="nil"/>
            </w:tcBorders>
            <w:shd w:val="clear" w:color="auto" w:fill="auto"/>
            <w:vAlign w:val="center"/>
          </w:tcPr>
          <w:p w:rsidRPr="00981F92" w:rsidR="0048256B" w:rsidP="00372695" w:rsidRDefault="0048256B" w14:paraId="18A9C60F" w14:textId="77777777">
            <w:pPr>
              <w:pStyle w:val="TableColumnHeader"/>
              <w:keepNext/>
              <w:jc w:val="left"/>
              <w:rPr>
                <w:sz w:val="22"/>
                <w:szCs w:val="22"/>
              </w:rPr>
            </w:pPr>
          </w:p>
        </w:tc>
        <w:tc>
          <w:tcPr>
            <w:tcW w:w="1530" w:type="dxa"/>
            <w:shd w:val="clear" w:color="auto" w:fill="44546A" w:themeFill="text2"/>
            <w:vAlign w:val="center"/>
          </w:tcPr>
          <w:p w:rsidRPr="00981F92" w:rsidR="0048256B" w:rsidP="00372695" w:rsidRDefault="0048256B" w14:paraId="441FF0BC" w14:textId="77777777">
            <w:pPr>
              <w:pStyle w:val="TableColumnHeader"/>
              <w:keepNext/>
              <w:rPr>
                <w:sz w:val="22"/>
                <w:szCs w:val="22"/>
              </w:rPr>
            </w:pPr>
            <w:r w:rsidRPr="00981F92">
              <w:rPr>
                <w:sz w:val="22"/>
                <w:szCs w:val="22"/>
              </w:rPr>
              <w:t xml:space="preserve">Six Building Blocks </w:t>
            </w:r>
          </w:p>
        </w:tc>
        <w:tc>
          <w:tcPr>
            <w:tcW w:w="6274" w:type="dxa"/>
            <w:shd w:val="clear" w:color="auto" w:fill="44546A" w:themeFill="text2"/>
            <w:vAlign w:val="center"/>
          </w:tcPr>
          <w:p w:rsidRPr="00981F92" w:rsidR="0048256B" w:rsidP="00372695" w:rsidRDefault="0048256B" w14:paraId="18633A7C" w14:textId="77777777">
            <w:pPr>
              <w:pStyle w:val="TableColumnHeader"/>
              <w:keepNext/>
              <w:rPr>
                <w:sz w:val="22"/>
                <w:szCs w:val="22"/>
              </w:rPr>
            </w:pPr>
            <w:r w:rsidRPr="00981F92">
              <w:rPr>
                <w:sz w:val="22"/>
                <w:szCs w:val="22"/>
              </w:rPr>
              <w:t xml:space="preserve">Adaptations or Strategies </w:t>
            </w:r>
            <w:r>
              <w:rPr>
                <w:sz w:val="22"/>
                <w:szCs w:val="22"/>
              </w:rPr>
              <w:br/>
            </w:r>
            <w:r w:rsidRPr="00981F92">
              <w:rPr>
                <w:sz w:val="22"/>
                <w:szCs w:val="22"/>
              </w:rPr>
              <w:t xml:space="preserve">Tailored to Older Adults </w:t>
            </w:r>
          </w:p>
        </w:tc>
      </w:tr>
      <w:tr w:rsidRPr="00981F92" w:rsidR="0048256B" w:rsidTr="00CE61A5" w14:paraId="62EBEFFB" w14:textId="77777777">
        <w:tc>
          <w:tcPr>
            <w:tcW w:w="990" w:type="dxa"/>
            <w:tcBorders>
              <w:top w:val="nil"/>
              <w:left w:val="nil"/>
              <w:bottom w:val="nil"/>
            </w:tcBorders>
            <w:shd w:val="clear" w:color="auto" w:fill="auto"/>
            <w:vAlign w:val="center"/>
          </w:tcPr>
          <w:p w:rsidRPr="00981F92" w:rsidR="0048256B" w:rsidP="00372695" w:rsidRDefault="0048256B" w14:paraId="49C2E303" w14:textId="77777777">
            <w:pPr>
              <w:pStyle w:val="TableText"/>
              <w:ind w:left="302" w:hanging="302"/>
              <w:rPr>
                <w:b/>
                <w:sz w:val="22"/>
                <w:szCs w:val="22"/>
              </w:rPr>
            </w:pPr>
            <w:r w:rsidRPr="003D0554">
              <w:rPr>
                <w:noProof/>
              </w:rPr>
              <w:drawing>
                <wp:inline distT="0" distB="0" distL="0" distR="0" wp14:anchorId="7952CDFA" wp14:editId="78B4DBB7">
                  <wp:extent cx="590550" cy="5168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a:extLst>
                              <a:ext uri="{28A0092B-C50C-407E-A947-70E740481C1C}">
                                <a14:useLocalDpi xmlns:a14="http://schemas.microsoft.com/office/drawing/2010/main" val="0"/>
                              </a:ext>
                            </a:extLst>
                          </a:blip>
                          <a:srcRect l="-399" t="2298" r="85074" b="82696"/>
                          <a:stretch/>
                        </pic:blipFill>
                        <pic:spPr bwMode="auto">
                          <a:xfrm>
                            <a:off x="0" y="0"/>
                            <a:ext cx="590550" cy="516835"/>
                          </a:xfrm>
                          <a:prstGeom prst="rect">
                            <a:avLst/>
                          </a:prstGeom>
                          <a:ln>
                            <a:noFill/>
                          </a:ln>
                          <a:extLst>
                            <a:ext uri="{53640926-AAD7-44D8-BBD7-CCE9431645EC}">
                              <a14:shadowObscured xmlns:a14="http://schemas.microsoft.com/office/drawing/2010/main"/>
                            </a:ext>
                          </a:extLst>
                        </pic:spPr>
                      </pic:pic>
                    </a:graphicData>
                  </a:graphic>
                </wp:inline>
              </w:drawing>
            </w:r>
          </w:p>
        </w:tc>
        <w:tc>
          <w:tcPr>
            <w:tcW w:w="1530" w:type="dxa"/>
            <w:shd w:val="clear" w:color="auto" w:fill="9FEBE9"/>
            <w:vAlign w:val="center"/>
          </w:tcPr>
          <w:p w:rsidRPr="00981F92" w:rsidR="0048256B" w:rsidP="00CE61A5" w:rsidRDefault="0048256B" w14:paraId="548BCE0B" w14:textId="31D4C000">
            <w:pPr>
              <w:pStyle w:val="TableText"/>
              <w:ind w:left="302" w:hanging="302"/>
              <w:jc w:val="both"/>
              <w:rPr>
                <w:sz w:val="22"/>
                <w:szCs w:val="22"/>
              </w:rPr>
            </w:pPr>
            <w:r w:rsidRPr="00981F92">
              <w:rPr>
                <w:b/>
                <w:sz w:val="22"/>
                <w:szCs w:val="22"/>
              </w:rPr>
              <w:t>1:</w:t>
            </w:r>
            <w:r w:rsidR="00CE61A5">
              <w:rPr>
                <w:b/>
                <w:sz w:val="22"/>
                <w:szCs w:val="22"/>
              </w:rPr>
              <w:tab/>
            </w:r>
            <w:r w:rsidRPr="00981F92">
              <w:rPr>
                <w:b/>
                <w:sz w:val="22"/>
                <w:szCs w:val="22"/>
              </w:rPr>
              <w:t xml:space="preserve">Leadership &amp; consensus </w:t>
            </w:r>
          </w:p>
        </w:tc>
        <w:tc>
          <w:tcPr>
            <w:tcW w:w="6274" w:type="dxa"/>
            <w:shd w:val="clear" w:color="auto" w:fill="auto"/>
            <w:vAlign w:val="center"/>
          </w:tcPr>
          <w:p w:rsidRPr="00981F92" w:rsidR="0048256B" w:rsidP="00372695" w:rsidRDefault="0048256B" w14:paraId="126C61AD" w14:textId="77777777">
            <w:pPr>
              <w:pStyle w:val="TableBullets"/>
              <w:spacing w:before="20" w:after="20"/>
              <w:ind w:left="216" w:hanging="216"/>
              <w:contextualSpacing/>
              <w:rPr>
                <w:sz w:val="22"/>
                <w:szCs w:val="22"/>
              </w:rPr>
            </w:pPr>
            <w:r w:rsidRPr="00981F92">
              <w:rPr>
                <w:sz w:val="22"/>
                <w:szCs w:val="22"/>
              </w:rPr>
              <w:t xml:space="preserve">No anticipated adaptations needed </w:t>
            </w:r>
          </w:p>
        </w:tc>
      </w:tr>
      <w:tr w:rsidRPr="00981F92" w:rsidR="0048256B" w:rsidTr="00CE61A5" w14:paraId="37552411" w14:textId="77777777">
        <w:tc>
          <w:tcPr>
            <w:tcW w:w="990" w:type="dxa"/>
            <w:tcBorders>
              <w:top w:val="nil"/>
              <w:left w:val="nil"/>
              <w:bottom w:val="nil"/>
            </w:tcBorders>
            <w:shd w:val="clear" w:color="auto" w:fill="auto"/>
            <w:vAlign w:val="center"/>
          </w:tcPr>
          <w:p w:rsidRPr="00981F92" w:rsidR="0048256B" w:rsidP="00372695" w:rsidRDefault="0048256B" w14:paraId="10624AA0" w14:textId="77777777">
            <w:pPr>
              <w:pStyle w:val="TableText"/>
              <w:ind w:left="302" w:hanging="302"/>
              <w:rPr>
                <w:b/>
                <w:sz w:val="22"/>
                <w:szCs w:val="22"/>
              </w:rPr>
            </w:pPr>
            <w:r w:rsidRPr="003D0554">
              <w:rPr>
                <w:noProof/>
              </w:rPr>
              <w:drawing>
                <wp:inline distT="0" distB="0" distL="0" distR="0" wp14:anchorId="4D5DEAE6" wp14:editId="2709574B">
                  <wp:extent cx="590538" cy="588397"/>
                  <wp:effectExtent l="0" t="0" r="635"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a:extLst>
                              <a:ext uri="{28A0092B-C50C-407E-A947-70E740481C1C}">
                                <a14:useLocalDpi xmlns:a14="http://schemas.microsoft.com/office/drawing/2010/main" val="0"/>
                              </a:ext>
                            </a:extLst>
                          </a:blip>
                          <a:srcRect l="-399" t="17304" r="85074" b="65613"/>
                          <a:stretch/>
                        </pic:blipFill>
                        <pic:spPr bwMode="auto">
                          <a:xfrm>
                            <a:off x="0" y="0"/>
                            <a:ext cx="590550" cy="588409"/>
                          </a:xfrm>
                          <a:prstGeom prst="rect">
                            <a:avLst/>
                          </a:prstGeom>
                          <a:ln>
                            <a:noFill/>
                          </a:ln>
                          <a:extLst>
                            <a:ext uri="{53640926-AAD7-44D8-BBD7-CCE9431645EC}">
                              <a14:shadowObscured xmlns:a14="http://schemas.microsoft.com/office/drawing/2010/main"/>
                            </a:ext>
                          </a:extLst>
                        </pic:spPr>
                      </pic:pic>
                    </a:graphicData>
                  </a:graphic>
                </wp:inline>
              </w:drawing>
            </w:r>
          </w:p>
        </w:tc>
        <w:tc>
          <w:tcPr>
            <w:tcW w:w="1530" w:type="dxa"/>
            <w:shd w:val="clear" w:color="auto" w:fill="FFFF99"/>
            <w:vAlign w:val="center"/>
          </w:tcPr>
          <w:p w:rsidRPr="00981F92" w:rsidR="0048256B" w:rsidP="00372695" w:rsidRDefault="0048256B" w14:paraId="25D598D2" w14:textId="77777777">
            <w:pPr>
              <w:pStyle w:val="TableText"/>
              <w:ind w:left="302" w:hanging="302"/>
              <w:rPr>
                <w:b/>
                <w:sz w:val="22"/>
                <w:szCs w:val="22"/>
              </w:rPr>
            </w:pPr>
            <w:r w:rsidRPr="00981F92">
              <w:rPr>
                <w:b/>
                <w:sz w:val="22"/>
                <w:szCs w:val="22"/>
              </w:rPr>
              <w:t>2:</w:t>
            </w:r>
            <w:r w:rsidRPr="00981F92">
              <w:rPr>
                <w:b/>
                <w:sz w:val="22"/>
                <w:szCs w:val="22"/>
              </w:rPr>
              <w:tab/>
              <w:t>Policies, patient agreements &amp; workflows</w:t>
            </w:r>
          </w:p>
        </w:tc>
        <w:tc>
          <w:tcPr>
            <w:tcW w:w="6274" w:type="dxa"/>
            <w:shd w:val="clear" w:color="auto" w:fill="auto"/>
            <w:vAlign w:val="center"/>
          </w:tcPr>
          <w:p w:rsidRPr="00981F92" w:rsidR="0048256B" w:rsidP="00372695" w:rsidRDefault="0048256B" w14:paraId="0E5468B7" w14:textId="77777777">
            <w:pPr>
              <w:pStyle w:val="TableBullets"/>
              <w:spacing w:before="20" w:after="20"/>
              <w:ind w:left="216" w:hanging="216"/>
              <w:contextualSpacing/>
              <w:rPr>
                <w:sz w:val="22"/>
                <w:szCs w:val="22"/>
              </w:rPr>
            </w:pPr>
            <w:r w:rsidRPr="00981F92">
              <w:rPr>
                <w:rFonts w:cs="Times New Roman"/>
                <w:sz w:val="22"/>
                <w:szCs w:val="22"/>
              </w:rPr>
              <w:t>Tailor policies for older adults (e.g., additional monitoring)</w:t>
            </w:r>
          </w:p>
          <w:p w:rsidRPr="00981F92" w:rsidR="0048256B" w:rsidP="00372695" w:rsidRDefault="0048256B" w14:paraId="5741DF57" w14:textId="77777777">
            <w:pPr>
              <w:pStyle w:val="TableBullets"/>
              <w:spacing w:before="20" w:after="20"/>
              <w:ind w:left="216" w:hanging="216"/>
              <w:contextualSpacing/>
              <w:rPr>
                <w:sz w:val="22"/>
                <w:szCs w:val="22"/>
              </w:rPr>
            </w:pPr>
            <w:r w:rsidRPr="00981F92">
              <w:rPr>
                <w:rFonts w:cs="Times New Roman"/>
                <w:sz w:val="22"/>
                <w:szCs w:val="22"/>
              </w:rPr>
              <w:t xml:space="preserve">Establish </w:t>
            </w:r>
            <w:r w:rsidRPr="00981F92">
              <w:rPr>
                <w:b/>
                <w:i/>
                <w:sz w:val="22"/>
                <w:szCs w:val="22"/>
              </w:rPr>
              <w:t xml:space="preserve">Medicare Annual Wellness Visit </w:t>
            </w:r>
            <w:r w:rsidRPr="00981F92">
              <w:rPr>
                <w:rFonts w:cs="Times New Roman"/>
                <w:sz w:val="22"/>
                <w:szCs w:val="22"/>
              </w:rPr>
              <w:t xml:space="preserve">workflow to incorporate assessing for misuse and OUD, pulling prescription drug monitoring program (PDMP) data, etc. </w:t>
            </w:r>
          </w:p>
          <w:p w:rsidR="0048256B" w:rsidP="00372695" w:rsidRDefault="0048256B" w14:paraId="1521E28D" w14:textId="77777777">
            <w:pPr>
              <w:pStyle w:val="TableBullets"/>
              <w:spacing w:before="20" w:after="20"/>
              <w:ind w:left="216" w:hanging="216"/>
              <w:contextualSpacing/>
              <w:rPr>
                <w:sz w:val="22"/>
                <w:szCs w:val="22"/>
              </w:rPr>
            </w:pPr>
            <w:r w:rsidRPr="00981F92">
              <w:rPr>
                <w:sz w:val="22"/>
                <w:szCs w:val="22"/>
              </w:rPr>
              <w:t>Refer older adults on multiple medications for polypharmacy review by pharmacist</w:t>
            </w:r>
          </w:p>
          <w:p w:rsidRPr="00981F92" w:rsidR="0048256B" w:rsidP="00372695" w:rsidRDefault="0048256B" w14:paraId="4FFCFBCF" w14:textId="77777777">
            <w:pPr>
              <w:pStyle w:val="TableBullets"/>
              <w:spacing w:before="20" w:after="20"/>
              <w:ind w:left="216" w:hanging="216"/>
              <w:contextualSpacing/>
              <w:rPr>
                <w:sz w:val="22"/>
                <w:szCs w:val="22"/>
              </w:rPr>
            </w:pPr>
            <w:r>
              <w:rPr>
                <w:sz w:val="22"/>
                <w:szCs w:val="22"/>
              </w:rPr>
              <w:t>Education and training on non-opioid, effective pain management options for older adults</w:t>
            </w:r>
          </w:p>
        </w:tc>
      </w:tr>
      <w:tr w:rsidRPr="00981F92" w:rsidR="0048256B" w:rsidTr="00CE61A5" w14:paraId="108AF147" w14:textId="77777777">
        <w:tc>
          <w:tcPr>
            <w:tcW w:w="990" w:type="dxa"/>
            <w:tcBorders>
              <w:top w:val="nil"/>
              <w:left w:val="nil"/>
              <w:bottom w:val="nil"/>
            </w:tcBorders>
            <w:shd w:val="clear" w:color="auto" w:fill="auto"/>
            <w:vAlign w:val="center"/>
          </w:tcPr>
          <w:p w:rsidRPr="00981F92" w:rsidR="0048256B" w:rsidP="00372695" w:rsidRDefault="0048256B" w14:paraId="58558148" w14:textId="77777777">
            <w:pPr>
              <w:pStyle w:val="TableText"/>
              <w:ind w:left="302" w:hanging="302"/>
              <w:rPr>
                <w:b/>
                <w:sz w:val="22"/>
                <w:szCs w:val="22"/>
              </w:rPr>
            </w:pPr>
            <w:r w:rsidRPr="003D0554">
              <w:rPr>
                <w:noProof/>
              </w:rPr>
              <w:drawing>
                <wp:inline distT="0" distB="0" distL="0" distR="0" wp14:anchorId="2C6694A4" wp14:editId="76611A7C">
                  <wp:extent cx="590386" cy="532737"/>
                  <wp:effectExtent l="0" t="0" r="635"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a:extLst>
                              <a:ext uri="{28A0092B-C50C-407E-A947-70E740481C1C}">
                                <a14:useLocalDpi xmlns:a14="http://schemas.microsoft.com/office/drawing/2010/main" val="0"/>
                              </a:ext>
                            </a:extLst>
                          </a:blip>
                          <a:srcRect l="-399" t="34618" r="85074" b="49911"/>
                          <a:stretch/>
                        </pic:blipFill>
                        <pic:spPr bwMode="auto">
                          <a:xfrm>
                            <a:off x="0" y="0"/>
                            <a:ext cx="590550" cy="532885"/>
                          </a:xfrm>
                          <a:prstGeom prst="rect">
                            <a:avLst/>
                          </a:prstGeom>
                          <a:ln>
                            <a:noFill/>
                          </a:ln>
                          <a:extLst>
                            <a:ext uri="{53640926-AAD7-44D8-BBD7-CCE9431645EC}">
                              <a14:shadowObscured xmlns:a14="http://schemas.microsoft.com/office/drawing/2010/main"/>
                            </a:ext>
                          </a:extLst>
                        </pic:spPr>
                      </pic:pic>
                    </a:graphicData>
                  </a:graphic>
                </wp:inline>
              </w:drawing>
            </w:r>
          </w:p>
        </w:tc>
        <w:tc>
          <w:tcPr>
            <w:tcW w:w="1530" w:type="dxa"/>
            <w:shd w:val="clear" w:color="auto" w:fill="FED6D6"/>
            <w:vAlign w:val="center"/>
          </w:tcPr>
          <w:p w:rsidRPr="00981F92" w:rsidR="0048256B" w:rsidP="00372695" w:rsidRDefault="0048256B" w14:paraId="634D9094" w14:textId="77777777">
            <w:pPr>
              <w:pStyle w:val="TableText"/>
              <w:ind w:left="302" w:hanging="302"/>
              <w:rPr>
                <w:b/>
                <w:sz w:val="22"/>
                <w:szCs w:val="22"/>
              </w:rPr>
            </w:pPr>
            <w:r w:rsidRPr="00981F92">
              <w:rPr>
                <w:b/>
                <w:sz w:val="22"/>
                <w:szCs w:val="22"/>
              </w:rPr>
              <w:t>3:</w:t>
            </w:r>
            <w:r w:rsidRPr="00981F92">
              <w:rPr>
                <w:b/>
                <w:sz w:val="22"/>
                <w:szCs w:val="22"/>
              </w:rPr>
              <w:tab/>
              <w:t>Tracking and monitoring patient care</w:t>
            </w:r>
          </w:p>
        </w:tc>
        <w:tc>
          <w:tcPr>
            <w:tcW w:w="6274" w:type="dxa"/>
            <w:shd w:val="clear" w:color="auto" w:fill="auto"/>
            <w:vAlign w:val="center"/>
          </w:tcPr>
          <w:p w:rsidRPr="00981F92" w:rsidR="0048256B" w:rsidP="00372695" w:rsidRDefault="0048256B" w14:paraId="31B06D69" w14:textId="77777777">
            <w:pPr>
              <w:pStyle w:val="TableBullets"/>
              <w:spacing w:before="20" w:after="20"/>
              <w:ind w:left="216" w:hanging="216"/>
              <w:contextualSpacing/>
              <w:rPr>
                <w:sz w:val="22"/>
                <w:szCs w:val="22"/>
              </w:rPr>
            </w:pPr>
            <w:r w:rsidRPr="00981F92">
              <w:rPr>
                <w:sz w:val="22"/>
                <w:szCs w:val="22"/>
              </w:rPr>
              <w:t>Screening tool for OUD tailored for older adults</w:t>
            </w:r>
          </w:p>
          <w:p w:rsidRPr="00981F92" w:rsidR="0048256B" w:rsidP="00372695" w:rsidRDefault="0048256B" w14:paraId="58622158" w14:textId="77777777">
            <w:pPr>
              <w:pStyle w:val="TableBullets"/>
              <w:spacing w:before="20" w:after="20"/>
              <w:ind w:left="216" w:hanging="216"/>
              <w:contextualSpacing/>
              <w:rPr>
                <w:sz w:val="22"/>
                <w:szCs w:val="22"/>
              </w:rPr>
            </w:pPr>
            <w:r w:rsidRPr="00981F92">
              <w:rPr>
                <w:sz w:val="22"/>
                <w:szCs w:val="22"/>
              </w:rPr>
              <w:t xml:space="preserve">Training for clinicians on the risks of high MMEs in older adults, despite being on dosage for years </w:t>
            </w:r>
          </w:p>
          <w:p w:rsidRPr="00981F92" w:rsidR="0048256B" w:rsidP="00372695" w:rsidRDefault="0048256B" w14:paraId="47A622C2" w14:textId="77777777">
            <w:pPr>
              <w:pStyle w:val="TableBullets"/>
              <w:spacing w:before="20" w:after="20"/>
              <w:ind w:left="216" w:hanging="216"/>
              <w:contextualSpacing/>
              <w:rPr>
                <w:sz w:val="22"/>
                <w:szCs w:val="22"/>
              </w:rPr>
            </w:pPr>
            <w:r w:rsidRPr="00981F92">
              <w:rPr>
                <w:sz w:val="22"/>
                <w:szCs w:val="22"/>
              </w:rPr>
              <w:t>Shared decision-making tool for older patients on pain management options</w:t>
            </w:r>
          </w:p>
          <w:p w:rsidR="0048256B" w:rsidP="00372695" w:rsidRDefault="0048256B" w14:paraId="4B9034A2" w14:textId="77777777">
            <w:pPr>
              <w:pStyle w:val="TableBullets"/>
              <w:spacing w:before="20" w:after="20"/>
              <w:ind w:left="216" w:hanging="216"/>
              <w:contextualSpacing/>
              <w:rPr>
                <w:sz w:val="22"/>
                <w:szCs w:val="22"/>
              </w:rPr>
            </w:pPr>
            <w:r w:rsidRPr="00981F92">
              <w:rPr>
                <w:sz w:val="22"/>
                <w:szCs w:val="22"/>
              </w:rPr>
              <w:t xml:space="preserve">Educational tools for older adults and family members on safety of opioids </w:t>
            </w:r>
          </w:p>
          <w:p w:rsidRPr="00981F92" w:rsidR="0048256B" w:rsidP="00372695" w:rsidRDefault="0048256B" w14:paraId="7640019E" w14:textId="77777777">
            <w:pPr>
              <w:pStyle w:val="TableBullets"/>
              <w:spacing w:before="20" w:after="20"/>
              <w:ind w:left="216" w:hanging="216"/>
              <w:contextualSpacing/>
              <w:rPr>
                <w:sz w:val="22"/>
                <w:szCs w:val="22"/>
              </w:rPr>
            </w:pPr>
            <w:r>
              <w:rPr>
                <w:sz w:val="22"/>
                <w:szCs w:val="22"/>
              </w:rPr>
              <w:t>Registry of older adults on opioids long-term</w:t>
            </w:r>
          </w:p>
        </w:tc>
      </w:tr>
      <w:tr w:rsidRPr="00981F92" w:rsidR="0048256B" w:rsidTr="00CE61A5" w14:paraId="7500022E" w14:textId="77777777">
        <w:tc>
          <w:tcPr>
            <w:tcW w:w="990" w:type="dxa"/>
            <w:tcBorders>
              <w:top w:val="nil"/>
              <w:left w:val="nil"/>
              <w:bottom w:val="nil"/>
            </w:tcBorders>
            <w:shd w:val="clear" w:color="auto" w:fill="auto"/>
            <w:vAlign w:val="center"/>
          </w:tcPr>
          <w:p w:rsidRPr="00981F92" w:rsidR="0048256B" w:rsidP="00372695" w:rsidRDefault="0048256B" w14:paraId="3D56F368" w14:textId="77777777">
            <w:pPr>
              <w:pStyle w:val="TableText"/>
              <w:ind w:left="302" w:hanging="302"/>
              <w:rPr>
                <w:b/>
                <w:sz w:val="22"/>
                <w:szCs w:val="22"/>
              </w:rPr>
            </w:pPr>
            <w:r w:rsidRPr="003D0554">
              <w:rPr>
                <w:noProof/>
              </w:rPr>
              <w:drawing>
                <wp:inline distT="0" distB="0" distL="0" distR="0" wp14:anchorId="06420F1F" wp14:editId="2F4AC658">
                  <wp:extent cx="590458" cy="526694"/>
                  <wp:effectExtent l="0" t="0" r="635"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a:extLst>
                              <a:ext uri="{28A0092B-C50C-407E-A947-70E740481C1C}">
                                <a14:useLocalDpi xmlns:a14="http://schemas.microsoft.com/office/drawing/2010/main" val="0"/>
                              </a:ext>
                            </a:extLst>
                          </a:blip>
                          <a:srcRect l="-399" t="51147" r="85074" b="33559"/>
                          <a:stretch/>
                        </pic:blipFill>
                        <pic:spPr bwMode="auto">
                          <a:xfrm>
                            <a:off x="0" y="0"/>
                            <a:ext cx="590550" cy="526776"/>
                          </a:xfrm>
                          <a:prstGeom prst="rect">
                            <a:avLst/>
                          </a:prstGeom>
                          <a:ln>
                            <a:noFill/>
                          </a:ln>
                          <a:extLst>
                            <a:ext uri="{53640926-AAD7-44D8-BBD7-CCE9431645EC}">
                              <a14:shadowObscured xmlns:a14="http://schemas.microsoft.com/office/drawing/2010/main"/>
                            </a:ext>
                          </a:extLst>
                        </pic:spPr>
                      </pic:pic>
                    </a:graphicData>
                  </a:graphic>
                </wp:inline>
              </w:drawing>
            </w:r>
          </w:p>
        </w:tc>
        <w:tc>
          <w:tcPr>
            <w:tcW w:w="1530" w:type="dxa"/>
            <w:shd w:val="clear" w:color="auto" w:fill="33CC33"/>
            <w:vAlign w:val="center"/>
          </w:tcPr>
          <w:p w:rsidRPr="00981F92" w:rsidR="0048256B" w:rsidP="00372695" w:rsidRDefault="0048256B" w14:paraId="4BC4A29D" w14:textId="77777777">
            <w:pPr>
              <w:pStyle w:val="TableText"/>
              <w:ind w:left="302" w:hanging="302"/>
              <w:rPr>
                <w:b/>
                <w:sz w:val="22"/>
                <w:szCs w:val="22"/>
              </w:rPr>
            </w:pPr>
            <w:r w:rsidRPr="00981F92">
              <w:rPr>
                <w:b/>
                <w:sz w:val="22"/>
                <w:szCs w:val="22"/>
              </w:rPr>
              <w:t>4:</w:t>
            </w:r>
            <w:r w:rsidRPr="00981F92">
              <w:rPr>
                <w:b/>
                <w:sz w:val="22"/>
                <w:szCs w:val="22"/>
              </w:rPr>
              <w:tab/>
              <w:t>Planned, patient-centered care visits</w:t>
            </w:r>
          </w:p>
        </w:tc>
        <w:tc>
          <w:tcPr>
            <w:tcW w:w="6274" w:type="dxa"/>
            <w:shd w:val="clear" w:color="auto" w:fill="auto"/>
            <w:vAlign w:val="center"/>
          </w:tcPr>
          <w:p w:rsidRPr="00981F92" w:rsidR="0048256B" w:rsidP="00372695" w:rsidRDefault="0048256B" w14:paraId="519F45F6" w14:textId="77777777">
            <w:pPr>
              <w:pStyle w:val="TableBullets"/>
              <w:spacing w:before="20" w:after="20"/>
              <w:ind w:left="216" w:hanging="216"/>
              <w:contextualSpacing/>
              <w:rPr>
                <w:sz w:val="22"/>
                <w:szCs w:val="22"/>
              </w:rPr>
            </w:pPr>
            <w:r w:rsidRPr="00981F92">
              <w:rPr>
                <w:sz w:val="22"/>
                <w:szCs w:val="22"/>
              </w:rPr>
              <w:t xml:space="preserve">Design the </w:t>
            </w:r>
            <w:r w:rsidRPr="00981F92">
              <w:rPr>
                <w:b/>
                <w:i/>
                <w:sz w:val="22"/>
                <w:szCs w:val="22"/>
              </w:rPr>
              <w:t xml:space="preserve">Medicare Annual Wellness Visit </w:t>
            </w:r>
            <w:r w:rsidRPr="00981F92">
              <w:rPr>
                <w:sz w:val="22"/>
                <w:szCs w:val="22"/>
              </w:rPr>
              <w:t xml:space="preserve">to include examining appropriateness of opioid prescriptions, discuss alternatives and potential tapering, </w:t>
            </w:r>
            <w:r>
              <w:rPr>
                <w:sz w:val="22"/>
                <w:szCs w:val="22"/>
              </w:rPr>
              <w:t>screen for opioid misuse or OUD, also whether taking a benzodiazepine</w:t>
            </w:r>
          </w:p>
          <w:p w:rsidR="0048256B" w:rsidP="00372695" w:rsidRDefault="0048256B" w14:paraId="664BE1E8" w14:textId="77777777">
            <w:pPr>
              <w:pStyle w:val="TableBullets"/>
              <w:spacing w:before="20" w:after="20"/>
              <w:ind w:left="216" w:hanging="216"/>
              <w:contextualSpacing/>
              <w:rPr>
                <w:sz w:val="22"/>
                <w:szCs w:val="22"/>
              </w:rPr>
            </w:pPr>
            <w:r w:rsidRPr="00981F92">
              <w:rPr>
                <w:sz w:val="22"/>
                <w:szCs w:val="22"/>
              </w:rPr>
              <w:t xml:space="preserve">Design EHR notes templates for pain visit with labs, screening, pain and functional assessment, PDMP check, and other strategies to employ </w:t>
            </w:r>
          </w:p>
          <w:p w:rsidR="0048256B" w:rsidP="00372695" w:rsidRDefault="0048256B" w14:paraId="08265E92" w14:textId="77777777">
            <w:pPr>
              <w:pStyle w:val="TableBullets"/>
              <w:spacing w:before="20" w:after="20"/>
              <w:ind w:left="216" w:hanging="216"/>
              <w:contextualSpacing/>
              <w:rPr>
                <w:sz w:val="22"/>
                <w:szCs w:val="22"/>
              </w:rPr>
            </w:pPr>
            <w:r>
              <w:rPr>
                <w:sz w:val="22"/>
                <w:szCs w:val="22"/>
              </w:rPr>
              <w:t>Potential workflows for screening tools, complete documentation for visits related to pain and older adults</w:t>
            </w:r>
          </w:p>
          <w:p w:rsidRPr="000D17C7" w:rsidR="0048256B" w:rsidP="00372695" w:rsidRDefault="0048256B" w14:paraId="4306BFFC" w14:textId="77777777">
            <w:pPr>
              <w:pStyle w:val="TableBullets"/>
              <w:spacing w:before="20" w:after="20"/>
              <w:ind w:left="216" w:hanging="216"/>
              <w:contextualSpacing/>
              <w:rPr>
                <w:sz w:val="22"/>
                <w:szCs w:val="22"/>
              </w:rPr>
            </w:pPr>
            <w:r>
              <w:rPr>
                <w:sz w:val="22"/>
                <w:szCs w:val="22"/>
              </w:rPr>
              <w:t>Explore shared medical appointments for elderly patients on opioids long-term</w:t>
            </w:r>
          </w:p>
        </w:tc>
      </w:tr>
      <w:tr w:rsidRPr="00981F92" w:rsidR="0048256B" w:rsidTr="00CE61A5" w14:paraId="47C6345C" w14:textId="77777777">
        <w:tc>
          <w:tcPr>
            <w:tcW w:w="990" w:type="dxa"/>
            <w:tcBorders>
              <w:top w:val="nil"/>
              <w:left w:val="nil"/>
              <w:bottom w:val="nil"/>
            </w:tcBorders>
            <w:shd w:val="clear" w:color="auto" w:fill="auto"/>
            <w:vAlign w:val="center"/>
          </w:tcPr>
          <w:p w:rsidRPr="00981F92" w:rsidR="0048256B" w:rsidP="00372695" w:rsidRDefault="0048256B" w14:paraId="1C60A489" w14:textId="77777777">
            <w:pPr>
              <w:pStyle w:val="TableText"/>
              <w:ind w:left="302" w:hanging="302"/>
              <w:rPr>
                <w:b/>
                <w:sz w:val="22"/>
                <w:szCs w:val="22"/>
              </w:rPr>
            </w:pPr>
            <w:r w:rsidRPr="003D0554">
              <w:rPr>
                <w:noProof/>
              </w:rPr>
              <w:drawing>
                <wp:inline distT="0" distB="0" distL="0" distR="0" wp14:anchorId="62A7ECA4" wp14:editId="5F2E4524">
                  <wp:extent cx="590231" cy="555956"/>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a:extLst>
                              <a:ext uri="{28A0092B-C50C-407E-A947-70E740481C1C}">
                                <a14:useLocalDpi xmlns:a14="http://schemas.microsoft.com/office/drawing/2010/main" val="0"/>
                              </a:ext>
                            </a:extLst>
                          </a:blip>
                          <a:srcRect l="-399" t="66863" r="85074" b="16987"/>
                          <a:stretch/>
                        </pic:blipFill>
                        <pic:spPr bwMode="auto">
                          <a:xfrm>
                            <a:off x="0" y="0"/>
                            <a:ext cx="590550" cy="556256"/>
                          </a:xfrm>
                          <a:prstGeom prst="rect">
                            <a:avLst/>
                          </a:prstGeom>
                          <a:ln>
                            <a:noFill/>
                          </a:ln>
                          <a:extLst>
                            <a:ext uri="{53640926-AAD7-44D8-BBD7-CCE9431645EC}">
                              <a14:shadowObscured xmlns:a14="http://schemas.microsoft.com/office/drawing/2010/main"/>
                            </a:ext>
                          </a:extLst>
                        </pic:spPr>
                      </pic:pic>
                    </a:graphicData>
                  </a:graphic>
                </wp:inline>
              </w:drawing>
            </w:r>
          </w:p>
        </w:tc>
        <w:tc>
          <w:tcPr>
            <w:tcW w:w="1530" w:type="dxa"/>
            <w:shd w:val="clear" w:color="auto" w:fill="66CCFF"/>
            <w:vAlign w:val="center"/>
          </w:tcPr>
          <w:p w:rsidRPr="00981F92" w:rsidR="0048256B" w:rsidP="00372695" w:rsidRDefault="0048256B" w14:paraId="4294DF21" w14:textId="77777777">
            <w:pPr>
              <w:pStyle w:val="TableText"/>
              <w:ind w:left="302" w:hanging="302"/>
              <w:rPr>
                <w:b/>
                <w:sz w:val="22"/>
                <w:szCs w:val="22"/>
              </w:rPr>
            </w:pPr>
            <w:r w:rsidRPr="00981F92">
              <w:rPr>
                <w:b/>
                <w:sz w:val="22"/>
                <w:szCs w:val="22"/>
              </w:rPr>
              <w:t>5:</w:t>
            </w:r>
            <w:r w:rsidRPr="00981F92">
              <w:rPr>
                <w:b/>
                <w:sz w:val="22"/>
                <w:szCs w:val="22"/>
              </w:rPr>
              <w:tab/>
              <w:t xml:space="preserve">Caring for complex patients </w:t>
            </w:r>
          </w:p>
        </w:tc>
        <w:tc>
          <w:tcPr>
            <w:tcW w:w="6274" w:type="dxa"/>
            <w:shd w:val="clear" w:color="auto" w:fill="auto"/>
            <w:vAlign w:val="center"/>
          </w:tcPr>
          <w:p w:rsidR="0048256B" w:rsidP="00372695" w:rsidRDefault="0048256B" w14:paraId="6440DA24" w14:textId="77777777">
            <w:pPr>
              <w:pStyle w:val="TableBullets"/>
              <w:spacing w:before="20" w:after="20"/>
              <w:ind w:left="216" w:hanging="216"/>
              <w:contextualSpacing/>
              <w:rPr>
                <w:sz w:val="22"/>
                <w:szCs w:val="22"/>
              </w:rPr>
            </w:pPr>
            <w:r w:rsidRPr="00981F92">
              <w:rPr>
                <w:sz w:val="22"/>
                <w:szCs w:val="22"/>
              </w:rPr>
              <w:t xml:space="preserve">Develop tools with an overview of </w:t>
            </w:r>
            <w:r>
              <w:rPr>
                <w:sz w:val="22"/>
                <w:szCs w:val="22"/>
              </w:rPr>
              <w:t>‘</w:t>
            </w:r>
            <w:r w:rsidRPr="00981F92">
              <w:rPr>
                <w:sz w:val="22"/>
                <w:szCs w:val="22"/>
              </w:rPr>
              <w:t>unique</w:t>
            </w:r>
            <w:r>
              <w:rPr>
                <w:sz w:val="22"/>
                <w:szCs w:val="22"/>
              </w:rPr>
              <w:t>’</w:t>
            </w:r>
            <w:r w:rsidRPr="00981F92">
              <w:rPr>
                <w:sz w:val="22"/>
                <w:szCs w:val="22"/>
              </w:rPr>
              <w:t xml:space="preserve"> considerations of opioids and pain treatment options in older adults: constipation, drug interactions, </w:t>
            </w:r>
            <w:proofErr w:type="spellStart"/>
            <w:r w:rsidRPr="00981F92">
              <w:rPr>
                <w:sz w:val="22"/>
                <w:szCs w:val="22"/>
              </w:rPr>
              <w:t>pharmacodynamic</w:t>
            </w:r>
            <w:proofErr w:type="spellEnd"/>
            <w:r w:rsidRPr="00981F92">
              <w:rPr>
                <w:sz w:val="22"/>
                <w:szCs w:val="22"/>
              </w:rPr>
              <w:t xml:space="preserve"> effects, neurobehavioral changes, comorbidities, cognitive impairment and side effects of opioids</w:t>
            </w:r>
            <w:r w:rsidRPr="00981F92">
              <w:rPr>
                <w:rStyle w:val="EndnoteReference"/>
                <w:sz w:val="22"/>
                <w:szCs w:val="22"/>
              </w:rPr>
              <w:endnoteReference w:id="23"/>
            </w:r>
            <w:r w:rsidRPr="00981F92">
              <w:rPr>
                <w:sz w:val="22"/>
                <w:szCs w:val="22"/>
              </w:rPr>
              <w:t xml:space="preserve"> </w:t>
            </w:r>
          </w:p>
          <w:p w:rsidR="0048256B" w:rsidP="00372695" w:rsidRDefault="0048256B" w14:paraId="26FD7929" w14:textId="77777777">
            <w:pPr>
              <w:pStyle w:val="TableBullets"/>
              <w:spacing w:before="20" w:after="20"/>
              <w:ind w:left="216" w:hanging="216"/>
              <w:contextualSpacing/>
              <w:rPr>
                <w:sz w:val="22"/>
                <w:szCs w:val="22"/>
              </w:rPr>
            </w:pPr>
            <w:r>
              <w:rPr>
                <w:sz w:val="22"/>
                <w:szCs w:val="22"/>
              </w:rPr>
              <w:t>Clinical decision aid for providers decided among MAT options and considerations for older adults, specifically (e.g., drug interactions, side effect profile, risks)</w:t>
            </w:r>
          </w:p>
          <w:p w:rsidRPr="00981F92" w:rsidR="0048256B" w:rsidP="00372695" w:rsidRDefault="0048256B" w14:paraId="651DEAD1" w14:textId="77777777">
            <w:pPr>
              <w:pStyle w:val="TableBullets"/>
              <w:spacing w:before="20" w:after="20"/>
              <w:ind w:left="216" w:hanging="216"/>
              <w:contextualSpacing/>
              <w:rPr>
                <w:sz w:val="22"/>
                <w:szCs w:val="22"/>
              </w:rPr>
            </w:pPr>
            <w:r>
              <w:rPr>
                <w:sz w:val="22"/>
                <w:szCs w:val="22"/>
              </w:rPr>
              <w:t>Older adult-tailored guidance for tapering protocols, approaches and education</w:t>
            </w:r>
          </w:p>
        </w:tc>
      </w:tr>
      <w:tr w:rsidRPr="00981F92" w:rsidR="0048256B" w:rsidTr="00CE61A5" w14:paraId="1BCF433A" w14:textId="77777777">
        <w:tc>
          <w:tcPr>
            <w:tcW w:w="990" w:type="dxa"/>
            <w:tcBorders>
              <w:top w:val="nil"/>
              <w:left w:val="nil"/>
              <w:bottom w:val="nil"/>
            </w:tcBorders>
            <w:shd w:val="clear" w:color="auto" w:fill="auto"/>
            <w:vAlign w:val="center"/>
          </w:tcPr>
          <w:p w:rsidRPr="00981F92" w:rsidR="0048256B" w:rsidP="00372695" w:rsidRDefault="0048256B" w14:paraId="19D37E7F" w14:textId="77777777">
            <w:pPr>
              <w:pStyle w:val="TableText"/>
              <w:ind w:left="302" w:hanging="302"/>
              <w:rPr>
                <w:b/>
                <w:sz w:val="22"/>
                <w:szCs w:val="22"/>
              </w:rPr>
            </w:pPr>
            <w:r w:rsidRPr="003D0554">
              <w:rPr>
                <w:noProof/>
              </w:rPr>
              <w:drawing>
                <wp:inline distT="0" distB="0" distL="0" distR="0" wp14:anchorId="0D1F4FB2" wp14:editId="05411C6F">
                  <wp:extent cx="589536" cy="516890"/>
                  <wp:effectExtent l="0" t="0" r="127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a:extLst>
                              <a:ext uri="{28A0092B-C50C-407E-A947-70E740481C1C}">
                                <a14:useLocalDpi xmlns:a14="http://schemas.microsoft.com/office/drawing/2010/main" val="0"/>
                              </a:ext>
                            </a:extLst>
                          </a:blip>
                          <a:srcRect l="-399" t="83225" r="85074" b="1742"/>
                          <a:stretch/>
                        </pic:blipFill>
                        <pic:spPr bwMode="auto">
                          <a:xfrm>
                            <a:off x="0" y="0"/>
                            <a:ext cx="590550" cy="517779"/>
                          </a:xfrm>
                          <a:prstGeom prst="rect">
                            <a:avLst/>
                          </a:prstGeom>
                          <a:ln>
                            <a:noFill/>
                          </a:ln>
                          <a:extLst>
                            <a:ext uri="{53640926-AAD7-44D8-BBD7-CCE9431645EC}">
                              <a14:shadowObscured xmlns:a14="http://schemas.microsoft.com/office/drawing/2010/main"/>
                            </a:ext>
                          </a:extLst>
                        </pic:spPr>
                      </pic:pic>
                    </a:graphicData>
                  </a:graphic>
                </wp:inline>
              </w:drawing>
            </w:r>
          </w:p>
        </w:tc>
        <w:tc>
          <w:tcPr>
            <w:tcW w:w="1530" w:type="dxa"/>
            <w:shd w:val="clear" w:color="auto" w:fill="CC3399"/>
            <w:vAlign w:val="center"/>
          </w:tcPr>
          <w:p w:rsidRPr="00981F92" w:rsidR="0048256B" w:rsidP="00372695" w:rsidRDefault="0048256B" w14:paraId="61A89624" w14:textId="77777777">
            <w:pPr>
              <w:pStyle w:val="TableText"/>
              <w:ind w:left="302" w:hanging="302"/>
              <w:rPr>
                <w:b/>
                <w:sz w:val="22"/>
                <w:szCs w:val="22"/>
              </w:rPr>
            </w:pPr>
            <w:r w:rsidRPr="00981F92">
              <w:rPr>
                <w:b/>
                <w:sz w:val="22"/>
                <w:szCs w:val="22"/>
              </w:rPr>
              <w:t>6:</w:t>
            </w:r>
            <w:r w:rsidRPr="00981F92">
              <w:rPr>
                <w:b/>
                <w:sz w:val="22"/>
                <w:szCs w:val="22"/>
              </w:rPr>
              <w:tab/>
              <w:t xml:space="preserve">Measuring success </w:t>
            </w:r>
          </w:p>
        </w:tc>
        <w:tc>
          <w:tcPr>
            <w:tcW w:w="6274" w:type="dxa"/>
            <w:shd w:val="clear" w:color="auto" w:fill="auto"/>
            <w:vAlign w:val="center"/>
          </w:tcPr>
          <w:p w:rsidRPr="00981F92" w:rsidR="0048256B" w:rsidP="00372695" w:rsidRDefault="0048256B" w14:paraId="1B94D246" w14:textId="77777777">
            <w:pPr>
              <w:pStyle w:val="TableBullets"/>
              <w:spacing w:before="20" w:after="20"/>
              <w:ind w:left="216" w:hanging="216"/>
              <w:contextualSpacing/>
              <w:rPr>
                <w:sz w:val="22"/>
                <w:szCs w:val="22"/>
              </w:rPr>
            </w:pPr>
            <w:r w:rsidRPr="00981F92">
              <w:rPr>
                <w:sz w:val="22"/>
                <w:szCs w:val="22"/>
              </w:rPr>
              <w:t xml:space="preserve">Examine metrics of recommended strategies (e.g., check PDMP, urine drug screen) for older adults and even cross-sections of older adult populations, maybe by pain conditions as well </w:t>
            </w:r>
          </w:p>
          <w:p w:rsidRPr="00981F92" w:rsidR="0048256B" w:rsidP="00372695" w:rsidRDefault="0048256B" w14:paraId="37539030" w14:textId="77777777">
            <w:pPr>
              <w:pStyle w:val="TableBullets"/>
              <w:spacing w:before="20" w:after="20"/>
              <w:ind w:left="216" w:hanging="216"/>
              <w:contextualSpacing/>
              <w:rPr>
                <w:sz w:val="22"/>
                <w:szCs w:val="22"/>
              </w:rPr>
            </w:pPr>
            <w:r w:rsidRPr="00981F92">
              <w:rPr>
                <w:sz w:val="22"/>
                <w:szCs w:val="22"/>
              </w:rPr>
              <w:t>Consider unique metrics keyed to older adults-e.g., measures of renal and liver function on a regular basis, specific education on side effects</w:t>
            </w:r>
          </w:p>
        </w:tc>
      </w:tr>
    </w:tbl>
    <w:p w:rsidR="00CE61A5" w:rsidP="003600B8" w:rsidRDefault="00CE61A5" w14:paraId="49D699FD" w14:textId="77777777">
      <w:pPr>
        <w:pStyle w:val="BodyText"/>
      </w:pPr>
    </w:p>
    <w:p w:rsidRPr="00C4006D" w:rsidR="00644F76" w:rsidP="003600B8" w:rsidRDefault="00AD38AF" w14:paraId="170AFFE9" w14:textId="0C48B320">
      <w:pPr>
        <w:pStyle w:val="BodyText"/>
        <w:rPr>
          <w:i/>
        </w:rPr>
      </w:pPr>
      <w:r w:rsidRPr="00B92618">
        <w:t xml:space="preserve">Once revisions </w:t>
      </w:r>
      <w:r w:rsidRPr="00B92618" w:rsidR="001776D9">
        <w:t xml:space="preserve">to the </w:t>
      </w:r>
      <w:r w:rsidR="00441E08">
        <w:t>C</w:t>
      </w:r>
      <w:r w:rsidRPr="00B92618" w:rsidR="00441E08">
        <w:t xml:space="preserve">ompendium </w:t>
      </w:r>
      <w:r w:rsidRPr="00B92618">
        <w:t>are made based on resu</w:t>
      </w:r>
      <w:r w:rsidRPr="00B92618" w:rsidR="00F405D8">
        <w:t>lts of this evaluation</w:t>
      </w:r>
      <w:r w:rsidRPr="00B92618">
        <w:t xml:space="preserve">, the </w:t>
      </w:r>
      <w:r w:rsidR="00441E08">
        <w:t>C</w:t>
      </w:r>
      <w:r w:rsidRPr="00B92618" w:rsidR="00441E08">
        <w:t xml:space="preserve">ompendium </w:t>
      </w:r>
      <w:r w:rsidRPr="00B92618">
        <w:t>will be published on AHRQ’s website. A manuscript describing the study and its results will also be produced for publication in a peer-reviewed journal.</w:t>
      </w:r>
    </w:p>
    <w:p w:rsidRPr="00B92618" w:rsidR="007E0697" w:rsidP="003600B8" w:rsidRDefault="009B633D" w14:paraId="1C0858BA" w14:textId="77777777">
      <w:pPr>
        <w:pStyle w:val="Heading2"/>
      </w:pPr>
      <w:bookmarkStart w:name="_Toc38531519" w:id="9"/>
      <w:r w:rsidRPr="00B92618">
        <w:t xml:space="preserve">3. </w:t>
      </w:r>
      <w:bookmarkStart w:name="_Toc151782178" w:id="10"/>
      <w:bookmarkStart w:name="_Toc158526218" w:id="11"/>
      <w:r w:rsidRPr="00B92618">
        <w:t>Use of Improved Information Technology</w:t>
      </w:r>
      <w:bookmarkEnd w:id="10"/>
      <w:bookmarkEnd w:id="11"/>
      <w:bookmarkEnd w:id="9"/>
    </w:p>
    <w:p w:rsidRPr="00B65A32" w:rsidR="008E1394" w:rsidP="003600B8" w:rsidRDefault="008D711C" w14:paraId="07408B33" w14:textId="141F511E">
      <w:pPr>
        <w:pStyle w:val="BodyText"/>
        <w:rPr>
          <w:highlight w:val="yellow"/>
        </w:rPr>
      </w:pPr>
      <w:r w:rsidRPr="00E70F69">
        <w:t>A broad range of the data collected during the project will use information technology.</w:t>
      </w:r>
    </w:p>
    <w:p w:rsidR="00E70F69" w:rsidP="00A568CA" w:rsidRDefault="00E70F69" w14:paraId="20906870" w14:textId="69E92958">
      <w:pPr>
        <w:pStyle w:val="ListParagraph"/>
        <w:numPr>
          <w:ilvl w:val="0"/>
          <w:numId w:val="10"/>
        </w:numPr>
        <w:spacing w:after="120"/>
        <w:ind w:left="720"/>
        <w:contextualSpacing w:val="0"/>
        <w:rPr>
          <w:rFonts w:ascii="Times New Roman" w:hAnsi="Times New Roman" w:cs="Times New Roman"/>
        </w:rPr>
      </w:pPr>
      <w:r w:rsidRPr="00A834B2">
        <w:rPr>
          <w:rFonts w:ascii="Times New Roman" w:hAnsi="Times New Roman" w:cs="Times New Roman"/>
          <w:b/>
        </w:rPr>
        <w:t>Web-conferencing:</w:t>
      </w:r>
      <w:r>
        <w:rPr>
          <w:rFonts w:ascii="Times New Roman" w:hAnsi="Times New Roman" w:cs="Times New Roman"/>
        </w:rPr>
        <w:t xml:space="preserve"> </w:t>
      </w:r>
      <w:r w:rsidRPr="00E70F69" w:rsidR="00B92618">
        <w:rPr>
          <w:rFonts w:ascii="Times New Roman" w:hAnsi="Times New Roman" w:cs="Times New Roman"/>
        </w:rPr>
        <w:t>T</w:t>
      </w:r>
      <w:r w:rsidRPr="00E70F69" w:rsidR="0048256B">
        <w:rPr>
          <w:rFonts w:ascii="Times New Roman" w:hAnsi="Times New Roman" w:cs="Times New Roman"/>
        </w:rPr>
        <w:t>o facilitate document review, t</w:t>
      </w:r>
      <w:r w:rsidRPr="00E70F69" w:rsidR="00B92618">
        <w:rPr>
          <w:rFonts w:ascii="Times New Roman" w:hAnsi="Times New Roman" w:cs="Times New Roman"/>
        </w:rPr>
        <w:t xml:space="preserve">he project kickoff </w:t>
      </w:r>
      <w:r w:rsidRPr="00E70F69" w:rsidR="00516ABB">
        <w:rPr>
          <w:rFonts w:ascii="Times New Roman" w:hAnsi="Times New Roman" w:cs="Times New Roman"/>
        </w:rPr>
        <w:t>was presented through</w:t>
      </w:r>
      <w:r w:rsidRPr="00E70F69" w:rsidR="0048256B">
        <w:rPr>
          <w:rFonts w:ascii="Times New Roman" w:hAnsi="Times New Roman" w:cs="Times New Roman"/>
        </w:rPr>
        <w:t xml:space="preserve"> web-conferencing </w:t>
      </w:r>
      <w:r w:rsidR="008D711C">
        <w:rPr>
          <w:rFonts w:ascii="Times New Roman" w:hAnsi="Times New Roman" w:cs="Times New Roman"/>
        </w:rPr>
        <w:t xml:space="preserve">with video capability </w:t>
      </w:r>
      <w:r w:rsidRPr="00E70F69" w:rsidR="0048256B">
        <w:rPr>
          <w:rFonts w:ascii="Times New Roman" w:hAnsi="Times New Roman" w:cs="Times New Roman"/>
        </w:rPr>
        <w:t xml:space="preserve">as will </w:t>
      </w:r>
      <w:r w:rsidRPr="00E70F69" w:rsidR="00B92618">
        <w:rPr>
          <w:rFonts w:ascii="Times New Roman" w:hAnsi="Times New Roman" w:cs="Times New Roman"/>
        </w:rPr>
        <w:t>all client and internal team meetings</w:t>
      </w:r>
      <w:r w:rsidR="00A834B2">
        <w:rPr>
          <w:rFonts w:ascii="Times New Roman" w:hAnsi="Times New Roman" w:cs="Times New Roman"/>
        </w:rPr>
        <w:t xml:space="preserve">, </w:t>
      </w:r>
      <w:r w:rsidRPr="00E70F69" w:rsidR="0048256B">
        <w:rPr>
          <w:rFonts w:ascii="Times New Roman" w:hAnsi="Times New Roman" w:cs="Times New Roman"/>
        </w:rPr>
        <w:t xml:space="preserve">technical expert panel </w:t>
      </w:r>
      <w:r w:rsidRPr="00E70F69" w:rsidR="00516ABB">
        <w:rPr>
          <w:rFonts w:ascii="Times New Roman" w:hAnsi="Times New Roman" w:cs="Times New Roman"/>
        </w:rPr>
        <w:t xml:space="preserve">(TEP) </w:t>
      </w:r>
      <w:r w:rsidRPr="00E70F69" w:rsidR="0048256B">
        <w:rPr>
          <w:rFonts w:ascii="Times New Roman" w:hAnsi="Times New Roman" w:cs="Times New Roman"/>
        </w:rPr>
        <w:t>meetings</w:t>
      </w:r>
      <w:r w:rsidR="00A834B2">
        <w:rPr>
          <w:rFonts w:ascii="Times New Roman" w:hAnsi="Times New Roman" w:cs="Times New Roman"/>
        </w:rPr>
        <w:t xml:space="preserve">, and monthly meetings with learning collaborative </w:t>
      </w:r>
      <w:r w:rsidR="00D76187">
        <w:rPr>
          <w:rFonts w:ascii="Times New Roman" w:hAnsi="Times New Roman" w:cs="Times New Roman"/>
        </w:rPr>
        <w:t xml:space="preserve">QI </w:t>
      </w:r>
      <w:r w:rsidR="00A834B2">
        <w:rPr>
          <w:rFonts w:ascii="Times New Roman" w:hAnsi="Times New Roman" w:cs="Times New Roman"/>
        </w:rPr>
        <w:t>champions</w:t>
      </w:r>
      <w:r w:rsidRPr="00E70F69" w:rsidR="00B92618">
        <w:rPr>
          <w:rFonts w:ascii="Times New Roman" w:hAnsi="Times New Roman" w:cs="Times New Roman"/>
        </w:rPr>
        <w:t xml:space="preserve">.  </w:t>
      </w:r>
    </w:p>
    <w:p w:rsidRPr="00CA75DC" w:rsidR="002B49DE" w:rsidP="00A568CA" w:rsidRDefault="00CA75DC" w14:paraId="19D40235" w14:textId="529035FB">
      <w:pPr>
        <w:pStyle w:val="ListParagraph"/>
        <w:numPr>
          <w:ilvl w:val="0"/>
          <w:numId w:val="10"/>
        </w:numPr>
        <w:spacing w:after="120"/>
        <w:ind w:left="720"/>
        <w:contextualSpacing w:val="0"/>
        <w:rPr>
          <w:rFonts w:ascii="Times New Roman" w:hAnsi="Times New Roman" w:cs="Times New Roman"/>
        </w:rPr>
      </w:pPr>
      <w:r w:rsidRPr="008129A7">
        <w:rPr>
          <w:rFonts w:ascii="Times New Roman" w:hAnsi="Times New Roman" w:cs="Times New Roman"/>
          <w:b/>
        </w:rPr>
        <w:t xml:space="preserve">Posting on </w:t>
      </w:r>
      <w:r w:rsidRPr="008129A7" w:rsidR="002B49DE">
        <w:rPr>
          <w:rFonts w:ascii="Times New Roman" w:hAnsi="Times New Roman" w:cs="Times New Roman"/>
          <w:b/>
        </w:rPr>
        <w:t xml:space="preserve">AHRQ’s </w:t>
      </w:r>
      <w:r w:rsidRPr="008129A7">
        <w:rPr>
          <w:rFonts w:ascii="Times New Roman" w:hAnsi="Times New Roman" w:cs="Times New Roman"/>
          <w:b/>
        </w:rPr>
        <w:t xml:space="preserve">The </w:t>
      </w:r>
      <w:r w:rsidRPr="008129A7" w:rsidR="002B49DE">
        <w:rPr>
          <w:rFonts w:ascii="Times New Roman" w:hAnsi="Times New Roman" w:cs="Times New Roman"/>
          <w:b/>
        </w:rPr>
        <w:t>Academy</w:t>
      </w:r>
      <w:r w:rsidRPr="008129A7">
        <w:rPr>
          <w:rFonts w:ascii="Times New Roman" w:hAnsi="Times New Roman" w:cs="Times New Roman"/>
          <w:b/>
        </w:rPr>
        <w:t xml:space="preserve"> Integrating Behavioral Health and Primary Care Library.</w:t>
      </w:r>
      <w:r w:rsidRPr="008129A7">
        <w:rPr>
          <w:rStyle w:val="EndnoteReference"/>
          <w:rFonts w:ascii="Times New Roman" w:hAnsi="Times New Roman" w:cs="Times New Roman"/>
          <w:b/>
        </w:rPr>
        <w:endnoteReference w:id="24"/>
      </w:r>
      <w:r>
        <w:rPr>
          <w:rFonts w:ascii="Times New Roman" w:hAnsi="Times New Roman" w:cs="Times New Roman"/>
        </w:rPr>
        <w:t xml:space="preserve"> The project includes a comprehensive environmental scan of peer-reviewed and gray literature </w:t>
      </w:r>
      <w:r w:rsidRPr="00CA75DC">
        <w:rPr>
          <w:rFonts w:ascii="Times New Roman" w:hAnsi="Times New Roman" w:cs="Times New Roman"/>
        </w:rPr>
        <w:t>to identify existing opioid management strategies, resources, and tools for primary care clinicians</w:t>
      </w:r>
      <w:r>
        <w:rPr>
          <w:rFonts w:ascii="Times New Roman" w:hAnsi="Times New Roman" w:cs="Times New Roman"/>
        </w:rPr>
        <w:t xml:space="preserve">. The </w:t>
      </w:r>
      <w:r w:rsidR="008129A7">
        <w:rPr>
          <w:rFonts w:ascii="Times New Roman" w:hAnsi="Times New Roman" w:cs="Times New Roman"/>
        </w:rPr>
        <w:t>final results will be posted on AHRQ’s academy website.</w:t>
      </w:r>
      <w:r w:rsidRPr="00CA75DC">
        <w:rPr>
          <w:rFonts w:ascii="Times New Roman" w:hAnsi="Times New Roman" w:cs="Times New Roman"/>
        </w:rPr>
        <w:t xml:space="preserve"> </w:t>
      </w:r>
      <w:r>
        <w:rPr>
          <w:rFonts w:ascii="Times New Roman" w:hAnsi="Times New Roman" w:cs="Times New Roman"/>
        </w:rPr>
        <w:t xml:space="preserve"> </w:t>
      </w:r>
    </w:p>
    <w:p w:rsidRPr="005B3693" w:rsidR="00727196" w:rsidP="005B3693" w:rsidRDefault="00727196" w14:paraId="6A8992AF" w14:textId="0520CEC5">
      <w:pPr>
        <w:pStyle w:val="ListParagraph"/>
        <w:numPr>
          <w:ilvl w:val="0"/>
          <w:numId w:val="10"/>
        </w:numPr>
        <w:spacing w:after="120"/>
        <w:ind w:left="720"/>
        <w:contextualSpacing w:val="0"/>
        <w:rPr>
          <w:rFonts w:ascii="Times New Roman" w:hAnsi="Times New Roman" w:cs="Times New Roman"/>
        </w:rPr>
      </w:pPr>
      <w:r w:rsidRPr="005B3693">
        <w:rPr>
          <w:rFonts w:ascii="Times New Roman" w:hAnsi="Times New Roman" w:cs="Times New Roman"/>
          <w:b/>
        </w:rPr>
        <w:t xml:space="preserve">Web-based provider survey: </w:t>
      </w:r>
      <w:r w:rsidRPr="005B3693" w:rsidR="00700684">
        <w:rPr>
          <w:rFonts w:ascii="Times New Roman" w:hAnsi="Times New Roman" w:cs="Times New Roman"/>
        </w:rPr>
        <w:t xml:space="preserve">The </w:t>
      </w:r>
      <w:proofErr w:type="spellStart"/>
      <w:r w:rsidRPr="005B3693" w:rsidR="00700684">
        <w:rPr>
          <w:rFonts w:ascii="Times New Roman" w:hAnsi="Times New Roman" w:cs="Times New Roman"/>
        </w:rPr>
        <w:t>Abt</w:t>
      </w:r>
      <w:proofErr w:type="spellEnd"/>
      <w:r w:rsidRPr="005B3693" w:rsidR="00700684">
        <w:rPr>
          <w:rFonts w:ascii="Times New Roman" w:hAnsi="Times New Roman" w:cs="Times New Roman"/>
        </w:rPr>
        <w:t xml:space="preserve"> Team will use a national database of health care providers maintained by IQVIA for the survey sample. The IQVIA database includes all clinicians in the U.S. billing to Medicare. It contains the names and contact information of roughly 5,000 providers in all 50 states who bill Medicare, work in outpatient settings, and have first, second, or third-tier specialty as “Geriatric Medicine” (among physicians) or “Gerontology” (among nurse practitioners). The database comprises a diverse set of providers with respect to their occupation (i.e., physicians, nurse practitioners, physician assistants), geographic region, and practice type (i.e., private small, private large, public, hospital affiliated, VA), as these characteristics have been associated with differences in opioid prescribing practices.  The database includes mailing addresses for all these providers and email addresses for 76% of them.</w:t>
      </w:r>
      <w:r w:rsidRPr="005B3693" w:rsidR="00A834B2">
        <w:rPr>
          <w:rFonts w:ascii="Times New Roman" w:hAnsi="Times New Roman" w:cs="Times New Roman"/>
        </w:rPr>
        <w:t xml:space="preserve"> The brief survey will be sent to the 5,000 randomly selected primary care clinicians. The survey instrument (</w:t>
      </w:r>
      <w:r w:rsidRPr="005B3693" w:rsidR="00A834B2">
        <w:rPr>
          <w:rFonts w:ascii="Times New Roman" w:hAnsi="Times New Roman" w:cs="Times New Roman"/>
          <w:b/>
        </w:rPr>
        <w:t>Attachment A</w:t>
      </w:r>
      <w:r w:rsidRPr="005B3693" w:rsidR="00A834B2">
        <w:rPr>
          <w:rFonts w:ascii="Times New Roman" w:hAnsi="Times New Roman" w:cs="Times New Roman"/>
        </w:rPr>
        <w:t xml:space="preserve">) will include no more than </w:t>
      </w:r>
      <w:r w:rsidR="00304EEE">
        <w:rPr>
          <w:rFonts w:ascii="Times New Roman" w:hAnsi="Times New Roman" w:cs="Times New Roman"/>
        </w:rPr>
        <w:t>30</w:t>
      </w:r>
      <w:r w:rsidRPr="005B3693" w:rsidR="009B33CF">
        <w:rPr>
          <w:rFonts w:ascii="Times New Roman" w:hAnsi="Times New Roman" w:cs="Times New Roman"/>
        </w:rPr>
        <w:t xml:space="preserve"> </w:t>
      </w:r>
      <w:r w:rsidRPr="005B3693" w:rsidR="00A834B2">
        <w:rPr>
          <w:rFonts w:ascii="Times New Roman" w:hAnsi="Times New Roman" w:cs="Times New Roman"/>
        </w:rPr>
        <w:t xml:space="preserve">items. The survey specifically addresses the following domains relating to clinician experiences in caring for older adults with </w:t>
      </w:r>
      <w:r w:rsidRPr="003B4A50" w:rsidR="00A834B2">
        <w:rPr>
          <w:rFonts w:ascii="Times New Roman" w:hAnsi="Times New Roman" w:cs="Times New Roman"/>
        </w:rPr>
        <w:t>chronic pain</w:t>
      </w:r>
      <w:r w:rsidRPr="005B3693" w:rsidR="00A834B2">
        <w:rPr>
          <w:rFonts w:ascii="Times New Roman" w:hAnsi="Times New Roman" w:cs="Times New Roman"/>
        </w:rPr>
        <w:t xml:space="preserve"> on opioids: (1) Perceptions, attitudes, and awareness; (2) Clinician treatment patterns; (3) Practice or system processes; and (4) Clinician and practice characteristics. The survey is expected to take approximately 15 minutes to complete. </w:t>
      </w:r>
      <w:r w:rsidRPr="005B3693" w:rsidR="00054534">
        <w:rPr>
          <w:rFonts w:ascii="Times New Roman" w:hAnsi="Times New Roman" w:cs="Times New Roman"/>
        </w:rPr>
        <w:t xml:space="preserve">Respondents can elect to take the survey electronically or by telephone. </w:t>
      </w:r>
      <w:r w:rsidRPr="005B3693" w:rsidR="00A834B2">
        <w:rPr>
          <w:rFonts w:ascii="Times New Roman" w:hAnsi="Times New Roman" w:cs="Times New Roman"/>
        </w:rPr>
        <w:t xml:space="preserve">We will send survey invitations via email and by US mail, providing two approaches for contacting respondents. </w:t>
      </w:r>
    </w:p>
    <w:p w:rsidR="00A834B2" w:rsidP="00A568CA" w:rsidRDefault="00A834B2" w14:paraId="00659713" w14:textId="175A00EA">
      <w:pPr>
        <w:pStyle w:val="ListParagraph"/>
        <w:numPr>
          <w:ilvl w:val="0"/>
          <w:numId w:val="10"/>
        </w:numPr>
        <w:spacing w:after="120"/>
        <w:ind w:left="720"/>
        <w:contextualSpacing w:val="0"/>
        <w:rPr>
          <w:rFonts w:ascii="Times New Roman" w:hAnsi="Times New Roman" w:cs="Times New Roman"/>
        </w:rPr>
      </w:pPr>
      <w:r w:rsidRPr="004968FC">
        <w:rPr>
          <w:rFonts w:ascii="Times New Roman" w:hAnsi="Times New Roman" w:cs="Times New Roman"/>
          <w:b/>
        </w:rPr>
        <w:t xml:space="preserve">Web-based survey for learning collaborative </w:t>
      </w:r>
      <w:r w:rsidR="001B1469">
        <w:rPr>
          <w:rFonts w:ascii="Times New Roman" w:hAnsi="Times New Roman" w:cs="Times New Roman"/>
          <w:b/>
        </w:rPr>
        <w:t>clinical staff</w:t>
      </w:r>
      <w:r w:rsidRPr="004968FC">
        <w:rPr>
          <w:rFonts w:ascii="Times New Roman" w:hAnsi="Times New Roman" w:cs="Times New Roman"/>
          <w:b/>
        </w:rPr>
        <w:t>.</w:t>
      </w:r>
      <w:r>
        <w:rPr>
          <w:rFonts w:ascii="Times New Roman" w:hAnsi="Times New Roman" w:cs="Times New Roman"/>
        </w:rPr>
        <w:t xml:space="preserve"> A brief, web-based </w:t>
      </w:r>
      <w:r w:rsidRPr="00A834B2">
        <w:rPr>
          <w:rFonts w:ascii="Times New Roman" w:hAnsi="Times New Roman" w:cs="Times New Roman"/>
        </w:rPr>
        <w:t xml:space="preserve">survey will be </w:t>
      </w:r>
      <w:r>
        <w:rPr>
          <w:rFonts w:ascii="Times New Roman" w:hAnsi="Times New Roman" w:cs="Times New Roman"/>
        </w:rPr>
        <w:t>sent</w:t>
      </w:r>
      <w:r w:rsidRPr="00A834B2">
        <w:rPr>
          <w:rFonts w:ascii="Times New Roman" w:hAnsi="Times New Roman" w:cs="Times New Roman"/>
        </w:rPr>
        <w:t xml:space="preserve"> to all </w:t>
      </w:r>
      <w:r w:rsidR="001B1469">
        <w:rPr>
          <w:rFonts w:ascii="Times New Roman" w:hAnsi="Times New Roman" w:cs="Times New Roman"/>
        </w:rPr>
        <w:t xml:space="preserve">clinical staff at the </w:t>
      </w:r>
      <w:r w:rsidRPr="00A834B2">
        <w:rPr>
          <w:rFonts w:ascii="Times New Roman" w:hAnsi="Times New Roman" w:cs="Times New Roman"/>
        </w:rPr>
        <w:t xml:space="preserve">participating </w:t>
      </w:r>
      <w:r w:rsidR="001B1469">
        <w:rPr>
          <w:rFonts w:ascii="Times New Roman" w:hAnsi="Times New Roman" w:cs="Times New Roman"/>
        </w:rPr>
        <w:t xml:space="preserve">practices </w:t>
      </w:r>
      <w:r w:rsidRPr="00A834B2">
        <w:rPr>
          <w:rFonts w:ascii="Times New Roman" w:hAnsi="Times New Roman" w:cs="Times New Roman"/>
        </w:rPr>
        <w:t>in the learning collaborative at baseline before starting implementation and approximately 15 months later.</w:t>
      </w:r>
      <w:r w:rsidR="00876D68">
        <w:rPr>
          <w:rFonts w:ascii="Times New Roman" w:hAnsi="Times New Roman" w:cs="Times New Roman"/>
        </w:rPr>
        <w:t xml:space="preserve"> </w:t>
      </w:r>
    </w:p>
    <w:p w:rsidR="00454448" w:rsidP="00A568CA" w:rsidRDefault="00E70F69" w14:paraId="5228DCC6" w14:textId="1F062910">
      <w:pPr>
        <w:pStyle w:val="ListParagraph"/>
        <w:numPr>
          <w:ilvl w:val="0"/>
          <w:numId w:val="10"/>
        </w:numPr>
        <w:spacing w:after="120"/>
        <w:ind w:left="720"/>
        <w:contextualSpacing w:val="0"/>
        <w:rPr>
          <w:rFonts w:ascii="Times New Roman" w:hAnsi="Times New Roman" w:cs="Times New Roman"/>
        </w:rPr>
      </w:pPr>
      <w:r w:rsidRPr="004968FC">
        <w:rPr>
          <w:rFonts w:ascii="Times New Roman" w:hAnsi="Times New Roman" w:cs="Times New Roman"/>
          <w:b/>
        </w:rPr>
        <w:t>Website:</w:t>
      </w:r>
      <w:r>
        <w:rPr>
          <w:rFonts w:ascii="Times New Roman" w:hAnsi="Times New Roman" w:cs="Times New Roman"/>
        </w:rPr>
        <w:t xml:space="preserve"> </w:t>
      </w:r>
      <w:r w:rsidRPr="00E70F69" w:rsidR="00516ABB">
        <w:rPr>
          <w:rFonts w:ascii="Times New Roman" w:hAnsi="Times New Roman" w:cs="Times New Roman"/>
        </w:rPr>
        <w:t>We plan to develop a private community website to include an overview of practices, the specifications for the QI measures, resources, and upcoming and past webinar schedule. The website can include a place for document sharing, threaded discussion, webinar recording, and other collaboration tools. The site will be password protected and built on the Drupal Content Management System (</w:t>
      </w:r>
      <w:r>
        <w:rPr>
          <w:rFonts w:ascii="Times New Roman" w:hAnsi="Times New Roman" w:cs="Times New Roman"/>
        </w:rPr>
        <w:t>Centers for Medicare &amp; Medicaid Services</w:t>
      </w:r>
      <w:r w:rsidRPr="00E70F69" w:rsidR="00516ABB">
        <w:rPr>
          <w:rFonts w:ascii="Times New Roman" w:hAnsi="Times New Roman" w:cs="Times New Roman"/>
        </w:rPr>
        <w:t>) which will make transition to AHRQ seamless and the security process for obtaining an Authority to Operate (ATO) simpler</w:t>
      </w:r>
      <w:r w:rsidR="00727196">
        <w:rPr>
          <w:rFonts w:ascii="Times New Roman" w:hAnsi="Times New Roman" w:cs="Times New Roman"/>
        </w:rPr>
        <w:t xml:space="preserve"> </w:t>
      </w:r>
      <w:r w:rsidRPr="00727196" w:rsidR="00516ABB">
        <w:rPr>
          <w:rFonts w:ascii="Times New Roman" w:hAnsi="Times New Roman" w:cs="Times New Roman"/>
          <w:b/>
        </w:rPr>
        <w:t>(</w:t>
      </w:r>
      <w:r w:rsidRPr="00727196">
        <w:rPr>
          <w:rFonts w:ascii="Times New Roman" w:hAnsi="Times New Roman" w:cs="Times New Roman"/>
          <w:b/>
        </w:rPr>
        <w:t xml:space="preserve">see </w:t>
      </w:r>
      <w:r w:rsidRPr="00727196" w:rsidR="00516ABB">
        <w:rPr>
          <w:rFonts w:ascii="Times New Roman" w:hAnsi="Times New Roman" w:cs="Times New Roman"/>
          <w:b/>
        </w:rPr>
        <w:t xml:space="preserve">Attachment </w:t>
      </w:r>
      <w:r w:rsidR="00FE4A1F">
        <w:rPr>
          <w:rFonts w:ascii="Times New Roman" w:hAnsi="Times New Roman" w:cs="Times New Roman"/>
          <w:b/>
        </w:rPr>
        <w:t>G</w:t>
      </w:r>
      <w:r w:rsidRPr="00727196" w:rsidR="00516ABB">
        <w:rPr>
          <w:rFonts w:ascii="Times New Roman" w:hAnsi="Times New Roman" w:cs="Times New Roman"/>
          <w:b/>
        </w:rPr>
        <w:t xml:space="preserve">). </w:t>
      </w:r>
      <w:r w:rsidRPr="00E70F69" w:rsidR="00516ABB">
        <w:rPr>
          <w:rFonts w:ascii="Times New Roman" w:hAnsi="Times New Roman" w:cs="Times New Roman"/>
        </w:rPr>
        <w:t xml:space="preserve">A simple “forgot password” function will allow users to easily reset their password, reducing a common obstacle to utilization. The </w:t>
      </w:r>
      <w:proofErr w:type="spellStart"/>
      <w:r w:rsidRPr="00E70F69" w:rsidR="00516ABB">
        <w:rPr>
          <w:rFonts w:ascii="Times New Roman" w:hAnsi="Times New Roman" w:cs="Times New Roman"/>
        </w:rPr>
        <w:t>Abt</w:t>
      </w:r>
      <w:proofErr w:type="spellEnd"/>
      <w:r w:rsidRPr="00E70F69" w:rsidR="00516ABB">
        <w:rPr>
          <w:rFonts w:ascii="Times New Roman" w:hAnsi="Times New Roman" w:cs="Times New Roman"/>
        </w:rPr>
        <w:t xml:space="preserve"> Team has successfully built an online LC for HRSA’s Infant Mortality Collaborative Improvement &amp; Innovation Networks (</w:t>
      </w:r>
      <w:proofErr w:type="spellStart"/>
      <w:r w:rsidRPr="00E70F69" w:rsidR="00516ABB">
        <w:rPr>
          <w:rFonts w:ascii="Times New Roman" w:hAnsi="Times New Roman" w:cs="Times New Roman"/>
        </w:rPr>
        <w:t>CoIIN</w:t>
      </w:r>
      <w:proofErr w:type="spellEnd"/>
      <w:r w:rsidRPr="00E70F69" w:rsidR="00516ABB">
        <w:rPr>
          <w:rFonts w:ascii="Times New Roman" w:hAnsi="Times New Roman" w:cs="Times New Roman"/>
        </w:rPr>
        <w:t xml:space="preserve">). This tool, also built in Drupal, has role-based authentication for each separate </w:t>
      </w:r>
      <w:proofErr w:type="spellStart"/>
      <w:r w:rsidRPr="00E70F69" w:rsidR="00516ABB">
        <w:rPr>
          <w:rFonts w:ascii="Times New Roman" w:hAnsi="Times New Roman" w:cs="Times New Roman"/>
        </w:rPr>
        <w:t>CoIIN</w:t>
      </w:r>
      <w:proofErr w:type="spellEnd"/>
      <w:r w:rsidRPr="00E70F69" w:rsidR="00516ABB">
        <w:rPr>
          <w:rFonts w:ascii="Times New Roman" w:hAnsi="Times New Roman" w:cs="Times New Roman"/>
        </w:rPr>
        <w:t xml:space="preserve"> team to share documents with each other, a shared calendar at the specific </w:t>
      </w:r>
      <w:proofErr w:type="spellStart"/>
      <w:r w:rsidRPr="00E70F69" w:rsidR="00516ABB">
        <w:rPr>
          <w:rFonts w:ascii="Times New Roman" w:hAnsi="Times New Roman" w:cs="Times New Roman"/>
        </w:rPr>
        <w:t>CoIIN</w:t>
      </w:r>
      <w:proofErr w:type="spellEnd"/>
      <w:r w:rsidRPr="00E70F69" w:rsidR="00516ABB">
        <w:rPr>
          <w:rFonts w:ascii="Times New Roman" w:hAnsi="Times New Roman" w:cs="Times New Roman"/>
        </w:rPr>
        <w:t xml:space="preserve"> level, and </w:t>
      </w:r>
      <w:proofErr w:type="spellStart"/>
      <w:r w:rsidRPr="00E70F69" w:rsidR="00516ABB">
        <w:rPr>
          <w:rFonts w:ascii="Times New Roman" w:hAnsi="Times New Roman" w:cs="Times New Roman"/>
        </w:rPr>
        <w:t>CoIIN</w:t>
      </w:r>
      <w:proofErr w:type="spellEnd"/>
      <w:r w:rsidRPr="00E70F69" w:rsidR="00516ABB">
        <w:rPr>
          <w:rFonts w:ascii="Times New Roman" w:hAnsi="Times New Roman" w:cs="Times New Roman"/>
        </w:rPr>
        <w:t xml:space="preserve">-wide collaboration and learning. The tool is also the repository for the evaluation data collection where the grantees can enter or upload their data and see data visualizations of how their data has changed over time. </w:t>
      </w:r>
      <w:r w:rsidR="00ED3BD8">
        <w:rPr>
          <w:rFonts w:ascii="Times New Roman" w:hAnsi="Times New Roman" w:cs="Times New Roman"/>
        </w:rPr>
        <w:t xml:space="preserve">Attachment </w:t>
      </w:r>
      <w:r w:rsidR="00FE4A1F">
        <w:rPr>
          <w:rFonts w:ascii="Times New Roman" w:hAnsi="Times New Roman" w:cs="Times New Roman"/>
        </w:rPr>
        <w:t>G</w:t>
      </w:r>
      <w:r w:rsidRPr="00E70F69" w:rsidR="00FE4A1F">
        <w:rPr>
          <w:rFonts w:ascii="Times New Roman" w:hAnsi="Times New Roman" w:cs="Times New Roman"/>
        </w:rPr>
        <w:t xml:space="preserve"> </w:t>
      </w:r>
      <w:r w:rsidRPr="00E70F69" w:rsidR="00516ABB">
        <w:rPr>
          <w:rFonts w:ascii="Times New Roman" w:hAnsi="Times New Roman" w:cs="Times New Roman"/>
        </w:rPr>
        <w:t xml:space="preserve">includes a detailed description of </w:t>
      </w:r>
      <w:proofErr w:type="spellStart"/>
      <w:r w:rsidRPr="00E70F69" w:rsidR="00516ABB">
        <w:rPr>
          <w:rFonts w:ascii="Times New Roman" w:hAnsi="Times New Roman" w:cs="Times New Roman"/>
        </w:rPr>
        <w:t>Abt’s</w:t>
      </w:r>
      <w:proofErr w:type="spellEnd"/>
      <w:r w:rsidRPr="00E70F69" w:rsidR="00516ABB">
        <w:rPr>
          <w:rFonts w:ascii="Times New Roman" w:hAnsi="Times New Roman" w:cs="Times New Roman"/>
        </w:rPr>
        <w:t xml:space="preserve"> baseline security requirements, incident response, secure data storage, and compliance with HHS and Federal IT Policies.</w:t>
      </w:r>
      <w:r w:rsidRPr="00E70F69" w:rsidR="008E1394">
        <w:rPr>
          <w:rFonts w:ascii="Times New Roman" w:hAnsi="Times New Roman" w:cs="Times New Roman"/>
        </w:rPr>
        <w:t xml:space="preserve"> </w:t>
      </w:r>
    </w:p>
    <w:p w:rsidR="00727196" w:rsidP="00A568CA" w:rsidRDefault="008D711C" w14:paraId="0FEF4DD5" w14:textId="3B1546DB">
      <w:pPr>
        <w:pStyle w:val="ListParagraph"/>
        <w:numPr>
          <w:ilvl w:val="0"/>
          <w:numId w:val="10"/>
        </w:numPr>
        <w:spacing w:after="120"/>
        <w:ind w:left="720"/>
        <w:contextualSpacing w:val="0"/>
        <w:rPr>
          <w:rFonts w:ascii="Times New Roman" w:hAnsi="Times New Roman" w:cs="Times New Roman"/>
        </w:rPr>
      </w:pPr>
      <w:r w:rsidRPr="008D711C">
        <w:rPr>
          <w:rFonts w:ascii="Times New Roman" w:hAnsi="Times New Roman" w:cs="Times New Roman"/>
          <w:b/>
        </w:rPr>
        <w:t>Electronic transfer of data.</w:t>
      </w:r>
      <w:r>
        <w:rPr>
          <w:rFonts w:ascii="Times New Roman" w:hAnsi="Times New Roman" w:cs="Times New Roman"/>
        </w:rPr>
        <w:t xml:space="preserve"> All data collected by the learning </w:t>
      </w:r>
      <w:proofErr w:type="spellStart"/>
      <w:r>
        <w:rPr>
          <w:rFonts w:ascii="Times New Roman" w:hAnsi="Times New Roman" w:cs="Times New Roman"/>
        </w:rPr>
        <w:t>collaboratives</w:t>
      </w:r>
      <w:proofErr w:type="spellEnd"/>
      <w:r>
        <w:rPr>
          <w:rFonts w:ascii="Times New Roman" w:hAnsi="Times New Roman" w:cs="Times New Roman"/>
        </w:rPr>
        <w:t xml:space="preserve"> will be transferred to </w:t>
      </w:r>
      <w:proofErr w:type="spellStart"/>
      <w:r>
        <w:rPr>
          <w:rFonts w:ascii="Times New Roman" w:hAnsi="Times New Roman" w:cs="Times New Roman"/>
        </w:rPr>
        <w:t>Abt</w:t>
      </w:r>
      <w:proofErr w:type="spellEnd"/>
      <w:r>
        <w:rPr>
          <w:rFonts w:ascii="Times New Roman" w:hAnsi="Times New Roman" w:cs="Times New Roman"/>
        </w:rPr>
        <w:t xml:space="preserve"> using a secure document collaboration and client portal, Huddle. </w:t>
      </w:r>
      <w:r w:rsidRPr="008D711C">
        <w:rPr>
          <w:rFonts w:ascii="Times New Roman" w:hAnsi="Times New Roman" w:cs="Times New Roman"/>
        </w:rPr>
        <w:t xml:space="preserve">Huddle is made up of a network of online workspaces that are managed by Workspace Managers. Huddle serves as a file transfer site for projects involving sensitive information such as Personally Identifiable Information (PII) and Protected Health Information (PHI). This platform enables study team members to send and receive sensitive information securely with people inside and outside of Abt. </w:t>
      </w:r>
    </w:p>
    <w:p w:rsidRPr="00E70F69" w:rsidR="008D711C" w:rsidP="00A568CA" w:rsidRDefault="008D711C" w14:paraId="3A4C22B0" w14:textId="3C335EA7">
      <w:pPr>
        <w:pStyle w:val="ListParagraph"/>
        <w:numPr>
          <w:ilvl w:val="0"/>
          <w:numId w:val="10"/>
        </w:numPr>
        <w:spacing w:after="120"/>
        <w:ind w:left="720"/>
        <w:contextualSpacing w:val="0"/>
        <w:rPr>
          <w:rFonts w:ascii="Times New Roman" w:hAnsi="Times New Roman" w:cs="Times New Roman"/>
        </w:rPr>
      </w:pPr>
      <w:r>
        <w:rPr>
          <w:rFonts w:ascii="Times New Roman" w:hAnsi="Times New Roman" w:cs="Times New Roman"/>
          <w:b/>
        </w:rPr>
        <w:t>Posting on AHRQ’s website.</w:t>
      </w:r>
      <w:r w:rsidR="00955A3C">
        <w:rPr>
          <w:rFonts w:ascii="Times New Roman" w:hAnsi="Times New Roman" w:cs="Times New Roman"/>
          <w:b/>
        </w:rPr>
        <w:t xml:space="preserve"> </w:t>
      </w:r>
      <w:r w:rsidRPr="0091565D" w:rsidR="0091565D">
        <w:rPr>
          <w:rFonts w:ascii="Times New Roman" w:hAnsi="Times New Roman" w:cs="Times New Roman"/>
        </w:rPr>
        <w:t>Several of the project deliverables will be posted on AHRQ’s website.</w:t>
      </w:r>
      <w:r w:rsidR="0091565D">
        <w:rPr>
          <w:rFonts w:ascii="Times New Roman" w:hAnsi="Times New Roman" w:cs="Times New Roman"/>
          <w:b/>
        </w:rPr>
        <w:t xml:space="preserve"> </w:t>
      </w:r>
      <w:r w:rsidR="00955A3C">
        <w:rPr>
          <w:rFonts w:ascii="Times New Roman" w:hAnsi="Times New Roman" w:cs="Times New Roman"/>
        </w:rPr>
        <w:t xml:space="preserve">The infographic developed from findings from the environmental scan, the final </w:t>
      </w:r>
      <w:r w:rsidR="00441E08">
        <w:rPr>
          <w:rFonts w:ascii="Times New Roman" w:hAnsi="Times New Roman" w:cs="Times New Roman"/>
        </w:rPr>
        <w:t xml:space="preserve">Compendium </w:t>
      </w:r>
      <w:r w:rsidR="00955A3C">
        <w:rPr>
          <w:rFonts w:ascii="Times New Roman" w:hAnsi="Times New Roman" w:cs="Times New Roman"/>
        </w:rPr>
        <w:t xml:space="preserve">of </w:t>
      </w:r>
      <w:r w:rsidR="00441E08">
        <w:rPr>
          <w:rFonts w:ascii="Times New Roman" w:hAnsi="Times New Roman" w:cs="Times New Roman"/>
        </w:rPr>
        <w:t>Strategies</w:t>
      </w:r>
      <w:r w:rsidR="00955A3C">
        <w:rPr>
          <w:rFonts w:ascii="Times New Roman" w:hAnsi="Times New Roman" w:cs="Times New Roman"/>
        </w:rPr>
        <w:t>, final case studies, and the final report will be public-facing and posted on AHRQs</w:t>
      </w:r>
      <w:r>
        <w:rPr>
          <w:rFonts w:ascii="Times New Roman" w:hAnsi="Times New Roman" w:cs="Times New Roman"/>
        </w:rPr>
        <w:t xml:space="preserve"> </w:t>
      </w:r>
      <w:r w:rsidR="00955A3C">
        <w:rPr>
          <w:rFonts w:ascii="Times New Roman" w:hAnsi="Times New Roman" w:cs="Times New Roman"/>
        </w:rPr>
        <w:t>website.</w:t>
      </w:r>
    </w:p>
    <w:p w:rsidR="009B633D" w:rsidP="003600B8" w:rsidRDefault="009B633D" w14:paraId="157FDCBB" w14:textId="77777777">
      <w:pPr>
        <w:pStyle w:val="Heading2"/>
      </w:pPr>
      <w:bookmarkStart w:name="_Toc38531520" w:id="12"/>
      <w:r w:rsidRPr="00983636">
        <w:t xml:space="preserve">4. </w:t>
      </w:r>
      <w:bookmarkStart w:name="_Toc151782179" w:id="13"/>
      <w:bookmarkStart w:name="_Toc158526219" w:id="14"/>
      <w:r w:rsidRPr="00983636">
        <w:t>Efforts to Identify Duplication</w:t>
      </w:r>
      <w:bookmarkEnd w:id="13"/>
      <w:bookmarkEnd w:id="14"/>
      <w:bookmarkEnd w:id="12"/>
    </w:p>
    <w:p w:rsidR="00DA4E5A" w:rsidP="003600B8" w:rsidRDefault="00CD507F" w14:paraId="6EDA2290" w14:textId="569EA1A7">
      <w:pPr>
        <w:pStyle w:val="BodyText"/>
      </w:pPr>
      <w:r>
        <w:t xml:space="preserve">The tools and resources that compile the </w:t>
      </w:r>
      <w:r w:rsidR="00441E08">
        <w:t xml:space="preserve">Compendium </w:t>
      </w:r>
      <w:r>
        <w:t>are gathered through a review of secondary data sources, an environmental scan</w:t>
      </w:r>
      <w:r w:rsidR="00054534">
        <w:t xml:space="preserve"> and literature review</w:t>
      </w:r>
      <w:r>
        <w:t xml:space="preserve">, and interviews with </w:t>
      </w:r>
      <w:r w:rsidR="005605E3">
        <w:t xml:space="preserve">nine individuals from </w:t>
      </w:r>
      <w:r>
        <w:t xml:space="preserve">exemplar practices about innovative strategies that they have implemented. </w:t>
      </w:r>
      <w:r w:rsidR="00955A3C">
        <w:t xml:space="preserve">A duplication of effort is unlikely. </w:t>
      </w:r>
      <w:r w:rsidRPr="00955A3C" w:rsidR="00955A3C">
        <w:t xml:space="preserve">While there </w:t>
      </w:r>
      <w:r w:rsidR="00955A3C">
        <w:t>have</w:t>
      </w:r>
      <w:r w:rsidRPr="00955A3C" w:rsidR="00955A3C">
        <w:t xml:space="preserve"> been extensive efforts to address the opioid epidemic, relatively little attention </w:t>
      </w:r>
      <w:r w:rsidR="00955A3C">
        <w:t xml:space="preserve">has been paid to </w:t>
      </w:r>
      <w:r w:rsidRPr="00955A3C" w:rsidR="00955A3C">
        <w:t>the risks and effects of opioid use, misuse and OUD in older adults</w:t>
      </w:r>
      <w:r w:rsidR="000623D2">
        <w:t xml:space="preserve"> and the information available for best practices with older adults is de-centralized</w:t>
      </w:r>
      <w:r w:rsidR="00955A3C">
        <w:t xml:space="preserve">. </w:t>
      </w:r>
      <w:r w:rsidR="00DA4E5A">
        <w:t xml:space="preserve">AHRQ has sustained close contact with other organizations doing related work in an effort to identify similar existing information and has not identified any such sources. </w:t>
      </w:r>
    </w:p>
    <w:p w:rsidRPr="00983636" w:rsidR="009B633D" w:rsidP="003600B8" w:rsidRDefault="009B633D" w14:paraId="0B9F68C6" w14:textId="77777777">
      <w:pPr>
        <w:pStyle w:val="Heading2"/>
      </w:pPr>
      <w:bookmarkStart w:name="_Toc151782180" w:id="15"/>
      <w:bookmarkStart w:name="_Toc158526220" w:id="16"/>
      <w:bookmarkStart w:name="_Toc38531521" w:id="17"/>
      <w:r w:rsidRPr="00983636">
        <w:t>5. Involvement of Small Entities</w:t>
      </w:r>
      <w:bookmarkEnd w:id="15"/>
      <w:bookmarkEnd w:id="16"/>
      <w:bookmarkEnd w:id="17"/>
    </w:p>
    <w:p w:rsidRPr="00993162" w:rsidR="00DA4E5A" w:rsidP="003600B8" w:rsidRDefault="00DA4E5A" w14:paraId="7D8332B7" w14:textId="77777777">
      <w:pPr>
        <w:pStyle w:val="BodyText"/>
      </w:pPr>
      <w:r w:rsidRPr="00993162">
        <w:t>This project does not intend to intentionally involve nor exclude or impact any small entities. However, to the extent an identified and recruited health care organization meets the requirements for participation and is a small entity, we will involve them and expect no greater impact than on other participating health care organizations. The instruments and procedures used to collect data are designed to minimize the burden on all respondents.</w:t>
      </w:r>
    </w:p>
    <w:p w:rsidRPr="00983636" w:rsidR="009B633D" w:rsidP="003600B8" w:rsidRDefault="009B633D" w14:paraId="2D3D9EED" w14:textId="77777777">
      <w:pPr>
        <w:pStyle w:val="Heading2"/>
      </w:pPr>
      <w:bookmarkStart w:name="_Toc151782181" w:id="18"/>
      <w:bookmarkStart w:name="_Toc158526221" w:id="19"/>
      <w:bookmarkStart w:name="_Toc38531522" w:id="20"/>
      <w:r w:rsidRPr="00FE2B64">
        <w:t>6. Consequences if Information Collected Less Frequently</w:t>
      </w:r>
      <w:bookmarkEnd w:id="18"/>
      <w:bookmarkEnd w:id="19"/>
      <w:bookmarkEnd w:id="20"/>
    </w:p>
    <w:p w:rsidR="000E189B" w:rsidP="003600B8" w:rsidRDefault="00993162" w14:paraId="2DEF174D" w14:textId="1EAC563E">
      <w:pPr>
        <w:pStyle w:val="BodyText"/>
      </w:pPr>
      <w:bookmarkStart w:name="_Toc151782182" w:id="21"/>
      <w:bookmarkStart w:name="_Toc158526222" w:id="22"/>
      <w:r w:rsidRPr="00993162">
        <w:t xml:space="preserve">The </w:t>
      </w:r>
      <w:r w:rsidR="0091565D">
        <w:t xml:space="preserve">frequency of </w:t>
      </w:r>
      <w:r w:rsidRPr="00993162">
        <w:t xml:space="preserve">data collection </w:t>
      </w:r>
      <w:r w:rsidR="0091565D">
        <w:t xml:space="preserve">varies depending on type of data being collected. The </w:t>
      </w:r>
      <w:r w:rsidR="00D255BC">
        <w:t xml:space="preserve">data collected for the </w:t>
      </w:r>
      <w:r w:rsidR="0091565D">
        <w:t xml:space="preserve">provider survey, interview with nine </w:t>
      </w:r>
      <w:r w:rsidR="005605E3">
        <w:t xml:space="preserve">individuals from </w:t>
      </w:r>
      <w:r w:rsidR="0091565D">
        <w:t>exemplar practices, learning collaborative self-assessments</w:t>
      </w:r>
      <w:r w:rsidR="000E189B">
        <w:t>, and sharing of provider documents</w:t>
      </w:r>
      <w:r w:rsidR="0091565D">
        <w:t xml:space="preserve"> are all </w:t>
      </w:r>
      <w:r w:rsidR="00D255BC">
        <w:t xml:space="preserve">collected </w:t>
      </w:r>
      <w:r w:rsidR="0091565D">
        <w:t xml:space="preserve">at one point in time. The purpose of these one-time data collection activities is to gather information to inform or build the </w:t>
      </w:r>
      <w:r w:rsidR="00441E08">
        <w:t xml:space="preserve">Compendium </w:t>
      </w:r>
      <w:r w:rsidR="0091565D">
        <w:t xml:space="preserve">of </w:t>
      </w:r>
      <w:r w:rsidR="00441E08">
        <w:t>Strategies</w:t>
      </w:r>
      <w:r w:rsidR="0091565D">
        <w:t xml:space="preserve">. The learning collaborative self-assessment will help practices </w:t>
      </w:r>
      <w:r w:rsidRPr="00B6621E" w:rsidR="00B6621E">
        <w:t>assess the status their QI efforts to improve</w:t>
      </w:r>
      <w:r w:rsidR="00B6621E">
        <w:t xml:space="preserve"> opioid prescribing and identify </w:t>
      </w:r>
      <w:r w:rsidR="0091565D">
        <w:t xml:space="preserve">areas of QI </w:t>
      </w:r>
      <w:r w:rsidR="000E189B">
        <w:t xml:space="preserve">on which </w:t>
      </w:r>
      <w:r w:rsidR="00B6621E">
        <w:t xml:space="preserve">to target </w:t>
      </w:r>
      <w:r w:rsidR="000E189B">
        <w:t xml:space="preserve">with </w:t>
      </w:r>
      <w:r w:rsidR="00B6621E">
        <w:t xml:space="preserve">appropriate </w:t>
      </w:r>
      <w:r w:rsidR="0091565D">
        <w:t xml:space="preserve">resources, strategies, </w:t>
      </w:r>
      <w:r w:rsidR="00B6621E">
        <w:t xml:space="preserve">and </w:t>
      </w:r>
      <w:r w:rsidR="0091565D">
        <w:t xml:space="preserve">tools </w:t>
      </w:r>
      <w:r w:rsidR="00B6621E">
        <w:t>to</w:t>
      </w:r>
      <w:r w:rsidR="0091565D">
        <w:t xml:space="preserve"> help them achieve their QI goals. </w:t>
      </w:r>
      <w:r w:rsidR="000E189B">
        <w:t xml:space="preserve">The provider documents will help AHRQ understand </w:t>
      </w:r>
      <w:r w:rsidR="00D255BC">
        <w:t>outputs</w:t>
      </w:r>
      <w:r w:rsidR="000E189B">
        <w:t xml:space="preserve"> as part of the learning collaborative such as new policies and procedures, </w:t>
      </w:r>
      <w:r w:rsidR="00AD714E">
        <w:t xml:space="preserve">staff and resident/family education and </w:t>
      </w:r>
      <w:r w:rsidR="000E189B">
        <w:t>trainings</w:t>
      </w:r>
      <w:r w:rsidR="00AD714E">
        <w:t>,</w:t>
      </w:r>
      <w:r w:rsidR="000E189B">
        <w:t xml:space="preserve"> and workflows </w:t>
      </w:r>
      <w:r w:rsidR="00AD714E">
        <w:t>related to</w:t>
      </w:r>
      <w:r w:rsidR="000E189B">
        <w:t xml:space="preserve"> </w:t>
      </w:r>
      <w:r w:rsidR="00AD714E">
        <w:t>managing opioid use</w:t>
      </w:r>
      <w:r w:rsidR="00FE2B64">
        <w:t xml:space="preserve">, </w:t>
      </w:r>
      <w:r w:rsidR="00AD714E">
        <w:t>misuse</w:t>
      </w:r>
      <w:r w:rsidR="00FE2B64">
        <w:t>, and abuse</w:t>
      </w:r>
      <w:r w:rsidR="00AD714E">
        <w:t xml:space="preserve"> in</w:t>
      </w:r>
      <w:r w:rsidR="000E189B">
        <w:t xml:space="preserve"> older adults.</w:t>
      </w:r>
    </w:p>
    <w:p w:rsidR="009A3C46" w:rsidP="003600B8" w:rsidRDefault="000E189B" w14:paraId="2164C2DC" w14:textId="504546C6">
      <w:pPr>
        <w:pStyle w:val="BodyText"/>
      </w:pPr>
      <w:r>
        <w:t>Across the 15-month learning collaborative initiative, t</w:t>
      </w:r>
      <w:r w:rsidR="00B6621E">
        <w:t xml:space="preserve">he learning collaborative staff </w:t>
      </w:r>
      <w:r w:rsidR="00876D68">
        <w:t xml:space="preserve">surveys will be </w:t>
      </w:r>
      <w:r w:rsidR="00054534">
        <w:t xml:space="preserve">administered </w:t>
      </w:r>
      <w:r w:rsidR="00876D68">
        <w:t xml:space="preserve">to clinicians </w:t>
      </w:r>
      <w:r w:rsidR="00054534">
        <w:t xml:space="preserve">at </w:t>
      </w:r>
      <w:r w:rsidR="00876D68">
        <w:t>two time</w:t>
      </w:r>
      <w:r w:rsidR="00054534">
        <w:t xml:space="preserve"> point</w:t>
      </w:r>
      <w:r w:rsidR="00876D68">
        <w:t>s (baseline and post-implementation)</w:t>
      </w:r>
      <w:r w:rsidRPr="004626EE" w:rsidR="00876D68">
        <w:t xml:space="preserve">. </w:t>
      </w:r>
      <w:r w:rsidR="00876D68">
        <w:t>Staff i</w:t>
      </w:r>
      <w:r w:rsidR="00B6621E">
        <w:t xml:space="preserve">nterviews </w:t>
      </w:r>
      <w:r w:rsidR="00876D68">
        <w:t xml:space="preserve">also </w:t>
      </w:r>
      <w:r w:rsidR="00B6621E">
        <w:t xml:space="preserve">will occur two times </w:t>
      </w:r>
      <w:r w:rsidR="00A0124C">
        <w:t>(</w:t>
      </w:r>
      <w:r w:rsidR="00B6621E">
        <w:t>mid-point and once post-implementation</w:t>
      </w:r>
      <w:r w:rsidR="00A0124C">
        <w:t>)</w:t>
      </w:r>
      <w:r w:rsidR="00B6621E">
        <w:t xml:space="preserve">. The </w:t>
      </w:r>
      <w:r w:rsidR="00D76187">
        <w:t xml:space="preserve">QI </w:t>
      </w:r>
      <w:r w:rsidR="00B6621E">
        <w:t xml:space="preserve">champion interviews will occur three times (baseline, mid-point and post-implementation). </w:t>
      </w:r>
      <w:r w:rsidR="00A0124C">
        <w:t xml:space="preserve">Conducting the </w:t>
      </w:r>
      <w:r w:rsidR="00876D68">
        <w:t xml:space="preserve">surveys and </w:t>
      </w:r>
      <w:r w:rsidR="00D76187">
        <w:t xml:space="preserve">QI </w:t>
      </w:r>
      <w:r w:rsidR="00A0124C">
        <w:t xml:space="preserve">champion interviews pre- and post-implementation will allow us to assess </w:t>
      </w:r>
      <w:r w:rsidR="00876D68">
        <w:t xml:space="preserve">the impact of the program </w:t>
      </w:r>
      <w:r w:rsidR="00A0124C">
        <w:t xml:space="preserve">in </w:t>
      </w:r>
      <w:r w:rsidR="00876D68">
        <w:t xml:space="preserve">terms of </w:t>
      </w:r>
      <w:r>
        <w:t xml:space="preserve">processes and outcomes. </w:t>
      </w:r>
      <w:r w:rsidR="00B6621E">
        <w:t xml:space="preserve">The </w:t>
      </w:r>
      <w:r w:rsidR="00D255BC">
        <w:t xml:space="preserve">staff and </w:t>
      </w:r>
      <w:r w:rsidR="00D76187">
        <w:t xml:space="preserve">QI </w:t>
      </w:r>
      <w:r w:rsidR="00D255BC">
        <w:t xml:space="preserve">champion </w:t>
      </w:r>
      <w:r w:rsidR="00B6621E">
        <w:t xml:space="preserve">mid-point </w:t>
      </w:r>
      <w:r w:rsidR="00E7701F">
        <w:t>data</w:t>
      </w:r>
      <w:r w:rsidR="00AD714E">
        <w:t xml:space="preserve"> </w:t>
      </w:r>
      <w:r w:rsidR="00E7701F">
        <w:t>will allow</w:t>
      </w:r>
      <w:r w:rsidR="00AD714E">
        <w:t xml:space="preserve"> </w:t>
      </w:r>
      <w:r w:rsidR="00BD45F0">
        <w:t xml:space="preserve">the evaluation team and </w:t>
      </w:r>
      <w:r w:rsidR="00AD714E">
        <w:t>AHRQ to modify the strategies and tools and continue implementation and testing</w:t>
      </w:r>
      <w:r w:rsidR="00E7701F">
        <w:t xml:space="preserve"> during the second half of program implementation</w:t>
      </w:r>
      <w:r w:rsidR="00AD714E">
        <w:t xml:space="preserve">. It also allows the practices participating in the learning </w:t>
      </w:r>
      <w:proofErr w:type="spellStart"/>
      <w:r w:rsidR="00AD714E">
        <w:t>collaboratives</w:t>
      </w:r>
      <w:proofErr w:type="spellEnd"/>
      <w:r w:rsidR="00AD714E">
        <w:t xml:space="preserve"> to take advantage of interim modifications and improvements </w:t>
      </w:r>
      <w:r w:rsidR="00E7701F">
        <w:t>for the remainder of the program rather than continuing to implement a strategy that may not be effective as first implemented</w:t>
      </w:r>
      <w:r w:rsidR="00AD714E">
        <w:t xml:space="preserve">. </w:t>
      </w:r>
    </w:p>
    <w:p w:rsidR="009A3C46" w:rsidP="003600B8" w:rsidRDefault="00AD714E" w14:paraId="13C8CF6A" w14:textId="72E1D138">
      <w:pPr>
        <w:pStyle w:val="BodyText"/>
      </w:pPr>
      <w:r>
        <w:t xml:space="preserve">The </w:t>
      </w:r>
      <w:r w:rsidR="00876D68">
        <w:t xml:space="preserve">post-implementation data collected via the </w:t>
      </w:r>
      <w:r w:rsidR="002F6701">
        <w:t xml:space="preserve">clinical staff </w:t>
      </w:r>
      <w:r w:rsidR="00876D68">
        <w:t xml:space="preserve">survey </w:t>
      </w:r>
      <w:r w:rsidR="009A3C46">
        <w:t xml:space="preserve">and the </w:t>
      </w:r>
      <w:r w:rsidR="00D76187">
        <w:t xml:space="preserve">QI </w:t>
      </w:r>
      <w:r w:rsidR="00E7701F">
        <w:t xml:space="preserve">champion </w:t>
      </w:r>
      <w:r w:rsidR="00876D68">
        <w:t xml:space="preserve">interview </w:t>
      </w:r>
      <w:r w:rsidR="009A3C46">
        <w:t xml:space="preserve">will </w:t>
      </w:r>
      <w:r>
        <w:t xml:space="preserve">not only allow </w:t>
      </w:r>
      <w:r w:rsidR="00BD45F0">
        <w:t xml:space="preserve">the evaluation team and </w:t>
      </w:r>
      <w:r>
        <w:t xml:space="preserve">AHRQ to assess </w:t>
      </w:r>
      <w:r w:rsidR="009A3C46">
        <w:t xml:space="preserve">change over time and </w:t>
      </w:r>
      <w:r>
        <w:t xml:space="preserve">the impact of the intervention, but along with post-implementation </w:t>
      </w:r>
      <w:r w:rsidR="009A3C46">
        <w:t xml:space="preserve">staff interview </w:t>
      </w:r>
      <w:r w:rsidR="00E7701F">
        <w:t>data</w:t>
      </w:r>
      <w:r>
        <w:t xml:space="preserve"> </w:t>
      </w:r>
      <w:r w:rsidR="00B6621E">
        <w:t xml:space="preserve">will </w:t>
      </w:r>
      <w:r w:rsidR="000E189B">
        <w:t xml:space="preserve">inform the final compilation of the </w:t>
      </w:r>
      <w:r w:rsidR="00441E08">
        <w:t xml:space="preserve">Compendium </w:t>
      </w:r>
      <w:r w:rsidR="000E189B">
        <w:t xml:space="preserve">of </w:t>
      </w:r>
      <w:r w:rsidR="00441E08">
        <w:t xml:space="preserve">Strategies </w:t>
      </w:r>
      <w:r w:rsidR="000E189B">
        <w:t xml:space="preserve">and tools </w:t>
      </w:r>
      <w:r>
        <w:t xml:space="preserve">for </w:t>
      </w:r>
      <w:r w:rsidR="00E7701F">
        <w:t xml:space="preserve">the </w:t>
      </w:r>
      <w:r>
        <w:t xml:space="preserve">management of opioid use, misuse and abuse in older adults in </w:t>
      </w:r>
      <w:r w:rsidR="00697668">
        <w:t>PCPs</w:t>
      </w:r>
      <w:r w:rsidRPr="00993162" w:rsidR="00993162">
        <w:t xml:space="preserve">. </w:t>
      </w:r>
      <w:r w:rsidR="00E7701F">
        <w:t xml:space="preserve">To ease burden on staff, we are only collecting </w:t>
      </w:r>
      <w:r w:rsidR="00BA6CB1">
        <w:t>interview</w:t>
      </w:r>
      <w:r w:rsidR="00E7701F">
        <w:t xml:space="preserve"> data at mid-point and post- implementation. </w:t>
      </w:r>
    </w:p>
    <w:p w:rsidR="00993162" w:rsidP="003600B8" w:rsidRDefault="009A3C46" w14:paraId="3006BB19" w14:textId="2C2B3AB0">
      <w:pPr>
        <w:pStyle w:val="BodyText"/>
      </w:pPr>
      <w:r>
        <w:t xml:space="preserve">By collecting data in different forms (i.e., survey, interview, documents) we are able to triangulate the data for a more accurate assessment of the efficacy of the program, and inform the final collection of tools and strategies for the </w:t>
      </w:r>
      <w:r w:rsidR="00441E08">
        <w:t>Compendium</w:t>
      </w:r>
      <w:r>
        <w:t xml:space="preserve">. </w:t>
      </w:r>
      <w:r w:rsidR="00AD714E">
        <w:t xml:space="preserve">Less frequent </w:t>
      </w:r>
      <w:r w:rsidR="00BA6CB1">
        <w:t xml:space="preserve">interview data </w:t>
      </w:r>
      <w:r w:rsidR="00AD714E">
        <w:t xml:space="preserve">collection would inhibit </w:t>
      </w:r>
      <w:r w:rsidR="00BD45F0">
        <w:t xml:space="preserve">the evaluation team and AHRQ </w:t>
      </w:r>
      <w:r w:rsidR="00AD714E">
        <w:t xml:space="preserve">from assessing the impact of the intervention. It would also prevent AHRQ from </w:t>
      </w:r>
      <w:r w:rsidR="00D255BC">
        <w:t xml:space="preserve">making modifications to </w:t>
      </w:r>
      <w:r w:rsidR="00AD714E">
        <w:t>the strategies prior to the end of the program</w:t>
      </w:r>
      <w:r w:rsidR="00E7701F">
        <w:t xml:space="preserve">. </w:t>
      </w:r>
    </w:p>
    <w:p w:rsidRPr="00993162" w:rsidR="000E189B" w:rsidP="003600B8" w:rsidRDefault="000E189B" w14:paraId="1ECDE7D1" w14:textId="2A0A789F">
      <w:pPr>
        <w:pStyle w:val="BodyText"/>
      </w:pPr>
      <w:r>
        <w:t xml:space="preserve">Finally, </w:t>
      </w:r>
      <w:r w:rsidR="00BA6CB1">
        <w:t>e</w:t>
      </w:r>
      <w:r w:rsidRPr="00BA6CB1" w:rsidR="00BA6CB1">
        <w:t xml:space="preserve">ach clinic will report quarterly </w:t>
      </w:r>
      <w:r w:rsidR="00BA6CB1">
        <w:t xml:space="preserve">data on QI measures. </w:t>
      </w:r>
      <w:r w:rsidRPr="00BA6CB1" w:rsidR="00BA6CB1">
        <w:t>A data analyst at each organization will provide aggregate report</w:t>
      </w:r>
      <w:r w:rsidRPr="003600B8" w:rsidR="00BA6CB1">
        <w:t>s</w:t>
      </w:r>
      <w:r w:rsidRPr="00BA6CB1" w:rsidR="00BA6CB1">
        <w:t xml:space="preserve"> of the specified QI measures to </w:t>
      </w:r>
      <w:r w:rsidR="00BD45F0">
        <w:t>the evaluation team</w:t>
      </w:r>
      <w:r w:rsidRPr="00BA6CB1" w:rsidR="00BD45F0">
        <w:t xml:space="preserve"> </w:t>
      </w:r>
      <w:r w:rsidRPr="00BA6CB1" w:rsidR="00BA6CB1">
        <w:t>on a quarterly basis over the course of a</w:t>
      </w:r>
      <w:r w:rsidRPr="00BA6CB1" w:rsidR="009A3C46">
        <w:t>1</w:t>
      </w:r>
      <w:r w:rsidR="009A3C46">
        <w:t>5</w:t>
      </w:r>
      <w:r w:rsidRPr="00BA6CB1" w:rsidR="00BA6CB1">
        <w:t>-month period. The QI measures are measures of opioid prescribing that are critical for understanding the potential improvements in opioid prescribing in implementing the strategies.</w:t>
      </w:r>
      <w:r w:rsidR="00BD45F0">
        <w:t xml:space="preserve"> </w:t>
      </w:r>
      <w:r w:rsidRPr="009A3C46" w:rsidR="009A3C46">
        <w:t xml:space="preserve">Collecting </w:t>
      </w:r>
      <w:r w:rsidR="009A3C46">
        <w:t xml:space="preserve">these data </w:t>
      </w:r>
      <w:r w:rsidRPr="009A3C46" w:rsidR="009A3C46">
        <w:t xml:space="preserve">on a quarterly basis is in large part </w:t>
      </w:r>
      <w:r w:rsidR="009A3C46">
        <w:t>due to the fact that if</w:t>
      </w:r>
      <w:r w:rsidRPr="009A3C46" w:rsidR="009A3C46">
        <w:t xml:space="preserve"> practices are using these measures as intended - they should be collecting </w:t>
      </w:r>
      <w:r w:rsidR="009A3C46">
        <w:t xml:space="preserve">them </w:t>
      </w:r>
      <w:r w:rsidRPr="009A3C46" w:rsidR="009A3C46">
        <w:t>at least quarterly. The quarterly measure also allows the evaluation team to look at trends in the data</w:t>
      </w:r>
      <w:r w:rsidR="002F6701">
        <w:t>, and the learning collaborative leaders to discuss observed trends from participating practices</w:t>
      </w:r>
      <w:r w:rsidRPr="009A3C46" w:rsidR="009A3C46">
        <w:t>. Collecting the data less frequently, could lead to incorrect assumptions about the efficacy of the intervention. For example, threats to external va</w:t>
      </w:r>
      <w:r w:rsidRPr="003600B8" w:rsidR="009A3C46">
        <w:t>l</w:t>
      </w:r>
      <w:r w:rsidRPr="009A3C46" w:rsidR="009A3C46">
        <w:t xml:space="preserve">idity such as historical events (e.g. COVID-19) could incorrectly indicate that the intervention was not effective. However, by examining these data at </w:t>
      </w:r>
      <w:r w:rsidR="009A3C46">
        <w:t>five</w:t>
      </w:r>
      <w:r w:rsidRPr="009A3C46" w:rsidR="009A3C46">
        <w:t xml:space="preserve"> points in time, a rise or fall during one quarter will be considered when a general trend is plotted.</w:t>
      </w:r>
      <w:r w:rsidR="009A3C46">
        <w:t xml:space="preserve"> </w:t>
      </w:r>
    </w:p>
    <w:p w:rsidRPr="00993162" w:rsidR="00993162" w:rsidP="003600B8" w:rsidRDefault="00993162" w14:paraId="0D446F20" w14:textId="2ED139B7">
      <w:pPr>
        <w:pStyle w:val="BodyText"/>
      </w:pPr>
      <w:r w:rsidRPr="00993162">
        <w:t>Not collecting the</w:t>
      </w:r>
      <w:r w:rsidR="00BD45F0">
        <w:t>se</w:t>
      </w:r>
      <w:r w:rsidRPr="00993162">
        <w:t xml:space="preserve"> data, places us at risk of not collecting adequ</w:t>
      </w:r>
      <w:r w:rsidR="00F405D8">
        <w:t xml:space="preserve">ate information for the </w:t>
      </w:r>
      <w:r w:rsidR="000623D2">
        <w:t xml:space="preserve">identifying and </w:t>
      </w:r>
      <w:r>
        <w:t xml:space="preserve">testing </w:t>
      </w:r>
      <w:r w:rsidR="000671B8">
        <w:t>strategies to manage opioid use</w:t>
      </w:r>
      <w:r w:rsidR="00FE2B64">
        <w:t xml:space="preserve">, </w:t>
      </w:r>
      <w:r w:rsidR="000671B8">
        <w:t>misuse</w:t>
      </w:r>
      <w:r w:rsidR="00FE2B64">
        <w:t xml:space="preserve"> and abuse</w:t>
      </w:r>
      <w:r w:rsidR="000671B8">
        <w:t xml:space="preserve"> in older adults</w:t>
      </w:r>
      <w:r w:rsidRPr="00993162">
        <w:t xml:space="preserve">. Should we shorten the data collection period, we </w:t>
      </w:r>
      <w:r w:rsidR="000671B8">
        <w:t xml:space="preserve">would have to also shorten the implementation period. A shorter implementation period would </w:t>
      </w:r>
      <w:r w:rsidR="00BA6CB1">
        <w:t xml:space="preserve">not </w:t>
      </w:r>
      <w:r w:rsidR="000671B8">
        <w:t xml:space="preserve">allow time to </w:t>
      </w:r>
      <w:r w:rsidR="00BA6CB1">
        <w:t>educate or train</w:t>
      </w:r>
      <w:r w:rsidR="000671B8">
        <w:t xml:space="preserve"> providers, patients and their caregivers, fold into their routine workflow, or demonstrate interim outcomes. A shorter </w:t>
      </w:r>
      <w:r w:rsidR="00BD45F0">
        <w:t xml:space="preserve">implementation </w:t>
      </w:r>
      <w:r w:rsidR="000623D2">
        <w:t>likely would not allow for sufficient observation to</w:t>
      </w:r>
      <w:r w:rsidR="00054534">
        <w:t xml:space="preserve"> </w:t>
      </w:r>
      <w:r w:rsidRPr="00993162">
        <w:t>identify potential barriers, facilitators or</w:t>
      </w:r>
      <w:r>
        <w:t xml:space="preserve"> o</w:t>
      </w:r>
      <w:r w:rsidR="00050C27">
        <w:t>utcomes</w:t>
      </w:r>
      <w:r w:rsidRPr="00993162">
        <w:t xml:space="preserve">. This would limit the extent to </w:t>
      </w:r>
      <w:r>
        <w:t xml:space="preserve">which the final </w:t>
      </w:r>
      <w:r w:rsidR="00441E08">
        <w:t xml:space="preserve">Compendium of Strategies </w:t>
      </w:r>
      <w:r>
        <w:t xml:space="preserve">would meet </w:t>
      </w:r>
      <w:r w:rsidR="00BA6CB1">
        <w:t>the</w:t>
      </w:r>
      <w:r w:rsidRPr="00993162">
        <w:t xml:space="preserve"> needs </w:t>
      </w:r>
      <w:r w:rsidR="00BA6CB1">
        <w:t xml:space="preserve">of </w:t>
      </w:r>
      <w:r w:rsidR="00697668">
        <w:t>PCP</w:t>
      </w:r>
      <w:r w:rsidR="00BA6CB1">
        <w:t xml:space="preserve">s </w:t>
      </w:r>
      <w:r w:rsidRPr="00993162">
        <w:t xml:space="preserve">related to the </w:t>
      </w:r>
      <w:r w:rsidR="00BA6CB1">
        <w:t xml:space="preserve">management </w:t>
      </w:r>
      <w:r>
        <w:t xml:space="preserve">of opioid </w:t>
      </w:r>
      <w:r w:rsidR="00BA6CB1">
        <w:t xml:space="preserve">use, misuse, and abuse among older adults in </w:t>
      </w:r>
      <w:r w:rsidR="00697668">
        <w:t>PCP</w:t>
      </w:r>
      <w:r w:rsidR="00BA6CB1">
        <w:t>s</w:t>
      </w:r>
      <w:r w:rsidRPr="00993162">
        <w:t>.</w:t>
      </w:r>
    </w:p>
    <w:p w:rsidR="009B633D" w:rsidP="003600B8" w:rsidRDefault="009B633D" w14:paraId="1567C537" w14:textId="77777777">
      <w:pPr>
        <w:pStyle w:val="Heading2"/>
      </w:pPr>
      <w:bookmarkStart w:name="_Toc38531523" w:id="23"/>
      <w:r w:rsidRPr="00412C6F">
        <w:t>7. Special Circumstances</w:t>
      </w:r>
      <w:bookmarkEnd w:id="21"/>
      <w:bookmarkEnd w:id="22"/>
      <w:bookmarkEnd w:id="23"/>
    </w:p>
    <w:p w:rsidR="009B633D" w:rsidP="003600B8" w:rsidRDefault="009B633D" w14:paraId="4905975C" w14:textId="77777777">
      <w:pPr>
        <w:pStyle w:val="BodyText"/>
      </w:pPr>
      <w:r w:rsidRPr="004F03D2">
        <w:t>This request is consistent with the general information collection guid</w:t>
      </w:r>
      <w:r>
        <w:t>elines of 5 CFR 1320.5(d</w:t>
      </w:r>
      <w:proofErr w:type="gramStart"/>
      <w:r>
        <w:t>)(</w:t>
      </w:r>
      <w:proofErr w:type="gramEnd"/>
      <w:r>
        <w:t>2).  No special circumstances apply.</w:t>
      </w:r>
    </w:p>
    <w:p w:rsidR="004E3A1B" w:rsidP="003600B8" w:rsidRDefault="009B633D" w14:paraId="768C9017" w14:textId="77777777">
      <w:pPr>
        <w:pStyle w:val="Heading2"/>
      </w:pPr>
      <w:bookmarkStart w:name="_Toc151782183" w:id="24"/>
      <w:bookmarkStart w:name="_Toc158526223" w:id="25"/>
      <w:bookmarkStart w:name="_Toc38531524" w:id="26"/>
      <w:r w:rsidRPr="00412C6F">
        <w:t>8.</w:t>
      </w:r>
      <w:r w:rsidRPr="004E3A1B">
        <w:t xml:space="preserve"> </w:t>
      </w:r>
      <w:bookmarkEnd w:id="24"/>
      <w:bookmarkEnd w:id="25"/>
      <w:r w:rsidRPr="004E3A1B" w:rsidR="004E3A1B">
        <w:t>Federal Register Notice and Outside Consultations</w:t>
      </w:r>
      <w:bookmarkEnd w:id="26"/>
    </w:p>
    <w:p w:rsidRPr="001776D9" w:rsidR="00131443" w:rsidP="0081520C" w:rsidRDefault="004E3A1B" w14:paraId="2BCE9875" w14:textId="77777777">
      <w:pPr>
        <w:pStyle w:val="Heading4"/>
      </w:pPr>
      <w:proofErr w:type="gramStart"/>
      <w:r w:rsidRPr="001776D9">
        <w:t>8.a</w:t>
      </w:r>
      <w:proofErr w:type="gramEnd"/>
      <w:r w:rsidRPr="001776D9">
        <w:t>. Federal Register Notice</w:t>
      </w:r>
    </w:p>
    <w:p w:rsidRPr="004E3A1B" w:rsidR="004E3A1B" w:rsidP="003600B8" w:rsidRDefault="00D65497" w14:paraId="4B3C9238" w14:textId="2C5CAE2A">
      <w:pPr>
        <w:pStyle w:val="BodyText"/>
      </w:pPr>
      <w:bookmarkStart w:name="OLE_LINK3" w:id="27"/>
      <w:bookmarkStart w:name="OLE_LINK4" w:id="28"/>
      <w:r w:rsidRPr="00824D9B">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w:t>
      </w:r>
      <w:r>
        <w:t xml:space="preserve"> June 8</w:t>
      </w:r>
      <w:r w:rsidRPr="00824D9B">
        <w:t>, 20</w:t>
      </w:r>
      <w:r>
        <w:t>20</w:t>
      </w:r>
      <w:r w:rsidRPr="00824D9B">
        <w:t>, Volume 8</w:t>
      </w:r>
      <w:r>
        <w:t>5</w:t>
      </w:r>
      <w:r w:rsidRPr="00824D9B">
        <w:t xml:space="preserve">, Number </w:t>
      </w:r>
      <w:r>
        <w:t>110,</w:t>
      </w:r>
      <w:r w:rsidRPr="00824D9B">
        <w:t xml:space="preserve"> page </w:t>
      </w:r>
      <w:r>
        <w:t>35090</w:t>
      </w:r>
      <w:r w:rsidRPr="00824D9B">
        <w:t xml:space="preserve">, and provided a sixty-day period for public comment. A copy of this notice is attached as Attachment </w:t>
      </w:r>
      <w:r>
        <w:t>H</w:t>
      </w:r>
      <w:r w:rsidRPr="00824D9B">
        <w:t>. During the notice and comment period, the government received no requests for information or substantive comments.</w:t>
      </w:r>
      <w:bookmarkEnd w:id="27"/>
      <w:bookmarkEnd w:id="28"/>
    </w:p>
    <w:p w:rsidRPr="00412C6F" w:rsidR="009B633D" w:rsidP="0081520C" w:rsidRDefault="00CE61A5" w14:paraId="6DC240C3" w14:textId="7EE47D81">
      <w:pPr>
        <w:pStyle w:val="Heading4"/>
      </w:pPr>
      <w:proofErr w:type="gramStart"/>
      <w:r>
        <w:t>8.b</w:t>
      </w:r>
      <w:proofErr w:type="gramEnd"/>
      <w:r>
        <w:t xml:space="preserve">. </w:t>
      </w:r>
      <w:r w:rsidRPr="004E3A1B" w:rsidR="004E3A1B">
        <w:t>Outside Consultations</w:t>
      </w:r>
    </w:p>
    <w:p w:rsidRPr="00E83A2B" w:rsidR="00E83A2B" w:rsidP="003600B8" w:rsidRDefault="004D6B4C" w14:paraId="503B718C" w14:textId="6EC22561">
      <w:pPr>
        <w:pStyle w:val="BodyText"/>
      </w:pPr>
      <w:bookmarkStart w:name="_Toc457285506" w:id="29"/>
      <w:bookmarkStart w:name="_Toc58725294" w:id="30"/>
      <w:bookmarkStart w:name="_Toc151782184" w:id="31"/>
      <w:bookmarkStart w:name="_Toc158526224" w:id="32"/>
      <w:r>
        <w:t xml:space="preserve">There are no outside consultants on this project. Kaiser Permanente of Washington Research Institute </w:t>
      </w:r>
      <w:r w:rsidR="00CC4A1B">
        <w:t xml:space="preserve">(KPWRI) is </w:t>
      </w:r>
      <w:r>
        <w:t>a subcontractor</w:t>
      </w:r>
      <w:r w:rsidR="00CC4A1B">
        <w:t>. The following KPW</w:t>
      </w:r>
      <w:r w:rsidR="002F6701">
        <w:t>H</w:t>
      </w:r>
      <w:r w:rsidR="00CC4A1B">
        <w:t xml:space="preserve">RI staff serve as </w:t>
      </w:r>
      <w:r>
        <w:t xml:space="preserve">technical experts </w:t>
      </w:r>
      <w:r w:rsidR="00CC4A1B">
        <w:t xml:space="preserve">and will </w:t>
      </w:r>
      <w:r>
        <w:t>contribute to all aspects of the project.</w:t>
      </w:r>
    </w:p>
    <w:p w:rsidR="00E83A2B" w:rsidP="00A568CA" w:rsidRDefault="00E83A2B" w14:paraId="2F9A3851" w14:textId="5218306B">
      <w:pPr>
        <w:numPr>
          <w:ilvl w:val="0"/>
          <w:numId w:val="3"/>
        </w:numPr>
        <w:spacing w:after="120"/>
      </w:pPr>
      <w:r>
        <w:t xml:space="preserve">Michael </w:t>
      </w:r>
      <w:proofErr w:type="spellStart"/>
      <w:r>
        <w:t>Parchman</w:t>
      </w:r>
      <w:proofErr w:type="spellEnd"/>
      <w:r>
        <w:t xml:space="preserve">, MD, MPH, the </w:t>
      </w:r>
      <w:proofErr w:type="spellStart"/>
      <w:r>
        <w:t>MacColl</w:t>
      </w:r>
      <w:proofErr w:type="spellEnd"/>
      <w:r>
        <w:t xml:space="preserve"> Center for Health Care Innovation at the Kaiser Permanente of Washington </w:t>
      </w:r>
      <w:r w:rsidR="002F6701">
        <w:t xml:space="preserve">Health </w:t>
      </w:r>
      <w:r>
        <w:t xml:space="preserve">Research Institute </w:t>
      </w:r>
    </w:p>
    <w:p w:rsidR="00E83A2B" w:rsidP="00A568CA" w:rsidRDefault="004D6B4C" w14:paraId="4A6F466E" w14:textId="6F6007CD">
      <w:pPr>
        <w:numPr>
          <w:ilvl w:val="0"/>
          <w:numId w:val="3"/>
        </w:numPr>
      </w:pPr>
      <w:r>
        <w:t xml:space="preserve">Clarissa W. Hsu, MD, the </w:t>
      </w:r>
      <w:proofErr w:type="spellStart"/>
      <w:r>
        <w:t>MacColl</w:t>
      </w:r>
      <w:proofErr w:type="spellEnd"/>
      <w:r>
        <w:t xml:space="preserve"> Center for Health Care Innovation at the Kaiser Permanente of Washington </w:t>
      </w:r>
      <w:r w:rsidR="002F6701">
        <w:t xml:space="preserve">Health </w:t>
      </w:r>
      <w:r>
        <w:t>Research Institute</w:t>
      </w:r>
    </w:p>
    <w:p w:rsidRPr="0038217D" w:rsidR="0038217D" w:rsidP="003600B8" w:rsidRDefault="009B633D" w14:paraId="2EFCFDC8" w14:textId="77777777">
      <w:pPr>
        <w:pStyle w:val="Heading2"/>
      </w:pPr>
      <w:bookmarkStart w:name="_Toc38531525" w:id="33"/>
      <w:r w:rsidRPr="00F1219D">
        <w:t>9</w:t>
      </w:r>
      <w:r w:rsidRPr="008A1C36">
        <w:t>. Payments/Gifts to Respondents</w:t>
      </w:r>
      <w:bookmarkEnd w:id="29"/>
      <w:bookmarkEnd w:id="30"/>
      <w:bookmarkEnd w:id="31"/>
      <w:bookmarkEnd w:id="32"/>
      <w:bookmarkEnd w:id="33"/>
    </w:p>
    <w:p w:rsidRPr="004C5ABF" w:rsidR="00443427" w:rsidP="003600B8" w:rsidRDefault="00CC4A1B" w14:paraId="3AA0B427" w14:textId="6BA782D9">
      <w:pPr>
        <w:pStyle w:val="BodyText"/>
      </w:pPr>
      <w:r>
        <w:t>I</w:t>
      </w:r>
      <w:r w:rsidRPr="004C5ABF" w:rsidR="00443427">
        <w:t xml:space="preserve">ncentives will be offered </w:t>
      </w:r>
      <w:r w:rsidR="00987B05">
        <w:t xml:space="preserve">as </w:t>
      </w:r>
      <w:r w:rsidR="00054534">
        <w:t xml:space="preserve">compensation </w:t>
      </w:r>
      <w:r w:rsidR="00987B05">
        <w:t>for</w:t>
      </w:r>
      <w:r w:rsidRPr="004C5ABF" w:rsidR="00987B05">
        <w:t xml:space="preserve"> </w:t>
      </w:r>
      <w:r w:rsidR="00C105C8">
        <w:t xml:space="preserve">providers’ </w:t>
      </w:r>
      <w:r w:rsidRPr="004C5ABF" w:rsidR="00443427">
        <w:t xml:space="preserve">involvement in the </w:t>
      </w:r>
      <w:r>
        <w:t xml:space="preserve">learning </w:t>
      </w:r>
      <w:proofErr w:type="spellStart"/>
      <w:r>
        <w:t>collaboratives</w:t>
      </w:r>
      <w:proofErr w:type="spellEnd"/>
      <w:r w:rsidRPr="004C5ABF" w:rsidR="00443427">
        <w:t xml:space="preserve">: </w:t>
      </w:r>
    </w:p>
    <w:p w:rsidR="00443427" w:rsidP="00A568CA" w:rsidRDefault="00AE4551" w14:paraId="422C157C" w14:textId="55FBE633">
      <w:pPr>
        <w:pStyle w:val="Numbers"/>
        <w:numPr>
          <w:ilvl w:val="0"/>
          <w:numId w:val="16"/>
        </w:numPr>
      </w:pPr>
      <w:r>
        <w:t xml:space="preserve">Access to a free, high-quality </w:t>
      </w:r>
      <w:r w:rsidR="00C105C8">
        <w:t xml:space="preserve">Compendium of </w:t>
      </w:r>
      <w:r w:rsidR="00441E08">
        <w:t xml:space="preserve">Strategies </w:t>
      </w:r>
      <w:r w:rsidR="00C105C8">
        <w:t>for managing opioid use</w:t>
      </w:r>
      <w:r w:rsidR="00FE2B64">
        <w:t xml:space="preserve">, </w:t>
      </w:r>
      <w:r w:rsidR="00C105C8">
        <w:t xml:space="preserve">misuse </w:t>
      </w:r>
      <w:r w:rsidR="00FE2B64">
        <w:t xml:space="preserve">and abuse </w:t>
      </w:r>
      <w:r w:rsidR="00C105C8">
        <w:t>in older adults</w:t>
      </w:r>
      <w:r w:rsidR="00F405D8">
        <w:t>;</w:t>
      </w:r>
    </w:p>
    <w:p w:rsidRPr="004C5ABF" w:rsidR="00987B05" w:rsidP="00CE61A5" w:rsidRDefault="00987B05" w14:paraId="2AF43441" w14:textId="79B9BE5F">
      <w:pPr>
        <w:pStyle w:val="Numbers"/>
      </w:pPr>
      <w:r w:rsidRPr="004C5ABF">
        <w:t>O</w:t>
      </w:r>
      <w:r>
        <w:t>pportunity to participate in a</w:t>
      </w:r>
      <w:r w:rsidR="00C105C8">
        <w:t>n</w:t>
      </w:r>
      <w:r>
        <w:t xml:space="preserve"> opioid prescribing </w:t>
      </w:r>
      <w:r w:rsidR="00C105C8">
        <w:t xml:space="preserve">in older adults </w:t>
      </w:r>
      <w:r>
        <w:t>quality improvement</w:t>
      </w:r>
      <w:r w:rsidRPr="004C5ABF">
        <w:t xml:space="preserve"> project</w:t>
      </w:r>
      <w:r>
        <w:t>;</w:t>
      </w:r>
      <w:r w:rsidRPr="004C5ABF">
        <w:t xml:space="preserve"> </w:t>
      </w:r>
    </w:p>
    <w:p w:rsidRPr="004C5ABF" w:rsidR="00987B05" w:rsidP="00CE61A5" w:rsidRDefault="00987B05" w14:paraId="7585790D" w14:textId="16C46140">
      <w:pPr>
        <w:pStyle w:val="Numbers"/>
      </w:pPr>
      <w:r w:rsidRPr="004C5ABF">
        <w:t>Opportunity to participate in a project funded by AHR</w:t>
      </w:r>
      <w:r>
        <w:t xml:space="preserve">Q; </w:t>
      </w:r>
    </w:p>
    <w:p w:rsidRPr="004C5ABF" w:rsidR="00987B05" w:rsidP="00CE61A5" w:rsidRDefault="00987B05" w14:paraId="1C81E6F4" w14:textId="0FE6C72C">
      <w:pPr>
        <w:pStyle w:val="Numbers"/>
      </w:pPr>
      <w:r>
        <w:t xml:space="preserve">Potential to improve </w:t>
      </w:r>
      <w:r w:rsidR="000A6906">
        <w:t>primary care practices’</w:t>
      </w:r>
      <w:r w:rsidR="000A6906">
        <w:tab/>
      </w:r>
      <w:r>
        <w:t>opioid prescribing practices</w:t>
      </w:r>
      <w:r w:rsidR="00C105C8">
        <w:t xml:space="preserve"> for older adults</w:t>
      </w:r>
      <w:r>
        <w:t>.</w:t>
      </w:r>
      <w:r w:rsidRPr="004C5ABF">
        <w:t xml:space="preserve"> </w:t>
      </w:r>
    </w:p>
    <w:p w:rsidR="00440AE7" w:rsidP="003600B8" w:rsidRDefault="000623D2" w14:paraId="478A82FD" w14:textId="247CBD3F">
      <w:pPr>
        <w:pStyle w:val="BodyText"/>
      </w:pPr>
      <w:r>
        <w:t xml:space="preserve">In addition to </w:t>
      </w:r>
      <w:r w:rsidR="00987B05">
        <w:t xml:space="preserve">the </w:t>
      </w:r>
      <w:r w:rsidR="00303792">
        <w:t>above-mentioned</w:t>
      </w:r>
      <w:r w:rsidR="00987B05">
        <w:t xml:space="preserve"> incentives</w:t>
      </w:r>
      <w:r>
        <w:t>,</w:t>
      </w:r>
      <w:r w:rsidR="00987B05">
        <w:t xml:space="preserve"> we propose to offer the following honoraria</w:t>
      </w:r>
      <w:r w:rsidR="00303792">
        <w:t xml:space="preserve"> for </w:t>
      </w:r>
      <w:r>
        <w:t xml:space="preserve">participants </w:t>
      </w:r>
      <w:r w:rsidR="00C105C8">
        <w:t>as follows</w:t>
      </w:r>
      <w:r w:rsidR="006135E5">
        <w:t>.  The</w:t>
      </w:r>
      <w:r w:rsidR="000A3C93">
        <w:t xml:space="preserve"> following </w:t>
      </w:r>
      <w:r w:rsidR="006135E5">
        <w:t xml:space="preserve">honoraria are based </w:t>
      </w:r>
      <w:r w:rsidR="000A3C93">
        <w:t>on and similar data collection methods from a recently-approve</w:t>
      </w:r>
      <w:r w:rsidR="006135E5">
        <w:t>d</w:t>
      </w:r>
      <w:r w:rsidR="000A3C93">
        <w:t xml:space="preserve"> OMB package (OMB Control #0935-</w:t>
      </w:r>
      <w:r w:rsidRPr="000A3C93" w:rsidR="000A3C93">
        <w:t xml:space="preserve">0248 </w:t>
      </w:r>
      <w:r w:rsidRPr="00ED3BD8" w:rsidR="000A3C93">
        <w:rPr>
          <w:i/>
        </w:rPr>
        <w:t>Evaluating and Implementing the Six Building Blocks Team Approach to Improve Opioid Management in Primary Care</w:t>
      </w:r>
      <w:r w:rsidR="000A3C93">
        <w:t>).</w:t>
      </w:r>
    </w:p>
    <w:p w:rsidR="00451419" w:rsidP="008131D6" w:rsidRDefault="00451419" w14:paraId="22F8279B" w14:textId="217A7CAA">
      <w:pPr>
        <w:pStyle w:val="Numbers"/>
        <w:numPr>
          <w:ilvl w:val="0"/>
          <w:numId w:val="63"/>
        </w:numPr>
      </w:pPr>
      <w:r w:rsidRPr="008131D6">
        <w:rPr>
          <w:b/>
        </w:rPr>
        <w:t>Provider Survey:</w:t>
      </w:r>
      <w:r>
        <w:t xml:space="preserve"> Each provider who completes and submits the web-based survey will receive $25.00. </w:t>
      </w:r>
      <w:r w:rsidR="00EA7279">
        <w:t xml:space="preserve">The incentive is to </w:t>
      </w:r>
      <w:r w:rsidR="000623D2">
        <w:t>facilitate</w:t>
      </w:r>
      <w:r w:rsidRPr="00EA7279" w:rsidR="000623D2">
        <w:t xml:space="preserve"> </w:t>
      </w:r>
      <w:r w:rsidRPr="00EA7279" w:rsidR="00EA7279">
        <w:t xml:space="preserve">target response rates and </w:t>
      </w:r>
      <w:r w:rsidR="00EA7279">
        <w:t xml:space="preserve">is </w:t>
      </w:r>
      <w:r w:rsidR="000623D2">
        <w:t>meant to help motivate</w:t>
      </w:r>
      <w:r w:rsidRPr="00EA7279" w:rsidR="00EA7279">
        <w:t xml:space="preserve"> busy, clinical staff to take the time to complete the surveys.  The </w:t>
      </w:r>
      <w:r w:rsidR="00EA7279">
        <w:t>incentive</w:t>
      </w:r>
      <w:r w:rsidRPr="00EA7279" w:rsidR="00EA7279">
        <w:t xml:space="preserve"> amount </w:t>
      </w:r>
      <w:r w:rsidR="00EA7279">
        <w:t>is</w:t>
      </w:r>
      <w:r w:rsidRPr="00EA7279" w:rsidR="00EA7279">
        <w:t xml:space="preserve"> comparable to those used in similar studies.</w:t>
      </w:r>
    </w:p>
    <w:p w:rsidRPr="00EA7279" w:rsidR="009827B7" w:rsidP="00ED3BD8" w:rsidRDefault="002F19D0" w14:paraId="5D7B75B3" w14:textId="01387DF0">
      <w:pPr>
        <w:pStyle w:val="Numbers"/>
        <w:numPr>
          <w:ilvl w:val="0"/>
          <w:numId w:val="63"/>
        </w:numPr>
      </w:pPr>
      <w:r w:rsidRPr="00532359">
        <w:rPr>
          <w:b/>
        </w:rPr>
        <w:t xml:space="preserve">Primary care practice </w:t>
      </w:r>
      <w:r w:rsidRPr="00532359" w:rsidR="00EA7279">
        <w:rPr>
          <w:b/>
        </w:rPr>
        <w:t>participati</w:t>
      </w:r>
      <w:r w:rsidR="00532359">
        <w:rPr>
          <w:b/>
        </w:rPr>
        <w:t xml:space="preserve">on </w:t>
      </w:r>
      <w:r w:rsidRPr="00532359" w:rsidR="00EA7279">
        <w:rPr>
          <w:b/>
        </w:rPr>
        <w:t xml:space="preserve">in the Learning Collaborative: </w:t>
      </w:r>
      <w:r w:rsidRPr="00987B05" w:rsidR="00987B05">
        <w:t xml:space="preserve">An honorarium </w:t>
      </w:r>
      <w:r w:rsidRPr="007E50C9" w:rsidR="0016255C">
        <w:t>of $</w:t>
      </w:r>
      <w:r w:rsidR="007E50C9">
        <w:t xml:space="preserve">1,500 </w:t>
      </w:r>
      <w:r w:rsidR="00451419">
        <w:t xml:space="preserve">for each of the 24 </w:t>
      </w:r>
      <w:r w:rsidR="00E4266D">
        <w:t>primary care practices (</w:t>
      </w:r>
      <w:r w:rsidR="00697668">
        <w:t>PCP</w:t>
      </w:r>
      <w:r w:rsidR="000623D2">
        <w:t>s</w:t>
      </w:r>
      <w:r w:rsidR="00E4266D">
        <w:t>)</w:t>
      </w:r>
      <w:r w:rsidR="00EC290E">
        <w:t xml:space="preserve"> participating in the learning collaborative </w:t>
      </w:r>
      <w:r w:rsidR="008A35A9">
        <w:t>is critical to achieve</w:t>
      </w:r>
      <w:r w:rsidR="006E2449">
        <w:t xml:space="preserve"> project aims</w:t>
      </w:r>
      <w:r w:rsidR="00303792">
        <w:t xml:space="preserve">. </w:t>
      </w:r>
      <w:r w:rsidR="008A4DBB">
        <w:t xml:space="preserve"> Over 15 months, practices</w:t>
      </w:r>
      <w:r w:rsidRPr="00AC55D8" w:rsidR="008A4DBB">
        <w:t xml:space="preserve"> </w:t>
      </w:r>
      <w:r w:rsidR="008A4DBB">
        <w:t>will be</w:t>
      </w:r>
      <w:r w:rsidRPr="00AC55D8" w:rsidR="008A4DBB">
        <w:t xml:space="preserve"> asked to </w:t>
      </w:r>
      <w:r w:rsidR="008A4DBB">
        <w:t xml:space="preserve">implement and test strategies and tools designed to help manage opioid use, misuse and abuse among older adults. To implement the strategies, practice staff will be trained and involved in the effort, and the strategies will need to be incorporated into the practice workflow. To implement the strategies, practices may have to </w:t>
      </w:r>
      <w:r w:rsidRPr="00AC55D8" w:rsidR="008A4DBB">
        <w:t xml:space="preserve">obtain IRB approval, </w:t>
      </w:r>
      <w:r w:rsidR="008A4DBB">
        <w:t xml:space="preserve">submit a self-assessment, participate in interviews, facilitate contacting staff for interviews and surveys, </w:t>
      </w:r>
      <w:r w:rsidR="009827B7">
        <w:t xml:space="preserve">provide documents and </w:t>
      </w:r>
      <w:r w:rsidR="008A4DBB">
        <w:t>collect and report</w:t>
      </w:r>
      <w:r w:rsidRPr="00AC55D8" w:rsidR="008A4DBB">
        <w:t xml:space="preserve"> </w:t>
      </w:r>
      <w:r w:rsidR="008A4DBB">
        <w:t>QI measures.</w:t>
      </w:r>
      <w:r w:rsidR="009827B7">
        <w:t xml:space="preserve">  With regards to the QI measures, r</w:t>
      </w:r>
      <w:r w:rsidRPr="00EA7279" w:rsidR="009827B7">
        <w:t xml:space="preserve">esearch demonstrates that collecting </w:t>
      </w:r>
      <w:r w:rsidR="009827B7">
        <w:t xml:space="preserve">measures </w:t>
      </w:r>
      <w:r w:rsidRPr="00EA7279" w:rsidR="009827B7">
        <w:t xml:space="preserve">can be cumbersome for clinics, and providing an honorarium </w:t>
      </w:r>
      <w:r w:rsidR="009827B7">
        <w:t xml:space="preserve">appropriately </w:t>
      </w:r>
      <w:r w:rsidRPr="00EA7279" w:rsidR="009827B7">
        <w:t xml:space="preserve">incentivizes clinic participation. As was observed in AHRQ’s </w:t>
      </w:r>
      <w:proofErr w:type="spellStart"/>
      <w:r w:rsidRPr="00EA7279" w:rsidR="009827B7">
        <w:t>EvidenceNOW</w:t>
      </w:r>
      <w:proofErr w:type="spellEnd"/>
      <w:r w:rsidRPr="00EA7279" w:rsidR="009827B7">
        <w:t xml:space="preserve"> initiative of nearly 1,500 primary care clinics, there are numerous challenges to pulling measures for quality improvement purposes. CDC-funded projects working with clinics and health systems to improve opioid management practices using QI measures have also reported extensive challenges and time required to produce such measures.</w:t>
      </w:r>
      <w:r w:rsidR="009827B7">
        <w:t xml:space="preserve"> </w:t>
      </w:r>
    </w:p>
    <w:p w:rsidR="008A4DBB" w:rsidP="009827B7" w:rsidRDefault="009827B7" w14:paraId="126B41CF" w14:textId="5C819D61">
      <w:pPr>
        <w:pStyle w:val="Numbers"/>
        <w:numPr>
          <w:ilvl w:val="0"/>
          <w:numId w:val="0"/>
        </w:numPr>
        <w:ind w:left="720"/>
      </w:pPr>
      <w:r>
        <w:t xml:space="preserve">Besides the effort for implementing the strategies, practices </w:t>
      </w:r>
      <w:r w:rsidR="008A4DBB">
        <w:t xml:space="preserve">as part of the learning collaborative, leads from each practice must </w:t>
      </w:r>
      <w:r w:rsidRPr="008A35A9" w:rsidR="008A4DBB">
        <w:t xml:space="preserve">participate in </w:t>
      </w:r>
      <w:r w:rsidR="008A4DBB">
        <w:t xml:space="preserve">an in-person kick-off and virtual capstone meeting, and participate in routine, monthly collaborative check-in calls.  While the previously-approved project (OMB Control #0935-0248) involved comparable level of effort for </w:t>
      </w:r>
      <w:r>
        <w:t xml:space="preserve">implementing strategies to address opioid use, misuse and abuse in primary care practices and provided a $1,000 honorarium, the practices in this group are also asked to commit substantial time as participants in the learning collaborative.  As such, </w:t>
      </w:r>
      <w:r w:rsidRPr="00AC55D8">
        <w:t>$</w:t>
      </w:r>
      <w:r>
        <w:t>1,500</w:t>
      </w:r>
      <w:r w:rsidRPr="00AC55D8">
        <w:t xml:space="preserve"> was deemed </w:t>
      </w:r>
      <w:r>
        <w:t>the appropriate level of honoraria</w:t>
      </w:r>
      <w:r w:rsidRPr="00AC55D8">
        <w:t>, without undue inducement.</w:t>
      </w:r>
    </w:p>
    <w:p w:rsidR="008A4DBB" w:rsidP="009827B7" w:rsidRDefault="008A4DBB" w14:paraId="41773883" w14:textId="77777777">
      <w:pPr>
        <w:pStyle w:val="Numbers"/>
        <w:numPr>
          <w:ilvl w:val="0"/>
          <w:numId w:val="0"/>
        </w:numPr>
        <w:ind w:left="720" w:hanging="360"/>
      </w:pPr>
    </w:p>
    <w:p w:rsidRPr="00440AE7" w:rsidR="00440AE7" w:rsidP="00CE61A5" w:rsidRDefault="00440AE7" w14:paraId="4F2AF09A" w14:textId="7BA2A5D4">
      <w:pPr>
        <w:pStyle w:val="BodyTextIndent"/>
      </w:pPr>
      <w:r w:rsidRPr="00440AE7">
        <w:t xml:space="preserve">While future </w:t>
      </w:r>
      <w:r w:rsidR="00697668">
        <w:t xml:space="preserve">PCPs </w:t>
      </w:r>
      <w:r>
        <w:t xml:space="preserve">will need to use resources to </w:t>
      </w:r>
      <w:r w:rsidRPr="00440AE7">
        <w:t>imp</w:t>
      </w:r>
      <w:r>
        <w:t xml:space="preserve">lement the </w:t>
      </w:r>
      <w:r w:rsidR="00697668">
        <w:t>Compendium of Strategies</w:t>
      </w:r>
      <w:r w:rsidRPr="00440AE7">
        <w:t xml:space="preserve">, several requests of practices participating in </w:t>
      </w:r>
      <w:r w:rsidR="00532359">
        <w:t xml:space="preserve">the </w:t>
      </w:r>
      <w:r w:rsidR="00872F0B">
        <w:t>learning collaborative</w:t>
      </w:r>
      <w:r w:rsidR="00EE5749">
        <w:t xml:space="preserve"> </w:t>
      </w:r>
      <w:r w:rsidR="00054534">
        <w:t xml:space="preserve">will not </w:t>
      </w:r>
      <w:r w:rsidRPr="00440AE7">
        <w:t xml:space="preserve">necessarily </w:t>
      </w:r>
      <w:r w:rsidR="00054534">
        <w:t xml:space="preserve">be </w:t>
      </w:r>
      <w:r w:rsidRPr="00440AE7">
        <w:t xml:space="preserve">borne by future clinics who wish to use the </w:t>
      </w:r>
      <w:r w:rsidR="00697668">
        <w:t>Compendium of Strategies</w:t>
      </w:r>
      <w:r w:rsidRPr="00440AE7">
        <w:t xml:space="preserve">.  These requests are described below: </w:t>
      </w:r>
    </w:p>
    <w:p w:rsidRPr="00440AE7" w:rsidR="00532359" w:rsidP="002722F2" w:rsidRDefault="00440AE7" w14:paraId="3DE93FD5" w14:textId="12297531">
      <w:pPr>
        <w:pStyle w:val="Bullets"/>
        <w:spacing w:before="120" w:after="120" w:line="240" w:lineRule="auto"/>
        <w:ind w:left="1080"/>
        <w:rPr>
          <w:sz w:val="24"/>
          <w:szCs w:val="24"/>
        </w:rPr>
      </w:pPr>
      <w:r w:rsidRPr="00440AE7">
        <w:rPr>
          <w:sz w:val="24"/>
          <w:szCs w:val="24"/>
        </w:rPr>
        <w:t xml:space="preserve">The </w:t>
      </w:r>
      <w:r w:rsidRPr="001D5AA5">
        <w:rPr>
          <w:b/>
          <w:sz w:val="24"/>
          <w:szCs w:val="24"/>
        </w:rPr>
        <w:t>secondary data</w:t>
      </w:r>
      <w:r w:rsidRPr="00440AE7">
        <w:rPr>
          <w:sz w:val="24"/>
          <w:szCs w:val="24"/>
        </w:rPr>
        <w:t xml:space="preserve"> refers to </w:t>
      </w:r>
      <w:r w:rsidR="00697668">
        <w:rPr>
          <w:sz w:val="24"/>
          <w:szCs w:val="24"/>
        </w:rPr>
        <w:t>PCP</w:t>
      </w:r>
      <w:r w:rsidRPr="00440AE7">
        <w:rPr>
          <w:sz w:val="24"/>
          <w:szCs w:val="24"/>
        </w:rPr>
        <w:t xml:space="preserve"> documents that report on </w:t>
      </w:r>
      <w:r w:rsidR="00532359">
        <w:rPr>
          <w:sz w:val="24"/>
          <w:szCs w:val="24"/>
        </w:rPr>
        <w:t>practices</w:t>
      </w:r>
      <w:r w:rsidR="00872F0B">
        <w:rPr>
          <w:sz w:val="24"/>
          <w:szCs w:val="24"/>
        </w:rPr>
        <w:t>’</w:t>
      </w:r>
      <w:r w:rsidRPr="00440AE7" w:rsidR="00872F0B">
        <w:rPr>
          <w:sz w:val="24"/>
          <w:szCs w:val="24"/>
        </w:rPr>
        <w:t xml:space="preserve"> </w:t>
      </w:r>
      <w:r w:rsidRPr="00440AE7">
        <w:rPr>
          <w:sz w:val="24"/>
          <w:szCs w:val="24"/>
        </w:rPr>
        <w:t xml:space="preserve">progress implementing the </w:t>
      </w:r>
      <w:r w:rsidR="00697668">
        <w:rPr>
          <w:sz w:val="24"/>
          <w:szCs w:val="24"/>
        </w:rPr>
        <w:t xml:space="preserve">strategies and tools for the management of opioid use, misuse and abuse in older adults. </w:t>
      </w:r>
      <w:r w:rsidRPr="00440AE7">
        <w:rPr>
          <w:sz w:val="24"/>
          <w:szCs w:val="24"/>
        </w:rPr>
        <w:t xml:space="preserve">This could include meeting notes, new policies or workflows, etc.  This also includes, for example, tracking and reporting back on their </w:t>
      </w:r>
      <w:r w:rsidR="00532359">
        <w:rPr>
          <w:sz w:val="24"/>
          <w:szCs w:val="24"/>
        </w:rPr>
        <w:t>approach</w:t>
      </w:r>
      <w:r w:rsidRPr="00440AE7" w:rsidR="00532359">
        <w:rPr>
          <w:sz w:val="24"/>
          <w:szCs w:val="24"/>
        </w:rPr>
        <w:t xml:space="preserve"> </w:t>
      </w:r>
      <w:r w:rsidRPr="00440AE7">
        <w:rPr>
          <w:sz w:val="24"/>
          <w:szCs w:val="24"/>
        </w:rPr>
        <w:t xml:space="preserve">to help the evaluation team understand the extent to which they implemented the </w:t>
      </w:r>
      <w:r w:rsidR="00451419">
        <w:rPr>
          <w:sz w:val="24"/>
          <w:szCs w:val="24"/>
        </w:rPr>
        <w:t>strategies</w:t>
      </w:r>
      <w:r w:rsidRPr="00440AE7">
        <w:rPr>
          <w:sz w:val="24"/>
          <w:szCs w:val="24"/>
        </w:rPr>
        <w:t xml:space="preserve">. </w:t>
      </w:r>
    </w:p>
    <w:p w:rsidRPr="00532359" w:rsidR="00532359" w:rsidP="00ED3BD8" w:rsidRDefault="00532359" w14:paraId="29C0A882" w14:textId="0E399AF7">
      <w:pPr>
        <w:pStyle w:val="Bullets"/>
        <w:spacing w:before="120" w:after="120" w:line="240" w:lineRule="auto"/>
        <w:ind w:left="1080"/>
        <w:rPr>
          <w:sz w:val="24"/>
          <w:szCs w:val="24"/>
        </w:rPr>
      </w:pPr>
      <w:r w:rsidRPr="00532359">
        <w:rPr>
          <w:sz w:val="24"/>
          <w:szCs w:val="24"/>
        </w:rPr>
        <w:t xml:space="preserve">Participation in the </w:t>
      </w:r>
      <w:r w:rsidRPr="00ED3BD8">
        <w:rPr>
          <w:b/>
          <w:sz w:val="24"/>
          <w:szCs w:val="24"/>
        </w:rPr>
        <w:t>learning collaborative</w:t>
      </w:r>
      <w:r w:rsidRPr="00532359">
        <w:rPr>
          <w:sz w:val="24"/>
          <w:szCs w:val="24"/>
        </w:rPr>
        <w:t xml:space="preserve"> are meant only for the participating practices as part of the learning collaborative, leads from each practice must participate in an in-person kick-off and virtual capstone meeting, and participate in routine, monthly collaborative calls.  </w:t>
      </w:r>
    </w:p>
    <w:p w:rsidRPr="00440AE7" w:rsidR="00440AE7" w:rsidP="002722F2" w:rsidRDefault="00440AE7" w14:paraId="394F2E0E" w14:textId="77A7F6F3">
      <w:pPr>
        <w:pStyle w:val="Bullets"/>
        <w:spacing w:before="120" w:after="120" w:line="240" w:lineRule="auto"/>
        <w:ind w:left="1080"/>
        <w:rPr>
          <w:sz w:val="24"/>
          <w:szCs w:val="24"/>
        </w:rPr>
      </w:pPr>
      <w:r w:rsidRPr="00440AE7">
        <w:rPr>
          <w:sz w:val="24"/>
          <w:szCs w:val="24"/>
        </w:rPr>
        <w:t xml:space="preserve">The </w:t>
      </w:r>
      <w:r w:rsidR="00EE5749">
        <w:rPr>
          <w:b/>
          <w:sz w:val="24"/>
          <w:szCs w:val="24"/>
        </w:rPr>
        <w:t>monthly</w:t>
      </w:r>
      <w:r w:rsidRPr="001D5AA5" w:rsidR="00EE5749">
        <w:rPr>
          <w:b/>
          <w:sz w:val="24"/>
          <w:szCs w:val="24"/>
        </w:rPr>
        <w:t xml:space="preserve"> </w:t>
      </w:r>
      <w:r w:rsidRPr="001D5AA5">
        <w:rPr>
          <w:b/>
          <w:sz w:val="24"/>
          <w:szCs w:val="24"/>
        </w:rPr>
        <w:t>check-in calls</w:t>
      </w:r>
      <w:r w:rsidRPr="00440AE7">
        <w:rPr>
          <w:sz w:val="24"/>
          <w:szCs w:val="24"/>
        </w:rPr>
        <w:t xml:space="preserve"> are meant to be </w:t>
      </w:r>
      <w:r w:rsidR="00872F0B">
        <w:rPr>
          <w:sz w:val="24"/>
          <w:szCs w:val="24"/>
        </w:rPr>
        <w:t>monthly</w:t>
      </w:r>
      <w:r w:rsidRPr="00440AE7" w:rsidR="00872F0B">
        <w:rPr>
          <w:sz w:val="24"/>
          <w:szCs w:val="24"/>
        </w:rPr>
        <w:t xml:space="preserve"> </w:t>
      </w:r>
      <w:r w:rsidRPr="00440AE7">
        <w:rPr>
          <w:sz w:val="24"/>
          <w:szCs w:val="24"/>
        </w:rPr>
        <w:t xml:space="preserve">calls with </w:t>
      </w:r>
      <w:r w:rsidR="00EE5749">
        <w:rPr>
          <w:sz w:val="24"/>
          <w:szCs w:val="24"/>
        </w:rPr>
        <w:t xml:space="preserve">the </w:t>
      </w:r>
      <w:r w:rsidR="00D76187">
        <w:rPr>
          <w:sz w:val="24"/>
          <w:szCs w:val="24"/>
        </w:rPr>
        <w:t xml:space="preserve">QI </w:t>
      </w:r>
      <w:r w:rsidR="00EE5749">
        <w:rPr>
          <w:sz w:val="24"/>
          <w:szCs w:val="24"/>
        </w:rPr>
        <w:t xml:space="preserve">champion and lead clinician from each practice </w:t>
      </w:r>
      <w:r w:rsidRPr="00440AE7">
        <w:rPr>
          <w:sz w:val="24"/>
          <w:szCs w:val="24"/>
        </w:rPr>
        <w:t xml:space="preserve">to assess the progress of implementation of the intervention and improvement initiatives at each </w:t>
      </w:r>
      <w:r w:rsidR="00451419">
        <w:rPr>
          <w:sz w:val="24"/>
          <w:szCs w:val="24"/>
        </w:rPr>
        <w:t>PCP</w:t>
      </w:r>
      <w:r w:rsidRPr="00440AE7">
        <w:rPr>
          <w:sz w:val="24"/>
          <w:szCs w:val="24"/>
        </w:rPr>
        <w:t xml:space="preserve">. </w:t>
      </w:r>
    </w:p>
    <w:p w:rsidRPr="00440AE7" w:rsidR="00440AE7" w:rsidP="002722F2" w:rsidRDefault="00440AE7" w14:paraId="69C30AC6" w14:textId="676AD39C">
      <w:pPr>
        <w:pStyle w:val="Bullets"/>
        <w:spacing w:before="120" w:after="120" w:line="240" w:lineRule="auto"/>
        <w:ind w:left="1080"/>
        <w:rPr>
          <w:sz w:val="24"/>
          <w:szCs w:val="24"/>
        </w:rPr>
      </w:pPr>
      <w:r w:rsidRPr="001D5AA5">
        <w:rPr>
          <w:b/>
          <w:sz w:val="24"/>
          <w:szCs w:val="24"/>
        </w:rPr>
        <w:t>QI measures</w:t>
      </w:r>
      <w:r w:rsidRPr="00440AE7">
        <w:rPr>
          <w:sz w:val="24"/>
          <w:szCs w:val="24"/>
        </w:rPr>
        <w:t xml:space="preserve">. While future clinics should ideally use QI measures to monitor their improvements in opioid prescribing over time, the participating practices in this study are asked to build or produce </w:t>
      </w:r>
      <w:r w:rsidR="00451419">
        <w:rPr>
          <w:sz w:val="24"/>
          <w:szCs w:val="24"/>
        </w:rPr>
        <w:t xml:space="preserve">several </w:t>
      </w:r>
      <w:r w:rsidRPr="00440AE7">
        <w:rPr>
          <w:sz w:val="24"/>
          <w:szCs w:val="24"/>
        </w:rPr>
        <w:t xml:space="preserve">different QI measures in a short period of time in service of the outcome evaluation component.  For future clinics, they would likely not prioritize this many measures at one time given the complexity of producing these with electronic health record (EHR) data.   </w:t>
      </w:r>
    </w:p>
    <w:p w:rsidR="00B8522B" w:rsidP="00CE61A5" w:rsidRDefault="00440AE7" w14:paraId="496D68CE" w14:textId="23B738AD">
      <w:pPr>
        <w:pStyle w:val="BodyTextIndent"/>
      </w:pPr>
      <w:r w:rsidRPr="00440AE7">
        <w:t>Given these informational needs from participating clinics to support the evaluation, we believe that a $</w:t>
      </w:r>
      <w:r w:rsidR="007835C2">
        <w:t>1</w:t>
      </w:r>
      <w:r w:rsidRPr="00440AE7">
        <w:t>,</w:t>
      </w:r>
      <w:r w:rsidR="007835C2">
        <w:t>5</w:t>
      </w:r>
      <w:r w:rsidRPr="00440AE7">
        <w:t xml:space="preserve">00 honorarium per </w:t>
      </w:r>
      <w:r w:rsidR="000A3C93">
        <w:t>practice</w:t>
      </w:r>
      <w:r w:rsidRPr="00440AE7" w:rsidR="000A3C93">
        <w:t xml:space="preserve"> </w:t>
      </w:r>
      <w:r w:rsidRPr="00440AE7">
        <w:t xml:space="preserve">is appropriate, while still requiring time that </w:t>
      </w:r>
      <w:r w:rsidR="000A3C93">
        <w:t>practices</w:t>
      </w:r>
      <w:r w:rsidRPr="00440AE7" w:rsidR="000A3C93">
        <w:t xml:space="preserve"> </w:t>
      </w:r>
      <w:r w:rsidRPr="00440AE7">
        <w:t xml:space="preserve">should bear given the benefits they might accrue from implementing the </w:t>
      </w:r>
      <w:r w:rsidR="00451419">
        <w:t>strategies for managing opioid use, misuse and abuse among older adults.</w:t>
      </w:r>
      <w:r w:rsidRPr="00440AE7">
        <w:t xml:space="preserve"> </w:t>
      </w:r>
    </w:p>
    <w:p w:rsidR="000A3C93" w:rsidP="00CE61A5" w:rsidRDefault="000A3C93" w14:paraId="05A5916D" w14:textId="77777777">
      <w:pPr>
        <w:pStyle w:val="BodyTextIndent"/>
      </w:pPr>
    </w:p>
    <w:p w:rsidRPr="00532359" w:rsidR="00532359" w:rsidP="00532359" w:rsidRDefault="000A3C93" w14:paraId="75640722" w14:textId="57EFD011">
      <w:pPr>
        <w:pStyle w:val="Numbers"/>
      </w:pPr>
      <w:r w:rsidRPr="001D5AA5">
        <w:t>Honoraria for each interview</w:t>
      </w:r>
      <w:r>
        <w:t xml:space="preserve"> </w:t>
      </w:r>
      <w:r w:rsidRPr="001D5AA5">
        <w:t>($5</w:t>
      </w:r>
      <w:r w:rsidR="008A4DBB">
        <w:t xml:space="preserve">0 </w:t>
      </w:r>
      <w:r w:rsidR="00054C4A">
        <w:t xml:space="preserve">each for n=24, 3 times; and $50 for n= 24, 2 times) </w:t>
      </w:r>
      <w:r w:rsidRPr="001D5AA5">
        <w:t>and each survey ($20 each for n=</w:t>
      </w:r>
      <w:r w:rsidR="00054C4A">
        <w:t>480</w:t>
      </w:r>
      <w:r w:rsidRPr="001D5AA5">
        <w:t>, 2 time points) ensure target response rates and appropriate incentive for busy, clinical staff to take the time to complete the interviews and surveys.  The honoraria amount</w:t>
      </w:r>
      <w:r>
        <w:t>s</w:t>
      </w:r>
      <w:r w:rsidRPr="001D5AA5">
        <w:t xml:space="preserve"> are </w:t>
      </w:r>
      <w:r>
        <w:t xml:space="preserve">the same amounts approved for interviews and survey of the practice staff in the similar OMB-approved study (OMB Control #0935-0248). </w:t>
      </w:r>
      <w:r w:rsidRPr="001D5AA5">
        <w:t xml:space="preserve"> </w:t>
      </w:r>
      <w:r w:rsidRPr="00532359" w:rsidR="00532359">
        <w:t xml:space="preserve">The survey and interviews are used to assess the implementation and effectiveness of the strategies implemented. While future clinics should ideally monitor their improvements in opioid prescribing over time, the participating practices in this study are asked to complete the survey and interviews in service of the evaluation.  </w:t>
      </w:r>
    </w:p>
    <w:p w:rsidRPr="008A35A9" w:rsidR="000A3C93" w:rsidP="00CE61A5" w:rsidRDefault="000A3C93" w14:paraId="3BC8A31E" w14:textId="77777777">
      <w:pPr>
        <w:pStyle w:val="BodyTextIndent"/>
      </w:pPr>
    </w:p>
    <w:p w:rsidR="00443427" w:rsidP="003600B8" w:rsidRDefault="00443427" w14:paraId="1D7B8D5D" w14:textId="04F4CE0C">
      <w:pPr>
        <w:pStyle w:val="BodyText"/>
      </w:pPr>
      <w:r w:rsidRPr="004C5ABF">
        <w:t>The</w:t>
      </w:r>
      <w:r w:rsidR="00732422">
        <w:t xml:space="preserve"> team’s belief is that health care organizations</w:t>
      </w:r>
      <w:r w:rsidRPr="004C5ABF">
        <w:t xml:space="preserve"> and clinicians will be motivated to participate </w:t>
      </w:r>
      <w:r w:rsidR="00812F09">
        <w:t xml:space="preserve">primarily </w:t>
      </w:r>
      <w:r w:rsidRPr="004C5ABF">
        <w:t xml:space="preserve">because of their interest in improving </w:t>
      </w:r>
      <w:r w:rsidR="00732422">
        <w:t>their opioid prescribing practices</w:t>
      </w:r>
      <w:r w:rsidRPr="004C5ABF">
        <w:t xml:space="preserve"> or because of the opportunity to participate in a</w:t>
      </w:r>
      <w:r w:rsidR="00732422">
        <w:t xml:space="preserve"> research project with AHRQ</w:t>
      </w:r>
      <w:r w:rsidRPr="004C5ABF">
        <w:t>, not because of monetary incentives.</w:t>
      </w:r>
      <w:r>
        <w:t xml:space="preserve">  </w:t>
      </w:r>
    </w:p>
    <w:p w:rsidRPr="004C5ABF" w:rsidR="003759DB" w:rsidP="003600B8" w:rsidRDefault="003759DB" w14:paraId="073ABA3E" w14:textId="64F7C38E">
      <w:pPr>
        <w:pStyle w:val="BodyText"/>
      </w:pPr>
      <w:r>
        <w:t xml:space="preserve">Still, participation in this project and associated data collection activities will place a burden on </w:t>
      </w:r>
      <w:r w:rsidR="00532359">
        <w:t>practices</w:t>
      </w:r>
      <w:r w:rsidR="00812F09">
        <w:t xml:space="preserve"> and individuals</w:t>
      </w:r>
      <w:r>
        <w:t>, and research demonstrates that incentives that compensate for the added burden and costs associated with participation are viewed favorably and are seen as affirming participants’ value and the importance of their participation</w:t>
      </w:r>
      <w:r w:rsidR="00F42706">
        <w:t xml:space="preserve"> in research</w:t>
      </w:r>
      <w:r>
        <w:t>.</w:t>
      </w:r>
      <w:r w:rsidR="00EA7279">
        <w:rPr>
          <w:rStyle w:val="EndnoteReference"/>
        </w:rPr>
        <w:endnoteReference w:id="25"/>
      </w:r>
      <w:r w:rsidRPr="00EA7279" w:rsidR="00EA7279">
        <w:rPr>
          <w:vertAlign w:val="superscript"/>
        </w:rPr>
        <w:t>,</w:t>
      </w:r>
      <w:r w:rsidR="00EA7279">
        <w:rPr>
          <w:rStyle w:val="EndnoteReference"/>
        </w:rPr>
        <w:endnoteReference w:id="26"/>
      </w:r>
      <w:r>
        <w:t xml:space="preserve"> </w:t>
      </w:r>
    </w:p>
    <w:p w:rsidRPr="00412C6F" w:rsidR="009B633D" w:rsidP="003600B8" w:rsidRDefault="009B633D" w14:paraId="7883C2D6" w14:textId="77777777">
      <w:pPr>
        <w:pStyle w:val="Heading2"/>
      </w:pPr>
      <w:bookmarkStart w:name="_Toc151782185" w:id="34"/>
      <w:bookmarkStart w:name="_Toc158526225" w:id="35"/>
      <w:bookmarkStart w:name="_Toc38531526" w:id="36"/>
      <w:r w:rsidRPr="00412C6F">
        <w:t>10. Assurance of Confidentiality</w:t>
      </w:r>
      <w:bookmarkEnd w:id="34"/>
      <w:bookmarkEnd w:id="35"/>
      <w:bookmarkEnd w:id="36"/>
    </w:p>
    <w:p w:rsidR="008F0B8B" w:rsidP="003600B8" w:rsidRDefault="00012921" w14:paraId="71D6801A" w14:textId="77777777">
      <w:pPr>
        <w:pStyle w:val="BodyText"/>
      </w:pPr>
      <w:r w:rsidRPr="00012921">
        <w:t>Individuals and organizations will be assured of the confidentiality of their replies under Section 944(c) of the Public Health Service Act.  42 U.S.C. 299c-3(c).  That law requires that information collected for research conducted or supported by AHRQ that identifies individuals or establishments be used only for the purpose for which it was supplied</w:t>
      </w:r>
      <w:r>
        <w:t>.</w:t>
      </w:r>
      <w:r w:rsidR="008F0B8B">
        <w:t xml:space="preserve"> </w:t>
      </w:r>
    </w:p>
    <w:p w:rsidRPr="00412C6F" w:rsidR="009B633D" w:rsidP="003600B8" w:rsidRDefault="009B633D" w14:paraId="30B59D1B" w14:textId="77777777">
      <w:pPr>
        <w:pStyle w:val="Heading2"/>
      </w:pPr>
      <w:bookmarkStart w:name="_Toc151782186" w:id="37"/>
      <w:bookmarkStart w:name="_Toc158526226" w:id="38"/>
      <w:bookmarkStart w:name="_Toc38531527" w:id="39"/>
      <w:r w:rsidRPr="00412C6F">
        <w:t>11. Questions of a Sensitive Nature</w:t>
      </w:r>
      <w:bookmarkEnd w:id="37"/>
      <w:bookmarkEnd w:id="38"/>
      <w:bookmarkEnd w:id="39"/>
    </w:p>
    <w:p w:rsidRPr="004457B6" w:rsidR="0089365B" w:rsidP="003600B8" w:rsidRDefault="0089365B" w14:paraId="4258D10D" w14:textId="1C672A0D">
      <w:pPr>
        <w:pStyle w:val="BodyText"/>
        <w:rPr>
          <w:spacing w:val="4"/>
        </w:rPr>
      </w:pPr>
      <w:r>
        <w:t xml:space="preserve">The data collection protocols do not contain any questions concerning political affiliations and attitudes; respondents’ mental or psychological problems; illegal, antisocial, self-incriminating or demeaning behavior; critical appraisals of other individuals with whom respondents have close relationships; </w:t>
      </w:r>
      <w:r w:rsidR="0033343C">
        <w:t>legally privileged relationships; or records describing how an individual exercises First Amendment rights. Nor do they contain questions related to</w:t>
      </w:r>
      <w:r>
        <w:t xml:space="preserve"> sexual behavior and </w:t>
      </w:r>
      <w:r>
        <w:rPr>
          <w:spacing w:val="4"/>
        </w:rPr>
        <w:t>attitudes, religious beliefs, income or proprietary business information. However, surveys may elicit sensitive information that reflects</w:t>
      </w:r>
      <w:r w:rsidR="0033343C">
        <w:rPr>
          <w:spacing w:val="4"/>
        </w:rPr>
        <w:t xml:space="preserve"> negatively on staff or health care organization</w:t>
      </w:r>
      <w:r>
        <w:rPr>
          <w:spacing w:val="4"/>
        </w:rPr>
        <w:t xml:space="preserve"> </w:t>
      </w:r>
      <w:r w:rsidR="0033343C">
        <w:rPr>
          <w:spacing w:val="4"/>
        </w:rPr>
        <w:t>performance related to opioid prescribing</w:t>
      </w:r>
      <w:r>
        <w:rPr>
          <w:spacing w:val="4"/>
        </w:rPr>
        <w:t xml:space="preserve">. </w:t>
      </w:r>
      <w:r>
        <w:t>Respondents to the survey</w:t>
      </w:r>
      <w:r w:rsidR="00C105C8">
        <w:t>s</w:t>
      </w:r>
      <w:r>
        <w:t xml:space="preserve"> will be explicitly informed that their participation is </w:t>
      </w:r>
      <w:r>
        <w:rPr>
          <w:spacing w:val="4"/>
        </w:rPr>
        <w:t>voluntary, information they provide is confidential to the extent provided by law, and they may choose to withdraw from the study or not respond to specific items without penalty. We will also remo</w:t>
      </w:r>
      <w:r w:rsidR="0033343C">
        <w:rPr>
          <w:spacing w:val="4"/>
        </w:rPr>
        <w:t>ve individual staff and health care organization</w:t>
      </w:r>
      <w:r>
        <w:rPr>
          <w:spacing w:val="4"/>
        </w:rPr>
        <w:t xml:space="preserve"> names from written interview records and reports to maintain respondent confidentiality</w:t>
      </w:r>
      <w:r w:rsidR="00B90A3B">
        <w:rPr>
          <w:spacing w:val="4"/>
        </w:rPr>
        <w:t xml:space="preserve"> (see Attachment </w:t>
      </w:r>
      <w:r w:rsidR="00FE4A1F">
        <w:rPr>
          <w:spacing w:val="4"/>
        </w:rPr>
        <w:t>G</w:t>
      </w:r>
      <w:r w:rsidR="00B90A3B">
        <w:rPr>
          <w:spacing w:val="4"/>
        </w:rPr>
        <w:t xml:space="preserve">, </w:t>
      </w:r>
      <w:proofErr w:type="spellStart"/>
      <w:r w:rsidR="00B90A3B">
        <w:rPr>
          <w:spacing w:val="4"/>
        </w:rPr>
        <w:t>Abt’s</w:t>
      </w:r>
      <w:proofErr w:type="spellEnd"/>
      <w:r w:rsidR="00B90A3B">
        <w:rPr>
          <w:spacing w:val="4"/>
        </w:rPr>
        <w:t xml:space="preserve"> Security Requirements)</w:t>
      </w:r>
      <w:r>
        <w:rPr>
          <w:spacing w:val="4"/>
        </w:rPr>
        <w:t>.</w:t>
      </w:r>
    </w:p>
    <w:p w:rsidRPr="00412C6F" w:rsidR="009B633D" w:rsidP="003600B8" w:rsidRDefault="009B633D" w14:paraId="3B0D1866" w14:textId="77777777">
      <w:pPr>
        <w:pStyle w:val="Heading2"/>
      </w:pPr>
      <w:bookmarkStart w:name="_Toc151782187" w:id="40"/>
      <w:bookmarkStart w:name="_Toc158526227" w:id="41"/>
      <w:bookmarkStart w:name="_Toc38531528" w:id="42"/>
      <w:r w:rsidRPr="009C61B8">
        <w:t>12. Estimates of Annualized Burden Hours and Costs</w:t>
      </w:r>
      <w:bookmarkEnd w:id="40"/>
      <w:bookmarkEnd w:id="41"/>
      <w:bookmarkEnd w:id="42"/>
    </w:p>
    <w:p w:rsidR="00A44295" w:rsidP="003600B8" w:rsidRDefault="0033343C" w14:paraId="31C3A190" w14:textId="36588A63">
      <w:pPr>
        <w:pStyle w:val="BodyText"/>
        <w:rPr>
          <w:spacing w:val="6"/>
        </w:rPr>
      </w:pPr>
      <w:r w:rsidRPr="00B6114A">
        <w:t xml:space="preserve">Exhibit 1 presents estimates of the reporting burden hours for the data collection efforts. </w:t>
      </w:r>
      <w:r w:rsidRPr="00B6114A">
        <w:rPr>
          <w:spacing w:val="6"/>
        </w:rPr>
        <w:t xml:space="preserve">Time estimates are based on </w:t>
      </w:r>
      <w:r w:rsidRPr="00B6114A">
        <w:t>prior experience</w:t>
      </w:r>
      <w:r>
        <w:t>s</w:t>
      </w:r>
      <w:r w:rsidRPr="00B6114A">
        <w:t xml:space="preserve"> and what can reasonably be requested of participating </w:t>
      </w:r>
      <w:r w:rsidR="00582CA5">
        <w:t>providers (survey) and PCPs</w:t>
      </w:r>
      <w:r w:rsidRPr="00B6114A">
        <w:t>.</w:t>
      </w:r>
      <w:r w:rsidRPr="00B6114A">
        <w:rPr>
          <w:spacing w:val="6"/>
        </w:rPr>
        <w:t xml:space="preserve"> The number of respondents listed in column A, Exhibit 1 reflects a projected </w:t>
      </w:r>
      <w:r w:rsidRPr="00F405D8">
        <w:rPr>
          <w:spacing w:val="6"/>
        </w:rPr>
        <w:t>response rate</w:t>
      </w:r>
      <w:r w:rsidRPr="00B6114A">
        <w:rPr>
          <w:spacing w:val="6"/>
        </w:rPr>
        <w:t xml:space="preserve"> for data collection efforts.</w:t>
      </w:r>
    </w:p>
    <w:p w:rsidR="00A44295" w:rsidP="00A568CA" w:rsidRDefault="00A44295" w14:paraId="1A5C2369" w14:textId="70A046FC">
      <w:pPr>
        <w:pStyle w:val="ListParagraph"/>
        <w:numPr>
          <w:ilvl w:val="0"/>
          <w:numId w:val="12"/>
        </w:numPr>
        <w:spacing w:after="120"/>
        <w:contextualSpacing w:val="0"/>
        <w:rPr>
          <w:rFonts w:ascii="Times New Roman" w:hAnsi="Times New Roman" w:cs="Times New Roman"/>
          <w:bCs/>
        </w:rPr>
      </w:pPr>
      <w:r w:rsidRPr="00DA0F1E">
        <w:rPr>
          <w:rFonts w:ascii="Times New Roman" w:hAnsi="Times New Roman" w:cs="Times New Roman"/>
          <w:b/>
          <w:bCs/>
        </w:rPr>
        <w:t>Provider web-based survey</w:t>
      </w:r>
      <w:r w:rsidR="00616C60">
        <w:rPr>
          <w:rFonts w:ascii="Times New Roman" w:hAnsi="Times New Roman" w:cs="Times New Roman"/>
          <w:b/>
          <w:bCs/>
        </w:rPr>
        <w:t xml:space="preserve"> (Attachment A)</w:t>
      </w:r>
      <w:r w:rsidRPr="00DA0F1E">
        <w:rPr>
          <w:rFonts w:ascii="Times New Roman" w:hAnsi="Times New Roman" w:cs="Times New Roman"/>
          <w:b/>
          <w:bCs/>
        </w:rPr>
        <w:t xml:space="preserve">. </w:t>
      </w:r>
      <w:r>
        <w:rPr>
          <w:rFonts w:ascii="Times New Roman" w:hAnsi="Times New Roman" w:cs="Times New Roman"/>
          <w:bCs/>
        </w:rPr>
        <w:t xml:space="preserve">A survey will be sent to 5,000 randomly selected primary care clinicians. </w:t>
      </w:r>
      <w:r w:rsidRPr="00A44295">
        <w:rPr>
          <w:rFonts w:ascii="Times New Roman" w:hAnsi="Times New Roman" w:cs="Times New Roman"/>
          <w:bCs/>
        </w:rPr>
        <w:t xml:space="preserve">The survey will include no more than </w:t>
      </w:r>
      <w:r w:rsidR="00304EEE">
        <w:rPr>
          <w:rFonts w:ascii="Times New Roman" w:hAnsi="Times New Roman" w:cs="Times New Roman"/>
          <w:bCs/>
        </w:rPr>
        <w:t>30</w:t>
      </w:r>
      <w:r w:rsidRPr="00A44295" w:rsidR="00C70D2E">
        <w:rPr>
          <w:rFonts w:ascii="Times New Roman" w:hAnsi="Times New Roman" w:cs="Times New Roman"/>
          <w:bCs/>
        </w:rPr>
        <w:t xml:space="preserve"> </w:t>
      </w:r>
      <w:r w:rsidRPr="00A44295">
        <w:rPr>
          <w:rFonts w:ascii="Times New Roman" w:hAnsi="Times New Roman" w:cs="Times New Roman"/>
          <w:bCs/>
        </w:rPr>
        <w:t>items</w:t>
      </w:r>
      <w:r w:rsidR="00926871">
        <w:rPr>
          <w:rFonts w:ascii="Times New Roman" w:hAnsi="Times New Roman" w:cs="Times New Roman"/>
          <w:bCs/>
        </w:rPr>
        <w:t xml:space="preserve"> and is expected to take </w:t>
      </w:r>
      <w:r w:rsidRPr="00A44295">
        <w:rPr>
          <w:rFonts w:ascii="Times New Roman" w:hAnsi="Times New Roman" w:cs="Times New Roman"/>
          <w:bCs/>
        </w:rPr>
        <w:t>approximately 15 minutes to complete.</w:t>
      </w:r>
      <w:r w:rsidR="00DA0F1E">
        <w:rPr>
          <w:rFonts w:ascii="Times New Roman" w:hAnsi="Times New Roman" w:cs="Times New Roman"/>
          <w:bCs/>
        </w:rPr>
        <w:t xml:space="preserve"> </w:t>
      </w:r>
      <w:r w:rsidRPr="00DA0F1E" w:rsidR="00DA0F1E">
        <w:rPr>
          <w:rFonts w:ascii="Times New Roman" w:hAnsi="Times New Roman" w:cs="Times New Roman"/>
          <w:bCs/>
        </w:rPr>
        <w:t>We anticipate a 30% response rate, resulting in 1,500 completed surveys.</w:t>
      </w:r>
    </w:p>
    <w:p w:rsidRPr="002722F2" w:rsidR="002722F2" w:rsidP="005605E3" w:rsidRDefault="002722F2" w14:paraId="048F6AB4" w14:textId="2EFDE4A1">
      <w:pPr>
        <w:pStyle w:val="ListParagraph"/>
        <w:numPr>
          <w:ilvl w:val="0"/>
          <w:numId w:val="12"/>
        </w:numPr>
        <w:spacing w:after="120"/>
        <w:rPr>
          <w:rFonts w:ascii="Times New Roman" w:hAnsi="Times New Roman" w:cs="Times New Roman"/>
        </w:rPr>
      </w:pPr>
      <w:r w:rsidRPr="002722F2">
        <w:rPr>
          <w:rFonts w:ascii="Times New Roman" w:hAnsi="Times New Roman" w:cs="Times New Roman"/>
          <w:b/>
          <w:bCs/>
        </w:rPr>
        <w:t xml:space="preserve">PCP Learning </w:t>
      </w:r>
      <w:proofErr w:type="spellStart"/>
      <w:r w:rsidRPr="002722F2">
        <w:rPr>
          <w:rFonts w:ascii="Times New Roman" w:hAnsi="Times New Roman" w:cs="Times New Roman"/>
          <w:b/>
          <w:bCs/>
        </w:rPr>
        <w:t>Collaboratives</w:t>
      </w:r>
      <w:proofErr w:type="spellEnd"/>
      <w:r w:rsidRPr="002722F2">
        <w:rPr>
          <w:rFonts w:ascii="Times New Roman" w:hAnsi="Times New Roman" w:cs="Times New Roman"/>
          <w:b/>
          <w:bCs/>
        </w:rPr>
        <w:t xml:space="preserve"> </w:t>
      </w:r>
      <w:r w:rsidR="0098792B">
        <w:rPr>
          <w:rFonts w:ascii="Times New Roman" w:hAnsi="Times New Roman" w:cs="Times New Roman"/>
          <w:b/>
          <w:bCs/>
        </w:rPr>
        <w:t>Primary</w:t>
      </w:r>
      <w:r w:rsidRPr="002722F2" w:rsidR="0098792B">
        <w:rPr>
          <w:rFonts w:ascii="Times New Roman" w:hAnsi="Times New Roman" w:cs="Times New Roman"/>
          <w:b/>
          <w:bCs/>
        </w:rPr>
        <w:t xml:space="preserve"> </w:t>
      </w:r>
      <w:r w:rsidRPr="002722F2">
        <w:rPr>
          <w:rFonts w:ascii="Times New Roman" w:hAnsi="Times New Roman" w:cs="Times New Roman"/>
          <w:b/>
          <w:bCs/>
        </w:rPr>
        <w:t>Data Collection</w:t>
      </w:r>
    </w:p>
    <w:p w:rsidRPr="00B6114A" w:rsidR="0033343C" w:rsidP="005605E3" w:rsidRDefault="00582CA5" w14:paraId="10879F79" w14:textId="5109632F">
      <w:pPr>
        <w:numPr>
          <w:ilvl w:val="1"/>
          <w:numId w:val="12"/>
        </w:numPr>
        <w:spacing w:after="120"/>
      </w:pPr>
      <w:r>
        <w:rPr>
          <w:b/>
        </w:rPr>
        <w:t xml:space="preserve">PCP Learning Collaborative </w:t>
      </w:r>
      <w:r w:rsidRPr="00B6114A" w:rsidR="0033343C">
        <w:rPr>
          <w:b/>
        </w:rPr>
        <w:t>Clinical Staff Survey</w:t>
      </w:r>
      <w:r w:rsidR="0033343C">
        <w:rPr>
          <w:b/>
        </w:rPr>
        <w:t xml:space="preserve"> (</w:t>
      </w:r>
      <w:r w:rsidRPr="00F94F66" w:rsidR="0033343C">
        <w:rPr>
          <w:b/>
        </w:rPr>
        <w:t xml:space="preserve">Attachment </w:t>
      </w:r>
      <w:r w:rsidR="00A44295">
        <w:rPr>
          <w:b/>
        </w:rPr>
        <w:t>B</w:t>
      </w:r>
      <w:r w:rsidR="0033343C">
        <w:rPr>
          <w:b/>
        </w:rPr>
        <w:t>)</w:t>
      </w:r>
      <w:r w:rsidRPr="00B6114A" w:rsidR="0033343C">
        <w:rPr>
          <w:b/>
        </w:rPr>
        <w:t>.</w:t>
      </w:r>
      <w:r w:rsidRPr="00B6114A" w:rsidR="0033343C">
        <w:t xml:space="preserve"> </w:t>
      </w:r>
      <w:r w:rsidRPr="00A44295" w:rsidR="00A44295">
        <w:t>A brief survey will be emailed to all clinicians at baseline before starting implementation and approximately 15</w:t>
      </w:r>
      <w:r w:rsidR="00E90BA1">
        <w:t xml:space="preserve"> </w:t>
      </w:r>
      <w:r w:rsidRPr="00A44295" w:rsidR="00A44295">
        <w:t>months later. We assume 20 clinical staff per clinic site, and 24 clinics for a total of 480 staff. We assume 360 clinical staff will complete the survey based on a 75% response rate. It is expected to take up to 20 minutes to complete.</w:t>
      </w:r>
      <w:r w:rsidRPr="00B6114A" w:rsidR="0033343C">
        <w:t xml:space="preserve"> </w:t>
      </w:r>
    </w:p>
    <w:p w:rsidR="00A44295" w:rsidP="005605E3" w:rsidRDefault="0033343C" w14:paraId="7A7702C3" w14:textId="0BE5593F">
      <w:pPr>
        <w:numPr>
          <w:ilvl w:val="1"/>
          <w:numId w:val="12"/>
        </w:numPr>
        <w:spacing w:after="120"/>
      </w:pPr>
      <w:r w:rsidRPr="00A44295">
        <w:rPr>
          <w:b/>
        </w:rPr>
        <w:t>Interviews</w:t>
      </w:r>
      <w:r w:rsidRPr="00B6114A">
        <w:t xml:space="preserve">. </w:t>
      </w:r>
      <w:r w:rsidR="00A44295">
        <w:t xml:space="preserve">In-depth interviews will occur with up to 3 staff at each health care organization, for a total of up to 72 individuals. The evaluation team will conduct these interviews, each lasting up to 30 minutes with: </w:t>
      </w:r>
    </w:p>
    <w:p w:rsidR="00A44295" w:rsidP="005605E3" w:rsidRDefault="007E43F8" w14:paraId="42B1F152" w14:textId="79DBCF79">
      <w:pPr>
        <w:numPr>
          <w:ilvl w:val="2"/>
          <w:numId w:val="12"/>
        </w:numPr>
        <w:spacing w:after="120"/>
      </w:pPr>
      <w:r w:rsidRPr="005605E3">
        <w:rPr>
          <w:b/>
        </w:rPr>
        <w:t>QI c</w:t>
      </w:r>
      <w:r w:rsidRPr="005605E3" w:rsidR="00A44295">
        <w:rPr>
          <w:b/>
        </w:rPr>
        <w:t>hampion</w:t>
      </w:r>
      <w:r w:rsidR="00A44295">
        <w:t xml:space="preserve"> for the initiative in the clinics at baseline, mid-point and post-implementation (Attachment C).</w:t>
      </w:r>
    </w:p>
    <w:p w:rsidR="00A44295" w:rsidP="005605E3" w:rsidRDefault="00A44295" w14:paraId="22D4CACB" w14:textId="3785F587">
      <w:pPr>
        <w:numPr>
          <w:ilvl w:val="2"/>
          <w:numId w:val="12"/>
        </w:numPr>
        <w:spacing w:after="120"/>
      </w:pPr>
      <w:r w:rsidRPr="005605E3">
        <w:rPr>
          <w:b/>
        </w:rPr>
        <w:t>Two additional staff</w:t>
      </w:r>
      <w:r>
        <w:t xml:space="preserve"> (e.g., </w:t>
      </w:r>
      <w:r w:rsidR="007E43F8">
        <w:t>clinician</w:t>
      </w:r>
      <w:r>
        <w:t>, information technology analyst, behavioral health specialist) per PCP at mid-point and post-implementation. (Attachment D).</w:t>
      </w:r>
    </w:p>
    <w:p w:rsidR="00DA0F1E" w:rsidP="005605E3" w:rsidRDefault="00DA0F1E" w14:paraId="586C00FF" w14:textId="4FD0259C">
      <w:pPr>
        <w:numPr>
          <w:ilvl w:val="1"/>
          <w:numId w:val="12"/>
        </w:numPr>
        <w:spacing w:after="120"/>
      </w:pPr>
      <w:r>
        <w:rPr>
          <w:b/>
        </w:rPr>
        <w:t>Self-Assessment</w:t>
      </w:r>
      <w:r w:rsidR="00616C60">
        <w:rPr>
          <w:b/>
        </w:rPr>
        <w:t xml:space="preserve"> (Attachment E)</w:t>
      </w:r>
      <w:r>
        <w:rPr>
          <w:b/>
        </w:rPr>
        <w:t xml:space="preserve">. </w:t>
      </w:r>
      <w:r>
        <w:t xml:space="preserve">A self-assessment tool used in the Six Building Blocks program, and CDC Opioid QI Collaborative for clinics or health systems </w:t>
      </w:r>
      <w:r w:rsidR="00EE5749">
        <w:t xml:space="preserve">will be provided to practices </w:t>
      </w:r>
      <w:r>
        <w:t xml:space="preserve">to assess where they are in their QI efforts to improve opioid prescribing, and </w:t>
      </w:r>
      <w:r w:rsidR="00EE5749">
        <w:t xml:space="preserve">the </w:t>
      </w:r>
      <w:r>
        <w:t xml:space="preserve">extent to which care </w:t>
      </w:r>
      <w:r w:rsidR="00EE5749">
        <w:t xml:space="preserve">is </w:t>
      </w:r>
      <w:r>
        <w:t>consistent with the CDC Opioid Prescribing Guideline.</w:t>
      </w:r>
      <w:r w:rsidR="008D6B60">
        <w:t xml:space="preserve"> The </w:t>
      </w:r>
      <w:r w:rsidR="007E43F8">
        <w:t xml:space="preserve">QI </w:t>
      </w:r>
      <w:r w:rsidR="008D6B60">
        <w:t xml:space="preserve">champion </w:t>
      </w:r>
      <w:r w:rsidR="00EE5749">
        <w:t xml:space="preserve">or lead for the effort </w:t>
      </w:r>
      <w:r w:rsidR="008D6B60">
        <w:t xml:space="preserve">in each of the 24 participating PCPs will respond to the self-assessment which will take approximately 15 minutes to complete. </w:t>
      </w:r>
    </w:p>
    <w:p w:rsidR="001C68DD" w:rsidP="005605E3" w:rsidRDefault="00995711" w14:paraId="3153A88C" w14:textId="0FC28E2D">
      <w:pPr>
        <w:numPr>
          <w:ilvl w:val="1"/>
          <w:numId w:val="12"/>
        </w:numPr>
        <w:spacing w:after="120"/>
      </w:pPr>
      <w:r w:rsidRPr="008F28ED">
        <w:rPr>
          <w:b/>
        </w:rPr>
        <w:t>QI Measures</w:t>
      </w:r>
      <w:r w:rsidR="00616C60">
        <w:rPr>
          <w:b/>
        </w:rPr>
        <w:t xml:space="preserve"> (Attachment F)</w:t>
      </w:r>
      <w:r>
        <w:t>. Aggregate reports of the specified quality measures will be provided on a quarterly basis over the course of a 15-month period by a data analyst at each PCP</w:t>
      </w:r>
      <w:r w:rsidR="006E7C65">
        <w:t xml:space="preserve">. This activity will involve 12 </w:t>
      </w:r>
      <w:r>
        <w:t xml:space="preserve">individuals </w:t>
      </w:r>
      <w:r w:rsidR="006E7C65">
        <w:t xml:space="preserve">at </w:t>
      </w:r>
      <w:r>
        <w:t xml:space="preserve">each learning collaborative for a total of 24. The QI measures are measures of opioid prescribing that are critical for understanding the potential improvements in opioid prescribing in implementing strategies and tools for management of opioid use, misuse, and abuse. Each health care organization is asked to report quarterly on the QI measures.  Clinics may obtain these measures from electronic health record (EHR) data, or they may not have the sophistication or capacity to do that and may track these measures using Excel files or other methods. The method of pulling these measures will vary by clinic, and we will charge clinics will developing a system for collecting these measures that works best for them. We assume it will take each clinic up to </w:t>
      </w:r>
      <w:r w:rsidR="001C68DD">
        <w:t>a total of 40 hours over the course of the project.</w:t>
      </w:r>
    </w:p>
    <w:p w:rsidR="001C68DD" w:rsidP="001C68DD" w:rsidRDefault="001C68DD" w14:paraId="52166B65" w14:textId="4CFD4496">
      <w:pPr>
        <w:numPr>
          <w:ilvl w:val="2"/>
          <w:numId w:val="12"/>
        </w:numPr>
        <w:spacing w:after="120"/>
      </w:pPr>
      <w:r>
        <w:t xml:space="preserve">Twenty </w:t>
      </w:r>
      <w:r w:rsidR="00995711">
        <w:t>hours to develop a system for pulling these measures</w:t>
      </w:r>
      <w:r>
        <w:t>.</w:t>
      </w:r>
      <w:r w:rsidR="00995711">
        <w:t xml:space="preserve"> </w:t>
      </w:r>
    </w:p>
    <w:p w:rsidR="00995711" w:rsidP="001C68DD" w:rsidRDefault="001C68DD" w14:paraId="2DFBB266" w14:textId="10672F28">
      <w:pPr>
        <w:numPr>
          <w:ilvl w:val="2"/>
          <w:numId w:val="12"/>
        </w:numPr>
        <w:spacing w:after="120"/>
      </w:pPr>
      <w:r>
        <w:t>Five</w:t>
      </w:r>
      <w:r w:rsidR="00995711">
        <w:t xml:space="preserve"> hours to pull and submit these reports each quarter. </w:t>
      </w:r>
    </w:p>
    <w:p w:rsidRPr="005605E3" w:rsidR="00995711" w:rsidP="005605E3" w:rsidRDefault="00995711" w14:paraId="537AD30C" w14:textId="468C3A9F">
      <w:pPr>
        <w:pStyle w:val="ListParagraph"/>
        <w:numPr>
          <w:ilvl w:val="0"/>
          <w:numId w:val="12"/>
        </w:numPr>
        <w:spacing w:after="120"/>
        <w:rPr>
          <w:rFonts w:ascii="Times New Roman" w:hAnsi="Times New Roman" w:cs="Times New Roman"/>
        </w:rPr>
      </w:pPr>
      <w:r w:rsidRPr="005605E3">
        <w:rPr>
          <w:rFonts w:ascii="Times New Roman" w:hAnsi="Times New Roman" w:cs="Times New Roman"/>
          <w:b/>
          <w:bCs/>
        </w:rPr>
        <w:t xml:space="preserve">PCP Learning </w:t>
      </w:r>
      <w:proofErr w:type="spellStart"/>
      <w:r w:rsidRPr="005605E3">
        <w:rPr>
          <w:rFonts w:ascii="Times New Roman" w:hAnsi="Times New Roman" w:cs="Times New Roman"/>
          <w:b/>
          <w:bCs/>
        </w:rPr>
        <w:t>Collaboratives</w:t>
      </w:r>
      <w:proofErr w:type="spellEnd"/>
      <w:r w:rsidRPr="005605E3">
        <w:rPr>
          <w:rFonts w:ascii="Times New Roman" w:hAnsi="Times New Roman" w:cs="Times New Roman"/>
          <w:b/>
          <w:bCs/>
        </w:rPr>
        <w:t xml:space="preserve"> </w:t>
      </w:r>
      <w:r w:rsidRPr="005605E3" w:rsidR="00EE5749">
        <w:rPr>
          <w:rFonts w:ascii="Times New Roman" w:hAnsi="Times New Roman" w:cs="Times New Roman"/>
          <w:b/>
          <w:bCs/>
        </w:rPr>
        <w:t xml:space="preserve">Secondary </w:t>
      </w:r>
      <w:r w:rsidRPr="005605E3">
        <w:rPr>
          <w:rFonts w:ascii="Times New Roman" w:hAnsi="Times New Roman" w:cs="Times New Roman"/>
          <w:b/>
          <w:bCs/>
        </w:rPr>
        <w:t>Data Collection</w:t>
      </w:r>
    </w:p>
    <w:p w:rsidR="00225F13" w:rsidP="005605E3" w:rsidRDefault="00E90BA1" w14:paraId="217CB7A9" w14:textId="364EAD91">
      <w:pPr>
        <w:numPr>
          <w:ilvl w:val="1"/>
          <w:numId w:val="12"/>
        </w:numPr>
        <w:spacing w:after="120"/>
      </w:pPr>
      <w:r>
        <w:rPr>
          <w:b/>
        </w:rPr>
        <w:t xml:space="preserve">Practice Documents. </w:t>
      </w:r>
      <w:r w:rsidRPr="00B6114A" w:rsidR="00995711">
        <w:t xml:space="preserve">These secondary data will be provided by </w:t>
      </w:r>
      <w:r w:rsidR="00995711">
        <w:t xml:space="preserve">the </w:t>
      </w:r>
      <w:r w:rsidR="007E43F8">
        <w:t xml:space="preserve">QI </w:t>
      </w:r>
      <w:r w:rsidR="00995711">
        <w:t>champion at each organization</w:t>
      </w:r>
      <w:r>
        <w:t xml:space="preserve"> at the end of program implementation</w:t>
      </w:r>
      <w:r w:rsidR="00995711">
        <w:t>, for a total of 24 individuals</w:t>
      </w:r>
      <w:r w:rsidRPr="00B6114A" w:rsidR="00995711">
        <w:t xml:space="preserve">. </w:t>
      </w:r>
      <w:r w:rsidRPr="00E90BA1">
        <w:t xml:space="preserve">Documents that are relevant to the project and compiled as part of routine business practice, will be provided to the evaluation team.  </w:t>
      </w:r>
      <w:r>
        <w:t xml:space="preserve">They include, for </w:t>
      </w:r>
      <w:r w:rsidR="00995711">
        <w:t xml:space="preserve">example, the </w:t>
      </w:r>
      <w:r>
        <w:t xml:space="preserve">PCP’s </w:t>
      </w:r>
      <w:r w:rsidR="00995711">
        <w:t>polic</w:t>
      </w:r>
      <w:r>
        <w:t>ies and procedures for pain management, opioid use among older adults</w:t>
      </w:r>
      <w:r w:rsidR="00995711">
        <w:t>.</w:t>
      </w:r>
      <w:r w:rsidRPr="00225F13" w:rsidR="00995711">
        <w:t xml:space="preserve"> </w:t>
      </w:r>
      <w:r w:rsidRPr="00E44020" w:rsidR="00995711">
        <w:rPr>
          <w:b/>
        </w:rPr>
        <w:t xml:space="preserve">These documents will not require additional data collection as they are collected and recorded </w:t>
      </w:r>
      <w:r w:rsidRPr="00E44020">
        <w:rPr>
          <w:b/>
        </w:rPr>
        <w:t xml:space="preserve">as part of </w:t>
      </w:r>
      <w:r w:rsidRPr="00E44020" w:rsidR="00995711">
        <w:rPr>
          <w:b/>
        </w:rPr>
        <w:t>the PCP</w:t>
      </w:r>
      <w:r w:rsidRPr="00E44020">
        <w:rPr>
          <w:b/>
        </w:rPr>
        <w:t>’</w:t>
      </w:r>
      <w:r w:rsidRPr="00E44020" w:rsidR="00995711">
        <w:rPr>
          <w:b/>
        </w:rPr>
        <w:t>s</w:t>
      </w:r>
      <w:r w:rsidRPr="00E44020">
        <w:rPr>
          <w:b/>
        </w:rPr>
        <w:t xml:space="preserve"> routine business practices</w:t>
      </w:r>
      <w:r w:rsidRPr="00E44020" w:rsidR="00995711">
        <w:rPr>
          <w:b/>
        </w:rPr>
        <w:t>.</w:t>
      </w:r>
      <w:r w:rsidRPr="00225F13" w:rsidR="00225F13">
        <w:t xml:space="preserve"> </w:t>
      </w:r>
      <w:r w:rsidR="00E44020">
        <w:t xml:space="preserve">Therefore, it is not expected </w:t>
      </w:r>
      <w:r w:rsidR="009B3D2A">
        <w:t>that sharing these document will be a burden to the practices.</w:t>
      </w:r>
      <w:r w:rsidR="00230BC5">
        <w:t xml:space="preserve"> </w:t>
      </w:r>
    </w:p>
    <w:p w:rsidR="002722F2" w:rsidP="004A4612" w:rsidRDefault="002722F2" w14:paraId="6956A6B7" w14:textId="77777777">
      <w:pPr>
        <w:rPr>
          <w:b/>
          <w:bCs/>
        </w:rPr>
      </w:pPr>
    </w:p>
    <w:p w:rsidRPr="00B6114A" w:rsidR="004A4612" w:rsidP="00D439C9" w:rsidRDefault="004A4612" w14:paraId="41598CF0" w14:textId="04146FC8">
      <w:pPr>
        <w:pStyle w:val="Caption"/>
      </w:pPr>
      <w:r w:rsidRPr="00B6114A">
        <w:t>Exhibit 1. Estimated annualized burden hours</w:t>
      </w:r>
    </w:p>
    <w:tbl>
      <w:tblPr>
        <w:tblW w:w="9360" w:type="dxa"/>
        <w:tblInd w:w="-10" w:type="dxa"/>
        <w:tblLayout w:type="fixed"/>
        <w:tblCellMar>
          <w:left w:w="0" w:type="dxa"/>
          <w:right w:w="0" w:type="dxa"/>
        </w:tblCellMar>
        <w:tblLook w:val="0000" w:firstRow="0" w:lastRow="0" w:firstColumn="0" w:lastColumn="0" w:noHBand="0" w:noVBand="0"/>
      </w:tblPr>
      <w:tblGrid>
        <w:gridCol w:w="3960"/>
        <w:gridCol w:w="1530"/>
        <w:gridCol w:w="1620"/>
        <w:gridCol w:w="1232"/>
        <w:gridCol w:w="1018"/>
      </w:tblGrid>
      <w:tr w:rsidRPr="00B6114A" w:rsidR="00E363B4" w:rsidTr="00D439C9" w14:paraId="59DF5BD0" w14:textId="77777777">
        <w:trPr>
          <w:trHeight w:val="360"/>
        </w:trPr>
        <w:tc>
          <w:tcPr>
            <w:tcW w:w="39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A5413E" w:rsidR="004A4612" w:rsidP="00D439C9" w:rsidRDefault="004A4612" w14:paraId="2380ACE1" w14:textId="77777777">
            <w:pPr>
              <w:rPr>
                <w:b/>
              </w:rPr>
            </w:pPr>
            <w:r w:rsidRPr="00A5413E">
              <w:rPr>
                <w:b/>
              </w:rPr>
              <w:t>Data Collection Method or Project Activity</w:t>
            </w:r>
          </w:p>
        </w:tc>
        <w:tc>
          <w:tcPr>
            <w:tcW w:w="15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tcPr>
          <w:p w:rsidRPr="00A5413E" w:rsidR="004A4612" w:rsidP="00D439C9" w:rsidRDefault="004A4612" w14:paraId="1A74F77A" w14:textId="77777777">
            <w:pPr>
              <w:jc w:val="center"/>
              <w:rPr>
                <w:b/>
                <w:color w:val="000000"/>
              </w:rPr>
            </w:pPr>
            <w:r w:rsidRPr="00A5413E">
              <w:rPr>
                <w:b/>
                <w:color w:val="000000"/>
              </w:rPr>
              <w:t>A.</w:t>
            </w:r>
          </w:p>
          <w:p w:rsidRPr="00A5413E" w:rsidR="004A4612" w:rsidP="00D439C9" w:rsidRDefault="004A4612" w14:paraId="1446BE97" w14:textId="77777777">
            <w:pPr>
              <w:jc w:val="center"/>
              <w:rPr>
                <w:b/>
              </w:rPr>
            </w:pPr>
            <w:r w:rsidRPr="00A5413E">
              <w:rPr>
                <w:b/>
                <w:color w:val="000000"/>
              </w:rPr>
              <w:t>Number of respondents</w:t>
            </w:r>
          </w:p>
        </w:tc>
        <w:tc>
          <w:tcPr>
            <w:tcW w:w="16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tcPr>
          <w:p w:rsidRPr="00A5413E" w:rsidR="004A4612" w:rsidP="00D439C9" w:rsidRDefault="004A4612" w14:paraId="211DB3AD" w14:textId="77777777">
            <w:pPr>
              <w:jc w:val="center"/>
              <w:rPr>
                <w:b/>
              </w:rPr>
            </w:pPr>
            <w:r w:rsidRPr="00A5413E">
              <w:rPr>
                <w:b/>
              </w:rPr>
              <w:t>B.</w:t>
            </w:r>
          </w:p>
          <w:p w:rsidRPr="00A5413E" w:rsidR="004A4612" w:rsidP="00D439C9" w:rsidRDefault="004A4612" w14:paraId="0B82C2C0" w14:textId="77777777">
            <w:pPr>
              <w:jc w:val="center"/>
              <w:rPr>
                <w:b/>
              </w:rPr>
            </w:pPr>
            <w:r w:rsidRPr="00A5413E">
              <w:rPr>
                <w:b/>
              </w:rPr>
              <w:t>Number of responses per respondent</w:t>
            </w:r>
          </w:p>
        </w:tc>
        <w:tc>
          <w:tcPr>
            <w:tcW w:w="1232" w:type="dxa"/>
            <w:tcBorders>
              <w:top w:val="single" w:color="auto" w:sz="8" w:space="0"/>
              <w:left w:val="nil"/>
              <w:bottom w:val="single" w:color="auto" w:sz="8" w:space="0"/>
              <w:right w:val="single" w:color="auto" w:sz="8" w:space="0"/>
            </w:tcBorders>
            <w:vAlign w:val="bottom"/>
          </w:tcPr>
          <w:p w:rsidRPr="00A5413E" w:rsidR="004A4612" w:rsidP="00D439C9" w:rsidRDefault="004A4612" w14:paraId="3275FD7E" w14:textId="77777777">
            <w:pPr>
              <w:jc w:val="center"/>
              <w:rPr>
                <w:b/>
                <w:color w:val="000000"/>
              </w:rPr>
            </w:pPr>
            <w:r w:rsidRPr="00A5413E">
              <w:rPr>
                <w:b/>
                <w:color w:val="000000"/>
              </w:rPr>
              <w:t>C.</w:t>
            </w:r>
          </w:p>
          <w:p w:rsidRPr="00A5413E" w:rsidR="004A4612" w:rsidP="00D439C9" w:rsidRDefault="004A4612" w14:paraId="738A9806" w14:textId="77777777">
            <w:pPr>
              <w:jc w:val="center"/>
              <w:rPr>
                <w:b/>
              </w:rPr>
            </w:pPr>
            <w:r w:rsidRPr="00A5413E">
              <w:rPr>
                <w:b/>
                <w:color w:val="000000"/>
              </w:rPr>
              <w:t>Hours per response</w:t>
            </w:r>
          </w:p>
        </w:tc>
        <w:tc>
          <w:tcPr>
            <w:tcW w:w="101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A5413E" w:rsidR="004A4612" w:rsidP="00D439C9" w:rsidRDefault="004A4612" w14:paraId="6D2537A9" w14:textId="77777777">
            <w:pPr>
              <w:jc w:val="center"/>
              <w:rPr>
                <w:b/>
                <w:color w:val="000000"/>
              </w:rPr>
            </w:pPr>
            <w:r w:rsidRPr="00A5413E">
              <w:rPr>
                <w:b/>
                <w:color w:val="000000"/>
              </w:rPr>
              <w:t>D.</w:t>
            </w:r>
          </w:p>
          <w:p w:rsidRPr="00A5413E" w:rsidR="004A4612" w:rsidP="00D439C9" w:rsidRDefault="004A4612" w14:paraId="47D53858" w14:textId="77777777">
            <w:pPr>
              <w:jc w:val="center"/>
              <w:rPr>
                <w:b/>
              </w:rPr>
            </w:pPr>
            <w:r w:rsidRPr="00A5413E">
              <w:rPr>
                <w:b/>
                <w:color w:val="000000"/>
              </w:rPr>
              <w:t>Total burden hours</w:t>
            </w:r>
          </w:p>
        </w:tc>
      </w:tr>
      <w:tr w:rsidRPr="00B6114A" w:rsidR="00582CA5" w:rsidTr="00D439C9" w14:paraId="1202EAED" w14:textId="77777777">
        <w:trPr>
          <w:trHeight w:val="360"/>
        </w:trPr>
        <w:tc>
          <w:tcPr>
            <w:tcW w:w="39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582CA5" w:rsidP="00D439C9" w:rsidRDefault="00582CA5" w14:paraId="7FE2035A" w14:textId="6557DD64">
            <w:pPr>
              <w:ind w:left="432" w:hanging="432"/>
            </w:pPr>
            <w:r>
              <w:t>1.</w:t>
            </w:r>
            <w:r w:rsidR="00D439C9">
              <w:tab/>
            </w:r>
            <w:r>
              <w:t>Web-</w:t>
            </w:r>
            <w:r w:rsidR="00E90BA1">
              <w:t>B</w:t>
            </w:r>
            <w:r>
              <w:t xml:space="preserve">ased </w:t>
            </w:r>
            <w:r w:rsidR="00E90BA1">
              <w:t>P</w:t>
            </w:r>
            <w:r>
              <w:t xml:space="preserve">rovider </w:t>
            </w:r>
            <w:r w:rsidR="00E90BA1">
              <w:t>S</w:t>
            </w:r>
            <w:r>
              <w:t>urvey</w:t>
            </w:r>
            <w:r w:rsidR="00616C60">
              <w:t xml:space="preserve"> (Attachment A)</w:t>
            </w:r>
            <w:r w:rsidRPr="008D6B60" w:rsidR="00E90BA1">
              <w:rPr>
                <w:vertAlign w:val="superscript"/>
              </w:rPr>
              <w:t>1</w:t>
            </w:r>
          </w:p>
        </w:tc>
        <w:tc>
          <w:tcPr>
            <w:tcW w:w="15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582CA5" w:rsidP="00D439C9" w:rsidRDefault="00582CA5" w14:paraId="1CA78451" w14:textId="643131D9">
            <w:pPr>
              <w:jc w:val="center"/>
            </w:pPr>
            <w:r>
              <w:t>1500</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582CA5" w:rsidP="00D439C9" w:rsidRDefault="00582CA5" w14:paraId="618BCB33" w14:textId="4E52411A">
            <w:pPr>
              <w:jc w:val="center"/>
            </w:pPr>
            <w:r>
              <w:t>1</w:t>
            </w:r>
          </w:p>
        </w:tc>
        <w:tc>
          <w:tcPr>
            <w:tcW w:w="1232" w:type="dxa"/>
            <w:tcBorders>
              <w:top w:val="nil"/>
              <w:left w:val="nil"/>
              <w:bottom w:val="single" w:color="auto" w:sz="8" w:space="0"/>
              <w:right w:val="single" w:color="auto" w:sz="8" w:space="0"/>
            </w:tcBorders>
            <w:vAlign w:val="center"/>
          </w:tcPr>
          <w:p w:rsidR="00582CA5" w:rsidP="00D439C9" w:rsidRDefault="00582CA5" w14:paraId="4AFF5112" w14:textId="5A209201">
            <w:pPr>
              <w:jc w:val="center"/>
            </w:pPr>
            <w:r>
              <w:t>15/60</w:t>
            </w:r>
          </w:p>
        </w:tc>
        <w:tc>
          <w:tcPr>
            <w:tcW w:w="101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582CA5" w:rsidP="00D439C9" w:rsidRDefault="00582CA5" w14:paraId="3FD60ECF" w14:textId="2E8E1A64">
            <w:pPr>
              <w:jc w:val="center"/>
            </w:pPr>
            <w:r>
              <w:t>375</w:t>
            </w:r>
          </w:p>
        </w:tc>
      </w:tr>
      <w:tr w:rsidRPr="00B6114A" w:rsidR="00CA6762" w:rsidTr="00D439C9" w14:paraId="402AB91B" w14:textId="77777777">
        <w:trPr>
          <w:trHeight w:val="360"/>
        </w:trPr>
        <w:tc>
          <w:tcPr>
            <w:tcW w:w="39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1C68DD" w:rsidP="00D439C9" w:rsidRDefault="005605E3" w14:paraId="63106107" w14:textId="06672A47">
            <w:pPr>
              <w:ind w:left="432" w:hanging="432"/>
            </w:pPr>
            <w:r>
              <w:t>2a</w:t>
            </w:r>
            <w:r w:rsidRPr="00A5413E" w:rsidR="00CA6762">
              <w:t>.</w:t>
            </w:r>
            <w:r w:rsidR="00D439C9">
              <w:t xml:space="preserve"> </w:t>
            </w:r>
            <w:r w:rsidR="00D439C9">
              <w:tab/>
            </w:r>
            <w:r w:rsidR="001C68DD">
              <w:t xml:space="preserve"> </w:t>
            </w:r>
            <w:r w:rsidR="00E90BA1">
              <w:t xml:space="preserve">Learning Collaborative </w:t>
            </w:r>
            <w:r w:rsidRPr="00A5413E" w:rsidR="00CA6762">
              <w:t xml:space="preserve">Clinical </w:t>
            </w:r>
            <w:r w:rsidR="001C68DD">
              <w:t xml:space="preserve"> </w:t>
            </w:r>
          </w:p>
          <w:p w:rsidRPr="00A5413E" w:rsidR="00CA6762" w:rsidP="00D439C9" w:rsidRDefault="001C68DD" w14:paraId="68D21E37" w14:textId="6C0D8447">
            <w:pPr>
              <w:ind w:left="432" w:hanging="432"/>
            </w:pPr>
            <w:r>
              <w:t xml:space="preserve">        </w:t>
            </w:r>
            <w:r w:rsidRPr="00A5413E" w:rsidR="00CA6762">
              <w:t>Staff Survey</w:t>
            </w:r>
            <w:r w:rsidR="00616C60">
              <w:t xml:space="preserve"> (Attachment B)</w:t>
            </w:r>
            <w:r w:rsidRPr="008D6B60" w:rsidR="00E90BA1">
              <w:rPr>
                <w:vertAlign w:val="superscript"/>
              </w:rPr>
              <w:t>2</w:t>
            </w:r>
          </w:p>
        </w:tc>
        <w:tc>
          <w:tcPr>
            <w:tcW w:w="15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A5413E" w:rsidR="00CA6762" w:rsidP="00D439C9" w:rsidRDefault="00E90BA1" w14:paraId="5FDE1426" w14:textId="3FB98ACC">
            <w:pPr>
              <w:jc w:val="center"/>
            </w:pPr>
            <w:r>
              <w:t>360</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A5413E" w:rsidR="00CA6762" w:rsidP="00D439C9" w:rsidRDefault="00CA6762" w14:paraId="65B7CC6B" w14:textId="192CD722">
            <w:pPr>
              <w:jc w:val="center"/>
            </w:pPr>
            <w:r>
              <w:t>2</w:t>
            </w:r>
          </w:p>
        </w:tc>
        <w:tc>
          <w:tcPr>
            <w:tcW w:w="1232" w:type="dxa"/>
            <w:tcBorders>
              <w:top w:val="nil"/>
              <w:left w:val="nil"/>
              <w:bottom w:val="single" w:color="auto" w:sz="8" w:space="0"/>
              <w:right w:val="single" w:color="auto" w:sz="8" w:space="0"/>
            </w:tcBorders>
            <w:vAlign w:val="center"/>
          </w:tcPr>
          <w:p w:rsidRPr="00A5413E" w:rsidR="00CA6762" w:rsidP="00D439C9" w:rsidRDefault="00E90BA1" w14:paraId="572A242C" w14:textId="4C0E95BE">
            <w:pPr>
              <w:jc w:val="center"/>
            </w:pPr>
            <w:r>
              <w:t>20</w:t>
            </w:r>
            <w:r w:rsidRPr="00A5413E" w:rsidR="00CA6762">
              <w:t>/60</w:t>
            </w:r>
          </w:p>
        </w:tc>
        <w:tc>
          <w:tcPr>
            <w:tcW w:w="101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A5413E" w:rsidR="00CA6762" w:rsidP="00D439C9" w:rsidRDefault="00E44020" w14:paraId="06BA9D21" w14:textId="7462F864">
            <w:pPr>
              <w:jc w:val="center"/>
            </w:pPr>
            <w:r>
              <w:t>240</w:t>
            </w:r>
          </w:p>
        </w:tc>
      </w:tr>
      <w:tr w:rsidRPr="00B6114A" w:rsidR="00CA6762" w:rsidTr="00D439C9" w14:paraId="5B1457CC" w14:textId="77777777">
        <w:trPr>
          <w:trHeight w:val="360"/>
        </w:trPr>
        <w:tc>
          <w:tcPr>
            <w:tcW w:w="39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1C68DD" w:rsidP="005605E3" w:rsidRDefault="005605E3" w14:paraId="735ABCC2" w14:textId="77777777">
            <w:pPr>
              <w:ind w:left="432" w:hanging="432"/>
            </w:pPr>
            <w:r>
              <w:t>2bi</w:t>
            </w:r>
            <w:r w:rsidRPr="00A5413E" w:rsidR="00CA6762">
              <w:t>.</w:t>
            </w:r>
            <w:r w:rsidR="00D439C9">
              <w:t xml:space="preserve"> </w:t>
            </w:r>
            <w:r w:rsidR="00D439C9">
              <w:tab/>
            </w:r>
            <w:r w:rsidR="001C68DD">
              <w:t xml:space="preserve"> </w:t>
            </w:r>
            <w:r w:rsidR="00647D5F">
              <w:t xml:space="preserve">Learning Collaborative </w:t>
            </w:r>
            <w:r w:rsidR="007E43F8">
              <w:t xml:space="preserve">QI </w:t>
            </w:r>
            <w:r w:rsidR="001C68DD">
              <w:t xml:space="preserve"> </w:t>
            </w:r>
          </w:p>
          <w:p w:rsidRPr="00A5413E" w:rsidR="00CA6762" w:rsidP="005605E3" w:rsidRDefault="001C68DD" w14:paraId="420C0A8A" w14:textId="5D988DF4">
            <w:pPr>
              <w:ind w:left="432" w:hanging="432"/>
            </w:pPr>
            <w:r>
              <w:t xml:space="preserve">        </w:t>
            </w:r>
            <w:r w:rsidR="007E43F8">
              <w:t xml:space="preserve">Champion </w:t>
            </w:r>
            <w:r w:rsidRPr="00A5413E" w:rsidR="00CA6762">
              <w:t xml:space="preserve">Interview </w:t>
            </w:r>
            <w:r w:rsidR="00616C60">
              <w:t>(Attachment C)</w:t>
            </w:r>
          </w:p>
        </w:tc>
        <w:tc>
          <w:tcPr>
            <w:tcW w:w="15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A5413E" w:rsidR="00CA6762" w:rsidP="00D439C9" w:rsidRDefault="00647D5F" w14:paraId="62FD1FC8" w14:textId="6614793B">
            <w:pPr>
              <w:jc w:val="center"/>
            </w:pPr>
            <w:r>
              <w:t>24</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A5413E" w:rsidR="00CA6762" w:rsidP="00D439C9" w:rsidRDefault="00647D5F" w14:paraId="23B918B8" w14:textId="3A7BBD6D">
            <w:pPr>
              <w:jc w:val="center"/>
            </w:pPr>
            <w:r>
              <w:t>3</w:t>
            </w:r>
          </w:p>
        </w:tc>
        <w:tc>
          <w:tcPr>
            <w:tcW w:w="1232" w:type="dxa"/>
            <w:tcBorders>
              <w:top w:val="nil"/>
              <w:left w:val="nil"/>
              <w:bottom w:val="single" w:color="auto" w:sz="8" w:space="0"/>
              <w:right w:val="single" w:color="auto" w:sz="8" w:space="0"/>
            </w:tcBorders>
            <w:vAlign w:val="center"/>
          </w:tcPr>
          <w:p w:rsidRPr="00A5413E" w:rsidR="00CA6762" w:rsidP="00D439C9" w:rsidRDefault="006E7C65" w14:paraId="0EF61540" w14:textId="667D86A0">
            <w:pPr>
              <w:jc w:val="center"/>
            </w:pPr>
            <w:r>
              <w:t>30/60</w:t>
            </w:r>
          </w:p>
        </w:tc>
        <w:tc>
          <w:tcPr>
            <w:tcW w:w="101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A5413E" w:rsidR="00CA6762" w:rsidP="00D439C9" w:rsidRDefault="006E7C65" w14:paraId="1199F9E4" w14:textId="78A290F2">
            <w:pPr>
              <w:jc w:val="center"/>
            </w:pPr>
            <w:r>
              <w:t>36</w:t>
            </w:r>
          </w:p>
        </w:tc>
      </w:tr>
      <w:tr w:rsidRPr="00B6114A" w:rsidR="00CA6762" w:rsidTr="00D439C9" w14:paraId="5CE19421" w14:textId="77777777">
        <w:trPr>
          <w:trHeight w:val="360"/>
        </w:trPr>
        <w:tc>
          <w:tcPr>
            <w:tcW w:w="39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A5413E" w:rsidR="00CA6762" w:rsidP="005605E3" w:rsidRDefault="005605E3" w14:paraId="36792140" w14:textId="408AB4B7">
            <w:pPr>
              <w:ind w:left="432" w:hanging="432"/>
              <w:rPr>
                <w:bCs/>
                <w:color w:val="000000"/>
              </w:rPr>
            </w:pPr>
            <w:r>
              <w:rPr>
                <w:bCs/>
                <w:color w:val="000000"/>
              </w:rPr>
              <w:t>2bii</w:t>
            </w:r>
            <w:r w:rsidR="00AB0636">
              <w:rPr>
                <w:bCs/>
                <w:color w:val="000000"/>
              </w:rPr>
              <w:t>.</w:t>
            </w:r>
            <w:r w:rsidR="00D439C9">
              <w:t xml:space="preserve"> </w:t>
            </w:r>
            <w:r w:rsidR="00647D5F">
              <w:rPr>
                <w:bCs/>
                <w:color w:val="000000"/>
              </w:rPr>
              <w:t xml:space="preserve">Learning Collaborative </w:t>
            </w:r>
            <w:r w:rsidR="00CA6762">
              <w:rPr>
                <w:bCs/>
                <w:color w:val="000000"/>
              </w:rPr>
              <w:t xml:space="preserve">Staff </w:t>
            </w:r>
            <w:r w:rsidR="001C68DD">
              <w:rPr>
                <w:bCs/>
                <w:color w:val="000000"/>
              </w:rPr>
              <w:t xml:space="preserve">   </w:t>
            </w:r>
            <w:r w:rsidRPr="00A5413E" w:rsidR="00CA6762">
              <w:rPr>
                <w:bCs/>
                <w:color w:val="000000"/>
              </w:rPr>
              <w:t xml:space="preserve">Interview </w:t>
            </w:r>
            <w:r w:rsidR="00616C60">
              <w:rPr>
                <w:bCs/>
                <w:color w:val="000000"/>
              </w:rPr>
              <w:t>(Attachment D)</w:t>
            </w:r>
          </w:p>
        </w:tc>
        <w:tc>
          <w:tcPr>
            <w:tcW w:w="15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A5413E" w:rsidR="00CA6762" w:rsidP="00D439C9" w:rsidRDefault="00161A18" w14:paraId="5FFD5C8E" w14:textId="50B4FCDF">
            <w:pPr>
              <w:jc w:val="center"/>
            </w:pPr>
            <w:r>
              <w:t>48</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A5413E" w:rsidR="00CA6762" w:rsidP="00D439C9" w:rsidRDefault="00CA6762" w14:paraId="15D4984B" w14:textId="77777777">
            <w:pPr>
              <w:jc w:val="center"/>
            </w:pPr>
            <w:r>
              <w:t>2</w:t>
            </w:r>
          </w:p>
        </w:tc>
        <w:tc>
          <w:tcPr>
            <w:tcW w:w="1232" w:type="dxa"/>
            <w:tcBorders>
              <w:top w:val="nil"/>
              <w:left w:val="nil"/>
              <w:bottom w:val="single" w:color="auto" w:sz="8" w:space="0"/>
              <w:right w:val="single" w:color="auto" w:sz="8" w:space="0"/>
            </w:tcBorders>
            <w:vAlign w:val="center"/>
          </w:tcPr>
          <w:p w:rsidRPr="00A5413E" w:rsidR="00CA6762" w:rsidP="00D439C9" w:rsidRDefault="006E7C65" w14:paraId="17E32D85" w14:textId="0F9F988A">
            <w:pPr>
              <w:jc w:val="center"/>
            </w:pPr>
            <w:r>
              <w:t>30/60</w:t>
            </w:r>
          </w:p>
        </w:tc>
        <w:tc>
          <w:tcPr>
            <w:tcW w:w="101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A5413E" w:rsidR="00CA6762" w:rsidP="00D439C9" w:rsidRDefault="006E7C65" w14:paraId="01560A9B" w14:textId="78ABAD16">
            <w:pPr>
              <w:jc w:val="center"/>
            </w:pPr>
            <w:r>
              <w:t>48</w:t>
            </w:r>
          </w:p>
        </w:tc>
      </w:tr>
      <w:tr w:rsidRPr="00B6114A" w:rsidR="008D6B60" w:rsidTr="00D439C9" w14:paraId="6B05479D" w14:textId="77777777">
        <w:trPr>
          <w:trHeight w:val="360"/>
        </w:trPr>
        <w:tc>
          <w:tcPr>
            <w:tcW w:w="39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8D6B60" w:rsidDel="00647D5F" w:rsidP="00D439C9" w:rsidRDefault="005605E3" w14:paraId="18F0A048" w14:textId="2443999D">
            <w:pPr>
              <w:ind w:left="432" w:hanging="432"/>
              <w:rPr>
                <w:bCs/>
                <w:color w:val="000000"/>
              </w:rPr>
            </w:pPr>
            <w:r>
              <w:rPr>
                <w:bCs/>
                <w:color w:val="000000"/>
              </w:rPr>
              <w:t>2c</w:t>
            </w:r>
            <w:r w:rsidR="008D6B60">
              <w:rPr>
                <w:bCs/>
                <w:color w:val="000000"/>
              </w:rPr>
              <w:t xml:space="preserve">. </w:t>
            </w:r>
            <w:r w:rsidR="00D439C9">
              <w:tab/>
            </w:r>
            <w:r w:rsidR="001C68DD">
              <w:t xml:space="preserve"> </w:t>
            </w:r>
            <w:r w:rsidR="008D6B60">
              <w:rPr>
                <w:bCs/>
                <w:color w:val="000000"/>
              </w:rPr>
              <w:t>Learning Collaborative Self-</w:t>
            </w:r>
            <w:r w:rsidR="001C68DD">
              <w:rPr>
                <w:bCs/>
                <w:color w:val="000000"/>
              </w:rPr>
              <w:t xml:space="preserve"> </w:t>
            </w:r>
            <w:r w:rsidR="008D6B60">
              <w:rPr>
                <w:bCs/>
                <w:color w:val="000000"/>
              </w:rPr>
              <w:t>Assessment</w:t>
            </w:r>
            <w:r w:rsidR="00616C60">
              <w:rPr>
                <w:bCs/>
                <w:color w:val="000000"/>
              </w:rPr>
              <w:t xml:space="preserve"> (Attachment E)</w:t>
            </w:r>
          </w:p>
        </w:tc>
        <w:tc>
          <w:tcPr>
            <w:tcW w:w="15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8D6B60" w:rsidP="00D439C9" w:rsidRDefault="008D6B60" w14:paraId="6241B622" w14:textId="50652B67">
            <w:pPr>
              <w:jc w:val="center"/>
            </w:pPr>
            <w:r>
              <w:t>24</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8D6B60" w:rsidP="00D439C9" w:rsidRDefault="008D6B60" w14:paraId="0DF5173D" w14:textId="543EE27D">
            <w:pPr>
              <w:jc w:val="center"/>
            </w:pPr>
            <w:r>
              <w:t>1</w:t>
            </w:r>
          </w:p>
        </w:tc>
        <w:tc>
          <w:tcPr>
            <w:tcW w:w="1232" w:type="dxa"/>
            <w:tcBorders>
              <w:top w:val="nil"/>
              <w:left w:val="nil"/>
              <w:bottom w:val="single" w:color="auto" w:sz="8" w:space="0"/>
              <w:right w:val="single" w:color="auto" w:sz="8" w:space="0"/>
            </w:tcBorders>
            <w:vAlign w:val="center"/>
          </w:tcPr>
          <w:p w:rsidRPr="00A5413E" w:rsidR="008D6B60" w:rsidP="00D439C9" w:rsidRDefault="008D6B60" w14:paraId="0E892D52" w14:textId="0B83A79C">
            <w:pPr>
              <w:jc w:val="center"/>
            </w:pPr>
            <w:r>
              <w:t>15/60</w:t>
            </w:r>
          </w:p>
        </w:tc>
        <w:tc>
          <w:tcPr>
            <w:tcW w:w="101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8D6B60" w:rsidP="00D439C9" w:rsidRDefault="008D6B60" w14:paraId="3F9C5212" w14:textId="54C1C91D">
            <w:pPr>
              <w:jc w:val="center"/>
            </w:pPr>
            <w:r>
              <w:t>6</w:t>
            </w:r>
          </w:p>
        </w:tc>
      </w:tr>
      <w:tr w:rsidRPr="00B6114A" w:rsidR="00E44020" w:rsidTr="00D439C9" w14:paraId="13520300" w14:textId="77777777">
        <w:trPr>
          <w:trHeight w:val="360"/>
        </w:trPr>
        <w:tc>
          <w:tcPr>
            <w:tcW w:w="39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E44020" w:rsidP="00616C60" w:rsidRDefault="005605E3" w14:paraId="10C24DD6" w14:textId="2B96259D">
            <w:pPr>
              <w:ind w:left="432" w:hanging="432"/>
              <w:rPr>
                <w:bCs/>
                <w:color w:val="000000"/>
              </w:rPr>
            </w:pPr>
            <w:r>
              <w:rPr>
                <w:bCs/>
                <w:color w:val="000000"/>
              </w:rPr>
              <w:t>2</w:t>
            </w:r>
            <w:r w:rsidR="001C68DD">
              <w:rPr>
                <w:bCs/>
                <w:color w:val="000000"/>
              </w:rPr>
              <w:t>di</w:t>
            </w:r>
            <w:r w:rsidR="00E44020">
              <w:rPr>
                <w:bCs/>
                <w:color w:val="000000"/>
              </w:rPr>
              <w:t xml:space="preserve">. </w:t>
            </w:r>
            <w:r w:rsidR="00D439C9">
              <w:tab/>
            </w:r>
            <w:r w:rsidR="001C68DD">
              <w:t xml:space="preserve"> </w:t>
            </w:r>
            <w:r w:rsidR="000D7752">
              <w:t xml:space="preserve">Learning Collaborative </w:t>
            </w:r>
            <w:r w:rsidR="00E44020">
              <w:rPr>
                <w:bCs/>
                <w:color w:val="000000"/>
              </w:rPr>
              <w:t>QI Measures – develop system</w:t>
            </w:r>
            <w:r w:rsidR="00616C60">
              <w:rPr>
                <w:bCs/>
                <w:color w:val="000000"/>
              </w:rPr>
              <w:t xml:space="preserve"> (Attachment F)</w:t>
            </w:r>
          </w:p>
        </w:tc>
        <w:tc>
          <w:tcPr>
            <w:tcW w:w="15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E44020" w:rsidP="00D439C9" w:rsidRDefault="00E44020" w14:paraId="0930D30D" w14:textId="0FB43427">
            <w:pPr>
              <w:jc w:val="center"/>
            </w:pPr>
            <w:r>
              <w:t>24</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E44020" w:rsidP="00D439C9" w:rsidRDefault="00E44020" w14:paraId="311D5810" w14:textId="2AC3B74A">
            <w:pPr>
              <w:jc w:val="center"/>
            </w:pPr>
            <w:r>
              <w:t>1</w:t>
            </w:r>
          </w:p>
        </w:tc>
        <w:tc>
          <w:tcPr>
            <w:tcW w:w="1232" w:type="dxa"/>
            <w:tcBorders>
              <w:top w:val="nil"/>
              <w:left w:val="nil"/>
              <w:bottom w:val="single" w:color="auto" w:sz="8" w:space="0"/>
              <w:right w:val="single" w:color="auto" w:sz="8" w:space="0"/>
            </w:tcBorders>
            <w:vAlign w:val="center"/>
          </w:tcPr>
          <w:p w:rsidR="00E44020" w:rsidP="00D439C9" w:rsidRDefault="00E44020" w14:paraId="4DC83C72" w14:textId="7FF87C20">
            <w:pPr>
              <w:jc w:val="center"/>
            </w:pPr>
            <w:r>
              <w:t>20</w:t>
            </w:r>
          </w:p>
        </w:tc>
        <w:tc>
          <w:tcPr>
            <w:tcW w:w="101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E44020" w:rsidP="00D439C9" w:rsidRDefault="00E44020" w14:paraId="15C3CB11" w14:textId="0F6BAAD5">
            <w:pPr>
              <w:jc w:val="center"/>
            </w:pPr>
            <w:r>
              <w:t>480</w:t>
            </w:r>
          </w:p>
        </w:tc>
      </w:tr>
      <w:tr w:rsidRPr="00B6114A" w:rsidR="00E44020" w:rsidTr="00D439C9" w14:paraId="7349B203" w14:textId="77777777">
        <w:trPr>
          <w:trHeight w:val="360"/>
        </w:trPr>
        <w:tc>
          <w:tcPr>
            <w:tcW w:w="39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E44020" w:rsidP="00FE4A1F" w:rsidRDefault="001C68DD" w14:paraId="549C2481" w14:textId="7E2AEA94">
            <w:pPr>
              <w:ind w:left="432" w:hanging="432"/>
              <w:rPr>
                <w:bCs/>
                <w:color w:val="000000"/>
              </w:rPr>
            </w:pPr>
            <w:r>
              <w:rPr>
                <w:bCs/>
                <w:color w:val="000000"/>
              </w:rPr>
              <w:t>2dii</w:t>
            </w:r>
            <w:r w:rsidR="00E44020">
              <w:rPr>
                <w:bCs/>
                <w:color w:val="000000"/>
              </w:rPr>
              <w:t xml:space="preserve">. </w:t>
            </w:r>
            <w:r w:rsidR="000D7752">
              <w:rPr>
                <w:bCs/>
                <w:color w:val="000000"/>
              </w:rPr>
              <w:t xml:space="preserve">Learning Collaborative </w:t>
            </w:r>
            <w:r w:rsidR="00E44020">
              <w:rPr>
                <w:bCs/>
                <w:color w:val="000000"/>
              </w:rPr>
              <w:t>QI Measures – pull and submit</w:t>
            </w:r>
            <w:r w:rsidR="00616C60">
              <w:rPr>
                <w:bCs/>
                <w:color w:val="000000"/>
              </w:rPr>
              <w:t xml:space="preserve"> (Attachment </w:t>
            </w:r>
            <w:r w:rsidR="00FE4A1F">
              <w:rPr>
                <w:bCs/>
                <w:color w:val="000000"/>
              </w:rPr>
              <w:t>F</w:t>
            </w:r>
            <w:r w:rsidR="00616C60">
              <w:rPr>
                <w:bCs/>
                <w:color w:val="000000"/>
              </w:rPr>
              <w:t>)</w:t>
            </w:r>
          </w:p>
        </w:tc>
        <w:tc>
          <w:tcPr>
            <w:tcW w:w="15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E44020" w:rsidP="00D439C9" w:rsidRDefault="00E44020" w14:paraId="05314913" w14:textId="293C9907">
            <w:pPr>
              <w:jc w:val="center"/>
            </w:pPr>
            <w:r>
              <w:t>24</w:t>
            </w:r>
          </w:p>
        </w:tc>
        <w:tc>
          <w:tcPr>
            <w:tcW w:w="1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E44020" w:rsidP="00D439C9" w:rsidRDefault="006E7C65" w14:paraId="4ECD1A12" w14:textId="6D1C25B7">
            <w:pPr>
              <w:jc w:val="center"/>
            </w:pPr>
            <w:r>
              <w:t>4</w:t>
            </w:r>
          </w:p>
        </w:tc>
        <w:tc>
          <w:tcPr>
            <w:tcW w:w="1232" w:type="dxa"/>
            <w:tcBorders>
              <w:top w:val="nil"/>
              <w:left w:val="nil"/>
              <w:bottom w:val="single" w:color="auto" w:sz="8" w:space="0"/>
              <w:right w:val="single" w:color="auto" w:sz="8" w:space="0"/>
            </w:tcBorders>
            <w:vAlign w:val="center"/>
          </w:tcPr>
          <w:p w:rsidR="00E44020" w:rsidP="00D439C9" w:rsidRDefault="00E44020" w14:paraId="2D6DF8E9" w14:textId="315B5937">
            <w:pPr>
              <w:jc w:val="center"/>
            </w:pPr>
            <w:r>
              <w:t>5</w:t>
            </w:r>
          </w:p>
        </w:tc>
        <w:tc>
          <w:tcPr>
            <w:tcW w:w="101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00E44020" w:rsidP="00D439C9" w:rsidRDefault="006E7C65" w14:paraId="6EF2CA59" w14:textId="6BDFE014">
            <w:pPr>
              <w:jc w:val="center"/>
            </w:pPr>
            <w:r>
              <w:t>480</w:t>
            </w:r>
          </w:p>
        </w:tc>
      </w:tr>
      <w:tr w:rsidRPr="00A8191C" w:rsidR="00CA6762" w:rsidTr="00D439C9" w14:paraId="651E583E" w14:textId="77777777">
        <w:trPr>
          <w:trHeight w:val="360"/>
        </w:trPr>
        <w:tc>
          <w:tcPr>
            <w:tcW w:w="3960"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A8191C" w:rsidR="00CA6762" w:rsidP="00D439C9" w:rsidRDefault="00CA6762" w14:paraId="4235C87D" w14:textId="77777777">
            <w:pPr>
              <w:rPr>
                <w:b/>
                <w:bCs/>
                <w:color w:val="000000"/>
              </w:rPr>
            </w:pPr>
            <w:r w:rsidRPr="00A8191C">
              <w:rPr>
                <w:b/>
                <w:bCs/>
                <w:color w:val="000000"/>
              </w:rPr>
              <w:t>TOTAL</w:t>
            </w:r>
          </w:p>
        </w:tc>
        <w:tc>
          <w:tcPr>
            <w:tcW w:w="1530"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A8191C" w:rsidR="00CA6762" w:rsidP="001C68DD" w:rsidRDefault="001C68DD" w14:paraId="24592D11" w14:textId="1A5B36A2">
            <w:pPr>
              <w:jc w:val="center"/>
              <w:rPr>
                <w:b/>
              </w:rPr>
            </w:pPr>
            <w:r w:rsidRPr="00A8191C">
              <w:rPr>
                <w:b/>
              </w:rPr>
              <w:t>20</w:t>
            </w:r>
            <w:r>
              <w:rPr>
                <w:b/>
              </w:rPr>
              <w:t>28</w:t>
            </w:r>
          </w:p>
        </w:tc>
        <w:tc>
          <w:tcPr>
            <w:tcW w:w="1620"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A8191C" w:rsidR="00CA6762" w:rsidP="00D439C9" w:rsidRDefault="00CA6762" w14:paraId="0C22ADDC" w14:textId="1E9B81EB">
            <w:pPr>
              <w:jc w:val="center"/>
              <w:rPr>
                <w:b/>
              </w:rPr>
            </w:pPr>
            <w:r w:rsidRPr="00A8191C">
              <w:rPr>
                <w:b/>
              </w:rPr>
              <w:t>n/a</w:t>
            </w:r>
          </w:p>
        </w:tc>
        <w:tc>
          <w:tcPr>
            <w:tcW w:w="1232" w:type="dxa"/>
            <w:tcBorders>
              <w:top w:val="single" w:color="auto" w:sz="4" w:space="0"/>
              <w:left w:val="nil"/>
              <w:bottom w:val="single" w:color="auto" w:sz="8" w:space="0"/>
              <w:right w:val="single" w:color="auto" w:sz="8" w:space="0"/>
            </w:tcBorders>
            <w:vAlign w:val="center"/>
          </w:tcPr>
          <w:p w:rsidRPr="00A8191C" w:rsidR="00CA6762" w:rsidP="00D439C9" w:rsidRDefault="00CA6762" w14:paraId="29748BBE" w14:textId="479CBA19">
            <w:pPr>
              <w:jc w:val="center"/>
              <w:rPr>
                <w:b/>
              </w:rPr>
            </w:pPr>
            <w:r w:rsidRPr="00A8191C">
              <w:rPr>
                <w:b/>
              </w:rPr>
              <w:t>n/a</w:t>
            </w:r>
          </w:p>
        </w:tc>
        <w:tc>
          <w:tcPr>
            <w:tcW w:w="1018"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A8191C" w:rsidR="00CA6762" w:rsidP="00D439C9" w:rsidRDefault="006E7C65" w14:paraId="7721C20D" w14:textId="06A45030">
            <w:pPr>
              <w:jc w:val="center"/>
              <w:rPr>
                <w:b/>
              </w:rPr>
            </w:pPr>
            <w:r>
              <w:rPr>
                <w:b/>
              </w:rPr>
              <w:t>1665</w:t>
            </w:r>
          </w:p>
        </w:tc>
      </w:tr>
    </w:tbl>
    <w:p w:rsidR="00E71AD7" w:rsidP="00D439C9" w:rsidRDefault="009B3D2A" w14:paraId="582C358A" w14:textId="4F8F3619">
      <w:pPr>
        <w:pStyle w:val="BodyText"/>
      </w:pPr>
      <w:r w:rsidRPr="00230BC5">
        <w:rPr>
          <w:vertAlign w:val="superscript"/>
        </w:rPr>
        <w:t>1</w:t>
      </w:r>
      <w:r w:rsidR="00E90BA1">
        <w:t xml:space="preserve">Number of respondents reflects a 30% response rate. </w:t>
      </w:r>
      <w:r>
        <w:rPr>
          <w:vertAlign w:val="superscript"/>
        </w:rPr>
        <w:t>2</w:t>
      </w:r>
      <w:r w:rsidRPr="00A5413E" w:rsidR="004A4612">
        <w:t xml:space="preserve">Number of respondents reflects a sample size assuming a </w:t>
      </w:r>
      <w:r w:rsidR="00754AF7">
        <w:t>75</w:t>
      </w:r>
      <w:r w:rsidRPr="00A5413E" w:rsidR="004A4612">
        <w:t>% response rate.</w:t>
      </w:r>
    </w:p>
    <w:p w:rsidR="009C61B8" w:rsidRDefault="009C61B8" w14:paraId="7F302D59" w14:textId="77777777"/>
    <w:p w:rsidR="009C61B8" w:rsidP="003600B8" w:rsidRDefault="009C61B8" w14:paraId="7648B287" w14:textId="68A4EAB9">
      <w:pPr>
        <w:pStyle w:val="BodyText"/>
      </w:pPr>
      <w:r w:rsidRPr="00B6114A">
        <w:t>Exhibit 2, below, presents the estimated annualized cost burden associated with the respondents’ time to participate in this research. The total cost burden is estimated to be about $</w:t>
      </w:r>
      <w:r w:rsidR="006E7C65">
        <w:t>72,145.62</w:t>
      </w:r>
      <w:r w:rsidRPr="00B6114A">
        <w:t xml:space="preserve">. </w:t>
      </w:r>
    </w:p>
    <w:p w:rsidR="00E71AD7" w:rsidRDefault="00E71AD7" w14:paraId="441B3174" w14:textId="77777777">
      <w:r>
        <w:br w:type="page"/>
      </w:r>
    </w:p>
    <w:p w:rsidRPr="00A5413E" w:rsidR="004A4612" w:rsidP="00D439C9" w:rsidRDefault="009C61B8" w14:paraId="384F26C5" w14:textId="4938966F">
      <w:pPr>
        <w:pStyle w:val="Caption"/>
      </w:pPr>
      <w:r w:rsidRPr="00B6114A">
        <w:t>Exhibit 2. Estimated annualized cost burden</w:t>
      </w: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685"/>
        <w:gridCol w:w="1530"/>
        <w:gridCol w:w="1350"/>
        <w:gridCol w:w="1350"/>
        <w:gridCol w:w="1440"/>
      </w:tblGrid>
      <w:tr w:rsidRPr="00A5413E" w:rsidR="00E71AD7" w:rsidTr="00D439C9" w14:paraId="02A5531E" w14:textId="77777777">
        <w:trPr>
          <w:trHeight w:val="360"/>
        </w:trPr>
        <w:tc>
          <w:tcPr>
            <w:tcW w:w="3685" w:type="dxa"/>
            <w:tcBorders>
              <w:top w:val="single" w:color="auto" w:sz="12" w:space="0"/>
            </w:tcBorders>
            <w:shd w:val="clear" w:color="auto" w:fill="auto"/>
            <w:tcMar>
              <w:top w:w="0" w:type="dxa"/>
              <w:left w:w="108" w:type="dxa"/>
              <w:bottom w:w="0" w:type="dxa"/>
              <w:right w:w="108" w:type="dxa"/>
            </w:tcMar>
            <w:vAlign w:val="bottom"/>
          </w:tcPr>
          <w:p w:rsidRPr="00A5413E" w:rsidR="00E71AD7" w:rsidP="00D439C9" w:rsidRDefault="00E71AD7" w14:paraId="7DABDD62" w14:textId="77777777">
            <w:pPr>
              <w:rPr>
                <w:b/>
              </w:rPr>
            </w:pPr>
            <w:r w:rsidRPr="00A5413E">
              <w:rPr>
                <w:b/>
              </w:rPr>
              <w:t>Data Collection Method or Project Activity</w:t>
            </w:r>
          </w:p>
        </w:tc>
        <w:tc>
          <w:tcPr>
            <w:tcW w:w="1530" w:type="dxa"/>
            <w:tcBorders>
              <w:top w:val="single" w:color="auto" w:sz="12" w:space="0"/>
            </w:tcBorders>
            <w:shd w:val="clear" w:color="auto" w:fill="auto"/>
            <w:tcMar>
              <w:top w:w="0" w:type="dxa"/>
              <w:left w:w="108" w:type="dxa"/>
              <w:bottom w:w="0" w:type="dxa"/>
              <w:right w:w="108" w:type="dxa"/>
            </w:tcMar>
            <w:vAlign w:val="bottom"/>
          </w:tcPr>
          <w:p w:rsidRPr="00A5413E" w:rsidR="00E71AD7" w:rsidP="00D439C9" w:rsidRDefault="00E71AD7" w14:paraId="455904CB" w14:textId="77777777">
            <w:pPr>
              <w:jc w:val="center"/>
              <w:rPr>
                <w:b/>
              </w:rPr>
            </w:pPr>
            <w:r w:rsidRPr="00A5413E">
              <w:rPr>
                <w:b/>
                <w:color w:val="000000"/>
              </w:rPr>
              <w:t>Number of respondents</w:t>
            </w:r>
          </w:p>
        </w:tc>
        <w:tc>
          <w:tcPr>
            <w:tcW w:w="1350" w:type="dxa"/>
            <w:tcBorders>
              <w:top w:val="single" w:color="auto" w:sz="12" w:space="0"/>
            </w:tcBorders>
            <w:shd w:val="clear" w:color="auto" w:fill="auto"/>
            <w:tcMar>
              <w:top w:w="0" w:type="dxa"/>
              <w:left w:w="108" w:type="dxa"/>
              <w:bottom w:w="0" w:type="dxa"/>
              <w:right w:w="108" w:type="dxa"/>
            </w:tcMar>
            <w:vAlign w:val="bottom"/>
          </w:tcPr>
          <w:p w:rsidRPr="00A5413E" w:rsidR="00E71AD7" w:rsidP="00D439C9" w:rsidRDefault="00E71AD7" w14:paraId="0319B3E5" w14:textId="77777777">
            <w:pPr>
              <w:jc w:val="center"/>
              <w:rPr>
                <w:b/>
              </w:rPr>
            </w:pPr>
            <w:r w:rsidRPr="00A5413E">
              <w:rPr>
                <w:b/>
                <w:color w:val="000000"/>
              </w:rPr>
              <w:t>Total burden hours</w:t>
            </w:r>
          </w:p>
        </w:tc>
        <w:tc>
          <w:tcPr>
            <w:tcW w:w="1350" w:type="dxa"/>
            <w:tcBorders>
              <w:top w:val="single" w:color="auto" w:sz="12" w:space="0"/>
            </w:tcBorders>
            <w:shd w:val="clear" w:color="auto" w:fill="auto"/>
            <w:tcMar>
              <w:top w:w="0" w:type="dxa"/>
              <w:left w:w="108" w:type="dxa"/>
              <w:bottom w:w="0" w:type="dxa"/>
              <w:right w:w="108" w:type="dxa"/>
            </w:tcMar>
            <w:vAlign w:val="bottom"/>
          </w:tcPr>
          <w:p w:rsidRPr="00A5413E" w:rsidR="00E71AD7" w:rsidP="00D439C9" w:rsidRDefault="00E71AD7" w14:paraId="0C170AFF" w14:textId="77777777">
            <w:pPr>
              <w:jc w:val="center"/>
              <w:rPr>
                <w:b/>
              </w:rPr>
            </w:pPr>
            <w:r w:rsidRPr="00A5413E">
              <w:rPr>
                <w:b/>
                <w:color w:val="000000"/>
              </w:rPr>
              <w:t>Average hourly wage rate*</w:t>
            </w:r>
          </w:p>
        </w:tc>
        <w:tc>
          <w:tcPr>
            <w:tcW w:w="1440" w:type="dxa"/>
            <w:tcBorders>
              <w:top w:val="single" w:color="auto" w:sz="12" w:space="0"/>
            </w:tcBorders>
            <w:shd w:val="clear" w:color="auto" w:fill="auto"/>
            <w:tcMar>
              <w:top w:w="0" w:type="dxa"/>
              <w:left w:w="108" w:type="dxa"/>
              <w:bottom w:w="0" w:type="dxa"/>
              <w:right w:w="108" w:type="dxa"/>
            </w:tcMar>
            <w:vAlign w:val="bottom"/>
          </w:tcPr>
          <w:p w:rsidRPr="00A5413E" w:rsidR="00E71AD7" w:rsidP="00D439C9" w:rsidRDefault="00E71AD7" w14:paraId="6B0D91F5" w14:textId="77777777">
            <w:pPr>
              <w:jc w:val="center"/>
              <w:rPr>
                <w:b/>
              </w:rPr>
            </w:pPr>
            <w:r w:rsidRPr="00A5413E">
              <w:rPr>
                <w:b/>
                <w:color w:val="000000"/>
              </w:rPr>
              <w:t>Total cost burden</w:t>
            </w:r>
          </w:p>
        </w:tc>
      </w:tr>
      <w:tr w:rsidRPr="00A5413E" w:rsidR="00E71AD7" w:rsidTr="00D439C9" w14:paraId="6ED43E40" w14:textId="77777777">
        <w:trPr>
          <w:trHeight w:val="360"/>
        </w:trPr>
        <w:tc>
          <w:tcPr>
            <w:tcW w:w="3685" w:type="dxa"/>
            <w:shd w:val="clear" w:color="auto" w:fill="auto"/>
            <w:tcMar>
              <w:top w:w="0" w:type="dxa"/>
              <w:left w:w="108" w:type="dxa"/>
              <w:bottom w:w="0" w:type="dxa"/>
              <w:right w:w="108" w:type="dxa"/>
            </w:tcMar>
            <w:vAlign w:val="center"/>
          </w:tcPr>
          <w:p w:rsidRPr="00A5413E" w:rsidR="00E71AD7" w:rsidP="001C68DD" w:rsidRDefault="00D439C9" w14:paraId="1B72587A" w14:textId="1CCAE5C8">
            <w:pPr>
              <w:ind w:left="517" w:hanging="517"/>
            </w:pPr>
            <w:r>
              <w:t>1.</w:t>
            </w:r>
            <w:r>
              <w:tab/>
            </w:r>
            <w:r w:rsidR="00E71AD7">
              <w:t>Web-Based Provider Survey</w:t>
            </w:r>
            <w:r w:rsidRPr="008D6B60" w:rsidR="00E71AD7">
              <w:rPr>
                <w:vertAlign w:val="superscript"/>
              </w:rPr>
              <w:t>1</w:t>
            </w:r>
          </w:p>
        </w:tc>
        <w:tc>
          <w:tcPr>
            <w:tcW w:w="1530" w:type="dxa"/>
            <w:shd w:val="clear" w:color="auto" w:fill="auto"/>
            <w:tcMar>
              <w:top w:w="0" w:type="dxa"/>
              <w:left w:w="108" w:type="dxa"/>
              <w:bottom w:w="0" w:type="dxa"/>
              <w:right w:w="108" w:type="dxa"/>
            </w:tcMar>
            <w:vAlign w:val="center"/>
          </w:tcPr>
          <w:p w:rsidRPr="00A5413E" w:rsidR="00E71AD7" w:rsidP="00D439C9" w:rsidRDefault="00E71AD7" w14:paraId="0CB90B1B" w14:textId="77777777">
            <w:pPr>
              <w:jc w:val="center"/>
            </w:pPr>
            <w:r>
              <w:t>1500</w:t>
            </w:r>
          </w:p>
        </w:tc>
        <w:tc>
          <w:tcPr>
            <w:tcW w:w="1350" w:type="dxa"/>
            <w:shd w:val="clear" w:color="auto" w:fill="auto"/>
            <w:tcMar>
              <w:top w:w="0" w:type="dxa"/>
              <w:left w:w="108" w:type="dxa"/>
              <w:bottom w:w="0" w:type="dxa"/>
              <w:right w:w="108" w:type="dxa"/>
            </w:tcMar>
            <w:vAlign w:val="center"/>
          </w:tcPr>
          <w:p w:rsidRPr="00A5413E" w:rsidR="00E71AD7" w:rsidP="00D439C9" w:rsidRDefault="00E71AD7" w14:paraId="31EBB991" w14:textId="77777777">
            <w:pPr>
              <w:jc w:val="center"/>
            </w:pPr>
            <w:r>
              <w:t>375</w:t>
            </w:r>
          </w:p>
        </w:tc>
        <w:tc>
          <w:tcPr>
            <w:tcW w:w="1350" w:type="dxa"/>
            <w:shd w:val="clear" w:color="auto" w:fill="auto"/>
            <w:tcMar>
              <w:top w:w="0" w:type="dxa"/>
              <w:left w:w="108" w:type="dxa"/>
              <w:bottom w:w="0" w:type="dxa"/>
              <w:right w:w="108" w:type="dxa"/>
            </w:tcMar>
            <w:vAlign w:val="center"/>
          </w:tcPr>
          <w:p w:rsidRPr="00A5413E" w:rsidR="00E71AD7" w:rsidP="00D439C9" w:rsidRDefault="00E71AD7" w14:paraId="3B3AB057" w14:textId="2A18EFE3">
            <w:pPr>
              <w:jc w:val="center"/>
            </w:pPr>
            <w:r w:rsidRPr="00A5413E">
              <w:t>$</w:t>
            </w:r>
            <w:r>
              <w:t>101.82</w:t>
            </w:r>
          </w:p>
        </w:tc>
        <w:tc>
          <w:tcPr>
            <w:tcW w:w="1440" w:type="dxa"/>
            <w:shd w:val="clear" w:color="auto" w:fill="auto"/>
            <w:tcMar>
              <w:top w:w="0" w:type="dxa"/>
              <w:left w:w="108" w:type="dxa"/>
              <w:bottom w:w="0" w:type="dxa"/>
              <w:right w:w="108" w:type="dxa"/>
            </w:tcMar>
            <w:vAlign w:val="center"/>
          </w:tcPr>
          <w:p w:rsidRPr="00A5413E" w:rsidR="00E71AD7" w:rsidP="00D439C9" w:rsidRDefault="00E71AD7" w14:paraId="558BCA14" w14:textId="49F77BFA">
            <w:pPr>
              <w:jc w:val="center"/>
            </w:pPr>
            <w:r w:rsidRPr="00CF35E7">
              <w:t>$</w:t>
            </w:r>
            <w:r>
              <w:t>38,182.50</w:t>
            </w:r>
          </w:p>
        </w:tc>
      </w:tr>
      <w:tr w:rsidRPr="00A5413E" w:rsidR="00E71AD7" w:rsidTr="00D439C9" w14:paraId="344FB741" w14:textId="77777777">
        <w:trPr>
          <w:trHeight w:val="360"/>
        </w:trPr>
        <w:tc>
          <w:tcPr>
            <w:tcW w:w="3685" w:type="dxa"/>
            <w:shd w:val="clear" w:color="auto" w:fill="auto"/>
            <w:tcMar>
              <w:top w:w="0" w:type="dxa"/>
              <w:left w:w="108" w:type="dxa"/>
              <w:bottom w:w="0" w:type="dxa"/>
              <w:right w:w="108" w:type="dxa"/>
            </w:tcMar>
            <w:vAlign w:val="center"/>
          </w:tcPr>
          <w:p w:rsidRPr="00A5413E" w:rsidR="00E71AD7" w:rsidP="001C68DD" w:rsidRDefault="001C68DD" w14:paraId="20A8BA65" w14:textId="5D1B6E95">
            <w:pPr>
              <w:ind w:left="517" w:hanging="517"/>
            </w:pPr>
            <w:r>
              <w:t>2a.</w:t>
            </w:r>
            <w:r w:rsidRPr="00A5413E" w:rsidR="00E71AD7">
              <w:t xml:space="preserve"> </w:t>
            </w:r>
            <w:r w:rsidR="00D439C9">
              <w:tab/>
            </w:r>
            <w:r w:rsidR="00E71AD7">
              <w:t xml:space="preserve">Learning Collaborative </w:t>
            </w:r>
            <w:r w:rsidRPr="00A5413E" w:rsidR="00E71AD7">
              <w:t>Clinical Staff Survey</w:t>
            </w:r>
            <w:r w:rsidRPr="008D6B60" w:rsidR="00E71AD7">
              <w:rPr>
                <w:vertAlign w:val="superscript"/>
              </w:rPr>
              <w:t>2</w:t>
            </w:r>
          </w:p>
        </w:tc>
        <w:tc>
          <w:tcPr>
            <w:tcW w:w="1530" w:type="dxa"/>
            <w:shd w:val="clear" w:color="auto" w:fill="auto"/>
            <w:tcMar>
              <w:top w:w="0" w:type="dxa"/>
              <w:left w:w="108" w:type="dxa"/>
              <w:bottom w:w="0" w:type="dxa"/>
              <w:right w:w="108" w:type="dxa"/>
            </w:tcMar>
            <w:vAlign w:val="center"/>
          </w:tcPr>
          <w:p w:rsidRPr="00A5413E" w:rsidR="00E71AD7" w:rsidP="00D439C9" w:rsidRDefault="00E71AD7" w14:paraId="04036BEB" w14:textId="77777777">
            <w:pPr>
              <w:jc w:val="center"/>
            </w:pPr>
            <w:r>
              <w:t>360</w:t>
            </w:r>
          </w:p>
        </w:tc>
        <w:tc>
          <w:tcPr>
            <w:tcW w:w="1350" w:type="dxa"/>
            <w:shd w:val="clear" w:color="auto" w:fill="auto"/>
            <w:tcMar>
              <w:top w:w="0" w:type="dxa"/>
              <w:left w:w="108" w:type="dxa"/>
              <w:bottom w:w="0" w:type="dxa"/>
              <w:right w:w="108" w:type="dxa"/>
            </w:tcMar>
            <w:vAlign w:val="center"/>
          </w:tcPr>
          <w:p w:rsidRPr="00A5413E" w:rsidR="00E71AD7" w:rsidP="00D439C9" w:rsidRDefault="00E71AD7" w14:paraId="124FC4D4" w14:textId="77777777">
            <w:pPr>
              <w:jc w:val="center"/>
            </w:pPr>
            <w:r>
              <w:t>240</w:t>
            </w:r>
          </w:p>
        </w:tc>
        <w:tc>
          <w:tcPr>
            <w:tcW w:w="1350" w:type="dxa"/>
            <w:shd w:val="clear" w:color="auto" w:fill="auto"/>
            <w:tcMar>
              <w:top w:w="0" w:type="dxa"/>
              <w:left w:w="108" w:type="dxa"/>
              <w:bottom w:w="0" w:type="dxa"/>
              <w:right w:w="108" w:type="dxa"/>
            </w:tcMar>
            <w:vAlign w:val="center"/>
          </w:tcPr>
          <w:p w:rsidRPr="00A5413E" w:rsidR="00E71AD7" w:rsidP="00D439C9" w:rsidRDefault="00E71AD7" w14:paraId="193EC42C" w14:textId="77777777">
            <w:pPr>
              <w:jc w:val="center"/>
            </w:pPr>
            <w:r w:rsidRPr="00A5413E">
              <w:t>$</w:t>
            </w:r>
            <w:r>
              <w:rPr>
                <w:color w:val="000000"/>
              </w:rPr>
              <w:t>39.42</w:t>
            </w:r>
          </w:p>
        </w:tc>
        <w:tc>
          <w:tcPr>
            <w:tcW w:w="1440" w:type="dxa"/>
            <w:shd w:val="clear" w:color="auto" w:fill="auto"/>
            <w:tcMar>
              <w:top w:w="0" w:type="dxa"/>
              <w:left w:w="108" w:type="dxa"/>
              <w:bottom w:w="0" w:type="dxa"/>
              <w:right w:w="108" w:type="dxa"/>
            </w:tcMar>
            <w:vAlign w:val="center"/>
          </w:tcPr>
          <w:p w:rsidRPr="00A5413E" w:rsidR="00E71AD7" w:rsidP="00D439C9" w:rsidRDefault="00E71AD7" w14:paraId="17F88695" w14:textId="46C705D8">
            <w:pPr>
              <w:jc w:val="center"/>
            </w:pPr>
            <w:r w:rsidRPr="00CF35E7">
              <w:t>$</w:t>
            </w:r>
            <w:r w:rsidR="00EE2FD9">
              <w:t>9,460.80</w:t>
            </w:r>
          </w:p>
        </w:tc>
      </w:tr>
      <w:tr w:rsidRPr="00A5413E" w:rsidR="00E71AD7" w:rsidTr="00D439C9" w14:paraId="7FC587FB" w14:textId="77777777">
        <w:trPr>
          <w:trHeight w:val="360"/>
        </w:trPr>
        <w:tc>
          <w:tcPr>
            <w:tcW w:w="3685" w:type="dxa"/>
            <w:shd w:val="clear" w:color="auto" w:fill="auto"/>
            <w:tcMar>
              <w:top w:w="0" w:type="dxa"/>
              <w:left w:w="108" w:type="dxa"/>
              <w:bottom w:w="0" w:type="dxa"/>
              <w:right w:w="108" w:type="dxa"/>
            </w:tcMar>
            <w:vAlign w:val="center"/>
          </w:tcPr>
          <w:p w:rsidR="00E71AD7" w:rsidP="001C68DD" w:rsidRDefault="001C68DD" w14:paraId="71360A22" w14:textId="6BE42E97">
            <w:pPr>
              <w:ind w:left="517" w:hanging="517"/>
              <w:rPr>
                <w:bCs/>
                <w:color w:val="000000"/>
              </w:rPr>
            </w:pPr>
            <w:r>
              <w:t>2bi</w:t>
            </w:r>
            <w:r w:rsidRPr="00A5413E" w:rsidR="00E71AD7">
              <w:t xml:space="preserve">. </w:t>
            </w:r>
            <w:r w:rsidR="00D439C9">
              <w:tab/>
            </w:r>
            <w:r w:rsidR="00E71AD7">
              <w:t xml:space="preserve">Learning Collaborative QI Champion </w:t>
            </w:r>
            <w:r w:rsidRPr="00A5413E" w:rsidR="00E71AD7">
              <w:t>Interview</w:t>
            </w:r>
            <w:r w:rsidR="0020313A">
              <w:rPr>
                <w:vertAlign w:val="superscript"/>
              </w:rPr>
              <w:t>3</w:t>
            </w:r>
            <w:r w:rsidRPr="00A5413E" w:rsidR="00E71AD7">
              <w:t xml:space="preserve"> </w:t>
            </w:r>
          </w:p>
        </w:tc>
        <w:tc>
          <w:tcPr>
            <w:tcW w:w="1530" w:type="dxa"/>
            <w:shd w:val="clear" w:color="auto" w:fill="auto"/>
            <w:tcMar>
              <w:top w:w="0" w:type="dxa"/>
              <w:left w:w="108" w:type="dxa"/>
              <w:bottom w:w="0" w:type="dxa"/>
              <w:right w:w="108" w:type="dxa"/>
            </w:tcMar>
            <w:vAlign w:val="center"/>
          </w:tcPr>
          <w:p w:rsidR="00E71AD7" w:rsidP="00D439C9" w:rsidRDefault="00E71AD7" w14:paraId="412FAC2B" w14:textId="77777777">
            <w:pPr>
              <w:jc w:val="center"/>
            </w:pPr>
            <w:r>
              <w:t>24</w:t>
            </w:r>
          </w:p>
        </w:tc>
        <w:tc>
          <w:tcPr>
            <w:tcW w:w="1350" w:type="dxa"/>
            <w:shd w:val="clear" w:color="auto" w:fill="auto"/>
            <w:tcMar>
              <w:top w:w="0" w:type="dxa"/>
              <w:left w:w="108" w:type="dxa"/>
              <w:bottom w:w="0" w:type="dxa"/>
              <w:right w:w="108" w:type="dxa"/>
            </w:tcMar>
            <w:vAlign w:val="center"/>
          </w:tcPr>
          <w:p w:rsidR="00E71AD7" w:rsidP="00D439C9" w:rsidRDefault="0020313A" w14:paraId="5CECC429" w14:textId="52CBA4B4">
            <w:pPr>
              <w:jc w:val="center"/>
            </w:pPr>
            <w:r>
              <w:t>36</w:t>
            </w:r>
          </w:p>
        </w:tc>
        <w:tc>
          <w:tcPr>
            <w:tcW w:w="1350" w:type="dxa"/>
            <w:shd w:val="clear" w:color="auto" w:fill="auto"/>
            <w:tcMar>
              <w:top w:w="0" w:type="dxa"/>
              <w:left w:w="108" w:type="dxa"/>
              <w:bottom w:w="0" w:type="dxa"/>
              <w:right w:w="108" w:type="dxa"/>
            </w:tcMar>
            <w:vAlign w:val="center"/>
          </w:tcPr>
          <w:p w:rsidRPr="00A5413E" w:rsidR="00E71AD7" w:rsidP="00D439C9" w:rsidRDefault="00E71AD7" w14:paraId="022E513C" w14:textId="77777777">
            <w:pPr>
              <w:jc w:val="center"/>
            </w:pPr>
            <w:r w:rsidRPr="00A5413E">
              <w:t>$</w:t>
            </w:r>
            <w:r>
              <w:t>54.68</w:t>
            </w:r>
          </w:p>
        </w:tc>
        <w:tc>
          <w:tcPr>
            <w:tcW w:w="1440" w:type="dxa"/>
            <w:shd w:val="clear" w:color="auto" w:fill="auto"/>
            <w:tcMar>
              <w:top w:w="0" w:type="dxa"/>
              <w:left w:w="108" w:type="dxa"/>
              <w:bottom w:w="0" w:type="dxa"/>
              <w:right w:w="108" w:type="dxa"/>
            </w:tcMar>
            <w:vAlign w:val="center"/>
          </w:tcPr>
          <w:p w:rsidRPr="00A5413E" w:rsidR="00E71AD7" w:rsidP="00277D62" w:rsidRDefault="00E71AD7" w14:paraId="45EF1355" w14:textId="0B54A47E">
            <w:pPr>
              <w:jc w:val="center"/>
            </w:pPr>
            <w:r w:rsidRPr="00CF35E7">
              <w:t>$</w:t>
            </w:r>
            <w:r w:rsidR="0020313A">
              <w:t>1,968.48</w:t>
            </w:r>
          </w:p>
        </w:tc>
      </w:tr>
      <w:tr w:rsidRPr="00A5413E" w:rsidR="00E71AD7" w:rsidTr="00D439C9" w14:paraId="4AD88F64" w14:textId="77777777">
        <w:trPr>
          <w:trHeight w:val="360"/>
        </w:trPr>
        <w:tc>
          <w:tcPr>
            <w:tcW w:w="3685" w:type="dxa"/>
            <w:shd w:val="clear" w:color="auto" w:fill="auto"/>
            <w:tcMar>
              <w:top w:w="0" w:type="dxa"/>
              <w:left w:w="108" w:type="dxa"/>
              <w:bottom w:w="0" w:type="dxa"/>
              <w:right w:w="108" w:type="dxa"/>
            </w:tcMar>
            <w:vAlign w:val="center"/>
          </w:tcPr>
          <w:p w:rsidR="001C68DD" w:rsidP="001C68DD" w:rsidRDefault="001C68DD" w14:paraId="43A9D48E" w14:textId="654C1982">
            <w:pPr>
              <w:ind w:left="517" w:hanging="517"/>
              <w:rPr>
                <w:bCs/>
                <w:color w:val="000000"/>
              </w:rPr>
            </w:pPr>
            <w:r>
              <w:rPr>
                <w:bCs/>
                <w:color w:val="000000"/>
              </w:rPr>
              <w:t>2bii</w:t>
            </w:r>
            <w:r w:rsidRPr="00A5413E" w:rsidR="00E71AD7">
              <w:rPr>
                <w:bCs/>
                <w:color w:val="000000"/>
              </w:rPr>
              <w:t>.</w:t>
            </w:r>
            <w:r w:rsidR="00D439C9">
              <w:t xml:space="preserve"> </w:t>
            </w:r>
            <w:r w:rsidR="00E71AD7">
              <w:rPr>
                <w:bCs/>
                <w:color w:val="000000"/>
              </w:rPr>
              <w:t xml:space="preserve">Learning Collaborative Staff </w:t>
            </w:r>
            <w:r>
              <w:rPr>
                <w:bCs/>
                <w:color w:val="000000"/>
              </w:rPr>
              <w:t xml:space="preserve"> </w:t>
            </w:r>
          </w:p>
          <w:p w:rsidR="00E71AD7" w:rsidP="001C68DD" w:rsidRDefault="001C68DD" w14:paraId="57FEB2CD" w14:textId="2BDC4F91">
            <w:pPr>
              <w:ind w:left="517" w:hanging="517"/>
              <w:rPr>
                <w:bCs/>
                <w:color w:val="000000"/>
              </w:rPr>
            </w:pPr>
            <w:r>
              <w:rPr>
                <w:bCs/>
                <w:color w:val="000000"/>
              </w:rPr>
              <w:t xml:space="preserve">        </w:t>
            </w:r>
            <w:r w:rsidRPr="00A5413E" w:rsidR="00E71AD7">
              <w:rPr>
                <w:bCs/>
                <w:color w:val="000000"/>
              </w:rPr>
              <w:t>Interview</w:t>
            </w:r>
            <w:r w:rsidRPr="00277D62" w:rsidR="0020313A">
              <w:rPr>
                <w:bCs/>
                <w:color w:val="000000"/>
                <w:vertAlign w:val="superscript"/>
              </w:rPr>
              <w:t>4</w:t>
            </w:r>
            <w:r w:rsidRPr="00A5413E" w:rsidR="00E71AD7">
              <w:rPr>
                <w:bCs/>
                <w:color w:val="000000"/>
              </w:rPr>
              <w:t xml:space="preserve"> </w:t>
            </w:r>
          </w:p>
        </w:tc>
        <w:tc>
          <w:tcPr>
            <w:tcW w:w="1530" w:type="dxa"/>
            <w:shd w:val="clear" w:color="auto" w:fill="auto"/>
            <w:tcMar>
              <w:top w:w="0" w:type="dxa"/>
              <w:left w:w="108" w:type="dxa"/>
              <w:bottom w:w="0" w:type="dxa"/>
              <w:right w:w="108" w:type="dxa"/>
            </w:tcMar>
            <w:vAlign w:val="center"/>
          </w:tcPr>
          <w:p w:rsidRPr="00A5413E" w:rsidR="00E71AD7" w:rsidP="00D439C9" w:rsidRDefault="00E71AD7" w14:paraId="611E3DCF" w14:textId="77777777">
            <w:pPr>
              <w:jc w:val="center"/>
            </w:pPr>
            <w:r>
              <w:t>48</w:t>
            </w:r>
          </w:p>
        </w:tc>
        <w:tc>
          <w:tcPr>
            <w:tcW w:w="1350" w:type="dxa"/>
            <w:shd w:val="clear" w:color="auto" w:fill="auto"/>
            <w:tcMar>
              <w:top w:w="0" w:type="dxa"/>
              <w:left w:w="108" w:type="dxa"/>
              <w:bottom w:w="0" w:type="dxa"/>
              <w:right w:w="108" w:type="dxa"/>
            </w:tcMar>
            <w:vAlign w:val="center"/>
          </w:tcPr>
          <w:p w:rsidRPr="00A5413E" w:rsidR="00E71AD7" w:rsidP="00D439C9" w:rsidRDefault="0020313A" w14:paraId="60361825" w14:textId="49372594">
            <w:pPr>
              <w:jc w:val="center"/>
            </w:pPr>
            <w:r>
              <w:t>48</w:t>
            </w:r>
          </w:p>
        </w:tc>
        <w:tc>
          <w:tcPr>
            <w:tcW w:w="1350" w:type="dxa"/>
            <w:shd w:val="clear" w:color="auto" w:fill="auto"/>
            <w:tcMar>
              <w:top w:w="0" w:type="dxa"/>
              <w:left w:w="108" w:type="dxa"/>
              <w:bottom w:w="0" w:type="dxa"/>
              <w:right w:w="108" w:type="dxa"/>
            </w:tcMar>
            <w:vAlign w:val="center"/>
          </w:tcPr>
          <w:p w:rsidRPr="00A5413E" w:rsidR="00E71AD7" w:rsidP="00D439C9" w:rsidRDefault="00E71AD7" w14:paraId="16493D81" w14:textId="77777777">
            <w:pPr>
              <w:jc w:val="center"/>
            </w:pPr>
            <w:r w:rsidRPr="00A5413E">
              <w:t>$</w:t>
            </w:r>
            <w:r>
              <w:rPr>
                <w:color w:val="000000"/>
              </w:rPr>
              <w:t>39.42</w:t>
            </w:r>
          </w:p>
        </w:tc>
        <w:tc>
          <w:tcPr>
            <w:tcW w:w="1440" w:type="dxa"/>
            <w:shd w:val="clear" w:color="auto" w:fill="auto"/>
            <w:tcMar>
              <w:top w:w="0" w:type="dxa"/>
              <w:left w:w="108" w:type="dxa"/>
              <w:bottom w:w="0" w:type="dxa"/>
              <w:right w:w="108" w:type="dxa"/>
            </w:tcMar>
            <w:vAlign w:val="center"/>
          </w:tcPr>
          <w:p w:rsidRPr="00A5413E" w:rsidR="00E71AD7" w:rsidP="00277D62" w:rsidRDefault="00E71AD7" w14:paraId="12C92D39" w14:textId="63A97442">
            <w:pPr>
              <w:jc w:val="center"/>
            </w:pPr>
            <w:r>
              <w:t>$</w:t>
            </w:r>
            <w:r w:rsidR="0020313A">
              <w:t>1,892.16</w:t>
            </w:r>
          </w:p>
        </w:tc>
      </w:tr>
      <w:tr w:rsidRPr="00A5413E" w:rsidR="00E71AD7" w:rsidTr="00D439C9" w14:paraId="666285BC" w14:textId="77777777">
        <w:trPr>
          <w:trHeight w:val="360"/>
        </w:trPr>
        <w:tc>
          <w:tcPr>
            <w:tcW w:w="3685" w:type="dxa"/>
            <w:shd w:val="clear" w:color="auto" w:fill="auto"/>
            <w:tcMar>
              <w:top w:w="0" w:type="dxa"/>
              <w:left w:w="108" w:type="dxa"/>
              <w:bottom w:w="0" w:type="dxa"/>
              <w:right w:w="108" w:type="dxa"/>
            </w:tcMar>
            <w:vAlign w:val="center"/>
          </w:tcPr>
          <w:p w:rsidRPr="00277D62" w:rsidR="00E71AD7" w:rsidP="001C68DD" w:rsidRDefault="001C68DD" w14:paraId="7101C531" w14:textId="3DE53921">
            <w:pPr>
              <w:ind w:left="517" w:hanging="517"/>
              <w:rPr>
                <w:bCs/>
                <w:color w:val="000000"/>
                <w:vertAlign w:val="superscript"/>
              </w:rPr>
            </w:pPr>
            <w:r>
              <w:rPr>
                <w:bCs/>
                <w:color w:val="000000"/>
              </w:rPr>
              <w:t>2c.</w:t>
            </w:r>
            <w:r>
              <w:t xml:space="preserve"> </w:t>
            </w:r>
            <w:r w:rsidR="00D439C9">
              <w:tab/>
            </w:r>
            <w:r w:rsidR="00E71AD7">
              <w:rPr>
                <w:bCs/>
                <w:color w:val="000000"/>
              </w:rPr>
              <w:t xml:space="preserve">Learning Collaborative </w:t>
            </w:r>
            <w:r>
              <w:rPr>
                <w:bCs/>
                <w:color w:val="000000"/>
              </w:rPr>
              <w:t xml:space="preserve"> </w:t>
            </w:r>
            <w:r w:rsidR="00E71AD7">
              <w:rPr>
                <w:bCs/>
                <w:color w:val="000000"/>
              </w:rPr>
              <w:t>Self-Assessment</w:t>
            </w:r>
            <w:r w:rsidR="0020313A">
              <w:rPr>
                <w:bCs/>
                <w:color w:val="000000"/>
                <w:vertAlign w:val="superscript"/>
              </w:rPr>
              <w:t>5</w:t>
            </w:r>
          </w:p>
        </w:tc>
        <w:tc>
          <w:tcPr>
            <w:tcW w:w="1530" w:type="dxa"/>
            <w:shd w:val="clear" w:color="auto" w:fill="auto"/>
            <w:tcMar>
              <w:top w:w="0" w:type="dxa"/>
              <w:left w:w="108" w:type="dxa"/>
              <w:bottom w:w="0" w:type="dxa"/>
              <w:right w:w="108" w:type="dxa"/>
            </w:tcMar>
            <w:vAlign w:val="center"/>
          </w:tcPr>
          <w:p w:rsidRPr="00A5413E" w:rsidR="00E71AD7" w:rsidP="00D439C9" w:rsidRDefault="00E71AD7" w14:paraId="6BF6EF25" w14:textId="77777777">
            <w:pPr>
              <w:jc w:val="center"/>
            </w:pPr>
            <w:r>
              <w:t>24</w:t>
            </w:r>
          </w:p>
        </w:tc>
        <w:tc>
          <w:tcPr>
            <w:tcW w:w="1350" w:type="dxa"/>
            <w:shd w:val="clear" w:color="auto" w:fill="auto"/>
            <w:tcMar>
              <w:top w:w="0" w:type="dxa"/>
              <w:left w:w="108" w:type="dxa"/>
              <w:bottom w:w="0" w:type="dxa"/>
              <w:right w:w="108" w:type="dxa"/>
            </w:tcMar>
            <w:vAlign w:val="center"/>
          </w:tcPr>
          <w:p w:rsidRPr="00A5413E" w:rsidR="00E71AD7" w:rsidP="00D439C9" w:rsidRDefault="00E71AD7" w14:paraId="7B415281" w14:textId="77777777">
            <w:pPr>
              <w:jc w:val="center"/>
            </w:pPr>
            <w:r>
              <w:t>6</w:t>
            </w:r>
          </w:p>
        </w:tc>
        <w:tc>
          <w:tcPr>
            <w:tcW w:w="1350" w:type="dxa"/>
            <w:shd w:val="clear" w:color="auto" w:fill="auto"/>
            <w:tcMar>
              <w:top w:w="0" w:type="dxa"/>
              <w:left w:w="108" w:type="dxa"/>
              <w:bottom w:w="0" w:type="dxa"/>
              <w:right w:w="108" w:type="dxa"/>
            </w:tcMar>
            <w:vAlign w:val="center"/>
          </w:tcPr>
          <w:p w:rsidRPr="00A5413E" w:rsidR="00E71AD7" w:rsidP="00D439C9" w:rsidRDefault="00E71AD7" w14:paraId="140706A4" w14:textId="77777777">
            <w:pPr>
              <w:jc w:val="center"/>
            </w:pPr>
            <w:r>
              <w:t>$54.68</w:t>
            </w:r>
          </w:p>
        </w:tc>
        <w:tc>
          <w:tcPr>
            <w:tcW w:w="1440" w:type="dxa"/>
            <w:shd w:val="clear" w:color="auto" w:fill="auto"/>
            <w:tcMar>
              <w:top w:w="0" w:type="dxa"/>
              <w:left w:w="108" w:type="dxa"/>
              <w:bottom w:w="0" w:type="dxa"/>
              <w:right w:w="108" w:type="dxa"/>
            </w:tcMar>
            <w:vAlign w:val="center"/>
          </w:tcPr>
          <w:p w:rsidRPr="00A5413E" w:rsidR="00E71AD7" w:rsidP="00D439C9" w:rsidRDefault="00E71AD7" w14:paraId="6C968B15" w14:textId="66041901">
            <w:pPr>
              <w:jc w:val="center"/>
            </w:pPr>
            <w:r>
              <w:t>$328.08</w:t>
            </w:r>
          </w:p>
        </w:tc>
      </w:tr>
      <w:tr w:rsidRPr="00A5413E" w:rsidR="00E71AD7" w:rsidTr="00D439C9" w14:paraId="1E46BB3F" w14:textId="77777777">
        <w:trPr>
          <w:trHeight w:val="360"/>
        </w:trPr>
        <w:tc>
          <w:tcPr>
            <w:tcW w:w="3685" w:type="dxa"/>
            <w:shd w:val="clear" w:color="auto" w:fill="auto"/>
            <w:tcMar>
              <w:top w:w="0" w:type="dxa"/>
              <w:left w:w="108" w:type="dxa"/>
              <w:bottom w:w="0" w:type="dxa"/>
              <w:right w:w="108" w:type="dxa"/>
            </w:tcMar>
            <w:vAlign w:val="center"/>
          </w:tcPr>
          <w:p w:rsidRPr="00277D62" w:rsidR="00E71AD7" w:rsidP="00277D62" w:rsidRDefault="001C68DD" w14:paraId="6CB166B8" w14:textId="54169A3F">
            <w:pPr>
              <w:ind w:left="517" w:hanging="517"/>
              <w:rPr>
                <w:bCs/>
                <w:color w:val="000000"/>
                <w:vertAlign w:val="superscript"/>
              </w:rPr>
            </w:pPr>
            <w:r>
              <w:rPr>
                <w:bCs/>
                <w:color w:val="000000"/>
              </w:rPr>
              <w:t>2di</w:t>
            </w:r>
            <w:r w:rsidR="00D439C9">
              <w:rPr>
                <w:bCs/>
                <w:color w:val="000000"/>
              </w:rPr>
              <w:t>.</w:t>
            </w:r>
            <w:r w:rsidR="00D439C9">
              <w:t xml:space="preserve"> </w:t>
            </w:r>
            <w:r w:rsidR="00D439C9">
              <w:tab/>
            </w:r>
            <w:r w:rsidR="000D7752">
              <w:t xml:space="preserve">Learning Collaborative </w:t>
            </w:r>
            <w:r w:rsidR="00E71AD7">
              <w:rPr>
                <w:bCs/>
                <w:color w:val="000000"/>
              </w:rPr>
              <w:t>QI Measures – develop system</w:t>
            </w:r>
            <w:r w:rsidR="0020313A">
              <w:rPr>
                <w:bCs/>
                <w:color w:val="000000"/>
                <w:vertAlign w:val="superscript"/>
              </w:rPr>
              <w:t>6</w:t>
            </w:r>
          </w:p>
        </w:tc>
        <w:tc>
          <w:tcPr>
            <w:tcW w:w="1530" w:type="dxa"/>
            <w:shd w:val="clear" w:color="auto" w:fill="auto"/>
            <w:tcMar>
              <w:top w:w="0" w:type="dxa"/>
              <w:left w:w="108" w:type="dxa"/>
              <w:bottom w:w="0" w:type="dxa"/>
              <w:right w:w="108" w:type="dxa"/>
            </w:tcMar>
            <w:vAlign w:val="center"/>
          </w:tcPr>
          <w:p w:rsidRPr="00CF35E7" w:rsidR="00E71AD7" w:rsidP="00D439C9" w:rsidRDefault="00E71AD7" w14:paraId="6CBE907C" w14:textId="77777777">
            <w:pPr>
              <w:jc w:val="center"/>
            </w:pPr>
            <w:r>
              <w:t>24</w:t>
            </w:r>
          </w:p>
        </w:tc>
        <w:tc>
          <w:tcPr>
            <w:tcW w:w="1350" w:type="dxa"/>
            <w:shd w:val="clear" w:color="auto" w:fill="auto"/>
            <w:tcMar>
              <w:top w:w="0" w:type="dxa"/>
              <w:left w:w="108" w:type="dxa"/>
              <w:bottom w:w="0" w:type="dxa"/>
              <w:right w:w="108" w:type="dxa"/>
            </w:tcMar>
            <w:vAlign w:val="center"/>
          </w:tcPr>
          <w:p w:rsidR="00E71AD7" w:rsidP="00D439C9" w:rsidRDefault="00E71AD7" w14:paraId="65B9D7C3" w14:textId="77777777">
            <w:pPr>
              <w:jc w:val="center"/>
            </w:pPr>
            <w:r>
              <w:t>480</w:t>
            </w:r>
          </w:p>
        </w:tc>
        <w:tc>
          <w:tcPr>
            <w:tcW w:w="1350" w:type="dxa"/>
            <w:shd w:val="clear" w:color="auto" w:fill="auto"/>
            <w:tcMar>
              <w:top w:w="0" w:type="dxa"/>
              <w:left w:w="108" w:type="dxa"/>
              <w:bottom w:w="0" w:type="dxa"/>
              <w:right w:w="108" w:type="dxa"/>
            </w:tcMar>
            <w:vAlign w:val="center"/>
          </w:tcPr>
          <w:p w:rsidR="00E71AD7" w:rsidP="00D439C9" w:rsidRDefault="00E71AD7" w14:paraId="25973147" w14:textId="77777777">
            <w:pPr>
              <w:jc w:val="center"/>
            </w:pPr>
            <w:r>
              <w:t>$21.16</w:t>
            </w:r>
          </w:p>
        </w:tc>
        <w:tc>
          <w:tcPr>
            <w:tcW w:w="1440" w:type="dxa"/>
            <w:shd w:val="clear" w:color="auto" w:fill="auto"/>
            <w:tcMar>
              <w:top w:w="0" w:type="dxa"/>
              <w:left w:w="108" w:type="dxa"/>
              <w:bottom w:w="0" w:type="dxa"/>
              <w:right w:w="108" w:type="dxa"/>
            </w:tcMar>
            <w:vAlign w:val="center"/>
          </w:tcPr>
          <w:p w:rsidRPr="00CF35E7" w:rsidR="00E71AD7" w:rsidP="00D439C9" w:rsidRDefault="00E71AD7" w14:paraId="344A37AD" w14:textId="464034D2">
            <w:pPr>
              <w:jc w:val="center"/>
            </w:pPr>
            <w:r>
              <w:t>$10,156.80</w:t>
            </w:r>
          </w:p>
        </w:tc>
      </w:tr>
      <w:tr w:rsidRPr="00A5413E" w:rsidR="00E71AD7" w:rsidTr="00D439C9" w14:paraId="25954506" w14:textId="77777777">
        <w:trPr>
          <w:trHeight w:val="360"/>
        </w:trPr>
        <w:tc>
          <w:tcPr>
            <w:tcW w:w="3685" w:type="dxa"/>
            <w:shd w:val="clear" w:color="auto" w:fill="auto"/>
            <w:tcMar>
              <w:top w:w="0" w:type="dxa"/>
              <w:left w:w="108" w:type="dxa"/>
              <w:bottom w:w="0" w:type="dxa"/>
              <w:right w:w="108" w:type="dxa"/>
            </w:tcMar>
            <w:vAlign w:val="center"/>
          </w:tcPr>
          <w:p w:rsidRPr="00277D62" w:rsidR="00E71AD7" w:rsidP="001C68DD" w:rsidRDefault="001C68DD" w14:paraId="1A8A19BC" w14:textId="0228469F">
            <w:pPr>
              <w:ind w:left="517" w:hanging="517"/>
              <w:rPr>
                <w:vertAlign w:val="superscript"/>
              </w:rPr>
            </w:pPr>
            <w:r>
              <w:rPr>
                <w:bCs/>
                <w:color w:val="000000"/>
              </w:rPr>
              <w:t>2dii</w:t>
            </w:r>
            <w:r w:rsidR="00E71AD7">
              <w:rPr>
                <w:bCs/>
                <w:color w:val="000000"/>
              </w:rPr>
              <w:t>.</w:t>
            </w:r>
            <w:r w:rsidR="00D439C9">
              <w:t xml:space="preserve"> </w:t>
            </w:r>
            <w:r w:rsidR="000D7752">
              <w:t xml:space="preserve">Learning Collaborative </w:t>
            </w:r>
            <w:r w:rsidR="00E71AD7">
              <w:rPr>
                <w:bCs/>
                <w:color w:val="000000"/>
              </w:rPr>
              <w:t>QI Measures – pull and submit</w:t>
            </w:r>
            <w:r w:rsidR="0020313A">
              <w:rPr>
                <w:bCs/>
                <w:color w:val="000000"/>
                <w:vertAlign w:val="superscript"/>
              </w:rPr>
              <w:t>7</w:t>
            </w:r>
          </w:p>
        </w:tc>
        <w:tc>
          <w:tcPr>
            <w:tcW w:w="1530" w:type="dxa"/>
            <w:shd w:val="clear" w:color="auto" w:fill="auto"/>
            <w:tcMar>
              <w:top w:w="0" w:type="dxa"/>
              <w:left w:w="108" w:type="dxa"/>
              <w:bottom w:w="0" w:type="dxa"/>
              <w:right w:w="108" w:type="dxa"/>
            </w:tcMar>
            <w:vAlign w:val="center"/>
          </w:tcPr>
          <w:p w:rsidR="00E71AD7" w:rsidP="00D439C9" w:rsidRDefault="00E71AD7" w14:paraId="3F09FD77" w14:textId="77777777">
            <w:pPr>
              <w:jc w:val="center"/>
            </w:pPr>
            <w:r>
              <w:t>24</w:t>
            </w:r>
          </w:p>
        </w:tc>
        <w:tc>
          <w:tcPr>
            <w:tcW w:w="1350" w:type="dxa"/>
            <w:shd w:val="clear" w:color="auto" w:fill="auto"/>
            <w:tcMar>
              <w:top w:w="0" w:type="dxa"/>
              <w:left w:w="108" w:type="dxa"/>
              <w:bottom w:w="0" w:type="dxa"/>
              <w:right w:w="108" w:type="dxa"/>
            </w:tcMar>
            <w:vAlign w:val="center"/>
          </w:tcPr>
          <w:p w:rsidR="00E71AD7" w:rsidP="00D439C9" w:rsidRDefault="0020313A" w14:paraId="7D4D9299" w14:textId="76DDEB7A">
            <w:pPr>
              <w:jc w:val="center"/>
            </w:pPr>
            <w:r>
              <w:t>480</w:t>
            </w:r>
          </w:p>
        </w:tc>
        <w:tc>
          <w:tcPr>
            <w:tcW w:w="1350" w:type="dxa"/>
            <w:shd w:val="clear" w:color="auto" w:fill="auto"/>
            <w:tcMar>
              <w:top w:w="0" w:type="dxa"/>
              <w:left w:w="108" w:type="dxa"/>
              <w:bottom w:w="0" w:type="dxa"/>
              <w:right w:w="108" w:type="dxa"/>
            </w:tcMar>
            <w:vAlign w:val="center"/>
          </w:tcPr>
          <w:p w:rsidRPr="00A5413E" w:rsidR="00E71AD7" w:rsidP="00D439C9" w:rsidRDefault="00E71AD7" w14:paraId="23FDE5A7" w14:textId="3200C9B9">
            <w:pPr>
              <w:jc w:val="center"/>
            </w:pPr>
            <w:r w:rsidRPr="00A5413E">
              <w:t>$</w:t>
            </w:r>
            <w:r>
              <w:t>21.16</w:t>
            </w:r>
          </w:p>
        </w:tc>
        <w:tc>
          <w:tcPr>
            <w:tcW w:w="1440" w:type="dxa"/>
            <w:shd w:val="clear" w:color="auto" w:fill="auto"/>
            <w:tcMar>
              <w:top w:w="0" w:type="dxa"/>
              <w:left w:w="108" w:type="dxa"/>
              <w:bottom w:w="0" w:type="dxa"/>
              <w:right w:w="108" w:type="dxa"/>
            </w:tcMar>
            <w:vAlign w:val="center"/>
          </w:tcPr>
          <w:p w:rsidRPr="00A5413E" w:rsidR="00E71AD7" w:rsidP="00277D62" w:rsidRDefault="00E71AD7" w14:paraId="5E600B10" w14:textId="3A9FAFEA">
            <w:pPr>
              <w:jc w:val="center"/>
            </w:pPr>
            <w:r>
              <w:t>$</w:t>
            </w:r>
            <w:r w:rsidR="0020313A">
              <w:t>10,156.80</w:t>
            </w:r>
          </w:p>
        </w:tc>
      </w:tr>
      <w:tr w:rsidRPr="00A8191C" w:rsidR="00E71AD7" w:rsidTr="00D439C9" w14:paraId="23024E70" w14:textId="77777777">
        <w:trPr>
          <w:trHeight w:val="360"/>
        </w:trPr>
        <w:tc>
          <w:tcPr>
            <w:tcW w:w="3685" w:type="dxa"/>
            <w:tcBorders>
              <w:top w:val="single" w:color="auto" w:sz="12" w:space="0"/>
            </w:tcBorders>
            <w:shd w:val="clear" w:color="auto" w:fill="auto"/>
            <w:tcMar>
              <w:top w:w="0" w:type="dxa"/>
              <w:left w:w="108" w:type="dxa"/>
              <w:bottom w:w="0" w:type="dxa"/>
              <w:right w:w="108" w:type="dxa"/>
            </w:tcMar>
            <w:vAlign w:val="center"/>
          </w:tcPr>
          <w:p w:rsidRPr="00A8191C" w:rsidR="00E71AD7" w:rsidP="00D439C9" w:rsidRDefault="00E71AD7" w14:paraId="7C384491" w14:textId="77777777">
            <w:pPr>
              <w:rPr>
                <w:b/>
              </w:rPr>
            </w:pPr>
            <w:r w:rsidRPr="00A8191C">
              <w:rPr>
                <w:b/>
                <w:bCs/>
                <w:color w:val="000000"/>
              </w:rPr>
              <w:t>Total</w:t>
            </w:r>
          </w:p>
        </w:tc>
        <w:tc>
          <w:tcPr>
            <w:tcW w:w="1530" w:type="dxa"/>
            <w:tcBorders>
              <w:top w:val="single" w:color="auto" w:sz="12" w:space="0"/>
            </w:tcBorders>
            <w:shd w:val="clear" w:color="auto" w:fill="auto"/>
            <w:tcMar>
              <w:top w:w="0" w:type="dxa"/>
              <w:left w:w="108" w:type="dxa"/>
              <w:bottom w:w="0" w:type="dxa"/>
              <w:right w:w="108" w:type="dxa"/>
            </w:tcMar>
            <w:vAlign w:val="center"/>
          </w:tcPr>
          <w:p w:rsidRPr="00A8191C" w:rsidR="00E71AD7" w:rsidP="000F3DC9" w:rsidRDefault="000F3DC9" w14:paraId="15AB6045" w14:textId="416711C1">
            <w:pPr>
              <w:jc w:val="center"/>
              <w:rPr>
                <w:b/>
              </w:rPr>
            </w:pPr>
            <w:r w:rsidRPr="00A8191C">
              <w:rPr>
                <w:b/>
              </w:rPr>
              <w:t>20</w:t>
            </w:r>
            <w:r>
              <w:rPr>
                <w:b/>
              </w:rPr>
              <w:t>28</w:t>
            </w:r>
          </w:p>
        </w:tc>
        <w:tc>
          <w:tcPr>
            <w:tcW w:w="1350" w:type="dxa"/>
            <w:tcBorders>
              <w:top w:val="single" w:color="auto" w:sz="12" w:space="0"/>
            </w:tcBorders>
            <w:shd w:val="clear" w:color="auto" w:fill="auto"/>
            <w:tcMar>
              <w:top w:w="0" w:type="dxa"/>
              <w:left w:w="108" w:type="dxa"/>
              <w:bottom w:w="0" w:type="dxa"/>
              <w:right w:w="108" w:type="dxa"/>
            </w:tcMar>
            <w:vAlign w:val="center"/>
          </w:tcPr>
          <w:p w:rsidRPr="00A8191C" w:rsidR="00E71AD7" w:rsidP="000F3DC9" w:rsidRDefault="00977FF8" w14:paraId="6A98F8A0" w14:textId="4E995E62">
            <w:pPr>
              <w:jc w:val="center"/>
              <w:rPr>
                <w:b/>
              </w:rPr>
            </w:pPr>
            <w:r w:rsidRPr="00A8191C">
              <w:rPr>
                <w:b/>
              </w:rPr>
              <w:t>19</w:t>
            </w:r>
            <w:r w:rsidR="000F3DC9">
              <w:rPr>
                <w:b/>
              </w:rPr>
              <w:t>17</w:t>
            </w:r>
          </w:p>
        </w:tc>
        <w:tc>
          <w:tcPr>
            <w:tcW w:w="1350" w:type="dxa"/>
            <w:tcBorders>
              <w:top w:val="single" w:color="auto" w:sz="12" w:space="0"/>
            </w:tcBorders>
            <w:shd w:val="clear" w:color="auto" w:fill="auto"/>
            <w:tcMar>
              <w:top w:w="0" w:type="dxa"/>
              <w:left w:w="108" w:type="dxa"/>
              <w:bottom w:w="0" w:type="dxa"/>
              <w:right w:w="108" w:type="dxa"/>
            </w:tcMar>
            <w:vAlign w:val="center"/>
          </w:tcPr>
          <w:p w:rsidRPr="00A8191C" w:rsidR="00E71AD7" w:rsidP="00D439C9" w:rsidRDefault="00977FF8" w14:paraId="09870FDC" w14:textId="7FBF77CC">
            <w:pPr>
              <w:jc w:val="center"/>
              <w:rPr>
                <w:b/>
              </w:rPr>
            </w:pPr>
            <w:r w:rsidRPr="00A8191C">
              <w:rPr>
                <w:b/>
              </w:rPr>
              <w:t>n/a</w:t>
            </w:r>
          </w:p>
        </w:tc>
        <w:tc>
          <w:tcPr>
            <w:tcW w:w="1440" w:type="dxa"/>
            <w:tcBorders>
              <w:top w:val="single" w:color="auto" w:sz="12" w:space="0"/>
            </w:tcBorders>
            <w:shd w:val="clear" w:color="auto" w:fill="auto"/>
            <w:tcMar>
              <w:top w:w="0" w:type="dxa"/>
              <w:left w:w="108" w:type="dxa"/>
              <w:bottom w:w="0" w:type="dxa"/>
              <w:right w:w="108" w:type="dxa"/>
            </w:tcMar>
            <w:vAlign w:val="center"/>
          </w:tcPr>
          <w:p w:rsidRPr="00A8191C" w:rsidR="00E71AD7" w:rsidP="00277D62" w:rsidRDefault="00E71AD7" w14:paraId="1D781675" w14:textId="7147B1D1">
            <w:pPr>
              <w:jc w:val="center"/>
              <w:rPr>
                <w:b/>
              </w:rPr>
            </w:pPr>
            <w:r w:rsidRPr="00A8191C">
              <w:rPr>
                <w:b/>
              </w:rPr>
              <w:t>$</w:t>
            </w:r>
            <w:r w:rsidR="0020313A">
              <w:rPr>
                <w:b/>
              </w:rPr>
              <w:t>72,145.62</w:t>
            </w:r>
          </w:p>
        </w:tc>
      </w:tr>
    </w:tbl>
    <w:p w:rsidRPr="00A5413E" w:rsidR="00854544" w:rsidP="003600B8" w:rsidRDefault="00854544" w14:paraId="1E177D46" w14:textId="77777777">
      <w:pPr>
        <w:pStyle w:val="BodyText"/>
        <w:rPr>
          <w:b/>
          <w:bCs/>
        </w:rPr>
      </w:pPr>
      <w:r w:rsidRPr="00A5413E">
        <w:t>Mean hourly wage rates for these groups of occupations were obtained from the Bureau of Labor &amp; Statistics on “Occupational Employment and Wages, May 201</w:t>
      </w:r>
      <w:r>
        <w:t>8</w:t>
      </w:r>
      <w:r w:rsidRPr="00A5413E">
        <w:t xml:space="preserve">” found at the following URL: </w:t>
      </w:r>
      <w:hyperlink w:history="1" w:anchor="b29-0000.htm" r:id="rId13">
        <w:r w:rsidRPr="00A5413E">
          <w:rPr>
            <w:color w:val="0000FF"/>
            <w:u w:val="single"/>
          </w:rPr>
          <w:t>http://www.bls.gov/oes/current/oes_nat.htm#b29-0000.htm</w:t>
        </w:r>
      </w:hyperlink>
    </w:p>
    <w:p w:rsidRPr="00E81C4F" w:rsidR="00E81C4F" w:rsidP="00277D62" w:rsidRDefault="00277D62" w14:paraId="08680C96" w14:textId="7F0364B0">
      <w:pPr>
        <w:pStyle w:val="ListParagraph"/>
        <w:tabs>
          <w:tab w:val="left" w:pos="180"/>
        </w:tabs>
        <w:spacing w:after="120"/>
        <w:ind w:left="0"/>
        <w:contextualSpacing w:val="0"/>
        <w:rPr>
          <w:rFonts w:ascii="Times New Roman" w:hAnsi="Times New Roman" w:cs="Times New Roman"/>
          <w:color w:val="000000"/>
        </w:rPr>
      </w:pPr>
      <w:r>
        <w:rPr>
          <w:rFonts w:ascii="Times New Roman" w:hAnsi="Times New Roman" w:cs="Times New Roman"/>
          <w:color w:val="000000"/>
          <w:vertAlign w:val="superscript"/>
        </w:rPr>
        <w:t>1</w:t>
      </w:r>
      <w:r w:rsidRPr="00E81C4F" w:rsidR="004A4612">
        <w:rPr>
          <w:rFonts w:ascii="Times New Roman" w:hAnsi="Times New Roman" w:cs="Times New Roman"/>
          <w:color w:val="000000"/>
        </w:rPr>
        <w:t>The average hourly rate of $</w:t>
      </w:r>
      <w:r w:rsidR="00FA36A8">
        <w:rPr>
          <w:rFonts w:ascii="Times New Roman" w:hAnsi="Times New Roman" w:cs="Times New Roman"/>
          <w:color w:val="000000"/>
        </w:rPr>
        <w:t>101.82</w:t>
      </w:r>
      <w:r w:rsidRPr="00E81C4F" w:rsidR="005427C3">
        <w:rPr>
          <w:rFonts w:ascii="Times New Roman" w:hAnsi="Times New Roman" w:cs="Times New Roman"/>
          <w:color w:val="000000"/>
        </w:rPr>
        <w:t xml:space="preserve"> </w:t>
      </w:r>
      <w:r w:rsidRPr="00E81C4F" w:rsidR="004A4612">
        <w:rPr>
          <w:rFonts w:ascii="Times New Roman" w:hAnsi="Times New Roman" w:cs="Times New Roman"/>
          <w:color w:val="000000"/>
        </w:rPr>
        <w:t xml:space="preserve">for the </w:t>
      </w:r>
      <w:r w:rsidRPr="00816E83" w:rsidR="00B95275">
        <w:rPr>
          <w:rFonts w:ascii="Times New Roman" w:hAnsi="Times New Roman" w:cs="Times New Roman"/>
          <w:b/>
          <w:color w:val="000000"/>
        </w:rPr>
        <w:t xml:space="preserve">provider </w:t>
      </w:r>
      <w:r w:rsidRPr="00816E83" w:rsidR="004A4612">
        <w:rPr>
          <w:rFonts w:ascii="Times New Roman" w:hAnsi="Times New Roman" w:cs="Times New Roman"/>
          <w:b/>
          <w:color w:val="000000"/>
        </w:rPr>
        <w:t>survey</w:t>
      </w:r>
      <w:r w:rsidRPr="00E81C4F" w:rsidR="004A4612">
        <w:rPr>
          <w:rFonts w:ascii="Times New Roman" w:hAnsi="Times New Roman" w:cs="Times New Roman"/>
          <w:color w:val="000000"/>
        </w:rPr>
        <w:t xml:space="preserve"> was calculated based on the 201</w:t>
      </w:r>
      <w:r w:rsidRPr="00E81C4F" w:rsidR="00671BFD">
        <w:rPr>
          <w:rFonts w:ascii="Times New Roman" w:hAnsi="Times New Roman" w:cs="Times New Roman"/>
          <w:color w:val="000000"/>
        </w:rPr>
        <w:t>8</w:t>
      </w:r>
      <w:r w:rsidRPr="00E81C4F" w:rsidR="004A4612">
        <w:rPr>
          <w:rFonts w:ascii="Times New Roman" w:hAnsi="Times New Roman" w:cs="Times New Roman"/>
          <w:color w:val="000000"/>
        </w:rPr>
        <w:t xml:space="preserve"> mean hourly wage rate for </w:t>
      </w:r>
      <w:r w:rsidR="00FA36A8">
        <w:rPr>
          <w:rFonts w:ascii="Times New Roman" w:hAnsi="Times New Roman" w:cs="Times New Roman"/>
          <w:color w:val="000000"/>
        </w:rPr>
        <w:t>family and general practitioners</w:t>
      </w:r>
      <w:r w:rsidRPr="00E81C4F" w:rsidR="004A4612">
        <w:rPr>
          <w:rFonts w:ascii="Times New Roman" w:hAnsi="Times New Roman" w:cs="Times New Roman"/>
          <w:color w:val="000000"/>
        </w:rPr>
        <w:t>, (occupation code 29-</w:t>
      </w:r>
      <w:r w:rsidRPr="00E81C4F" w:rsidR="00FA36A8">
        <w:rPr>
          <w:rFonts w:ascii="Times New Roman" w:hAnsi="Times New Roman" w:cs="Times New Roman"/>
          <w:color w:val="000000"/>
        </w:rPr>
        <w:t>106</w:t>
      </w:r>
      <w:r w:rsidR="00FA36A8">
        <w:rPr>
          <w:rFonts w:ascii="Times New Roman" w:hAnsi="Times New Roman" w:cs="Times New Roman"/>
          <w:color w:val="000000"/>
        </w:rPr>
        <w:t>2</w:t>
      </w:r>
      <w:r w:rsidR="00816E83">
        <w:rPr>
          <w:rFonts w:ascii="Times New Roman" w:hAnsi="Times New Roman" w:cs="Times New Roman"/>
          <w:color w:val="000000"/>
        </w:rPr>
        <w:t>)</w:t>
      </w:r>
      <w:r w:rsidRPr="00E81C4F" w:rsidR="004A4612">
        <w:rPr>
          <w:rFonts w:ascii="Times New Roman" w:hAnsi="Times New Roman" w:cs="Times New Roman"/>
          <w:color w:val="000000"/>
        </w:rPr>
        <w:t xml:space="preserve">. </w:t>
      </w:r>
    </w:p>
    <w:p w:rsidR="005D056B" w:rsidP="00277D62" w:rsidRDefault="00277D62" w14:paraId="6982B397" w14:textId="296774CA">
      <w:pPr>
        <w:pStyle w:val="ListParagraph"/>
        <w:tabs>
          <w:tab w:val="left" w:pos="180"/>
        </w:tabs>
        <w:spacing w:after="120"/>
        <w:ind w:left="0"/>
        <w:contextualSpacing w:val="0"/>
        <w:rPr>
          <w:rFonts w:ascii="Times New Roman" w:hAnsi="Times New Roman" w:cs="Times New Roman"/>
          <w:color w:val="000000"/>
        </w:rPr>
      </w:pPr>
      <w:r>
        <w:rPr>
          <w:rFonts w:ascii="Times New Roman" w:hAnsi="Times New Roman" w:cs="Times New Roman"/>
          <w:color w:val="000000"/>
          <w:vertAlign w:val="superscript"/>
        </w:rPr>
        <w:t>2</w:t>
      </w:r>
      <w:r w:rsidR="005D056B">
        <w:rPr>
          <w:rFonts w:ascii="Times New Roman" w:hAnsi="Times New Roman" w:cs="Times New Roman"/>
          <w:color w:val="000000"/>
        </w:rPr>
        <w:t xml:space="preserve">The average hourly rate of </w:t>
      </w:r>
      <w:r w:rsidRPr="00E81C4F" w:rsidR="00D76187">
        <w:rPr>
          <w:rFonts w:ascii="Times New Roman" w:hAnsi="Times New Roman" w:cs="Times New Roman"/>
          <w:color w:val="000000"/>
        </w:rPr>
        <w:t>$</w:t>
      </w:r>
      <w:r w:rsidR="00D76187">
        <w:rPr>
          <w:rFonts w:ascii="Times New Roman" w:hAnsi="Times New Roman" w:cs="Times New Roman"/>
          <w:color w:val="000000"/>
        </w:rPr>
        <w:t>39.42</w:t>
      </w:r>
      <w:r w:rsidRPr="00E81C4F" w:rsidR="00D76187">
        <w:rPr>
          <w:rFonts w:ascii="Times New Roman" w:hAnsi="Times New Roman" w:cs="Times New Roman"/>
          <w:color w:val="000000"/>
        </w:rPr>
        <w:t xml:space="preserve"> </w:t>
      </w:r>
      <w:r w:rsidR="005D056B">
        <w:rPr>
          <w:rFonts w:ascii="Times New Roman" w:hAnsi="Times New Roman" w:cs="Times New Roman"/>
          <w:color w:val="000000"/>
        </w:rPr>
        <w:t xml:space="preserve">for the </w:t>
      </w:r>
      <w:r w:rsidRPr="00816E83" w:rsidR="005D056B">
        <w:rPr>
          <w:rFonts w:ascii="Times New Roman" w:hAnsi="Times New Roman" w:cs="Times New Roman"/>
          <w:b/>
          <w:color w:val="000000"/>
        </w:rPr>
        <w:t xml:space="preserve">learning collaborative </w:t>
      </w:r>
      <w:r w:rsidR="00D76187">
        <w:rPr>
          <w:rFonts w:ascii="Times New Roman" w:hAnsi="Times New Roman" w:cs="Times New Roman"/>
          <w:b/>
          <w:color w:val="000000"/>
        </w:rPr>
        <w:t xml:space="preserve">clinical </w:t>
      </w:r>
      <w:r w:rsidR="00816E83">
        <w:rPr>
          <w:rFonts w:ascii="Times New Roman" w:hAnsi="Times New Roman" w:cs="Times New Roman"/>
          <w:b/>
          <w:color w:val="000000"/>
        </w:rPr>
        <w:t xml:space="preserve">staff </w:t>
      </w:r>
      <w:r w:rsidRPr="00816E83" w:rsidR="005D056B">
        <w:rPr>
          <w:rFonts w:ascii="Times New Roman" w:hAnsi="Times New Roman" w:cs="Times New Roman"/>
          <w:b/>
          <w:color w:val="000000"/>
        </w:rPr>
        <w:t>survey</w:t>
      </w:r>
      <w:r w:rsidR="005D056B">
        <w:rPr>
          <w:rFonts w:ascii="Times New Roman" w:hAnsi="Times New Roman" w:cs="Times New Roman"/>
          <w:color w:val="000000"/>
        </w:rPr>
        <w:t xml:space="preserve"> </w:t>
      </w:r>
      <w:r w:rsidRPr="00E81C4F" w:rsidR="005D056B">
        <w:rPr>
          <w:rFonts w:ascii="Times New Roman" w:hAnsi="Times New Roman" w:cs="Times New Roman"/>
          <w:color w:val="000000"/>
        </w:rPr>
        <w:t>was calculated based on the 2018 mean hourly wage rate for medical and health services managers</w:t>
      </w:r>
      <w:r w:rsidR="005D056B">
        <w:rPr>
          <w:rFonts w:ascii="Times New Roman" w:hAnsi="Times New Roman" w:cs="Times New Roman"/>
          <w:color w:val="000000"/>
        </w:rPr>
        <w:t xml:space="preserve"> (occupation code </w:t>
      </w:r>
      <w:r w:rsidRPr="00E81C4F" w:rsidR="005D056B">
        <w:rPr>
          <w:rFonts w:ascii="Times New Roman" w:hAnsi="Times New Roman" w:cs="Times New Roman"/>
          <w:color w:val="000000"/>
        </w:rPr>
        <w:t>29-0000</w:t>
      </w:r>
      <w:r w:rsidR="00E71AD7">
        <w:rPr>
          <w:rFonts w:ascii="Times New Roman" w:hAnsi="Times New Roman" w:cs="Times New Roman"/>
          <w:color w:val="000000"/>
        </w:rPr>
        <w:t>)</w:t>
      </w:r>
    </w:p>
    <w:p w:rsidR="008D4981" w:rsidP="00277D62" w:rsidRDefault="00277D62" w14:paraId="1D940949" w14:textId="08F05466">
      <w:pPr>
        <w:pStyle w:val="ListParagraph"/>
        <w:tabs>
          <w:tab w:val="left" w:pos="180"/>
        </w:tabs>
        <w:spacing w:after="120"/>
        <w:ind w:left="0"/>
        <w:contextualSpacing w:val="0"/>
        <w:rPr>
          <w:rFonts w:ascii="Times New Roman" w:hAnsi="Times New Roman" w:cs="Times New Roman"/>
          <w:color w:val="000000"/>
        </w:rPr>
      </w:pPr>
      <w:r>
        <w:rPr>
          <w:rFonts w:ascii="Times New Roman" w:hAnsi="Times New Roman" w:cs="Times New Roman"/>
          <w:color w:val="000000"/>
          <w:vertAlign w:val="superscript"/>
        </w:rPr>
        <w:t>3</w:t>
      </w:r>
      <w:r w:rsidRPr="00E81C4F" w:rsidR="004A4612">
        <w:rPr>
          <w:rFonts w:ascii="Times New Roman" w:hAnsi="Times New Roman" w:cs="Times New Roman"/>
          <w:color w:val="000000"/>
        </w:rPr>
        <w:t>The average hourly rate of $</w:t>
      </w:r>
      <w:r w:rsidR="00D76187">
        <w:rPr>
          <w:rFonts w:ascii="Times New Roman" w:hAnsi="Times New Roman" w:cs="Times New Roman"/>
          <w:color w:val="000000"/>
        </w:rPr>
        <w:t>54.68</w:t>
      </w:r>
      <w:r w:rsidRPr="00E81C4F" w:rsidR="004A4612">
        <w:rPr>
          <w:rFonts w:ascii="Times New Roman" w:hAnsi="Times New Roman" w:cs="Times New Roman"/>
          <w:color w:val="000000"/>
        </w:rPr>
        <w:t xml:space="preserve"> for </w:t>
      </w:r>
      <w:r w:rsidRPr="007E43F8" w:rsidR="00D76187">
        <w:rPr>
          <w:rFonts w:ascii="Times New Roman" w:hAnsi="Times New Roman" w:cs="Times New Roman"/>
          <w:b/>
          <w:color w:val="000000"/>
        </w:rPr>
        <w:t xml:space="preserve">QI </w:t>
      </w:r>
      <w:r w:rsidRPr="00816E83" w:rsidR="00816E83">
        <w:rPr>
          <w:rFonts w:ascii="Times New Roman" w:hAnsi="Times New Roman" w:cs="Times New Roman"/>
          <w:b/>
          <w:color w:val="000000"/>
        </w:rPr>
        <w:t>champion</w:t>
      </w:r>
      <w:r w:rsidRPr="00816E83" w:rsidR="004A4612">
        <w:rPr>
          <w:rFonts w:ascii="Times New Roman" w:hAnsi="Times New Roman" w:cs="Times New Roman"/>
          <w:b/>
          <w:color w:val="000000"/>
        </w:rPr>
        <w:t xml:space="preserve"> interviews</w:t>
      </w:r>
      <w:r w:rsidRPr="00E81C4F" w:rsidR="004A4612">
        <w:rPr>
          <w:rFonts w:ascii="Times New Roman" w:hAnsi="Times New Roman" w:cs="Times New Roman"/>
          <w:color w:val="000000"/>
        </w:rPr>
        <w:t xml:space="preserve"> was calculated based on the 201</w:t>
      </w:r>
      <w:r w:rsidRPr="00E81C4F" w:rsidR="00671BFD">
        <w:rPr>
          <w:rFonts w:ascii="Times New Roman" w:hAnsi="Times New Roman" w:cs="Times New Roman"/>
          <w:color w:val="000000"/>
        </w:rPr>
        <w:t>8</w:t>
      </w:r>
      <w:r w:rsidRPr="00E81C4F" w:rsidR="004A4612">
        <w:rPr>
          <w:rFonts w:ascii="Times New Roman" w:hAnsi="Times New Roman" w:cs="Times New Roman"/>
          <w:color w:val="000000"/>
        </w:rPr>
        <w:t xml:space="preserve"> mean hourly wage rate for medical and health services managers</w:t>
      </w:r>
      <w:r w:rsidR="00D76187">
        <w:rPr>
          <w:rFonts w:ascii="Times New Roman" w:hAnsi="Times New Roman" w:cs="Times New Roman"/>
          <w:color w:val="000000"/>
        </w:rPr>
        <w:t xml:space="preserve"> </w:t>
      </w:r>
      <w:r w:rsidRPr="00E81C4F" w:rsidR="004A4612">
        <w:rPr>
          <w:rFonts w:ascii="Times New Roman" w:hAnsi="Times New Roman" w:cs="Times New Roman"/>
          <w:color w:val="000000"/>
        </w:rPr>
        <w:t>(occupation code 11-9111</w:t>
      </w:r>
      <w:r w:rsidR="00D76187">
        <w:rPr>
          <w:rFonts w:ascii="Times New Roman" w:hAnsi="Times New Roman" w:cs="Times New Roman"/>
          <w:color w:val="000000"/>
        </w:rPr>
        <w:t>)</w:t>
      </w:r>
      <w:r w:rsidRPr="00E81C4F" w:rsidR="004A4612">
        <w:rPr>
          <w:rFonts w:ascii="Times New Roman" w:hAnsi="Times New Roman" w:cs="Times New Roman"/>
          <w:color w:val="000000"/>
        </w:rPr>
        <w:t xml:space="preserve">. </w:t>
      </w:r>
    </w:p>
    <w:p w:rsidRPr="000D7752" w:rsidR="008D4981" w:rsidP="00277D62" w:rsidRDefault="00277D62" w14:paraId="330269FB" w14:textId="76C22413">
      <w:pPr>
        <w:tabs>
          <w:tab w:val="left" w:pos="180"/>
        </w:tabs>
        <w:spacing w:after="120"/>
        <w:rPr>
          <w:color w:val="000000"/>
        </w:rPr>
      </w:pPr>
      <w:r>
        <w:rPr>
          <w:color w:val="000000"/>
          <w:vertAlign w:val="superscript"/>
        </w:rPr>
        <w:t>4</w:t>
      </w:r>
      <w:r w:rsidRPr="000D7752" w:rsidR="004A4612">
        <w:rPr>
          <w:color w:val="000000"/>
        </w:rPr>
        <w:t>The average hourly rate of $</w:t>
      </w:r>
      <w:r w:rsidRPr="000D7752" w:rsidR="00257E59">
        <w:rPr>
          <w:color w:val="000000"/>
        </w:rPr>
        <w:t>39.42</w:t>
      </w:r>
      <w:r w:rsidRPr="000D7752" w:rsidR="004A4612">
        <w:rPr>
          <w:color w:val="000000"/>
        </w:rPr>
        <w:t xml:space="preserve"> for </w:t>
      </w:r>
      <w:r w:rsidRPr="000D7752" w:rsidR="004A4612">
        <w:rPr>
          <w:b/>
          <w:color w:val="000000"/>
        </w:rPr>
        <w:t>staff interviews</w:t>
      </w:r>
      <w:r w:rsidRPr="000D7752" w:rsidR="004A4612">
        <w:rPr>
          <w:color w:val="000000"/>
        </w:rPr>
        <w:t xml:space="preserve"> was calculated based on the 201</w:t>
      </w:r>
      <w:r w:rsidRPr="000D7752" w:rsidR="00671BFD">
        <w:rPr>
          <w:color w:val="000000"/>
        </w:rPr>
        <w:t>8</w:t>
      </w:r>
      <w:r w:rsidRPr="000D7752" w:rsidR="004A4612">
        <w:rPr>
          <w:color w:val="000000"/>
        </w:rPr>
        <w:t xml:space="preserve"> </w:t>
      </w:r>
      <w:r w:rsidRPr="00277D62">
        <w:rPr>
          <w:color w:val="000000"/>
        </w:rPr>
        <w:t>mean hourly wage rate for medical and health services managers (occupation code 29-0000)</w:t>
      </w:r>
      <w:r w:rsidRPr="000D7752" w:rsidR="004A4612">
        <w:rPr>
          <w:color w:val="000000"/>
        </w:rPr>
        <w:t>.</w:t>
      </w:r>
      <w:r w:rsidRPr="000D7752" w:rsidR="008D4981">
        <w:rPr>
          <w:color w:val="000000"/>
        </w:rPr>
        <w:t xml:space="preserve"> </w:t>
      </w:r>
    </w:p>
    <w:p w:rsidR="004A4612" w:rsidP="00277D62" w:rsidRDefault="00277D62" w14:paraId="3B385867" w14:textId="04DF7226">
      <w:pPr>
        <w:pStyle w:val="ListParagraph"/>
        <w:tabs>
          <w:tab w:val="left" w:pos="180"/>
        </w:tabs>
        <w:spacing w:after="120"/>
        <w:ind w:left="0"/>
        <w:contextualSpacing w:val="0"/>
        <w:rPr>
          <w:rFonts w:ascii="Times New Roman" w:hAnsi="Times New Roman" w:cs="Times New Roman"/>
          <w:color w:val="000000"/>
        </w:rPr>
      </w:pPr>
      <w:r>
        <w:rPr>
          <w:rFonts w:ascii="Times New Roman" w:hAnsi="Times New Roman" w:cs="Times New Roman"/>
          <w:color w:val="000000"/>
          <w:vertAlign w:val="superscript"/>
        </w:rPr>
        <w:t>5</w:t>
      </w:r>
      <w:r w:rsidR="008D4981">
        <w:rPr>
          <w:rFonts w:ascii="Times New Roman" w:hAnsi="Times New Roman" w:cs="Times New Roman"/>
          <w:color w:val="000000"/>
        </w:rPr>
        <w:t xml:space="preserve">The average hourly rate of </w:t>
      </w:r>
      <w:r w:rsidR="00E71AD7">
        <w:rPr>
          <w:rFonts w:ascii="Times New Roman" w:hAnsi="Times New Roman" w:cs="Times New Roman"/>
          <w:color w:val="000000"/>
        </w:rPr>
        <w:t xml:space="preserve">54.68 </w:t>
      </w:r>
      <w:r w:rsidR="008D4981">
        <w:rPr>
          <w:rFonts w:ascii="Times New Roman" w:hAnsi="Times New Roman" w:cs="Times New Roman"/>
          <w:color w:val="000000"/>
        </w:rPr>
        <w:t xml:space="preserve">for </w:t>
      </w:r>
      <w:r w:rsidR="00E71AD7">
        <w:rPr>
          <w:rFonts w:ascii="Times New Roman" w:hAnsi="Times New Roman" w:cs="Times New Roman"/>
          <w:color w:val="000000"/>
        </w:rPr>
        <w:t xml:space="preserve">the </w:t>
      </w:r>
      <w:r w:rsidR="000D7752">
        <w:rPr>
          <w:rFonts w:ascii="Times New Roman" w:hAnsi="Times New Roman" w:cs="Times New Roman"/>
          <w:color w:val="000000"/>
        </w:rPr>
        <w:t xml:space="preserve">Learning Collaborative </w:t>
      </w:r>
      <w:r w:rsidR="00E71AD7">
        <w:rPr>
          <w:rFonts w:ascii="Times New Roman" w:hAnsi="Times New Roman" w:cs="Times New Roman"/>
          <w:color w:val="000000"/>
        </w:rPr>
        <w:t xml:space="preserve">QI champion to complete </w:t>
      </w:r>
      <w:r w:rsidR="008D4981">
        <w:rPr>
          <w:rFonts w:ascii="Times New Roman" w:hAnsi="Times New Roman" w:cs="Times New Roman"/>
          <w:color w:val="000000"/>
        </w:rPr>
        <w:t xml:space="preserve">the </w:t>
      </w:r>
      <w:r w:rsidRPr="00816E83" w:rsidR="008D4981">
        <w:rPr>
          <w:rFonts w:ascii="Times New Roman" w:hAnsi="Times New Roman" w:cs="Times New Roman"/>
          <w:b/>
          <w:color w:val="000000"/>
        </w:rPr>
        <w:t>self-assessment</w:t>
      </w:r>
      <w:r w:rsidR="008D4981">
        <w:rPr>
          <w:rFonts w:ascii="Times New Roman" w:hAnsi="Times New Roman" w:cs="Times New Roman"/>
          <w:color w:val="000000"/>
        </w:rPr>
        <w:t xml:space="preserve"> </w:t>
      </w:r>
      <w:r w:rsidR="00E71AD7">
        <w:rPr>
          <w:rFonts w:ascii="Times New Roman" w:hAnsi="Times New Roman" w:cs="Times New Roman"/>
          <w:color w:val="000000"/>
        </w:rPr>
        <w:t>was</w:t>
      </w:r>
      <w:r w:rsidR="008D4981">
        <w:rPr>
          <w:rFonts w:ascii="Times New Roman" w:hAnsi="Times New Roman" w:cs="Times New Roman"/>
          <w:color w:val="000000"/>
        </w:rPr>
        <w:t xml:space="preserve"> </w:t>
      </w:r>
      <w:r w:rsidRPr="00E81C4F" w:rsidR="008D4981">
        <w:rPr>
          <w:rFonts w:ascii="Times New Roman" w:hAnsi="Times New Roman" w:cs="Times New Roman"/>
          <w:color w:val="000000"/>
        </w:rPr>
        <w:t>calculated based on the 2018 mean hourly wage rate for medical and health services managers (occupation code 11-9111)</w:t>
      </w:r>
      <w:r w:rsidR="008D4981">
        <w:rPr>
          <w:rFonts w:ascii="Times New Roman" w:hAnsi="Times New Roman" w:cs="Times New Roman"/>
          <w:color w:val="000000"/>
        </w:rPr>
        <w:t>.</w:t>
      </w:r>
    </w:p>
    <w:p w:rsidRPr="00816E83" w:rsidR="00816E83" w:rsidP="00277D62" w:rsidRDefault="00277D62" w14:paraId="62705E4B" w14:textId="6A57FD8D">
      <w:pPr>
        <w:pStyle w:val="ListParagraph"/>
        <w:tabs>
          <w:tab w:val="left" w:pos="180"/>
        </w:tabs>
        <w:spacing w:after="120"/>
        <w:ind w:left="0"/>
        <w:contextualSpacing w:val="0"/>
        <w:rPr>
          <w:rFonts w:ascii="Times New Roman" w:hAnsi="Times New Roman" w:cs="Times New Roman"/>
          <w:color w:val="000000"/>
        </w:rPr>
      </w:pPr>
      <w:r>
        <w:rPr>
          <w:rFonts w:ascii="Times New Roman" w:hAnsi="Times New Roman" w:cs="Times New Roman"/>
          <w:color w:val="000000"/>
          <w:vertAlign w:val="superscript"/>
        </w:rPr>
        <w:t>6</w:t>
      </w:r>
      <w:r w:rsidR="000D7752">
        <w:rPr>
          <w:rFonts w:ascii="Times New Roman" w:hAnsi="Times New Roman" w:cs="Times New Roman"/>
          <w:color w:val="000000"/>
        </w:rPr>
        <w:t>The</w:t>
      </w:r>
      <w:r w:rsidRPr="00816E83" w:rsidR="00816E83">
        <w:rPr>
          <w:rFonts w:ascii="Times New Roman" w:hAnsi="Times New Roman" w:cs="Times New Roman"/>
          <w:color w:val="000000"/>
        </w:rPr>
        <w:t xml:space="preserve"> average hourly rate of $</w:t>
      </w:r>
      <w:r w:rsidR="00E71AD7">
        <w:rPr>
          <w:rFonts w:ascii="Times New Roman" w:hAnsi="Times New Roman" w:cs="Times New Roman"/>
          <w:color w:val="000000"/>
        </w:rPr>
        <w:t>21.16</w:t>
      </w:r>
      <w:r w:rsidRPr="00816E83" w:rsidR="00816E83">
        <w:rPr>
          <w:rFonts w:ascii="Times New Roman" w:hAnsi="Times New Roman" w:cs="Times New Roman"/>
          <w:color w:val="000000"/>
        </w:rPr>
        <w:t xml:space="preserve"> </w:t>
      </w:r>
      <w:r w:rsidR="000D7752">
        <w:rPr>
          <w:rFonts w:ascii="Times New Roman" w:hAnsi="Times New Roman" w:cs="Times New Roman"/>
          <w:color w:val="000000"/>
        </w:rPr>
        <w:t>to develop the Learning Collaborative</w:t>
      </w:r>
      <w:r w:rsidRPr="00816E83" w:rsidR="000D7752">
        <w:rPr>
          <w:rFonts w:ascii="Times New Roman" w:hAnsi="Times New Roman" w:cs="Times New Roman"/>
          <w:color w:val="000000"/>
        </w:rPr>
        <w:t xml:space="preserve"> </w:t>
      </w:r>
      <w:r w:rsidRPr="009C61B8" w:rsidR="00816E83">
        <w:rPr>
          <w:rFonts w:ascii="Times New Roman" w:hAnsi="Times New Roman" w:cs="Times New Roman"/>
          <w:b/>
          <w:color w:val="000000"/>
        </w:rPr>
        <w:t>QI measures</w:t>
      </w:r>
      <w:r w:rsidRPr="00816E83" w:rsidR="00816E83">
        <w:rPr>
          <w:rFonts w:ascii="Times New Roman" w:hAnsi="Times New Roman" w:cs="Times New Roman"/>
          <w:color w:val="000000"/>
        </w:rPr>
        <w:t xml:space="preserve"> was calculated based on the 2018 mean hourly wage rate for medical records and health information technicians</w:t>
      </w:r>
      <w:r w:rsidR="00E71AD7">
        <w:rPr>
          <w:rFonts w:ascii="Times New Roman" w:hAnsi="Times New Roman" w:cs="Times New Roman"/>
          <w:color w:val="000000"/>
        </w:rPr>
        <w:t xml:space="preserve"> </w:t>
      </w:r>
      <w:r w:rsidRPr="00816E83" w:rsidR="00816E83">
        <w:rPr>
          <w:rFonts w:ascii="Times New Roman" w:hAnsi="Times New Roman" w:cs="Times New Roman"/>
          <w:color w:val="000000"/>
        </w:rPr>
        <w:t xml:space="preserve">(occupation code 29-2071). </w:t>
      </w:r>
    </w:p>
    <w:p w:rsidR="000D7752" w:rsidP="00277D62" w:rsidRDefault="00277D62" w14:paraId="2C6341C7" w14:textId="3A6E9421">
      <w:pPr>
        <w:tabs>
          <w:tab w:val="left" w:pos="180"/>
        </w:tabs>
        <w:spacing w:after="120"/>
        <w:rPr>
          <w:color w:val="000000"/>
        </w:rPr>
      </w:pPr>
      <w:r>
        <w:rPr>
          <w:color w:val="000000"/>
          <w:vertAlign w:val="superscript"/>
        </w:rPr>
        <w:t>7</w:t>
      </w:r>
      <w:r w:rsidR="000D7752">
        <w:rPr>
          <w:color w:val="000000"/>
        </w:rPr>
        <w:t>The</w:t>
      </w:r>
      <w:r w:rsidRPr="00816E83" w:rsidR="000D7752">
        <w:rPr>
          <w:color w:val="000000"/>
        </w:rPr>
        <w:t xml:space="preserve"> average hourly rate of $</w:t>
      </w:r>
      <w:r w:rsidR="000D7752">
        <w:rPr>
          <w:color w:val="000000"/>
        </w:rPr>
        <w:t>21.16</w:t>
      </w:r>
      <w:r w:rsidRPr="00816E83" w:rsidR="000D7752">
        <w:rPr>
          <w:color w:val="000000"/>
        </w:rPr>
        <w:t xml:space="preserve"> </w:t>
      </w:r>
      <w:r w:rsidR="000D7752">
        <w:rPr>
          <w:color w:val="000000"/>
        </w:rPr>
        <w:t>to pull and submit the Learning Collaborative</w:t>
      </w:r>
      <w:r w:rsidRPr="00816E83" w:rsidR="000D7752">
        <w:rPr>
          <w:color w:val="000000"/>
        </w:rPr>
        <w:t xml:space="preserve"> </w:t>
      </w:r>
      <w:r w:rsidRPr="009C61B8" w:rsidR="000D7752">
        <w:rPr>
          <w:b/>
          <w:color w:val="000000"/>
        </w:rPr>
        <w:t>QI measures</w:t>
      </w:r>
      <w:r w:rsidRPr="00816E83" w:rsidR="000D7752">
        <w:rPr>
          <w:color w:val="000000"/>
        </w:rPr>
        <w:t xml:space="preserve"> was calculated based on the 2018 mean hourly wage rate for medical records and health information technicians</w:t>
      </w:r>
      <w:r w:rsidR="000D7752">
        <w:rPr>
          <w:color w:val="000000"/>
        </w:rPr>
        <w:t xml:space="preserve"> </w:t>
      </w:r>
      <w:r w:rsidRPr="00816E83" w:rsidR="000D7752">
        <w:rPr>
          <w:color w:val="000000"/>
        </w:rPr>
        <w:t>(occupation code 29-2071).</w:t>
      </w:r>
    </w:p>
    <w:p w:rsidRPr="00412C6F" w:rsidR="009B633D" w:rsidP="003600B8" w:rsidRDefault="009B633D" w14:paraId="6CDCD270" w14:textId="77777777">
      <w:pPr>
        <w:pStyle w:val="Heading2"/>
      </w:pPr>
      <w:bookmarkStart w:name="_Toc151782188" w:id="43"/>
      <w:bookmarkStart w:name="_Toc158526228" w:id="44"/>
      <w:bookmarkStart w:name="_Toc38531529" w:id="45"/>
      <w:r w:rsidRPr="00412C6F">
        <w:t xml:space="preserve">13. </w:t>
      </w:r>
      <w:r w:rsidRPr="005A5052">
        <w:t>Estimates of Annualized Respondent Capital and Maintenance Costs</w:t>
      </w:r>
      <w:bookmarkEnd w:id="43"/>
      <w:bookmarkEnd w:id="44"/>
      <w:bookmarkEnd w:id="45"/>
    </w:p>
    <w:p w:rsidR="00E14FC3" w:rsidP="003600B8" w:rsidRDefault="00B762E0" w14:paraId="6E8200E8" w14:textId="77777777">
      <w:pPr>
        <w:pStyle w:val="BodyText"/>
      </w:pPr>
      <w:r w:rsidRPr="006C45D0">
        <w:t xml:space="preserve">Capital and maintenance costs include the purchase of </w:t>
      </w:r>
      <w:r w:rsidRPr="006C45D0" w:rsidR="00C205C8">
        <w:t xml:space="preserve">equipment, </w:t>
      </w:r>
      <w:r w:rsidRPr="006C45D0">
        <w:t>computer</w:t>
      </w:r>
      <w:r w:rsidRPr="006C45D0" w:rsidR="00C205C8">
        <w:t>s or computer software or services, or storage facilities for records, as a result of complying with this data collection.</w:t>
      </w:r>
      <w:r w:rsidR="00FF6D85">
        <w:rPr>
          <w:i/>
        </w:rPr>
        <w:t xml:space="preserve"> </w:t>
      </w:r>
      <w:r w:rsidR="00C205C8">
        <w:t>T</w:t>
      </w:r>
      <w:r w:rsidR="0080612B">
        <w:t>here are no direct costs to respondents other than their time to participate in the study.</w:t>
      </w:r>
    </w:p>
    <w:p w:rsidR="009B633D" w:rsidP="003600B8" w:rsidRDefault="009B633D" w14:paraId="4C035013" w14:textId="77777777">
      <w:pPr>
        <w:pStyle w:val="Heading2"/>
      </w:pPr>
      <w:bookmarkStart w:name="_Toc58725299" w:id="46"/>
      <w:bookmarkStart w:name="_Toc151782189" w:id="47"/>
      <w:bookmarkStart w:name="_Toc158526229" w:id="48"/>
      <w:bookmarkStart w:name="_Toc38531530" w:id="49"/>
      <w:r w:rsidRPr="0098792B">
        <w:t>14. Estimates of Annualized Cost to the Government</w:t>
      </w:r>
      <w:bookmarkEnd w:id="46"/>
      <w:bookmarkEnd w:id="47"/>
      <w:bookmarkEnd w:id="48"/>
      <w:bookmarkEnd w:id="49"/>
    </w:p>
    <w:p w:rsidR="00012FB9" w:rsidP="00D439C9" w:rsidRDefault="00012FB9" w14:paraId="17684860" w14:textId="74984C5E">
      <w:pPr>
        <w:pStyle w:val="Caption"/>
      </w:pPr>
      <w:bookmarkStart w:name="_Toc151782190" w:id="50"/>
      <w:bookmarkStart w:name="_Toc158526230" w:id="51"/>
      <w:r>
        <w:t>Exhibit 3</w:t>
      </w:r>
      <w:r w:rsidR="00D3440F">
        <w:t>a</w:t>
      </w:r>
      <w:r>
        <w:t>.  Estimated</w:t>
      </w:r>
      <w:r w:rsidR="00FD1D9C">
        <w:t xml:space="preserve"> Total and Annualized</w:t>
      </w:r>
      <w:r>
        <w:t xml:space="preserve"> Cost</w:t>
      </w:r>
    </w:p>
    <w:tbl>
      <w:tblPr>
        <w:tblW w:w="8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5395"/>
        <w:gridCol w:w="1800"/>
        <w:gridCol w:w="1440"/>
      </w:tblGrid>
      <w:tr w:rsidR="00012FB9" w:rsidTr="00D439C9" w14:paraId="4A1A036A" w14:textId="77777777">
        <w:trPr>
          <w:trHeight w:val="360"/>
        </w:trPr>
        <w:tc>
          <w:tcPr>
            <w:tcW w:w="5395" w:type="dxa"/>
            <w:tcBorders>
              <w:top w:val="single" w:color="auto" w:sz="12" w:space="0"/>
            </w:tcBorders>
            <w:shd w:val="clear" w:color="auto" w:fill="auto"/>
            <w:tcMar>
              <w:top w:w="0" w:type="dxa"/>
              <w:left w:w="108" w:type="dxa"/>
              <w:bottom w:w="0" w:type="dxa"/>
              <w:right w:w="108" w:type="dxa"/>
            </w:tcMar>
            <w:vAlign w:val="bottom"/>
          </w:tcPr>
          <w:p w:rsidRPr="00012FB9" w:rsidR="00012FB9" w:rsidP="00012FB9" w:rsidRDefault="00012FB9" w14:paraId="16AD501D" w14:textId="77777777">
            <w:pPr>
              <w:rPr>
                <w:b/>
              </w:rPr>
            </w:pPr>
            <w:r w:rsidRPr="00012FB9">
              <w:rPr>
                <w:b/>
                <w:color w:val="000000"/>
              </w:rPr>
              <w:t xml:space="preserve">Cost Component </w:t>
            </w:r>
          </w:p>
        </w:tc>
        <w:tc>
          <w:tcPr>
            <w:tcW w:w="1800" w:type="dxa"/>
            <w:tcBorders>
              <w:top w:val="single" w:color="auto" w:sz="12" w:space="0"/>
            </w:tcBorders>
            <w:shd w:val="clear" w:color="auto" w:fill="auto"/>
            <w:tcMar>
              <w:top w:w="0" w:type="dxa"/>
              <w:left w:w="108" w:type="dxa"/>
              <w:bottom w:w="0" w:type="dxa"/>
              <w:right w:w="108" w:type="dxa"/>
            </w:tcMar>
            <w:vAlign w:val="bottom"/>
          </w:tcPr>
          <w:p w:rsidRPr="00012FB9" w:rsidR="00012FB9" w:rsidP="00D439C9" w:rsidRDefault="00012FB9" w14:paraId="11E715B8" w14:textId="77777777">
            <w:pPr>
              <w:jc w:val="center"/>
              <w:rPr>
                <w:b/>
              </w:rPr>
            </w:pPr>
            <w:r w:rsidRPr="00012FB9">
              <w:rPr>
                <w:b/>
              </w:rPr>
              <w:t>Total Cost</w:t>
            </w:r>
          </w:p>
        </w:tc>
        <w:tc>
          <w:tcPr>
            <w:tcW w:w="1440" w:type="dxa"/>
            <w:tcBorders>
              <w:top w:val="single" w:color="auto" w:sz="12" w:space="0"/>
            </w:tcBorders>
            <w:shd w:val="clear" w:color="auto" w:fill="auto"/>
            <w:tcMar>
              <w:top w:w="0" w:type="dxa"/>
              <w:left w:w="108" w:type="dxa"/>
              <w:bottom w:w="0" w:type="dxa"/>
              <w:right w:w="108" w:type="dxa"/>
            </w:tcMar>
            <w:vAlign w:val="bottom"/>
          </w:tcPr>
          <w:p w:rsidRPr="00012FB9" w:rsidR="00012FB9" w:rsidP="00D439C9" w:rsidRDefault="00012FB9" w14:paraId="6938FB9F" w14:textId="77777777">
            <w:pPr>
              <w:jc w:val="center"/>
              <w:rPr>
                <w:b/>
              </w:rPr>
            </w:pPr>
            <w:r w:rsidRPr="00012FB9">
              <w:rPr>
                <w:b/>
              </w:rPr>
              <w:t>Annualized Cost</w:t>
            </w:r>
          </w:p>
        </w:tc>
      </w:tr>
      <w:tr w:rsidR="007E384A" w:rsidTr="00D439C9" w14:paraId="40E72790" w14:textId="77777777">
        <w:trPr>
          <w:trHeight w:val="360"/>
        </w:trPr>
        <w:tc>
          <w:tcPr>
            <w:tcW w:w="5395" w:type="dxa"/>
            <w:shd w:val="clear" w:color="auto" w:fill="auto"/>
            <w:tcMar>
              <w:top w:w="0" w:type="dxa"/>
              <w:left w:w="108" w:type="dxa"/>
              <w:bottom w:w="0" w:type="dxa"/>
              <w:right w:w="108" w:type="dxa"/>
            </w:tcMar>
            <w:vAlign w:val="center"/>
          </w:tcPr>
          <w:p w:rsidR="007E384A" w:rsidP="003C2BEB" w:rsidRDefault="00680260" w14:paraId="6301CEA0" w14:textId="46A461A2">
            <w:r>
              <w:t xml:space="preserve">Provider Survey </w:t>
            </w:r>
          </w:p>
        </w:tc>
        <w:tc>
          <w:tcPr>
            <w:tcW w:w="1800" w:type="dxa"/>
            <w:shd w:val="clear" w:color="auto" w:fill="auto"/>
            <w:tcMar>
              <w:top w:w="0" w:type="dxa"/>
              <w:left w:w="108" w:type="dxa"/>
              <w:bottom w:w="0" w:type="dxa"/>
              <w:right w:w="108" w:type="dxa"/>
            </w:tcMar>
            <w:vAlign w:val="center"/>
          </w:tcPr>
          <w:p w:rsidRPr="00CA01E6" w:rsidR="007E384A" w:rsidP="00D439C9" w:rsidRDefault="007E384A" w14:paraId="5760B726" w14:textId="08ACFD77">
            <w:pPr>
              <w:jc w:val="center"/>
            </w:pPr>
            <w:r>
              <w:t>$</w:t>
            </w:r>
            <w:r w:rsidR="00680260">
              <w:t>675,860</w:t>
            </w:r>
          </w:p>
        </w:tc>
        <w:tc>
          <w:tcPr>
            <w:tcW w:w="1440" w:type="dxa"/>
            <w:shd w:val="clear" w:color="auto" w:fill="auto"/>
            <w:tcMar>
              <w:top w:w="0" w:type="dxa"/>
              <w:left w:w="108" w:type="dxa"/>
              <w:bottom w:w="0" w:type="dxa"/>
              <w:right w:w="108" w:type="dxa"/>
            </w:tcMar>
            <w:vAlign w:val="center"/>
          </w:tcPr>
          <w:p w:rsidR="007E384A" w:rsidP="00D439C9" w:rsidRDefault="007E384A" w14:paraId="345F23A4" w14:textId="435AC8AD">
            <w:pPr>
              <w:jc w:val="center"/>
            </w:pPr>
            <w:r>
              <w:t>$</w:t>
            </w:r>
            <w:r w:rsidR="00680260">
              <w:t>168,965</w:t>
            </w:r>
          </w:p>
        </w:tc>
      </w:tr>
      <w:tr w:rsidR="007E384A" w:rsidTr="00D439C9" w14:paraId="7DF64C6B" w14:textId="77777777">
        <w:trPr>
          <w:trHeight w:val="360"/>
        </w:trPr>
        <w:tc>
          <w:tcPr>
            <w:tcW w:w="5395" w:type="dxa"/>
            <w:shd w:val="clear" w:color="auto" w:fill="auto"/>
            <w:tcMar>
              <w:top w:w="0" w:type="dxa"/>
              <w:left w:w="108" w:type="dxa"/>
              <w:bottom w:w="0" w:type="dxa"/>
              <w:right w:w="108" w:type="dxa"/>
            </w:tcMar>
            <w:vAlign w:val="center"/>
          </w:tcPr>
          <w:p w:rsidR="007E384A" w:rsidP="00680260" w:rsidRDefault="00680260" w14:paraId="7EE5A91C" w14:textId="48ABCBAC">
            <w:r>
              <w:t>Compendium of Strategies</w:t>
            </w:r>
          </w:p>
        </w:tc>
        <w:tc>
          <w:tcPr>
            <w:tcW w:w="1800" w:type="dxa"/>
            <w:shd w:val="clear" w:color="auto" w:fill="auto"/>
            <w:tcMar>
              <w:top w:w="0" w:type="dxa"/>
              <w:left w:w="108" w:type="dxa"/>
              <w:bottom w:w="0" w:type="dxa"/>
              <w:right w:w="108" w:type="dxa"/>
            </w:tcMar>
            <w:vAlign w:val="center"/>
          </w:tcPr>
          <w:p w:rsidRPr="00F05A8B" w:rsidR="007E384A" w:rsidP="00D439C9" w:rsidRDefault="007E384A" w14:paraId="4B95834B" w14:textId="2DB55CDE">
            <w:pPr>
              <w:jc w:val="center"/>
            </w:pPr>
            <w:r>
              <w:t>$</w:t>
            </w:r>
            <w:r w:rsidR="00680260">
              <w:t>536,353</w:t>
            </w:r>
          </w:p>
        </w:tc>
        <w:tc>
          <w:tcPr>
            <w:tcW w:w="1440" w:type="dxa"/>
            <w:shd w:val="clear" w:color="auto" w:fill="auto"/>
            <w:tcMar>
              <w:top w:w="0" w:type="dxa"/>
              <w:left w:w="108" w:type="dxa"/>
              <w:bottom w:w="0" w:type="dxa"/>
              <w:right w:w="108" w:type="dxa"/>
            </w:tcMar>
            <w:vAlign w:val="center"/>
          </w:tcPr>
          <w:p w:rsidR="007E384A" w:rsidP="00D439C9" w:rsidRDefault="007E384A" w14:paraId="41DAB248" w14:textId="75225E24">
            <w:pPr>
              <w:jc w:val="center"/>
            </w:pPr>
            <w:r>
              <w:t>$</w:t>
            </w:r>
            <w:r w:rsidR="00AA26F3">
              <w:t>134,088</w:t>
            </w:r>
          </w:p>
        </w:tc>
      </w:tr>
      <w:tr w:rsidR="007E384A" w:rsidTr="00D439C9" w14:paraId="1A4333E5" w14:textId="77777777">
        <w:trPr>
          <w:trHeight w:val="360"/>
        </w:trPr>
        <w:tc>
          <w:tcPr>
            <w:tcW w:w="5395" w:type="dxa"/>
            <w:shd w:val="clear" w:color="auto" w:fill="auto"/>
            <w:tcMar>
              <w:top w:w="0" w:type="dxa"/>
              <w:left w:w="108" w:type="dxa"/>
              <w:bottom w:w="0" w:type="dxa"/>
              <w:right w:w="108" w:type="dxa"/>
            </w:tcMar>
            <w:vAlign w:val="center"/>
          </w:tcPr>
          <w:p w:rsidR="007E384A" w:rsidP="007E384A" w:rsidRDefault="00680260" w14:paraId="6CDEA406" w14:textId="21B87236">
            <w:r>
              <w:t>Learning Collaborative &amp; Evaluation</w:t>
            </w:r>
          </w:p>
        </w:tc>
        <w:tc>
          <w:tcPr>
            <w:tcW w:w="1800" w:type="dxa"/>
            <w:shd w:val="clear" w:color="auto" w:fill="auto"/>
            <w:tcMar>
              <w:top w:w="0" w:type="dxa"/>
              <w:left w:w="108" w:type="dxa"/>
              <w:bottom w:w="0" w:type="dxa"/>
              <w:right w:w="108" w:type="dxa"/>
            </w:tcMar>
            <w:vAlign w:val="center"/>
          </w:tcPr>
          <w:p w:rsidRPr="005E3B64" w:rsidR="007E384A" w:rsidP="00D439C9" w:rsidRDefault="007E384A" w14:paraId="34475D76" w14:textId="7F6B1657">
            <w:pPr>
              <w:jc w:val="center"/>
            </w:pPr>
            <w:r>
              <w:t>$</w:t>
            </w:r>
            <w:r w:rsidR="00680260">
              <w:t>1,603,696</w:t>
            </w:r>
          </w:p>
        </w:tc>
        <w:tc>
          <w:tcPr>
            <w:tcW w:w="1440" w:type="dxa"/>
            <w:shd w:val="clear" w:color="auto" w:fill="auto"/>
            <w:tcMar>
              <w:top w:w="0" w:type="dxa"/>
              <w:left w:w="108" w:type="dxa"/>
              <w:bottom w:w="0" w:type="dxa"/>
              <w:right w:w="108" w:type="dxa"/>
            </w:tcMar>
            <w:vAlign w:val="center"/>
          </w:tcPr>
          <w:p w:rsidR="007E384A" w:rsidP="00D439C9" w:rsidRDefault="007E384A" w14:paraId="30D94545" w14:textId="39ECE892">
            <w:pPr>
              <w:jc w:val="center"/>
            </w:pPr>
            <w:r>
              <w:t>$</w:t>
            </w:r>
            <w:r w:rsidR="00AA26F3">
              <w:t>400,924</w:t>
            </w:r>
          </w:p>
        </w:tc>
      </w:tr>
      <w:tr w:rsidR="007E384A" w:rsidTr="00D439C9" w14:paraId="3A44231A" w14:textId="77777777">
        <w:trPr>
          <w:trHeight w:val="360"/>
        </w:trPr>
        <w:tc>
          <w:tcPr>
            <w:tcW w:w="5395" w:type="dxa"/>
            <w:tcBorders>
              <w:bottom w:val="single" w:color="auto" w:sz="12" w:space="0"/>
            </w:tcBorders>
            <w:shd w:val="clear" w:color="auto" w:fill="auto"/>
            <w:tcMar>
              <w:top w:w="0" w:type="dxa"/>
              <w:left w:w="108" w:type="dxa"/>
              <w:bottom w:w="0" w:type="dxa"/>
              <w:right w:w="108" w:type="dxa"/>
            </w:tcMar>
            <w:vAlign w:val="center"/>
          </w:tcPr>
          <w:p w:rsidR="007E384A" w:rsidP="007E384A" w:rsidRDefault="00680260" w14:paraId="1F2AAB24" w14:textId="66C71D40">
            <w:r>
              <w:t xml:space="preserve">Reporting &amp; </w:t>
            </w:r>
            <w:r w:rsidR="007E384A">
              <w:t>Publication of Results</w:t>
            </w:r>
          </w:p>
        </w:tc>
        <w:tc>
          <w:tcPr>
            <w:tcW w:w="1800" w:type="dxa"/>
            <w:tcBorders>
              <w:bottom w:val="single" w:color="auto" w:sz="12" w:space="0"/>
            </w:tcBorders>
            <w:shd w:val="clear" w:color="auto" w:fill="auto"/>
            <w:tcMar>
              <w:top w:w="0" w:type="dxa"/>
              <w:left w:w="108" w:type="dxa"/>
              <w:bottom w:w="0" w:type="dxa"/>
              <w:right w:w="108" w:type="dxa"/>
            </w:tcMar>
            <w:vAlign w:val="center"/>
          </w:tcPr>
          <w:p w:rsidRPr="00CD134A" w:rsidR="007E384A" w:rsidP="00D439C9" w:rsidRDefault="007E384A" w14:paraId="42F43A7A" w14:textId="300ECC48">
            <w:pPr>
              <w:jc w:val="center"/>
            </w:pPr>
            <w:r>
              <w:t>$</w:t>
            </w:r>
            <w:r w:rsidR="00680260">
              <w:t>456,233</w:t>
            </w:r>
          </w:p>
        </w:tc>
        <w:tc>
          <w:tcPr>
            <w:tcW w:w="1440" w:type="dxa"/>
            <w:tcBorders>
              <w:bottom w:val="single" w:color="auto" w:sz="12" w:space="0"/>
            </w:tcBorders>
            <w:shd w:val="clear" w:color="auto" w:fill="auto"/>
            <w:tcMar>
              <w:top w:w="0" w:type="dxa"/>
              <w:left w:w="108" w:type="dxa"/>
              <w:bottom w:w="0" w:type="dxa"/>
              <w:right w:w="108" w:type="dxa"/>
            </w:tcMar>
            <w:vAlign w:val="center"/>
          </w:tcPr>
          <w:p w:rsidR="007E384A" w:rsidP="00D439C9" w:rsidRDefault="007E384A" w14:paraId="2E742F37" w14:textId="3B10C9A1">
            <w:pPr>
              <w:jc w:val="center"/>
            </w:pPr>
            <w:r>
              <w:t>$</w:t>
            </w:r>
            <w:r w:rsidR="00AA26F3">
              <w:t>114,058</w:t>
            </w:r>
          </w:p>
        </w:tc>
      </w:tr>
      <w:tr w:rsidRPr="00A8191C" w:rsidR="007E384A" w:rsidTr="00D439C9" w14:paraId="1AAC6D52" w14:textId="77777777">
        <w:trPr>
          <w:trHeight w:val="360"/>
        </w:trPr>
        <w:tc>
          <w:tcPr>
            <w:tcW w:w="5395" w:type="dxa"/>
            <w:tcBorders>
              <w:top w:val="single" w:color="auto" w:sz="12" w:space="0"/>
            </w:tcBorders>
            <w:shd w:val="clear" w:color="auto" w:fill="auto"/>
            <w:tcMar>
              <w:top w:w="0" w:type="dxa"/>
              <w:left w:w="108" w:type="dxa"/>
              <w:bottom w:w="0" w:type="dxa"/>
              <w:right w:w="108" w:type="dxa"/>
            </w:tcMar>
            <w:vAlign w:val="center"/>
          </w:tcPr>
          <w:p w:rsidRPr="00A8191C" w:rsidR="007E384A" w:rsidP="007E384A" w:rsidRDefault="007E384A" w14:paraId="2980E60F" w14:textId="77777777">
            <w:pPr>
              <w:rPr>
                <w:b/>
              </w:rPr>
            </w:pPr>
            <w:r w:rsidRPr="00A8191C">
              <w:rPr>
                <w:b/>
                <w:bCs/>
                <w:color w:val="000000"/>
              </w:rPr>
              <w:t>Total</w:t>
            </w:r>
          </w:p>
        </w:tc>
        <w:tc>
          <w:tcPr>
            <w:tcW w:w="1800" w:type="dxa"/>
            <w:tcBorders>
              <w:top w:val="single" w:color="auto" w:sz="12" w:space="0"/>
            </w:tcBorders>
            <w:shd w:val="clear" w:color="auto" w:fill="auto"/>
            <w:tcMar>
              <w:top w:w="0" w:type="dxa"/>
              <w:left w:w="108" w:type="dxa"/>
              <w:bottom w:w="0" w:type="dxa"/>
              <w:right w:w="108" w:type="dxa"/>
            </w:tcMar>
            <w:vAlign w:val="center"/>
          </w:tcPr>
          <w:p w:rsidRPr="00A8191C" w:rsidR="007E384A" w:rsidP="00D439C9" w:rsidRDefault="007E384A" w14:paraId="510686D8" w14:textId="327C76B2">
            <w:pPr>
              <w:jc w:val="center"/>
              <w:rPr>
                <w:b/>
              </w:rPr>
            </w:pPr>
            <w:r w:rsidRPr="00A8191C">
              <w:rPr>
                <w:b/>
              </w:rPr>
              <w:t>$</w:t>
            </w:r>
            <w:r w:rsidRPr="00A8191C" w:rsidR="00680260">
              <w:rPr>
                <w:b/>
              </w:rPr>
              <w:t>3,272,142</w:t>
            </w:r>
          </w:p>
        </w:tc>
        <w:tc>
          <w:tcPr>
            <w:tcW w:w="1440" w:type="dxa"/>
            <w:tcBorders>
              <w:top w:val="single" w:color="auto" w:sz="12" w:space="0"/>
            </w:tcBorders>
            <w:shd w:val="clear" w:color="auto" w:fill="auto"/>
            <w:tcMar>
              <w:top w:w="0" w:type="dxa"/>
              <w:left w:w="108" w:type="dxa"/>
              <w:bottom w:w="0" w:type="dxa"/>
              <w:right w:w="108" w:type="dxa"/>
            </w:tcMar>
            <w:vAlign w:val="center"/>
          </w:tcPr>
          <w:p w:rsidRPr="00A8191C" w:rsidR="007E384A" w:rsidP="00D439C9" w:rsidRDefault="007E384A" w14:paraId="026FEB8F" w14:textId="11223A75">
            <w:pPr>
              <w:jc w:val="center"/>
              <w:rPr>
                <w:b/>
              </w:rPr>
            </w:pPr>
            <w:r w:rsidRPr="00A8191C">
              <w:rPr>
                <w:b/>
              </w:rPr>
              <w:t>$</w:t>
            </w:r>
            <w:r w:rsidRPr="00A8191C" w:rsidR="00AA26F3">
              <w:rPr>
                <w:b/>
              </w:rPr>
              <w:t>818,035</w:t>
            </w:r>
          </w:p>
        </w:tc>
      </w:tr>
    </w:tbl>
    <w:p w:rsidR="00E42494" w:rsidP="00E42494" w:rsidRDefault="00E42494" w14:paraId="63EAA840" w14:textId="77777777">
      <w:pPr>
        <w:rPr>
          <w:b/>
          <w:bCs/>
        </w:rPr>
      </w:pPr>
    </w:p>
    <w:p w:rsidRPr="00415727" w:rsidR="00E42494" w:rsidP="00D439C9" w:rsidRDefault="00E42494" w14:paraId="3C457857" w14:textId="2707D973">
      <w:pPr>
        <w:pStyle w:val="Caption"/>
      </w:pPr>
      <w:r w:rsidRPr="00415727">
        <w:t xml:space="preserve">Exhibit </w:t>
      </w:r>
      <w:r w:rsidR="00D3440F">
        <w:t>3b</w:t>
      </w:r>
      <w:r w:rsidRPr="00415727">
        <w:t>.  Government Personnel Cost</w:t>
      </w:r>
    </w:p>
    <w:tbl>
      <w:tblPr>
        <w:tblW w:w="8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75"/>
        <w:gridCol w:w="1320"/>
        <w:gridCol w:w="1320"/>
        <w:gridCol w:w="1320"/>
      </w:tblGrid>
      <w:tr w:rsidRPr="00415727" w:rsidR="00E42494" w:rsidTr="00A8191C" w14:paraId="7F4315F9" w14:textId="77777777">
        <w:trPr>
          <w:trHeight w:val="360"/>
        </w:trPr>
        <w:tc>
          <w:tcPr>
            <w:tcW w:w="4675" w:type="dxa"/>
            <w:tcBorders>
              <w:top w:val="single" w:color="auto" w:sz="12" w:space="0"/>
            </w:tcBorders>
            <w:vAlign w:val="bottom"/>
          </w:tcPr>
          <w:p w:rsidRPr="00415727" w:rsidR="00E42494" w:rsidP="00D439C9" w:rsidRDefault="00E42494" w14:paraId="50267A52" w14:textId="77777777">
            <w:pPr>
              <w:pStyle w:val="P1-StandPara"/>
              <w:spacing w:line="240" w:lineRule="auto"/>
              <w:ind w:firstLine="0"/>
              <w:rPr>
                <w:b/>
                <w:bCs/>
                <w:sz w:val="24"/>
                <w:szCs w:val="24"/>
              </w:rPr>
            </w:pPr>
            <w:r w:rsidRPr="00415727">
              <w:rPr>
                <w:b/>
                <w:bCs/>
                <w:sz w:val="24"/>
                <w:szCs w:val="24"/>
              </w:rPr>
              <w:t>Tasks/Personnel</w:t>
            </w:r>
          </w:p>
        </w:tc>
        <w:tc>
          <w:tcPr>
            <w:tcW w:w="1320" w:type="dxa"/>
            <w:tcBorders>
              <w:top w:val="single" w:color="auto" w:sz="12" w:space="0"/>
            </w:tcBorders>
            <w:vAlign w:val="bottom"/>
          </w:tcPr>
          <w:p w:rsidRPr="00415727" w:rsidR="00E42494" w:rsidP="00D439C9" w:rsidRDefault="00E42494" w14:paraId="6F2F7806" w14:textId="77777777">
            <w:pPr>
              <w:pStyle w:val="P1-StandPara"/>
              <w:spacing w:line="240" w:lineRule="auto"/>
              <w:ind w:firstLine="0"/>
              <w:jc w:val="center"/>
              <w:rPr>
                <w:b/>
                <w:bCs/>
                <w:sz w:val="24"/>
                <w:szCs w:val="24"/>
              </w:rPr>
            </w:pPr>
            <w:r w:rsidRPr="00415727">
              <w:rPr>
                <w:b/>
                <w:bCs/>
                <w:sz w:val="24"/>
                <w:szCs w:val="24"/>
              </w:rPr>
              <w:t>Annual Salary</w:t>
            </w:r>
          </w:p>
        </w:tc>
        <w:tc>
          <w:tcPr>
            <w:tcW w:w="1320" w:type="dxa"/>
            <w:tcBorders>
              <w:top w:val="single" w:color="auto" w:sz="12" w:space="0"/>
            </w:tcBorders>
            <w:vAlign w:val="bottom"/>
          </w:tcPr>
          <w:p w:rsidRPr="00415727" w:rsidR="00E42494" w:rsidP="00D439C9" w:rsidRDefault="00E42494" w14:paraId="0B1C6F06" w14:textId="77777777">
            <w:pPr>
              <w:pStyle w:val="P1-StandPara"/>
              <w:spacing w:line="240" w:lineRule="auto"/>
              <w:ind w:firstLine="0"/>
              <w:jc w:val="center"/>
              <w:rPr>
                <w:b/>
                <w:bCs/>
                <w:sz w:val="24"/>
                <w:szCs w:val="24"/>
              </w:rPr>
            </w:pPr>
            <w:r w:rsidRPr="00415727">
              <w:rPr>
                <w:b/>
                <w:bCs/>
                <w:sz w:val="24"/>
                <w:szCs w:val="24"/>
              </w:rPr>
              <w:t>% of Time</w:t>
            </w:r>
          </w:p>
        </w:tc>
        <w:tc>
          <w:tcPr>
            <w:tcW w:w="1320" w:type="dxa"/>
            <w:tcBorders>
              <w:top w:val="single" w:color="auto" w:sz="12" w:space="0"/>
            </w:tcBorders>
            <w:vAlign w:val="bottom"/>
          </w:tcPr>
          <w:p w:rsidRPr="00415727" w:rsidR="00E42494" w:rsidP="00D439C9" w:rsidRDefault="00E42494" w14:paraId="5CDC01EF" w14:textId="77777777">
            <w:pPr>
              <w:pStyle w:val="P1-StandPara"/>
              <w:spacing w:line="240" w:lineRule="auto"/>
              <w:ind w:firstLine="0"/>
              <w:jc w:val="center"/>
              <w:rPr>
                <w:b/>
                <w:bCs/>
                <w:sz w:val="24"/>
                <w:szCs w:val="24"/>
              </w:rPr>
            </w:pPr>
            <w:r w:rsidRPr="00415727">
              <w:rPr>
                <w:b/>
                <w:bCs/>
                <w:sz w:val="24"/>
                <w:szCs w:val="24"/>
              </w:rPr>
              <w:t>Cost</w:t>
            </w:r>
          </w:p>
        </w:tc>
      </w:tr>
      <w:tr w:rsidRPr="00D439C9" w:rsidR="00E42494" w:rsidTr="00A8191C" w14:paraId="18AA0FDC" w14:textId="77777777">
        <w:trPr>
          <w:trHeight w:val="360"/>
        </w:trPr>
        <w:tc>
          <w:tcPr>
            <w:tcW w:w="8635" w:type="dxa"/>
            <w:gridSpan w:val="4"/>
            <w:shd w:val="clear" w:color="auto" w:fill="D9D9D9"/>
            <w:vAlign w:val="center"/>
          </w:tcPr>
          <w:p w:rsidRPr="00D439C9" w:rsidR="00E42494" w:rsidP="00D439C9" w:rsidRDefault="00E42494" w14:paraId="6F89E884" w14:textId="77777777">
            <w:pPr>
              <w:jc w:val="center"/>
              <w:rPr>
                <w:b/>
              </w:rPr>
            </w:pPr>
            <w:r w:rsidRPr="00D439C9">
              <w:rPr>
                <w:b/>
              </w:rPr>
              <w:t>Government Personnel Costs</w:t>
            </w:r>
          </w:p>
        </w:tc>
      </w:tr>
      <w:tr w:rsidRPr="00415727" w:rsidR="00E42494" w:rsidTr="00A8191C" w14:paraId="1EE215C8" w14:textId="77777777">
        <w:trPr>
          <w:trHeight w:val="360"/>
        </w:trPr>
        <w:tc>
          <w:tcPr>
            <w:tcW w:w="4675" w:type="dxa"/>
            <w:vAlign w:val="center"/>
          </w:tcPr>
          <w:p w:rsidRPr="00D439C9" w:rsidR="00E42494" w:rsidP="00D439C9" w:rsidRDefault="00E42494" w14:paraId="4F2F20CB" w14:textId="764B6485">
            <w:r w:rsidRPr="00415727">
              <w:t xml:space="preserve">Social Science Analyst </w:t>
            </w:r>
            <w:r w:rsidRPr="00D439C9">
              <w:t xml:space="preserve">– </w:t>
            </w:r>
            <w:r w:rsidRPr="00D439C9" w:rsidR="00415727">
              <w:t>GS14</w:t>
            </w:r>
            <w:r w:rsidRPr="00D439C9">
              <w:t xml:space="preserve">*, Step </w:t>
            </w:r>
            <w:r w:rsidRPr="00D439C9" w:rsidR="00415727">
              <w:t>9</w:t>
            </w:r>
          </w:p>
        </w:tc>
        <w:tc>
          <w:tcPr>
            <w:tcW w:w="1320" w:type="dxa"/>
            <w:vAlign w:val="center"/>
          </w:tcPr>
          <w:p w:rsidRPr="00D439C9" w:rsidR="00E42494" w:rsidP="00D439C9" w:rsidRDefault="00E42494" w14:paraId="5E09FC96" w14:textId="2189B56E">
            <w:pPr>
              <w:jc w:val="center"/>
            </w:pPr>
          </w:p>
        </w:tc>
        <w:tc>
          <w:tcPr>
            <w:tcW w:w="1320" w:type="dxa"/>
            <w:vAlign w:val="center"/>
          </w:tcPr>
          <w:p w:rsidRPr="00D439C9" w:rsidR="00E42494" w:rsidP="00D439C9" w:rsidRDefault="00E42494" w14:paraId="402BF576" w14:textId="325FEB38">
            <w:pPr>
              <w:jc w:val="center"/>
            </w:pPr>
          </w:p>
        </w:tc>
        <w:tc>
          <w:tcPr>
            <w:tcW w:w="1320" w:type="dxa"/>
            <w:vAlign w:val="center"/>
          </w:tcPr>
          <w:p w:rsidRPr="00D439C9" w:rsidR="00E42494" w:rsidP="00D439C9" w:rsidRDefault="00E42494" w14:paraId="71748A14" w14:textId="038E1ECB">
            <w:pPr>
              <w:jc w:val="center"/>
            </w:pPr>
          </w:p>
        </w:tc>
      </w:tr>
      <w:tr w:rsidRPr="00415727" w:rsidR="00415727" w:rsidTr="00A8191C" w14:paraId="65E112C1" w14:textId="77777777">
        <w:trPr>
          <w:trHeight w:val="360"/>
        </w:trPr>
        <w:tc>
          <w:tcPr>
            <w:tcW w:w="4675" w:type="dxa"/>
            <w:vAlign w:val="center"/>
          </w:tcPr>
          <w:p w:rsidRPr="00415727" w:rsidR="00415727" w:rsidP="00AA0925" w:rsidRDefault="00415727" w14:paraId="6790579D" w14:textId="77256EE2">
            <w:pPr>
              <w:ind w:left="337"/>
            </w:pPr>
            <w:r w:rsidRPr="00415727">
              <w:t>Data Collection Oversight</w:t>
            </w:r>
          </w:p>
        </w:tc>
        <w:tc>
          <w:tcPr>
            <w:tcW w:w="1320" w:type="dxa"/>
            <w:vAlign w:val="center"/>
          </w:tcPr>
          <w:p w:rsidRPr="00D439C9" w:rsidR="00415727" w:rsidP="00D439C9" w:rsidRDefault="00415727" w14:paraId="277E0624" w14:textId="1CE86336">
            <w:pPr>
              <w:jc w:val="center"/>
            </w:pPr>
            <w:r w:rsidRPr="00D439C9">
              <w:t>$148,445</w:t>
            </w:r>
          </w:p>
        </w:tc>
        <w:tc>
          <w:tcPr>
            <w:tcW w:w="1320" w:type="dxa"/>
            <w:vAlign w:val="center"/>
          </w:tcPr>
          <w:p w:rsidRPr="00D439C9" w:rsidR="00415727" w:rsidP="00D439C9" w:rsidRDefault="000C01DE" w14:paraId="28BE6055" w14:textId="43513486">
            <w:pPr>
              <w:jc w:val="center"/>
            </w:pPr>
            <w:r w:rsidRPr="00D439C9">
              <w:t>10</w:t>
            </w:r>
            <w:r w:rsidRPr="00D439C9" w:rsidR="00415727">
              <w:t>%</w:t>
            </w:r>
          </w:p>
        </w:tc>
        <w:tc>
          <w:tcPr>
            <w:tcW w:w="1320" w:type="dxa"/>
            <w:vAlign w:val="center"/>
          </w:tcPr>
          <w:p w:rsidRPr="00D439C9" w:rsidR="00415727" w:rsidP="00D439C9" w:rsidRDefault="00415727" w14:paraId="2A825AC5" w14:textId="7E3FFA47">
            <w:pPr>
              <w:jc w:val="center"/>
            </w:pPr>
            <w:r w:rsidRPr="00D439C9">
              <w:t>$</w:t>
            </w:r>
            <w:r w:rsidRPr="00D439C9" w:rsidR="000C01DE">
              <w:t>14,844.50</w:t>
            </w:r>
          </w:p>
        </w:tc>
      </w:tr>
      <w:tr w:rsidRPr="00415727" w:rsidR="00415727" w:rsidTr="00A8191C" w14:paraId="2DDD591F" w14:textId="77777777">
        <w:trPr>
          <w:trHeight w:val="360"/>
        </w:trPr>
        <w:tc>
          <w:tcPr>
            <w:tcW w:w="4675" w:type="dxa"/>
            <w:tcBorders>
              <w:bottom w:val="single" w:color="auto" w:sz="12" w:space="0"/>
            </w:tcBorders>
            <w:vAlign w:val="center"/>
          </w:tcPr>
          <w:p w:rsidRPr="00415727" w:rsidR="00415727" w:rsidP="00AA0925" w:rsidRDefault="00415727" w14:paraId="24ADEE18" w14:textId="721BB8A7">
            <w:pPr>
              <w:ind w:left="337"/>
            </w:pPr>
            <w:r w:rsidRPr="00415727">
              <w:t>Review of Results</w:t>
            </w:r>
          </w:p>
        </w:tc>
        <w:tc>
          <w:tcPr>
            <w:tcW w:w="1320" w:type="dxa"/>
            <w:tcBorders>
              <w:bottom w:val="single" w:color="auto" w:sz="12" w:space="0"/>
            </w:tcBorders>
            <w:vAlign w:val="center"/>
          </w:tcPr>
          <w:p w:rsidRPr="00D439C9" w:rsidR="00415727" w:rsidP="00D439C9" w:rsidRDefault="00415727" w14:paraId="3F93E69C" w14:textId="1A32D713">
            <w:pPr>
              <w:jc w:val="center"/>
            </w:pPr>
            <w:r w:rsidRPr="00D439C9">
              <w:t>$148,445</w:t>
            </w:r>
          </w:p>
        </w:tc>
        <w:tc>
          <w:tcPr>
            <w:tcW w:w="1320" w:type="dxa"/>
            <w:tcBorders>
              <w:bottom w:val="single" w:color="auto" w:sz="12" w:space="0"/>
            </w:tcBorders>
            <w:vAlign w:val="center"/>
          </w:tcPr>
          <w:p w:rsidRPr="00D439C9" w:rsidR="00415727" w:rsidP="00D439C9" w:rsidRDefault="00415727" w14:paraId="2802CAFC" w14:textId="42F69F31">
            <w:pPr>
              <w:jc w:val="center"/>
            </w:pPr>
            <w:r w:rsidRPr="00D439C9">
              <w:t>10%</w:t>
            </w:r>
          </w:p>
        </w:tc>
        <w:tc>
          <w:tcPr>
            <w:tcW w:w="1320" w:type="dxa"/>
            <w:tcBorders>
              <w:bottom w:val="single" w:color="auto" w:sz="12" w:space="0"/>
            </w:tcBorders>
            <w:vAlign w:val="center"/>
          </w:tcPr>
          <w:p w:rsidRPr="00D439C9" w:rsidR="00415727" w:rsidP="00D439C9" w:rsidRDefault="00415727" w14:paraId="0E31F6FF" w14:textId="67C1F1E3">
            <w:pPr>
              <w:jc w:val="center"/>
            </w:pPr>
            <w:r w:rsidRPr="00D439C9">
              <w:t>$14,844.50</w:t>
            </w:r>
          </w:p>
        </w:tc>
      </w:tr>
      <w:tr w:rsidRPr="00A8191C" w:rsidR="00E42494" w:rsidTr="00A8191C" w14:paraId="03122839" w14:textId="77777777">
        <w:trPr>
          <w:trHeight w:val="360"/>
        </w:trPr>
        <w:tc>
          <w:tcPr>
            <w:tcW w:w="4675" w:type="dxa"/>
            <w:tcBorders>
              <w:top w:val="single" w:color="auto" w:sz="12" w:space="0"/>
            </w:tcBorders>
            <w:vAlign w:val="center"/>
          </w:tcPr>
          <w:p w:rsidRPr="00A8191C" w:rsidR="00E42494" w:rsidP="00A8191C" w:rsidRDefault="00E42494" w14:paraId="1B9A53F2" w14:textId="77777777">
            <w:pPr>
              <w:rPr>
                <w:b/>
              </w:rPr>
            </w:pPr>
            <w:r w:rsidRPr="00A8191C">
              <w:rPr>
                <w:b/>
              </w:rPr>
              <w:t>Grand Total</w:t>
            </w:r>
          </w:p>
        </w:tc>
        <w:tc>
          <w:tcPr>
            <w:tcW w:w="1320" w:type="dxa"/>
            <w:tcBorders>
              <w:top w:val="single" w:color="auto" w:sz="12" w:space="0"/>
            </w:tcBorders>
            <w:vAlign w:val="center"/>
          </w:tcPr>
          <w:p w:rsidRPr="00A8191C" w:rsidR="00E42494" w:rsidP="00D439C9" w:rsidRDefault="00E42494" w14:paraId="0A93201E" w14:textId="77777777">
            <w:pPr>
              <w:jc w:val="center"/>
              <w:rPr>
                <w:b/>
              </w:rPr>
            </w:pPr>
          </w:p>
        </w:tc>
        <w:tc>
          <w:tcPr>
            <w:tcW w:w="1320" w:type="dxa"/>
            <w:tcBorders>
              <w:top w:val="single" w:color="auto" w:sz="12" w:space="0"/>
            </w:tcBorders>
            <w:vAlign w:val="center"/>
          </w:tcPr>
          <w:p w:rsidRPr="00A8191C" w:rsidR="00E42494" w:rsidP="00D439C9" w:rsidRDefault="00E42494" w14:paraId="4943D106" w14:textId="77777777">
            <w:pPr>
              <w:jc w:val="center"/>
              <w:rPr>
                <w:b/>
              </w:rPr>
            </w:pPr>
          </w:p>
        </w:tc>
        <w:tc>
          <w:tcPr>
            <w:tcW w:w="1320" w:type="dxa"/>
            <w:tcBorders>
              <w:top w:val="single" w:color="auto" w:sz="12" w:space="0"/>
            </w:tcBorders>
            <w:vAlign w:val="center"/>
          </w:tcPr>
          <w:p w:rsidRPr="00A8191C" w:rsidR="00E42494" w:rsidP="00D439C9" w:rsidRDefault="00E42494" w14:paraId="49B6C0E0" w14:textId="6F8A8062">
            <w:pPr>
              <w:jc w:val="center"/>
              <w:rPr>
                <w:b/>
              </w:rPr>
            </w:pPr>
            <w:r w:rsidRPr="00A8191C">
              <w:rPr>
                <w:b/>
              </w:rPr>
              <w:t>$</w:t>
            </w:r>
            <w:r w:rsidRPr="00A8191C" w:rsidR="0040009C">
              <w:rPr>
                <w:b/>
              </w:rPr>
              <w:t>29</w:t>
            </w:r>
            <w:r w:rsidRPr="00A8191C" w:rsidR="00415727">
              <w:rPr>
                <w:b/>
              </w:rPr>
              <w:t>,</w:t>
            </w:r>
            <w:r w:rsidRPr="00A8191C" w:rsidR="0040009C">
              <w:rPr>
                <w:b/>
              </w:rPr>
              <w:t>689</w:t>
            </w:r>
            <w:r w:rsidRPr="00A8191C" w:rsidR="00415727">
              <w:rPr>
                <w:b/>
              </w:rPr>
              <w:t>.</w:t>
            </w:r>
            <w:r w:rsidRPr="00A8191C" w:rsidR="0040009C">
              <w:rPr>
                <w:b/>
              </w:rPr>
              <w:t>00</w:t>
            </w:r>
          </w:p>
        </w:tc>
      </w:tr>
    </w:tbl>
    <w:p w:rsidRPr="00E42494" w:rsidR="00E42494" w:rsidP="00D439C9" w:rsidRDefault="00E42494" w14:paraId="6A9DB3D3" w14:textId="7D7F255B">
      <w:pPr>
        <w:pStyle w:val="BodyText"/>
      </w:pPr>
      <w:r w:rsidRPr="00415727">
        <w:t xml:space="preserve">*Based on </w:t>
      </w:r>
      <w:r w:rsidRPr="00415727" w:rsidR="00280B80">
        <w:t xml:space="preserve">January </w:t>
      </w:r>
      <w:r w:rsidRPr="00415727">
        <w:t xml:space="preserve">2019 OPM Pay Schedule for Washington/DC area:  </w:t>
      </w:r>
      <w:hyperlink w:history="1" r:id="rId14">
        <w:r w:rsidRPr="00AF75EB" w:rsidR="00D439C9">
          <w:rPr>
            <w:rStyle w:val="Hyperlink"/>
          </w:rPr>
          <w:t>https://www.opm.gov/policy-data-oversight/pay-leave/salaries-wages/salary-tables/pdf/2019/DCB.pdf</w:t>
        </w:r>
      </w:hyperlink>
      <w:r w:rsidR="00D439C9">
        <w:t xml:space="preserve"> </w:t>
      </w:r>
    </w:p>
    <w:p w:rsidR="00AA26F3" w:rsidRDefault="00AA26F3" w14:paraId="74787BA0" w14:textId="77777777">
      <w:pPr>
        <w:rPr>
          <w:rFonts w:ascii="Arial" w:hAnsi="Arial" w:cs="Arial"/>
          <w:b/>
          <w:bCs/>
          <w:i/>
          <w:iCs/>
          <w:szCs w:val="28"/>
        </w:rPr>
      </w:pPr>
      <w:r>
        <w:br w:type="page"/>
      </w:r>
    </w:p>
    <w:p w:rsidR="009B633D" w:rsidP="003600B8" w:rsidRDefault="009B633D" w14:paraId="3F088A6F" w14:textId="6929679A">
      <w:pPr>
        <w:pStyle w:val="Heading2"/>
      </w:pPr>
      <w:bookmarkStart w:name="_Toc38531531" w:id="52"/>
      <w:r w:rsidRPr="00412C6F">
        <w:t>15. Changes in Hour Burden</w:t>
      </w:r>
      <w:bookmarkEnd w:id="50"/>
      <w:bookmarkEnd w:id="51"/>
      <w:bookmarkEnd w:id="52"/>
    </w:p>
    <w:p w:rsidRPr="00795654" w:rsidR="00E42494" w:rsidP="003600B8" w:rsidRDefault="00E42494" w14:paraId="45B39A91" w14:textId="77777777">
      <w:pPr>
        <w:pStyle w:val="BodyText"/>
      </w:pPr>
      <w:bookmarkStart w:name="_Toc267696114" w:id="53"/>
      <w:bookmarkStart w:name="_Toc267696539" w:id="54"/>
      <w:r>
        <w:t>T</w:t>
      </w:r>
      <w:r w:rsidRPr="00D40F34">
        <w:t>his is a new inform</w:t>
      </w:r>
      <w:r>
        <w:t>ation collection.</w:t>
      </w:r>
      <w:bookmarkEnd w:id="53"/>
      <w:bookmarkEnd w:id="54"/>
    </w:p>
    <w:p w:rsidR="009B633D" w:rsidP="003600B8" w:rsidRDefault="009B633D" w14:paraId="51C2E319" w14:textId="77777777">
      <w:pPr>
        <w:pStyle w:val="Heading2"/>
      </w:pPr>
      <w:bookmarkStart w:name="_Toc151782191" w:id="55"/>
      <w:bookmarkStart w:name="_Toc158526231" w:id="56"/>
      <w:bookmarkStart w:name="_Toc38531532" w:id="57"/>
      <w:r w:rsidRPr="00412C6F">
        <w:t xml:space="preserve">16. </w:t>
      </w:r>
      <w:r w:rsidRPr="00AA26F3">
        <w:t>Time Schedule, Publication and Analysis Plans</w:t>
      </w:r>
      <w:bookmarkEnd w:id="55"/>
      <w:bookmarkEnd w:id="56"/>
      <w:bookmarkEnd w:id="57"/>
    </w:p>
    <w:p w:rsidR="00D439C9" w:rsidP="00D439C9" w:rsidRDefault="00D439C9" w14:paraId="05ABB9F2" w14:textId="768B6DB7">
      <w:pPr>
        <w:pStyle w:val="Caption"/>
      </w:pPr>
      <w:r>
        <w:t>Exhibit 5</w:t>
      </w:r>
      <w:r w:rsidRPr="00234B2A">
        <w:tab/>
        <w:t>Project Timeline</w:t>
      </w:r>
    </w:p>
    <w:tbl>
      <w:tblPr>
        <w:tblStyle w:val="TableGrid"/>
        <w:tblW w:w="8455" w:type="dxa"/>
        <w:tblLook w:val="04A0" w:firstRow="1" w:lastRow="0" w:firstColumn="1" w:lastColumn="0" w:noHBand="0" w:noVBand="1"/>
      </w:tblPr>
      <w:tblGrid>
        <w:gridCol w:w="4585"/>
        <w:gridCol w:w="3870"/>
      </w:tblGrid>
      <w:tr w:rsidRPr="00A8191C" w:rsidR="00D439C9" w:rsidTr="00A8191C" w14:paraId="40C81FD3" w14:textId="77777777">
        <w:trPr>
          <w:trHeight w:val="360"/>
        </w:trPr>
        <w:tc>
          <w:tcPr>
            <w:tcW w:w="4585" w:type="dxa"/>
            <w:tcBorders>
              <w:top w:val="single" w:color="auto" w:sz="12" w:space="0"/>
            </w:tcBorders>
            <w:vAlign w:val="center"/>
          </w:tcPr>
          <w:p w:rsidRPr="00A8191C" w:rsidR="00D439C9" w:rsidP="00A8191C" w:rsidRDefault="00D439C9" w14:paraId="3B7E9E52" w14:textId="77777777">
            <w:pPr>
              <w:rPr>
                <w:b/>
              </w:rPr>
            </w:pPr>
            <w:r w:rsidRPr="00A8191C">
              <w:rPr>
                <w:b/>
              </w:rPr>
              <w:t>Description (in chronological order)</w:t>
            </w:r>
          </w:p>
        </w:tc>
        <w:tc>
          <w:tcPr>
            <w:tcW w:w="3870" w:type="dxa"/>
            <w:tcBorders>
              <w:top w:val="single" w:color="auto" w:sz="12" w:space="0"/>
            </w:tcBorders>
            <w:vAlign w:val="center"/>
          </w:tcPr>
          <w:p w:rsidRPr="00A8191C" w:rsidR="00D439C9" w:rsidP="00A8191C" w:rsidRDefault="00D439C9" w14:paraId="038C849D" w14:textId="77777777">
            <w:pPr>
              <w:jc w:val="center"/>
              <w:rPr>
                <w:b/>
              </w:rPr>
            </w:pPr>
            <w:r w:rsidRPr="00A8191C">
              <w:rPr>
                <w:b/>
              </w:rPr>
              <w:t>Due Date</w:t>
            </w:r>
          </w:p>
        </w:tc>
      </w:tr>
      <w:tr w:rsidRPr="00A8191C" w:rsidR="00D439C9" w:rsidTr="00A8191C" w14:paraId="71F8146A" w14:textId="77777777">
        <w:trPr>
          <w:trHeight w:val="360"/>
        </w:trPr>
        <w:tc>
          <w:tcPr>
            <w:tcW w:w="4585" w:type="dxa"/>
            <w:vAlign w:val="center"/>
          </w:tcPr>
          <w:p w:rsidRPr="00A8191C" w:rsidR="00D439C9" w:rsidP="00A8191C" w:rsidRDefault="00D439C9" w14:paraId="5879C29C" w14:textId="77777777">
            <w:r w:rsidRPr="00A8191C">
              <w:t>Draft Provider Survey</w:t>
            </w:r>
          </w:p>
        </w:tc>
        <w:tc>
          <w:tcPr>
            <w:tcW w:w="3870" w:type="dxa"/>
            <w:vAlign w:val="center"/>
          </w:tcPr>
          <w:p w:rsidRPr="00A8191C" w:rsidR="00D439C9" w:rsidP="00A8191C" w:rsidRDefault="00D439C9" w14:paraId="522BB629" w14:textId="77777777">
            <w:pPr>
              <w:jc w:val="center"/>
            </w:pPr>
            <w:r w:rsidRPr="00A8191C">
              <w:t>January 31, 2020</w:t>
            </w:r>
          </w:p>
        </w:tc>
      </w:tr>
      <w:tr w:rsidRPr="00A8191C" w:rsidR="00D439C9" w:rsidTr="00A8191C" w14:paraId="7758C4A2" w14:textId="77777777">
        <w:trPr>
          <w:trHeight w:val="360"/>
        </w:trPr>
        <w:tc>
          <w:tcPr>
            <w:tcW w:w="4585" w:type="dxa"/>
            <w:vAlign w:val="center"/>
          </w:tcPr>
          <w:p w:rsidRPr="00A8191C" w:rsidR="00D439C9" w:rsidP="00A8191C" w:rsidRDefault="00D439C9" w14:paraId="55341853" w14:textId="77777777">
            <w:r w:rsidRPr="00A8191C">
              <w:t>Final Provider Survey</w:t>
            </w:r>
          </w:p>
        </w:tc>
        <w:tc>
          <w:tcPr>
            <w:tcW w:w="3870" w:type="dxa"/>
            <w:vAlign w:val="center"/>
          </w:tcPr>
          <w:p w:rsidRPr="00A8191C" w:rsidR="00D439C9" w:rsidP="00A8191C" w:rsidRDefault="00D439C9" w14:paraId="4A95FEB2" w14:textId="77777777">
            <w:pPr>
              <w:jc w:val="center"/>
            </w:pPr>
            <w:r w:rsidRPr="00A8191C">
              <w:t>March 13, 2020</w:t>
            </w:r>
          </w:p>
        </w:tc>
      </w:tr>
      <w:tr w:rsidRPr="00A8191C" w:rsidR="00D439C9" w:rsidTr="00A8191C" w14:paraId="4AB6FCB3" w14:textId="77777777">
        <w:trPr>
          <w:trHeight w:val="360"/>
        </w:trPr>
        <w:tc>
          <w:tcPr>
            <w:tcW w:w="4585" w:type="dxa"/>
            <w:vAlign w:val="center"/>
          </w:tcPr>
          <w:p w:rsidRPr="00A8191C" w:rsidR="00D439C9" w:rsidP="00A8191C" w:rsidRDefault="00D439C9" w14:paraId="237C701E" w14:textId="77777777">
            <w:r w:rsidRPr="00A8191C">
              <w:t>Project Summary</w:t>
            </w:r>
          </w:p>
        </w:tc>
        <w:tc>
          <w:tcPr>
            <w:tcW w:w="3870" w:type="dxa"/>
            <w:vAlign w:val="center"/>
          </w:tcPr>
          <w:p w:rsidRPr="00A8191C" w:rsidR="00D439C9" w:rsidP="00A8191C" w:rsidRDefault="00D439C9" w14:paraId="77E5ECB6" w14:textId="77777777">
            <w:pPr>
              <w:jc w:val="center"/>
            </w:pPr>
            <w:r w:rsidRPr="00A8191C">
              <w:t>Annually beginning March 15, 2020</w:t>
            </w:r>
          </w:p>
        </w:tc>
      </w:tr>
      <w:tr w:rsidRPr="00A8191C" w:rsidR="00D439C9" w:rsidTr="00A8191C" w14:paraId="0FCAD7FF" w14:textId="77777777">
        <w:trPr>
          <w:trHeight w:val="360"/>
        </w:trPr>
        <w:tc>
          <w:tcPr>
            <w:tcW w:w="4585" w:type="dxa"/>
            <w:vAlign w:val="center"/>
          </w:tcPr>
          <w:p w:rsidRPr="00A8191C" w:rsidR="00D439C9" w:rsidP="00A8191C" w:rsidRDefault="00D439C9" w14:paraId="69093F28" w14:textId="77777777">
            <w:r w:rsidRPr="00A8191C">
              <w:t>Draft OMB Package</w:t>
            </w:r>
          </w:p>
        </w:tc>
        <w:tc>
          <w:tcPr>
            <w:tcW w:w="3870" w:type="dxa"/>
            <w:vAlign w:val="center"/>
          </w:tcPr>
          <w:p w:rsidRPr="00A8191C" w:rsidR="00D439C9" w:rsidP="00A8191C" w:rsidRDefault="00D439C9" w14:paraId="22C8E376" w14:textId="77777777">
            <w:pPr>
              <w:jc w:val="center"/>
            </w:pPr>
            <w:r w:rsidRPr="00A8191C">
              <w:t>April 1, 2020</w:t>
            </w:r>
          </w:p>
        </w:tc>
      </w:tr>
      <w:tr w:rsidRPr="00A8191C" w:rsidR="00D439C9" w:rsidTr="00A8191C" w14:paraId="271A96BF" w14:textId="77777777">
        <w:trPr>
          <w:trHeight w:val="360"/>
        </w:trPr>
        <w:tc>
          <w:tcPr>
            <w:tcW w:w="4585" w:type="dxa"/>
            <w:vAlign w:val="center"/>
          </w:tcPr>
          <w:p w:rsidRPr="00A8191C" w:rsidR="00D439C9" w:rsidP="00A8191C" w:rsidRDefault="00D439C9" w14:paraId="73CD18F7" w14:textId="77777777">
            <w:r w:rsidRPr="00A8191C">
              <w:t>Identify Exemplar Practices to Rank</w:t>
            </w:r>
          </w:p>
        </w:tc>
        <w:tc>
          <w:tcPr>
            <w:tcW w:w="3870" w:type="dxa"/>
            <w:vAlign w:val="center"/>
          </w:tcPr>
          <w:p w:rsidRPr="00A8191C" w:rsidR="00D439C9" w:rsidP="00A8191C" w:rsidRDefault="00D439C9" w14:paraId="1E43B8F0" w14:textId="77777777">
            <w:pPr>
              <w:jc w:val="center"/>
            </w:pPr>
            <w:r w:rsidRPr="00A8191C">
              <w:t>April 1, 2020</w:t>
            </w:r>
          </w:p>
        </w:tc>
      </w:tr>
      <w:tr w:rsidRPr="00A8191C" w:rsidR="00D439C9" w:rsidTr="00A8191C" w14:paraId="6DC88F42" w14:textId="77777777">
        <w:trPr>
          <w:trHeight w:val="360"/>
        </w:trPr>
        <w:tc>
          <w:tcPr>
            <w:tcW w:w="4585" w:type="dxa"/>
            <w:vAlign w:val="center"/>
          </w:tcPr>
          <w:p w:rsidRPr="00A8191C" w:rsidR="00D439C9" w:rsidP="00A8191C" w:rsidRDefault="00D439C9" w14:paraId="4215E2C5" w14:textId="77777777">
            <w:r w:rsidRPr="00A8191C">
              <w:t>Draft Evaluation Plan</w:t>
            </w:r>
          </w:p>
        </w:tc>
        <w:tc>
          <w:tcPr>
            <w:tcW w:w="3870" w:type="dxa"/>
            <w:vAlign w:val="center"/>
          </w:tcPr>
          <w:p w:rsidRPr="00A8191C" w:rsidR="00D439C9" w:rsidP="00A8191C" w:rsidRDefault="00D439C9" w14:paraId="5CA9810C" w14:textId="77777777">
            <w:pPr>
              <w:jc w:val="center"/>
            </w:pPr>
            <w:r w:rsidRPr="00A8191C">
              <w:t>April 15, 2020</w:t>
            </w:r>
          </w:p>
        </w:tc>
      </w:tr>
      <w:tr w:rsidRPr="00A8191C" w:rsidR="00D439C9" w:rsidTr="00A8191C" w14:paraId="3BA1F41D" w14:textId="77777777">
        <w:trPr>
          <w:trHeight w:val="360"/>
        </w:trPr>
        <w:tc>
          <w:tcPr>
            <w:tcW w:w="4585" w:type="dxa"/>
            <w:vAlign w:val="center"/>
          </w:tcPr>
          <w:p w:rsidRPr="00A8191C" w:rsidR="00D439C9" w:rsidP="00A8191C" w:rsidRDefault="00D439C9" w14:paraId="422CD861" w14:textId="77777777">
            <w:r w:rsidRPr="00A8191C">
              <w:t>Final OMB Package</w:t>
            </w:r>
          </w:p>
        </w:tc>
        <w:tc>
          <w:tcPr>
            <w:tcW w:w="3870" w:type="dxa"/>
            <w:vAlign w:val="center"/>
          </w:tcPr>
          <w:p w:rsidRPr="00A8191C" w:rsidR="00D439C9" w:rsidP="00A8191C" w:rsidRDefault="00D439C9" w14:paraId="4D75CF63" w14:textId="77777777">
            <w:pPr>
              <w:jc w:val="center"/>
            </w:pPr>
            <w:r w:rsidRPr="00A8191C">
              <w:t>May 1, 2020</w:t>
            </w:r>
          </w:p>
        </w:tc>
      </w:tr>
      <w:tr w:rsidRPr="00A8191C" w:rsidR="00D439C9" w:rsidTr="00A8191C" w14:paraId="0B2DF877" w14:textId="77777777">
        <w:trPr>
          <w:trHeight w:val="360"/>
        </w:trPr>
        <w:tc>
          <w:tcPr>
            <w:tcW w:w="4585" w:type="dxa"/>
            <w:vAlign w:val="center"/>
          </w:tcPr>
          <w:p w:rsidRPr="00A8191C" w:rsidR="00D439C9" w:rsidP="00A8191C" w:rsidRDefault="00D439C9" w14:paraId="4F1ECCA2" w14:textId="77777777">
            <w:r w:rsidRPr="00A8191C">
              <w:t>Final Evaluation Plan</w:t>
            </w:r>
          </w:p>
        </w:tc>
        <w:tc>
          <w:tcPr>
            <w:tcW w:w="3870" w:type="dxa"/>
            <w:vAlign w:val="center"/>
          </w:tcPr>
          <w:p w:rsidRPr="00A8191C" w:rsidR="00D439C9" w:rsidP="00A8191C" w:rsidRDefault="00D439C9" w14:paraId="6B9D435B" w14:textId="77777777">
            <w:pPr>
              <w:jc w:val="center"/>
            </w:pPr>
            <w:r w:rsidRPr="00A8191C">
              <w:t>May 13, 2020</w:t>
            </w:r>
          </w:p>
        </w:tc>
      </w:tr>
      <w:tr w:rsidRPr="00A8191C" w:rsidR="00D439C9" w:rsidTr="00A8191C" w14:paraId="01EF5C16" w14:textId="77777777">
        <w:trPr>
          <w:trHeight w:val="360"/>
        </w:trPr>
        <w:tc>
          <w:tcPr>
            <w:tcW w:w="4585" w:type="dxa"/>
            <w:vAlign w:val="center"/>
          </w:tcPr>
          <w:p w:rsidRPr="00A8191C" w:rsidR="00D439C9" w:rsidP="00A8191C" w:rsidRDefault="00D439C9" w14:paraId="7DA1B130" w14:textId="77777777">
            <w:r w:rsidRPr="00A8191C">
              <w:t>Draft Environment</w:t>
            </w:r>
          </w:p>
        </w:tc>
        <w:tc>
          <w:tcPr>
            <w:tcW w:w="3870" w:type="dxa"/>
            <w:vAlign w:val="center"/>
          </w:tcPr>
          <w:p w:rsidRPr="00A8191C" w:rsidR="00D439C9" w:rsidP="00A8191C" w:rsidRDefault="00D439C9" w14:paraId="3F1774F9" w14:textId="77777777">
            <w:pPr>
              <w:jc w:val="center"/>
            </w:pPr>
            <w:r w:rsidRPr="00A8191C">
              <w:t>May 15, 2020</w:t>
            </w:r>
          </w:p>
        </w:tc>
      </w:tr>
      <w:tr w:rsidRPr="00A8191C" w:rsidR="00D439C9" w:rsidTr="00A8191C" w14:paraId="4C82DF65" w14:textId="77777777">
        <w:trPr>
          <w:trHeight w:val="360"/>
        </w:trPr>
        <w:tc>
          <w:tcPr>
            <w:tcW w:w="4585" w:type="dxa"/>
            <w:vAlign w:val="center"/>
          </w:tcPr>
          <w:p w:rsidRPr="00A8191C" w:rsidR="00D439C9" w:rsidP="00A8191C" w:rsidRDefault="00D439C9" w14:paraId="56AC737C" w14:textId="77777777">
            <w:r w:rsidRPr="00A8191C">
              <w:t>Synthesis of Exemplar Practices Memo</w:t>
            </w:r>
          </w:p>
        </w:tc>
        <w:tc>
          <w:tcPr>
            <w:tcW w:w="3870" w:type="dxa"/>
            <w:vAlign w:val="center"/>
          </w:tcPr>
          <w:p w:rsidRPr="00A8191C" w:rsidR="00D439C9" w:rsidP="00A8191C" w:rsidRDefault="00D439C9" w14:paraId="30D73E6E" w14:textId="77777777">
            <w:pPr>
              <w:jc w:val="center"/>
            </w:pPr>
            <w:r w:rsidRPr="00A8191C">
              <w:t>June 1, 2020</w:t>
            </w:r>
          </w:p>
        </w:tc>
      </w:tr>
      <w:tr w:rsidRPr="00A8191C" w:rsidR="00D439C9" w:rsidTr="00A8191C" w14:paraId="74B9B855" w14:textId="77777777">
        <w:trPr>
          <w:trHeight w:val="360"/>
        </w:trPr>
        <w:tc>
          <w:tcPr>
            <w:tcW w:w="4585" w:type="dxa"/>
            <w:vAlign w:val="center"/>
          </w:tcPr>
          <w:p w:rsidRPr="00A8191C" w:rsidR="00D439C9" w:rsidP="00A8191C" w:rsidRDefault="00D439C9" w14:paraId="53C112F0" w14:textId="77777777">
            <w:r w:rsidRPr="00A8191C">
              <w:t>Final Environment Scan</w:t>
            </w:r>
          </w:p>
        </w:tc>
        <w:tc>
          <w:tcPr>
            <w:tcW w:w="3870" w:type="dxa"/>
            <w:vAlign w:val="center"/>
          </w:tcPr>
          <w:p w:rsidRPr="00A8191C" w:rsidR="00D439C9" w:rsidP="00A8191C" w:rsidRDefault="00D439C9" w14:paraId="31005495" w14:textId="77777777">
            <w:pPr>
              <w:jc w:val="center"/>
            </w:pPr>
            <w:r w:rsidRPr="00A8191C">
              <w:t>June 12, 2020</w:t>
            </w:r>
          </w:p>
        </w:tc>
      </w:tr>
      <w:tr w:rsidRPr="00A8191C" w:rsidR="00D439C9" w:rsidTr="00A8191C" w14:paraId="1898F68D" w14:textId="77777777">
        <w:trPr>
          <w:trHeight w:val="360"/>
        </w:trPr>
        <w:tc>
          <w:tcPr>
            <w:tcW w:w="4585" w:type="dxa"/>
            <w:vAlign w:val="center"/>
          </w:tcPr>
          <w:p w:rsidRPr="00A8191C" w:rsidR="00D439C9" w:rsidP="00A8191C" w:rsidRDefault="00D439C9" w14:paraId="13E19DC7" w14:textId="77777777">
            <w:r w:rsidRPr="00A8191C">
              <w:t>Draft Compendium Version 1</w:t>
            </w:r>
          </w:p>
        </w:tc>
        <w:tc>
          <w:tcPr>
            <w:tcW w:w="3870" w:type="dxa"/>
            <w:vAlign w:val="center"/>
          </w:tcPr>
          <w:p w:rsidRPr="00A8191C" w:rsidR="00D439C9" w:rsidP="00A8191C" w:rsidRDefault="00D439C9" w14:paraId="516E8960" w14:textId="77777777">
            <w:pPr>
              <w:jc w:val="center"/>
            </w:pPr>
            <w:r w:rsidRPr="00A8191C">
              <w:t>July 28, 2020</w:t>
            </w:r>
          </w:p>
        </w:tc>
      </w:tr>
      <w:tr w:rsidRPr="00A8191C" w:rsidR="00D439C9" w:rsidTr="00A8191C" w14:paraId="6CEB8DF6" w14:textId="77777777">
        <w:trPr>
          <w:trHeight w:val="360"/>
        </w:trPr>
        <w:tc>
          <w:tcPr>
            <w:tcW w:w="4585" w:type="dxa"/>
            <w:vAlign w:val="center"/>
          </w:tcPr>
          <w:p w:rsidRPr="00A8191C" w:rsidR="00D439C9" w:rsidP="00A8191C" w:rsidRDefault="00D439C9" w14:paraId="3F374E6C" w14:textId="77777777">
            <w:r w:rsidRPr="00A8191C">
              <w:t>Final Compendium Version 1</w:t>
            </w:r>
          </w:p>
        </w:tc>
        <w:tc>
          <w:tcPr>
            <w:tcW w:w="3870" w:type="dxa"/>
            <w:vAlign w:val="center"/>
          </w:tcPr>
          <w:p w:rsidRPr="00A8191C" w:rsidR="00D439C9" w:rsidP="00A8191C" w:rsidRDefault="00D439C9" w14:paraId="47C85ED9" w14:textId="77777777">
            <w:pPr>
              <w:jc w:val="center"/>
            </w:pPr>
            <w:r w:rsidRPr="00A8191C">
              <w:t>August 25, 2020</w:t>
            </w:r>
          </w:p>
        </w:tc>
      </w:tr>
      <w:tr w:rsidRPr="00A8191C" w:rsidR="00D439C9" w:rsidTr="00A8191C" w14:paraId="792DCBD7" w14:textId="77777777">
        <w:trPr>
          <w:trHeight w:val="360"/>
        </w:trPr>
        <w:tc>
          <w:tcPr>
            <w:tcW w:w="4585" w:type="dxa"/>
            <w:vAlign w:val="center"/>
          </w:tcPr>
          <w:p w:rsidRPr="00A8191C" w:rsidR="00D439C9" w:rsidP="00A8191C" w:rsidRDefault="00D439C9" w14:paraId="23B1FC1F" w14:textId="77777777">
            <w:r w:rsidRPr="00A8191C">
              <w:t>Website Mockup</w:t>
            </w:r>
          </w:p>
        </w:tc>
        <w:tc>
          <w:tcPr>
            <w:tcW w:w="3870" w:type="dxa"/>
            <w:vAlign w:val="center"/>
          </w:tcPr>
          <w:p w:rsidRPr="00A8191C" w:rsidR="00D439C9" w:rsidP="00A8191C" w:rsidRDefault="00D439C9" w14:paraId="7E21FE82" w14:textId="77777777">
            <w:pPr>
              <w:jc w:val="center"/>
            </w:pPr>
            <w:r w:rsidRPr="00A8191C">
              <w:t>October 1, 2020</w:t>
            </w:r>
          </w:p>
        </w:tc>
      </w:tr>
      <w:tr w:rsidRPr="00A8191C" w:rsidR="00D439C9" w:rsidTr="00A8191C" w14:paraId="2FD932A9" w14:textId="77777777">
        <w:trPr>
          <w:trHeight w:val="360"/>
        </w:trPr>
        <w:tc>
          <w:tcPr>
            <w:tcW w:w="4585" w:type="dxa"/>
            <w:vAlign w:val="center"/>
          </w:tcPr>
          <w:p w:rsidRPr="00A8191C" w:rsidR="00D439C9" w:rsidP="00A8191C" w:rsidRDefault="00D439C9" w14:paraId="6CF1F8CE" w14:textId="77777777">
            <w:r w:rsidRPr="00A8191C">
              <w:t>Draft Infographic</w:t>
            </w:r>
          </w:p>
        </w:tc>
        <w:tc>
          <w:tcPr>
            <w:tcW w:w="3870" w:type="dxa"/>
            <w:vAlign w:val="center"/>
          </w:tcPr>
          <w:p w:rsidRPr="00A8191C" w:rsidR="00D439C9" w:rsidP="00A8191C" w:rsidRDefault="00D439C9" w14:paraId="19E2E0DD" w14:textId="77777777">
            <w:pPr>
              <w:jc w:val="center"/>
            </w:pPr>
            <w:r w:rsidRPr="00A8191C">
              <w:t>November 15, 2020</w:t>
            </w:r>
          </w:p>
        </w:tc>
      </w:tr>
      <w:tr w:rsidRPr="00A8191C" w:rsidR="00D439C9" w:rsidTr="00A8191C" w14:paraId="43984ED8" w14:textId="77777777">
        <w:trPr>
          <w:trHeight w:val="360"/>
        </w:trPr>
        <w:tc>
          <w:tcPr>
            <w:tcW w:w="4585" w:type="dxa"/>
            <w:vAlign w:val="center"/>
          </w:tcPr>
          <w:p w:rsidRPr="00A8191C" w:rsidR="00D439C9" w:rsidP="00A8191C" w:rsidRDefault="00D439C9" w14:paraId="3A7955F6" w14:textId="77777777">
            <w:r w:rsidRPr="00A8191C">
              <w:t>Final Infographic</w:t>
            </w:r>
          </w:p>
        </w:tc>
        <w:tc>
          <w:tcPr>
            <w:tcW w:w="3870" w:type="dxa"/>
            <w:vAlign w:val="center"/>
          </w:tcPr>
          <w:p w:rsidRPr="00A8191C" w:rsidR="00D439C9" w:rsidP="00A8191C" w:rsidRDefault="00D439C9" w14:paraId="5BE38CAA" w14:textId="77777777">
            <w:pPr>
              <w:jc w:val="center"/>
            </w:pPr>
            <w:r w:rsidRPr="00A8191C">
              <w:t>October 13, 2020</w:t>
            </w:r>
          </w:p>
        </w:tc>
      </w:tr>
      <w:tr w:rsidRPr="00A8191C" w:rsidR="00D439C9" w:rsidTr="00A8191C" w14:paraId="53BF5624" w14:textId="77777777">
        <w:trPr>
          <w:trHeight w:val="360"/>
        </w:trPr>
        <w:tc>
          <w:tcPr>
            <w:tcW w:w="4585" w:type="dxa"/>
            <w:vAlign w:val="center"/>
          </w:tcPr>
          <w:p w:rsidRPr="00A8191C" w:rsidR="00D439C9" w:rsidP="00A8191C" w:rsidRDefault="00D439C9" w14:paraId="45157C53" w14:textId="77777777">
            <w:r w:rsidRPr="00A8191C">
              <w:t>Draft Case Studies</w:t>
            </w:r>
          </w:p>
        </w:tc>
        <w:tc>
          <w:tcPr>
            <w:tcW w:w="3870" w:type="dxa"/>
            <w:vAlign w:val="center"/>
          </w:tcPr>
          <w:p w:rsidRPr="00A8191C" w:rsidR="00D439C9" w:rsidP="00A8191C" w:rsidRDefault="00D439C9" w14:paraId="644F5D68" w14:textId="77777777">
            <w:pPr>
              <w:jc w:val="center"/>
            </w:pPr>
            <w:r w:rsidRPr="00A8191C">
              <w:t>August 15, 2021</w:t>
            </w:r>
          </w:p>
        </w:tc>
      </w:tr>
      <w:tr w:rsidRPr="00A8191C" w:rsidR="00D439C9" w:rsidTr="00A8191C" w14:paraId="0FA5FEAC" w14:textId="77777777">
        <w:trPr>
          <w:trHeight w:val="360"/>
        </w:trPr>
        <w:tc>
          <w:tcPr>
            <w:tcW w:w="4585" w:type="dxa"/>
            <w:vAlign w:val="center"/>
          </w:tcPr>
          <w:p w:rsidRPr="00A8191C" w:rsidR="00D439C9" w:rsidP="00A8191C" w:rsidRDefault="00D439C9" w14:paraId="6E588A7A" w14:textId="77777777">
            <w:r w:rsidRPr="00A8191C">
              <w:t>Final Case Studies</w:t>
            </w:r>
          </w:p>
        </w:tc>
        <w:tc>
          <w:tcPr>
            <w:tcW w:w="3870" w:type="dxa"/>
            <w:vAlign w:val="center"/>
          </w:tcPr>
          <w:p w:rsidRPr="00A8191C" w:rsidR="00D439C9" w:rsidP="00A8191C" w:rsidRDefault="00D439C9" w14:paraId="55C55DA2" w14:textId="77777777">
            <w:pPr>
              <w:jc w:val="center"/>
            </w:pPr>
            <w:r w:rsidRPr="00A8191C">
              <w:t>September 13, 2021</w:t>
            </w:r>
          </w:p>
        </w:tc>
      </w:tr>
      <w:tr w:rsidRPr="00A8191C" w:rsidR="00D439C9" w:rsidTr="00A8191C" w14:paraId="4757CCE8" w14:textId="77777777">
        <w:trPr>
          <w:trHeight w:val="360"/>
        </w:trPr>
        <w:tc>
          <w:tcPr>
            <w:tcW w:w="4585" w:type="dxa"/>
            <w:vAlign w:val="center"/>
          </w:tcPr>
          <w:p w:rsidRPr="00A8191C" w:rsidR="00D439C9" w:rsidP="00A8191C" w:rsidRDefault="00D439C9" w14:paraId="6E27D8C2" w14:textId="77777777">
            <w:r w:rsidRPr="00A8191C">
              <w:t>Draft Survey Results</w:t>
            </w:r>
          </w:p>
        </w:tc>
        <w:tc>
          <w:tcPr>
            <w:tcW w:w="3870" w:type="dxa"/>
            <w:vAlign w:val="center"/>
          </w:tcPr>
          <w:p w:rsidRPr="00A8191C" w:rsidR="00D439C9" w:rsidP="00A8191C" w:rsidRDefault="00D439C9" w14:paraId="09B3873C" w14:textId="77777777">
            <w:pPr>
              <w:jc w:val="center"/>
            </w:pPr>
            <w:r w:rsidRPr="00A8191C">
              <w:t>October 8, 2021</w:t>
            </w:r>
          </w:p>
        </w:tc>
      </w:tr>
      <w:tr w:rsidRPr="00A8191C" w:rsidR="00D439C9" w:rsidTr="00A8191C" w14:paraId="17DA25FC" w14:textId="77777777">
        <w:trPr>
          <w:trHeight w:val="360"/>
        </w:trPr>
        <w:tc>
          <w:tcPr>
            <w:tcW w:w="4585" w:type="dxa"/>
            <w:vAlign w:val="center"/>
          </w:tcPr>
          <w:p w:rsidRPr="00A8191C" w:rsidR="00D439C9" w:rsidP="00A8191C" w:rsidRDefault="00D439C9" w14:paraId="0E5CBE65" w14:textId="77777777">
            <w:r w:rsidRPr="00A8191C">
              <w:t>Final Survey Results</w:t>
            </w:r>
          </w:p>
        </w:tc>
        <w:tc>
          <w:tcPr>
            <w:tcW w:w="3870" w:type="dxa"/>
            <w:vAlign w:val="center"/>
          </w:tcPr>
          <w:p w:rsidRPr="00A8191C" w:rsidR="00D439C9" w:rsidP="00A8191C" w:rsidRDefault="00D439C9" w14:paraId="1700E191" w14:textId="77777777">
            <w:pPr>
              <w:jc w:val="center"/>
            </w:pPr>
            <w:r w:rsidRPr="00A8191C">
              <w:t>November 28, 2021</w:t>
            </w:r>
          </w:p>
        </w:tc>
      </w:tr>
      <w:tr w:rsidRPr="00A8191C" w:rsidR="00D439C9" w:rsidTr="00A8191C" w14:paraId="40B9ED5F" w14:textId="77777777">
        <w:trPr>
          <w:trHeight w:val="360"/>
        </w:trPr>
        <w:tc>
          <w:tcPr>
            <w:tcW w:w="4585" w:type="dxa"/>
            <w:vAlign w:val="center"/>
          </w:tcPr>
          <w:p w:rsidRPr="00A8191C" w:rsidR="00D439C9" w:rsidP="00A8191C" w:rsidRDefault="00D439C9" w14:paraId="26EFF1C4" w14:textId="77777777">
            <w:r w:rsidRPr="00A8191C">
              <w:t>Draft Compendium Version 2</w:t>
            </w:r>
          </w:p>
        </w:tc>
        <w:tc>
          <w:tcPr>
            <w:tcW w:w="3870" w:type="dxa"/>
            <w:vAlign w:val="center"/>
          </w:tcPr>
          <w:p w:rsidRPr="00A8191C" w:rsidR="00D439C9" w:rsidP="00A8191C" w:rsidRDefault="00D439C9" w14:paraId="5E1AAF0A" w14:textId="77777777">
            <w:pPr>
              <w:jc w:val="center"/>
            </w:pPr>
            <w:r w:rsidRPr="00A8191C">
              <w:t>April 14, 2023</w:t>
            </w:r>
          </w:p>
        </w:tc>
      </w:tr>
      <w:tr w:rsidRPr="00A8191C" w:rsidR="00D439C9" w:rsidTr="00A8191C" w14:paraId="15DC2466" w14:textId="77777777">
        <w:trPr>
          <w:trHeight w:val="360"/>
        </w:trPr>
        <w:tc>
          <w:tcPr>
            <w:tcW w:w="4585" w:type="dxa"/>
            <w:vAlign w:val="center"/>
          </w:tcPr>
          <w:p w:rsidRPr="00A8191C" w:rsidR="00D439C9" w:rsidP="00A8191C" w:rsidRDefault="00D439C9" w14:paraId="37D42E14" w14:textId="77777777">
            <w:r w:rsidRPr="00A8191C">
              <w:t>Draft Final Report</w:t>
            </w:r>
          </w:p>
        </w:tc>
        <w:tc>
          <w:tcPr>
            <w:tcW w:w="3870" w:type="dxa"/>
            <w:vAlign w:val="center"/>
          </w:tcPr>
          <w:p w:rsidRPr="00A8191C" w:rsidR="00D439C9" w:rsidP="00A8191C" w:rsidRDefault="00D439C9" w14:paraId="61F88390" w14:textId="77777777">
            <w:pPr>
              <w:jc w:val="center"/>
            </w:pPr>
            <w:r w:rsidRPr="00A8191C">
              <w:t>May 20, 2023</w:t>
            </w:r>
          </w:p>
        </w:tc>
      </w:tr>
      <w:tr w:rsidRPr="00A8191C" w:rsidR="00D439C9" w:rsidTr="00A8191C" w14:paraId="19F371EB" w14:textId="77777777">
        <w:trPr>
          <w:trHeight w:val="360"/>
        </w:trPr>
        <w:tc>
          <w:tcPr>
            <w:tcW w:w="4585" w:type="dxa"/>
            <w:vAlign w:val="center"/>
          </w:tcPr>
          <w:p w:rsidRPr="00A8191C" w:rsidR="00D439C9" w:rsidP="00A8191C" w:rsidRDefault="00D439C9" w14:paraId="396D24E9" w14:textId="77777777">
            <w:r w:rsidRPr="00A8191C">
              <w:t>Final Compendium Version 2</w:t>
            </w:r>
          </w:p>
        </w:tc>
        <w:tc>
          <w:tcPr>
            <w:tcW w:w="3870" w:type="dxa"/>
            <w:vAlign w:val="center"/>
          </w:tcPr>
          <w:p w:rsidRPr="00A8191C" w:rsidR="00D439C9" w:rsidP="00A8191C" w:rsidRDefault="00D439C9" w14:paraId="2B2DDFE7" w14:textId="77777777">
            <w:pPr>
              <w:jc w:val="center"/>
            </w:pPr>
            <w:r w:rsidRPr="00A8191C">
              <w:t>May 24, 2023</w:t>
            </w:r>
          </w:p>
        </w:tc>
      </w:tr>
      <w:tr w:rsidRPr="00A8191C" w:rsidR="00D439C9" w:rsidTr="00A8191C" w14:paraId="508F3976" w14:textId="77777777">
        <w:trPr>
          <w:trHeight w:val="360"/>
        </w:trPr>
        <w:tc>
          <w:tcPr>
            <w:tcW w:w="4585" w:type="dxa"/>
            <w:vAlign w:val="center"/>
          </w:tcPr>
          <w:p w:rsidRPr="00A8191C" w:rsidR="00D439C9" w:rsidP="00A8191C" w:rsidRDefault="00D439C9" w14:paraId="2B660569" w14:textId="77777777">
            <w:r w:rsidRPr="00A8191C">
              <w:t>Final Report</w:t>
            </w:r>
          </w:p>
        </w:tc>
        <w:tc>
          <w:tcPr>
            <w:tcW w:w="3870" w:type="dxa"/>
            <w:vAlign w:val="center"/>
          </w:tcPr>
          <w:p w:rsidRPr="00A8191C" w:rsidR="00D439C9" w:rsidP="00A8191C" w:rsidRDefault="00D439C9" w14:paraId="03EA5A1A" w14:textId="77777777">
            <w:pPr>
              <w:jc w:val="center"/>
            </w:pPr>
            <w:r w:rsidRPr="00A8191C">
              <w:t>June 17, 2023</w:t>
            </w:r>
          </w:p>
        </w:tc>
      </w:tr>
      <w:tr w:rsidRPr="00A8191C" w:rsidR="00D439C9" w:rsidTr="00A8191C" w14:paraId="2B9112F7" w14:textId="77777777">
        <w:trPr>
          <w:trHeight w:val="360"/>
        </w:trPr>
        <w:tc>
          <w:tcPr>
            <w:tcW w:w="4585" w:type="dxa"/>
            <w:vAlign w:val="center"/>
          </w:tcPr>
          <w:p w:rsidRPr="00A8191C" w:rsidR="00D439C9" w:rsidP="00A8191C" w:rsidRDefault="00D439C9" w14:paraId="219C4F8B" w14:textId="77777777">
            <w:r w:rsidRPr="00A8191C">
              <w:t>Draft Peer Reviewed Manuscript</w:t>
            </w:r>
          </w:p>
        </w:tc>
        <w:tc>
          <w:tcPr>
            <w:tcW w:w="3870" w:type="dxa"/>
            <w:vAlign w:val="center"/>
          </w:tcPr>
          <w:p w:rsidRPr="00A8191C" w:rsidR="00D439C9" w:rsidP="00A8191C" w:rsidRDefault="00D439C9" w14:paraId="04A43BA6" w14:textId="77777777">
            <w:pPr>
              <w:jc w:val="center"/>
            </w:pPr>
            <w:r w:rsidRPr="00A8191C">
              <w:t>June 30, 2023</w:t>
            </w:r>
          </w:p>
        </w:tc>
      </w:tr>
      <w:tr w:rsidRPr="00A8191C" w:rsidR="00D439C9" w:rsidTr="00A8191C" w14:paraId="6D6A3560" w14:textId="77777777">
        <w:trPr>
          <w:trHeight w:val="360"/>
        </w:trPr>
        <w:tc>
          <w:tcPr>
            <w:tcW w:w="4585" w:type="dxa"/>
            <w:vAlign w:val="center"/>
          </w:tcPr>
          <w:p w:rsidRPr="00A8191C" w:rsidR="00D439C9" w:rsidP="00A8191C" w:rsidRDefault="00D439C9" w14:paraId="77916864" w14:textId="77777777">
            <w:r w:rsidRPr="00A8191C">
              <w:t>Submit Peer Reviewed Manuscript</w:t>
            </w:r>
          </w:p>
        </w:tc>
        <w:tc>
          <w:tcPr>
            <w:tcW w:w="3870" w:type="dxa"/>
            <w:vAlign w:val="center"/>
          </w:tcPr>
          <w:p w:rsidRPr="00A8191C" w:rsidR="00D439C9" w:rsidP="00A8191C" w:rsidRDefault="00D439C9" w14:paraId="205EBC4A" w14:textId="77777777">
            <w:pPr>
              <w:jc w:val="center"/>
            </w:pPr>
            <w:r w:rsidRPr="00A8191C">
              <w:t>July 29, 2023</w:t>
            </w:r>
          </w:p>
        </w:tc>
      </w:tr>
      <w:tr w:rsidRPr="00A8191C" w:rsidR="00D439C9" w:rsidTr="00A8191C" w14:paraId="6DF53F57" w14:textId="77777777">
        <w:trPr>
          <w:trHeight w:val="360"/>
        </w:trPr>
        <w:tc>
          <w:tcPr>
            <w:tcW w:w="4585" w:type="dxa"/>
            <w:vAlign w:val="center"/>
          </w:tcPr>
          <w:p w:rsidRPr="00A8191C" w:rsidR="00D439C9" w:rsidP="00A8191C" w:rsidRDefault="00D439C9" w14:paraId="1E8EA38E" w14:textId="77777777">
            <w:r w:rsidRPr="00A8191C">
              <w:t>Learning Collaborative Support Report</w:t>
            </w:r>
          </w:p>
        </w:tc>
        <w:tc>
          <w:tcPr>
            <w:tcW w:w="3870" w:type="dxa"/>
            <w:vAlign w:val="center"/>
          </w:tcPr>
          <w:p w:rsidRPr="00A8191C" w:rsidR="00D439C9" w:rsidP="00A8191C" w:rsidRDefault="00D439C9" w14:paraId="612545D7" w14:textId="77777777">
            <w:pPr>
              <w:jc w:val="center"/>
            </w:pPr>
            <w:r w:rsidRPr="00A8191C">
              <w:t>Quarterly</w:t>
            </w:r>
          </w:p>
        </w:tc>
      </w:tr>
      <w:tr w:rsidRPr="00A8191C" w:rsidR="00D439C9" w:rsidTr="00A8191C" w14:paraId="06B79720" w14:textId="77777777">
        <w:trPr>
          <w:trHeight w:val="360"/>
        </w:trPr>
        <w:tc>
          <w:tcPr>
            <w:tcW w:w="4585" w:type="dxa"/>
            <w:vAlign w:val="center"/>
          </w:tcPr>
          <w:p w:rsidRPr="00A8191C" w:rsidR="00D439C9" w:rsidP="00A8191C" w:rsidRDefault="00D439C9" w14:paraId="748BDE92" w14:textId="77777777">
            <w:r w:rsidRPr="00A8191C">
              <w:t>Learning Collaborative Practice Progress</w:t>
            </w:r>
          </w:p>
        </w:tc>
        <w:tc>
          <w:tcPr>
            <w:tcW w:w="3870" w:type="dxa"/>
            <w:vAlign w:val="center"/>
          </w:tcPr>
          <w:p w:rsidRPr="00A8191C" w:rsidR="00D439C9" w:rsidP="00A8191C" w:rsidRDefault="00D439C9" w14:paraId="34E66B85" w14:textId="77777777">
            <w:pPr>
              <w:jc w:val="center"/>
            </w:pPr>
            <w:r w:rsidRPr="00A8191C">
              <w:t>Quarterly</w:t>
            </w:r>
          </w:p>
        </w:tc>
      </w:tr>
    </w:tbl>
    <w:p w:rsidRPr="00D439C9" w:rsidR="00D439C9" w:rsidP="00D439C9" w:rsidRDefault="00D439C9" w14:paraId="22EBA8BF" w14:textId="77777777">
      <w:pPr>
        <w:pStyle w:val="BodyText"/>
      </w:pPr>
    </w:p>
    <w:p w:rsidRPr="009547ED" w:rsidR="0013447B" w:rsidP="0081520C" w:rsidRDefault="0013447B" w14:paraId="0F386873" w14:textId="77777777">
      <w:pPr>
        <w:pStyle w:val="Heading4"/>
      </w:pPr>
      <w:bookmarkStart w:name="_Toc151782196" w:id="58"/>
      <w:bookmarkStart w:name="_Toc158526232" w:id="59"/>
      <w:r w:rsidRPr="009547ED">
        <w:t>Publication Plan:</w:t>
      </w:r>
    </w:p>
    <w:p w:rsidR="0043362E" w:rsidP="003600B8" w:rsidRDefault="0013447B" w14:paraId="483AB319" w14:textId="77777777">
      <w:pPr>
        <w:pStyle w:val="BodyText"/>
      </w:pPr>
      <w:r>
        <w:t xml:space="preserve">Study results </w:t>
      </w:r>
      <w:r w:rsidRPr="008B4ED2">
        <w:t>will be disseminated through a peer-reviewed publication</w:t>
      </w:r>
      <w:r>
        <w:t xml:space="preserve">. The final </w:t>
      </w:r>
      <w:r w:rsidR="005A5052">
        <w:t>Compendium of Strategies</w:t>
      </w:r>
      <w:r>
        <w:t xml:space="preserve"> will be </w:t>
      </w:r>
      <w:r w:rsidRPr="008B4ED2">
        <w:t>posted on the</w:t>
      </w:r>
      <w:r>
        <w:t xml:space="preserve"> appropriate section of the AHRQ </w:t>
      </w:r>
      <w:r w:rsidRPr="008B4ED2">
        <w:t>web site</w:t>
      </w:r>
      <w:r>
        <w:t xml:space="preserve"> and disseminated via </w:t>
      </w:r>
      <w:r w:rsidRPr="008B4ED2">
        <w:t>AHRQ’s Office of Commun</w:t>
      </w:r>
      <w:r>
        <w:t xml:space="preserve">ication and Knowledge Transfer (e.g., </w:t>
      </w:r>
      <w:r w:rsidRPr="008B4ED2">
        <w:t xml:space="preserve">e-mails to relevant professional associations and </w:t>
      </w:r>
      <w:r>
        <w:t xml:space="preserve">postings on </w:t>
      </w:r>
      <w:proofErr w:type="spellStart"/>
      <w:r>
        <w:t>listservs</w:t>
      </w:r>
      <w:proofErr w:type="spellEnd"/>
      <w:r>
        <w:t>)</w:t>
      </w:r>
      <w:r w:rsidRPr="008B4ED2">
        <w:t>.</w:t>
      </w:r>
    </w:p>
    <w:p w:rsidR="00AA26F3" w:rsidP="0081520C" w:rsidRDefault="00AA26F3" w14:paraId="1E1D30D4" w14:textId="0EF5B055">
      <w:pPr>
        <w:pStyle w:val="Heading4"/>
      </w:pPr>
      <w:r>
        <w:t>Analysis Plan:</w:t>
      </w:r>
    </w:p>
    <w:p w:rsidR="00AA26F3" w:rsidP="003600B8" w:rsidRDefault="00AA26F3" w14:paraId="4C470CC5" w14:textId="2E0E5851">
      <w:pPr>
        <w:pStyle w:val="BodyText"/>
      </w:pPr>
      <w:r>
        <w:t xml:space="preserve">As described above, the </w:t>
      </w:r>
      <w:r w:rsidR="00D64047">
        <w:t xml:space="preserve">goals </w:t>
      </w:r>
      <w:r>
        <w:t xml:space="preserve">of the proposed data collection effort </w:t>
      </w:r>
      <w:r w:rsidR="00D64047">
        <w:t xml:space="preserve">are </w:t>
      </w:r>
      <w:r>
        <w:t xml:space="preserve">to 1) assess and describe current perceptions of the challenges associated with managing opioid use, misuse and abuse in older adults; 2) create a public-facing Compendium of Strategies for the management of opioid use, misuse and abuse in older adults in primary care settings; and 3) identify remaining evidence gaps and areas of needed research.  </w:t>
      </w:r>
    </w:p>
    <w:p w:rsidRPr="0008203B" w:rsidR="0013447B" w:rsidP="003600B8" w:rsidRDefault="0013447B" w14:paraId="19ACA5D1" w14:textId="45D5FEC8">
      <w:pPr>
        <w:pStyle w:val="BodyText"/>
      </w:pPr>
      <w:r w:rsidRPr="001A617B">
        <w:t>AHRQ has proposed to use multiple data sources</w:t>
      </w:r>
      <w:r>
        <w:t xml:space="preserve"> </w:t>
      </w:r>
      <w:r w:rsidRPr="001A617B">
        <w:t xml:space="preserve">to triangulate findings to </w:t>
      </w:r>
      <w:r>
        <w:t xml:space="preserve">meet </w:t>
      </w:r>
      <w:r w:rsidR="0043362E">
        <w:t>of the project</w:t>
      </w:r>
      <w:r>
        <w:t xml:space="preserve"> goals. </w:t>
      </w:r>
    </w:p>
    <w:p w:rsidRPr="00E2278C" w:rsidR="0013447B" w:rsidP="0098792B" w:rsidRDefault="0013447B" w14:paraId="6B0D083A" w14:textId="1A82909F">
      <w:pPr>
        <w:spacing w:after="120"/>
        <w:ind w:left="2880" w:hanging="2880"/>
        <w:rPr>
          <w:b/>
        </w:rPr>
      </w:pPr>
      <w:r w:rsidRPr="00E2278C">
        <w:rPr>
          <w:b/>
        </w:rPr>
        <w:t xml:space="preserve">Goal </w:t>
      </w:r>
      <w:r>
        <w:rPr>
          <w:b/>
        </w:rPr>
        <w:t>1</w:t>
      </w:r>
      <w:r w:rsidRPr="00E2278C">
        <w:rPr>
          <w:b/>
        </w:rPr>
        <w:t xml:space="preserve">: </w:t>
      </w:r>
      <w:r>
        <w:rPr>
          <w:b/>
        </w:rPr>
        <w:tab/>
      </w:r>
      <w:r w:rsidR="0043362E">
        <w:t>Assess and describe current perceptions of the challenges associated with managing opioid use, misuse and abuse in older adults</w:t>
      </w:r>
      <w:r w:rsidR="001864C2">
        <w:rPr>
          <w:color w:val="000000"/>
        </w:rPr>
        <w:t>.</w:t>
      </w:r>
    </w:p>
    <w:p w:rsidRPr="009B1AE4" w:rsidR="0013447B" w:rsidP="0098792B" w:rsidRDefault="0013447B" w14:paraId="6E019779" w14:textId="00D52556">
      <w:pPr>
        <w:spacing w:after="120"/>
        <w:ind w:left="2880" w:hanging="2880"/>
      </w:pPr>
      <w:r w:rsidRPr="00E2278C">
        <w:rPr>
          <w:b/>
        </w:rPr>
        <w:t xml:space="preserve">Data collection strategy: </w:t>
      </w:r>
      <w:r w:rsidRPr="00E2278C">
        <w:rPr>
          <w:b/>
        </w:rPr>
        <w:tab/>
      </w:r>
      <w:r w:rsidR="0043362E">
        <w:t>Provider survey</w:t>
      </w:r>
      <w:r w:rsidR="00754AF7">
        <w:t>.</w:t>
      </w:r>
    </w:p>
    <w:p w:rsidR="0013447B" w:rsidP="0098792B" w:rsidRDefault="0013447B" w14:paraId="4E1CE748" w14:textId="092A212D">
      <w:pPr>
        <w:spacing w:after="120"/>
        <w:ind w:left="2880" w:hanging="2880"/>
      </w:pPr>
      <w:r w:rsidRPr="00E2278C">
        <w:rPr>
          <w:b/>
        </w:rPr>
        <w:t xml:space="preserve">Data analysis strategy: </w:t>
      </w:r>
      <w:r w:rsidRPr="00E2278C">
        <w:rPr>
          <w:b/>
        </w:rPr>
        <w:tab/>
      </w:r>
      <w:r w:rsidR="0043362E">
        <w:t>De</w:t>
      </w:r>
      <w:r w:rsidR="00731393">
        <w:t xml:space="preserve">veloping non-response weights, </w:t>
      </w:r>
      <w:r w:rsidR="00872F0B">
        <w:t>descriptive</w:t>
      </w:r>
      <w:r w:rsidR="0043362E">
        <w:t xml:space="preserve"> analysis of survey responses </w:t>
      </w:r>
      <w:r w:rsidRPr="00F21122" w:rsidR="0043362E">
        <w:t>(mean, standard deviation, and distribution for continuous variables; frequencies and percentages for categorical and binary variables)</w:t>
      </w:r>
      <w:r w:rsidR="00731393">
        <w:t xml:space="preserve"> and regression modeling to identify correlates of outcomes</w:t>
      </w:r>
      <w:r w:rsidR="00754AF7">
        <w:t>.</w:t>
      </w:r>
      <w:r w:rsidR="0043362E">
        <w:t xml:space="preserve"> </w:t>
      </w:r>
    </w:p>
    <w:p w:rsidR="0043362E" w:rsidP="003600B8" w:rsidRDefault="00D64047" w14:paraId="5A141EC1" w14:textId="4CCE4C62">
      <w:pPr>
        <w:pStyle w:val="BodyText"/>
      </w:pPr>
      <w:r w:rsidRPr="00F21122">
        <w:t>We will code responses to open-ended survey questions thematically and describe common themes, along with demonstrative examples of responses under each theme.</w:t>
      </w:r>
      <w:r>
        <w:t xml:space="preserve"> </w:t>
      </w:r>
      <w:r w:rsidRPr="00F21122" w:rsidR="0043362E">
        <w:t xml:space="preserve">We will </w:t>
      </w:r>
      <w:r w:rsidR="0043362E">
        <w:t xml:space="preserve">stratify measures of </w:t>
      </w:r>
      <w:r w:rsidRPr="004E048E" w:rsidR="0043362E">
        <w:t>clinician experiences caring for older adult patients with chronic pain on opioids</w:t>
      </w:r>
      <w:r w:rsidR="0043362E">
        <w:t xml:space="preserve"> </w:t>
      </w:r>
      <w:r w:rsidRPr="00F21122" w:rsidR="0043362E">
        <w:t xml:space="preserve">by geographic region, </w:t>
      </w:r>
      <w:r w:rsidR="0043362E">
        <w:t xml:space="preserve">clinician specialty, </w:t>
      </w:r>
      <w:r w:rsidRPr="00F21122" w:rsidR="0043362E">
        <w:t>practice type</w:t>
      </w:r>
      <w:r w:rsidR="0043362E">
        <w:t>, and other clinician characteristics as relevant</w:t>
      </w:r>
      <w:r w:rsidRPr="00F21122" w:rsidR="0043362E">
        <w:t>.</w:t>
      </w:r>
      <w:r w:rsidR="0043362E">
        <w:t xml:space="preserve"> Stratified analyses will be bivariate (survey responses stratified by a given clinician characteristic). W</w:t>
      </w:r>
      <w:r w:rsidRPr="00F21122" w:rsidR="0043362E">
        <w:t xml:space="preserve">e will explore the feasibility of conducting multivariate analyses, to </w:t>
      </w:r>
      <w:r w:rsidR="0043362E">
        <w:t>adjust</w:t>
      </w:r>
      <w:r w:rsidRPr="00F21122" w:rsidR="0043362E">
        <w:t xml:space="preserve"> for multiple provider characteristics concurrently</w:t>
      </w:r>
      <w:r w:rsidR="0043362E">
        <w:t>. Multivariate analyses can also improve statistical power in some cases</w:t>
      </w:r>
      <w:r w:rsidRPr="00F21122" w:rsidR="0043362E">
        <w:t xml:space="preserve">. </w:t>
      </w:r>
      <w:r w:rsidR="0043362E">
        <w:t>All stratified analyses will be adjusted using non-response weights.</w:t>
      </w:r>
    </w:p>
    <w:p w:rsidRPr="00E2278C" w:rsidR="0013447B" w:rsidP="0098792B" w:rsidRDefault="0013447B" w14:paraId="155124B4" w14:textId="246D0EFA">
      <w:pPr>
        <w:spacing w:after="120"/>
        <w:ind w:left="2880" w:hanging="2880"/>
        <w:rPr>
          <w:b/>
        </w:rPr>
      </w:pPr>
      <w:r w:rsidRPr="00E2278C">
        <w:rPr>
          <w:b/>
        </w:rPr>
        <w:t xml:space="preserve">Goal </w:t>
      </w:r>
      <w:r>
        <w:rPr>
          <w:b/>
        </w:rPr>
        <w:t>2</w:t>
      </w:r>
      <w:r w:rsidRPr="00E2278C">
        <w:rPr>
          <w:b/>
        </w:rPr>
        <w:t xml:space="preserve">: </w:t>
      </w:r>
      <w:r>
        <w:rPr>
          <w:b/>
        </w:rPr>
        <w:tab/>
      </w:r>
      <w:r w:rsidR="0043362E">
        <w:t>Create a public-facing Compendium of Strategies for the management of opioid use, misuse and abuse in older adults in primary care settings; and</w:t>
      </w:r>
      <w:r w:rsidRPr="00AD38AF" w:rsidR="001864C2">
        <w:rPr>
          <w:color w:val="000000"/>
        </w:rPr>
        <w:t>.</w:t>
      </w:r>
    </w:p>
    <w:p w:rsidRPr="009B1AE4" w:rsidR="0013447B" w:rsidP="0098792B" w:rsidRDefault="0013447B" w14:paraId="64F9D685" w14:textId="66AA8463">
      <w:pPr>
        <w:spacing w:after="120"/>
        <w:ind w:left="2880" w:hanging="2880"/>
      </w:pPr>
      <w:r w:rsidRPr="00E2278C">
        <w:rPr>
          <w:b/>
        </w:rPr>
        <w:t xml:space="preserve">Data collection strategy: </w:t>
      </w:r>
      <w:r w:rsidRPr="00E2278C">
        <w:rPr>
          <w:b/>
        </w:rPr>
        <w:tab/>
      </w:r>
      <w:r w:rsidR="00D64047">
        <w:t>Learning collaborative c</w:t>
      </w:r>
      <w:r w:rsidR="006823A7">
        <w:t>linical staff survey</w:t>
      </w:r>
      <w:r>
        <w:t>,</w:t>
      </w:r>
      <w:r w:rsidR="00B65556">
        <w:t xml:space="preserve"> </w:t>
      </w:r>
      <w:r w:rsidR="00D64047">
        <w:t xml:space="preserve">interviews with staff and QI Champions, self-assessment, </w:t>
      </w:r>
      <w:r w:rsidR="006823A7">
        <w:t xml:space="preserve">QI measures, </w:t>
      </w:r>
      <w:r w:rsidR="00D64047">
        <w:t xml:space="preserve">and </w:t>
      </w:r>
      <w:r w:rsidR="006823A7">
        <w:t>secondary data</w:t>
      </w:r>
      <w:r w:rsidR="00754AF7">
        <w:t>.</w:t>
      </w:r>
      <w:r>
        <w:t xml:space="preserve"> </w:t>
      </w:r>
    </w:p>
    <w:p w:rsidR="0013447B" w:rsidP="0098792B" w:rsidRDefault="0013447B" w14:paraId="5FA790F2" w14:textId="231148FF">
      <w:pPr>
        <w:spacing w:after="120"/>
        <w:ind w:left="2880" w:hanging="2880"/>
      </w:pPr>
      <w:r w:rsidRPr="00E2278C">
        <w:rPr>
          <w:b/>
        </w:rPr>
        <w:t xml:space="preserve">Data analysis strategy: </w:t>
      </w:r>
      <w:r w:rsidRPr="00E2278C">
        <w:rPr>
          <w:b/>
        </w:rPr>
        <w:tab/>
      </w:r>
      <w:r>
        <w:t>Quantitative analyses</w:t>
      </w:r>
      <w:r w:rsidR="006823A7">
        <w:t xml:space="preserve"> complemented with qualitative data</w:t>
      </w:r>
      <w:r w:rsidR="00B65556">
        <w:t xml:space="preserve"> from staff interviews</w:t>
      </w:r>
      <w:r w:rsidR="00731393">
        <w:t xml:space="preserve"> as described below</w:t>
      </w:r>
      <w:r w:rsidR="00754AF7">
        <w:t>.</w:t>
      </w:r>
    </w:p>
    <w:p w:rsidRPr="00CA7909" w:rsidR="000A4317" w:rsidP="003600B8" w:rsidRDefault="000A4317" w14:paraId="35EC249A" w14:textId="15F8FB62">
      <w:pPr>
        <w:pStyle w:val="BodyText"/>
      </w:pPr>
      <w:r>
        <w:t>Data will be primarily analyzed qualitatively, identifying themes of facilitators and barriers to implementing the strategies and tools and improvements to PCPs’ processes of care and opioid prescribing practices. Qualitative analysis software (</w:t>
      </w:r>
      <w:proofErr w:type="spellStart"/>
      <w:r>
        <w:t>NVivo</w:t>
      </w:r>
      <w:proofErr w:type="spellEnd"/>
      <w:r>
        <w:t xml:space="preserve">) will be used to synthesize and analyze the data as well as to allow for qualitative comparisons and synthesis by each organization, staff type (e.g., QI lead, clinical staff), geographic location, and in aggregate. Qualitative comparisons of data from the first to the second round assessments of opioid prescribing processes will be similarly analyzed. The insights regarding facilitators and barriers to implementation will be used to inform the final version of the Compendium of Strategies. </w:t>
      </w:r>
    </w:p>
    <w:p w:rsidR="000A4317" w:rsidP="003600B8" w:rsidRDefault="0013447B" w14:paraId="5A0D2675" w14:textId="088680BA">
      <w:pPr>
        <w:pStyle w:val="BodyText"/>
      </w:pPr>
      <w:r>
        <w:t>Quantitative data will be collected thr</w:t>
      </w:r>
      <w:r w:rsidR="006823A7">
        <w:t>ough two rounds of the clinical</w:t>
      </w:r>
      <w:r w:rsidR="00303366">
        <w:t xml:space="preserve"> staff survey,</w:t>
      </w:r>
      <w:r w:rsidR="006823A7">
        <w:t xml:space="preserve"> </w:t>
      </w:r>
      <w:r w:rsidR="00D64047">
        <w:t>two or three rounds of interviews</w:t>
      </w:r>
      <w:r w:rsidR="00872F0B">
        <w:t xml:space="preserve"> (i.e., two rounds for staff; three rounds for QI champions)</w:t>
      </w:r>
      <w:r w:rsidR="00D64047">
        <w:t xml:space="preserve">, </w:t>
      </w:r>
      <w:r w:rsidR="006823A7">
        <w:t>QI measures</w:t>
      </w:r>
      <w:r w:rsidR="00303366">
        <w:t>, and</w:t>
      </w:r>
      <w:r w:rsidR="006823A7">
        <w:t xml:space="preserve"> </w:t>
      </w:r>
      <w:r>
        <w:t>second</w:t>
      </w:r>
      <w:r w:rsidR="006823A7">
        <w:t>ary</w:t>
      </w:r>
      <w:r>
        <w:t xml:space="preserve"> data</w:t>
      </w:r>
      <w:r w:rsidR="00303366">
        <w:t xml:space="preserve"> sources </w:t>
      </w:r>
      <w:r w:rsidR="00B90A3B">
        <w:t xml:space="preserve">(practice documents, for example </w:t>
      </w:r>
      <w:r w:rsidRPr="00B90A3B" w:rsidR="00B90A3B">
        <w:t>policies and procedures for pain management, opioid use among older adults.</w:t>
      </w:r>
      <w:r w:rsidR="00B90A3B">
        <w:t xml:space="preserve">) </w:t>
      </w:r>
      <w:r w:rsidR="00303366">
        <w:t xml:space="preserve">describing the </w:t>
      </w:r>
      <w:r w:rsidR="000A4317">
        <w:t xml:space="preserve">efficacy </w:t>
      </w:r>
      <w:r w:rsidR="00303366">
        <w:t xml:space="preserve">of </w:t>
      </w:r>
      <w:r w:rsidR="00D64047">
        <w:t xml:space="preserve">strategy </w:t>
      </w:r>
      <w:r w:rsidR="00303366">
        <w:t>implementation</w:t>
      </w:r>
      <w:r>
        <w:t xml:space="preserve">. </w:t>
      </w:r>
      <w:r w:rsidR="00043D48">
        <w:t xml:space="preserve">We </w:t>
      </w:r>
      <w:r>
        <w:t>will analyze the</w:t>
      </w:r>
      <w:r w:rsidR="00303366">
        <w:t xml:space="preserve">se </w:t>
      </w:r>
      <w:r>
        <w:t>data using descriptive statistics (i.e.,</w:t>
      </w:r>
      <w:r w:rsidR="006823A7">
        <w:t xml:space="preserve"> frequencies, average</w:t>
      </w:r>
      <w:r w:rsidR="00303366">
        <w:t>s)</w:t>
      </w:r>
      <w:r>
        <w:t>. Additional analysis will include co</w:t>
      </w:r>
      <w:r w:rsidR="00303366">
        <w:t xml:space="preserve">mparisons of survey data, </w:t>
      </w:r>
      <w:r w:rsidR="000A4317">
        <w:t xml:space="preserve">interviews, and </w:t>
      </w:r>
      <w:r w:rsidR="00303366">
        <w:t>QI measures</w:t>
      </w:r>
      <w:r w:rsidR="000A4317">
        <w:t xml:space="preserve"> </w:t>
      </w:r>
      <w:r>
        <w:t>to measure changes</w:t>
      </w:r>
      <w:r w:rsidR="00303366">
        <w:t xml:space="preserve"> over time</w:t>
      </w:r>
      <w:r>
        <w:t xml:space="preserve">. </w:t>
      </w:r>
    </w:p>
    <w:p w:rsidRPr="00424E6E" w:rsidR="009B633D" w:rsidP="003600B8" w:rsidRDefault="009B633D" w14:paraId="2040100D" w14:textId="77777777">
      <w:pPr>
        <w:pStyle w:val="Heading2"/>
      </w:pPr>
      <w:bookmarkStart w:name="_Toc38531533" w:id="60"/>
      <w:r w:rsidRPr="00424E6E">
        <w:t>17. Exemption for Display of Expiration Date</w:t>
      </w:r>
      <w:bookmarkEnd w:id="58"/>
      <w:bookmarkEnd w:id="59"/>
      <w:bookmarkEnd w:id="60"/>
    </w:p>
    <w:p w:rsidR="009B633D" w:rsidP="003600B8" w:rsidRDefault="009B633D" w14:paraId="54B48AE1" w14:textId="77777777">
      <w:pPr>
        <w:pStyle w:val="BodyText"/>
      </w:pPr>
      <w:r w:rsidRPr="004F03D2">
        <w:t>AHRQ does not seek this exemption</w:t>
      </w:r>
      <w:r>
        <w:t>.</w:t>
      </w:r>
    </w:p>
    <w:p w:rsidRPr="00016560" w:rsidR="00016560" w:rsidP="009874C8" w:rsidRDefault="00904CC3" w14:paraId="2D40B082" w14:textId="3A10832A">
      <w:pPr>
        <w:pStyle w:val="Heading2"/>
      </w:pPr>
      <w:bookmarkStart w:name="_Toc38531534" w:id="61"/>
      <w:r w:rsidRPr="005A5052">
        <w:t xml:space="preserve">List of </w:t>
      </w:r>
      <w:r w:rsidRPr="005A5052" w:rsidR="00016560">
        <w:t>Attachments</w:t>
      </w:r>
      <w:bookmarkEnd w:id="61"/>
    </w:p>
    <w:p w:rsidR="008573ED" w:rsidP="003600B8" w:rsidRDefault="008573ED" w14:paraId="25C02BBE" w14:textId="00E4D4E7">
      <w:pPr>
        <w:pStyle w:val="BodyTextNospaceafter"/>
      </w:pPr>
      <w:r>
        <w:t>Attachment</w:t>
      </w:r>
      <w:r w:rsidR="003428CE">
        <w:t xml:space="preserve"> A</w:t>
      </w:r>
      <w:r w:rsidR="005A5052">
        <w:t>:</w:t>
      </w:r>
      <w:r w:rsidR="003428CE">
        <w:t xml:space="preserve">  </w:t>
      </w:r>
      <w:r w:rsidR="005A5052">
        <w:t>Provider</w:t>
      </w:r>
      <w:r w:rsidR="003428CE">
        <w:t xml:space="preserve"> Survey</w:t>
      </w:r>
    </w:p>
    <w:p w:rsidR="003428CE" w:rsidP="003600B8" w:rsidRDefault="003428CE" w14:paraId="307F852E" w14:textId="00ED46B2">
      <w:pPr>
        <w:pStyle w:val="BodyTextNospaceafter"/>
      </w:pPr>
      <w:r>
        <w:t>Attachment B</w:t>
      </w:r>
      <w:r w:rsidR="005A5052">
        <w:t>:</w:t>
      </w:r>
      <w:r>
        <w:t xml:space="preserve">  </w:t>
      </w:r>
      <w:r w:rsidR="005A5052">
        <w:t>Learning Collaborative Clinical Staff Survey</w:t>
      </w:r>
    </w:p>
    <w:p w:rsidR="003428CE" w:rsidP="003600B8" w:rsidRDefault="003428CE" w14:paraId="505A2DDB" w14:textId="2C55DD56">
      <w:pPr>
        <w:pStyle w:val="BodyTextNospaceafter"/>
      </w:pPr>
      <w:r>
        <w:t>Attachment C</w:t>
      </w:r>
      <w:r w:rsidR="005A5052">
        <w:t>:</w:t>
      </w:r>
      <w:r>
        <w:t xml:space="preserve">  </w:t>
      </w:r>
      <w:r w:rsidR="005A5052">
        <w:t xml:space="preserve">Learning Collaborative </w:t>
      </w:r>
      <w:r w:rsidR="007E43F8">
        <w:t xml:space="preserve">QI </w:t>
      </w:r>
      <w:r w:rsidR="005A5052">
        <w:t>Champion Interview</w:t>
      </w:r>
      <w:r>
        <w:t xml:space="preserve"> </w:t>
      </w:r>
    </w:p>
    <w:p w:rsidR="00A15D49" w:rsidP="003600B8" w:rsidRDefault="003428CE" w14:paraId="0026E2B4" w14:textId="4BB3A0C4">
      <w:pPr>
        <w:pStyle w:val="BodyTextNospaceafter"/>
      </w:pPr>
      <w:r>
        <w:t>Attachment D</w:t>
      </w:r>
      <w:r w:rsidR="005A5052">
        <w:t>:</w:t>
      </w:r>
      <w:r w:rsidR="008573ED">
        <w:t xml:space="preserve">  </w:t>
      </w:r>
      <w:r w:rsidR="005A5052">
        <w:t>Learning Collaborative Staff Interview</w:t>
      </w:r>
    </w:p>
    <w:p w:rsidR="005A5052" w:rsidP="003600B8" w:rsidRDefault="005A5052" w14:paraId="6DA07B60" w14:textId="39297402">
      <w:pPr>
        <w:pStyle w:val="BodyTextNospaceafter"/>
      </w:pPr>
      <w:r>
        <w:t>Attachment E: Learning Collaborative Self-Assessment</w:t>
      </w:r>
    </w:p>
    <w:p w:rsidR="00616C60" w:rsidP="003600B8" w:rsidRDefault="005A5052" w14:paraId="38F65B99" w14:textId="77777777">
      <w:pPr>
        <w:pStyle w:val="BodyTextNospaceafter"/>
      </w:pPr>
      <w:r>
        <w:t xml:space="preserve">Attachment F: </w:t>
      </w:r>
      <w:r w:rsidR="00616C60">
        <w:t>Learning Collaborative Quality Improvement Measures</w:t>
      </w:r>
    </w:p>
    <w:p w:rsidR="00D65497" w:rsidP="003600B8" w:rsidRDefault="00616C60" w14:paraId="0E0C3A70" w14:textId="77777777">
      <w:pPr>
        <w:pStyle w:val="BodyTextNospaceafter"/>
      </w:pPr>
      <w:r w:rsidRPr="003D69AF">
        <w:t xml:space="preserve">Attachment </w:t>
      </w:r>
      <w:r w:rsidRPr="003D69AF" w:rsidR="00FE4A1F">
        <w:t>G</w:t>
      </w:r>
      <w:r>
        <w:t xml:space="preserve">: </w:t>
      </w:r>
      <w:r w:rsidR="005A5052">
        <w:t>Baseline Security Requirements</w:t>
      </w:r>
    </w:p>
    <w:p w:rsidR="005A5052" w:rsidP="003600B8" w:rsidRDefault="00D65497" w14:paraId="065444F3" w14:textId="608339F6">
      <w:pPr>
        <w:pStyle w:val="BodyTextNospaceafter"/>
      </w:pPr>
      <w:r>
        <w:t>Attachment H: 60-Day Federal Register Notice</w:t>
      </w:r>
    </w:p>
    <w:p w:rsidR="007003C3" w:rsidP="003600B8" w:rsidRDefault="007003C3" w14:paraId="2FA86BFD" w14:textId="14E0E33F">
      <w:pPr>
        <w:pStyle w:val="BodyText"/>
      </w:pPr>
    </w:p>
    <w:p w:rsidR="00D65497" w:rsidP="003600B8" w:rsidRDefault="00D65497" w14:paraId="127AB4C4" w14:textId="77777777">
      <w:pPr>
        <w:pStyle w:val="BodyText"/>
        <w:sectPr w:rsidR="00D65497" w:rsidSect="00BD7631">
          <w:endnotePr>
            <w:numFmt w:val="decimal"/>
          </w:endnotePr>
          <w:pgSz w:w="12240" w:h="15840" w:code="1"/>
          <w:pgMar w:top="1440" w:right="1800" w:bottom="1440" w:left="1800" w:header="720" w:footer="720" w:gutter="0"/>
          <w:pgNumType w:start="1"/>
          <w:cols w:space="720"/>
          <w:docGrid w:linePitch="360"/>
        </w:sectPr>
      </w:pPr>
      <w:bookmarkStart w:name="_GoBack" w:id="62"/>
      <w:bookmarkEnd w:id="62"/>
    </w:p>
    <w:p w:rsidRPr="003600B8" w:rsidR="007003C3" w:rsidP="007003C3" w:rsidRDefault="007003C3" w14:paraId="6B43A4B2" w14:textId="68A65355">
      <w:pPr>
        <w:pStyle w:val="Heading2"/>
      </w:pPr>
      <w:bookmarkStart w:name="_Toc38531535" w:id="63"/>
      <w:r>
        <w:t>Citations</w:t>
      </w:r>
      <w:bookmarkEnd w:id="63"/>
    </w:p>
    <w:sectPr w:rsidRPr="003600B8" w:rsidR="007003C3" w:rsidSect="00142959">
      <w:footerReference w:type="default" r:id="rId15"/>
      <w:endnotePr>
        <w:numFmt w:val="decimal"/>
      </w:endnotePr>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6653A" w14:textId="77777777" w:rsidR="00853553" w:rsidRDefault="00853553" w:rsidP="00142959">
      <w:pPr>
        <w:spacing w:after="120"/>
      </w:pPr>
      <w:r>
        <w:separator/>
      </w:r>
    </w:p>
  </w:endnote>
  <w:endnote w:type="continuationSeparator" w:id="0">
    <w:p w14:paraId="4FD5C48D" w14:textId="77777777" w:rsidR="00853553" w:rsidRDefault="00853553" w:rsidP="00142959">
      <w:pPr>
        <w:spacing w:after="120"/>
      </w:pPr>
      <w:r>
        <w:continuationSeparator/>
      </w:r>
    </w:p>
  </w:endnote>
  <w:endnote w:id="1">
    <w:p w14:paraId="27817E9A" w14:textId="77777777" w:rsidR="00853553" w:rsidRPr="005E7FE8" w:rsidRDefault="00853553" w:rsidP="00D057D1">
      <w:pPr>
        <w:pStyle w:val="EndnoteText"/>
      </w:pPr>
      <w:r w:rsidRPr="003778D3">
        <w:rPr>
          <w:rStyle w:val="EndnoteReference"/>
        </w:rPr>
        <w:endnoteRef/>
      </w:r>
      <w:r w:rsidRPr="003778D3">
        <w:t xml:space="preserve"> </w:t>
      </w:r>
      <w:r w:rsidRPr="003778D3">
        <w:tab/>
      </w:r>
      <w:r w:rsidRPr="005E7FE8">
        <w:t xml:space="preserve">Wide-ranging online data for epidemiologic research (WONDER). Atlanta, GA: CDC, </w:t>
      </w:r>
      <w:r w:rsidRPr="00D057D1">
        <w:t>National</w:t>
      </w:r>
      <w:r w:rsidRPr="005E7FE8">
        <w:t xml:space="preserve"> Center for Health Statistics; 2017. Available at http://wonder.cdc.gov.</w:t>
      </w:r>
    </w:p>
  </w:endnote>
  <w:endnote w:id="2">
    <w:p w14:paraId="2DE29F8E" w14:textId="31D805D6" w:rsidR="00853553" w:rsidRPr="005E7FE8" w:rsidRDefault="00853553" w:rsidP="00D057D1">
      <w:pPr>
        <w:pStyle w:val="EndnoteText"/>
      </w:pPr>
      <w:r w:rsidRPr="005E7FE8">
        <w:rPr>
          <w:rStyle w:val="EndnoteReference"/>
          <w:szCs w:val="24"/>
        </w:rPr>
        <w:endnoteRef/>
      </w:r>
      <w:r w:rsidRPr="005E7FE8">
        <w:t xml:space="preserve"> </w:t>
      </w:r>
      <w:r w:rsidRPr="005E7FE8">
        <w:tab/>
      </w:r>
      <w:hyperlink r:id="rId1" w:history="1">
        <w:r w:rsidRPr="00597465">
          <w:rPr>
            <w:rStyle w:val="Hyperlink"/>
          </w:rPr>
          <w:t>https://www.samhsa.gov/data/nsduh/reports-detailed-tables-2017-NSDUH</w:t>
        </w:r>
      </w:hyperlink>
      <w:r>
        <w:t xml:space="preserve"> </w:t>
      </w:r>
    </w:p>
  </w:endnote>
  <w:endnote w:id="3">
    <w:p w14:paraId="6A0FDA9B" w14:textId="77777777" w:rsidR="00853553" w:rsidRPr="005E7FE8" w:rsidRDefault="00853553" w:rsidP="00D057D1">
      <w:pPr>
        <w:pStyle w:val="EndnoteText"/>
      </w:pPr>
      <w:r w:rsidRPr="005E7FE8">
        <w:rPr>
          <w:rStyle w:val="EndnoteReference"/>
          <w:szCs w:val="24"/>
        </w:rPr>
        <w:endnoteRef/>
      </w:r>
      <w:r w:rsidRPr="005E7FE8">
        <w:t xml:space="preserve"> </w:t>
      </w:r>
      <w:r w:rsidRPr="005E7FE8">
        <w:tab/>
      </w:r>
      <w:hyperlink r:id="rId2" w:history="1">
        <w:r w:rsidRPr="005E7FE8">
          <w:rPr>
            <w:rStyle w:val="Hyperlink"/>
            <w:szCs w:val="24"/>
          </w:rPr>
          <w:t>https://www.hhs.gov/about/news/2017/10/26/hhs-acting-secretary-declares-public-health-emergency-address-national-opioid-crisis.html</w:t>
        </w:r>
      </w:hyperlink>
    </w:p>
  </w:endnote>
  <w:endnote w:id="4">
    <w:p w14:paraId="6E09D5AE" w14:textId="77777777" w:rsidR="00853553" w:rsidRPr="005E7FE8" w:rsidRDefault="00853553" w:rsidP="00D057D1">
      <w:pPr>
        <w:pStyle w:val="EndnoteText"/>
      </w:pPr>
      <w:r w:rsidRPr="005E7FE8">
        <w:rPr>
          <w:rStyle w:val="EndnoteReference"/>
          <w:szCs w:val="24"/>
        </w:rPr>
        <w:endnoteRef/>
      </w:r>
      <w:r w:rsidRPr="005E7FE8">
        <w:t xml:space="preserve"> </w:t>
      </w:r>
      <w:r w:rsidRPr="005E7FE8">
        <w:tab/>
        <w:t xml:space="preserve">Public Law 115-271. </w:t>
      </w:r>
      <w:hyperlink r:id="rId3" w:anchor="toc-H626C793620EE42D89660E8AB85724CCF" w:history="1">
        <w:r w:rsidRPr="005E7FE8">
          <w:rPr>
            <w:rStyle w:val="Hyperlink"/>
            <w:szCs w:val="24"/>
          </w:rPr>
          <w:t>https://www.congress.gov/bill/115th-congress/house-bill/6/text#toc-H626C793620EE42D89660E8AB85724CCF</w:t>
        </w:r>
      </w:hyperlink>
    </w:p>
  </w:endnote>
  <w:endnote w:id="5">
    <w:p w14:paraId="0A576AD3" w14:textId="77777777" w:rsidR="00853553" w:rsidRPr="005E7FE8" w:rsidRDefault="00853553" w:rsidP="00D057D1">
      <w:pPr>
        <w:pStyle w:val="EndnoteText"/>
      </w:pPr>
      <w:r w:rsidRPr="005E7FE8">
        <w:rPr>
          <w:rStyle w:val="EndnoteReference"/>
          <w:szCs w:val="24"/>
        </w:rPr>
        <w:endnoteRef/>
      </w:r>
      <w:r w:rsidRPr="005E7FE8">
        <w:t xml:space="preserve"> </w:t>
      </w:r>
      <w:r w:rsidRPr="005E7FE8">
        <w:tab/>
        <w:t xml:space="preserve">AHRQ: Opioids. </w:t>
      </w:r>
      <w:hyperlink r:id="rId4" w:history="1">
        <w:r w:rsidRPr="005E7FE8">
          <w:rPr>
            <w:rStyle w:val="Hyperlink"/>
            <w:szCs w:val="24"/>
          </w:rPr>
          <w:t>https://www.ahrq.gov/opioids/index.html</w:t>
        </w:r>
      </w:hyperlink>
      <w:r w:rsidRPr="005E7FE8">
        <w:t xml:space="preserve"> </w:t>
      </w:r>
    </w:p>
  </w:endnote>
  <w:endnote w:id="6">
    <w:p w14:paraId="445C865A" w14:textId="77777777" w:rsidR="00853553" w:rsidRPr="005E7FE8" w:rsidRDefault="00853553" w:rsidP="00D057D1">
      <w:pPr>
        <w:pStyle w:val="EndnoteText"/>
      </w:pPr>
      <w:r w:rsidRPr="005E7FE8">
        <w:rPr>
          <w:rStyle w:val="EndnoteReference"/>
          <w:szCs w:val="24"/>
        </w:rPr>
        <w:endnoteRef/>
      </w:r>
      <w:r w:rsidRPr="005E7FE8">
        <w:t xml:space="preserve"> </w:t>
      </w:r>
      <w:r w:rsidRPr="005E7FE8">
        <w:tab/>
      </w:r>
      <w:hyperlink r:id="rId5" w:history="1">
        <w:r w:rsidRPr="005E7FE8">
          <w:rPr>
            <w:rStyle w:val="Hyperlink"/>
            <w:szCs w:val="24"/>
          </w:rPr>
          <w:t>https://www.samhsa.gov/data/sites/default/files/report_3186/Spotlight-3186.html</w:t>
        </w:r>
      </w:hyperlink>
      <w:r w:rsidRPr="005E7FE8">
        <w:t xml:space="preserve"> </w:t>
      </w:r>
    </w:p>
  </w:endnote>
  <w:endnote w:id="7">
    <w:p w14:paraId="2C9B10F9" w14:textId="77777777" w:rsidR="00853553" w:rsidRPr="005E7FE8" w:rsidRDefault="00853553" w:rsidP="00D057D1">
      <w:pPr>
        <w:pStyle w:val="EndnoteText"/>
      </w:pPr>
      <w:r w:rsidRPr="005E7FE8">
        <w:rPr>
          <w:rStyle w:val="EndnoteReference"/>
          <w:szCs w:val="24"/>
        </w:rPr>
        <w:endnoteRef/>
      </w:r>
      <w:r w:rsidRPr="005E7FE8">
        <w:t xml:space="preserve"> </w:t>
      </w:r>
      <w:r w:rsidRPr="005E7FE8">
        <w:tab/>
      </w:r>
      <w:proofErr w:type="spellStart"/>
      <w:r w:rsidRPr="005E7FE8">
        <w:t>Buckeridge</w:t>
      </w:r>
      <w:proofErr w:type="spellEnd"/>
      <w:r w:rsidRPr="005E7FE8">
        <w:t xml:space="preserve">, D., Huang, A., Hanley, J., </w:t>
      </w:r>
      <w:proofErr w:type="spellStart"/>
      <w:r w:rsidRPr="005E7FE8">
        <w:t>Kelome</w:t>
      </w:r>
      <w:proofErr w:type="spellEnd"/>
      <w:r w:rsidRPr="005E7FE8">
        <w:t xml:space="preserve">, A., </w:t>
      </w:r>
      <w:proofErr w:type="spellStart"/>
      <w:r w:rsidRPr="005E7FE8">
        <w:t>Reidel</w:t>
      </w:r>
      <w:proofErr w:type="spellEnd"/>
      <w:r w:rsidRPr="005E7FE8">
        <w:t xml:space="preserve">, K., </w:t>
      </w:r>
      <w:proofErr w:type="spellStart"/>
      <w:r w:rsidRPr="005E7FE8">
        <w:t>Verma</w:t>
      </w:r>
      <w:proofErr w:type="spellEnd"/>
      <w:r w:rsidRPr="005E7FE8">
        <w:t xml:space="preserve">, A., </w:t>
      </w:r>
      <w:proofErr w:type="spellStart"/>
      <w:r w:rsidRPr="005E7FE8">
        <w:t>Winslade</w:t>
      </w:r>
      <w:proofErr w:type="spellEnd"/>
      <w:r w:rsidRPr="005E7FE8">
        <w:t xml:space="preserve">, N., &amp; Tamblyn, R. (2010). Risk of injury associated with opioid use in older adults. J Am </w:t>
      </w:r>
      <w:proofErr w:type="spellStart"/>
      <w:r w:rsidRPr="005E7FE8">
        <w:t>Geratr</w:t>
      </w:r>
      <w:proofErr w:type="spellEnd"/>
      <w:r w:rsidRPr="005E7FE8">
        <w:t xml:space="preserve"> </w:t>
      </w:r>
      <w:proofErr w:type="spellStart"/>
      <w:r w:rsidRPr="005E7FE8">
        <w:t>Soc</w:t>
      </w:r>
      <w:proofErr w:type="spellEnd"/>
      <w:r w:rsidRPr="005E7FE8">
        <w:t>, 58, 1664-1670</w:t>
      </w:r>
    </w:p>
  </w:endnote>
  <w:endnote w:id="8">
    <w:p w14:paraId="53E6F7F9" w14:textId="77777777" w:rsidR="00853553" w:rsidRPr="005E7FE8" w:rsidRDefault="00853553" w:rsidP="00D057D1">
      <w:pPr>
        <w:pStyle w:val="EndnoteText"/>
      </w:pPr>
      <w:r w:rsidRPr="005E7FE8">
        <w:rPr>
          <w:rStyle w:val="EndnoteReference"/>
          <w:szCs w:val="24"/>
        </w:rPr>
        <w:endnoteRef/>
      </w:r>
      <w:r w:rsidRPr="005E7FE8">
        <w:t xml:space="preserve"> </w:t>
      </w:r>
      <w:r w:rsidRPr="005E7FE8">
        <w:tab/>
      </w:r>
      <w:hyperlink r:id="rId6" w:history="1">
        <w:r w:rsidRPr="005E7FE8">
          <w:rPr>
            <w:rStyle w:val="Hyperlink"/>
            <w:szCs w:val="24"/>
          </w:rPr>
          <w:t>https://www.ncbi.nlm.nih.gov/pubmed/30693946</w:t>
        </w:r>
      </w:hyperlink>
      <w:r w:rsidRPr="005E7FE8">
        <w:t xml:space="preserve"> </w:t>
      </w:r>
    </w:p>
  </w:endnote>
  <w:endnote w:id="9">
    <w:p w14:paraId="5EC3EB4A" w14:textId="77777777" w:rsidR="00853553" w:rsidRPr="005E7FE8" w:rsidRDefault="00853553" w:rsidP="00D057D1">
      <w:pPr>
        <w:pStyle w:val="EndnoteText"/>
      </w:pPr>
      <w:r w:rsidRPr="005E7FE8">
        <w:rPr>
          <w:rStyle w:val="EndnoteReference"/>
          <w:szCs w:val="24"/>
        </w:rPr>
        <w:endnoteRef/>
      </w:r>
      <w:r w:rsidRPr="005E7FE8">
        <w:t xml:space="preserve"> </w:t>
      </w:r>
      <w:r w:rsidRPr="005E7FE8">
        <w:tab/>
        <w:t xml:space="preserve">Weiss 2018. </w:t>
      </w:r>
      <w:hyperlink r:id="rId7" w:history="1">
        <w:r w:rsidRPr="005E7FE8">
          <w:rPr>
            <w:rStyle w:val="Hyperlink"/>
            <w:szCs w:val="24"/>
          </w:rPr>
          <w:t>https://www.ncbi.nlm.nih.gov/books/NBK534106/</w:t>
        </w:r>
      </w:hyperlink>
      <w:r w:rsidRPr="005E7FE8">
        <w:t xml:space="preserve"> </w:t>
      </w:r>
    </w:p>
  </w:endnote>
  <w:endnote w:id="10">
    <w:p w14:paraId="1D265BF0" w14:textId="77777777" w:rsidR="00853553" w:rsidRPr="005E7FE8" w:rsidRDefault="00853553" w:rsidP="00D057D1">
      <w:pPr>
        <w:pStyle w:val="EndnoteText"/>
      </w:pPr>
      <w:r w:rsidRPr="005E7FE8">
        <w:rPr>
          <w:rStyle w:val="EndnoteReference"/>
          <w:szCs w:val="24"/>
        </w:rPr>
        <w:endnoteRef/>
      </w:r>
      <w:r w:rsidRPr="005E7FE8">
        <w:t xml:space="preserve"> </w:t>
      </w:r>
      <w:r w:rsidRPr="005E7FE8">
        <w:tab/>
        <w:t xml:space="preserve">Levy B, </w:t>
      </w:r>
      <w:proofErr w:type="spellStart"/>
      <w:r w:rsidRPr="005E7FE8">
        <w:t>Paulozzi</w:t>
      </w:r>
      <w:proofErr w:type="spellEnd"/>
      <w:r w:rsidRPr="005E7FE8">
        <w:t xml:space="preserve"> L, Mack KA, </w:t>
      </w:r>
      <w:proofErr w:type="gramStart"/>
      <w:r w:rsidRPr="005E7FE8">
        <w:t>Jones</w:t>
      </w:r>
      <w:proofErr w:type="gramEnd"/>
      <w:r w:rsidRPr="005E7FE8">
        <w:t xml:space="preserve"> CM. Trends in opioid analgesic-prescribing rates by specialty, U.S., 2007-2012. Am J </w:t>
      </w:r>
      <w:proofErr w:type="spellStart"/>
      <w:r w:rsidRPr="005E7FE8">
        <w:t>Prev</w:t>
      </w:r>
      <w:proofErr w:type="spellEnd"/>
      <w:r w:rsidRPr="005E7FE8">
        <w:t xml:space="preserve"> Med. 2015;49(3):409-413</w:t>
      </w:r>
    </w:p>
  </w:endnote>
  <w:endnote w:id="11">
    <w:p w14:paraId="256E70F5" w14:textId="77777777" w:rsidR="00853553" w:rsidRPr="005E7FE8" w:rsidRDefault="00853553" w:rsidP="00D057D1">
      <w:pPr>
        <w:pStyle w:val="EndnoteText"/>
      </w:pPr>
      <w:r w:rsidRPr="005E7FE8">
        <w:rPr>
          <w:rStyle w:val="EndnoteReference"/>
          <w:szCs w:val="24"/>
        </w:rPr>
        <w:endnoteRef/>
      </w:r>
      <w:r w:rsidRPr="005E7FE8">
        <w:t xml:space="preserve"> </w:t>
      </w:r>
      <w:r w:rsidRPr="005E7FE8">
        <w:tab/>
        <w:t xml:space="preserve">McDonald DC, Carlson K, </w:t>
      </w:r>
      <w:proofErr w:type="spellStart"/>
      <w:r w:rsidRPr="005E7FE8">
        <w:t>Izrael</w:t>
      </w:r>
      <w:proofErr w:type="spellEnd"/>
      <w:r w:rsidRPr="005E7FE8">
        <w:t xml:space="preserve"> D. Geographic variation in opioid prescribing in the U.S. J Pain. 2012</w:t>
      </w:r>
      <w:proofErr w:type="gramStart"/>
      <w:r w:rsidRPr="005E7FE8">
        <w:t>;13</w:t>
      </w:r>
      <w:proofErr w:type="gramEnd"/>
      <w:r w:rsidRPr="005E7FE8">
        <w:t>(10):988-996.</w:t>
      </w:r>
    </w:p>
  </w:endnote>
  <w:endnote w:id="12">
    <w:p w14:paraId="18F03096" w14:textId="77777777" w:rsidR="00853553" w:rsidRPr="005E7FE8" w:rsidRDefault="00853553" w:rsidP="00D057D1">
      <w:pPr>
        <w:pStyle w:val="EndnoteText"/>
      </w:pPr>
      <w:r w:rsidRPr="005E7FE8">
        <w:rPr>
          <w:rStyle w:val="EndnoteReference"/>
          <w:szCs w:val="24"/>
        </w:rPr>
        <w:endnoteRef/>
      </w:r>
      <w:r w:rsidRPr="005E7FE8">
        <w:t xml:space="preserve"> </w:t>
      </w:r>
      <w:r w:rsidRPr="005E7FE8">
        <w:tab/>
        <w:t xml:space="preserve">Institute of Medicine 2011. Relieving Pain in America: A Blueprint for Transforming Prevention, Care, Education, and Research. Washington, DC: The National Academies Press. </w:t>
      </w:r>
      <w:proofErr w:type="gramStart"/>
      <w:r w:rsidRPr="005E7FE8">
        <w:t>https</w:t>
      </w:r>
      <w:proofErr w:type="gramEnd"/>
      <w:r w:rsidRPr="005E7FE8">
        <w:t>://doi.org/10.17226/13172.;</w:t>
      </w:r>
    </w:p>
  </w:endnote>
  <w:endnote w:id="13">
    <w:p w14:paraId="5184AC34" w14:textId="77777777" w:rsidR="00853553" w:rsidRPr="005E7FE8" w:rsidRDefault="00853553" w:rsidP="00D057D1">
      <w:pPr>
        <w:pStyle w:val="EndnoteText"/>
      </w:pPr>
      <w:r w:rsidRPr="005E7FE8">
        <w:rPr>
          <w:rStyle w:val="EndnoteReference"/>
          <w:szCs w:val="24"/>
        </w:rPr>
        <w:endnoteRef/>
      </w:r>
      <w:r w:rsidRPr="005E7FE8">
        <w:t xml:space="preserve"> </w:t>
      </w:r>
      <w:r w:rsidRPr="005E7FE8">
        <w:tab/>
        <w:t>Barber, J. B., and S. J. Gibson. 2009. Treatment of chronic non-malignant pain in the elderly: Safety considerations. Drug Safety 32(6):457-474</w:t>
      </w:r>
    </w:p>
  </w:endnote>
  <w:endnote w:id="14">
    <w:p w14:paraId="69CF2C31" w14:textId="77777777" w:rsidR="00853553" w:rsidRPr="005E7FE8" w:rsidRDefault="00853553" w:rsidP="00D057D1">
      <w:pPr>
        <w:pStyle w:val="EndnoteText"/>
      </w:pPr>
      <w:r w:rsidRPr="005E7FE8">
        <w:rPr>
          <w:rStyle w:val="EndnoteReference"/>
          <w:szCs w:val="24"/>
        </w:rPr>
        <w:endnoteRef/>
      </w:r>
      <w:r w:rsidRPr="005E7FE8">
        <w:t xml:space="preserve"> </w:t>
      </w:r>
      <w:r w:rsidRPr="005E7FE8">
        <w:tab/>
        <w:t xml:space="preserve">McLachlan, A. J., Bath, S. , </w:t>
      </w:r>
      <w:proofErr w:type="spellStart"/>
      <w:r w:rsidRPr="005E7FE8">
        <w:t>Naganathan</w:t>
      </w:r>
      <w:proofErr w:type="spellEnd"/>
      <w:r w:rsidRPr="005E7FE8">
        <w:t xml:space="preserve">, V. , </w:t>
      </w:r>
      <w:proofErr w:type="spellStart"/>
      <w:r w:rsidRPr="005E7FE8">
        <w:t>Hilmer</w:t>
      </w:r>
      <w:proofErr w:type="spellEnd"/>
      <w:r w:rsidRPr="005E7FE8">
        <w:t xml:space="preserve">, S. N., Le </w:t>
      </w:r>
      <w:proofErr w:type="spellStart"/>
      <w:r w:rsidRPr="005E7FE8">
        <w:t>Couteur</w:t>
      </w:r>
      <w:proofErr w:type="spellEnd"/>
      <w:r w:rsidRPr="005E7FE8">
        <w:t>, D. G., Gibson, S. J. and Blyth, F. M. (2011), Clinical pharmacology of analgesic medicines in older people: impact of frailty and cognitive impairment. British Journal of Clinical Pharmacology, 71: 351-364. doi:10.1111/j.1365-2125.2010.03847.x</w:t>
      </w:r>
    </w:p>
  </w:endnote>
  <w:endnote w:id="15">
    <w:p w14:paraId="4BDF43D1" w14:textId="77777777" w:rsidR="00853553" w:rsidRPr="005E7FE8" w:rsidRDefault="00853553" w:rsidP="00D057D1">
      <w:pPr>
        <w:pStyle w:val="EndnoteText"/>
      </w:pPr>
      <w:r w:rsidRPr="005E7FE8">
        <w:rPr>
          <w:rStyle w:val="EndnoteReference"/>
          <w:szCs w:val="24"/>
        </w:rPr>
        <w:endnoteRef/>
      </w:r>
      <w:r w:rsidRPr="005E7FE8">
        <w:t xml:space="preserve"> </w:t>
      </w:r>
      <w:r w:rsidRPr="005E7FE8">
        <w:tab/>
        <w:t>Institute of Medicine 2011. Relieving Pain in America: A Blueprint for Transforming Prevention, Care, Education, and Research. Washington, DC: The National Academies Press. https://doi.org/10.17226/13172.</w:t>
      </w:r>
    </w:p>
  </w:endnote>
  <w:endnote w:id="16">
    <w:p w14:paraId="4F3997F8" w14:textId="77777777" w:rsidR="00853553" w:rsidRPr="005E7FE8" w:rsidRDefault="00853553" w:rsidP="00D057D1">
      <w:pPr>
        <w:pStyle w:val="EndnoteText"/>
      </w:pPr>
      <w:r w:rsidRPr="005E7FE8">
        <w:rPr>
          <w:rStyle w:val="EndnoteReference"/>
          <w:szCs w:val="24"/>
        </w:rPr>
        <w:endnoteRef/>
      </w:r>
      <w:r w:rsidRPr="005E7FE8">
        <w:t xml:space="preserve"> </w:t>
      </w:r>
      <w:r w:rsidRPr="005E7FE8">
        <w:tab/>
        <w:t xml:space="preserve">Todd KH, Deaton C, </w:t>
      </w:r>
      <w:proofErr w:type="spellStart"/>
      <w:r w:rsidRPr="005E7FE8">
        <w:t>D’Adamo</w:t>
      </w:r>
      <w:proofErr w:type="spellEnd"/>
      <w:r w:rsidRPr="005E7FE8">
        <w:t xml:space="preserve"> AP, </w:t>
      </w:r>
      <w:proofErr w:type="spellStart"/>
      <w:r w:rsidRPr="005E7FE8">
        <w:t>Goe</w:t>
      </w:r>
      <w:proofErr w:type="spellEnd"/>
      <w:r w:rsidRPr="005E7FE8">
        <w:t xml:space="preserve"> L. Ethnicity and analgesic practice. Ann </w:t>
      </w:r>
      <w:proofErr w:type="spellStart"/>
      <w:r w:rsidRPr="005E7FE8">
        <w:t>Emerg</w:t>
      </w:r>
      <w:proofErr w:type="spellEnd"/>
      <w:r w:rsidRPr="005E7FE8">
        <w:t xml:space="preserve"> Med. January 2000;35:11-16</w:t>
      </w:r>
    </w:p>
  </w:endnote>
  <w:endnote w:id="17">
    <w:p w14:paraId="6F87E646" w14:textId="77777777" w:rsidR="00853553" w:rsidRPr="005E7FE8" w:rsidRDefault="00853553" w:rsidP="00D057D1">
      <w:pPr>
        <w:pStyle w:val="EndnoteText"/>
      </w:pPr>
      <w:r w:rsidRPr="005E7FE8">
        <w:rPr>
          <w:rStyle w:val="EndnoteReference"/>
          <w:szCs w:val="24"/>
        </w:rPr>
        <w:endnoteRef/>
      </w:r>
      <w:r w:rsidRPr="005E7FE8">
        <w:t xml:space="preserve"> </w:t>
      </w:r>
      <w:r w:rsidRPr="005E7FE8">
        <w:tab/>
        <w:t>IOM. 2003. Unequal treatment: Confronting racial and ethnic disparities in health care. Washington, DC: The National Academies Press.</w:t>
      </w:r>
    </w:p>
  </w:endnote>
  <w:endnote w:id="18">
    <w:p w14:paraId="4B99FBD2" w14:textId="77777777" w:rsidR="00853553" w:rsidRPr="005E7FE8" w:rsidRDefault="00853553" w:rsidP="00852F9D">
      <w:pPr>
        <w:ind w:left="360" w:hanging="360"/>
      </w:pPr>
      <w:r w:rsidRPr="005E7FE8">
        <w:rPr>
          <w:rStyle w:val="EndnoteReference"/>
        </w:rPr>
        <w:endnoteRef/>
      </w:r>
      <w:r w:rsidRPr="005E7FE8">
        <w:t xml:space="preserve"> </w:t>
      </w:r>
      <w:r w:rsidRPr="005E7FE8">
        <w:tab/>
        <w:t>Anderson, K. O., C. R. Green, and R. Payne. 2009. Racial and ethnic disparities in pain: Causes and consequences of unequal care. Journal of Pain 10(12):1187-1204.</w:t>
      </w:r>
    </w:p>
  </w:endnote>
  <w:endnote w:id="19">
    <w:p w14:paraId="31127602" w14:textId="0916A963" w:rsidR="00853553" w:rsidRPr="005E7FE8" w:rsidRDefault="00853553" w:rsidP="00D057D1">
      <w:pPr>
        <w:pStyle w:val="EndnoteText"/>
      </w:pPr>
      <w:r w:rsidRPr="005E7FE8">
        <w:rPr>
          <w:rStyle w:val="EndnoteReference"/>
          <w:szCs w:val="24"/>
        </w:rPr>
        <w:endnoteRef/>
      </w:r>
      <w:r w:rsidRPr="005E7FE8">
        <w:t xml:space="preserve"> </w:t>
      </w:r>
      <w:r w:rsidRPr="005E7FE8">
        <w:tab/>
      </w:r>
      <w:hyperlink r:id="rId8" w:history="1">
        <w:r w:rsidRPr="00142959">
          <w:rPr>
            <w:rStyle w:val="Hyperlink"/>
          </w:rPr>
          <w:t>https://www.govinfo.gov/content/pkg/FR-2020-03-18/pdf/2020-05612.pdf</w:t>
        </w:r>
      </w:hyperlink>
    </w:p>
  </w:endnote>
  <w:endnote w:id="20">
    <w:p w14:paraId="25794164" w14:textId="77777777" w:rsidR="00853553" w:rsidRPr="003778D3" w:rsidRDefault="00853553" w:rsidP="00D057D1">
      <w:pPr>
        <w:pStyle w:val="EndnoteText"/>
      </w:pPr>
      <w:r w:rsidRPr="003778D3">
        <w:rPr>
          <w:rStyle w:val="EndnoteReference"/>
        </w:rPr>
        <w:endnoteRef/>
      </w:r>
      <w:r w:rsidRPr="003778D3">
        <w:t xml:space="preserve"> </w:t>
      </w:r>
      <w:r w:rsidRPr="003778D3">
        <w:tab/>
      </w:r>
      <w:proofErr w:type="spellStart"/>
      <w:r w:rsidRPr="00852F9D">
        <w:t>Parchman</w:t>
      </w:r>
      <w:proofErr w:type="spellEnd"/>
      <w:r w:rsidRPr="00852F9D">
        <w:t xml:space="preserve"> ML, </w:t>
      </w:r>
      <w:proofErr w:type="spellStart"/>
      <w:r w:rsidRPr="00852F9D">
        <w:t>Penfold</w:t>
      </w:r>
      <w:proofErr w:type="spellEnd"/>
      <w:r w:rsidRPr="00852F9D">
        <w:t xml:space="preserve"> RB, Ike B, </w:t>
      </w:r>
      <w:proofErr w:type="spellStart"/>
      <w:r w:rsidRPr="00852F9D">
        <w:t>Tauben</w:t>
      </w:r>
      <w:proofErr w:type="spellEnd"/>
      <w:r w:rsidRPr="00852F9D">
        <w:t xml:space="preserve"> D, Von </w:t>
      </w:r>
      <w:proofErr w:type="spellStart"/>
      <w:r w:rsidRPr="00852F9D">
        <w:t>Korff</w:t>
      </w:r>
      <w:proofErr w:type="spellEnd"/>
      <w:r w:rsidRPr="00852F9D">
        <w:t xml:space="preserve"> M, Stephens M, Stephens KA, Baldwin LM. Team-Based Clinic Redesign of Opioid Medication Management in Primary Care: Effect on Opioid Prescribing. The Annals of Family Medicine. 2019 Jul 1</w:t>
      </w:r>
      <w:proofErr w:type="gramStart"/>
      <w:r w:rsidRPr="00852F9D">
        <w:t>;17</w:t>
      </w:r>
      <w:proofErr w:type="gramEnd"/>
      <w:r w:rsidRPr="00852F9D">
        <w:t>(4):319-25.</w:t>
      </w:r>
    </w:p>
  </w:endnote>
  <w:endnote w:id="21">
    <w:p w14:paraId="52883104" w14:textId="77777777" w:rsidR="00853553" w:rsidRDefault="00853553" w:rsidP="00D057D1">
      <w:pPr>
        <w:pStyle w:val="EndnoteText"/>
      </w:pPr>
      <w:r>
        <w:rPr>
          <w:rStyle w:val="EndnoteReference"/>
        </w:rPr>
        <w:endnoteRef/>
      </w:r>
      <w:r>
        <w:t xml:space="preserve"> </w:t>
      </w:r>
      <w:r>
        <w:tab/>
      </w:r>
      <w:r w:rsidRPr="00F7583E">
        <w:t xml:space="preserve">Curran GM, Bauer M, </w:t>
      </w:r>
      <w:proofErr w:type="spellStart"/>
      <w:r w:rsidRPr="00F7583E">
        <w:t>Mittman</w:t>
      </w:r>
      <w:proofErr w:type="spellEnd"/>
      <w:r w:rsidRPr="00F7583E">
        <w:t xml:space="preserve"> B, </w:t>
      </w:r>
      <w:proofErr w:type="spellStart"/>
      <w:proofErr w:type="gramStart"/>
      <w:r w:rsidRPr="00F7583E">
        <w:t>Pyne</w:t>
      </w:r>
      <w:proofErr w:type="spellEnd"/>
      <w:proofErr w:type="gramEnd"/>
      <w:r w:rsidRPr="00F7583E">
        <w:t xml:space="preserve"> JM, </w:t>
      </w:r>
      <w:proofErr w:type="spellStart"/>
      <w:r w:rsidRPr="00F7583E">
        <w:t>Stetler</w:t>
      </w:r>
      <w:proofErr w:type="spellEnd"/>
      <w:r w:rsidRPr="00F7583E">
        <w:t xml:space="preserve"> C. Effectiveness-implementation hybrid designs: combining elements of clinical effectiveness and implementation research to enhance public health impact. Medical care. 2012 Mar</w:t>
      </w:r>
      <w:proofErr w:type="gramStart"/>
      <w:r w:rsidRPr="00F7583E">
        <w:t>;50</w:t>
      </w:r>
      <w:proofErr w:type="gramEnd"/>
      <w:r w:rsidRPr="00F7583E">
        <w:t>(3):217.</w:t>
      </w:r>
    </w:p>
  </w:endnote>
  <w:endnote w:id="22">
    <w:p w14:paraId="0DF8F825" w14:textId="77777777" w:rsidR="00853553" w:rsidRPr="003778D3" w:rsidRDefault="00853553" w:rsidP="00D057D1">
      <w:pPr>
        <w:pStyle w:val="EndnoteText"/>
      </w:pPr>
      <w:r w:rsidRPr="003778D3">
        <w:rPr>
          <w:rStyle w:val="EndnoteReference"/>
        </w:rPr>
        <w:endnoteRef/>
      </w:r>
      <w:r w:rsidRPr="003778D3">
        <w:t xml:space="preserve"> </w:t>
      </w:r>
      <w:r w:rsidRPr="003778D3">
        <w:tab/>
      </w:r>
      <w:proofErr w:type="spellStart"/>
      <w:r w:rsidRPr="00EC290E">
        <w:t>Parchman</w:t>
      </w:r>
      <w:proofErr w:type="spellEnd"/>
      <w:r w:rsidRPr="00EC290E">
        <w:t xml:space="preserve"> ML, </w:t>
      </w:r>
      <w:proofErr w:type="spellStart"/>
      <w:r w:rsidRPr="00EC290E">
        <w:t>Penfold</w:t>
      </w:r>
      <w:proofErr w:type="spellEnd"/>
      <w:r w:rsidRPr="00EC290E">
        <w:t xml:space="preserve"> RB, Ike B, </w:t>
      </w:r>
      <w:proofErr w:type="spellStart"/>
      <w:r w:rsidRPr="00EC290E">
        <w:t>Tauben</w:t>
      </w:r>
      <w:proofErr w:type="spellEnd"/>
      <w:r w:rsidRPr="00EC290E">
        <w:t xml:space="preserve"> D, Von </w:t>
      </w:r>
      <w:proofErr w:type="spellStart"/>
      <w:r w:rsidRPr="00EC290E">
        <w:t>Korff</w:t>
      </w:r>
      <w:proofErr w:type="spellEnd"/>
      <w:r w:rsidRPr="00EC290E">
        <w:t xml:space="preserve"> M, Stephens M, Stephens KA, Baldwin LM. Team-Based Clinic Redesign of Opioid Medication Management in Primary Care: Effect on Opioid Prescribing. The Annals of Family Medicine. 2019 Jul 1</w:t>
      </w:r>
      <w:proofErr w:type="gramStart"/>
      <w:r w:rsidRPr="00EC290E">
        <w:t>;17</w:t>
      </w:r>
      <w:proofErr w:type="gramEnd"/>
      <w:r w:rsidRPr="00EC290E">
        <w:t>(4):319-25.</w:t>
      </w:r>
    </w:p>
  </w:endnote>
  <w:endnote w:id="23">
    <w:p w14:paraId="2DEC8DB7" w14:textId="77777777" w:rsidR="00853553" w:rsidRPr="003778D3" w:rsidRDefault="00853553" w:rsidP="00D057D1">
      <w:pPr>
        <w:pStyle w:val="EndnoteText"/>
      </w:pPr>
      <w:r w:rsidRPr="003778D3">
        <w:rPr>
          <w:rStyle w:val="EndnoteReference"/>
        </w:rPr>
        <w:endnoteRef/>
      </w:r>
      <w:r w:rsidRPr="003778D3">
        <w:t xml:space="preserve"> </w:t>
      </w:r>
      <w:r w:rsidRPr="003778D3">
        <w:tab/>
      </w:r>
      <w:r w:rsidRPr="00852F9D">
        <w:t>Chau DL, et al. Opiates and elderly: use and side effects. Clinical interventions in aging. 2008 Jun; 3(2):273</w:t>
      </w:r>
      <w:r w:rsidRPr="003778D3">
        <w:t>.</w:t>
      </w:r>
    </w:p>
  </w:endnote>
  <w:endnote w:id="24">
    <w:p w14:paraId="77508C66" w14:textId="35495B22" w:rsidR="00853553" w:rsidRDefault="00853553" w:rsidP="00D057D1">
      <w:pPr>
        <w:pStyle w:val="EndnoteText"/>
      </w:pPr>
      <w:r>
        <w:rPr>
          <w:rStyle w:val="EndnoteReference"/>
        </w:rPr>
        <w:endnoteRef/>
      </w:r>
      <w:r>
        <w:t xml:space="preserve"> </w:t>
      </w:r>
      <w:r>
        <w:tab/>
      </w:r>
      <w:hyperlink r:id="rId9" w:history="1">
        <w:r w:rsidRPr="00CA75DC">
          <w:rPr>
            <w:rStyle w:val="Hyperlink"/>
            <w:szCs w:val="24"/>
          </w:rPr>
          <w:t>https://integrationacademy.ahrq.gov/products/opioid-substance-use-resources/environmental-scan/mat-collection</w:t>
        </w:r>
      </w:hyperlink>
    </w:p>
  </w:endnote>
  <w:endnote w:id="25">
    <w:p w14:paraId="5A0D02C1" w14:textId="7A0C8CC2" w:rsidR="00853553" w:rsidRDefault="00853553" w:rsidP="00D057D1">
      <w:pPr>
        <w:pStyle w:val="EndnoteText"/>
      </w:pPr>
      <w:r>
        <w:rPr>
          <w:rStyle w:val="EndnoteReference"/>
        </w:rPr>
        <w:endnoteRef/>
      </w:r>
      <w:r>
        <w:t xml:space="preserve"> </w:t>
      </w:r>
      <w:r>
        <w:tab/>
      </w:r>
      <w:r w:rsidRPr="00EA7279">
        <w:rPr>
          <w:shd w:val="clear" w:color="auto" w:fill="FFFFFF"/>
        </w:rPr>
        <w:t xml:space="preserve">Russell, M.L., </w:t>
      </w:r>
      <w:proofErr w:type="spellStart"/>
      <w:r w:rsidRPr="00EA7279">
        <w:rPr>
          <w:shd w:val="clear" w:color="auto" w:fill="FFFFFF"/>
        </w:rPr>
        <w:t>Moralejo</w:t>
      </w:r>
      <w:proofErr w:type="spellEnd"/>
      <w:r w:rsidRPr="00EA7279">
        <w:rPr>
          <w:shd w:val="clear" w:color="auto" w:fill="FFFFFF"/>
        </w:rPr>
        <w:t>, D.G. and Burgess, E.D., 2000. Paying research subjects: participants' perspectives. </w:t>
      </w:r>
      <w:r w:rsidRPr="00EA7279">
        <w:rPr>
          <w:i/>
          <w:iCs/>
          <w:shd w:val="clear" w:color="auto" w:fill="FFFFFF"/>
        </w:rPr>
        <w:t>Journal of medical ethics</w:t>
      </w:r>
      <w:r w:rsidRPr="00EA7279">
        <w:rPr>
          <w:shd w:val="clear" w:color="auto" w:fill="FFFFFF"/>
        </w:rPr>
        <w:t>, </w:t>
      </w:r>
      <w:r w:rsidRPr="00EA7279">
        <w:rPr>
          <w:i/>
          <w:iCs/>
          <w:shd w:val="clear" w:color="auto" w:fill="FFFFFF"/>
        </w:rPr>
        <w:t>26</w:t>
      </w:r>
      <w:r w:rsidRPr="00EA7279">
        <w:rPr>
          <w:shd w:val="clear" w:color="auto" w:fill="FFFFFF"/>
        </w:rPr>
        <w:t>(2), pp.126-130.</w:t>
      </w:r>
      <w:r>
        <w:rPr>
          <w:shd w:val="clear" w:color="auto" w:fill="FFFFFF"/>
        </w:rPr>
        <w:t xml:space="preserve">   </w:t>
      </w:r>
    </w:p>
  </w:endnote>
  <w:endnote w:id="26">
    <w:p w14:paraId="2477ABC7" w14:textId="407752BC" w:rsidR="00853553" w:rsidRDefault="00853553" w:rsidP="00D057D1">
      <w:pPr>
        <w:pStyle w:val="EndnoteText"/>
      </w:pPr>
      <w:r>
        <w:rPr>
          <w:rStyle w:val="EndnoteReference"/>
        </w:rPr>
        <w:endnoteRef/>
      </w:r>
      <w:r>
        <w:t xml:space="preserve"> </w:t>
      </w:r>
      <w:r>
        <w:tab/>
      </w:r>
      <w:proofErr w:type="spellStart"/>
      <w:r w:rsidRPr="00EA7279">
        <w:rPr>
          <w:shd w:val="clear" w:color="auto" w:fill="FFFFFF"/>
        </w:rPr>
        <w:t>Groth</w:t>
      </w:r>
      <w:proofErr w:type="spellEnd"/>
      <w:r w:rsidRPr="00EA7279">
        <w:rPr>
          <w:shd w:val="clear" w:color="auto" w:fill="FFFFFF"/>
        </w:rPr>
        <w:t>, S.W., 2010. Honorarium or coercion: use of incentives for participants in clinical research. </w:t>
      </w:r>
      <w:r w:rsidRPr="00EA7279">
        <w:rPr>
          <w:i/>
          <w:iCs/>
          <w:shd w:val="clear" w:color="auto" w:fill="FFFFFF"/>
        </w:rPr>
        <w:t>The Journal of the New York State Nurses' Association</w:t>
      </w:r>
      <w:r w:rsidRPr="00EA7279">
        <w:rPr>
          <w:shd w:val="clear" w:color="auto" w:fill="FFFFFF"/>
        </w:rPr>
        <w:t>, </w:t>
      </w:r>
      <w:r w:rsidRPr="00EA7279">
        <w:rPr>
          <w:i/>
          <w:iCs/>
          <w:shd w:val="clear" w:color="auto" w:fill="FFFFFF"/>
        </w:rPr>
        <w:t>41</w:t>
      </w:r>
      <w:r w:rsidRPr="00EA7279">
        <w:rPr>
          <w:shd w:val="clear" w:color="auto" w:fill="FFFFFF"/>
        </w:rPr>
        <w:t>(1), p.11.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Cn BT">
    <w:altName w:val="Arial Narro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a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3F23" w14:textId="77777777" w:rsidR="00853553" w:rsidRDefault="00853553" w:rsidP="00BD763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3ACCCA5" w14:textId="77777777" w:rsidR="00853553" w:rsidRDefault="00853553" w:rsidP="00BD7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0F5D0" w14:textId="1D5D7B89" w:rsidR="00853553" w:rsidRDefault="00853553" w:rsidP="00BD763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- 1 -</w:t>
    </w:r>
    <w:r>
      <w:rPr>
        <w:rStyle w:val="PageNumber"/>
      </w:rPr>
      <w:fldChar w:fldCharType="end"/>
    </w:r>
  </w:p>
  <w:p w14:paraId="2A82F672" w14:textId="77777777" w:rsidR="00853553" w:rsidRDefault="00853553" w:rsidP="00BD76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047159"/>
      <w:docPartObj>
        <w:docPartGallery w:val="Page Numbers (Bottom of Page)"/>
        <w:docPartUnique/>
      </w:docPartObj>
    </w:sdtPr>
    <w:sdtContent>
      <w:p w14:paraId="33305082" w14:textId="32A3684B" w:rsidR="00853553" w:rsidRPr="00BD7631" w:rsidRDefault="00853553" w:rsidP="002D468A">
        <w:pPr>
          <w:pStyle w:val="Footer"/>
          <w:jc w:val="left"/>
        </w:pPr>
        <w:r>
          <w:t>Abt Associates</w:t>
        </w:r>
        <w:r>
          <w:tab/>
        </w:r>
        <w:r>
          <w:rPr>
            <w:noProof w:val="0"/>
          </w:rPr>
          <w:fldChar w:fldCharType="begin"/>
        </w:r>
        <w:r>
          <w:instrText xml:space="preserve"> PAGE   \* MERGEFORMAT </w:instrText>
        </w:r>
        <w:r>
          <w:rPr>
            <w:noProof w:val="0"/>
          </w:rPr>
          <w:fldChar w:fldCharType="separate"/>
        </w:r>
        <w:r w:rsidR="003D69AF">
          <w:t>20</w:t>
        </w:r>
        <w:r>
          <w:fldChar w:fldCharType="end"/>
        </w:r>
        <w:r>
          <w:tab/>
          <w:t>Supporting Statement Part A</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774216"/>
      <w:docPartObj>
        <w:docPartGallery w:val="Page Numbers (Bottom of Page)"/>
        <w:docPartUnique/>
      </w:docPartObj>
    </w:sdtPr>
    <w:sdtContent>
      <w:p w14:paraId="18E28D70" w14:textId="03C24701" w:rsidR="00853553" w:rsidRDefault="00853553" w:rsidP="002D468A">
        <w:pPr>
          <w:pStyle w:val="Footer"/>
        </w:pPr>
        <w:r>
          <w:t>Abt Associates</w:t>
        </w:r>
        <w:r>
          <w:tab/>
        </w:r>
        <w:r>
          <w:rPr>
            <w:noProof w:val="0"/>
          </w:rPr>
          <w:fldChar w:fldCharType="begin"/>
        </w:r>
        <w:r>
          <w:instrText xml:space="preserve"> PAGE   \* MERGEFORMAT </w:instrText>
        </w:r>
        <w:r>
          <w:rPr>
            <w:noProof w:val="0"/>
          </w:rPr>
          <w:fldChar w:fldCharType="separate"/>
        </w:r>
        <w:r w:rsidR="003D69AF">
          <w:t>23</w:t>
        </w:r>
        <w:r>
          <w:fldChar w:fldCharType="end"/>
        </w:r>
        <w:r>
          <w:tab/>
          <w:t>Supporting Statement Part 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BBF99" w14:textId="77777777" w:rsidR="00853553" w:rsidRDefault="00853553">
      <w:r>
        <w:separator/>
      </w:r>
    </w:p>
  </w:footnote>
  <w:footnote w:type="continuationSeparator" w:id="0">
    <w:p w14:paraId="56360AFB" w14:textId="77777777" w:rsidR="00853553" w:rsidRDefault="00853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409000F"/>
    <w:lvl w:ilvl="0">
      <w:start w:val="1"/>
      <w:numFmt w:val="decimal"/>
      <w:lvlText w:val="%1."/>
      <w:lvlJc w:val="left"/>
      <w:pPr>
        <w:ind w:left="720" w:hanging="360"/>
      </w:pPr>
      <w:rPr>
        <w:rFonts w:hint="default"/>
      </w:rPr>
    </w:lvl>
  </w:abstractNum>
  <w:abstractNum w:abstractNumId="1" w15:restartNumberingAfterBreak="0">
    <w:nsid w:val="01071FCC"/>
    <w:multiLevelType w:val="multilevel"/>
    <w:tmpl w:val="EB3C1244"/>
    <w:lvl w:ilvl="0">
      <w:start w:val="1"/>
      <w:numFmt w:val="bullet"/>
      <w:lvlText w:val="o"/>
      <w:lvlJc w:val="left"/>
      <w:pPr>
        <w:ind w:left="1440" w:hanging="360"/>
      </w:pPr>
      <w:rPr>
        <w:rFonts w:ascii="Courier New" w:hAnsi="Courier New" w:cs="Courier New" w:hint="default"/>
        <w:sz w:val="40"/>
        <w:szCs w:val="40"/>
      </w:rPr>
    </w:lvl>
    <w:lvl w:ilvl="1">
      <w:start w:val="1"/>
      <w:numFmt w:val="bullet"/>
      <w:lvlText w:val=""/>
      <w:lvlJc w:val="left"/>
      <w:pPr>
        <w:ind w:left="1692" w:hanging="432"/>
      </w:pPr>
      <w:rPr>
        <w:rFonts w:ascii="Wingdings" w:hAnsi="Wingdings" w:hint="default"/>
        <w:b w:val="0"/>
        <w:sz w:val="32"/>
        <w:szCs w:val="32"/>
      </w:rPr>
    </w:lvl>
    <w:lvl w:ilvl="2">
      <w:start w:val="1"/>
      <w:numFmt w:val="decimal"/>
      <w:lvlText w:val="%1.%2.%3."/>
      <w:lvlJc w:val="left"/>
      <w:pPr>
        <w:ind w:left="2124" w:hanging="504"/>
      </w:pPr>
      <w:rPr>
        <w:rFonts w:hint="default"/>
      </w:rPr>
    </w:lvl>
    <w:lvl w:ilvl="3">
      <w:start w:val="1"/>
      <w:numFmt w:val="decimal"/>
      <w:lvlText w:val="%1.%2.%3.%4."/>
      <w:lvlJc w:val="left"/>
      <w:pPr>
        <w:ind w:left="2628" w:hanging="648"/>
      </w:pPr>
      <w:rPr>
        <w:rFonts w:hint="default"/>
      </w:rPr>
    </w:lvl>
    <w:lvl w:ilvl="4">
      <w:start w:val="1"/>
      <w:numFmt w:val="decimal"/>
      <w:lvlText w:val="%1.%2.%3.%4.%5."/>
      <w:lvlJc w:val="left"/>
      <w:pPr>
        <w:ind w:left="3132" w:hanging="792"/>
      </w:pPr>
      <w:rPr>
        <w:rFonts w:hint="default"/>
      </w:rPr>
    </w:lvl>
    <w:lvl w:ilvl="5">
      <w:start w:val="1"/>
      <w:numFmt w:val="decimal"/>
      <w:lvlText w:val="%1.%2.%3.%4.%5.%6."/>
      <w:lvlJc w:val="left"/>
      <w:pPr>
        <w:ind w:left="3636" w:hanging="936"/>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4644" w:hanging="1224"/>
      </w:pPr>
      <w:rPr>
        <w:rFonts w:hint="default"/>
      </w:rPr>
    </w:lvl>
    <w:lvl w:ilvl="8">
      <w:start w:val="1"/>
      <w:numFmt w:val="decimal"/>
      <w:lvlText w:val="%1.%2.%3.%4.%5.%6.%7.%8.%9."/>
      <w:lvlJc w:val="left"/>
      <w:pPr>
        <w:ind w:left="5220" w:hanging="1440"/>
      </w:pPr>
      <w:rPr>
        <w:rFonts w:hint="default"/>
      </w:rPr>
    </w:lvl>
  </w:abstractNum>
  <w:abstractNum w:abstractNumId="2" w15:restartNumberingAfterBreak="0">
    <w:nsid w:val="01717AD6"/>
    <w:multiLevelType w:val="hybridMultilevel"/>
    <w:tmpl w:val="41C6C6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24226C"/>
    <w:multiLevelType w:val="hybridMultilevel"/>
    <w:tmpl w:val="0E24CFA0"/>
    <w:lvl w:ilvl="0" w:tplc="3C64146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C31F5"/>
    <w:multiLevelType w:val="hybridMultilevel"/>
    <w:tmpl w:val="77684E20"/>
    <w:lvl w:ilvl="0" w:tplc="8F623B3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35163"/>
    <w:multiLevelType w:val="hybridMultilevel"/>
    <w:tmpl w:val="0538AAF0"/>
    <w:lvl w:ilvl="0" w:tplc="4C34DFA4">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D6926"/>
    <w:multiLevelType w:val="hybridMultilevel"/>
    <w:tmpl w:val="6EC4B1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3EC022F"/>
    <w:multiLevelType w:val="hybridMultilevel"/>
    <w:tmpl w:val="D6562538"/>
    <w:lvl w:ilvl="0" w:tplc="439E515C">
      <w:start w:val="1"/>
      <w:numFmt w:val="bullet"/>
      <w:lvlText w:val="o"/>
      <w:lvlJc w:val="left"/>
      <w:pPr>
        <w:ind w:left="1080" w:hanging="360"/>
      </w:pPr>
      <w:rPr>
        <w:rFonts w:ascii="Courier New" w:hAnsi="Courier New" w:cs="Courier New" w:hint="default"/>
        <w:sz w:val="40"/>
        <w:szCs w:val="4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E71762"/>
    <w:multiLevelType w:val="hybridMultilevel"/>
    <w:tmpl w:val="4B50B886"/>
    <w:lvl w:ilvl="0" w:tplc="228E2D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0B776A"/>
    <w:multiLevelType w:val="hybridMultilevel"/>
    <w:tmpl w:val="9E3AB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2A2088"/>
    <w:multiLevelType w:val="hybridMultilevel"/>
    <w:tmpl w:val="17E063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C00C08"/>
    <w:multiLevelType w:val="hybridMultilevel"/>
    <w:tmpl w:val="0E24CFA0"/>
    <w:lvl w:ilvl="0" w:tplc="3C64146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8E2996"/>
    <w:multiLevelType w:val="multilevel"/>
    <w:tmpl w:val="7BE227C6"/>
    <w:lvl w:ilvl="0">
      <w:start w:val="3"/>
      <w:numFmt w:val="decimal"/>
      <w:lvlText w:val="%1."/>
      <w:lvlJc w:val="left"/>
      <w:pPr>
        <w:ind w:left="540" w:hanging="360"/>
      </w:pPr>
      <w:rPr>
        <w:rFonts w:hint="default"/>
      </w:rPr>
    </w:lvl>
    <w:lvl w:ilvl="1">
      <w:start w:val="1"/>
      <w:numFmt w:val="bullet"/>
      <w:lvlText w:val="o"/>
      <w:lvlJc w:val="left"/>
      <w:pPr>
        <w:ind w:left="792" w:hanging="432"/>
      </w:pPr>
      <w:rPr>
        <w:rFonts w:ascii="Courier New" w:hAnsi="Courier New" w:hint="default"/>
        <w:b w:val="0"/>
        <w:sz w:val="40"/>
        <w:szCs w:val="4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AF435E"/>
    <w:multiLevelType w:val="multilevel"/>
    <w:tmpl w:val="8EE46680"/>
    <w:lvl w:ilvl="0">
      <w:start w:val="3"/>
      <w:numFmt w:val="decimal"/>
      <w:lvlText w:val="%1."/>
      <w:lvlJc w:val="left"/>
      <w:pPr>
        <w:ind w:left="540" w:hanging="360"/>
      </w:pPr>
      <w:rPr>
        <w:rFonts w:hint="default"/>
      </w:rPr>
    </w:lvl>
    <w:lvl w:ilvl="1">
      <w:start w:val="1"/>
      <w:numFmt w:val="bullet"/>
      <w:lvlText w:val="o"/>
      <w:lvlJc w:val="left"/>
      <w:pPr>
        <w:ind w:left="792" w:hanging="432"/>
      </w:pPr>
      <w:rPr>
        <w:rFonts w:ascii="Courier New" w:hAnsi="Courier New" w:hint="default"/>
        <w:b w:val="0"/>
        <w:sz w:val="40"/>
        <w:szCs w:val="4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A56B81"/>
    <w:multiLevelType w:val="multilevel"/>
    <w:tmpl w:val="5ED8004E"/>
    <w:lvl w:ilvl="0">
      <w:start w:val="1"/>
      <w:numFmt w:val="bullet"/>
      <w:lvlText w:val="o"/>
      <w:lvlJc w:val="left"/>
      <w:pPr>
        <w:ind w:left="900" w:hanging="360"/>
      </w:pPr>
      <w:rPr>
        <w:rFonts w:ascii="Courier New" w:hAnsi="Courier New" w:hint="default"/>
        <w:sz w:val="40"/>
        <w:szCs w:val="40"/>
      </w:rPr>
    </w:lvl>
    <w:lvl w:ilvl="1">
      <w:start w:val="1"/>
      <w:numFmt w:val="decimal"/>
      <w:lvlText w:val="%1.%2."/>
      <w:lvlJc w:val="left"/>
      <w:pPr>
        <w:ind w:left="115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1EB24199"/>
    <w:multiLevelType w:val="hybridMultilevel"/>
    <w:tmpl w:val="77684E20"/>
    <w:lvl w:ilvl="0" w:tplc="8F623B3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693ED8"/>
    <w:multiLevelType w:val="hybridMultilevel"/>
    <w:tmpl w:val="38962834"/>
    <w:lvl w:ilvl="0" w:tplc="AAA4CD2C">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67966"/>
    <w:multiLevelType w:val="multilevel"/>
    <w:tmpl w:val="490814CA"/>
    <w:lvl w:ilvl="0">
      <w:start w:val="1"/>
      <w:numFmt w:val="bullet"/>
      <w:lvlText w:val="o"/>
      <w:lvlJc w:val="left"/>
      <w:pPr>
        <w:ind w:left="1164" w:hanging="360"/>
      </w:pPr>
      <w:rPr>
        <w:rFonts w:ascii="Courier New" w:hAnsi="Courier New" w:hint="default"/>
        <w:sz w:val="40"/>
        <w:szCs w:val="40"/>
      </w:rPr>
    </w:lvl>
    <w:lvl w:ilvl="1">
      <w:start w:val="1"/>
      <w:numFmt w:val="decimal"/>
      <w:lvlText w:val="%1.%2."/>
      <w:lvlJc w:val="left"/>
      <w:pPr>
        <w:ind w:left="1416" w:hanging="432"/>
      </w:pPr>
      <w:rPr>
        <w:rFonts w:hint="default"/>
        <w:b w:val="0"/>
      </w:rPr>
    </w:lvl>
    <w:lvl w:ilvl="2">
      <w:start w:val="1"/>
      <w:numFmt w:val="decimal"/>
      <w:lvlText w:val="%1.%2.%3."/>
      <w:lvlJc w:val="left"/>
      <w:pPr>
        <w:ind w:left="1848" w:hanging="504"/>
      </w:pPr>
      <w:rPr>
        <w:rFonts w:hint="default"/>
      </w:rPr>
    </w:lvl>
    <w:lvl w:ilvl="3">
      <w:start w:val="1"/>
      <w:numFmt w:val="decimal"/>
      <w:lvlText w:val="%1.%2.%3.%4."/>
      <w:lvlJc w:val="left"/>
      <w:pPr>
        <w:ind w:left="2352" w:hanging="648"/>
      </w:pPr>
      <w:rPr>
        <w:rFonts w:hint="default"/>
      </w:rPr>
    </w:lvl>
    <w:lvl w:ilvl="4">
      <w:start w:val="1"/>
      <w:numFmt w:val="decimal"/>
      <w:lvlText w:val="%1.%2.%3.%4.%5."/>
      <w:lvlJc w:val="left"/>
      <w:pPr>
        <w:ind w:left="2856" w:hanging="792"/>
      </w:pPr>
      <w:rPr>
        <w:rFonts w:hint="default"/>
      </w:rPr>
    </w:lvl>
    <w:lvl w:ilvl="5">
      <w:start w:val="1"/>
      <w:numFmt w:val="decimal"/>
      <w:lvlText w:val="%1.%2.%3.%4.%5.%6."/>
      <w:lvlJc w:val="left"/>
      <w:pPr>
        <w:ind w:left="3360" w:hanging="936"/>
      </w:pPr>
      <w:rPr>
        <w:rFonts w:hint="default"/>
      </w:rPr>
    </w:lvl>
    <w:lvl w:ilvl="6">
      <w:start w:val="1"/>
      <w:numFmt w:val="decimal"/>
      <w:lvlText w:val="%1.%2.%3.%4.%5.%6.%7."/>
      <w:lvlJc w:val="left"/>
      <w:pPr>
        <w:ind w:left="3864" w:hanging="1080"/>
      </w:pPr>
      <w:rPr>
        <w:rFonts w:hint="default"/>
      </w:rPr>
    </w:lvl>
    <w:lvl w:ilvl="7">
      <w:start w:val="1"/>
      <w:numFmt w:val="decimal"/>
      <w:lvlText w:val="%1.%2.%3.%4.%5.%6.%7.%8."/>
      <w:lvlJc w:val="left"/>
      <w:pPr>
        <w:ind w:left="4368" w:hanging="1224"/>
      </w:pPr>
      <w:rPr>
        <w:rFonts w:hint="default"/>
      </w:rPr>
    </w:lvl>
    <w:lvl w:ilvl="8">
      <w:start w:val="1"/>
      <w:numFmt w:val="decimal"/>
      <w:lvlText w:val="%1.%2.%3.%4.%5.%6.%7.%8.%9."/>
      <w:lvlJc w:val="left"/>
      <w:pPr>
        <w:ind w:left="4944" w:hanging="1440"/>
      </w:pPr>
      <w:rPr>
        <w:rFonts w:hint="default"/>
      </w:rPr>
    </w:lvl>
  </w:abstractNum>
  <w:abstractNum w:abstractNumId="19" w15:restartNumberingAfterBreak="0">
    <w:nsid w:val="1FF9551A"/>
    <w:multiLevelType w:val="hybridMultilevel"/>
    <w:tmpl w:val="EAEC2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BC172E"/>
    <w:multiLevelType w:val="hybridMultilevel"/>
    <w:tmpl w:val="E3BA0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CE4B7B"/>
    <w:multiLevelType w:val="hybridMultilevel"/>
    <w:tmpl w:val="BF74777E"/>
    <w:lvl w:ilvl="0" w:tplc="CE8A3BE0">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810B3C"/>
    <w:multiLevelType w:val="hybridMultilevel"/>
    <w:tmpl w:val="41C6C6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8BA201C"/>
    <w:multiLevelType w:val="hybridMultilevel"/>
    <w:tmpl w:val="E102C908"/>
    <w:lvl w:ilvl="0" w:tplc="04090001">
      <w:start w:val="1"/>
      <w:numFmt w:val="bullet"/>
      <w:lvlText w:val=""/>
      <w:lvlJc w:val="left"/>
      <w:pPr>
        <w:ind w:left="720" w:hanging="360"/>
      </w:pPr>
      <w:rPr>
        <w:rFonts w:ascii="Symbol" w:hAnsi="Symbol" w:hint="default"/>
        <w:color w:val="DA0E1C"/>
      </w:rPr>
    </w:lvl>
    <w:lvl w:ilvl="1" w:tplc="04090001">
      <w:start w:val="1"/>
      <w:numFmt w:val="bullet"/>
      <w:lvlText w:val=""/>
      <w:lvlJc w:val="left"/>
      <w:pPr>
        <w:ind w:left="1440" w:hanging="360"/>
      </w:pPr>
      <w:rPr>
        <w:rFonts w:ascii="Symbol" w:hAnsi="Symbol" w:hint="default"/>
        <w:b/>
        <w:color w:val="0D0D0D"/>
      </w:rPr>
    </w:lvl>
    <w:lvl w:ilvl="2" w:tplc="735636D6">
      <w:start w:val="1"/>
      <w:numFmt w:val="bullet"/>
      <w:lvlText w:val=""/>
      <w:lvlJc w:val="left"/>
      <w:pPr>
        <w:ind w:left="2160" w:hanging="360"/>
      </w:pPr>
      <w:rPr>
        <w:rFonts w:ascii="Wingdings" w:hAnsi="Wingdings" w:hint="default"/>
        <w:color w:val="949B5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5F47D2"/>
    <w:multiLevelType w:val="multilevel"/>
    <w:tmpl w:val="6484A506"/>
    <w:lvl w:ilvl="0">
      <w:start w:val="3"/>
      <w:numFmt w:val="decimal"/>
      <w:lvlText w:val="%1."/>
      <w:lvlJc w:val="left"/>
      <w:pPr>
        <w:ind w:left="540" w:hanging="360"/>
      </w:pPr>
      <w:rPr>
        <w:rFonts w:hint="default"/>
      </w:rPr>
    </w:lvl>
    <w:lvl w:ilvl="1">
      <w:start w:val="1"/>
      <w:numFmt w:val="bullet"/>
      <w:lvlText w:val="o"/>
      <w:lvlJc w:val="left"/>
      <w:pPr>
        <w:ind w:left="792" w:hanging="432"/>
      </w:pPr>
      <w:rPr>
        <w:rFonts w:ascii="Courier New" w:hAnsi="Courier New" w:hint="default"/>
        <w:b w:val="0"/>
        <w:sz w:val="40"/>
        <w:szCs w:val="4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C0D2FF8"/>
    <w:multiLevelType w:val="hybridMultilevel"/>
    <w:tmpl w:val="103C15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C4514B1"/>
    <w:multiLevelType w:val="hybridMultilevel"/>
    <w:tmpl w:val="125806E4"/>
    <w:lvl w:ilvl="0" w:tplc="10DAF854">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F0465F"/>
    <w:multiLevelType w:val="hybridMultilevel"/>
    <w:tmpl w:val="17C42174"/>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55D750A"/>
    <w:multiLevelType w:val="hybridMultilevel"/>
    <w:tmpl w:val="AAD08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1C1320"/>
    <w:multiLevelType w:val="hybridMultilevel"/>
    <w:tmpl w:val="75DE5404"/>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62442E0"/>
    <w:multiLevelType w:val="multilevel"/>
    <w:tmpl w:val="A08C8DBA"/>
    <w:lvl w:ilvl="0">
      <w:start w:val="3"/>
      <w:numFmt w:val="decimal"/>
      <w:lvlText w:val="%1."/>
      <w:lvlJc w:val="left"/>
      <w:pPr>
        <w:ind w:left="540" w:hanging="360"/>
      </w:pPr>
      <w:rPr>
        <w:rFonts w:hint="default"/>
      </w:rPr>
    </w:lvl>
    <w:lvl w:ilvl="1">
      <w:start w:val="1"/>
      <w:numFmt w:val="bullet"/>
      <w:lvlText w:val=""/>
      <w:lvlJc w:val="left"/>
      <w:pPr>
        <w:ind w:left="792" w:hanging="432"/>
      </w:pPr>
      <w:rPr>
        <w:rFonts w:ascii="Wingdings" w:hAnsi="Wingdings" w:hint="default"/>
        <w:b w:val="0"/>
      </w:rPr>
    </w:lvl>
    <w:lvl w:ilvl="2">
      <w:start w:val="1"/>
      <w:numFmt w:val="bullet"/>
      <w:lvlText w:val="o"/>
      <w:lvlJc w:val="left"/>
      <w:pPr>
        <w:ind w:left="1224" w:hanging="504"/>
      </w:pPr>
      <w:rPr>
        <w:rFonts w:ascii="Courier New" w:hAnsi="Courier New" w:cs="Courier New" w:hint="default"/>
        <w:sz w:val="40"/>
        <w:szCs w:val="4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7336777"/>
    <w:multiLevelType w:val="hybridMultilevel"/>
    <w:tmpl w:val="AFE0938A"/>
    <w:lvl w:ilvl="0" w:tplc="0409000F">
      <w:start w:val="1"/>
      <w:numFmt w:val="decimal"/>
      <w:lvlText w:val="%1."/>
      <w:lvlJc w:val="left"/>
      <w:pPr>
        <w:ind w:left="720" w:hanging="360"/>
      </w:pPr>
      <w:rPr>
        <w:rFonts w:hint="default"/>
      </w:rPr>
    </w:lvl>
    <w:lvl w:ilvl="1" w:tplc="A2447934">
      <w:start w:val="1"/>
      <w:numFmt w:val="bullet"/>
      <w:lvlText w:val="o"/>
      <w:lvlJc w:val="left"/>
      <w:pPr>
        <w:ind w:left="1440" w:hanging="360"/>
      </w:pPr>
      <w:rPr>
        <w:rFonts w:ascii="Courier New" w:hAnsi="Courier New" w:cs="Courier New" w:hint="default"/>
        <w:sz w:val="40"/>
        <w:szCs w:val="4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F9031D"/>
    <w:multiLevelType w:val="multilevel"/>
    <w:tmpl w:val="47AC1ECE"/>
    <w:lvl w:ilvl="0">
      <w:start w:val="3"/>
      <w:numFmt w:val="decimal"/>
      <w:lvlText w:val="%1."/>
      <w:lvlJc w:val="left"/>
      <w:pPr>
        <w:ind w:left="540" w:hanging="360"/>
      </w:pPr>
      <w:rPr>
        <w:rFonts w:hint="default"/>
      </w:rPr>
    </w:lvl>
    <w:lvl w:ilvl="1">
      <w:start w:val="1"/>
      <w:numFmt w:val="bullet"/>
      <w:lvlText w:val=""/>
      <w:lvlJc w:val="left"/>
      <w:pPr>
        <w:ind w:left="792" w:hanging="432"/>
      </w:pPr>
      <w:rPr>
        <w:rFonts w:ascii="Wingdings" w:hAnsi="Wingdings" w:hint="default"/>
        <w:b w:val="0"/>
      </w:rPr>
    </w:lvl>
    <w:lvl w:ilvl="2">
      <w:start w:val="1"/>
      <w:numFmt w:val="bullet"/>
      <w:lvlText w:val=""/>
      <w:lvlJc w:val="left"/>
      <w:pPr>
        <w:ind w:left="1224" w:hanging="504"/>
      </w:pPr>
      <w:rPr>
        <w:rFonts w:ascii="Symbol" w:hAnsi="Symbol" w:hint="default"/>
        <w:sz w:val="32"/>
        <w:szCs w:val="3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8F140B7"/>
    <w:multiLevelType w:val="hybridMultilevel"/>
    <w:tmpl w:val="5A4C6AF8"/>
    <w:lvl w:ilvl="0" w:tplc="0409000F">
      <w:start w:val="1"/>
      <w:numFmt w:val="decimal"/>
      <w:lvlText w:val="%1."/>
      <w:lvlJc w:val="left"/>
      <w:pPr>
        <w:ind w:left="720" w:hanging="360"/>
      </w:pPr>
      <w:rPr>
        <w:rFonts w:hint="default"/>
      </w:rPr>
    </w:lvl>
    <w:lvl w:ilvl="1" w:tplc="798A1DE8">
      <w:start w:val="1"/>
      <w:numFmt w:val="bullet"/>
      <w:lvlText w:val="o"/>
      <w:lvlJc w:val="left"/>
      <w:pPr>
        <w:ind w:left="1440" w:hanging="360"/>
      </w:pPr>
      <w:rPr>
        <w:rFonts w:ascii="Courier New" w:hAnsi="Courier New" w:cs="Courier New" w:hint="default"/>
        <w:sz w:val="40"/>
        <w:szCs w:val="4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273D0A"/>
    <w:multiLevelType w:val="multilevel"/>
    <w:tmpl w:val="08AE39DA"/>
    <w:lvl w:ilvl="0">
      <w:start w:val="1"/>
      <w:numFmt w:val="bullet"/>
      <w:lvlText w:val="o"/>
      <w:lvlJc w:val="left"/>
      <w:pPr>
        <w:ind w:left="1800" w:hanging="360"/>
      </w:pPr>
      <w:rPr>
        <w:rFonts w:ascii="Courier New" w:hAnsi="Courier New" w:cs="Courier New" w:hint="default"/>
        <w:sz w:val="40"/>
        <w:szCs w:val="40"/>
      </w:rPr>
    </w:lvl>
    <w:lvl w:ilvl="1">
      <w:start w:val="1"/>
      <w:numFmt w:val="bullet"/>
      <w:lvlText w:val=""/>
      <w:lvlJc w:val="left"/>
      <w:pPr>
        <w:ind w:left="2052" w:hanging="432"/>
      </w:pPr>
      <w:rPr>
        <w:rFonts w:ascii="Wingdings" w:hAnsi="Wingdings" w:hint="default"/>
        <w:b w:val="0"/>
      </w:rPr>
    </w:lvl>
    <w:lvl w:ilvl="2">
      <w:start w:val="1"/>
      <w:numFmt w:val="decimal"/>
      <w:lvlText w:val="%1.%2.%3."/>
      <w:lvlJc w:val="left"/>
      <w:pPr>
        <w:ind w:left="2484" w:hanging="504"/>
      </w:pPr>
      <w:rPr>
        <w:rFonts w:hint="default"/>
      </w:rPr>
    </w:lvl>
    <w:lvl w:ilvl="3">
      <w:start w:val="1"/>
      <w:numFmt w:val="decimal"/>
      <w:lvlText w:val="%1.%2.%3.%4."/>
      <w:lvlJc w:val="left"/>
      <w:pPr>
        <w:ind w:left="2988" w:hanging="648"/>
      </w:pPr>
      <w:rPr>
        <w:rFonts w:hint="default"/>
      </w:rPr>
    </w:lvl>
    <w:lvl w:ilvl="4">
      <w:start w:val="1"/>
      <w:numFmt w:val="decimal"/>
      <w:lvlText w:val="%1.%2.%3.%4.%5."/>
      <w:lvlJc w:val="left"/>
      <w:pPr>
        <w:ind w:left="3492" w:hanging="792"/>
      </w:pPr>
      <w:rPr>
        <w:rFonts w:hint="default"/>
      </w:rPr>
    </w:lvl>
    <w:lvl w:ilvl="5">
      <w:start w:val="1"/>
      <w:numFmt w:val="decimal"/>
      <w:lvlText w:val="%1.%2.%3.%4.%5.%6."/>
      <w:lvlJc w:val="left"/>
      <w:pPr>
        <w:ind w:left="3996" w:hanging="936"/>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004" w:hanging="1224"/>
      </w:pPr>
      <w:rPr>
        <w:rFonts w:hint="default"/>
      </w:rPr>
    </w:lvl>
    <w:lvl w:ilvl="8">
      <w:start w:val="1"/>
      <w:numFmt w:val="decimal"/>
      <w:lvlText w:val="%1.%2.%3.%4.%5.%6.%7.%8.%9."/>
      <w:lvlJc w:val="left"/>
      <w:pPr>
        <w:ind w:left="5580" w:hanging="1440"/>
      </w:pPr>
      <w:rPr>
        <w:rFonts w:hint="default"/>
      </w:rPr>
    </w:lvl>
  </w:abstractNum>
  <w:abstractNum w:abstractNumId="35" w15:restartNumberingAfterBreak="0">
    <w:nsid w:val="3ADA0A91"/>
    <w:multiLevelType w:val="hybridMultilevel"/>
    <w:tmpl w:val="6A92F95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9B5173"/>
    <w:multiLevelType w:val="hybridMultilevel"/>
    <w:tmpl w:val="D4267520"/>
    <w:lvl w:ilvl="0" w:tplc="0409000F">
      <w:start w:val="1"/>
      <w:numFmt w:val="decimal"/>
      <w:lvlText w:val="%1."/>
      <w:lvlJc w:val="left"/>
      <w:pPr>
        <w:ind w:left="720" w:hanging="360"/>
      </w:pPr>
      <w:rPr>
        <w:rFonts w:hint="default"/>
      </w:rPr>
    </w:lvl>
    <w:lvl w:ilvl="1" w:tplc="798A1DE8">
      <w:start w:val="1"/>
      <w:numFmt w:val="bullet"/>
      <w:lvlText w:val="o"/>
      <w:lvlJc w:val="left"/>
      <w:pPr>
        <w:ind w:left="1440" w:hanging="360"/>
      </w:pPr>
      <w:rPr>
        <w:rFonts w:ascii="Courier New" w:hAnsi="Courier New" w:cs="Courier New" w:hint="default"/>
        <w:sz w:val="40"/>
        <w:szCs w:val="4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2C19FA"/>
    <w:multiLevelType w:val="multilevel"/>
    <w:tmpl w:val="AF82B1E0"/>
    <w:lvl w:ilvl="0">
      <w:start w:val="3"/>
      <w:numFmt w:val="decimal"/>
      <w:lvlText w:val="%1."/>
      <w:lvlJc w:val="left"/>
      <w:pPr>
        <w:ind w:left="540" w:hanging="360"/>
      </w:pPr>
      <w:rPr>
        <w:rFonts w:hint="default"/>
      </w:rPr>
    </w:lvl>
    <w:lvl w:ilvl="1">
      <w:start w:val="1"/>
      <w:numFmt w:val="bullet"/>
      <w:lvlText w:val="o"/>
      <w:lvlJc w:val="left"/>
      <w:pPr>
        <w:ind w:left="792" w:hanging="432"/>
      </w:pPr>
      <w:rPr>
        <w:rFonts w:ascii="Courier New" w:hAnsi="Courier New" w:hint="default"/>
        <w:b w:val="0"/>
        <w:sz w:val="40"/>
        <w:szCs w:val="4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8330C3F"/>
    <w:multiLevelType w:val="hybridMultilevel"/>
    <w:tmpl w:val="65D87F3E"/>
    <w:lvl w:ilvl="0" w:tplc="04090019">
      <w:start w:val="1"/>
      <w:numFmt w:val="lowerLetter"/>
      <w:lvlText w:val="%1."/>
      <w:lvlJc w:val="left"/>
      <w:pPr>
        <w:ind w:left="1800" w:hanging="360"/>
      </w:pPr>
      <w:rPr>
        <w:rFonts w:hint="default"/>
        <w:sz w:val="24"/>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1B">
      <w:start w:val="1"/>
      <w:numFmt w:val="lowerRoman"/>
      <w:lvlText w:val="%4."/>
      <w:lvlJc w:val="righ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C701994"/>
    <w:multiLevelType w:val="hybridMultilevel"/>
    <w:tmpl w:val="0F160F38"/>
    <w:lvl w:ilvl="0" w:tplc="0409000F">
      <w:start w:val="1"/>
      <w:numFmt w:val="decimal"/>
      <w:lvlText w:val="%1."/>
      <w:lvlJc w:val="left"/>
      <w:pPr>
        <w:ind w:left="720" w:hanging="360"/>
      </w:pPr>
      <w:rPr>
        <w:rFonts w:hint="default"/>
      </w:rPr>
    </w:lvl>
    <w:lvl w:ilvl="1" w:tplc="D7E0413E">
      <w:start w:val="1"/>
      <w:numFmt w:val="bullet"/>
      <w:lvlText w:val=""/>
      <w:lvlJc w:val="left"/>
      <w:pPr>
        <w:ind w:left="1440" w:hanging="360"/>
      </w:pPr>
      <w:rPr>
        <w:rFonts w:ascii="Symbol" w:hAnsi="Symbol" w:hint="default"/>
        <w:sz w:val="40"/>
        <w:szCs w:val="4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A54EBF"/>
    <w:multiLevelType w:val="hybridMultilevel"/>
    <w:tmpl w:val="0464DA46"/>
    <w:lvl w:ilvl="0" w:tplc="C93A4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A723AE"/>
    <w:multiLevelType w:val="hybridMultilevel"/>
    <w:tmpl w:val="39EC7882"/>
    <w:lvl w:ilvl="0" w:tplc="A9162542">
      <w:start w:val="1"/>
      <w:numFmt w:val="bullet"/>
      <w:lvlText w:val="o"/>
      <w:lvlJc w:val="left"/>
      <w:pPr>
        <w:ind w:left="720" w:hanging="360"/>
      </w:pPr>
      <w:rPr>
        <w:rFonts w:ascii="Courier New" w:hAnsi="Courier New" w:cs="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EB6E0B"/>
    <w:multiLevelType w:val="hybridMultilevel"/>
    <w:tmpl w:val="BFBE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44" w15:restartNumberingAfterBreak="0">
    <w:nsid w:val="5B2F5D3F"/>
    <w:multiLevelType w:val="multilevel"/>
    <w:tmpl w:val="6068CF34"/>
    <w:lvl w:ilvl="0">
      <w:start w:val="1"/>
      <w:numFmt w:val="bullet"/>
      <w:lvlText w:val="o"/>
      <w:lvlJc w:val="left"/>
      <w:pPr>
        <w:ind w:left="900" w:hanging="360"/>
      </w:pPr>
      <w:rPr>
        <w:rFonts w:ascii="Courier New" w:hAnsi="Courier New" w:hint="default"/>
        <w:sz w:val="40"/>
        <w:szCs w:val="40"/>
      </w:rPr>
    </w:lvl>
    <w:lvl w:ilvl="1">
      <w:start w:val="1"/>
      <w:numFmt w:val="decimal"/>
      <w:lvlText w:val="%1.%2."/>
      <w:lvlJc w:val="left"/>
      <w:pPr>
        <w:ind w:left="115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5" w15:restartNumberingAfterBreak="0">
    <w:nsid w:val="5EBC28B4"/>
    <w:multiLevelType w:val="hybridMultilevel"/>
    <w:tmpl w:val="7C5A028C"/>
    <w:lvl w:ilvl="0" w:tplc="04A2308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0F72805"/>
    <w:multiLevelType w:val="multilevel"/>
    <w:tmpl w:val="8716C3A4"/>
    <w:lvl w:ilvl="0">
      <w:start w:val="1"/>
      <w:numFmt w:val="bullet"/>
      <w:lvlText w:val="o"/>
      <w:lvlJc w:val="left"/>
      <w:pPr>
        <w:ind w:left="1440" w:hanging="360"/>
      </w:pPr>
      <w:rPr>
        <w:rFonts w:ascii="Courier New" w:hAnsi="Courier New" w:cs="Courier New" w:hint="default"/>
        <w:sz w:val="40"/>
        <w:szCs w:val="40"/>
      </w:rPr>
    </w:lvl>
    <w:lvl w:ilvl="1">
      <w:start w:val="1"/>
      <w:numFmt w:val="bullet"/>
      <w:lvlText w:val=""/>
      <w:lvlJc w:val="left"/>
      <w:pPr>
        <w:ind w:left="1692" w:hanging="432"/>
      </w:pPr>
      <w:rPr>
        <w:rFonts w:ascii="Wingdings" w:hAnsi="Wingdings" w:hint="default"/>
        <w:b w:val="0"/>
        <w:sz w:val="32"/>
        <w:szCs w:val="32"/>
      </w:rPr>
    </w:lvl>
    <w:lvl w:ilvl="2">
      <w:start w:val="1"/>
      <w:numFmt w:val="decimal"/>
      <w:lvlText w:val="%1.%2.%3."/>
      <w:lvlJc w:val="left"/>
      <w:pPr>
        <w:ind w:left="2124" w:hanging="504"/>
      </w:pPr>
      <w:rPr>
        <w:rFonts w:hint="default"/>
      </w:rPr>
    </w:lvl>
    <w:lvl w:ilvl="3">
      <w:start w:val="1"/>
      <w:numFmt w:val="decimal"/>
      <w:lvlText w:val="%1.%2.%3.%4."/>
      <w:lvlJc w:val="left"/>
      <w:pPr>
        <w:ind w:left="2628" w:hanging="648"/>
      </w:pPr>
      <w:rPr>
        <w:rFonts w:hint="default"/>
      </w:rPr>
    </w:lvl>
    <w:lvl w:ilvl="4">
      <w:start w:val="1"/>
      <w:numFmt w:val="decimal"/>
      <w:lvlText w:val="%1.%2.%3.%4.%5."/>
      <w:lvlJc w:val="left"/>
      <w:pPr>
        <w:ind w:left="3132" w:hanging="792"/>
      </w:pPr>
      <w:rPr>
        <w:rFonts w:hint="default"/>
      </w:rPr>
    </w:lvl>
    <w:lvl w:ilvl="5">
      <w:start w:val="1"/>
      <w:numFmt w:val="decimal"/>
      <w:lvlText w:val="%1.%2.%3.%4.%5.%6."/>
      <w:lvlJc w:val="left"/>
      <w:pPr>
        <w:ind w:left="3636" w:hanging="936"/>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4644" w:hanging="1224"/>
      </w:pPr>
      <w:rPr>
        <w:rFonts w:hint="default"/>
      </w:rPr>
    </w:lvl>
    <w:lvl w:ilvl="8">
      <w:start w:val="1"/>
      <w:numFmt w:val="decimal"/>
      <w:lvlText w:val="%1.%2.%3.%4.%5.%6.%7.%8.%9."/>
      <w:lvlJc w:val="left"/>
      <w:pPr>
        <w:ind w:left="5220" w:hanging="1440"/>
      </w:pPr>
      <w:rPr>
        <w:rFonts w:hint="default"/>
      </w:rPr>
    </w:lvl>
  </w:abstractNum>
  <w:abstractNum w:abstractNumId="47" w15:restartNumberingAfterBreak="0">
    <w:nsid w:val="63881858"/>
    <w:multiLevelType w:val="hybridMultilevel"/>
    <w:tmpl w:val="6068D10A"/>
    <w:lvl w:ilvl="0" w:tplc="0409000F">
      <w:start w:val="1"/>
      <w:numFmt w:val="decimal"/>
      <w:lvlText w:val="%1."/>
      <w:lvlJc w:val="left"/>
      <w:pPr>
        <w:ind w:left="1800" w:hanging="360"/>
      </w:pPr>
      <w:rPr>
        <w:rFonts w:hint="default"/>
        <w:sz w:val="24"/>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D452EEE"/>
    <w:multiLevelType w:val="hybridMultilevel"/>
    <w:tmpl w:val="4B50B886"/>
    <w:lvl w:ilvl="0" w:tplc="228E2D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6C25E1"/>
    <w:multiLevelType w:val="hybridMultilevel"/>
    <w:tmpl w:val="AA88B09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F50F52"/>
    <w:multiLevelType w:val="hybridMultilevel"/>
    <w:tmpl w:val="4936EDC6"/>
    <w:lvl w:ilvl="0" w:tplc="0409000F">
      <w:start w:val="1"/>
      <w:numFmt w:val="decimal"/>
      <w:lvlText w:val="%1."/>
      <w:lvlJc w:val="left"/>
      <w:pPr>
        <w:ind w:left="720" w:hanging="360"/>
      </w:pPr>
      <w:rPr>
        <w:rFonts w:hint="default"/>
      </w:rPr>
    </w:lvl>
    <w:lvl w:ilvl="1" w:tplc="798A1DE8">
      <w:start w:val="1"/>
      <w:numFmt w:val="bullet"/>
      <w:lvlText w:val="o"/>
      <w:lvlJc w:val="left"/>
      <w:pPr>
        <w:ind w:left="1440" w:hanging="360"/>
      </w:pPr>
      <w:rPr>
        <w:rFonts w:ascii="Courier New" w:hAnsi="Courier New" w:cs="Courier New" w:hint="default"/>
        <w:sz w:val="40"/>
        <w:szCs w:val="4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201556"/>
    <w:multiLevelType w:val="hybridMultilevel"/>
    <w:tmpl w:val="77209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3" w15:restartNumberingAfterBreak="0">
    <w:nsid w:val="75656990"/>
    <w:multiLevelType w:val="hybridMultilevel"/>
    <w:tmpl w:val="6EBA4578"/>
    <w:lvl w:ilvl="0" w:tplc="C4C2D4F0">
      <w:start w:val="1"/>
      <w:numFmt w:val="decimal"/>
      <w:pStyle w:val="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B5338A"/>
    <w:multiLevelType w:val="hybridMultilevel"/>
    <w:tmpl w:val="C73A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C32D0A"/>
    <w:multiLevelType w:val="hybridMultilevel"/>
    <w:tmpl w:val="EAEC2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D63DA6"/>
    <w:multiLevelType w:val="singleLevel"/>
    <w:tmpl w:val="362ED368"/>
    <w:lvl w:ilvl="0">
      <w:start w:val="1"/>
      <w:numFmt w:val="bullet"/>
      <w:pStyle w:val="Bullets"/>
      <w:lvlText w:val=""/>
      <w:lvlJc w:val="left"/>
      <w:pPr>
        <w:ind w:left="360" w:hanging="360"/>
      </w:pPr>
      <w:rPr>
        <w:rFonts w:ascii="Symbol" w:hAnsi="Symbol" w:hint="default"/>
        <w:color w:val="auto"/>
        <w:sz w:val="22"/>
      </w:rPr>
    </w:lvl>
  </w:abstractNum>
  <w:abstractNum w:abstractNumId="57" w15:restartNumberingAfterBreak="0">
    <w:nsid w:val="7CB038C3"/>
    <w:multiLevelType w:val="hybridMultilevel"/>
    <w:tmpl w:val="C2D4F02A"/>
    <w:lvl w:ilvl="0" w:tplc="FEC223D2">
      <w:start w:val="1"/>
      <w:numFmt w:val="bullet"/>
      <w:lvlText w:val="o"/>
      <w:lvlJc w:val="left"/>
      <w:pPr>
        <w:ind w:left="900" w:hanging="360"/>
      </w:pPr>
      <w:rPr>
        <w:rFonts w:ascii="Courier New" w:hAnsi="Courier New" w:cs="Courier New" w:hint="default"/>
        <w:sz w:val="36"/>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59" w15:restartNumberingAfterBreak="0">
    <w:nsid w:val="7E931BC9"/>
    <w:multiLevelType w:val="multilevel"/>
    <w:tmpl w:val="3A3C83FE"/>
    <w:lvl w:ilvl="0">
      <w:start w:val="1"/>
      <w:numFmt w:val="bullet"/>
      <w:lvlText w:val=""/>
      <w:lvlJc w:val="left"/>
      <w:pPr>
        <w:ind w:left="720" w:hanging="360"/>
      </w:pPr>
      <w:rPr>
        <w:rFonts w:ascii="Wingdings" w:hAnsi="Wingdings" w:hint="default"/>
      </w:rPr>
    </w:lvl>
    <w:lvl w:ilvl="1">
      <w:start w:val="1"/>
      <w:numFmt w:val="bullet"/>
      <w:lvlText w:val="o"/>
      <w:lvlJc w:val="left"/>
      <w:pPr>
        <w:ind w:left="972" w:hanging="432"/>
      </w:pPr>
      <w:rPr>
        <w:rFonts w:ascii="Courier New" w:hAnsi="Courier New" w:cs="Courier New" w:hint="default"/>
        <w:b w:val="0"/>
        <w:sz w:val="40"/>
        <w:szCs w:val="40"/>
      </w:rPr>
    </w:lvl>
    <w:lvl w:ilvl="2">
      <w:start w:val="1"/>
      <w:numFmt w:val="decimal"/>
      <w:lvlText w:val="%1.%2.%3."/>
      <w:lvlJc w:val="left"/>
      <w:pPr>
        <w:ind w:left="1404" w:hanging="504"/>
      </w:pPr>
      <w:rPr>
        <w:rFonts w:hint="default"/>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abstractNum w:abstractNumId="60" w15:restartNumberingAfterBreak="0">
    <w:nsid w:val="7F69327F"/>
    <w:multiLevelType w:val="hybridMultilevel"/>
    <w:tmpl w:val="F556742E"/>
    <w:lvl w:ilvl="0" w:tplc="04090001">
      <w:start w:val="1"/>
      <w:numFmt w:val="bullet"/>
      <w:lvlText w:val=""/>
      <w:lvlJc w:val="left"/>
      <w:pPr>
        <w:ind w:left="720" w:hanging="360"/>
      </w:pPr>
      <w:rPr>
        <w:rFonts w:ascii="Symbol" w:hAnsi="Symbol" w:hint="default"/>
        <w:color w:val="DA0E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43"/>
  </w:num>
  <w:num w:numId="3">
    <w:abstractNumId w:val="42"/>
  </w:num>
  <w:num w:numId="4">
    <w:abstractNumId w:val="56"/>
  </w:num>
  <w:num w:numId="5">
    <w:abstractNumId w:val="38"/>
  </w:num>
  <w:num w:numId="6">
    <w:abstractNumId w:val="51"/>
  </w:num>
  <w:num w:numId="7">
    <w:abstractNumId w:val="47"/>
  </w:num>
  <w:num w:numId="8">
    <w:abstractNumId w:val="7"/>
  </w:num>
  <w:num w:numId="9">
    <w:abstractNumId w:val="17"/>
  </w:num>
  <w:num w:numId="10">
    <w:abstractNumId w:val="35"/>
  </w:num>
  <w:num w:numId="11">
    <w:abstractNumId w:val="29"/>
  </w:num>
  <w:num w:numId="12">
    <w:abstractNumId w:val="10"/>
  </w:num>
  <w:num w:numId="13">
    <w:abstractNumId w:val="49"/>
  </w:num>
  <w:num w:numId="14">
    <w:abstractNumId w:val="53"/>
  </w:num>
  <w:num w:numId="15">
    <w:abstractNumId w:val="27"/>
  </w:num>
  <w:num w:numId="16">
    <w:abstractNumId w:val="53"/>
    <w:lvlOverride w:ilvl="0">
      <w:startOverride w:val="1"/>
    </w:lvlOverride>
  </w:num>
  <w:num w:numId="17">
    <w:abstractNumId w:val="53"/>
    <w:lvlOverride w:ilvl="0">
      <w:startOverride w:val="1"/>
    </w:lvlOverride>
  </w:num>
  <w:num w:numId="18">
    <w:abstractNumId w:val="20"/>
  </w:num>
  <w:num w:numId="19">
    <w:abstractNumId w:val="57"/>
  </w:num>
  <w:num w:numId="20">
    <w:abstractNumId w:val="45"/>
  </w:num>
  <w:num w:numId="21">
    <w:abstractNumId w:val="52"/>
  </w:num>
  <w:num w:numId="22">
    <w:abstractNumId w:val="44"/>
  </w:num>
  <w:num w:numId="23">
    <w:abstractNumId w:val="15"/>
  </w:num>
  <w:num w:numId="24">
    <w:abstractNumId w:val="18"/>
  </w:num>
  <w:num w:numId="25">
    <w:abstractNumId w:val="34"/>
  </w:num>
  <w:num w:numId="26">
    <w:abstractNumId w:val="59"/>
  </w:num>
  <w:num w:numId="27">
    <w:abstractNumId w:val="14"/>
  </w:num>
  <w:num w:numId="28">
    <w:abstractNumId w:val="24"/>
  </w:num>
  <w:num w:numId="29">
    <w:abstractNumId w:val="13"/>
  </w:num>
  <w:num w:numId="30">
    <w:abstractNumId w:val="37"/>
  </w:num>
  <w:num w:numId="31">
    <w:abstractNumId w:val="32"/>
  </w:num>
  <w:num w:numId="32">
    <w:abstractNumId w:val="50"/>
  </w:num>
  <w:num w:numId="33">
    <w:abstractNumId w:val="1"/>
  </w:num>
  <w:num w:numId="34">
    <w:abstractNumId w:val="46"/>
  </w:num>
  <w:num w:numId="35">
    <w:abstractNumId w:val="39"/>
  </w:num>
  <w:num w:numId="36">
    <w:abstractNumId w:val="8"/>
  </w:num>
  <w:num w:numId="37">
    <w:abstractNumId w:val="31"/>
  </w:num>
  <w:num w:numId="38">
    <w:abstractNumId w:val="0"/>
  </w:num>
  <w:num w:numId="39">
    <w:abstractNumId w:val="54"/>
  </w:num>
  <w:num w:numId="40">
    <w:abstractNumId w:val="28"/>
  </w:num>
  <w:num w:numId="41">
    <w:abstractNumId w:val="23"/>
  </w:num>
  <w:num w:numId="42">
    <w:abstractNumId w:val="60"/>
  </w:num>
  <w:num w:numId="43">
    <w:abstractNumId w:val="11"/>
  </w:num>
  <w:num w:numId="44">
    <w:abstractNumId w:val="12"/>
  </w:num>
  <w:num w:numId="45">
    <w:abstractNumId w:val="55"/>
  </w:num>
  <w:num w:numId="46">
    <w:abstractNumId w:val="22"/>
  </w:num>
  <w:num w:numId="47">
    <w:abstractNumId w:val="2"/>
  </w:num>
  <w:num w:numId="48">
    <w:abstractNumId w:val="21"/>
  </w:num>
  <w:num w:numId="49">
    <w:abstractNumId w:val="48"/>
  </w:num>
  <w:num w:numId="50">
    <w:abstractNumId w:val="5"/>
  </w:num>
  <w:num w:numId="51">
    <w:abstractNumId w:val="26"/>
  </w:num>
  <w:num w:numId="52">
    <w:abstractNumId w:val="16"/>
  </w:num>
  <w:num w:numId="53">
    <w:abstractNumId w:val="19"/>
  </w:num>
  <w:num w:numId="54">
    <w:abstractNumId w:val="3"/>
  </w:num>
  <w:num w:numId="55">
    <w:abstractNumId w:val="25"/>
  </w:num>
  <w:num w:numId="56">
    <w:abstractNumId w:val="4"/>
  </w:num>
  <w:num w:numId="57">
    <w:abstractNumId w:val="6"/>
  </w:num>
  <w:num w:numId="58">
    <w:abstractNumId w:val="9"/>
  </w:num>
  <w:num w:numId="59">
    <w:abstractNumId w:val="41"/>
  </w:num>
  <w:num w:numId="60">
    <w:abstractNumId w:val="33"/>
  </w:num>
  <w:num w:numId="61">
    <w:abstractNumId w:val="36"/>
  </w:num>
  <w:num w:numId="62">
    <w:abstractNumId w:val="30"/>
  </w:num>
  <w:num w:numId="63">
    <w:abstractNumId w:val="53"/>
    <w:lvlOverride w:ilvl="0">
      <w:startOverride w:val="1"/>
    </w:lvlOverride>
  </w:num>
  <w:num w:numId="64">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J Amer Medical Associ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ADERS.enl&lt;/item&gt;&lt;/Libraries&gt;&lt;/ENLibraries&gt;"/>
  </w:docVars>
  <w:rsids>
    <w:rsidRoot w:val="00873F74"/>
    <w:rsid w:val="00011E85"/>
    <w:rsid w:val="00012677"/>
    <w:rsid w:val="00012921"/>
    <w:rsid w:val="00012FB9"/>
    <w:rsid w:val="000136ED"/>
    <w:rsid w:val="00015AAF"/>
    <w:rsid w:val="00016560"/>
    <w:rsid w:val="00023FC1"/>
    <w:rsid w:val="00024FEE"/>
    <w:rsid w:val="00033301"/>
    <w:rsid w:val="00033CC8"/>
    <w:rsid w:val="00037998"/>
    <w:rsid w:val="00043473"/>
    <w:rsid w:val="00043D48"/>
    <w:rsid w:val="00045959"/>
    <w:rsid w:val="00046359"/>
    <w:rsid w:val="00050C27"/>
    <w:rsid w:val="00054534"/>
    <w:rsid w:val="00054C4A"/>
    <w:rsid w:val="0006207D"/>
    <w:rsid w:val="000623D2"/>
    <w:rsid w:val="000671B8"/>
    <w:rsid w:val="00070096"/>
    <w:rsid w:val="000769F7"/>
    <w:rsid w:val="000779A9"/>
    <w:rsid w:val="00082047"/>
    <w:rsid w:val="000927EA"/>
    <w:rsid w:val="00094648"/>
    <w:rsid w:val="000A0975"/>
    <w:rsid w:val="000A140E"/>
    <w:rsid w:val="000A3475"/>
    <w:rsid w:val="000A3C93"/>
    <w:rsid w:val="000A4317"/>
    <w:rsid w:val="000A574D"/>
    <w:rsid w:val="000A6906"/>
    <w:rsid w:val="000B18C4"/>
    <w:rsid w:val="000B78CB"/>
    <w:rsid w:val="000C01DE"/>
    <w:rsid w:val="000C11B5"/>
    <w:rsid w:val="000C4626"/>
    <w:rsid w:val="000D429E"/>
    <w:rsid w:val="000D7752"/>
    <w:rsid w:val="000E01D1"/>
    <w:rsid w:val="000E189B"/>
    <w:rsid w:val="000E4300"/>
    <w:rsid w:val="000F1328"/>
    <w:rsid w:val="000F2B59"/>
    <w:rsid w:val="000F3DC9"/>
    <w:rsid w:val="000F7D0A"/>
    <w:rsid w:val="00112DF2"/>
    <w:rsid w:val="001132EF"/>
    <w:rsid w:val="00117BB0"/>
    <w:rsid w:val="00120A0C"/>
    <w:rsid w:val="00120F3F"/>
    <w:rsid w:val="00124007"/>
    <w:rsid w:val="00124917"/>
    <w:rsid w:val="001301AA"/>
    <w:rsid w:val="0013118D"/>
    <w:rsid w:val="00131443"/>
    <w:rsid w:val="0013447B"/>
    <w:rsid w:val="00142959"/>
    <w:rsid w:val="00143A0F"/>
    <w:rsid w:val="00161A18"/>
    <w:rsid w:val="0016255C"/>
    <w:rsid w:val="00164C9C"/>
    <w:rsid w:val="0016687D"/>
    <w:rsid w:val="00166A69"/>
    <w:rsid w:val="001776D9"/>
    <w:rsid w:val="001864C2"/>
    <w:rsid w:val="001868E0"/>
    <w:rsid w:val="00187A50"/>
    <w:rsid w:val="001A0694"/>
    <w:rsid w:val="001A1A94"/>
    <w:rsid w:val="001A1C0D"/>
    <w:rsid w:val="001A28C0"/>
    <w:rsid w:val="001A3052"/>
    <w:rsid w:val="001A6DAD"/>
    <w:rsid w:val="001B1469"/>
    <w:rsid w:val="001B1C61"/>
    <w:rsid w:val="001B4A36"/>
    <w:rsid w:val="001C59E4"/>
    <w:rsid w:val="001C68DD"/>
    <w:rsid w:val="001D17FC"/>
    <w:rsid w:val="001D5AA5"/>
    <w:rsid w:val="001E63C6"/>
    <w:rsid w:val="001F4873"/>
    <w:rsid w:val="001F4B8B"/>
    <w:rsid w:val="001F7349"/>
    <w:rsid w:val="0020029A"/>
    <w:rsid w:val="0020313A"/>
    <w:rsid w:val="00204509"/>
    <w:rsid w:val="00204769"/>
    <w:rsid w:val="00211E70"/>
    <w:rsid w:val="0022366A"/>
    <w:rsid w:val="00223C24"/>
    <w:rsid w:val="00225F13"/>
    <w:rsid w:val="00230BC5"/>
    <w:rsid w:val="00257E59"/>
    <w:rsid w:val="00261E03"/>
    <w:rsid w:val="0026424E"/>
    <w:rsid w:val="002657BF"/>
    <w:rsid w:val="00267FAE"/>
    <w:rsid w:val="00271C3A"/>
    <w:rsid w:val="002722F2"/>
    <w:rsid w:val="00272E29"/>
    <w:rsid w:val="00277D62"/>
    <w:rsid w:val="00280B80"/>
    <w:rsid w:val="002814FA"/>
    <w:rsid w:val="00291B73"/>
    <w:rsid w:val="00291D67"/>
    <w:rsid w:val="00297115"/>
    <w:rsid w:val="0029734C"/>
    <w:rsid w:val="002A04C8"/>
    <w:rsid w:val="002A2F7B"/>
    <w:rsid w:val="002A505B"/>
    <w:rsid w:val="002B382B"/>
    <w:rsid w:val="002B49DE"/>
    <w:rsid w:val="002B7635"/>
    <w:rsid w:val="002D468A"/>
    <w:rsid w:val="002E16A0"/>
    <w:rsid w:val="002E54EF"/>
    <w:rsid w:val="002E7716"/>
    <w:rsid w:val="002F19D0"/>
    <w:rsid w:val="002F49EC"/>
    <w:rsid w:val="002F4DE8"/>
    <w:rsid w:val="002F6701"/>
    <w:rsid w:val="003022D3"/>
    <w:rsid w:val="00303366"/>
    <w:rsid w:val="00303792"/>
    <w:rsid w:val="00304EEE"/>
    <w:rsid w:val="00321BF6"/>
    <w:rsid w:val="00321CCD"/>
    <w:rsid w:val="00323D9E"/>
    <w:rsid w:val="00325B9C"/>
    <w:rsid w:val="0032703E"/>
    <w:rsid w:val="003270FA"/>
    <w:rsid w:val="0033343C"/>
    <w:rsid w:val="00340D97"/>
    <w:rsid w:val="003428CE"/>
    <w:rsid w:val="0034325D"/>
    <w:rsid w:val="00343D74"/>
    <w:rsid w:val="00350E4E"/>
    <w:rsid w:val="00352AF8"/>
    <w:rsid w:val="003600B8"/>
    <w:rsid w:val="00361F52"/>
    <w:rsid w:val="00364E1D"/>
    <w:rsid w:val="00365B7B"/>
    <w:rsid w:val="0037254D"/>
    <w:rsid w:val="00372695"/>
    <w:rsid w:val="00373E4D"/>
    <w:rsid w:val="0037427A"/>
    <w:rsid w:val="003759DB"/>
    <w:rsid w:val="00375E6A"/>
    <w:rsid w:val="00377301"/>
    <w:rsid w:val="0037771B"/>
    <w:rsid w:val="0038217D"/>
    <w:rsid w:val="00384B88"/>
    <w:rsid w:val="00390DE5"/>
    <w:rsid w:val="0039265A"/>
    <w:rsid w:val="003971F4"/>
    <w:rsid w:val="003A0672"/>
    <w:rsid w:val="003A74E2"/>
    <w:rsid w:val="003B1BB7"/>
    <w:rsid w:val="003B2951"/>
    <w:rsid w:val="003B4A50"/>
    <w:rsid w:val="003B5859"/>
    <w:rsid w:val="003B6B41"/>
    <w:rsid w:val="003C20AA"/>
    <w:rsid w:val="003C2BEB"/>
    <w:rsid w:val="003C60BD"/>
    <w:rsid w:val="003D1AD8"/>
    <w:rsid w:val="003D1C74"/>
    <w:rsid w:val="003D21A7"/>
    <w:rsid w:val="003D3937"/>
    <w:rsid w:val="003D5B1E"/>
    <w:rsid w:val="003D61E1"/>
    <w:rsid w:val="003D69AF"/>
    <w:rsid w:val="003D73D8"/>
    <w:rsid w:val="003E2801"/>
    <w:rsid w:val="003E3B22"/>
    <w:rsid w:val="003F5921"/>
    <w:rsid w:val="0040009C"/>
    <w:rsid w:val="00403C04"/>
    <w:rsid w:val="00404C7B"/>
    <w:rsid w:val="00414C80"/>
    <w:rsid w:val="004155E1"/>
    <w:rsid w:val="00415727"/>
    <w:rsid w:val="00425974"/>
    <w:rsid w:val="00426BBF"/>
    <w:rsid w:val="00427F33"/>
    <w:rsid w:val="0043362E"/>
    <w:rsid w:val="0043596B"/>
    <w:rsid w:val="00440AE7"/>
    <w:rsid w:val="00441E08"/>
    <w:rsid w:val="00443427"/>
    <w:rsid w:val="0044769A"/>
    <w:rsid w:val="00450538"/>
    <w:rsid w:val="004505F2"/>
    <w:rsid w:val="00451419"/>
    <w:rsid w:val="00452268"/>
    <w:rsid w:val="00452CB4"/>
    <w:rsid w:val="00454448"/>
    <w:rsid w:val="00456179"/>
    <w:rsid w:val="004626EE"/>
    <w:rsid w:val="0046470E"/>
    <w:rsid w:val="00465570"/>
    <w:rsid w:val="004670C2"/>
    <w:rsid w:val="00467163"/>
    <w:rsid w:val="0047504D"/>
    <w:rsid w:val="00480523"/>
    <w:rsid w:val="004811AD"/>
    <w:rsid w:val="0048256B"/>
    <w:rsid w:val="00490AA7"/>
    <w:rsid w:val="00491842"/>
    <w:rsid w:val="0049273D"/>
    <w:rsid w:val="00494C9F"/>
    <w:rsid w:val="004968FC"/>
    <w:rsid w:val="004A4612"/>
    <w:rsid w:val="004A624D"/>
    <w:rsid w:val="004B3FEE"/>
    <w:rsid w:val="004C3BA7"/>
    <w:rsid w:val="004C4A74"/>
    <w:rsid w:val="004D6B4C"/>
    <w:rsid w:val="004E16F6"/>
    <w:rsid w:val="004E3A1B"/>
    <w:rsid w:val="004E45BC"/>
    <w:rsid w:val="00501308"/>
    <w:rsid w:val="00502316"/>
    <w:rsid w:val="005050EF"/>
    <w:rsid w:val="00510382"/>
    <w:rsid w:val="00510909"/>
    <w:rsid w:val="00510D42"/>
    <w:rsid w:val="00516ABB"/>
    <w:rsid w:val="00520CE0"/>
    <w:rsid w:val="00527BBD"/>
    <w:rsid w:val="00531857"/>
    <w:rsid w:val="00532359"/>
    <w:rsid w:val="00535B56"/>
    <w:rsid w:val="00537291"/>
    <w:rsid w:val="005427C3"/>
    <w:rsid w:val="00545B38"/>
    <w:rsid w:val="0055196D"/>
    <w:rsid w:val="00555EB8"/>
    <w:rsid w:val="00556066"/>
    <w:rsid w:val="00556E63"/>
    <w:rsid w:val="005605E3"/>
    <w:rsid w:val="0056238F"/>
    <w:rsid w:val="00564A89"/>
    <w:rsid w:val="00571C02"/>
    <w:rsid w:val="00574896"/>
    <w:rsid w:val="00581FD2"/>
    <w:rsid w:val="00582CA5"/>
    <w:rsid w:val="00593643"/>
    <w:rsid w:val="00593E67"/>
    <w:rsid w:val="005A2425"/>
    <w:rsid w:val="005A5052"/>
    <w:rsid w:val="005A663D"/>
    <w:rsid w:val="005B032B"/>
    <w:rsid w:val="005B2955"/>
    <w:rsid w:val="005B3693"/>
    <w:rsid w:val="005B3C01"/>
    <w:rsid w:val="005B62CF"/>
    <w:rsid w:val="005B6FAA"/>
    <w:rsid w:val="005B715B"/>
    <w:rsid w:val="005C562A"/>
    <w:rsid w:val="005D056B"/>
    <w:rsid w:val="005D2974"/>
    <w:rsid w:val="005E49B8"/>
    <w:rsid w:val="005E5F75"/>
    <w:rsid w:val="005E79D3"/>
    <w:rsid w:val="005E7FE8"/>
    <w:rsid w:val="005F293C"/>
    <w:rsid w:val="005F4B12"/>
    <w:rsid w:val="005F716D"/>
    <w:rsid w:val="0060047D"/>
    <w:rsid w:val="006014DB"/>
    <w:rsid w:val="00604437"/>
    <w:rsid w:val="00606400"/>
    <w:rsid w:val="00607068"/>
    <w:rsid w:val="006135D2"/>
    <w:rsid w:val="006135E5"/>
    <w:rsid w:val="00613C05"/>
    <w:rsid w:val="00616C60"/>
    <w:rsid w:val="00620475"/>
    <w:rsid w:val="00620B93"/>
    <w:rsid w:val="00625C1B"/>
    <w:rsid w:val="00626D1D"/>
    <w:rsid w:val="00631C81"/>
    <w:rsid w:val="00635119"/>
    <w:rsid w:val="00636A0C"/>
    <w:rsid w:val="00640769"/>
    <w:rsid w:val="00641D1B"/>
    <w:rsid w:val="00644F76"/>
    <w:rsid w:val="00645FA4"/>
    <w:rsid w:val="00646BED"/>
    <w:rsid w:val="00647D5F"/>
    <w:rsid w:val="00650CFA"/>
    <w:rsid w:val="006539AC"/>
    <w:rsid w:val="006555B6"/>
    <w:rsid w:val="00655A17"/>
    <w:rsid w:val="00657F09"/>
    <w:rsid w:val="00671BFD"/>
    <w:rsid w:val="00673146"/>
    <w:rsid w:val="00673643"/>
    <w:rsid w:val="00673727"/>
    <w:rsid w:val="00680260"/>
    <w:rsid w:val="006817E9"/>
    <w:rsid w:val="00681E45"/>
    <w:rsid w:val="006823A7"/>
    <w:rsid w:val="00683D84"/>
    <w:rsid w:val="00686619"/>
    <w:rsid w:val="00686A16"/>
    <w:rsid w:val="0069209F"/>
    <w:rsid w:val="006923FB"/>
    <w:rsid w:val="00697668"/>
    <w:rsid w:val="006A28E1"/>
    <w:rsid w:val="006A4752"/>
    <w:rsid w:val="006A4D4E"/>
    <w:rsid w:val="006A7F99"/>
    <w:rsid w:val="006B2110"/>
    <w:rsid w:val="006C45D0"/>
    <w:rsid w:val="006C58B4"/>
    <w:rsid w:val="006C73B0"/>
    <w:rsid w:val="006D0805"/>
    <w:rsid w:val="006D0EB5"/>
    <w:rsid w:val="006D1C5E"/>
    <w:rsid w:val="006D6F32"/>
    <w:rsid w:val="006E2449"/>
    <w:rsid w:val="006E71BB"/>
    <w:rsid w:val="006E7C65"/>
    <w:rsid w:val="007003C3"/>
    <w:rsid w:val="00700684"/>
    <w:rsid w:val="0070072D"/>
    <w:rsid w:val="00703573"/>
    <w:rsid w:val="00704586"/>
    <w:rsid w:val="007109B1"/>
    <w:rsid w:val="00710C91"/>
    <w:rsid w:val="00711C45"/>
    <w:rsid w:val="007208E0"/>
    <w:rsid w:val="00721964"/>
    <w:rsid w:val="00723075"/>
    <w:rsid w:val="00723EAB"/>
    <w:rsid w:val="00727196"/>
    <w:rsid w:val="00727792"/>
    <w:rsid w:val="00731393"/>
    <w:rsid w:val="00732422"/>
    <w:rsid w:val="007427A0"/>
    <w:rsid w:val="00744D19"/>
    <w:rsid w:val="00747205"/>
    <w:rsid w:val="00747A7E"/>
    <w:rsid w:val="00747D2F"/>
    <w:rsid w:val="00752EA8"/>
    <w:rsid w:val="00754AF7"/>
    <w:rsid w:val="00760D73"/>
    <w:rsid w:val="0076180B"/>
    <w:rsid w:val="00762EDC"/>
    <w:rsid w:val="00764112"/>
    <w:rsid w:val="00765D1A"/>
    <w:rsid w:val="007700A7"/>
    <w:rsid w:val="007721F3"/>
    <w:rsid w:val="00776654"/>
    <w:rsid w:val="00781332"/>
    <w:rsid w:val="007835C2"/>
    <w:rsid w:val="00787248"/>
    <w:rsid w:val="00793E88"/>
    <w:rsid w:val="007A265C"/>
    <w:rsid w:val="007A45B4"/>
    <w:rsid w:val="007A4B33"/>
    <w:rsid w:val="007A4EEE"/>
    <w:rsid w:val="007A57A7"/>
    <w:rsid w:val="007A77FE"/>
    <w:rsid w:val="007B07FD"/>
    <w:rsid w:val="007B0CF3"/>
    <w:rsid w:val="007B3A8E"/>
    <w:rsid w:val="007B6854"/>
    <w:rsid w:val="007C1ECB"/>
    <w:rsid w:val="007C3C01"/>
    <w:rsid w:val="007D466E"/>
    <w:rsid w:val="007D4F9F"/>
    <w:rsid w:val="007D59C5"/>
    <w:rsid w:val="007D749F"/>
    <w:rsid w:val="007E0697"/>
    <w:rsid w:val="007E25DE"/>
    <w:rsid w:val="007E362D"/>
    <w:rsid w:val="007E384A"/>
    <w:rsid w:val="007E4359"/>
    <w:rsid w:val="007E43F8"/>
    <w:rsid w:val="007E50C9"/>
    <w:rsid w:val="007E7A56"/>
    <w:rsid w:val="007F2A23"/>
    <w:rsid w:val="008015C1"/>
    <w:rsid w:val="00801FCA"/>
    <w:rsid w:val="0080365D"/>
    <w:rsid w:val="00804ECF"/>
    <w:rsid w:val="0080612B"/>
    <w:rsid w:val="00807690"/>
    <w:rsid w:val="00811735"/>
    <w:rsid w:val="008129A7"/>
    <w:rsid w:val="00812F09"/>
    <w:rsid w:val="008131D6"/>
    <w:rsid w:val="0081520C"/>
    <w:rsid w:val="00816E83"/>
    <w:rsid w:val="00817DA0"/>
    <w:rsid w:val="00821288"/>
    <w:rsid w:val="00824FD7"/>
    <w:rsid w:val="00825DA9"/>
    <w:rsid w:val="008306DD"/>
    <w:rsid w:val="0083145C"/>
    <w:rsid w:val="00841047"/>
    <w:rsid w:val="008450C0"/>
    <w:rsid w:val="00852F9D"/>
    <w:rsid w:val="00853553"/>
    <w:rsid w:val="00854533"/>
    <w:rsid w:val="00854544"/>
    <w:rsid w:val="008573ED"/>
    <w:rsid w:val="00861E61"/>
    <w:rsid w:val="008628B0"/>
    <w:rsid w:val="00866DDD"/>
    <w:rsid w:val="00872F0B"/>
    <w:rsid w:val="00873F74"/>
    <w:rsid w:val="00876D68"/>
    <w:rsid w:val="00880DFE"/>
    <w:rsid w:val="008828F5"/>
    <w:rsid w:val="008851FF"/>
    <w:rsid w:val="00887F65"/>
    <w:rsid w:val="00891699"/>
    <w:rsid w:val="00892655"/>
    <w:rsid w:val="0089365B"/>
    <w:rsid w:val="00896548"/>
    <w:rsid w:val="008A1C36"/>
    <w:rsid w:val="008A20F7"/>
    <w:rsid w:val="008A30B9"/>
    <w:rsid w:val="008A35A9"/>
    <w:rsid w:val="008A4DBB"/>
    <w:rsid w:val="008B593F"/>
    <w:rsid w:val="008B7D8C"/>
    <w:rsid w:val="008C580E"/>
    <w:rsid w:val="008C72F9"/>
    <w:rsid w:val="008D028E"/>
    <w:rsid w:val="008D4981"/>
    <w:rsid w:val="008D6B60"/>
    <w:rsid w:val="008D711C"/>
    <w:rsid w:val="008D798B"/>
    <w:rsid w:val="008E1394"/>
    <w:rsid w:val="008E4FC9"/>
    <w:rsid w:val="008E567E"/>
    <w:rsid w:val="008F0B8B"/>
    <w:rsid w:val="00900F8A"/>
    <w:rsid w:val="009031FC"/>
    <w:rsid w:val="00903CB2"/>
    <w:rsid w:val="00904CC3"/>
    <w:rsid w:val="0091565D"/>
    <w:rsid w:val="0092329B"/>
    <w:rsid w:val="00926871"/>
    <w:rsid w:val="00934CAC"/>
    <w:rsid w:val="009374DF"/>
    <w:rsid w:val="00941295"/>
    <w:rsid w:val="009436B5"/>
    <w:rsid w:val="0094542F"/>
    <w:rsid w:val="00952D65"/>
    <w:rsid w:val="00955553"/>
    <w:rsid w:val="00955A3C"/>
    <w:rsid w:val="009706DB"/>
    <w:rsid w:val="009746A1"/>
    <w:rsid w:val="00977FF8"/>
    <w:rsid w:val="009820F5"/>
    <w:rsid w:val="009827B7"/>
    <w:rsid w:val="009874C8"/>
    <w:rsid w:val="0098792B"/>
    <w:rsid w:val="00987B05"/>
    <w:rsid w:val="00993162"/>
    <w:rsid w:val="009943E2"/>
    <w:rsid w:val="009943E4"/>
    <w:rsid w:val="00994C16"/>
    <w:rsid w:val="00995711"/>
    <w:rsid w:val="0099646C"/>
    <w:rsid w:val="009A237A"/>
    <w:rsid w:val="009A3C46"/>
    <w:rsid w:val="009A49A7"/>
    <w:rsid w:val="009B0CE4"/>
    <w:rsid w:val="009B0D52"/>
    <w:rsid w:val="009B18CA"/>
    <w:rsid w:val="009B33CF"/>
    <w:rsid w:val="009B3622"/>
    <w:rsid w:val="009B3D2A"/>
    <w:rsid w:val="009B633D"/>
    <w:rsid w:val="009B7989"/>
    <w:rsid w:val="009C3531"/>
    <w:rsid w:val="009C4330"/>
    <w:rsid w:val="009C4881"/>
    <w:rsid w:val="009C61B8"/>
    <w:rsid w:val="009D14E1"/>
    <w:rsid w:val="009D3DBB"/>
    <w:rsid w:val="009D685B"/>
    <w:rsid w:val="009D729A"/>
    <w:rsid w:val="009E2CBB"/>
    <w:rsid w:val="009F299E"/>
    <w:rsid w:val="009F43EA"/>
    <w:rsid w:val="009F4779"/>
    <w:rsid w:val="009F597D"/>
    <w:rsid w:val="00A0124C"/>
    <w:rsid w:val="00A04AFF"/>
    <w:rsid w:val="00A129CF"/>
    <w:rsid w:val="00A1373C"/>
    <w:rsid w:val="00A13D8D"/>
    <w:rsid w:val="00A15D49"/>
    <w:rsid w:val="00A22E0C"/>
    <w:rsid w:val="00A23832"/>
    <w:rsid w:val="00A30D9A"/>
    <w:rsid w:val="00A44295"/>
    <w:rsid w:val="00A44855"/>
    <w:rsid w:val="00A4694A"/>
    <w:rsid w:val="00A54776"/>
    <w:rsid w:val="00A568CA"/>
    <w:rsid w:val="00A60866"/>
    <w:rsid w:val="00A62985"/>
    <w:rsid w:val="00A64E80"/>
    <w:rsid w:val="00A65884"/>
    <w:rsid w:val="00A70F27"/>
    <w:rsid w:val="00A777E1"/>
    <w:rsid w:val="00A8033C"/>
    <w:rsid w:val="00A8191C"/>
    <w:rsid w:val="00A833B6"/>
    <w:rsid w:val="00A834B2"/>
    <w:rsid w:val="00A835E4"/>
    <w:rsid w:val="00A905D8"/>
    <w:rsid w:val="00A94219"/>
    <w:rsid w:val="00A95C56"/>
    <w:rsid w:val="00AA0925"/>
    <w:rsid w:val="00AA0B6B"/>
    <w:rsid w:val="00AA1DDC"/>
    <w:rsid w:val="00AA26F3"/>
    <w:rsid w:val="00AA3F0B"/>
    <w:rsid w:val="00AA4301"/>
    <w:rsid w:val="00AA788A"/>
    <w:rsid w:val="00AB0636"/>
    <w:rsid w:val="00AB1BB1"/>
    <w:rsid w:val="00AB1CD9"/>
    <w:rsid w:val="00AB1EB8"/>
    <w:rsid w:val="00AC55D8"/>
    <w:rsid w:val="00AD38AF"/>
    <w:rsid w:val="00AD50D1"/>
    <w:rsid w:val="00AD6516"/>
    <w:rsid w:val="00AD714E"/>
    <w:rsid w:val="00AE4551"/>
    <w:rsid w:val="00AE4702"/>
    <w:rsid w:val="00AF0DC2"/>
    <w:rsid w:val="00B01E81"/>
    <w:rsid w:val="00B07EC1"/>
    <w:rsid w:val="00B22714"/>
    <w:rsid w:val="00B238AD"/>
    <w:rsid w:val="00B2430A"/>
    <w:rsid w:val="00B257FE"/>
    <w:rsid w:val="00B2626C"/>
    <w:rsid w:val="00B37770"/>
    <w:rsid w:val="00B440F4"/>
    <w:rsid w:val="00B47636"/>
    <w:rsid w:val="00B51B73"/>
    <w:rsid w:val="00B52533"/>
    <w:rsid w:val="00B61FEB"/>
    <w:rsid w:val="00B645ED"/>
    <w:rsid w:val="00B65556"/>
    <w:rsid w:val="00B65A32"/>
    <w:rsid w:val="00B6621E"/>
    <w:rsid w:val="00B720EC"/>
    <w:rsid w:val="00B762E0"/>
    <w:rsid w:val="00B76532"/>
    <w:rsid w:val="00B76CD5"/>
    <w:rsid w:val="00B825D0"/>
    <w:rsid w:val="00B83929"/>
    <w:rsid w:val="00B8522B"/>
    <w:rsid w:val="00B87FE0"/>
    <w:rsid w:val="00B90A3B"/>
    <w:rsid w:val="00B915F1"/>
    <w:rsid w:val="00B92618"/>
    <w:rsid w:val="00B94AEC"/>
    <w:rsid w:val="00B95275"/>
    <w:rsid w:val="00BA1BF5"/>
    <w:rsid w:val="00BA6CB1"/>
    <w:rsid w:val="00BA7DEC"/>
    <w:rsid w:val="00BB0E44"/>
    <w:rsid w:val="00BB1C2F"/>
    <w:rsid w:val="00BB2479"/>
    <w:rsid w:val="00BB7136"/>
    <w:rsid w:val="00BC053E"/>
    <w:rsid w:val="00BC2E2E"/>
    <w:rsid w:val="00BD2A46"/>
    <w:rsid w:val="00BD357C"/>
    <w:rsid w:val="00BD45F0"/>
    <w:rsid w:val="00BD7631"/>
    <w:rsid w:val="00BE0430"/>
    <w:rsid w:val="00BE7A61"/>
    <w:rsid w:val="00BF735E"/>
    <w:rsid w:val="00C05A1F"/>
    <w:rsid w:val="00C0644C"/>
    <w:rsid w:val="00C105C8"/>
    <w:rsid w:val="00C134BF"/>
    <w:rsid w:val="00C163C6"/>
    <w:rsid w:val="00C1680E"/>
    <w:rsid w:val="00C205C8"/>
    <w:rsid w:val="00C2605B"/>
    <w:rsid w:val="00C27DCF"/>
    <w:rsid w:val="00C34038"/>
    <w:rsid w:val="00C36530"/>
    <w:rsid w:val="00C4006D"/>
    <w:rsid w:val="00C4152E"/>
    <w:rsid w:val="00C625BB"/>
    <w:rsid w:val="00C63B36"/>
    <w:rsid w:val="00C65B05"/>
    <w:rsid w:val="00C70D2E"/>
    <w:rsid w:val="00C73F08"/>
    <w:rsid w:val="00C77433"/>
    <w:rsid w:val="00C84911"/>
    <w:rsid w:val="00C929D4"/>
    <w:rsid w:val="00C933ED"/>
    <w:rsid w:val="00CA136B"/>
    <w:rsid w:val="00CA1417"/>
    <w:rsid w:val="00CA6762"/>
    <w:rsid w:val="00CA7470"/>
    <w:rsid w:val="00CA75DC"/>
    <w:rsid w:val="00CB512A"/>
    <w:rsid w:val="00CC2F77"/>
    <w:rsid w:val="00CC2FEA"/>
    <w:rsid w:val="00CC4A1B"/>
    <w:rsid w:val="00CC6330"/>
    <w:rsid w:val="00CC6736"/>
    <w:rsid w:val="00CD507F"/>
    <w:rsid w:val="00CD655B"/>
    <w:rsid w:val="00CD7B72"/>
    <w:rsid w:val="00CE014E"/>
    <w:rsid w:val="00CE61A5"/>
    <w:rsid w:val="00CF1065"/>
    <w:rsid w:val="00CF3861"/>
    <w:rsid w:val="00D02283"/>
    <w:rsid w:val="00D03F52"/>
    <w:rsid w:val="00D057D1"/>
    <w:rsid w:val="00D0660C"/>
    <w:rsid w:val="00D11271"/>
    <w:rsid w:val="00D150A9"/>
    <w:rsid w:val="00D21818"/>
    <w:rsid w:val="00D2521F"/>
    <w:rsid w:val="00D255BC"/>
    <w:rsid w:val="00D26534"/>
    <w:rsid w:val="00D27D52"/>
    <w:rsid w:val="00D3440F"/>
    <w:rsid w:val="00D40AE8"/>
    <w:rsid w:val="00D439C9"/>
    <w:rsid w:val="00D44D4E"/>
    <w:rsid w:val="00D474B5"/>
    <w:rsid w:val="00D52E18"/>
    <w:rsid w:val="00D543D5"/>
    <w:rsid w:val="00D54EEE"/>
    <w:rsid w:val="00D618E1"/>
    <w:rsid w:val="00D64047"/>
    <w:rsid w:val="00D65497"/>
    <w:rsid w:val="00D66E74"/>
    <w:rsid w:val="00D71264"/>
    <w:rsid w:val="00D7293D"/>
    <w:rsid w:val="00D76187"/>
    <w:rsid w:val="00D849E4"/>
    <w:rsid w:val="00D852D2"/>
    <w:rsid w:val="00D91657"/>
    <w:rsid w:val="00D925D8"/>
    <w:rsid w:val="00D94803"/>
    <w:rsid w:val="00D97671"/>
    <w:rsid w:val="00DA097F"/>
    <w:rsid w:val="00DA0F1E"/>
    <w:rsid w:val="00DA3E7C"/>
    <w:rsid w:val="00DA4E5A"/>
    <w:rsid w:val="00DA723F"/>
    <w:rsid w:val="00DA73A3"/>
    <w:rsid w:val="00DB1E0F"/>
    <w:rsid w:val="00DB3948"/>
    <w:rsid w:val="00DB4768"/>
    <w:rsid w:val="00DB49A0"/>
    <w:rsid w:val="00DB7093"/>
    <w:rsid w:val="00DC57EF"/>
    <w:rsid w:val="00DD0A49"/>
    <w:rsid w:val="00DE1F3B"/>
    <w:rsid w:val="00DE2D84"/>
    <w:rsid w:val="00DF2D2A"/>
    <w:rsid w:val="00DF4F3C"/>
    <w:rsid w:val="00DF4F6F"/>
    <w:rsid w:val="00E014C7"/>
    <w:rsid w:val="00E076A3"/>
    <w:rsid w:val="00E14FC3"/>
    <w:rsid w:val="00E235BA"/>
    <w:rsid w:val="00E2421B"/>
    <w:rsid w:val="00E2592B"/>
    <w:rsid w:val="00E31A67"/>
    <w:rsid w:val="00E329EE"/>
    <w:rsid w:val="00E34A39"/>
    <w:rsid w:val="00E363B4"/>
    <w:rsid w:val="00E40408"/>
    <w:rsid w:val="00E42494"/>
    <w:rsid w:val="00E4266D"/>
    <w:rsid w:val="00E435CE"/>
    <w:rsid w:val="00E44020"/>
    <w:rsid w:val="00E4463C"/>
    <w:rsid w:val="00E44D6F"/>
    <w:rsid w:val="00E47851"/>
    <w:rsid w:val="00E51146"/>
    <w:rsid w:val="00E52235"/>
    <w:rsid w:val="00E55D46"/>
    <w:rsid w:val="00E56716"/>
    <w:rsid w:val="00E57DBD"/>
    <w:rsid w:val="00E57F3F"/>
    <w:rsid w:val="00E706B3"/>
    <w:rsid w:val="00E70F69"/>
    <w:rsid w:val="00E71AD7"/>
    <w:rsid w:val="00E738C7"/>
    <w:rsid w:val="00E7422B"/>
    <w:rsid w:val="00E75D14"/>
    <w:rsid w:val="00E7701F"/>
    <w:rsid w:val="00E81C4F"/>
    <w:rsid w:val="00E83A2B"/>
    <w:rsid w:val="00E84A48"/>
    <w:rsid w:val="00E85286"/>
    <w:rsid w:val="00E87291"/>
    <w:rsid w:val="00E90BA1"/>
    <w:rsid w:val="00E96343"/>
    <w:rsid w:val="00E97584"/>
    <w:rsid w:val="00E97DF0"/>
    <w:rsid w:val="00EA1BFC"/>
    <w:rsid w:val="00EA7279"/>
    <w:rsid w:val="00EB58F3"/>
    <w:rsid w:val="00EC1659"/>
    <w:rsid w:val="00EC290E"/>
    <w:rsid w:val="00ED0EBB"/>
    <w:rsid w:val="00ED2329"/>
    <w:rsid w:val="00ED3BD8"/>
    <w:rsid w:val="00ED4535"/>
    <w:rsid w:val="00EE2296"/>
    <w:rsid w:val="00EE2FD9"/>
    <w:rsid w:val="00EE4455"/>
    <w:rsid w:val="00EE5749"/>
    <w:rsid w:val="00F00EF3"/>
    <w:rsid w:val="00F04055"/>
    <w:rsid w:val="00F074E4"/>
    <w:rsid w:val="00F1219D"/>
    <w:rsid w:val="00F122B9"/>
    <w:rsid w:val="00F21CD9"/>
    <w:rsid w:val="00F22750"/>
    <w:rsid w:val="00F2544D"/>
    <w:rsid w:val="00F257B0"/>
    <w:rsid w:val="00F3207F"/>
    <w:rsid w:val="00F3541A"/>
    <w:rsid w:val="00F405D8"/>
    <w:rsid w:val="00F4125A"/>
    <w:rsid w:val="00F41652"/>
    <w:rsid w:val="00F42706"/>
    <w:rsid w:val="00F45AA1"/>
    <w:rsid w:val="00F45CD2"/>
    <w:rsid w:val="00F46275"/>
    <w:rsid w:val="00F512A6"/>
    <w:rsid w:val="00F5665F"/>
    <w:rsid w:val="00F60488"/>
    <w:rsid w:val="00F631B6"/>
    <w:rsid w:val="00F63BC0"/>
    <w:rsid w:val="00F63DFB"/>
    <w:rsid w:val="00F640FB"/>
    <w:rsid w:val="00F65573"/>
    <w:rsid w:val="00F70715"/>
    <w:rsid w:val="00F719B8"/>
    <w:rsid w:val="00F7583E"/>
    <w:rsid w:val="00F83D21"/>
    <w:rsid w:val="00F8434D"/>
    <w:rsid w:val="00F94B00"/>
    <w:rsid w:val="00F94F66"/>
    <w:rsid w:val="00FA03AD"/>
    <w:rsid w:val="00FA2315"/>
    <w:rsid w:val="00FA2E89"/>
    <w:rsid w:val="00FA36A8"/>
    <w:rsid w:val="00FB10DA"/>
    <w:rsid w:val="00FB2268"/>
    <w:rsid w:val="00FB4BFF"/>
    <w:rsid w:val="00FB6500"/>
    <w:rsid w:val="00FC430C"/>
    <w:rsid w:val="00FC7332"/>
    <w:rsid w:val="00FD1D9C"/>
    <w:rsid w:val="00FD3B41"/>
    <w:rsid w:val="00FD3F3F"/>
    <w:rsid w:val="00FD727C"/>
    <w:rsid w:val="00FE0D9B"/>
    <w:rsid w:val="00FE2B64"/>
    <w:rsid w:val="00FE4A1F"/>
    <w:rsid w:val="00FE72F6"/>
    <w:rsid w:val="00FF35B1"/>
    <w:rsid w:val="00FF42BD"/>
    <w:rsid w:val="00FF6B73"/>
    <w:rsid w:val="00FF6D85"/>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81E0BC"/>
  <w15:chartTrackingRefBased/>
  <w15:docId w15:val="{5C0D4B83-6CBC-4F7D-8E87-C1C5820E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0B8"/>
    <w:rPr>
      <w:sz w:val="24"/>
      <w:szCs w:val="24"/>
    </w:rPr>
  </w:style>
  <w:style w:type="paragraph" w:styleId="Heading1">
    <w:name w:val="heading 1"/>
    <w:basedOn w:val="Normal"/>
    <w:next w:val="Normal"/>
    <w:link w:val="Heading1Char"/>
    <w:uiPriority w:val="9"/>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600B8"/>
    <w:pPr>
      <w:keepNext/>
      <w:spacing w:before="240" w:after="120"/>
      <w:outlineLvl w:val="1"/>
    </w:pPr>
    <w:rPr>
      <w:rFonts w:ascii="Arial" w:hAnsi="Arial" w:cs="Arial"/>
      <w:b/>
      <w:bCs/>
      <w:i/>
      <w:iCs/>
    </w:rPr>
  </w:style>
  <w:style w:type="paragraph" w:styleId="Heading3">
    <w:name w:val="heading 3"/>
    <w:basedOn w:val="Normal"/>
    <w:next w:val="Normal"/>
    <w:qFormat/>
    <w:rsid w:val="00E40408"/>
    <w:pPr>
      <w:keepNext/>
      <w:spacing w:after="120"/>
      <w:outlineLvl w:val="2"/>
    </w:pPr>
    <w:rPr>
      <w:b/>
      <w:szCs w:val="22"/>
    </w:rPr>
  </w:style>
  <w:style w:type="paragraph" w:styleId="Heading4">
    <w:name w:val="heading 4"/>
    <w:basedOn w:val="Heading3"/>
    <w:next w:val="Normal"/>
    <w:qFormat/>
    <w:rsid w:val="0081520C"/>
    <w:pPr>
      <w:outlineLvl w:val="3"/>
    </w:pPr>
  </w:style>
  <w:style w:type="paragraph" w:styleId="Heading5">
    <w:name w:val="heading 5"/>
    <w:basedOn w:val="Normal"/>
    <w:next w:val="Normal"/>
    <w:link w:val="Heading5Char"/>
    <w:semiHidden/>
    <w:unhideWhenUsed/>
    <w:qFormat/>
    <w:rsid w:val="00E83A2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73F74"/>
    <w:pPr>
      <w:bidi/>
      <w:jc w:val="right"/>
    </w:pPr>
    <w:rPr>
      <w:sz w:val="20"/>
      <w:szCs w:val="20"/>
      <w:lang w:bidi="ar-QA"/>
    </w:rPr>
  </w:style>
  <w:style w:type="character" w:styleId="FootnoteReference">
    <w:name w:val="footnote reference"/>
    <w:uiPriority w:val="99"/>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link w:val="LefttoRight"/>
    <w:rsid w:val="00873F74"/>
    <w:rPr>
      <w:sz w:val="24"/>
      <w:szCs w:val="24"/>
      <w:lang w:val="en-US" w:eastAsia="en-US" w:bidi="ar-QA"/>
    </w:rPr>
  </w:style>
  <w:style w:type="table" w:styleId="TableGrid">
    <w:name w:val="Table Grid"/>
    <w:basedOn w:val="TableNormal"/>
    <w:uiPriority w:val="39"/>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1"/>
      </w:numPr>
      <w:spacing w:before="120" w:after="120"/>
      <w:jc w:val="both"/>
    </w:pPr>
    <w:rPr>
      <w:szCs w:val="20"/>
    </w:rPr>
  </w:style>
  <w:style w:type="paragraph" w:styleId="Header">
    <w:name w:val="header"/>
    <w:basedOn w:val="Normal"/>
    <w:link w:val="HeaderChar"/>
    <w:uiPriority w:val="99"/>
    <w:rsid w:val="00B06A2F"/>
    <w:pPr>
      <w:tabs>
        <w:tab w:val="center" w:pos="4320"/>
        <w:tab w:val="right" w:pos="8640"/>
      </w:tabs>
      <w:spacing w:before="120" w:after="120"/>
      <w:jc w:val="both"/>
    </w:pPr>
    <w:rPr>
      <w:szCs w:val="20"/>
    </w:rPr>
  </w:style>
  <w:style w:type="paragraph" w:styleId="TOC1">
    <w:name w:val="toc 1"/>
    <w:basedOn w:val="Normal"/>
    <w:next w:val="Normal"/>
    <w:autoRedefine/>
    <w:uiPriority w:val="39"/>
    <w:rsid w:val="002A2F7B"/>
    <w:pPr>
      <w:tabs>
        <w:tab w:val="right" w:leader="dot" w:pos="8630"/>
      </w:tabs>
      <w:spacing w:after="120"/>
    </w:pPr>
    <w:rPr>
      <w:b/>
      <w:noProof/>
    </w:rPr>
  </w:style>
  <w:style w:type="paragraph" w:styleId="TOC2">
    <w:name w:val="toc 2"/>
    <w:basedOn w:val="Normal"/>
    <w:next w:val="Normal"/>
    <w:autoRedefine/>
    <w:uiPriority w:val="39"/>
    <w:rsid w:val="002A2F7B"/>
    <w:pPr>
      <w:tabs>
        <w:tab w:val="right" w:leader="dot" w:pos="8630"/>
      </w:tabs>
      <w:spacing w:after="120"/>
      <w:ind w:left="288"/>
    </w:pPr>
    <w:rPr>
      <w:noProof/>
    </w:rPr>
  </w:style>
  <w:style w:type="paragraph" w:styleId="TOC3">
    <w:name w:val="toc 3"/>
    <w:basedOn w:val="Normal"/>
    <w:next w:val="Normal"/>
    <w:autoRedefine/>
    <w:uiPriority w:val="39"/>
    <w:rsid w:val="00A62985"/>
    <w:pPr>
      <w:tabs>
        <w:tab w:val="right" w:leader="dot" w:pos="8630"/>
      </w:tabs>
      <w:spacing w:after="120"/>
      <w:ind w:left="475"/>
    </w:pPr>
    <w:rPr>
      <w:noProof/>
    </w:rPr>
  </w:style>
  <w:style w:type="character" w:styleId="Hyperlink">
    <w:name w:val="Hyperlink"/>
    <w:uiPriority w:val="99"/>
    <w:rsid w:val="001D0454"/>
    <w:rPr>
      <w:color w:val="0000FF"/>
      <w:u w:val="single"/>
    </w:rPr>
  </w:style>
  <w:style w:type="paragraph" w:styleId="Footer">
    <w:name w:val="footer"/>
    <w:basedOn w:val="Normal"/>
    <w:link w:val="FooterChar"/>
    <w:uiPriority w:val="99"/>
    <w:rsid w:val="00BD7631"/>
    <w:pPr>
      <w:tabs>
        <w:tab w:val="center" w:pos="4320"/>
        <w:tab w:val="right" w:pos="8640"/>
      </w:tabs>
      <w:jc w:val="center"/>
    </w:pPr>
    <w:rPr>
      <w:noProof/>
    </w:rPr>
  </w:style>
  <w:style w:type="character" w:styleId="PageNumber">
    <w:name w:val="page number"/>
    <w:basedOn w:val="DefaultParagraphFont"/>
    <w:rsid w:val="003E3999"/>
  </w:style>
  <w:style w:type="paragraph" w:styleId="BalloonText">
    <w:name w:val="Balloon Text"/>
    <w:basedOn w:val="Normal"/>
    <w:link w:val="BalloonTextChar"/>
    <w:uiPriority w:val="99"/>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uiPriority w:val="99"/>
    <w:semiHidden/>
    <w:rsid w:val="00621299"/>
    <w:rPr>
      <w:sz w:val="16"/>
      <w:szCs w:val="16"/>
    </w:rPr>
  </w:style>
  <w:style w:type="paragraph" w:styleId="CommentText">
    <w:name w:val="annotation text"/>
    <w:basedOn w:val="Normal"/>
    <w:link w:val="CommentTextChar"/>
    <w:uiPriority w:val="99"/>
    <w:rsid w:val="00621299"/>
    <w:rPr>
      <w:sz w:val="20"/>
      <w:szCs w:val="20"/>
    </w:rPr>
  </w:style>
  <w:style w:type="paragraph" w:styleId="CommentSubject">
    <w:name w:val="annotation subject"/>
    <w:basedOn w:val="CommentText"/>
    <w:next w:val="CommentText"/>
    <w:link w:val="CommentSubjectChar"/>
    <w:uiPriority w:val="99"/>
    <w:semiHidden/>
    <w:rsid w:val="00621299"/>
    <w:rPr>
      <w:b/>
      <w:bCs/>
    </w:rPr>
  </w:style>
  <w:style w:type="paragraph" w:customStyle="1" w:styleId="TableSmallBullets">
    <w:name w:val="Table Small Bullets"/>
    <w:basedOn w:val="Normal"/>
    <w:rsid w:val="00D5758D"/>
    <w:pPr>
      <w:numPr>
        <w:numId w:val="2"/>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qFormat/>
    <w:rsid w:val="00945188"/>
    <w:rPr>
      <w:i/>
      <w:iCs/>
    </w:rPr>
  </w:style>
  <w:style w:type="paragraph" w:customStyle="1" w:styleId="Heading4t">
    <w:name w:val="Heading 4t"/>
    <w:basedOn w:val="Heading3"/>
    <w:rsid w:val="007D4700"/>
  </w:style>
  <w:style w:type="paragraph" w:styleId="EndnoteText">
    <w:name w:val="endnote text"/>
    <w:basedOn w:val="Normal"/>
    <w:link w:val="EndnoteTextChar"/>
    <w:uiPriority w:val="99"/>
    <w:rsid w:val="00D057D1"/>
    <w:pPr>
      <w:spacing w:after="120"/>
      <w:ind w:left="360" w:hanging="360"/>
    </w:pPr>
    <w:rPr>
      <w:szCs w:val="20"/>
    </w:rPr>
  </w:style>
  <w:style w:type="character" w:styleId="EndnoteReference">
    <w:name w:val="endnote reference"/>
    <w:uiPriority w:val="99"/>
    <w:rsid w:val="00C034DF"/>
    <w:rPr>
      <w:vertAlign w:val="superscript"/>
    </w:rPr>
  </w:style>
  <w:style w:type="character" w:styleId="FollowedHyperlink">
    <w:name w:val="FollowedHyperlink"/>
    <w:uiPriority w:val="99"/>
    <w:rsid w:val="00BF735E"/>
    <w:rPr>
      <w:color w:val="800080"/>
      <w:u w:val="single"/>
    </w:rPr>
  </w:style>
  <w:style w:type="character" w:customStyle="1" w:styleId="QuickFormat9">
    <w:name w:val="QuickFormat9"/>
    <w:rsid w:val="003F5921"/>
    <w:rPr>
      <w:b/>
      <w:i/>
      <w:color w:val="000000"/>
      <w:sz w:val="24"/>
    </w:rPr>
  </w:style>
  <w:style w:type="character" w:styleId="Strong">
    <w:name w:val="Strong"/>
    <w:qFormat/>
    <w:rsid w:val="007D4F9F"/>
    <w:rPr>
      <w:b/>
      <w:bCs/>
    </w:rPr>
  </w:style>
  <w:style w:type="paragraph" w:styleId="NormalWeb">
    <w:name w:val="Normal (Web)"/>
    <w:basedOn w:val="Normal"/>
    <w:rsid w:val="00450538"/>
    <w:pPr>
      <w:spacing w:before="100" w:beforeAutospacing="1" w:after="100" w:afterAutospacing="1"/>
    </w:pPr>
  </w:style>
  <w:style w:type="character" w:customStyle="1" w:styleId="CommentTextChar">
    <w:name w:val="Comment Text Char"/>
    <w:basedOn w:val="DefaultParagraphFont"/>
    <w:link w:val="CommentText"/>
    <w:uiPriority w:val="99"/>
    <w:locked/>
    <w:rsid w:val="00E076A3"/>
  </w:style>
  <w:style w:type="character" w:customStyle="1" w:styleId="Heading5Char">
    <w:name w:val="Heading 5 Char"/>
    <w:link w:val="Heading5"/>
    <w:semiHidden/>
    <w:rsid w:val="00E83A2B"/>
    <w:rPr>
      <w:rFonts w:ascii="Calibri" w:eastAsia="Times New Roman" w:hAnsi="Calibri" w:cs="Times New Roman"/>
      <w:b/>
      <w:bCs/>
      <w:i/>
      <w:iCs/>
      <w:sz w:val="26"/>
      <w:szCs w:val="26"/>
    </w:rPr>
  </w:style>
  <w:style w:type="paragraph" w:styleId="BodyText">
    <w:name w:val="Body Text"/>
    <w:basedOn w:val="Normal"/>
    <w:link w:val="BodyTextChar"/>
    <w:rsid w:val="00443427"/>
    <w:pPr>
      <w:spacing w:after="120"/>
    </w:pPr>
  </w:style>
  <w:style w:type="character" w:customStyle="1" w:styleId="BodyTextChar">
    <w:name w:val="Body Text Char"/>
    <w:link w:val="BodyText"/>
    <w:rsid w:val="00443427"/>
    <w:rPr>
      <w:sz w:val="24"/>
      <w:szCs w:val="24"/>
    </w:rPr>
  </w:style>
  <w:style w:type="paragraph" w:customStyle="1" w:styleId="BulletsLast">
    <w:name w:val="BulletsLast"/>
    <w:basedOn w:val="Bullets"/>
    <w:rsid w:val="00443427"/>
    <w:pPr>
      <w:spacing w:after="180"/>
    </w:pPr>
  </w:style>
  <w:style w:type="paragraph" w:customStyle="1" w:styleId="Bullets">
    <w:name w:val="Bullets"/>
    <w:basedOn w:val="BodyText"/>
    <w:rsid w:val="00443427"/>
    <w:pPr>
      <w:numPr>
        <w:numId w:val="4"/>
      </w:numPr>
      <w:spacing w:after="60" w:line="264" w:lineRule="auto"/>
    </w:pPr>
    <w:rPr>
      <w:sz w:val="22"/>
      <w:szCs w:val="20"/>
    </w:rPr>
  </w:style>
  <w:style w:type="character" w:customStyle="1" w:styleId="FootnoteTextChar">
    <w:name w:val="Footnote Text Char"/>
    <w:link w:val="FootnoteText"/>
    <w:uiPriority w:val="99"/>
    <w:rsid w:val="00443427"/>
    <w:rPr>
      <w:lang w:bidi="ar-QA"/>
    </w:rPr>
  </w:style>
  <w:style w:type="paragraph" w:customStyle="1" w:styleId="P1-StandPara">
    <w:name w:val="P1-Stand Para"/>
    <w:link w:val="P1-StandParaChar"/>
    <w:rsid w:val="00E42494"/>
    <w:pPr>
      <w:spacing w:line="480" w:lineRule="auto"/>
      <w:ind w:firstLine="720"/>
    </w:pPr>
    <w:rPr>
      <w:sz w:val="22"/>
    </w:rPr>
  </w:style>
  <w:style w:type="character" w:customStyle="1" w:styleId="P1-StandParaChar">
    <w:name w:val="P1-Stand Para Char"/>
    <w:link w:val="P1-StandPara"/>
    <w:rsid w:val="00E42494"/>
    <w:rPr>
      <w:sz w:val="22"/>
    </w:rPr>
  </w:style>
  <w:style w:type="paragraph" w:styleId="ListParagraph">
    <w:name w:val="List Paragraph"/>
    <w:basedOn w:val="Normal"/>
    <w:link w:val="ListParagraphChar"/>
    <w:uiPriority w:val="34"/>
    <w:qFormat/>
    <w:rsid w:val="00510D42"/>
    <w:pPr>
      <w:widowControl w:val="0"/>
      <w:autoSpaceDE w:val="0"/>
      <w:autoSpaceDN w:val="0"/>
      <w:adjustRightInd w:val="0"/>
      <w:ind w:left="720"/>
      <w:contextualSpacing/>
    </w:pPr>
    <w:rPr>
      <w:rFonts w:ascii="Courier" w:hAnsi="Courier" w:cs="Courier"/>
    </w:rPr>
  </w:style>
  <w:style w:type="paragraph" w:styleId="Revision">
    <w:name w:val="Revision"/>
    <w:hidden/>
    <w:uiPriority w:val="99"/>
    <w:semiHidden/>
    <w:rsid w:val="00683D84"/>
    <w:rPr>
      <w:sz w:val="24"/>
      <w:szCs w:val="24"/>
    </w:rPr>
  </w:style>
  <w:style w:type="character" w:customStyle="1" w:styleId="EndnoteTextChar">
    <w:name w:val="Endnote Text Char"/>
    <w:basedOn w:val="DefaultParagraphFont"/>
    <w:link w:val="EndnoteText"/>
    <w:uiPriority w:val="99"/>
    <w:rsid w:val="00D057D1"/>
    <w:rPr>
      <w:sz w:val="24"/>
    </w:rPr>
  </w:style>
  <w:style w:type="paragraph" w:styleId="Caption">
    <w:name w:val="caption"/>
    <w:basedOn w:val="BodyText"/>
    <w:next w:val="BodyText"/>
    <w:link w:val="CaptionChar"/>
    <w:qFormat/>
    <w:rsid w:val="00CE61A5"/>
    <w:rPr>
      <w:b/>
      <w:i/>
    </w:rPr>
  </w:style>
  <w:style w:type="paragraph" w:customStyle="1" w:styleId="TableText">
    <w:name w:val="Table Text"/>
    <w:basedOn w:val="Normal"/>
    <w:qFormat/>
    <w:rsid w:val="0048256B"/>
    <w:pPr>
      <w:spacing w:before="20" w:after="20"/>
    </w:pPr>
    <w:rPr>
      <w:rFonts w:ascii="Arial Narrow" w:hAnsi="Arial Narrow"/>
      <w:sz w:val="20"/>
      <w:szCs w:val="20"/>
    </w:rPr>
  </w:style>
  <w:style w:type="paragraph" w:customStyle="1" w:styleId="TableBullets">
    <w:name w:val="Table Bullets"/>
    <w:basedOn w:val="ListParagraph"/>
    <w:qFormat/>
    <w:rsid w:val="0048256B"/>
    <w:pPr>
      <w:widowControl/>
      <w:numPr>
        <w:numId w:val="8"/>
      </w:numPr>
      <w:autoSpaceDE/>
      <w:autoSpaceDN/>
      <w:adjustRightInd/>
      <w:contextualSpacing w:val="0"/>
    </w:pPr>
    <w:rPr>
      <w:rFonts w:ascii="Arial Narrow" w:eastAsiaTheme="minorHAnsi" w:hAnsi="Arial Narrow" w:cstheme="minorBidi"/>
      <w:sz w:val="20"/>
      <w:szCs w:val="20"/>
    </w:rPr>
  </w:style>
  <w:style w:type="paragraph" w:customStyle="1" w:styleId="TableColumnHeader">
    <w:name w:val="Table Column Header"/>
    <w:basedOn w:val="Normal"/>
    <w:qFormat/>
    <w:rsid w:val="0048256B"/>
    <w:pPr>
      <w:spacing w:before="20" w:after="20"/>
      <w:jc w:val="center"/>
    </w:pPr>
    <w:rPr>
      <w:rFonts w:ascii="Arial Narrow" w:hAnsi="Arial Narrow"/>
      <w:b/>
      <w:color w:val="FFFFFF" w:themeColor="background1"/>
      <w:sz w:val="20"/>
      <w:szCs w:val="20"/>
    </w:rPr>
  </w:style>
  <w:style w:type="character" w:customStyle="1" w:styleId="CaptionChar">
    <w:name w:val="Caption Char"/>
    <w:basedOn w:val="DefaultParagraphFont"/>
    <w:link w:val="Caption"/>
    <w:locked/>
    <w:rsid w:val="00CE61A5"/>
    <w:rPr>
      <w:b/>
      <w:i/>
      <w:sz w:val="24"/>
      <w:szCs w:val="24"/>
    </w:rPr>
  </w:style>
  <w:style w:type="paragraph" w:customStyle="1" w:styleId="ResumeBullet">
    <w:name w:val="Resume Bullet"/>
    <w:basedOn w:val="ListParagraph"/>
    <w:qFormat/>
    <w:rsid w:val="0048256B"/>
    <w:pPr>
      <w:widowControl/>
      <w:numPr>
        <w:numId w:val="9"/>
      </w:numPr>
      <w:autoSpaceDE/>
      <w:autoSpaceDN/>
      <w:adjustRightInd/>
      <w:ind w:left="360"/>
      <w:contextualSpacing w:val="0"/>
    </w:pPr>
    <w:rPr>
      <w:rFonts w:ascii="Times New Roman" w:eastAsiaTheme="minorHAnsi" w:hAnsi="Times New Roman" w:cs="Times New Roman"/>
      <w:sz w:val="22"/>
      <w:szCs w:val="22"/>
    </w:rPr>
  </w:style>
  <w:style w:type="paragraph" w:styleId="NoSpacing">
    <w:name w:val="No Spacing"/>
    <w:uiPriority w:val="1"/>
    <w:qFormat/>
    <w:rsid w:val="0048256B"/>
    <w:rPr>
      <w:sz w:val="24"/>
      <w:szCs w:val="24"/>
    </w:rPr>
  </w:style>
  <w:style w:type="paragraph" w:styleId="TOCHeading">
    <w:name w:val="TOC Heading"/>
    <w:basedOn w:val="Normal"/>
    <w:next w:val="Normal"/>
    <w:uiPriority w:val="39"/>
    <w:unhideWhenUsed/>
    <w:qFormat/>
    <w:rsid w:val="002A2F7B"/>
    <w:pPr>
      <w:spacing w:after="240"/>
    </w:pPr>
    <w:rPr>
      <w:b/>
      <w:sz w:val="28"/>
      <w:szCs w:val="28"/>
    </w:rPr>
  </w:style>
  <w:style w:type="paragraph" w:customStyle="1" w:styleId="BodyTextNospaceafter">
    <w:name w:val="Body Text No space after"/>
    <w:basedOn w:val="BodyText"/>
    <w:qFormat/>
    <w:rsid w:val="003600B8"/>
    <w:pPr>
      <w:spacing w:after="0"/>
    </w:pPr>
  </w:style>
  <w:style w:type="character" w:customStyle="1" w:styleId="FooterChar">
    <w:name w:val="Footer Char"/>
    <w:basedOn w:val="DefaultParagraphFont"/>
    <w:link w:val="Footer"/>
    <w:uiPriority w:val="99"/>
    <w:rsid w:val="00BD7631"/>
    <w:rPr>
      <w:noProof/>
      <w:sz w:val="24"/>
      <w:szCs w:val="24"/>
    </w:rPr>
  </w:style>
  <w:style w:type="paragraph" w:customStyle="1" w:styleId="Numbers">
    <w:name w:val="Numbers"/>
    <w:basedOn w:val="ListParagraph"/>
    <w:qFormat/>
    <w:rsid w:val="00DB7093"/>
    <w:pPr>
      <w:widowControl/>
      <w:numPr>
        <w:numId w:val="14"/>
      </w:numPr>
      <w:tabs>
        <w:tab w:val="left" w:pos="360"/>
      </w:tabs>
      <w:spacing w:after="120"/>
      <w:contextualSpacing w:val="0"/>
    </w:pPr>
    <w:rPr>
      <w:rFonts w:ascii="Times New Roman" w:hAnsi="Times New Roman" w:cs="Times New Roman"/>
    </w:rPr>
  </w:style>
  <w:style w:type="paragraph" w:styleId="BodyTextIndent">
    <w:name w:val="Body Text Indent"/>
    <w:basedOn w:val="BodyText"/>
    <w:link w:val="BodyTextIndentChar"/>
    <w:rsid w:val="00E40408"/>
    <w:pPr>
      <w:ind w:left="720"/>
    </w:pPr>
  </w:style>
  <w:style w:type="character" w:customStyle="1" w:styleId="BodyTextIndentChar">
    <w:name w:val="Body Text Indent Char"/>
    <w:basedOn w:val="DefaultParagraphFont"/>
    <w:link w:val="BodyTextIndent"/>
    <w:rsid w:val="00E40408"/>
    <w:rPr>
      <w:sz w:val="24"/>
      <w:szCs w:val="24"/>
    </w:rPr>
  </w:style>
  <w:style w:type="numbering" w:customStyle="1" w:styleId="NoList1">
    <w:name w:val="No List1"/>
    <w:next w:val="NoList"/>
    <w:uiPriority w:val="99"/>
    <w:semiHidden/>
    <w:unhideWhenUsed/>
    <w:rsid w:val="00A568CA"/>
  </w:style>
  <w:style w:type="table" w:customStyle="1" w:styleId="AbtFinal">
    <w:name w:val="Abt Final"/>
    <w:basedOn w:val="TableNormal"/>
    <w:uiPriority w:val="99"/>
    <w:rsid w:val="00A568CA"/>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Gotham" w:hAnsi="Gotham"/>
        <w:b/>
        <w:caps w:val="0"/>
        <w:smallCaps w:val="0"/>
        <w:strike w:val="0"/>
        <w:dstrike w:val="0"/>
        <w:vanish w:val="0"/>
        <w:color w:val="FFFFFF"/>
        <w:sz w:val="20"/>
        <w:vertAlign w:val="baseline"/>
      </w:rPr>
      <w:tblPr/>
      <w:tcPr>
        <w:shd w:val="clear" w:color="auto" w:fill="1F497D"/>
      </w:tcPr>
    </w:tblStylePr>
    <w:tblStylePr w:type="lastRow">
      <w:pPr>
        <w:jc w:val="left"/>
      </w:pPr>
      <w:rPr>
        <w:rFonts w:ascii="Gotham" w:hAnsi="Gotham"/>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cPr>
    </w:tblStylePr>
    <w:tblStylePr w:type="firstCol">
      <w:rPr>
        <w:rFonts w:ascii="Gotham" w:hAnsi="Gotham"/>
        <w:sz w:val="20"/>
      </w:rPr>
    </w:tblStylePr>
    <w:tblStylePr w:type="lastCol">
      <w:rPr>
        <w:rFonts w:ascii="Gotham" w:hAnsi="Gotham"/>
        <w:sz w:val="20"/>
      </w:rPr>
    </w:tblStylePr>
    <w:tblStylePr w:type="band1Horz">
      <w:rPr>
        <w:rFonts w:ascii="Gotham" w:hAnsi="Gotham"/>
        <w:sz w:val="20"/>
      </w:rPr>
    </w:tblStylePr>
    <w:tblStylePr w:type="band2Horz">
      <w:rPr>
        <w:rFonts w:ascii="Gotham" w:hAnsi="Gotham"/>
        <w:sz w:val="20"/>
      </w:rPr>
    </w:tblStylePr>
  </w:style>
  <w:style w:type="character" w:customStyle="1" w:styleId="ListParagraphChar">
    <w:name w:val="List Paragraph Char"/>
    <w:basedOn w:val="DefaultParagraphFont"/>
    <w:link w:val="ListParagraph"/>
    <w:uiPriority w:val="34"/>
    <w:locked/>
    <w:rsid w:val="00A568CA"/>
    <w:rPr>
      <w:rFonts w:ascii="Courier" w:hAnsi="Courier" w:cs="Courier"/>
      <w:sz w:val="24"/>
      <w:szCs w:val="24"/>
    </w:rPr>
  </w:style>
  <w:style w:type="character" w:customStyle="1" w:styleId="BalloonTextChar">
    <w:name w:val="Balloon Text Char"/>
    <w:basedOn w:val="DefaultParagraphFont"/>
    <w:link w:val="BalloonText"/>
    <w:uiPriority w:val="99"/>
    <w:semiHidden/>
    <w:rsid w:val="00A568CA"/>
    <w:rPr>
      <w:rFonts w:ascii="Tahoma" w:hAnsi="Tahoma" w:cs="Tahoma"/>
      <w:sz w:val="16"/>
      <w:szCs w:val="16"/>
    </w:rPr>
  </w:style>
  <w:style w:type="table" w:customStyle="1" w:styleId="TableGrid1">
    <w:name w:val="Table Grid1"/>
    <w:basedOn w:val="TableNormal"/>
    <w:next w:val="TableGrid"/>
    <w:uiPriority w:val="59"/>
    <w:rsid w:val="00A568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A568CA"/>
    <w:rPr>
      <w:b/>
      <w:bCs/>
    </w:rPr>
  </w:style>
  <w:style w:type="character" w:customStyle="1" w:styleId="HeaderChar">
    <w:name w:val="Header Char"/>
    <w:basedOn w:val="DefaultParagraphFont"/>
    <w:link w:val="Header"/>
    <w:uiPriority w:val="99"/>
    <w:rsid w:val="00A568CA"/>
    <w:rPr>
      <w:sz w:val="24"/>
    </w:rPr>
  </w:style>
  <w:style w:type="paragraph" w:customStyle="1" w:styleId="Q1-FirstLevelQuestion">
    <w:name w:val="Q1-First Level Question"/>
    <w:rsid w:val="00A568CA"/>
    <w:pPr>
      <w:tabs>
        <w:tab w:val="left" w:pos="720"/>
      </w:tabs>
      <w:spacing w:line="240" w:lineRule="atLeast"/>
      <w:ind w:left="720" w:hanging="720"/>
      <w:jc w:val="both"/>
    </w:pPr>
    <w:rPr>
      <w:rFonts w:ascii="Arial" w:hAnsi="Arial"/>
    </w:rPr>
  </w:style>
  <w:style w:type="numbering" w:customStyle="1" w:styleId="NoList2">
    <w:name w:val="No List2"/>
    <w:next w:val="NoList"/>
    <w:uiPriority w:val="99"/>
    <w:semiHidden/>
    <w:unhideWhenUsed/>
    <w:rsid w:val="00FA2315"/>
  </w:style>
  <w:style w:type="character" w:customStyle="1" w:styleId="Heading1Char">
    <w:name w:val="Heading 1 Char"/>
    <w:basedOn w:val="DefaultParagraphFont"/>
    <w:link w:val="Heading1"/>
    <w:uiPriority w:val="9"/>
    <w:rsid w:val="00FA2315"/>
    <w:rPr>
      <w:rFonts w:ascii="Arial" w:hAnsi="Arial" w:cs="Arial"/>
      <w:b/>
      <w:bCs/>
      <w:kern w:val="32"/>
      <w:sz w:val="32"/>
      <w:szCs w:val="32"/>
    </w:rPr>
  </w:style>
  <w:style w:type="character" w:customStyle="1" w:styleId="Heading2Char">
    <w:name w:val="Heading 2 Char"/>
    <w:basedOn w:val="DefaultParagraphFont"/>
    <w:link w:val="Heading2"/>
    <w:uiPriority w:val="9"/>
    <w:rsid w:val="00FA2315"/>
    <w:rPr>
      <w:rFonts w:ascii="Arial" w:hAnsi="Arial" w:cs="Arial"/>
      <w:b/>
      <w:bCs/>
      <w:i/>
      <w:iCs/>
      <w:sz w:val="24"/>
      <w:szCs w:val="24"/>
    </w:rPr>
  </w:style>
  <w:style w:type="table" w:customStyle="1" w:styleId="TableGrid2">
    <w:name w:val="Table Grid2"/>
    <w:basedOn w:val="TableNormal"/>
    <w:next w:val="TableGrid"/>
    <w:uiPriority w:val="59"/>
    <w:rsid w:val="00FA2315"/>
    <w:pPr>
      <w:tabs>
        <w:tab w:val="left" w:pos="36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rsid w:val="00FA2315"/>
    <w:pPr>
      <w:spacing w:line="240" w:lineRule="atLeast"/>
      <w:jc w:val="both"/>
    </w:pPr>
    <w:rPr>
      <w:rFonts w:ascii="Arial" w:hAnsi="Arial"/>
    </w:rPr>
  </w:style>
  <w:style w:type="character" w:customStyle="1" w:styleId="response-question-title-text2">
    <w:name w:val="response-question-title-text2"/>
    <w:basedOn w:val="DefaultParagraphFont"/>
    <w:rsid w:val="00FA2315"/>
    <w:rPr>
      <w:color w:val="333333"/>
    </w:rPr>
  </w:style>
  <w:style w:type="paragraph" w:customStyle="1" w:styleId="RefNumbers">
    <w:name w:val="Ref Numbers"/>
    <w:basedOn w:val="BodyText"/>
    <w:rsid w:val="00FA2315"/>
    <w:pPr>
      <w:numPr>
        <w:numId w:val="21"/>
      </w:numPr>
      <w:spacing w:after="240"/>
    </w:pPr>
    <w:rPr>
      <w:szCs w:val="20"/>
    </w:rPr>
  </w:style>
  <w:style w:type="table" w:customStyle="1" w:styleId="AbtFinal1">
    <w:name w:val="Abt Final1"/>
    <w:basedOn w:val="TableNormal"/>
    <w:uiPriority w:val="99"/>
    <w:rsid w:val="00FA231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Gotham" w:hAnsi="Gotham"/>
        <w:b/>
        <w:caps w:val="0"/>
        <w:smallCaps w:val="0"/>
        <w:strike w:val="0"/>
        <w:dstrike w:val="0"/>
        <w:vanish w:val="0"/>
        <w:color w:val="FFFFFF"/>
        <w:sz w:val="20"/>
        <w:vertAlign w:val="baseline"/>
      </w:rPr>
      <w:tblPr/>
      <w:tcPr>
        <w:shd w:val="clear" w:color="auto" w:fill="1F497D"/>
      </w:tcPr>
    </w:tblStylePr>
    <w:tblStylePr w:type="lastRow">
      <w:pPr>
        <w:jc w:val="left"/>
      </w:pPr>
      <w:rPr>
        <w:rFonts w:ascii="Gotham" w:hAnsi="Gotham"/>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cPr>
    </w:tblStylePr>
    <w:tblStylePr w:type="firstCol">
      <w:rPr>
        <w:rFonts w:ascii="Gotham" w:hAnsi="Gotham"/>
        <w:sz w:val="20"/>
      </w:rPr>
    </w:tblStylePr>
    <w:tblStylePr w:type="lastCol">
      <w:rPr>
        <w:rFonts w:ascii="Gotham" w:hAnsi="Gotham"/>
        <w:sz w:val="20"/>
      </w:rPr>
    </w:tblStylePr>
    <w:tblStylePr w:type="band1Horz">
      <w:rPr>
        <w:rFonts w:ascii="Gotham" w:hAnsi="Gotham"/>
        <w:sz w:val="20"/>
      </w:rPr>
    </w:tblStylePr>
    <w:tblStylePr w:type="band2Horz">
      <w:rPr>
        <w:rFonts w:ascii="Gotham" w:hAnsi="Gotham"/>
        <w:sz w:val="20"/>
      </w:rPr>
    </w:tblStylePr>
  </w:style>
  <w:style w:type="table" w:customStyle="1" w:styleId="TableGrid3">
    <w:name w:val="Table Grid3"/>
    <w:basedOn w:val="TableNormal"/>
    <w:next w:val="TableGrid"/>
    <w:uiPriority w:val="59"/>
    <w:rsid w:val="00FA2315"/>
    <w:pPr>
      <w:tabs>
        <w:tab w:val="left" w:pos="36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2315"/>
    <w:pPr>
      <w:tabs>
        <w:tab w:val="left" w:pos="36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rsid w:val="00F4125A"/>
  </w:style>
  <w:style w:type="paragraph" w:customStyle="1" w:styleId="AttachHeadingforTOC">
    <w:name w:val="Attach Heading for TOC"/>
    <w:basedOn w:val="Normal"/>
    <w:qFormat/>
    <w:rsid w:val="00F4125A"/>
    <w:pPr>
      <w:jc w:val="center"/>
      <w:outlineLvl w:val="2"/>
    </w:pPr>
    <w:rPr>
      <w:rFonts w:ascii="Arial" w:hAnsi="Arial" w:cs="Arial"/>
      <w:sz w:val="28"/>
      <w:szCs w:val="22"/>
    </w:rPr>
  </w:style>
  <w:style w:type="numbering" w:customStyle="1" w:styleId="NoList3">
    <w:name w:val="No List3"/>
    <w:next w:val="NoList"/>
    <w:uiPriority w:val="99"/>
    <w:semiHidden/>
    <w:unhideWhenUsed/>
    <w:rsid w:val="00934CAC"/>
  </w:style>
  <w:style w:type="table" w:customStyle="1" w:styleId="TableGrid5">
    <w:name w:val="Table Grid5"/>
    <w:basedOn w:val="TableNormal"/>
    <w:next w:val="TableGrid"/>
    <w:uiPriority w:val="59"/>
    <w:rsid w:val="00934CAC"/>
    <w:pPr>
      <w:tabs>
        <w:tab w:val="left" w:pos="36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tFinal2">
    <w:name w:val="Abt Final2"/>
    <w:basedOn w:val="TableNormal"/>
    <w:uiPriority w:val="99"/>
    <w:rsid w:val="00934CAC"/>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Gotham" w:hAnsi="Gotham"/>
        <w:b/>
        <w:caps w:val="0"/>
        <w:smallCaps w:val="0"/>
        <w:strike w:val="0"/>
        <w:dstrike w:val="0"/>
        <w:vanish w:val="0"/>
        <w:color w:val="FFFFFF"/>
        <w:sz w:val="20"/>
        <w:vertAlign w:val="baseline"/>
      </w:rPr>
      <w:tblPr/>
      <w:tcPr>
        <w:shd w:val="clear" w:color="auto" w:fill="1F497D"/>
      </w:tcPr>
    </w:tblStylePr>
    <w:tblStylePr w:type="lastRow">
      <w:pPr>
        <w:jc w:val="left"/>
      </w:pPr>
      <w:rPr>
        <w:rFonts w:ascii="Gotham" w:hAnsi="Gotham"/>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cPr>
    </w:tblStylePr>
    <w:tblStylePr w:type="firstCol">
      <w:rPr>
        <w:rFonts w:ascii="Gotham" w:hAnsi="Gotham"/>
        <w:sz w:val="20"/>
      </w:rPr>
    </w:tblStylePr>
    <w:tblStylePr w:type="lastCol">
      <w:rPr>
        <w:rFonts w:ascii="Gotham" w:hAnsi="Gotham"/>
        <w:sz w:val="20"/>
      </w:rPr>
    </w:tblStylePr>
    <w:tblStylePr w:type="band1Horz">
      <w:rPr>
        <w:rFonts w:ascii="Gotham" w:hAnsi="Gotham"/>
        <w:sz w:val="20"/>
      </w:rPr>
    </w:tblStylePr>
    <w:tblStylePr w:type="band2Horz">
      <w:rPr>
        <w:rFonts w:ascii="Gotham" w:hAnsi="Gotham"/>
        <w:sz w:val="20"/>
      </w:rPr>
    </w:tblStylePr>
  </w:style>
  <w:style w:type="table" w:customStyle="1" w:styleId="TableGrid6">
    <w:name w:val="Table Grid6"/>
    <w:basedOn w:val="TableNormal"/>
    <w:next w:val="TableGrid"/>
    <w:uiPriority w:val="59"/>
    <w:rsid w:val="006D08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D08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401">
      <w:bodyDiv w:val="1"/>
      <w:marLeft w:val="0"/>
      <w:marRight w:val="0"/>
      <w:marTop w:val="0"/>
      <w:marBottom w:val="0"/>
      <w:divBdr>
        <w:top w:val="none" w:sz="0" w:space="0" w:color="auto"/>
        <w:left w:val="none" w:sz="0" w:space="0" w:color="auto"/>
        <w:bottom w:val="none" w:sz="0" w:space="0" w:color="auto"/>
        <w:right w:val="none" w:sz="0" w:space="0" w:color="auto"/>
      </w:divBdr>
    </w:div>
    <w:div w:id="132722812">
      <w:bodyDiv w:val="1"/>
      <w:marLeft w:val="0"/>
      <w:marRight w:val="0"/>
      <w:marTop w:val="0"/>
      <w:marBottom w:val="0"/>
      <w:divBdr>
        <w:top w:val="none" w:sz="0" w:space="0" w:color="auto"/>
        <w:left w:val="none" w:sz="0" w:space="0" w:color="auto"/>
        <w:bottom w:val="none" w:sz="0" w:space="0" w:color="auto"/>
        <w:right w:val="none" w:sz="0" w:space="0" w:color="auto"/>
      </w:divBdr>
    </w:div>
    <w:div w:id="304508312">
      <w:bodyDiv w:val="1"/>
      <w:marLeft w:val="0"/>
      <w:marRight w:val="0"/>
      <w:marTop w:val="0"/>
      <w:marBottom w:val="0"/>
      <w:divBdr>
        <w:top w:val="none" w:sz="0" w:space="0" w:color="auto"/>
        <w:left w:val="none" w:sz="0" w:space="0" w:color="auto"/>
        <w:bottom w:val="none" w:sz="0" w:space="0" w:color="auto"/>
        <w:right w:val="none" w:sz="0" w:space="0" w:color="auto"/>
      </w:divBdr>
    </w:div>
    <w:div w:id="592325632">
      <w:bodyDiv w:val="1"/>
      <w:marLeft w:val="0"/>
      <w:marRight w:val="0"/>
      <w:marTop w:val="0"/>
      <w:marBottom w:val="0"/>
      <w:divBdr>
        <w:top w:val="none" w:sz="0" w:space="0" w:color="auto"/>
        <w:left w:val="none" w:sz="0" w:space="0" w:color="auto"/>
        <w:bottom w:val="none" w:sz="0" w:space="0" w:color="auto"/>
        <w:right w:val="none" w:sz="0" w:space="0" w:color="auto"/>
      </w:divBdr>
    </w:div>
    <w:div w:id="686832369">
      <w:bodyDiv w:val="1"/>
      <w:marLeft w:val="0"/>
      <w:marRight w:val="0"/>
      <w:marTop w:val="0"/>
      <w:marBottom w:val="0"/>
      <w:divBdr>
        <w:top w:val="none" w:sz="0" w:space="0" w:color="auto"/>
        <w:left w:val="none" w:sz="0" w:space="0" w:color="auto"/>
        <w:bottom w:val="none" w:sz="0" w:space="0" w:color="auto"/>
        <w:right w:val="none" w:sz="0" w:space="0" w:color="auto"/>
      </w:divBdr>
    </w:div>
    <w:div w:id="797338142">
      <w:bodyDiv w:val="1"/>
      <w:marLeft w:val="0"/>
      <w:marRight w:val="0"/>
      <w:marTop w:val="0"/>
      <w:marBottom w:val="0"/>
      <w:divBdr>
        <w:top w:val="none" w:sz="0" w:space="0" w:color="auto"/>
        <w:left w:val="none" w:sz="0" w:space="0" w:color="auto"/>
        <w:bottom w:val="none" w:sz="0" w:space="0" w:color="auto"/>
        <w:right w:val="none" w:sz="0" w:space="0" w:color="auto"/>
      </w:divBdr>
    </w:div>
    <w:div w:id="811286106">
      <w:bodyDiv w:val="1"/>
      <w:marLeft w:val="0"/>
      <w:marRight w:val="0"/>
      <w:marTop w:val="0"/>
      <w:marBottom w:val="0"/>
      <w:divBdr>
        <w:top w:val="none" w:sz="0" w:space="0" w:color="auto"/>
        <w:left w:val="none" w:sz="0" w:space="0" w:color="auto"/>
        <w:bottom w:val="none" w:sz="0" w:space="0" w:color="auto"/>
        <w:right w:val="none" w:sz="0" w:space="0" w:color="auto"/>
      </w:divBdr>
    </w:div>
    <w:div w:id="826749092">
      <w:bodyDiv w:val="1"/>
      <w:marLeft w:val="0"/>
      <w:marRight w:val="0"/>
      <w:marTop w:val="0"/>
      <w:marBottom w:val="0"/>
      <w:divBdr>
        <w:top w:val="none" w:sz="0" w:space="0" w:color="auto"/>
        <w:left w:val="none" w:sz="0" w:space="0" w:color="auto"/>
        <w:bottom w:val="none" w:sz="0" w:space="0" w:color="auto"/>
        <w:right w:val="none" w:sz="0" w:space="0" w:color="auto"/>
      </w:divBdr>
    </w:div>
    <w:div w:id="1042826188">
      <w:bodyDiv w:val="1"/>
      <w:marLeft w:val="0"/>
      <w:marRight w:val="0"/>
      <w:marTop w:val="0"/>
      <w:marBottom w:val="0"/>
      <w:divBdr>
        <w:top w:val="none" w:sz="0" w:space="0" w:color="auto"/>
        <w:left w:val="none" w:sz="0" w:space="0" w:color="auto"/>
        <w:bottom w:val="none" w:sz="0" w:space="0" w:color="auto"/>
        <w:right w:val="none" w:sz="0" w:space="0" w:color="auto"/>
      </w:divBdr>
    </w:div>
    <w:div w:id="1053771174">
      <w:bodyDiv w:val="1"/>
      <w:marLeft w:val="0"/>
      <w:marRight w:val="0"/>
      <w:marTop w:val="0"/>
      <w:marBottom w:val="0"/>
      <w:divBdr>
        <w:top w:val="none" w:sz="0" w:space="0" w:color="auto"/>
        <w:left w:val="none" w:sz="0" w:space="0" w:color="auto"/>
        <w:bottom w:val="none" w:sz="0" w:space="0" w:color="auto"/>
        <w:right w:val="none" w:sz="0" w:space="0" w:color="auto"/>
      </w:divBdr>
    </w:div>
    <w:div w:id="1244143101">
      <w:bodyDiv w:val="1"/>
      <w:marLeft w:val="0"/>
      <w:marRight w:val="0"/>
      <w:marTop w:val="0"/>
      <w:marBottom w:val="0"/>
      <w:divBdr>
        <w:top w:val="none" w:sz="0" w:space="0" w:color="auto"/>
        <w:left w:val="none" w:sz="0" w:space="0" w:color="auto"/>
        <w:bottom w:val="none" w:sz="0" w:space="0" w:color="auto"/>
        <w:right w:val="none" w:sz="0" w:space="0" w:color="auto"/>
      </w:divBdr>
    </w:div>
    <w:div w:id="1261840116">
      <w:bodyDiv w:val="1"/>
      <w:marLeft w:val="0"/>
      <w:marRight w:val="0"/>
      <w:marTop w:val="0"/>
      <w:marBottom w:val="0"/>
      <w:divBdr>
        <w:top w:val="none" w:sz="0" w:space="0" w:color="auto"/>
        <w:left w:val="none" w:sz="0" w:space="0" w:color="auto"/>
        <w:bottom w:val="none" w:sz="0" w:space="0" w:color="auto"/>
        <w:right w:val="none" w:sz="0" w:space="0" w:color="auto"/>
      </w:divBdr>
    </w:div>
    <w:div w:id="1459177632">
      <w:bodyDiv w:val="1"/>
      <w:marLeft w:val="0"/>
      <w:marRight w:val="0"/>
      <w:marTop w:val="0"/>
      <w:marBottom w:val="0"/>
      <w:divBdr>
        <w:top w:val="none" w:sz="0" w:space="0" w:color="auto"/>
        <w:left w:val="none" w:sz="0" w:space="0" w:color="auto"/>
        <w:bottom w:val="none" w:sz="0" w:space="0" w:color="auto"/>
        <w:right w:val="none" w:sz="0" w:space="0" w:color="auto"/>
      </w:divBdr>
    </w:div>
    <w:div w:id="1619137910">
      <w:bodyDiv w:val="1"/>
      <w:marLeft w:val="0"/>
      <w:marRight w:val="0"/>
      <w:marTop w:val="0"/>
      <w:marBottom w:val="0"/>
      <w:divBdr>
        <w:top w:val="none" w:sz="0" w:space="0" w:color="auto"/>
        <w:left w:val="none" w:sz="0" w:space="0" w:color="auto"/>
        <w:bottom w:val="none" w:sz="0" w:space="0" w:color="auto"/>
        <w:right w:val="none" w:sz="0" w:space="0" w:color="auto"/>
      </w:divBdr>
    </w:div>
    <w:div w:id="1722052944">
      <w:bodyDiv w:val="1"/>
      <w:marLeft w:val="0"/>
      <w:marRight w:val="0"/>
      <w:marTop w:val="0"/>
      <w:marBottom w:val="0"/>
      <w:divBdr>
        <w:top w:val="none" w:sz="0" w:space="0" w:color="auto"/>
        <w:left w:val="none" w:sz="0" w:space="0" w:color="auto"/>
        <w:bottom w:val="none" w:sz="0" w:space="0" w:color="auto"/>
        <w:right w:val="none" w:sz="0" w:space="0" w:color="auto"/>
      </w:divBdr>
    </w:div>
    <w:div w:id="1790466086">
      <w:bodyDiv w:val="1"/>
      <w:marLeft w:val="0"/>
      <w:marRight w:val="0"/>
      <w:marTop w:val="0"/>
      <w:marBottom w:val="0"/>
      <w:divBdr>
        <w:top w:val="none" w:sz="0" w:space="0" w:color="auto"/>
        <w:left w:val="none" w:sz="0" w:space="0" w:color="auto"/>
        <w:bottom w:val="none" w:sz="0" w:space="0" w:color="auto"/>
        <w:right w:val="none" w:sz="0" w:space="0" w:color="auto"/>
      </w:divBdr>
    </w:div>
    <w:div w:id="20509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hrq.gov/policymakers/hrqa99a.html"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opm.gov/policy-data-oversight/pay-leave/salaries-wages/salary-tables/pdf/2019/DCB.pdf"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info.gov/content/pkg/FR-2020-03-18/pdf/2020-05612.pdf" TargetMode="External"/><Relationship Id="rId3" Type="http://schemas.openxmlformats.org/officeDocument/2006/relationships/hyperlink" Target="https://www.congress.gov/bill/115th-congress/house-bill/6/text" TargetMode="External"/><Relationship Id="rId7" Type="http://schemas.openxmlformats.org/officeDocument/2006/relationships/hyperlink" Target="https://www.ncbi.nlm.nih.gov/books/NBK534106/" TargetMode="External"/><Relationship Id="rId2" Type="http://schemas.openxmlformats.org/officeDocument/2006/relationships/hyperlink" Target="https://www.hhs.gov/about/news/2017/10/26/hhs-acting-secretary-declares-public-health-emergency-address-national-opioid-crisis.html" TargetMode="External"/><Relationship Id="rId1" Type="http://schemas.openxmlformats.org/officeDocument/2006/relationships/hyperlink" Target="https://www.samhsa.gov/data/nsduh/reports-detailed-tables-2017-NSDUH" TargetMode="External"/><Relationship Id="rId6" Type="http://schemas.openxmlformats.org/officeDocument/2006/relationships/hyperlink" Target="https://www.ncbi.nlm.nih.gov/pubmed/30693946" TargetMode="External"/><Relationship Id="rId5" Type="http://schemas.openxmlformats.org/officeDocument/2006/relationships/hyperlink" Target="https://www.samhsa.gov/data/sites/default/files/report_3186/Spotlight-3186.html" TargetMode="External"/><Relationship Id="rId4" Type="http://schemas.openxmlformats.org/officeDocument/2006/relationships/hyperlink" Target="https://www.ahrq.gov/opioids/index.html" TargetMode="External"/><Relationship Id="rId9" Type="http://schemas.openxmlformats.org/officeDocument/2006/relationships/hyperlink" Target="https://integrationacademy.ahrq.gov/products/opioid-substance-use-resources/environmental-scan/mat-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3D12A-EBAF-4957-8094-E2FBF470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25</Pages>
  <Words>8301</Words>
  <Characters>49033</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OMB Clearance Application</vt:lpstr>
    </vt:vector>
  </TitlesOfParts>
  <Company>N.O.R.C.</Company>
  <LinksUpToDate>false</LinksUpToDate>
  <CharactersWithSpaces>57220</CharactersWithSpaces>
  <SharedDoc>false</SharedDoc>
  <HLinks>
    <vt:vector size="6" baseType="variant">
      <vt:variant>
        <vt:i4>3014750</vt:i4>
      </vt:variant>
      <vt:variant>
        <vt:i4>3</vt:i4>
      </vt:variant>
      <vt:variant>
        <vt:i4>0</vt:i4>
      </vt:variant>
      <vt:variant>
        <vt:i4>5</vt:i4>
      </vt:variant>
      <vt:variant>
        <vt:lpwstr>http://www.bls.gov/oes/current/oes_nat.htm</vt:lpwstr>
      </vt:variant>
      <vt:variant>
        <vt:lpwstr>b29-0000.htm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Application</dc:title>
  <dc:subject/>
  <dc:creator>hamlin-ben</dc:creator>
  <cp:keywords/>
  <dc:description/>
  <cp:lastModifiedBy>Brown, Erwin (AHRQ/CFACT)</cp:lastModifiedBy>
  <cp:revision>4</cp:revision>
  <cp:lastPrinted>2019-02-01T13:22:00Z</cp:lastPrinted>
  <dcterms:created xsi:type="dcterms:W3CDTF">2020-08-31T15:54:00Z</dcterms:created>
  <dcterms:modified xsi:type="dcterms:W3CDTF">2020-08-31T19:35:00Z</dcterms:modified>
</cp:coreProperties>
</file>