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F0" w:rsidP="009B633D" w:rsidRDefault="002520F0" w14:paraId="28A225B4" w14:textId="77777777">
      <w:pPr>
        <w:jc w:val="center"/>
        <w:rPr>
          <w:sz w:val="28"/>
          <w:szCs w:val="28"/>
        </w:rPr>
      </w:pPr>
    </w:p>
    <w:p w:rsidR="002520F0" w:rsidP="009B633D" w:rsidRDefault="002520F0" w14:paraId="6F8D219C" w14:textId="77777777">
      <w:pPr>
        <w:jc w:val="center"/>
        <w:rPr>
          <w:sz w:val="28"/>
          <w:szCs w:val="28"/>
        </w:rPr>
      </w:pPr>
    </w:p>
    <w:p w:rsidR="009B633D" w:rsidP="009B633D" w:rsidRDefault="009B633D" w14:paraId="144F58DB" w14:textId="77777777">
      <w:pPr>
        <w:jc w:val="center"/>
        <w:rPr>
          <w:sz w:val="28"/>
          <w:szCs w:val="28"/>
        </w:rPr>
      </w:pPr>
    </w:p>
    <w:p w:rsidRPr="00E70711" w:rsidR="009B633D" w:rsidP="009B633D" w:rsidRDefault="00456179" w14:paraId="431094B6" w14:textId="77777777">
      <w:pPr>
        <w:jc w:val="center"/>
        <w:rPr>
          <w:b/>
          <w:sz w:val="32"/>
          <w:szCs w:val="32"/>
        </w:rPr>
      </w:pPr>
      <w:r w:rsidRPr="00E70711">
        <w:rPr>
          <w:b/>
          <w:sz w:val="32"/>
          <w:szCs w:val="32"/>
        </w:rPr>
        <w:t>SUPPORTING STATEMENT</w:t>
      </w:r>
    </w:p>
    <w:p w:rsidRPr="00E70711" w:rsidR="00635119" w:rsidP="009B633D" w:rsidRDefault="00635119" w14:paraId="6E25EB12" w14:textId="77777777">
      <w:pPr>
        <w:jc w:val="center"/>
        <w:rPr>
          <w:b/>
          <w:sz w:val="32"/>
          <w:szCs w:val="32"/>
        </w:rPr>
      </w:pPr>
    </w:p>
    <w:p w:rsidRPr="00E70711" w:rsidR="009B633D" w:rsidP="009B633D" w:rsidRDefault="00456179" w14:paraId="3FB81364" w14:textId="43DFF512">
      <w:pPr>
        <w:jc w:val="center"/>
        <w:rPr>
          <w:sz w:val="32"/>
          <w:szCs w:val="32"/>
        </w:rPr>
      </w:pPr>
      <w:r w:rsidRPr="00E70711">
        <w:rPr>
          <w:b/>
          <w:sz w:val="32"/>
          <w:szCs w:val="32"/>
        </w:rPr>
        <w:t>Part A</w:t>
      </w:r>
    </w:p>
    <w:p w:rsidRPr="00E70711" w:rsidR="009B633D" w:rsidP="009B633D" w:rsidRDefault="009B633D" w14:paraId="13CCB4EE" w14:textId="77777777">
      <w:pPr>
        <w:jc w:val="center"/>
        <w:rPr>
          <w:sz w:val="32"/>
          <w:szCs w:val="32"/>
        </w:rPr>
      </w:pPr>
    </w:p>
    <w:p w:rsidRPr="00E70711" w:rsidR="009B633D" w:rsidP="009B633D" w:rsidRDefault="009B633D" w14:paraId="2F45BA85" w14:textId="77777777">
      <w:pPr>
        <w:jc w:val="center"/>
        <w:rPr>
          <w:sz w:val="32"/>
          <w:szCs w:val="32"/>
        </w:rPr>
      </w:pPr>
    </w:p>
    <w:p w:rsidRPr="00E70711" w:rsidR="009B633D" w:rsidP="009B633D" w:rsidRDefault="009B633D" w14:paraId="211152AA" w14:textId="77777777">
      <w:pPr>
        <w:jc w:val="center"/>
        <w:rPr>
          <w:sz w:val="32"/>
          <w:szCs w:val="32"/>
        </w:rPr>
      </w:pPr>
    </w:p>
    <w:p w:rsidRPr="00E70711" w:rsidR="009B633D" w:rsidP="009B633D" w:rsidRDefault="009B633D" w14:paraId="309D0F23" w14:textId="77777777">
      <w:pPr>
        <w:jc w:val="center"/>
        <w:rPr>
          <w:sz w:val="32"/>
          <w:szCs w:val="32"/>
        </w:rPr>
      </w:pPr>
    </w:p>
    <w:p w:rsidRPr="00E70711" w:rsidR="009B633D" w:rsidP="009B633D" w:rsidRDefault="009B633D" w14:paraId="145A8137" w14:textId="77777777">
      <w:pPr>
        <w:jc w:val="center"/>
        <w:rPr>
          <w:sz w:val="32"/>
          <w:szCs w:val="32"/>
        </w:rPr>
      </w:pPr>
    </w:p>
    <w:p w:rsidRPr="00E70711" w:rsidR="009B633D" w:rsidP="009B633D" w:rsidRDefault="009B633D" w14:paraId="6F1BEA1A" w14:textId="77777777">
      <w:pPr>
        <w:jc w:val="center"/>
        <w:rPr>
          <w:sz w:val="32"/>
          <w:szCs w:val="32"/>
        </w:rPr>
      </w:pPr>
    </w:p>
    <w:p w:rsidRPr="00E70711" w:rsidR="00507969" w:rsidP="00507969" w:rsidRDefault="00507969" w14:paraId="51098ACD" w14:textId="79A26D76">
      <w:pPr>
        <w:pStyle w:val="NORCCoverTitle"/>
        <w:spacing w:before="240" w:after="120" w:line="240" w:lineRule="auto"/>
        <w:jc w:val="center"/>
        <w:rPr>
          <w:rFonts w:ascii="Times New Roman" w:hAnsi="Times New Roman"/>
          <w:b/>
          <w:sz w:val="32"/>
          <w:szCs w:val="32"/>
        </w:rPr>
      </w:pPr>
      <w:r w:rsidRPr="00E70711">
        <w:rPr>
          <w:rFonts w:ascii="Times New Roman" w:hAnsi="Times New Roman"/>
          <w:b/>
          <w:sz w:val="32"/>
          <w:szCs w:val="32"/>
        </w:rPr>
        <w:t xml:space="preserve">The AHRQ Safety Program for Methicillin-Resistant </w:t>
      </w:r>
      <w:r w:rsidRPr="00E70711">
        <w:rPr>
          <w:rFonts w:ascii="Times New Roman" w:hAnsi="Times New Roman"/>
          <w:b/>
          <w:i/>
          <w:iCs/>
          <w:sz w:val="32"/>
          <w:szCs w:val="32"/>
        </w:rPr>
        <w:t xml:space="preserve">Staphylococcus </w:t>
      </w:r>
      <w:r w:rsidRPr="00E70711" w:rsidR="00AB6736">
        <w:rPr>
          <w:rFonts w:ascii="Times New Roman" w:hAnsi="Times New Roman"/>
          <w:b/>
          <w:i/>
          <w:iCs/>
          <w:sz w:val="32"/>
          <w:szCs w:val="32"/>
        </w:rPr>
        <w:t>a</w:t>
      </w:r>
      <w:r w:rsidRPr="00E70711">
        <w:rPr>
          <w:rFonts w:ascii="Times New Roman" w:hAnsi="Times New Roman"/>
          <w:b/>
          <w:i/>
          <w:iCs/>
          <w:sz w:val="32"/>
          <w:szCs w:val="32"/>
        </w:rPr>
        <w:t>ureus</w:t>
      </w:r>
      <w:r w:rsidRPr="00E70711">
        <w:rPr>
          <w:rFonts w:ascii="Times New Roman" w:hAnsi="Times New Roman"/>
          <w:b/>
          <w:sz w:val="32"/>
          <w:szCs w:val="32"/>
        </w:rPr>
        <w:t xml:space="preserve"> (MRSA) Prevention</w:t>
      </w:r>
    </w:p>
    <w:p w:rsidRPr="00E70711" w:rsidR="009B633D" w:rsidP="009B633D" w:rsidRDefault="009B633D" w14:paraId="5FDFA977" w14:textId="77777777">
      <w:pPr>
        <w:jc w:val="center"/>
        <w:rPr>
          <w:sz w:val="28"/>
          <w:szCs w:val="28"/>
        </w:rPr>
      </w:pPr>
    </w:p>
    <w:p w:rsidRPr="00E70711" w:rsidR="009B633D" w:rsidP="009B633D" w:rsidRDefault="009B633D" w14:paraId="22752694" w14:textId="77777777">
      <w:pPr>
        <w:jc w:val="center"/>
        <w:rPr>
          <w:sz w:val="28"/>
          <w:szCs w:val="28"/>
        </w:rPr>
      </w:pPr>
    </w:p>
    <w:p w:rsidRPr="00E70711" w:rsidR="009B633D" w:rsidP="009B633D" w:rsidRDefault="009B633D" w14:paraId="0355C845" w14:textId="77777777">
      <w:pPr>
        <w:jc w:val="center"/>
        <w:rPr>
          <w:sz w:val="28"/>
          <w:szCs w:val="28"/>
        </w:rPr>
      </w:pPr>
    </w:p>
    <w:p w:rsidRPr="00E70711" w:rsidR="009B633D" w:rsidP="009B633D" w:rsidRDefault="009B633D" w14:paraId="0CF0C401" w14:textId="77777777">
      <w:pPr>
        <w:jc w:val="center"/>
        <w:rPr>
          <w:sz w:val="28"/>
          <w:szCs w:val="28"/>
        </w:rPr>
      </w:pPr>
    </w:p>
    <w:p w:rsidRPr="00E70711" w:rsidR="009B633D" w:rsidP="009B633D" w:rsidRDefault="00321A46" w14:paraId="0B9C120A" w14:textId="07A1B8CF">
      <w:pPr>
        <w:jc w:val="center"/>
        <w:rPr>
          <w:sz w:val="28"/>
          <w:szCs w:val="28"/>
        </w:rPr>
      </w:pPr>
      <w:r>
        <w:rPr>
          <w:sz w:val="28"/>
          <w:szCs w:val="28"/>
        </w:rPr>
        <w:t xml:space="preserve">June </w:t>
      </w:r>
      <w:r w:rsidR="00DD7169">
        <w:rPr>
          <w:sz w:val="28"/>
          <w:szCs w:val="28"/>
        </w:rPr>
        <w:t>1</w:t>
      </w:r>
      <w:r>
        <w:rPr>
          <w:sz w:val="28"/>
          <w:szCs w:val="28"/>
        </w:rPr>
        <w:t>7</w:t>
      </w:r>
      <w:r w:rsidR="008A4C17">
        <w:rPr>
          <w:sz w:val="28"/>
          <w:szCs w:val="28"/>
        </w:rPr>
        <w:t>, 2021</w:t>
      </w:r>
    </w:p>
    <w:p w:rsidRPr="00E70711" w:rsidR="009B633D" w:rsidP="009B633D" w:rsidRDefault="009B633D" w14:paraId="7D6CBB88" w14:textId="77777777">
      <w:pPr>
        <w:jc w:val="center"/>
        <w:rPr>
          <w:i/>
          <w:sz w:val="28"/>
          <w:szCs w:val="28"/>
        </w:rPr>
      </w:pPr>
    </w:p>
    <w:p w:rsidRPr="00E70711" w:rsidR="009B633D" w:rsidP="009B633D" w:rsidRDefault="009B633D" w14:paraId="4F634F8F" w14:textId="77777777">
      <w:pPr>
        <w:jc w:val="center"/>
        <w:rPr>
          <w:sz w:val="28"/>
          <w:szCs w:val="28"/>
        </w:rPr>
      </w:pPr>
    </w:p>
    <w:p w:rsidRPr="00E70711" w:rsidR="009B633D" w:rsidP="009B633D" w:rsidRDefault="009B633D" w14:paraId="2FF0043B" w14:textId="77777777">
      <w:pPr>
        <w:jc w:val="center"/>
        <w:rPr>
          <w:sz w:val="28"/>
          <w:szCs w:val="28"/>
        </w:rPr>
      </w:pPr>
    </w:p>
    <w:p w:rsidRPr="00E70711" w:rsidR="009B633D" w:rsidP="009B633D" w:rsidRDefault="009B633D" w14:paraId="25DF18C3" w14:textId="77777777">
      <w:pPr>
        <w:jc w:val="center"/>
        <w:rPr>
          <w:sz w:val="28"/>
          <w:szCs w:val="28"/>
        </w:rPr>
      </w:pPr>
    </w:p>
    <w:p w:rsidRPr="00E70711" w:rsidR="009B633D" w:rsidP="009B633D" w:rsidRDefault="009B633D" w14:paraId="7AC5B5B2" w14:textId="77777777">
      <w:pPr>
        <w:jc w:val="center"/>
        <w:rPr>
          <w:sz w:val="28"/>
          <w:szCs w:val="28"/>
        </w:rPr>
      </w:pPr>
    </w:p>
    <w:p w:rsidRPr="00E70711" w:rsidR="009B633D" w:rsidP="009B633D" w:rsidRDefault="009B633D" w14:paraId="0DD86B19" w14:textId="77777777">
      <w:pPr>
        <w:jc w:val="center"/>
        <w:rPr>
          <w:sz w:val="28"/>
          <w:szCs w:val="28"/>
        </w:rPr>
      </w:pPr>
    </w:p>
    <w:p w:rsidRPr="00E70711" w:rsidR="009B633D" w:rsidP="009B633D" w:rsidRDefault="009B633D" w14:paraId="42915441" w14:textId="73153A8F">
      <w:pPr>
        <w:jc w:val="center"/>
        <w:rPr>
          <w:sz w:val="28"/>
          <w:szCs w:val="28"/>
        </w:rPr>
      </w:pPr>
      <w:r w:rsidRPr="00E70711">
        <w:rPr>
          <w:sz w:val="28"/>
          <w:szCs w:val="28"/>
        </w:rPr>
        <w:t xml:space="preserve">Agency </w:t>
      </w:r>
      <w:r w:rsidRPr="00E70711" w:rsidR="009614BB">
        <w:rPr>
          <w:sz w:val="28"/>
          <w:szCs w:val="28"/>
        </w:rPr>
        <w:t>for</w:t>
      </w:r>
      <w:r w:rsidRPr="00E70711">
        <w:rPr>
          <w:sz w:val="28"/>
          <w:szCs w:val="28"/>
        </w:rPr>
        <w:t xml:space="preserve"> Healthcare Research and Quality (AHRQ)</w:t>
      </w:r>
    </w:p>
    <w:p w:rsidRPr="00E70711" w:rsidR="009B633D" w:rsidRDefault="009B633D" w14:paraId="5C5A27F7" w14:textId="77777777">
      <w:pPr>
        <w:rPr>
          <w:sz w:val="28"/>
          <w:szCs w:val="28"/>
        </w:rPr>
      </w:pPr>
    </w:p>
    <w:p w:rsidRPr="00E70711" w:rsidR="009B633D" w:rsidRDefault="009B633D" w14:paraId="09BC0D38" w14:textId="77777777">
      <w:pPr>
        <w:rPr>
          <w:sz w:val="28"/>
          <w:szCs w:val="28"/>
        </w:rPr>
      </w:pPr>
    </w:p>
    <w:p w:rsidRPr="00E70711" w:rsidR="00EB58F3" w:rsidP="00233775" w:rsidRDefault="00DB1BBA" w14:paraId="0E53D2B2" w14:textId="77777777">
      <w:pPr>
        <w:pStyle w:val="GridTable31"/>
        <w:rPr>
          <w:b w:val="0"/>
        </w:rPr>
      </w:pPr>
      <w:r w:rsidRPr="00E70711">
        <w:rPr>
          <w:b w:val="0"/>
        </w:rPr>
        <w:br w:type="page"/>
      </w:r>
      <w:r w:rsidRPr="00E70711" w:rsidR="00233775">
        <w:rPr>
          <w:b w:val="0"/>
          <w:color w:val="5B9BD5"/>
        </w:rPr>
        <w:lastRenderedPageBreak/>
        <w:t>Table of Contents</w:t>
      </w:r>
    </w:p>
    <w:p w:rsidR="009420AE" w:rsidRDefault="009B633D" w14:paraId="00AEA7D0" w14:textId="56FBB3AF">
      <w:pPr>
        <w:pStyle w:val="TOC1"/>
        <w:tabs>
          <w:tab w:val="right" w:leader="dot" w:pos="8630"/>
        </w:tabs>
        <w:rPr>
          <w:rFonts w:asciiTheme="minorHAnsi" w:hAnsiTheme="minorHAnsi" w:eastAsiaTheme="minorEastAsia" w:cstheme="minorBidi"/>
          <w:noProof/>
          <w:sz w:val="22"/>
          <w:szCs w:val="22"/>
        </w:rPr>
      </w:pPr>
      <w:r w:rsidRPr="00E70711">
        <w:rPr>
          <w:b/>
        </w:rPr>
        <w:fldChar w:fldCharType="begin"/>
      </w:r>
      <w:r w:rsidRPr="00E70711">
        <w:rPr>
          <w:b/>
        </w:rPr>
        <w:instrText xml:space="preserve"> TOC \o "1-3" \h \z \u </w:instrText>
      </w:r>
      <w:r w:rsidRPr="00E70711">
        <w:rPr>
          <w:b/>
        </w:rPr>
        <w:fldChar w:fldCharType="separate"/>
      </w:r>
      <w:hyperlink w:history="1" w:anchor="_Toc73965296">
        <w:r w:rsidRPr="0063012B" w:rsidR="009420AE">
          <w:rPr>
            <w:rStyle w:val="Hyperlink"/>
            <w:noProof/>
          </w:rPr>
          <w:t>A. Justification</w:t>
        </w:r>
        <w:r w:rsidR="009420AE">
          <w:rPr>
            <w:noProof/>
            <w:webHidden/>
          </w:rPr>
          <w:tab/>
        </w:r>
        <w:r w:rsidR="009420AE">
          <w:rPr>
            <w:noProof/>
            <w:webHidden/>
          </w:rPr>
          <w:fldChar w:fldCharType="begin"/>
        </w:r>
        <w:r w:rsidR="009420AE">
          <w:rPr>
            <w:noProof/>
            <w:webHidden/>
          </w:rPr>
          <w:instrText xml:space="preserve"> PAGEREF _Toc73965296 \h </w:instrText>
        </w:r>
        <w:r w:rsidR="009420AE">
          <w:rPr>
            <w:noProof/>
            <w:webHidden/>
          </w:rPr>
        </w:r>
        <w:r w:rsidR="009420AE">
          <w:rPr>
            <w:noProof/>
            <w:webHidden/>
          </w:rPr>
          <w:fldChar w:fldCharType="separate"/>
        </w:r>
        <w:r w:rsidR="009420AE">
          <w:rPr>
            <w:noProof/>
            <w:webHidden/>
          </w:rPr>
          <w:t>3</w:t>
        </w:r>
        <w:r w:rsidR="009420AE">
          <w:rPr>
            <w:noProof/>
            <w:webHidden/>
          </w:rPr>
          <w:fldChar w:fldCharType="end"/>
        </w:r>
      </w:hyperlink>
    </w:p>
    <w:p w:rsidR="009420AE" w:rsidRDefault="00F92AAC" w14:paraId="47688C23" w14:textId="1129250E">
      <w:pPr>
        <w:pStyle w:val="TOC2"/>
        <w:tabs>
          <w:tab w:val="right" w:leader="dot" w:pos="8630"/>
        </w:tabs>
        <w:rPr>
          <w:rFonts w:asciiTheme="minorHAnsi" w:hAnsiTheme="minorHAnsi" w:eastAsiaTheme="minorEastAsia" w:cstheme="minorBidi"/>
          <w:noProof/>
          <w:sz w:val="22"/>
          <w:szCs w:val="22"/>
        </w:rPr>
      </w:pPr>
      <w:hyperlink w:history="1" w:anchor="_Toc73965297">
        <w:r w:rsidRPr="0063012B" w:rsidR="009420AE">
          <w:rPr>
            <w:rStyle w:val="Hyperlink"/>
            <w:noProof/>
          </w:rPr>
          <w:t>1. Circumstances that make the collection of information necessary</w:t>
        </w:r>
        <w:r w:rsidR="009420AE">
          <w:rPr>
            <w:noProof/>
            <w:webHidden/>
          </w:rPr>
          <w:tab/>
        </w:r>
        <w:r w:rsidR="009420AE">
          <w:rPr>
            <w:noProof/>
            <w:webHidden/>
          </w:rPr>
          <w:fldChar w:fldCharType="begin"/>
        </w:r>
        <w:r w:rsidR="009420AE">
          <w:rPr>
            <w:noProof/>
            <w:webHidden/>
          </w:rPr>
          <w:instrText xml:space="preserve"> PAGEREF _Toc73965297 \h </w:instrText>
        </w:r>
        <w:r w:rsidR="009420AE">
          <w:rPr>
            <w:noProof/>
            <w:webHidden/>
          </w:rPr>
        </w:r>
        <w:r w:rsidR="009420AE">
          <w:rPr>
            <w:noProof/>
            <w:webHidden/>
          </w:rPr>
          <w:fldChar w:fldCharType="separate"/>
        </w:r>
        <w:r w:rsidR="009420AE">
          <w:rPr>
            <w:noProof/>
            <w:webHidden/>
          </w:rPr>
          <w:t>3</w:t>
        </w:r>
        <w:r w:rsidR="009420AE">
          <w:rPr>
            <w:noProof/>
            <w:webHidden/>
          </w:rPr>
          <w:fldChar w:fldCharType="end"/>
        </w:r>
      </w:hyperlink>
    </w:p>
    <w:p w:rsidR="009420AE" w:rsidRDefault="00F92AAC" w14:paraId="10D4EFB0" w14:textId="727F53D0">
      <w:pPr>
        <w:pStyle w:val="TOC2"/>
        <w:tabs>
          <w:tab w:val="right" w:leader="dot" w:pos="8630"/>
        </w:tabs>
        <w:rPr>
          <w:rFonts w:asciiTheme="minorHAnsi" w:hAnsiTheme="minorHAnsi" w:eastAsiaTheme="minorEastAsia" w:cstheme="minorBidi"/>
          <w:noProof/>
          <w:sz w:val="22"/>
          <w:szCs w:val="22"/>
        </w:rPr>
      </w:pPr>
      <w:hyperlink w:history="1" w:anchor="_Toc73965298">
        <w:r w:rsidRPr="0063012B" w:rsidR="009420AE">
          <w:rPr>
            <w:rStyle w:val="Hyperlink"/>
            <w:noProof/>
          </w:rPr>
          <w:t>2. Purpose and Use of Information</w:t>
        </w:r>
        <w:r w:rsidR="009420AE">
          <w:rPr>
            <w:noProof/>
            <w:webHidden/>
          </w:rPr>
          <w:tab/>
        </w:r>
        <w:r w:rsidR="009420AE">
          <w:rPr>
            <w:noProof/>
            <w:webHidden/>
          </w:rPr>
          <w:fldChar w:fldCharType="begin"/>
        </w:r>
        <w:r w:rsidR="009420AE">
          <w:rPr>
            <w:noProof/>
            <w:webHidden/>
          </w:rPr>
          <w:instrText xml:space="preserve"> PAGEREF _Toc73965298 \h </w:instrText>
        </w:r>
        <w:r w:rsidR="009420AE">
          <w:rPr>
            <w:noProof/>
            <w:webHidden/>
          </w:rPr>
        </w:r>
        <w:r w:rsidR="009420AE">
          <w:rPr>
            <w:noProof/>
            <w:webHidden/>
          </w:rPr>
          <w:fldChar w:fldCharType="separate"/>
        </w:r>
        <w:r w:rsidR="009420AE">
          <w:rPr>
            <w:noProof/>
            <w:webHidden/>
          </w:rPr>
          <w:t>5</w:t>
        </w:r>
        <w:r w:rsidR="009420AE">
          <w:rPr>
            <w:noProof/>
            <w:webHidden/>
          </w:rPr>
          <w:fldChar w:fldCharType="end"/>
        </w:r>
      </w:hyperlink>
    </w:p>
    <w:p w:rsidR="009420AE" w:rsidRDefault="00F92AAC" w14:paraId="53FBF121" w14:textId="19BF4894">
      <w:pPr>
        <w:pStyle w:val="TOC2"/>
        <w:tabs>
          <w:tab w:val="right" w:leader="dot" w:pos="8630"/>
        </w:tabs>
        <w:rPr>
          <w:rFonts w:asciiTheme="minorHAnsi" w:hAnsiTheme="minorHAnsi" w:eastAsiaTheme="minorEastAsia" w:cstheme="minorBidi"/>
          <w:noProof/>
          <w:sz w:val="22"/>
          <w:szCs w:val="22"/>
        </w:rPr>
      </w:pPr>
      <w:hyperlink w:history="1" w:anchor="_Toc73965299">
        <w:r w:rsidRPr="0063012B" w:rsidR="009420AE">
          <w:rPr>
            <w:rStyle w:val="Hyperlink"/>
            <w:noProof/>
          </w:rPr>
          <w:t>3. Use of Improved Information Technology</w:t>
        </w:r>
        <w:r w:rsidR="009420AE">
          <w:rPr>
            <w:noProof/>
            <w:webHidden/>
          </w:rPr>
          <w:tab/>
        </w:r>
        <w:r w:rsidR="009420AE">
          <w:rPr>
            <w:noProof/>
            <w:webHidden/>
          </w:rPr>
          <w:fldChar w:fldCharType="begin"/>
        </w:r>
        <w:r w:rsidR="009420AE">
          <w:rPr>
            <w:noProof/>
            <w:webHidden/>
          </w:rPr>
          <w:instrText xml:space="preserve"> PAGEREF _Toc73965299 \h </w:instrText>
        </w:r>
        <w:r w:rsidR="009420AE">
          <w:rPr>
            <w:noProof/>
            <w:webHidden/>
          </w:rPr>
        </w:r>
        <w:r w:rsidR="009420AE">
          <w:rPr>
            <w:noProof/>
            <w:webHidden/>
          </w:rPr>
          <w:fldChar w:fldCharType="separate"/>
        </w:r>
        <w:r w:rsidR="009420AE">
          <w:rPr>
            <w:noProof/>
            <w:webHidden/>
          </w:rPr>
          <w:t>7</w:t>
        </w:r>
        <w:r w:rsidR="009420AE">
          <w:rPr>
            <w:noProof/>
            <w:webHidden/>
          </w:rPr>
          <w:fldChar w:fldCharType="end"/>
        </w:r>
      </w:hyperlink>
    </w:p>
    <w:p w:rsidR="009420AE" w:rsidRDefault="00F92AAC" w14:paraId="035E4FB1" w14:textId="5A500C89">
      <w:pPr>
        <w:pStyle w:val="TOC2"/>
        <w:tabs>
          <w:tab w:val="right" w:leader="dot" w:pos="8630"/>
        </w:tabs>
        <w:rPr>
          <w:rFonts w:asciiTheme="minorHAnsi" w:hAnsiTheme="minorHAnsi" w:eastAsiaTheme="minorEastAsia" w:cstheme="minorBidi"/>
          <w:noProof/>
          <w:sz w:val="22"/>
          <w:szCs w:val="22"/>
        </w:rPr>
      </w:pPr>
      <w:hyperlink w:history="1" w:anchor="_Toc73965300">
        <w:r w:rsidRPr="0063012B" w:rsidR="009420AE">
          <w:rPr>
            <w:rStyle w:val="Hyperlink"/>
            <w:noProof/>
          </w:rPr>
          <w:t>5. Involvement of Small Entities</w:t>
        </w:r>
        <w:r w:rsidR="009420AE">
          <w:rPr>
            <w:noProof/>
            <w:webHidden/>
          </w:rPr>
          <w:tab/>
        </w:r>
        <w:r w:rsidR="009420AE">
          <w:rPr>
            <w:noProof/>
            <w:webHidden/>
          </w:rPr>
          <w:fldChar w:fldCharType="begin"/>
        </w:r>
        <w:r w:rsidR="009420AE">
          <w:rPr>
            <w:noProof/>
            <w:webHidden/>
          </w:rPr>
          <w:instrText xml:space="preserve"> PAGEREF _Toc73965300 \h </w:instrText>
        </w:r>
        <w:r w:rsidR="009420AE">
          <w:rPr>
            <w:noProof/>
            <w:webHidden/>
          </w:rPr>
        </w:r>
        <w:r w:rsidR="009420AE">
          <w:rPr>
            <w:noProof/>
            <w:webHidden/>
          </w:rPr>
          <w:fldChar w:fldCharType="separate"/>
        </w:r>
        <w:r w:rsidR="009420AE">
          <w:rPr>
            <w:noProof/>
            <w:webHidden/>
          </w:rPr>
          <w:t>9</w:t>
        </w:r>
        <w:r w:rsidR="009420AE">
          <w:rPr>
            <w:noProof/>
            <w:webHidden/>
          </w:rPr>
          <w:fldChar w:fldCharType="end"/>
        </w:r>
      </w:hyperlink>
    </w:p>
    <w:p w:rsidR="009420AE" w:rsidRDefault="00F92AAC" w14:paraId="5423DE77" w14:textId="4BFDDB81">
      <w:pPr>
        <w:pStyle w:val="TOC2"/>
        <w:tabs>
          <w:tab w:val="right" w:leader="dot" w:pos="8630"/>
        </w:tabs>
        <w:rPr>
          <w:rFonts w:asciiTheme="minorHAnsi" w:hAnsiTheme="minorHAnsi" w:eastAsiaTheme="minorEastAsia" w:cstheme="minorBidi"/>
          <w:noProof/>
          <w:sz w:val="22"/>
          <w:szCs w:val="22"/>
        </w:rPr>
      </w:pPr>
      <w:hyperlink w:history="1" w:anchor="_Toc73965301">
        <w:r w:rsidRPr="0063012B" w:rsidR="009420AE">
          <w:rPr>
            <w:rStyle w:val="Hyperlink"/>
            <w:noProof/>
          </w:rPr>
          <w:t>6. Consequences if Information Collected Less Frequently</w:t>
        </w:r>
        <w:r w:rsidR="009420AE">
          <w:rPr>
            <w:noProof/>
            <w:webHidden/>
          </w:rPr>
          <w:tab/>
        </w:r>
        <w:r w:rsidR="009420AE">
          <w:rPr>
            <w:noProof/>
            <w:webHidden/>
          </w:rPr>
          <w:fldChar w:fldCharType="begin"/>
        </w:r>
        <w:r w:rsidR="009420AE">
          <w:rPr>
            <w:noProof/>
            <w:webHidden/>
          </w:rPr>
          <w:instrText xml:space="preserve"> PAGEREF _Toc73965301 \h </w:instrText>
        </w:r>
        <w:r w:rsidR="009420AE">
          <w:rPr>
            <w:noProof/>
            <w:webHidden/>
          </w:rPr>
        </w:r>
        <w:r w:rsidR="009420AE">
          <w:rPr>
            <w:noProof/>
            <w:webHidden/>
          </w:rPr>
          <w:fldChar w:fldCharType="separate"/>
        </w:r>
        <w:r w:rsidR="009420AE">
          <w:rPr>
            <w:noProof/>
            <w:webHidden/>
          </w:rPr>
          <w:t>9</w:t>
        </w:r>
        <w:r w:rsidR="009420AE">
          <w:rPr>
            <w:noProof/>
            <w:webHidden/>
          </w:rPr>
          <w:fldChar w:fldCharType="end"/>
        </w:r>
      </w:hyperlink>
    </w:p>
    <w:p w:rsidR="009420AE" w:rsidRDefault="00F92AAC" w14:paraId="7F1A58AA" w14:textId="64DAC7BE">
      <w:pPr>
        <w:pStyle w:val="TOC2"/>
        <w:tabs>
          <w:tab w:val="right" w:leader="dot" w:pos="8630"/>
        </w:tabs>
        <w:rPr>
          <w:rFonts w:asciiTheme="minorHAnsi" w:hAnsiTheme="minorHAnsi" w:eastAsiaTheme="minorEastAsia" w:cstheme="minorBidi"/>
          <w:noProof/>
          <w:sz w:val="22"/>
          <w:szCs w:val="22"/>
        </w:rPr>
      </w:pPr>
      <w:hyperlink w:history="1" w:anchor="_Toc73965302">
        <w:r w:rsidRPr="0063012B" w:rsidR="009420AE">
          <w:rPr>
            <w:rStyle w:val="Hyperlink"/>
            <w:noProof/>
          </w:rPr>
          <w:t>7. Special Circumstances</w:t>
        </w:r>
        <w:r w:rsidR="009420AE">
          <w:rPr>
            <w:noProof/>
            <w:webHidden/>
          </w:rPr>
          <w:tab/>
        </w:r>
        <w:r w:rsidR="009420AE">
          <w:rPr>
            <w:noProof/>
            <w:webHidden/>
          </w:rPr>
          <w:fldChar w:fldCharType="begin"/>
        </w:r>
        <w:r w:rsidR="009420AE">
          <w:rPr>
            <w:noProof/>
            <w:webHidden/>
          </w:rPr>
          <w:instrText xml:space="preserve"> PAGEREF _Toc73965302 \h </w:instrText>
        </w:r>
        <w:r w:rsidR="009420AE">
          <w:rPr>
            <w:noProof/>
            <w:webHidden/>
          </w:rPr>
        </w:r>
        <w:r w:rsidR="009420AE">
          <w:rPr>
            <w:noProof/>
            <w:webHidden/>
          </w:rPr>
          <w:fldChar w:fldCharType="separate"/>
        </w:r>
        <w:r w:rsidR="009420AE">
          <w:rPr>
            <w:noProof/>
            <w:webHidden/>
          </w:rPr>
          <w:t>10</w:t>
        </w:r>
        <w:r w:rsidR="009420AE">
          <w:rPr>
            <w:noProof/>
            <w:webHidden/>
          </w:rPr>
          <w:fldChar w:fldCharType="end"/>
        </w:r>
      </w:hyperlink>
    </w:p>
    <w:p w:rsidR="009420AE" w:rsidRDefault="00F92AAC" w14:paraId="30C85F01" w14:textId="382DA2BC">
      <w:pPr>
        <w:pStyle w:val="TOC2"/>
        <w:tabs>
          <w:tab w:val="right" w:leader="dot" w:pos="8630"/>
        </w:tabs>
        <w:rPr>
          <w:rFonts w:asciiTheme="minorHAnsi" w:hAnsiTheme="minorHAnsi" w:eastAsiaTheme="minorEastAsia" w:cstheme="minorBidi"/>
          <w:noProof/>
          <w:sz w:val="22"/>
          <w:szCs w:val="22"/>
        </w:rPr>
      </w:pPr>
      <w:hyperlink w:history="1" w:anchor="_Toc73965303">
        <w:r w:rsidRPr="0063012B" w:rsidR="009420AE">
          <w:rPr>
            <w:rStyle w:val="Hyperlink"/>
            <w:noProof/>
          </w:rPr>
          <w:t>8. Federal Register Notice and Outside Consultations</w:t>
        </w:r>
        <w:r w:rsidR="009420AE">
          <w:rPr>
            <w:noProof/>
            <w:webHidden/>
          </w:rPr>
          <w:tab/>
        </w:r>
        <w:r w:rsidR="009420AE">
          <w:rPr>
            <w:noProof/>
            <w:webHidden/>
          </w:rPr>
          <w:fldChar w:fldCharType="begin"/>
        </w:r>
        <w:r w:rsidR="009420AE">
          <w:rPr>
            <w:noProof/>
            <w:webHidden/>
          </w:rPr>
          <w:instrText xml:space="preserve"> PAGEREF _Toc73965303 \h </w:instrText>
        </w:r>
        <w:r w:rsidR="009420AE">
          <w:rPr>
            <w:noProof/>
            <w:webHidden/>
          </w:rPr>
        </w:r>
        <w:r w:rsidR="009420AE">
          <w:rPr>
            <w:noProof/>
            <w:webHidden/>
          </w:rPr>
          <w:fldChar w:fldCharType="separate"/>
        </w:r>
        <w:r w:rsidR="009420AE">
          <w:rPr>
            <w:noProof/>
            <w:webHidden/>
          </w:rPr>
          <w:t>10</w:t>
        </w:r>
        <w:r w:rsidR="009420AE">
          <w:rPr>
            <w:noProof/>
            <w:webHidden/>
          </w:rPr>
          <w:fldChar w:fldCharType="end"/>
        </w:r>
      </w:hyperlink>
    </w:p>
    <w:p w:rsidR="009420AE" w:rsidRDefault="00F92AAC" w14:paraId="11F17CE9" w14:textId="49C8D08D">
      <w:pPr>
        <w:pStyle w:val="TOC2"/>
        <w:tabs>
          <w:tab w:val="right" w:leader="dot" w:pos="8630"/>
        </w:tabs>
        <w:rPr>
          <w:rFonts w:asciiTheme="minorHAnsi" w:hAnsiTheme="minorHAnsi" w:eastAsiaTheme="minorEastAsia" w:cstheme="minorBidi"/>
          <w:noProof/>
          <w:sz w:val="22"/>
          <w:szCs w:val="22"/>
        </w:rPr>
      </w:pPr>
      <w:hyperlink w:history="1" w:anchor="_Toc73965304">
        <w:r w:rsidRPr="0063012B" w:rsidR="009420AE">
          <w:rPr>
            <w:rStyle w:val="Hyperlink"/>
            <w:noProof/>
          </w:rPr>
          <w:t>8.a. Federal Register Notice</w:t>
        </w:r>
        <w:r w:rsidR="009420AE">
          <w:rPr>
            <w:noProof/>
            <w:webHidden/>
          </w:rPr>
          <w:tab/>
        </w:r>
        <w:r w:rsidR="009420AE">
          <w:rPr>
            <w:noProof/>
            <w:webHidden/>
          </w:rPr>
          <w:fldChar w:fldCharType="begin"/>
        </w:r>
        <w:r w:rsidR="009420AE">
          <w:rPr>
            <w:noProof/>
            <w:webHidden/>
          </w:rPr>
          <w:instrText xml:space="preserve"> PAGEREF _Toc73965304 \h </w:instrText>
        </w:r>
        <w:r w:rsidR="009420AE">
          <w:rPr>
            <w:noProof/>
            <w:webHidden/>
          </w:rPr>
        </w:r>
        <w:r w:rsidR="009420AE">
          <w:rPr>
            <w:noProof/>
            <w:webHidden/>
          </w:rPr>
          <w:fldChar w:fldCharType="separate"/>
        </w:r>
        <w:r w:rsidR="009420AE">
          <w:rPr>
            <w:noProof/>
            <w:webHidden/>
          </w:rPr>
          <w:t>10</w:t>
        </w:r>
        <w:r w:rsidR="009420AE">
          <w:rPr>
            <w:noProof/>
            <w:webHidden/>
          </w:rPr>
          <w:fldChar w:fldCharType="end"/>
        </w:r>
      </w:hyperlink>
    </w:p>
    <w:p w:rsidR="009420AE" w:rsidRDefault="00F92AAC" w14:paraId="7851BE6C" w14:textId="37F58B4A">
      <w:pPr>
        <w:pStyle w:val="TOC2"/>
        <w:tabs>
          <w:tab w:val="right" w:leader="dot" w:pos="8630"/>
        </w:tabs>
        <w:rPr>
          <w:rFonts w:asciiTheme="minorHAnsi" w:hAnsiTheme="minorHAnsi" w:eastAsiaTheme="minorEastAsia" w:cstheme="minorBidi"/>
          <w:noProof/>
          <w:sz w:val="22"/>
          <w:szCs w:val="22"/>
        </w:rPr>
      </w:pPr>
      <w:hyperlink w:history="1" w:anchor="_Toc73965305">
        <w:r w:rsidRPr="0063012B" w:rsidR="009420AE">
          <w:rPr>
            <w:rStyle w:val="Hyperlink"/>
            <w:noProof/>
          </w:rPr>
          <w:t>8.b. Outside Consultations</w:t>
        </w:r>
        <w:r w:rsidR="009420AE">
          <w:rPr>
            <w:noProof/>
            <w:webHidden/>
          </w:rPr>
          <w:tab/>
        </w:r>
        <w:r w:rsidR="009420AE">
          <w:rPr>
            <w:noProof/>
            <w:webHidden/>
          </w:rPr>
          <w:fldChar w:fldCharType="begin"/>
        </w:r>
        <w:r w:rsidR="009420AE">
          <w:rPr>
            <w:noProof/>
            <w:webHidden/>
          </w:rPr>
          <w:instrText xml:space="preserve"> PAGEREF _Toc73965305 \h </w:instrText>
        </w:r>
        <w:r w:rsidR="009420AE">
          <w:rPr>
            <w:noProof/>
            <w:webHidden/>
          </w:rPr>
        </w:r>
        <w:r w:rsidR="009420AE">
          <w:rPr>
            <w:noProof/>
            <w:webHidden/>
          </w:rPr>
          <w:fldChar w:fldCharType="separate"/>
        </w:r>
        <w:r w:rsidR="009420AE">
          <w:rPr>
            <w:noProof/>
            <w:webHidden/>
          </w:rPr>
          <w:t>10</w:t>
        </w:r>
        <w:r w:rsidR="009420AE">
          <w:rPr>
            <w:noProof/>
            <w:webHidden/>
          </w:rPr>
          <w:fldChar w:fldCharType="end"/>
        </w:r>
      </w:hyperlink>
    </w:p>
    <w:p w:rsidR="009420AE" w:rsidRDefault="00F92AAC" w14:paraId="730335E2" w14:textId="61ED5618">
      <w:pPr>
        <w:pStyle w:val="TOC2"/>
        <w:tabs>
          <w:tab w:val="right" w:leader="dot" w:pos="8630"/>
        </w:tabs>
        <w:rPr>
          <w:rFonts w:asciiTheme="minorHAnsi" w:hAnsiTheme="minorHAnsi" w:eastAsiaTheme="minorEastAsia" w:cstheme="minorBidi"/>
          <w:noProof/>
          <w:sz w:val="22"/>
          <w:szCs w:val="22"/>
        </w:rPr>
      </w:pPr>
      <w:hyperlink w:history="1" w:anchor="_Toc73965306">
        <w:r w:rsidRPr="0063012B" w:rsidR="009420AE">
          <w:rPr>
            <w:rStyle w:val="Hyperlink"/>
            <w:noProof/>
          </w:rPr>
          <w:t>9. Payments/Gifts to Respondents</w:t>
        </w:r>
        <w:r w:rsidR="009420AE">
          <w:rPr>
            <w:noProof/>
            <w:webHidden/>
          </w:rPr>
          <w:tab/>
        </w:r>
        <w:r w:rsidR="009420AE">
          <w:rPr>
            <w:noProof/>
            <w:webHidden/>
          </w:rPr>
          <w:fldChar w:fldCharType="begin"/>
        </w:r>
        <w:r w:rsidR="009420AE">
          <w:rPr>
            <w:noProof/>
            <w:webHidden/>
          </w:rPr>
          <w:instrText xml:space="preserve"> PAGEREF _Toc73965306 \h </w:instrText>
        </w:r>
        <w:r w:rsidR="009420AE">
          <w:rPr>
            <w:noProof/>
            <w:webHidden/>
          </w:rPr>
        </w:r>
        <w:r w:rsidR="009420AE">
          <w:rPr>
            <w:noProof/>
            <w:webHidden/>
          </w:rPr>
          <w:fldChar w:fldCharType="separate"/>
        </w:r>
        <w:r w:rsidR="009420AE">
          <w:rPr>
            <w:noProof/>
            <w:webHidden/>
          </w:rPr>
          <w:t>10</w:t>
        </w:r>
        <w:r w:rsidR="009420AE">
          <w:rPr>
            <w:noProof/>
            <w:webHidden/>
          </w:rPr>
          <w:fldChar w:fldCharType="end"/>
        </w:r>
      </w:hyperlink>
    </w:p>
    <w:p w:rsidR="009420AE" w:rsidRDefault="00F92AAC" w14:paraId="5D371AA8" w14:textId="690CCA1B">
      <w:pPr>
        <w:pStyle w:val="TOC2"/>
        <w:tabs>
          <w:tab w:val="right" w:leader="dot" w:pos="8630"/>
        </w:tabs>
        <w:rPr>
          <w:rFonts w:asciiTheme="minorHAnsi" w:hAnsiTheme="minorHAnsi" w:eastAsiaTheme="minorEastAsia" w:cstheme="minorBidi"/>
          <w:noProof/>
          <w:sz w:val="22"/>
          <w:szCs w:val="22"/>
        </w:rPr>
      </w:pPr>
      <w:hyperlink w:history="1" w:anchor="_Toc73965307">
        <w:r w:rsidRPr="0063012B" w:rsidR="009420AE">
          <w:rPr>
            <w:rStyle w:val="Hyperlink"/>
            <w:noProof/>
          </w:rPr>
          <w:t>10. Assurance of Confidentiality</w:t>
        </w:r>
        <w:r w:rsidR="009420AE">
          <w:rPr>
            <w:noProof/>
            <w:webHidden/>
          </w:rPr>
          <w:tab/>
        </w:r>
        <w:r w:rsidR="009420AE">
          <w:rPr>
            <w:noProof/>
            <w:webHidden/>
          </w:rPr>
          <w:fldChar w:fldCharType="begin"/>
        </w:r>
        <w:r w:rsidR="009420AE">
          <w:rPr>
            <w:noProof/>
            <w:webHidden/>
          </w:rPr>
          <w:instrText xml:space="preserve"> PAGEREF _Toc73965307 \h </w:instrText>
        </w:r>
        <w:r w:rsidR="009420AE">
          <w:rPr>
            <w:noProof/>
            <w:webHidden/>
          </w:rPr>
        </w:r>
        <w:r w:rsidR="009420AE">
          <w:rPr>
            <w:noProof/>
            <w:webHidden/>
          </w:rPr>
          <w:fldChar w:fldCharType="separate"/>
        </w:r>
        <w:r w:rsidR="009420AE">
          <w:rPr>
            <w:noProof/>
            <w:webHidden/>
          </w:rPr>
          <w:t>10</w:t>
        </w:r>
        <w:r w:rsidR="009420AE">
          <w:rPr>
            <w:noProof/>
            <w:webHidden/>
          </w:rPr>
          <w:fldChar w:fldCharType="end"/>
        </w:r>
      </w:hyperlink>
    </w:p>
    <w:p w:rsidR="009420AE" w:rsidRDefault="00F92AAC" w14:paraId="26068D1A" w14:textId="2AB26386">
      <w:pPr>
        <w:pStyle w:val="TOC2"/>
        <w:tabs>
          <w:tab w:val="right" w:leader="dot" w:pos="8630"/>
        </w:tabs>
        <w:rPr>
          <w:rFonts w:asciiTheme="minorHAnsi" w:hAnsiTheme="minorHAnsi" w:eastAsiaTheme="minorEastAsia" w:cstheme="minorBidi"/>
          <w:noProof/>
          <w:sz w:val="22"/>
          <w:szCs w:val="22"/>
        </w:rPr>
      </w:pPr>
      <w:hyperlink w:history="1" w:anchor="_Toc73965308">
        <w:r w:rsidRPr="0063012B" w:rsidR="009420AE">
          <w:rPr>
            <w:rStyle w:val="Hyperlink"/>
            <w:noProof/>
          </w:rPr>
          <w:t>11. Questions of a Sensitive Nature</w:t>
        </w:r>
        <w:r w:rsidR="009420AE">
          <w:rPr>
            <w:noProof/>
            <w:webHidden/>
          </w:rPr>
          <w:tab/>
        </w:r>
        <w:r w:rsidR="009420AE">
          <w:rPr>
            <w:noProof/>
            <w:webHidden/>
          </w:rPr>
          <w:fldChar w:fldCharType="begin"/>
        </w:r>
        <w:r w:rsidR="009420AE">
          <w:rPr>
            <w:noProof/>
            <w:webHidden/>
          </w:rPr>
          <w:instrText xml:space="preserve"> PAGEREF _Toc73965308 \h </w:instrText>
        </w:r>
        <w:r w:rsidR="009420AE">
          <w:rPr>
            <w:noProof/>
            <w:webHidden/>
          </w:rPr>
        </w:r>
        <w:r w:rsidR="009420AE">
          <w:rPr>
            <w:noProof/>
            <w:webHidden/>
          </w:rPr>
          <w:fldChar w:fldCharType="separate"/>
        </w:r>
        <w:r w:rsidR="009420AE">
          <w:rPr>
            <w:noProof/>
            <w:webHidden/>
          </w:rPr>
          <w:t>11</w:t>
        </w:r>
        <w:r w:rsidR="009420AE">
          <w:rPr>
            <w:noProof/>
            <w:webHidden/>
          </w:rPr>
          <w:fldChar w:fldCharType="end"/>
        </w:r>
      </w:hyperlink>
    </w:p>
    <w:p w:rsidR="009420AE" w:rsidRDefault="00F92AAC" w14:paraId="645FF1C4" w14:textId="18A0CCDF">
      <w:pPr>
        <w:pStyle w:val="TOC2"/>
        <w:tabs>
          <w:tab w:val="right" w:leader="dot" w:pos="8630"/>
        </w:tabs>
        <w:rPr>
          <w:rFonts w:asciiTheme="minorHAnsi" w:hAnsiTheme="minorHAnsi" w:eastAsiaTheme="minorEastAsia" w:cstheme="minorBidi"/>
          <w:noProof/>
          <w:sz w:val="22"/>
          <w:szCs w:val="22"/>
        </w:rPr>
      </w:pPr>
      <w:hyperlink w:history="1" w:anchor="_Toc73965309">
        <w:r w:rsidRPr="0063012B" w:rsidR="009420AE">
          <w:rPr>
            <w:rStyle w:val="Hyperlink"/>
            <w:noProof/>
          </w:rPr>
          <w:t>12. Estimates of Annualized Burden Hours and Costs</w:t>
        </w:r>
        <w:r w:rsidR="009420AE">
          <w:rPr>
            <w:noProof/>
            <w:webHidden/>
          </w:rPr>
          <w:tab/>
        </w:r>
        <w:r w:rsidR="009420AE">
          <w:rPr>
            <w:noProof/>
            <w:webHidden/>
          </w:rPr>
          <w:fldChar w:fldCharType="begin"/>
        </w:r>
        <w:r w:rsidR="009420AE">
          <w:rPr>
            <w:noProof/>
            <w:webHidden/>
          </w:rPr>
          <w:instrText xml:space="preserve"> PAGEREF _Toc73965309 \h </w:instrText>
        </w:r>
        <w:r w:rsidR="009420AE">
          <w:rPr>
            <w:noProof/>
            <w:webHidden/>
          </w:rPr>
        </w:r>
        <w:r w:rsidR="009420AE">
          <w:rPr>
            <w:noProof/>
            <w:webHidden/>
          </w:rPr>
          <w:fldChar w:fldCharType="separate"/>
        </w:r>
        <w:r w:rsidR="009420AE">
          <w:rPr>
            <w:noProof/>
            <w:webHidden/>
          </w:rPr>
          <w:t>11</w:t>
        </w:r>
        <w:r w:rsidR="009420AE">
          <w:rPr>
            <w:noProof/>
            <w:webHidden/>
          </w:rPr>
          <w:fldChar w:fldCharType="end"/>
        </w:r>
      </w:hyperlink>
    </w:p>
    <w:p w:rsidR="009420AE" w:rsidRDefault="00F92AAC" w14:paraId="4FCAC571" w14:textId="6BE03B89">
      <w:pPr>
        <w:pStyle w:val="TOC2"/>
        <w:tabs>
          <w:tab w:val="right" w:leader="dot" w:pos="8630"/>
        </w:tabs>
        <w:rPr>
          <w:rFonts w:asciiTheme="minorHAnsi" w:hAnsiTheme="minorHAnsi" w:eastAsiaTheme="minorEastAsia" w:cstheme="minorBidi"/>
          <w:noProof/>
          <w:sz w:val="22"/>
          <w:szCs w:val="22"/>
        </w:rPr>
      </w:pPr>
      <w:hyperlink w:history="1" w:anchor="_Toc73965310">
        <w:r w:rsidRPr="0063012B" w:rsidR="009420AE">
          <w:rPr>
            <w:rStyle w:val="Hyperlink"/>
            <w:noProof/>
          </w:rPr>
          <w:t>13. Estimates of Annualized Respondent Capital and Maintenance Costs</w:t>
        </w:r>
        <w:r w:rsidR="009420AE">
          <w:rPr>
            <w:noProof/>
            <w:webHidden/>
          </w:rPr>
          <w:tab/>
        </w:r>
        <w:r w:rsidR="009420AE">
          <w:rPr>
            <w:noProof/>
            <w:webHidden/>
          </w:rPr>
          <w:fldChar w:fldCharType="begin"/>
        </w:r>
        <w:r w:rsidR="009420AE">
          <w:rPr>
            <w:noProof/>
            <w:webHidden/>
          </w:rPr>
          <w:instrText xml:space="preserve"> PAGEREF _Toc73965310 \h </w:instrText>
        </w:r>
        <w:r w:rsidR="009420AE">
          <w:rPr>
            <w:noProof/>
            <w:webHidden/>
          </w:rPr>
        </w:r>
        <w:r w:rsidR="009420AE">
          <w:rPr>
            <w:noProof/>
            <w:webHidden/>
          </w:rPr>
          <w:fldChar w:fldCharType="separate"/>
        </w:r>
        <w:r w:rsidR="009420AE">
          <w:rPr>
            <w:noProof/>
            <w:webHidden/>
          </w:rPr>
          <w:t>18</w:t>
        </w:r>
        <w:r w:rsidR="009420AE">
          <w:rPr>
            <w:noProof/>
            <w:webHidden/>
          </w:rPr>
          <w:fldChar w:fldCharType="end"/>
        </w:r>
      </w:hyperlink>
    </w:p>
    <w:p w:rsidR="009420AE" w:rsidRDefault="00F92AAC" w14:paraId="310566B4" w14:textId="1458DD46">
      <w:pPr>
        <w:pStyle w:val="TOC2"/>
        <w:tabs>
          <w:tab w:val="right" w:leader="dot" w:pos="8630"/>
        </w:tabs>
        <w:rPr>
          <w:rFonts w:asciiTheme="minorHAnsi" w:hAnsiTheme="minorHAnsi" w:eastAsiaTheme="minorEastAsia" w:cstheme="minorBidi"/>
          <w:noProof/>
          <w:sz w:val="22"/>
          <w:szCs w:val="22"/>
        </w:rPr>
      </w:pPr>
      <w:hyperlink w:history="1" w:anchor="_Toc73965311">
        <w:r w:rsidRPr="0063012B" w:rsidR="009420AE">
          <w:rPr>
            <w:rStyle w:val="Hyperlink"/>
            <w:noProof/>
          </w:rPr>
          <w:t>14. Estimates of Total and Annualized Cost to the Government</w:t>
        </w:r>
        <w:r w:rsidR="009420AE">
          <w:rPr>
            <w:noProof/>
            <w:webHidden/>
          </w:rPr>
          <w:tab/>
        </w:r>
        <w:r w:rsidR="009420AE">
          <w:rPr>
            <w:noProof/>
            <w:webHidden/>
          </w:rPr>
          <w:fldChar w:fldCharType="begin"/>
        </w:r>
        <w:r w:rsidR="009420AE">
          <w:rPr>
            <w:noProof/>
            <w:webHidden/>
          </w:rPr>
          <w:instrText xml:space="preserve"> PAGEREF _Toc73965311 \h </w:instrText>
        </w:r>
        <w:r w:rsidR="009420AE">
          <w:rPr>
            <w:noProof/>
            <w:webHidden/>
          </w:rPr>
        </w:r>
        <w:r w:rsidR="009420AE">
          <w:rPr>
            <w:noProof/>
            <w:webHidden/>
          </w:rPr>
          <w:fldChar w:fldCharType="separate"/>
        </w:r>
        <w:r w:rsidR="009420AE">
          <w:rPr>
            <w:noProof/>
            <w:webHidden/>
          </w:rPr>
          <w:t>18</w:t>
        </w:r>
        <w:r w:rsidR="009420AE">
          <w:rPr>
            <w:noProof/>
            <w:webHidden/>
          </w:rPr>
          <w:fldChar w:fldCharType="end"/>
        </w:r>
      </w:hyperlink>
    </w:p>
    <w:p w:rsidR="009420AE" w:rsidRDefault="00F92AAC" w14:paraId="3741DB63" w14:textId="302D8C7D">
      <w:pPr>
        <w:pStyle w:val="TOC2"/>
        <w:tabs>
          <w:tab w:val="right" w:leader="dot" w:pos="8630"/>
        </w:tabs>
        <w:rPr>
          <w:rFonts w:asciiTheme="minorHAnsi" w:hAnsiTheme="minorHAnsi" w:eastAsiaTheme="minorEastAsia" w:cstheme="minorBidi"/>
          <w:noProof/>
          <w:sz w:val="22"/>
          <w:szCs w:val="22"/>
        </w:rPr>
      </w:pPr>
      <w:hyperlink w:history="1" w:anchor="_Toc73965312">
        <w:r w:rsidRPr="0063012B" w:rsidR="009420AE">
          <w:rPr>
            <w:rStyle w:val="Hyperlink"/>
            <w:noProof/>
          </w:rPr>
          <w:t>15. Changes in Hour Burden</w:t>
        </w:r>
        <w:r w:rsidR="009420AE">
          <w:rPr>
            <w:noProof/>
            <w:webHidden/>
          </w:rPr>
          <w:tab/>
        </w:r>
        <w:r w:rsidR="009420AE">
          <w:rPr>
            <w:noProof/>
            <w:webHidden/>
          </w:rPr>
          <w:fldChar w:fldCharType="begin"/>
        </w:r>
        <w:r w:rsidR="009420AE">
          <w:rPr>
            <w:noProof/>
            <w:webHidden/>
          </w:rPr>
          <w:instrText xml:space="preserve"> PAGEREF _Toc73965312 \h </w:instrText>
        </w:r>
        <w:r w:rsidR="009420AE">
          <w:rPr>
            <w:noProof/>
            <w:webHidden/>
          </w:rPr>
        </w:r>
        <w:r w:rsidR="009420AE">
          <w:rPr>
            <w:noProof/>
            <w:webHidden/>
          </w:rPr>
          <w:fldChar w:fldCharType="separate"/>
        </w:r>
        <w:r w:rsidR="009420AE">
          <w:rPr>
            <w:noProof/>
            <w:webHidden/>
          </w:rPr>
          <w:t>18</w:t>
        </w:r>
        <w:r w:rsidR="009420AE">
          <w:rPr>
            <w:noProof/>
            <w:webHidden/>
          </w:rPr>
          <w:fldChar w:fldCharType="end"/>
        </w:r>
      </w:hyperlink>
    </w:p>
    <w:p w:rsidR="009420AE" w:rsidRDefault="00F92AAC" w14:paraId="748A3031" w14:textId="5E736AE1">
      <w:pPr>
        <w:pStyle w:val="TOC2"/>
        <w:tabs>
          <w:tab w:val="right" w:leader="dot" w:pos="8630"/>
        </w:tabs>
        <w:rPr>
          <w:rFonts w:asciiTheme="minorHAnsi" w:hAnsiTheme="minorHAnsi" w:eastAsiaTheme="minorEastAsia" w:cstheme="minorBidi"/>
          <w:noProof/>
          <w:sz w:val="22"/>
          <w:szCs w:val="22"/>
        </w:rPr>
      </w:pPr>
      <w:hyperlink w:history="1" w:anchor="_Toc73965313">
        <w:r w:rsidRPr="0063012B" w:rsidR="009420AE">
          <w:rPr>
            <w:rStyle w:val="Hyperlink"/>
            <w:noProof/>
          </w:rPr>
          <w:t>16. Time Schedule, Publication and Analysis Plans</w:t>
        </w:r>
        <w:r w:rsidR="009420AE">
          <w:rPr>
            <w:noProof/>
            <w:webHidden/>
          </w:rPr>
          <w:tab/>
        </w:r>
        <w:r w:rsidR="009420AE">
          <w:rPr>
            <w:noProof/>
            <w:webHidden/>
          </w:rPr>
          <w:fldChar w:fldCharType="begin"/>
        </w:r>
        <w:r w:rsidR="009420AE">
          <w:rPr>
            <w:noProof/>
            <w:webHidden/>
          </w:rPr>
          <w:instrText xml:space="preserve"> PAGEREF _Toc73965313 \h </w:instrText>
        </w:r>
        <w:r w:rsidR="009420AE">
          <w:rPr>
            <w:noProof/>
            <w:webHidden/>
          </w:rPr>
        </w:r>
        <w:r w:rsidR="009420AE">
          <w:rPr>
            <w:noProof/>
            <w:webHidden/>
          </w:rPr>
          <w:fldChar w:fldCharType="separate"/>
        </w:r>
        <w:r w:rsidR="009420AE">
          <w:rPr>
            <w:noProof/>
            <w:webHidden/>
          </w:rPr>
          <w:t>19</w:t>
        </w:r>
        <w:r w:rsidR="009420AE">
          <w:rPr>
            <w:noProof/>
            <w:webHidden/>
          </w:rPr>
          <w:fldChar w:fldCharType="end"/>
        </w:r>
      </w:hyperlink>
    </w:p>
    <w:p w:rsidR="009420AE" w:rsidRDefault="00F92AAC" w14:paraId="7467AFB9" w14:textId="0CD820EB">
      <w:pPr>
        <w:pStyle w:val="TOC2"/>
        <w:tabs>
          <w:tab w:val="right" w:leader="dot" w:pos="8630"/>
        </w:tabs>
        <w:rPr>
          <w:rFonts w:asciiTheme="minorHAnsi" w:hAnsiTheme="minorHAnsi" w:eastAsiaTheme="minorEastAsia" w:cstheme="minorBidi"/>
          <w:noProof/>
          <w:sz w:val="22"/>
          <w:szCs w:val="22"/>
        </w:rPr>
      </w:pPr>
      <w:hyperlink w:history="1" w:anchor="_Toc73965314">
        <w:r w:rsidRPr="0063012B" w:rsidR="009420AE">
          <w:rPr>
            <w:rStyle w:val="Hyperlink"/>
            <w:noProof/>
          </w:rPr>
          <w:t>17. Exemption for Display of Expiration Date</w:t>
        </w:r>
        <w:r w:rsidR="009420AE">
          <w:rPr>
            <w:noProof/>
            <w:webHidden/>
          </w:rPr>
          <w:tab/>
        </w:r>
        <w:r w:rsidR="009420AE">
          <w:rPr>
            <w:noProof/>
            <w:webHidden/>
          </w:rPr>
          <w:fldChar w:fldCharType="begin"/>
        </w:r>
        <w:r w:rsidR="009420AE">
          <w:rPr>
            <w:noProof/>
            <w:webHidden/>
          </w:rPr>
          <w:instrText xml:space="preserve"> PAGEREF _Toc73965314 \h </w:instrText>
        </w:r>
        <w:r w:rsidR="009420AE">
          <w:rPr>
            <w:noProof/>
            <w:webHidden/>
          </w:rPr>
        </w:r>
        <w:r w:rsidR="009420AE">
          <w:rPr>
            <w:noProof/>
            <w:webHidden/>
          </w:rPr>
          <w:fldChar w:fldCharType="separate"/>
        </w:r>
        <w:r w:rsidR="009420AE">
          <w:rPr>
            <w:noProof/>
            <w:webHidden/>
          </w:rPr>
          <w:t>19</w:t>
        </w:r>
        <w:r w:rsidR="009420AE">
          <w:rPr>
            <w:noProof/>
            <w:webHidden/>
          </w:rPr>
          <w:fldChar w:fldCharType="end"/>
        </w:r>
      </w:hyperlink>
    </w:p>
    <w:p w:rsidR="009420AE" w:rsidRDefault="00F92AAC" w14:paraId="48CD4A03" w14:textId="5A738F6B">
      <w:pPr>
        <w:pStyle w:val="TOC2"/>
        <w:tabs>
          <w:tab w:val="right" w:leader="dot" w:pos="8630"/>
        </w:tabs>
        <w:rPr>
          <w:rFonts w:asciiTheme="minorHAnsi" w:hAnsiTheme="minorHAnsi" w:eastAsiaTheme="minorEastAsia" w:cstheme="minorBidi"/>
          <w:noProof/>
          <w:sz w:val="22"/>
          <w:szCs w:val="22"/>
        </w:rPr>
      </w:pPr>
      <w:hyperlink w:history="1" w:anchor="_Toc73965315">
        <w:r w:rsidRPr="0063012B" w:rsidR="009420AE">
          <w:rPr>
            <w:rStyle w:val="Hyperlink"/>
            <w:noProof/>
          </w:rPr>
          <w:t>List of Attachments</w:t>
        </w:r>
        <w:r w:rsidR="009420AE">
          <w:rPr>
            <w:noProof/>
            <w:webHidden/>
          </w:rPr>
          <w:tab/>
        </w:r>
        <w:r w:rsidR="009420AE">
          <w:rPr>
            <w:noProof/>
            <w:webHidden/>
          </w:rPr>
          <w:fldChar w:fldCharType="begin"/>
        </w:r>
        <w:r w:rsidR="009420AE">
          <w:rPr>
            <w:noProof/>
            <w:webHidden/>
          </w:rPr>
          <w:instrText xml:space="preserve"> PAGEREF _Toc73965315 \h </w:instrText>
        </w:r>
        <w:r w:rsidR="009420AE">
          <w:rPr>
            <w:noProof/>
            <w:webHidden/>
          </w:rPr>
        </w:r>
        <w:r w:rsidR="009420AE">
          <w:rPr>
            <w:noProof/>
            <w:webHidden/>
          </w:rPr>
          <w:fldChar w:fldCharType="separate"/>
        </w:r>
        <w:r w:rsidR="009420AE">
          <w:rPr>
            <w:noProof/>
            <w:webHidden/>
          </w:rPr>
          <w:t>19</w:t>
        </w:r>
        <w:r w:rsidR="009420AE">
          <w:rPr>
            <w:noProof/>
            <w:webHidden/>
          </w:rPr>
          <w:fldChar w:fldCharType="end"/>
        </w:r>
      </w:hyperlink>
    </w:p>
    <w:p w:rsidR="009420AE" w:rsidRDefault="00F92AAC" w14:paraId="069D2E09" w14:textId="1E51D09E">
      <w:pPr>
        <w:pStyle w:val="TOC2"/>
        <w:tabs>
          <w:tab w:val="right" w:leader="dot" w:pos="8630"/>
        </w:tabs>
        <w:rPr>
          <w:rFonts w:asciiTheme="minorHAnsi" w:hAnsiTheme="minorHAnsi" w:eastAsiaTheme="minorEastAsia" w:cstheme="minorBidi"/>
          <w:noProof/>
          <w:sz w:val="22"/>
          <w:szCs w:val="22"/>
        </w:rPr>
      </w:pPr>
      <w:hyperlink w:history="1" w:anchor="_Toc73965316">
        <w:r w:rsidRPr="0063012B" w:rsidR="009420AE">
          <w:rPr>
            <w:rStyle w:val="Hyperlink"/>
            <w:noProof/>
          </w:rPr>
          <w:t>References</w:t>
        </w:r>
        <w:r w:rsidR="009420AE">
          <w:rPr>
            <w:noProof/>
            <w:webHidden/>
          </w:rPr>
          <w:tab/>
        </w:r>
        <w:r w:rsidR="009420AE">
          <w:rPr>
            <w:noProof/>
            <w:webHidden/>
          </w:rPr>
          <w:fldChar w:fldCharType="begin"/>
        </w:r>
        <w:r w:rsidR="009420AE">
          <w:rPr>
            <w:noProof/>
            <w:webHidden/>
          </w:rPr>
          <w:instrText xml:space="preserve"> PAGEREF _Toc73965316 \h </w:instrText>
        </w:r>
        <w:r w:rsidR="009420AE">
          <w:rPr>
            <w:noProof/>
            <w:webHidden/>
          </w:rPr>
        </w:r>
        <w:r w:rsidR="009420AE">
          <w:rPr>
            <w:noProof/>
            <w:webHidden/>
          </w:rPr>
          <w:fldChar w:fldCharType="separate"/>
        </w:r>
        <w:r w:rsidR="009420AE">
          <w:rPr>
            <w:noProof/>
            <w:webHidden/>
          </w:rPr>
          <w:t>20</w:t>
        </w:r>
        <w:r w:rsidR="009420AE">
          <w:rPr>
            <w:noProof/>
            <w:webHidden/>
          </w:rPr>
          <w:fldChar w:fldCharType="end"/>
        </w:r>
      </w:hyperlink>
    </w:p>
    <w:p w:rsidRPr="00E70711" w:rsidR="009B633D" w:rsidP="009B633D" w:rsidRDefault="009B633D" w14:paraId="5BD958D4" w14:textId="77777777">
      <w:pPr>
        <w:jc w:val="center"/>
        <w:rPr>
          <w:b/>
        </w:rPr>
      </w:pPr>
      <w:r w:rsidRPr="00E70711">
        <w:rPr>
          <w:b/>
        </w:rPr>
        <w:fldChar w:fldCharType="end"/>
      </w:r>
    </w:p>
    <w:p w:rsidRPr="00E70711" w:rsidR="009B633D" w:rsidP="009B633D" w:rsidRDefault="009B633D" w14:paraId="3C31B0B5" w14:textId="77777777">
      <w:pPr>
        <w:pStyle w:val="Heading1"/>
        <w:rPr>
          <w:sz w:val="24"/>
          <w:szCs w:val="24"/>
        </w:rPr>
      </w:pPr>
      <w:r w:rsidRPr="00E70711">
        <w:br w:type="page"/>
      </w:r>
      <w:bookmarkStart w:name="_Toc151782175" w:id="0"/>
      <w:bookmarkStart w:name="_Toc158526215" w:id="1"/>
      <w:bookmarkStart w:name="_Toc73964937" w:id="2"/>
      <w:bookmarkStart w:name="_Toc73965296" w:id="3"/>
      <w:r w:rsidRPr="00E70711">
        <w:rPr>
          <w:sz w:val="24"/>
          <w:szCs w:val="24"/>
        </w:rPr>
        <w:lastRenderedPageBreak/>
        <w:t>A. Justification</w:t>
      </w:r>
      <w:bookmarkEnd w:id="0"/>
      <w:bookmarkEnd w:id="1"/>
      <w:bookmarkEnd w:id="2"/>
      <w:bookmarkEnd w:id="3"/>
    </w:p>
    <w:p w:rsidRPr="00E70711" w:rsidR="009B633D" w:rsidP="009B633D" w:rsidRDefault="009B633D" w14:paraId="5954D49D" w14:textId="77777777"/>
    <w:p w:rsidRPr="00E70711" w:rsidR="009B633D" w:rsidP="006014DB" w:rsidRDefault="009B633D" w14:paraId="266D621B" w14:textId="77777777">
      <w:pPr>
        <w:pStyle w:val="Heading2"/>
        <w:spacing w:before="0" w:after="0"/>
        <w:rPr>
          <w:sz w:val="24"/>
          <w:szCs w:val="24"/>
        </w:rPr>
      </w:pPr>
      <w:bookmarkStart w:name="_Toc151782176" w:id="4"/>
      <w:bookmarkStart w:name="_Toc158526216" w:id="5"/>
      <w:bookmarkStart w:name="_Toc73964938" w:id="6"/>
      <w:bookmarkStart w:name="_Toc73965297" w:id="7"/>
      <w:r w:rsidRPr="00E70711">
        <w:rPr>
          <w:sz w:val="24"/>
          <w:szCs w:val="24"/>
        </w:rPr>
        <w:t xml:space="preserve">1. </w:t>
      </w:r>
      <w:bookmarkEnd w:id="4"/>
      <w:bookmarkEnd w:id="5"/>
      <w:r w:rsidRPr="00E70711" w:rsidR="006014DB">
        <w:rPr>
          <w:sz w:val="24"/>
          <w:szCs w:val="24"/>
        </w:rPr>
        <w:t>Circumstances that make the collection of information necessary</w:t>
      </w:r>
      <w:bookmarkEnd w:id="6"/>
      <w:bookmarkEnd w:id="7"/>
    </w:p>
    <w:p w:rsidRPr="00E70711" w:rsidR="006014DB" w:rsidP="006014DB" w:rsidRDefault="006014DB" w14:paraId="4D595BD5" w14:textId="77777777"/>
    <w:p w:rsidRPr="00E70711" w:rsidR="000A140E" w:rsidP="000A140E" w:rsidRDefault="000A140E" w14:paraId="7824D2CB" w14:textId="77777777">
      <w:r w:rsidRPr="00E70711">
        <w:t xml:space="preserve">The mission of the Agency for Healthcare Research and Quality (AHRQ) set out in its authorizing legislation, The Healthcare Research and Quality Act of 1999 (see </w:t>
      </w:r>
      <w:hyperlink w:history="1" r:id="rId11">
        <w:r w:rsidRPr="00E70711" w:rsidR="00DB1BBA">
          <w:rPr>
            <w:rStyle w:val="Hyperlink"/>
          </w:rPr>
          <w:t>http://www.ahrq.gov/hrqa99.pdf</w:t>
        </w:r>
      </w:hyperlink>
      <w:r w:rsidRPr="00E70711">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E70711" w:rsidR="00606400" w:rsidP="00606400" w:rsidRDefault="00606400" w14:paraId="37B79C79" w14:textId="77777777">
      <w:pPr>
        <w:tabs>
          <w:tab w:val="left" w:pos="360"/>
        </w:tabs>
      </w:pPr>
      <w:r w:rsidRPr="00E70711">
        <w:tab/>
      </w:r>
    </w:p>
    <w:p w:rsidRPr="00E70711" w:rsidR="00606400" w:rsidP="00606400" w:rsidRDefault="00606400" w14:paraId="19FAA8FF" w14:textId="77777777">
      <w:pPr>
        <w:tabs>
          <w:tab w:val="left" w:pos="360"/>
        </w:tabs>
        <w:ind w:left="360"/>
      </w:pPr>
      <w:r w:rsidRPr="00E70711">
        <w:t>1.</w:t>
      </w:r>
      <w:r w:rsidRPr="00E70711">
        <w:tab/>
      </w:r>
      <w:r w:rsidRPr="00E70711" w:rsidR="00DB1BBA">
        <w:t>R</w:t>
      </w:r>
      <w:r w:rsidRPr="00E70711">
        <w:t>esearch that develops and presents scientific evidence regardi</w:t>
      </w:r>
      <w:r w:rsidRPr="00E70711" w:rsidR="00AA1DDC">
        <w:t xml:space="preserve">ng all aspects of </w:t>
      </w:r>
      <w:r w:rsidRPr="00E70711" w:rsidR="00AA1DDC">
        <w:tab/>
      </w:r>
      <w:r w:rsidRPr="00E70711" w:rsidR="00AA1DDC">
        <w:tab/>
        <w:t>health care</w:t>
      </w:r>
      <w:r w:rsidRPr="00E70711" w:rsidR="00325B9C">
        <w:t>;</w:t>
      </w:r>
      <w:r w:rsidRPr="00E70711" w:rsidR="00B645ED">
        <w:t xml:space="preserve"> and</w:t>
      </w:r>
    </w:p>
    <w:p w:rsidRPr="00E70711" w:rsidR="00325B9C" w:rsidP="00606400" w:rsidRDefault="00325B9C" w14:paraId="40320CB6" w14:textId="77777777">
      <w:pPr>
        <w:tabs>
          <w:tab w:val="left" w:pos="360"/>
        </w:tabs>
        <w:ind w:left="360"/>
      </w:pPr>
    </w:p>
    <w:p w:rsidRPr="00E70711" w:rsidR="00325B9C" w:rsidP="00606400" w:rsidRDefault="00325B9C" w14:paraId="5B1E864C" w14:textId="77777777">
      <w:pPr>
        <w:tabs>
          <w:tab w:val="left" w:pos="360"/>
        </w:tabs>
        <w:ind w:left="360"/>
      </w:pPr>
      <w:r w:rsidRPr="00E70711">
        <w:t>2.</w:t>
      </w:r>
      <w:r w:rsidRPr="00E70711">
        <w:tab/>
      </w:r>
      <w:r w:rsidRPr="00E70711" w:rsidR="00DB1BBA">
        <w:t>T</w:t>
      </w:r>
      <w:r w:rsidRPr="00E70711" w:rsidR="00B645ED">
        <w:t xml:space="preserve">he synthesis and dissemination of available scientific evidence for use by </w:t>
      </w:r>
      <w:r w:rsidRPr="00E70711" w:rsidR="00B645ED">
        <w:tab/>
        <w:t xml:space="preserve">patients, consumers, practitioners, providers, purchasers, policy makers, and </w:t>
      </w:r>
      <w:r w:rsidRPr="00E70711" w:rsidR="00B645ED">
        <w:tab/>
        <w:t>educators; and</w:t>
      </w:r>
    </w:p>
    <w:p w:rsidRPr="00E70711" w:rsidR="00B645ED" w:rsidP="00606400" w:rsidRDefault="00B645ED" w14:paraId="3D12E5D4" w14:textId="77777777">
      <w:pPr>
        <w:tabs>
          <w:tab w:val="left" w:pos="360"/>
        </w:tabs>
        <w:ind w:left="360"/>
      </w:pPr>
    </w:p>
    <w:p w:rsidRPr="00E70711" w:rsidR="00B645ED" w:rsidP="00606400" w:rsidRDefault="00DB1BBA" w14:paraId="1907D627" w14:textId="77777777">
      <w:pPr>
        <w:tabs>
          <w:tab w:val="left" w:pos="360"/>
        </w:tabs>
        <w:ind w:left="360"/>
      </w:pPr>
      <w:r w:rsidRPr="00E70711">
        <w:t>3.</w:t>
      </w:r>
      <w:r w:rsidRPr="00E70711">
        <w:tab/>
        <w:t>I</w:t>
      </w:r>
      <w:r w:rsidRPr="00E70711" w:rsidR="00B645ED">
        <w:t>nitiatives to advance private and public efforts to improve health care quality.</w:t>
      </w:r>
    </w:p>
    <w:p w:rsidRPr="00E70711" w:rsidR="00B645ED" w:rsidP="00B645ED" w:rsidRDefault="00B645ED" w14:paraId="5CAF4B5E" w14:textId="77777777">
      <w:pPr>
        <w:tabs>
          <w:tab w:val="left" w:pos="360"/>
        </w:tabs>
      </w:pPr>
    </w:p>
    <w:p w:rsidRPr="00E70711" w:rsidR="008450C0" w:rsidP="00B645ED" w:rsidRDefault="008450C0" w14:paraId="4BEB2DA3" w14:textId="77777777">
      <w:pPr>
        <w:tabs>
          <w:tab w:val="left" w:pos="360"/>
        </w:tabs>
      </w:pPr>
      <w:r w:rsidRPr="00E70711">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E70711" w:rsidR="00DB1BBA" w:rsidP="00B645ED" w:rsidRDefault="00DB1BBA" w14:paraId="1842B3EA" w14:textId="77777777">
      <w:pPr>
        <w:tabs>
          <w:tab w:val="left" w:pos="360"/>
        </w:tabs>
      </w:pPr>
    </w:p>
    <w:p w:rsidRPr="00E70711" w:rsidR="00DB1BBA" w:rsidP="00B645ED" w:rsidRDefault="00DB1BBA" w14:paraId="51FCC87C" w14:textId="77777777">
      <w:pPr>
        <w:tabs>
          <w:tab w:val="left" w:pos="360"/>
        </w:tabs>
        <w:rPr>
          <w:b/>
        </w:rPr>
      </w:pPr>
      <w:r w:rsidRPr="00E70711">
        <w:rPr>
          <w:b/>
        </w:rPr>
        <w:t xml:space="preserve">Background </w:t>
      </w:r>
      <w:r w:rsidRPr="00E70711" w:rsidR="00420AEC">
        <w:rPr>
          <w:b/>
        </w:rPr>
        <w:t>for this Collection</w:t>
      </w:r>
    </w:p>
    <w:p w:rsidRPr="00E70711" w:rsidR="008450C0" w:rsidP="00B645ED" w:rsidRDefault="008450C0" w14:paraId="69A42AE4" w14:textId="77777777">
      <w:pPr>
        <w:tabs>
          <w:tab w:val="left" w:pos="360"/>
        </w:tabs>
      </w:pPr>
    </w:p>
    <w:p w:rsidRPr="00E70711" w:rsidR="00F45DFC" w:rsidP="00C14D37" w:rsidRDefault="00F45DFC" w14:paraId="5A0E519B" w14:textId="1E231185">
      <w:pPr>
        <w:rPr>
          <w:color w:val="000000"/>
        </w:rPr>
      </w:pPr>
      <w:r w:rsidRPr="00E70711">
        <w:rPr>
          <w:color w:val="000000"/>
        </w:rPr>
        <w:t>As part of the HHS HAI National Action Plan (NAP), AHRQ has supported the implementation and adoption of the Comprehensive Unit-based Safety Program (CUSP) to reduce Central-Line Associated Bloodstream Infections (CLABSI) and Catheter-Associated Urinary Tract Infections (CAUTI), and subsequently applied CUSP to other clinical challenges, including reducing surgical site infections and improving care for mechanically ventilated patients. As part of the National Action Plan for Combating Antibiotic-Resistant Bacteria (CARB NAP), the HHS HAI National Action Plan, and Healthy People 2030 goals, AHRQ will now apply the principles and concepts that have been learned from these HAI reduction efforts to the prevention of MRSA invasive infections</w:t>
      </w:r>
      <w:r w:rsidR="00092734">
        <w:rPr>
          <w:color w:val="000000"/>
        </w:rPr>
        <w:t xml:space="preserve"> </w:t>
      </w:r>
      <w:r w:rsidRPr="00092734" w:rsidR="00092734">
        <w:rPr>
          <w:color w:val="000000"/>
        </w:rPr>
        <w:t>(defined as MRSA bacteremia)</w:t>
      </w:r>
      <w:r w:rsidRPr="00E70711">
        <w:rPr>
          <w:color w:val="000000"/>
        </w:rPr>
        <w:t>.</w:t>
      </w:r>
    </w:p>
    <w:p w:rsidRPr="00E70711" w:rsidR="00F45DFC" w:rsidP="00C14D37" w:rsidRDefault="00F45DFC" w14:paraId="725D8CE9" w14:textId="77777777">
      <w:pPr>
        <w:rPr>
          <w:color w:val="000000"/>
        </w:rPr>
      </w:pPr>
    </w:p>
    <w:p w:rsidRPr="00E70711" w:rsidR="00BF53CF" w:rsidP="00C14D37" w:rsidRDefault="00BF53CF" w14:paraId="6420F29E" w14:textId="1107FE87">
      <w:pPr>
        <w:ind w:left="-5" w:right="1"/>
      </w:pPr>
      <w:r w:rsidRPr="00E70711">
        <w:t xml:space="preserve">Healthcare-associated infections, or HAIs, are a highly significant cause of illness and death for patients in the U.S. At any given time, HAIs affect one out of every 31 hospital inpatients. More than a million of these infections occur across our </w:t>
      </w:r>
      <w:r w:rsidRPr="00E70711" w:rsidR="00EC6EAF">
        <w:t xml:space="preserve">health care system every year. </w:t>
      </w:r>
      <w:r w:rsidRPr="00E70711">
        <w:t>This leads to significant patient harm and loss of life, and costs billions of dollars each year in</w:t>
      </w:r>
      <w:r w:rsidRPr="00E70711" w:rsidR="00EC6EAF">
        <w:t xml:space="preserve"> medical and non-medical costs.</w:t>
      </w:r>
      <w:r w:rsidRPr="00E70711">
        <w:t xml:space="preserve"> In addition, the 3 million Americans </w:t>
      </w:r>
      <w:r w:rsidRPr="00E70711">
        <w:lastRenderedPageBreak/>
        <w:t>currently residing in U.S. nursing homes experience a staggering 2-3 million HAIs each year.</w:t>
      </w:r>
      <w:r w:rsidR="00652EBB">
        <w:rPr>
          <w:rStyle w:val="EndnoteReference"/>
        </w:rPr>
        <w:endnoteReference w:id="2"/>
      </w:r>
      <w:r w:rsidRPr="00E70711">
        <w:t xml:space="preserve"> </w:t>
      </w:r>
    </w:p>
    <w:p w:rsidRPr="00E70711" w:rsidR="00BF53CF" w:rsidP="00C14D37" w:rsidRDefault="00BF53CF" w14:paraId="5F08810C" w14:textId="77777777">
      <w:pPr>
        <w:spacing w:line="259" w:lineRule="auto"/>
      </w:pPr>
      <w:r w:rsidRPr="00E70711">
        <w:t xml:space="preserve"> </w:t>
      </w:r>
    </w:p>
    <w:p w:rsidRPr="00E70711" w:rsidR="00BF53CF" w:rsidP="00C14D37" w:rsidRDefault="00BF53CF" w14:paraId="644B878B" w14:textId="77777777">
      <w:pPr>
        <w:ind w:left="-5" w:right="1"/>
      </w:pPr>
      <w:r w:rsidRPr="00E70711">
        <w:t xml:space="preserve">Particular concern has arisen related to the persistent prevalence of methicillin-resistant </w:t>
      </w:r>
    </w:p>
    <w:p w:rsidRPr="00E70711" w:rsidR="00BF53CF" w:rsidP="000E0C7E" w:rsidRDefault="00BF53CF" w14:paraId="409BC5B3" w14:textId="6CBE5306">
      <w:pPr>
        <w:spacing w:after="1"/>
        <w:ind w:left="-5" w:right="207"/>
      </w:pPr>
      <w:r w:rsidRPr="00E70711">
        <w:rPr>
          <w:i/>
        </w:rPr>
        <w:t xml:space="preserve">Staphylococcus aureus </w:t>
      </w:r>
      <w:r w:rsidRPr="00E70711" w:rsidR="00C14D37">
        <w:t>(MRSA).</w:t>
      </w:r>
      <w:r w:rsidRPr="00E70711" w:rsidR="00EC6EAF">
        <w:t xml:space="preserve"> </w:t>
      </w:r>
      <w:r w:rsidRPr="00E70711">
        <w:t>This bacterium affects both communities and healthcare facilities, but the majority of morbidity and mortality occurs in critically and chronically ill patients. While MRSA was rare in the US through the 1970s, its prevalence in US health care facilities began rising in the 1980s and had continued to do so. In 2000, MRSA was responsible for 133,</w:t>
      </w:r>
      <w:r w:rsidR="00693086">
        <w:t>510</w:t>
      </w:r>
      <w:r w:rsidRPr="00E70711">
        <w:t xml:space="preserve"> hospitalizations in children and adults. This number more than doubled by 2005, with 278,</w:t>
      </w:r>
      <w:r w:rsidR="00693086">
        <w:t>203</w:t>
      </w:r>
      <w:r w:rsidRPr="00E70711">
        <w:t xml:space="preserve"> hospitalizations along with</w:t>
      </w:r>
      <w:r w:rsidRPr="00E70711" w:rsidR="00EC6EAF">
        <w:t xml:space="preserve"> </w:t>
      </w:r>
      <w:r w:rsidRPr="00E70711">
        <w:t>56,</w:t>
      </w:r>
      <w:r w:rsidR="00693086">
        <w:t>248</w:t>
      </w:r>
      <w:r w:rsidRPr="00E70711">
        <w:t xml:space="preserve"> septic events and </w:t>
      </w:r>
      <w:r w:rsidRPr="00693086" w:rsidR="00693086">
        <w:t>6,639</w:t>
      </w:r>
      <w:r w:rsidR="00652EBB">
        <w:t xml:space="preserve"> </w:t>
      </w:r>
      <w:r w:rsidRPr="00E70711">
        <w:t>deaths being attributed to MRSA.</w:t>
      </w:r>
      <w:r w:rsidR="00693086">
        <w:rPr>
          <w:rStyle w:val="EndnoteReference"/>
        </w:rPr>
        <w:endnoteReference w:id="3"/>
      </w:r>
      <w:r w:rsidRPr="00E70711">
        <w:t xml:space="preserve"> MRSA has become a major form of hospital</w:t>
      </w:r>
      <w:r w:rsidRPr="00E70711" w:rsidR="00FB1E0C">
        <w:t xml:space="preserve"> </w:t>
      </w:r>
      <w:r w:rsidRPr="00E70711">
        <w:t xml:space="preserve">associated </w:t>
      </w:r>
      <w:r w:rsidRPr="00E70711">
        <w:rPr>
          <w:i/>
        </w:rPr>
        <w:t xml:space="preserve">Staphylococcus aureus </w:t>
      </w:r>
      <w:r w:rsidRPr="00E70711">
        <w:t>infection</w:t>
      </w:r>
      <w:r w:rsidR="00B82E8F">
        <w:t>.</w:t>
      </w:r>
      <w:r w:rsidR="00D45544">
        <w:rPr>
          <w:rStyle w:val="EndnoteReference"/>
        </w:rPr>
        <w:endnoteReference w:id="4"/>
      </w:r>
      <w:r w:rsidRPr="00E70711">
        <w:rPr>
          <w:sz w:val="37"/>
          <w:vertAlign w:val="superscript"/>
        </w:rPr>
        <w:t xml:space="preserve"> </w:t>
      </w:r>
    </w:p>
    <w:p w:rsidRPr="00E70711" w:rsidR="00BF53CF" w:rsidP="00C14D37" w:rsidRDefault="00BF53CF" w14:paraId="32FC3494" w14:textId="77777777">
      <w:pPr>
        <w:spacing w:line="259" w:lineRule="auto"/>
      </w:pPr>
      <w:r w:rsidRPr="00E70711">
        <w:t xml:space="preserve"> </w:t>
      </w:r>
    </w:p>
    <w:p w:rsidRPr="00E70711" w:rsidR="00E73A00" w:rsidP="00C14D37" w:rsidRDefault="00BF53CF" w14:paraId="726B5433" w14:textId="43EC7FA9">
      <w:pPr>
        <w:pStyle w:val="Default"/>
      </w:pPr>
      <w:r w:rsidRPr="00E70711">
        <w:t>For various patient safety initiatives, AHRQ has promoted the implementation and adoption of the Comprehensive Unit-based Safety Program (CUSP) approach which combines clinical and cultural (i.e., technical and adaptive) intervention components to facilitate the implementation of technical bundles to improve patient safety. For MRSA prevention, it is likely that a combination of technical approaches is indicated, including decolonization</w:t>
      </w:r>
      <w:r w:rsidR="00D163D9">
        <w:t>,</w:t>
      </w:r>
      <w:r w:rsidRPr="00E70711">
        <w:t xml:space="preserve"> along with classic infection control practices such as hand hygiene, environmental cleaning, general HAI prevention, and contact precautions/isolation. Implementation of these technical approaches would benefit greatly from the cultural and behavioral inter</w:t>
      </w:r>
      <w:r w:rsidRPr="00E70711" w:rsidR="005955D0">
        <w:t xml:space="preserve">ventions incorporated in CUSP. </w:t>
      </w:r>
      <w:r w:rsidRPr="00E70711">
        <w:t xml:space="preserve">AHRQ expects that this approach, which includes a focus on teamwork, communication, and patient engagement, will enhance the effectiveness of interventions to reduce MRSA infection that will be implemented and evaluated </w:t>
      </w:r>
      <w:r w:rsidRPr="00E70711" w:rsidR="00016C5F">
        <w:t>as part of this project</w:t>
      </w:r>
      <w:r w:rsidRPr="00E70711">
        <w:t xml:space="preserve">.  </w:t>
      </w:r>
    </w:p>
    <w:p w:rsidRPr="00E70711" w:rsidR="00127339" w:rsidP="00C14D37" w:rsidRDefault="00127339" w14:paraId="5E38314C" w14:textId="77777777">
      <w:pPr>
        <w:pStyle w:val="Default"/>
      </w:pPr>
    </w:p>
    <w:p w:rsidRPr="00E70711" w:rsidR="00127339" w:rsidP="00016C5F" w:rsidRDefault="00016C5F" w14:paraId="12C11E62" w14:textId="6CD52AA7">
      <w:r w:rsidRPr="00E70711">
        <w:t xml:space="preserve">This project will assist hospital units and long-term care </w:t>
      </w:r>
      <w:r w:rsidR="00466270">
        <w:t>(LTC)</w:t>
      </w:r>
      <w:r w:rsidRPr="00E70711">
        <w:t xml:space="preserve"> facilities in adopting and implementing technical approaches to reduce MRSA infections. It will be </w:t>
      </w:r>
      <w:r w:rsidRPr="00E70711" w:rsidR="00127339">
        <w:t xml:space="preserve">implemented in </w:t>
      </w:r>
      <w:r w:rsidRPr="00E70711" w:rsidR="00892162">
        <w:t xml:space="preserve">four </w:t>
      </w:r>
      <w:r w:rsidRPr="00E70711" w:rsidR="00127339">
        <w:t>cohorts:</w:t>
      </w:r>
    </w:p>
    <w:p w:rsidRPr="00E70711" w:rsidR="00892162" w:rsidP="00127339" w:rsidRDefault="002A163A" w14:paraId="500C654E" w14:textId="403ADCCC">
      <w:pPr>
        <w:pStyle w:val="ColorfulList-Accent11"/>
        <w:numPr>
          <w:ilvl w:val="0"/>
          <w:numId w:val="29"/>
        </w:numPr>
      </w:pPr>
      <w:r>
        <w:t xml:space="preserve">at least </w:t>
      </w:r>
      <w:r w:rsidRPr="00E70711" w:rsidR="00127339">
        <w:t xml:space="preserve">400 ICUs </w:t>
      </w:r>
    </w:p>
    <w:p w:rsidRPr="00E70711" w:rsidR="00127339" w:rsidP="00127339" w:rsidRDefault="002A163A" w14:paraId="15B741BD" w14:textId="70904D10">
      <w:pPr>
        <w:pStyle w:val="ColorfulList-Accent11"/>
        <w:numPr>
          <w:ilvl w:val="0"/>
          <w:numId w:val="29"/>
        </w:numPr>
      </w:pPr>
      <w:r>
        <w:t xml:space="preserve">at least </w:t>
      </w:r>
      <w:r w:rsidRPr="00E70711" w:rsidR="00127339">
        <w:t>400 non-ICUs</w:t>
      </w:r>
    </w:p>
    <w:p w:rsidRPr="00E70711" w:rsidR="00127339" w:rsidP="00127339" w:rsidRDefault="002A163A" w14:paraId="3261A29D" w14:textId="123D38D3">
      <w:pPr>
        <w:pStyle w:val="ColorfulList-Accent11"/>
        <w:numPr>
          <w:ilvl w:val="0"/>
          <w:numId w:val="29"/>
        </w:numPr>
      </w:pPr>
      <w:r>
        <w:t xml:space="preserve">at least </w:t>
      </w:r>
      <w:r w:rsidRPr="00E70711" w:rsidR="00127339">
        <w:t>300 hospital surgical services</w:t>
      </w:r>
    </w:p>
    <w:p w:rsidRPr="00E70711" w:rsidR="00127339" w:rsidP="00127339" w:rsidRDefault="002A163A" w14:paraId="66A8284A" w14:textId="7BBCB2F9">
      <w:pPr>
        <w:pStyle w:val="ColorfulList-Accent11"/>
        <w:numPr>
          <w:ilvl w:val="0"/>
          <w:numId w:val="29"/>
        </w:numPr>
      </w:pPr>
      <w:r>
        <w:t xml:space="preserve">at least </w:t>
      </w:r>
      <w:r w:rsidRPr="00E70711" w:rsidR="00127339">
        <w:t xml:space="preserve">300 </w:t>
      </w:r>
      <w:r w:rsidR="00534AD2">
        <w:t>LTC</w:t>
      </w:r>
      <w:r w:rsidRPr="00E70711" w:rsidR="00127339">
        <w:t xml:space="preserve"> facilities. </w:t>
      </w:r>
    </w:p>
    <w:p w:rsidRPr="00E70711" w:rsidR="00BF53CF" w:rsidP="00C14D37" w:rsidRDefault="00BF53CF" w14:paraId="1A8A1866" w14:textId="77777777">
      <w:pPr>
        <w:pStyle w:val="Default"/>
        <w:rPr>
          <w:color w:val="auto"/>
        </w:rPr>
      </w:pPr>
    </w:p>
    <w:p w:rsidRPr="00E70711" w:rsidR="00402BC2" w:rsidP="00C14D37" w:rsidRDefault="00705C8F" w14:paraId="5C02241A" w14:textId="7C616486">
      <w:r w:rsidRPr="00E70711">
        <w:t>T</w:t>
      </w:r>
      <w:r w:rsidRPr="00E70711" w:rsidR="000018B3">
        <w:t>he goa</w:t>
      </w:r>
      <w:r w:rsidRPr="00E70711" w:rsidR="00637DC4">
        <w:t>ls of this project are to 1) develop and</w:t>
      </w:r>
      <w:r w:rsidRPr="00E70711" w:rsidR="000018B3">
        <w:t xml:space="preserve"> implement a program to prevent MRSA invasive infection</w:t>
      </w:r>
      <w:r w:rsidR="00AD756E">
        <w:t xml:space="preserve"> </w:t>
      </w:r>
      <w:r w:rsidRPr="00092734" w:rsidR="00AD756E">
        <w:rPr>
          <w:color w:val="000000"/>
        </w:rPr>
        <w:t>(defined as MRSA bacteremia)</w:t>
      </w:r>
      <w:r w:rsidRPr="00E70711" w:rsidR="000018B3">
        <w:t xml:space="preserve"> in intensive care units (ICUs), non-ICUs, inpatient surgery, and </w:t>
      </w:r>
      <w:r w:rsidR="00466270">
        <w:t>LTC</w:t>
      </w:r>
      <w:r w:rsidRPr="00E70711" w:rsidR="000018B3">
        <w:t xml:space="preserve"> facilities</w:t>
      </w:r>
      <w:r w:rsidRPr="00E70711" w:rsidR="00637DC4">
        <w:t xml:space="preserve">, 2) assess the adoption of </w:t>
      </w:r>
      <w:r w:rsidR="003A6F7E">
        <w:t xml:space="preserve">the </w:t>
      </w:r>
      <w:r w:rsidRPr="004A62FC" w:rsidR="003A6F7E">
        <w:rPr>
          <w:i/>
        </w:rPr>
        <w:t>AHRQ Safety Program</w:t>
      </w:r>
      <w:r w:rsidRPr="00E007FA" w:rsidR="00637DC4">
        <w:rPr>
          <w:i/>
        </w:rPr>
        <w:t xml:space="preserve"> for MRSA Prevention</w:t>
      </w:r>
      <w:r w:rsidRPr="00E70711" w:rsidR="00637DC4">
        <w:t xml:space="preserve">, and 3) evaluate the effectiveness of the </w:t>
      </w:r>
      <w:r w:rsidRPr="00E70711" w:rsidR="00965F68">
        <w:t>i</w:t>
      </w:r>
      <w:r w:rsidR="00965F68">
        <w:t>mplementation</w:t>
      </w:r>
      <w:r w:rsidRPr="00E70711" w:rsidR="00637DC4">
        <w:t xml:space="preserve"> in the participating units. </w:t>
      </w:r>
      <w:r w:rsidRPr="00E70711" w:rsidR="00127339">
        <w:t xml:space="preserve">AHRQ is </w:t>
      </w:r>
      <w:r w:rsidRPr="00E70711" w:rsidR="00402BC2">
        <w:t xml:space="preserve">requesting a 3-year </w:t>
      </w:r>
      <w:r w:rsidRPr="009F39D0" w:rsidR="00402BC2">
        <w:t>clear</w:t>
      </w:r>
      <w:r w:rsidRPr="009F39D0" w:rsidR="00127339">
        <w:t>ance</w:t>
      </w:r>
      <w:r w:rsidRPr="00E70711" w:rsidR="00127339">
        <w:t xml:space="preserve"> to </w:t>
      </w:r>
      <w:r w:rsidRPr="00E70711" w:rsidR="00155B1D">
        <w:t>perform</w:t>
      </w:r>
      <w:r w:rsidRPr="00E70711" w:rsidR="00127339">
        <w:t xml:space="preserve"> the</w:t>
      </w:r>
      <w:r w:rsidRPr="00E70711" w:rsidR="00402BC2">
        <w:t xml:space="preserve"> data collection activities</w:t>
      </w:r>
      <w:r w:rsidRPr="00E70711" w:rsidR="00127339">
        <w:t xml:space="preserve"> needed to assess the adoption of the program and evaluate its effectiveness in the participating units and facilities</w:t>
      </w:r>
      <w:r w:rsidRPr="00E70711" w:rsidR="00402BC2">
        <w:t xml:space="preserve">. </w:t>
      </w:r>
    </w:p>
    <w:p w:rsidRPr="00E70711" w:rsidR="00402BC2" w:rsidP="00C14D37" w:rsidRDefault="00402BC2" w14:paraId="592FD35C" w14:textId="77777777"/>
    <w:p w:rsidRPr="00E70711" w:rsidR="00527BBD" w:rsidP="00C14D37" w:rsidRDefault="00E24EA6" w14:paraId="1ACC4911" w14:textId="41F18A82">
      <w:r w:rsidRPr="00E70711">
        <w:t xml:space="preserve">The project </w:t>
      </w:r>
      <w:r w:rsidRPr="00E70711" w:rsidR="00527BBD">
        <w:t>is being conducted by AHRQ through its contractor,</w:t>
      </w:r>
      <w:r w:rsidRPr="00E70711" w:rsidR="00104F3E">
        <w:t xml:space="preserve"> Johns Hopkins University </w:t>
      </w:r>
      <w:r w:rsidRPr="00E70711" w:rsidR="00EA3BED">
        <w:t xml:space="preserve">(JHU) </w:t>
      </w:r>
      <w:r w:rsidRPr="00E70711" w:rsidR="00104F3E">
        <w:t xml:space="preserve">and </w:t>
      </w:r>
      <w:r w:rsidRPr="00E70711" w:rsidR="00EA3BED">
        <w:t xml:space="preserve">JHU’s subcontractor, </w:t>
      </w:r>
      <w:r w:rsidRPr="00E70711" w:rsidR="00104F3E">
        <w:t>NORC at the University of Chicago</w:t>
      </w:r>
      <w:r w:rsidRPr="00E70711" w:rsidR="00264B80">
        <w:t xml:space="preserve">.  </w:t>
      </w:r>
      <w:r w:rsidRPr="00E70711" w:rsidR="00264B80">
        <w:rPr>
          <w:bCs/>
          <w:color w:val="000000"/>
        </w:rPr>
        <w:t xml:space="preserve">The </w:t>
      </w:r>
      <w:r w:rsidRPr="00E70711" w:rsidR="001508D3">
        <w:rPr>
          <w:bCs/>
          <w:color w:val="000000"/>
        </w:rPr>
        <w:t xml:space="preserve">project </w:t>
      </w:r>
      <w:r w:rsidRPr="00E70711" w:rsidR="00264B80">
        <w:rPr>
          <w:bCs/>
          <w:color w:val="000000"/>
        </w:rPr>
        <w:t>is being undertaken</w:t>
      </w:r>
      <w:r w:rsidRPr="00E70711" w:rsidR="00527BBD">
        <w:t xml:space="preserve"> pursuant to </w:t>
      </w:r>
      <w:r w:rsidRPr="00E70711" w:rsidR="006E0A89">
        <w:rPr>
          <w:bCs/>
          <w:color w:val="000000"/>
        </w:rPr>
        <w:t xml:space="preserve">AHRQ’s mission to enhance the quality, appropriateness, and effectiveness of health services, and access to such services, through the establishment of a broad base of scientific research and through the promotion of </w:t>
      </w:r>
      <w:r w:rsidRPr="00E70711" w:rsidR="006E0A89">
        <w:rPr>
          <w:bCs/>
          <w:color w:val="000000"/>
        </w:rPr>
        <w:lastRenderedPageBreak/>
        <w:t>improvements in clinical and health systems practices, including the prevention of diseases and other health conditions</w:t>
      </w:r>
      <w:r w:rsidRPr="00E70711" w:rsidR="00691569">
        <w:rPr>
          <w:bCs/>
          <w:color w:val="000000"/>
        </w:rPr>
        <w:t xml:space="preserve"> (</w:t>
      </w:r>
      <w:r w:rsidRPr="00E70711" w:rsidR="006E0A89">
        <w:rPr>
          <w:bCs/>
          <w:color w:val="000000"/>
        </w:rPr>
        <w:t>42 U.S.C. 299</w:t>
      </w:r>
      <w:r w:rsidRPr="00E70711" w:rsidR="00691569">
        <w:rPr>
          <w:bCs/>
          <w:color w:val="000000"/>
        </w:rPr>
        <w:t>)</w:t>
      </w:r>
      <w:r w:rsidRPr="00E70711" w:rsidR="006E0A89">
        <w:rPr>
          <w:bCs/>
          <w:color w:val="000000"/>
        </w:rPr>
        <w:t>.</w:t>
      </w:r>
    </w:p>
    <w:p w:rsidRPr="00E70711" w:rsidR="009B633D" w:rsidP="00C14D37" w:rsidRDefault="009B633D" w14:paraId="2A1BC015" w14:textId="77777777">
      <w:pPr>
        <w:pStyle w:val="Heading2"/>
        <w:rPr>
          <w:sz w:val="24"/>
        </w:rPr>
      </w:pPr>
      <w:bookmarkStart w:name="_Toc151782177" w:id="8"/>
      <w:bookmarkStart w:name="_Toc158526217" w:id="9"/>
      <w:bookmarkStart w:name="_Toc73964939" w:id="10"/>
      <w:bookmarkStart w:name="_Toc73965298" w:id="11"/>
      <w:r w:rsidRPr="00E70711">
        <w:rPr>
          <w:sz w:val="24"/>
        </w:rPr>
        <w:t>2. Purpose and Use of Information</w:t>
      </w:r>
      <w:bookmarkEnd w:id="8"/>
      <w:bookmarkEnd w:id="9"/>
      <w:bookmarkEnd w:id="10"/>
      <w:bookmarkEnd w:id="11"/>
    </w:p>
    <w:p w:rsidRPr="00E70711" w:rsidR="005955D0" w:rsidP="005955D0" w:rsidRDefault="00C9633D" w14:paraId="698A5FB4" w14:textId="355A0D4E">
      <w:pPr>
        <w:pStyle w:val="BodyText"/>
        <w:rPr>
          <w:rFonts w:ascii="Arial" w:hAnsi="Arial" w:cs="Arial"/>
        </w:rPr>
      </w:pPr>
      <w:r w:rsidRPr="00E70711">
        <w:t xml:space="preserve">This data collection effort will be part of a comprehensive evaluation strategy to assess the adoption of </w:t>
      </w:r>
      <w:r w:rsidRPr="00E70711" w:rsidR="00334D06">
        <w:t xml:space="preserve">the </w:t>
      </w:r>
      <w:r w:rsidRPr="00215B82" w:rsidR="003A6F7E">
        <w:rPr>
          <w:i/>
        </w:rPr>
        <w:t>AHRQ</w:t>
      </w:r>
      <w:r w:rsidRPr="00E007FA" w:rsidR="00334D06">
        <w:rPr>
          <w:i/>
        </w:rPr>
        <w:t xml:space="preserve"> Safety Program </w:t>
      </w:r>
      <w:r w:rsidRPr="00E007FA">
        <w:rPr>
          <w:i/>
        </w:rPr>
        <w:t xml:space="preserve">for </w:t>
      </w:r>
      <w:r w:rsidRPr="00E007FA" w:rsidR="00E13123">
        <w:rPr>
          <w:i/>
        </w:rPr>
        <w:t>MRSA Prevention</w:t>
      </w:r>
      <w:r w:rsidRPr="00E70711" w:rsidR="00E13123">
        <w:t xml:space="preserve"> in ICUs, non-ICUs, surgical services, and </w:t>
      </w:r>
      <w:r w:rsidR="00466270">
        <w:t>LTC</w:t>
      </w:r>
      <w:r w:rsidRPr="00E70711">
        <w:t xml:space="preserve"> settings; </w:t>
      </w:r>
      <w:r w:rsidRPr="00E70711" w:rsidR="00E13123">
        <w:t xml:space="preserve">and </w:t>
      </w:r>
      <w:r w:rsidRPr="00E70711">
        <w:t xml:space="preserve">measure the effectiveness of the </w:t>
      </w:r>
      <w:r w:rsidRPr="00E70711" w:rsidR="00965F68">
        <w:t>i</w:t>
      </w:r>
      <w:r w:rsidR="00965F68">
        <w:t>mplementation</w:t>
      </w:r>
      <w:r w:rsidRPr="00E70711" w:rsidR="00334D06">
        <w:t xml:space="preserve"> in the participating facilities or units</w:t>
      </w:r>
      <w:r w:rsidRPr="00E70711" w:rsidR="000641B3">
        <w:t>.</w:t>
      </w:r>
      <w:r w:rsidRPr="00E70711" w:rsidR="005955D0">
        <w:t xml:space="preserve"> The evaluation has four main goals: </w:t>
      </w:r>
    </w:p>
    <w:p w:rsidRPr="00E70711" w:rsidR="005955D0" w:rsidP="005955D0" w:rsidRDefault="005955D0" w14:paraId="7C8675D9" w14:textId="77777777">
      <w:pPr>
        <w:pStyle w:val="BodyText"/>
        <w:numPr>
          <w:ilvl w:val="0"/>
          <w:numId w:val="31"/>
        </w:numPr>
        <w:spacing w:after="0"/>
      </w:pPr>
      <w:r w:rsidRPr="009F39D0">
        <w:rPr>
          <w:u w:val="single"/>
        </w:rPr>
        <w:t>Program participation</w:t>
      </w:r>
      <w:r w:rsidRPr="00E70711">
        <w:t>: Assess the ability of sites to successfully encourage full participation of unit/facility staff in educational activities.</w:t>
      </w:r>
    </w:p>
    <w:p w:rsidRPr="00E70711" w:rsidR="005955D0" w:rsidP="005955D0" w:rsidRDefault="005955D0" w14:paraId="4D63F088" w14:textId="26F5677B">
      <w:pPr>
        <w:pStyle w:val="BodyText"/>
        <w:numPr>
          <w:ilvl w:val="0"/>
          <w:numId w:val="31"/>
        </w:numPr>
        <w:spacing w:after="0"/>
      </w:pPr>
      <w:r w:rsidRPr="009F39D0">
        <w:rPr>
          <w:u w:val="single"/>
        </w:rPr>
        <w:t>Implementation and adoption</w:t>
      </w:r>
      <w:r w:rsidRPr="00E70711">
        <w:t xml:space="preserve">: Assess the implementation and adoption of </w:t>
      </w:r>
      <w:r w:rsidRPr="00215B82" w:rsidR="003A6F7E">
        <w:rPr>
          <w:i/>
        </w:rPr>
        <w:t>AHRQ Safety Program</w:t>
      </w:r>
      <w:r w:rsidRPr="00E007FA">
        <w:rPr>
          <w:i/>
        </w:rPr>
        <w:t xml:space="preserve"> for MRSA </w:t>
      </w:r>
      <w:r w:rsidRPr="00215B82" w:rsidR="003A6F7E">
        <w:rPr>
          <w:i/>
        </w:rPr>
        <w:t>P</w:t>
      </w:r>
      <w:r w:rsidRPr="00215B82">
        <w:rPr>
          <w:i/>
        </w:rPr>
        <w:t>revention</w:t>
      </w:r>
      <w:r w:rsidRPr="00E70711">
        <w:t>.</w:t>
      </w:r>
    </w:p>
    <w:p w:rsidRPr="00E70711" w:rsidR="005955D0" w:rsidP="005955D0" w:rsidRDefault="005955D0" w14:paraId="0E0F5E10" w14:textId="369F1096">
      <w:pPr>
        <w:pStyle w:val="BodyText"/>
        <w:numPr>
          <w:ilvl w:val="0"/>
          <w:numId w:val="31"/>
        </w:numPr>
        <w:spacing w:after="0"/>
      </w:pPr>
      <w:r w:rsidRPr="009F39D0">
        <w:rPr>
          <w:u w:val="single"/>
        </w:rPr>
        <w:t>Program effectiveness</w:t>
      </w:r>
      <w:r w:rsidRPr="009F39D0">
        <w:t>:</w:t>
      </w:r>
      <w:r w:rsidRPr="00E70711">
        <w:t xml:space="preserve"> Measure the effectiveness of the </w:t>
      </w:r>
      <w:r w:rsidRPr="00215B82" w:rsidR="003A6F7E">
        <w:rPr>
          <w:i/>
        </w:rPr>
        <w:t>AHRQ Safety Program</w:t>
      </w:r>
      <w:r w:rsidRPr="00E007FA">
        <w:rPr>
          <w:i/>
        </w:rPr>
        <w:t xml:space="preserve"> for MRSA </w:t>
      </w:r>
      <w:r w:rsidRPr="00215B82" w:rsidR="003A6F7E">
        <w:rPr>
          <w:i/>
        </w:rPr>
        <w:t>P</w:t>
      </w:r>
      <w:r w:rsidRPr="00215B82">
        <w:rPr>
          <w:i/>
        </w:rPr>
        <w:t>revention</w:t>
      </w:r>
      <w:r w:rsidRPr="00E70711">
        <w:t xml:space="preserve"> bundle.</w:t>
      </w:r>
    </w:p>
    <w:p w:rsidRPr="00E70711" w:rsidR="005955D0" w:rsidP="005955D0" w:rsidRDefault="005955D0" w14:paraId="7E983851" w14:textId="75C296CD">
      <w:pPr>
        <w:pStyle w:val="BodyText"/>
        <w:numPr>
          <w:ilvl w:val="0"/>
          <w:numId w:val="31"/>
        </w:numPr>
        <w:spacing w:after="0"/>
      </w:pPr>
      <w:r w:rsidRPr="009F39D0">
        <w:rPr>
          <w:u w:val="single"/>
        </w:rPr>
        <w:t>Causal pathways</w:t>
      </w:r>
      <w:r w:rsidRPr="009F39D0">
        <w:t>:</w:t>
      </w:r>
      <w:r w:rsidRPr="00E70711">
        <w:t xml:space="preserve"> </w:t>
      </w:r>
      <w:r w:rsidRPr="00E70711" w:rsidR="00250747">
        <w:t xml:space="preserve">Describe </w:t>
      </w:r>
      <w:r w:rsidRPr="00E70711">
        <w:t xml:space="preserve">the characteristics of teams that are associated with successful implementation and improvement outcomes. </w:t>
      </w:r>
    </w:p>
    <w:p w:rsidRPr="00E70711" w:rsidR="008A3E60" w:rsidP="008A3E60" w:rsidRDefault="008A3E60" w14:paraId="1CCEC4D2" w14:textId="77777777"/>
    <w:p w:rsidRPr="00E70711" w:rsidR="00DF607F" w:rsidP="008A3E60" w:rsidRDefault="008A3E60" w14:paraId="03FD4E49" w14:textId="3871DDAE">
      <w:r w:rsidRPr="00E70711">
        <w:t xml:space="preserve">The evaluation will utilize </w:t>
      </w:r>
      <w:r w:rsidR="00460B9F">
        <w:t xml:space="preserve">an interrupted time series </w:t>
      </w:r>
      <w:r w:rsidRPr="00E70711">
        <w:t xml:space="preserve">design </w:t>
      </w:r>
      <w:r w:rsidR="0039038A">
        <w:t>to assess MRSA invasive infections</w:t>
      </w:r>
      <w:r w:rsidR="00DF5547">
        <w:t xml:space="preserve"> (defined as MRSA bacteremia)</w:t>
      </w:r>
      <w:r w:rsidR="0039038A">
        <w:t xml:space="preserve"> and secondary clinical outcomes</w:t>
      </w:r>
      <w:r w:rsidRPr="00E70711">
        <w:t xml:space="preserve">, </w:t>
      </w:r>
      <w:r w:rsidRPr="00E70711" w:rsidR="00DF607F">
        <w:t xml:space="preserve">using </w:t>
      </w:r>
      <w:r w:rsidR="0039038A">
        <w:t xml:space="preserve">18 months of </w:t>
      </w:r>
      <w:r w:rsidR="001E30DF">
        <w:t xml:space="preserve">implementation </w:t>
      </w:r>
      <w:r w:rsidR="00602CA5">
        <w:t xml:space="preserve">data and 12 months of </w:t>
      </w:r>
      <w:r w:rsidR="0039038A">
        <w:t>retrospective</w:t>
      </w:r>
      <w:r w:rsidR="001E30DF">
        <w:t xml:space="preserve"> data</w:t>
      </w:r>
      <w:r w:rsidR="00466270">
        <w:t>.</w:t>
      </w:r>
      <w:r w:rsidR="000B2A51">
        <w:t xml:space="preserve"> </w:t>
      </w:r>
      <w:r w:rsidR="0039038A">
        <w:t>We will also assess needs of participating units and capacity to implement the intervention, awareness of MRSA prevention,</w:t>
      </w:r>
      <w:r w:rsidR="001E30DF">
        <w:t xml:space="preserve"> implementation </w:t>
      </w:r>
      <w:r w:rsidR="0039038A">
        <w:t xml:space="preserve">fidelity and effectiveness, communication and teamwork, and changes in patient safety culture and behavior. </w:t>
      </w:r>
      <w:r w:rsidR="00853A6E">
        <w:t xml:space="preserve">  </w:t>
      </w:r>
      <w:r w:rsidRPr="00E70711" w:rsidR="00DF607F">
        <w:t xml:space="preserve"> </w:t>
      </w:r>
      <w:r w:rsidRPr="00E70711">
        <w:t xml:space="preserve"> </w:t>
      </w:r>
    </w:p>
    <w:p w:rsidRPr="00E70711" w:rsidR="00DF607F" w:rsidP="008A3E60" w:rsidRDefault="00DF607F" w14:paraId="48CA3BF5" w14:textId="77777777"/>
    <w:p w:rsidR="008A3E60" w:rsidP="008A3E60" w:rsidRDefault="007B243C" w14:paraId="7163CD7A" w14:textId="68102657">
      <w:r w:rsidRPr="00E70711">
        <w:t>The data collection will include both primary and secondary data sources. The primary data collection includes the following:</w:t>
      </w:r>
    </w:p>
    <w:p w:rsidR="00EB384F" w:rsidP="008A3E60" w:rsidRDefault="00EB384F" w14:paraId="045D23E2" w14:textId="77777777"/>
    <w:p w:rsidRPr="00E007FA" w:rsidR="00992F6D" w:rsidP="00EB384F" w:rsidRDefault="00EB384F" w14:paraId="3662B95C" w14:textId="7E542B6B">
      <w:pPr>
        <w:pStyle w:val="ListParagraph"/>
        <w:numPr>
          <w:ilvl w:val="0"/>
          <w:numId w:val="34"/>
        </w:numPr>
        <w:rPr>
          <w:u w:val="single"/>
        </w:rPr>
      </w:pPr>
      <w:r w:rsidRPr="00E70711">
        <w:rPr>
          <w:u w:val="single"/>
        </w:rPr>
        <w:t>Unit -level clinical outcome change data</w:t>
      </w:r>
      <w:r>
        <w:rPr>
          <w:u w:val="single"/>
        </w:rPr>
        <w:t>:</w:t>
      </w:r>
      <w:r w:rsidRPr="00E007FA">
        <w:t xml:space="preserve"> </w:t>
      </w:r>
      <w:r w:rsidR="00222CB1">
        <w:t xml:space="preserve">The </w:t>
      </w:r>
      <w:r w:rsidRPr="00B213CD">
        <w:t>program</w:t>
      </w:r>
      <w:r w:rsidRPr="00B213CD" w:rsidR="006A15D7">
        <w:t xml:space="preserve"> </w:t>
      </w:r>
      <w:r w:rsidR="00222CB1">
        <w:t>will use a secure online portal to collect clinical outcomes measures extracted from site electronic health record (EHR) systems</w:t>
      </w:r>
      <w:r w:rsidR="00C404F4">
        <w:t xml:space="preserve"> for the 12 month period prior to the start of the </w:t>
      </w:r>
      <w:r w:rsidRPr="00E70711" w:rsidR="00965F68">
        <w:t>i</w:t>
      </w:r>
      <w:r w:rsidR="00965F68">
        <w:t>mplementation</w:t>
      </w:r>
      <w:r w:rsidR="00C41CAD">
        <w:t>,</w:t>
      </w:r>
      <w:r w:rsidR="00C404F4">
        <w:t xml:space="preserve"> as well as for the 18 month </w:t>
      </w:r>
      <w:r w:rsidRPr="00E70711" w:rsidR="00965F68">
        <w:t>i</w:t>
      </w:r>
      <w:r w:rsidR="00965F68">
        <w:t>mplementation</w:t>
      </w:r>
      <w:r w:rsidR="00C404F4">
        <w:t xml:space="preserve"> period</w:t>
      </w:r>
      <w:r w:rsidR="00222CB1">
        <w:t xml:space="preserve">. </w:t>
      </w:r>
      <w:r w:rsidRPr="00B213CD" w:rsidR="00992F6D">
        <w:t xml:space="preserve">These data will be used to evaluate the effectiveness of the </w:t>
      </w:r>
      <w:r w:rsidRPr="0021309F" w:rsidR="00992F6D">
        <w:rPr>
          <w:i/>
        </w:rPr>
        <w:t>AHRQ Safety Program for MRSA Prevention</w:t>
      </w:r>
      <w:r w:rsidRPr="00B213CD" w:rsidR="00992F6D">
        <w:t xml:space="preserve"> (Attachments </w:t>
      </w:r>
      <w:r w:rsidR="00992F6D">
        <w:t>J</w:t>
      </w:r>
      <w:r w:rsidRPr="00B213CD" w:rsidR="00992F6D">
        <w:t xml:space="preserve">, </w:t>
      </w:r>
      <w:r w:rsidR="00992F6D">
        <w:t>K</w:t>
      </w:r>
      <w:r w:rsidRPr="00B213CD" w:rsidR="00992F6D">
        <w:t xml:space="preserve">, </w:t>
      </w:r>
      <w:r w:rsidR="00992F6D">
        <w:t>L</w:t>
      </w:r>
      <w:r w:rsidRPr="00B213CD" w:rsidR="00992F6D">
        <w:t xml:space="preserve">, </w:t>
      </w:r>
      <w:r w:rsidR="00992F6D">
        <w:t>M</w:t>
      </w:r>
      <w:r w:rsidRPr="00B213CD" w:rsidR="00992F6D">
        <w:t xml:space="preserve">, </w:t>
      </w:r>
      <w:r w:rsidR="00992F6D">
        <w:t>N</w:t>
      </w:r>
      <w:r w:rsidRPr="00B213CD" w:rsidR="00992F6D">
        <w:t xml:space="preserve">, </w:t>
      </w:r>
      <w:r w:rsidR="00992F6D">
        <w:t>and O</w:t>
      </w:r>
      <w:r w:rsidRPr="00B213CD" w:rsidR="00992F6D">
        <w:t>).</w:t>
      </w:r>
    </w:p>
    <w:p w:rsidR="00992F6D" w:rsidP="00E007FA" w:rsidRDefault="00992F6D" w14:paraId="0184DCC1" w14:textId="77777777">
      <w:pPr>
        <w:pStyle w:val="ListParagraph"/>
        <w:ind w:left="462"/>
        <w:rPr>
          <w:u w:val="single"/>
        </w:rPr>
      </w:pPr>
    </w:p>
    <w:p w:rsidR="00992F6D" w:rsidP="00E007FA" w:rsidRDefault="00992F6D" w14:paraId="0E4BD7B8" w14:textId="604BC2AC">
      <w:pPr>
        <w:ind w:left="462"/>
      </w:pPr>
      <w:r>
        <w:t xml:space="preserve">For </w:t>
      </w:r>
      <w:r w:rsidRPr="00FB0F30">
        <w:t>the ICU and non-ICU cohorts</w:t>
      </w:r>
      <w:r>
        <w:t>, the</w:t>
      </w:r>
      <w:r w:rsidRPr="00FB0F30">
        <w:t xml:space="preserve"> </w:t>
      </w:r>
      <w:r>
        <w:t>clinical outcomes data</w:t>
      </w:r>
      <w:r w:rsidRPr="00FB0F30">
        <w:t xml:space="preserve"> will</w:t>
      </w:r>
      <w:r>
        <w:t xml:space="preserve"> be collected quarterly and will</w:t>
      </w:r>
      <w:r w:rsidRPr="00FB0F30">
        <w:t xml:space="preserve"> include:</w:t>
      </w:r>
    </w:p>
    <w:p w:rsidRPr="00E910A2" w:rsidR="00992F6D" w:rsidP="00E007FA" w:rsidRDefault="00992F6D" w14:paraId="0E9F6F69" w14:textId="77777777">
      <w:pPr>
        <w:pStyle w:val="ListParagraph"/>
        <w:numPr>
          <w:ilvl w:val="0"/>
          <w:numId w:val="53"/>
        </w:numPr>
        <w:ind w:left="1362"/>
      </w:pPr>
      <w:r w:rsidRPr="00E910A2">
        <w:t>Hospital onset MRSA invasive infection (MRSA bacteremia LabID Day 3 or after of admission</w:t>
      </w:r>
      <w:r>
        <w:t>)</w:t>
      </w:r>
    </w:p>
    <w:p w:rsidR="00992F6D" w:rsidP="00992F6D" w:rsidRDefault="00992F6D" w14:paraId="7084C2E4" w14:textId="77777777">
      <w:pPr>
        <w:pStyle w:val="ListParagraph"/>
        <w:numPr>
          <w:ilvl w:val="0"/>
          <w:numId w:val="53"/>
        </w:numPr>
        <w:ind w:left="1362"/>
      </w:pPr>
      <w:r w:rsidRPr="00E910A2">
        <w:t>Community onset MRSA invasive infection (MRSA bacteremia LabID prior to Day 3 after admission)</w:t>
      </w:r>
    </w:p>
    <w:p w:rsidRPr="00E910A2" w:rsidR="00992F6D" w:rsidP="00E007FA" w:rsidRDefault="00992F6D" w14:paraId="1581C027" w14:textId="77777777">
      <w:pPr>
        <w:pStyle w:val="ListParagraph"/>
        <w:numPr>
          <w:ilvl w:val="0"/>
          <w:numId w:val="53"/>
        </w:numPr>
        <w:ind w:left="1362"/>
      </w:pPr>
      <w:r w:rsidRPr="00E910A2">
        <w:t>Patient days</w:t>
      </w:r>
    </w:p>
    <w:p w:rsidRPr="00E910A2" w:rsidR="00992F6D" w:rsidP="00E007FA" w:rsidRDefault="00992F6D" w14:paraId="2DB543B4" w14:textId="77777777">
      <w:pPr>
        <w:pStyle w:val="ListParagraph"/>
        <w:numPr>
          <w:ilvl w:val="0"/>
          <w:numId w:val="53"/>
        </w:numPr>
        <w:ind w:left="1362"/>
      </w:pPr>
      <w:r w:rsidRPr="00E910A2">
        <w:t>Central Line-Associated Blood Stream Infections with causative organism(s)</w:t>
      </w:r>
    </w:p>
    <w:p w:rsidR="00992F6D" w:rsidP="00E007FA" w:rsidRDefault="00992F6D" w14:paraId="1DF31853" w14:textId="77777777">
      <w:pPr>
        <w:pStyle w:val="ListParagraph"/>
        <w:numPr>
          <w:ilvl w:val="0"/>
          <w:numId w:val="53"/>
        </w:numPr>
        <w:ind w:left="1362"/>
      </w:pPr>
      <w:r w:rsidRPr="00E910A2">
        <w:t>Central Line Days</w:t>
      </w:r>
    </w:p>
    <w:p w:rsidR="00992F6D" w:rsidP="00E007FA" w:rsidRDefault="00992F6D" w14:paraId="39286824" w14:textId="436DA47A">
      <w:pPr>
        <w:pStyle w:val="ListParagraph"/>
        <w:numPr>
          <w:ilvl w:val="0"/>
          <w:numId w:val="53"/>
        </w:numPr>
        <w:ind w:left="1362"/>
      </w:pPr>
      <w:r>
        <w:t>Hospital onset bacteremia (Day 3 or after of admission) with causative organisms, including MSSA</w:t>
      </w:r>
    </w:p>
    <w:p w:rsidRPr="00E910A2" w:rsidR="00992F6D" w:rsidP="00E007FA" w:rsidRDefault="00992F6D" w14:paraId="74ADDB9D" w14:textId="5E2FFA67">
      <w:pPr>
        <w:pStyle w:val="ListParagraph"/>
        <w:numPr>
          <w:ilvl w:val="0"/>
          <w:numId w:val="53"/>
        </w:numPr>
        <w:ind w:left="1362"/>
      </w:pPr>
      <w:r>
        <w:lastRenderedPageBreak/>
        <w:t>MRSA-positive clinical cultures</w:t>
      </w:r>
    </w:p>
    <w:p w:rsidR="00992F6D" w:rsidP="00E007FA" w:rsidRDefault="00992F6D" w14:paraId="15366855" w14:textId="77777777">
      <w:pPr>
        <w:ind w:left="462"/>
      </w:pPr>
    </w:p>
    <w:p w:rsidR="00992F6D" w:rsidP="00E007FA" w:rsidRDefault="00992F6D" w14:paraId="27E499ED" w14:textId="69CB6D64">
      <w:pPr>
        <w:ind w:left="462"/>
      </w:pPr>
      <w:r>
        <w:t xml:space="preserve">In addition, hospitals that are already conducting MRSA </w:t>
      </w:r>
      <w:r w:rsidRPr="00866F82">
        <w:t>point prevalence survey</w:t>
      </w:r>
      <w:r>
        <w:t>s in participating ICU and non-ICU units will be asked to submit this optional data via the secure online portal</w:t>
      </w:r>
      <w:r w:rsidRPr="00866F82">
        <w:t>.</w:t>
      </w:r>
      <w:r w:rsidR="00E40B1E">
        <w:t xml:space="preserve"> </w:t>
      </w:r>
    </w:p>
    <w:p w:rsidR="00992F6D" w:rsidP="00E007FA" w:rsidRDefault="00992F6D" w14:paraId="63BA8421" w14:textId="77777777">
      <w:pPr>
        <w:ind w:left="462"/>
      </w:pPr>
    </w:p>
    <w:p w:rsidR="00992F6D" w:rsidP="00E007FA" w:rsidRDefault="00992F6D" w14:paraId="634D464A" w14:textId="55781EF8">
      <w:pPr>
        <w:ind w:left="462"/>
      </w:pPr>
      <w:r>
        <w:t xml:space="preserve">For </w:t>
      </w:r>
      <w:r w:rsidRPr="00FB0F30">
        <w:t xml:space="preserve">the </w:t>
      </w:r>
      <w:r w:rsidRPr="005B4B50">
        <w:t>surgical services cohort</w:t>
      </w:r>
      <w:r>
        <w:t>, the</w:t>
      </w:r>
      <w:r w:rsidRPr="00FB0F30">
        <w:t xml:space="preserve"> </w:t>
      </w:r>
      <w:r>
        <w:t>clinical outcomes data</w:t>
      </w:r>
      <w:r w:rsidRPr="00FB0F30">
        <w:t xml:space="preserve"> will</w:t>
      </w:r>
      <w:r>
        <w:t xml:space="preserve"> be collected quarterly and will</w:t>
      </w:r>
      <w:r w:rsidRPr="00FB0F30">
        <w:t xml:space="preserve"> include</w:t>
      </w:r>
      <w:r w:rsidRPr="005B4B50">
        <w:t>:</w:t>
      </w:r>
    </w:p>
    <w:p w:rsidR="00992F6D" w:rsidP="00E007FA" w:rsidRDefault="00992F6D" w14:paraId="268E74AD" w14:textId="77777777">
      <w:pPr>
        <w:pStyle w:val="ListParagraph"/>
        <w:numPr>
          <w:ilvl w:val="0"/>
          <w:numId w:val="54"/>
        </w:numPr>
        <w:ind w:left="1182"/>
      </w:pPr>
      <w:r>
        <w:t xml:space="preserve">Surgical site infection (SSI) events and causative organisms </w:t>
      </w:r>
    </w:p>
    <w:p w:rsidRPr="00E910A2" w:rsidR="00992F6D" w:rsidP="00E007FA" w:rsidRDefault="00992F6D" w14:paraId="421EEAFD" w14:textId="77777777">
      <w:pPr>
        <w:pStyle w:val="ListParagraph"/>
        <w:numPr>
          <w:ilvl w:val="0"/>
          <w:numId w:val="54"/>
        </w:numPr>
        <w:ind w:left="1182"/>
      </w:pPr>
      <w:r>
        <w:t xml:space="preserve">Number of surgical procedures performed, by type of surgical procedure </w:t>
      </w:r>
    </w:p>
    <w:p w:rsidRPr="00E007FA" w:rsidR="00992F6D" w:rsidP="00E007FA" w:rsidRDefault="00992F6D" w14:paraId="611584EB" w14:textId="77777777">
      <w:pPr>
        <w:pStyle w:val="ListParagraph"/>
        <w:ind w:left="462"/>
        <w:rPr>
          <w:u w:val="single"/>
        </w:rPr>
      </w:pPr>
    </w:p>
    <w:p w:rsidR="00992F6D" w:rsidP="00992F6D" w:rsidRDefault="00992F6D" w14:paraId="6E39AD0C" w14:textId="57E0D51A">
      <w:pPr>
        <w:ind w:left="462"/>
      </w:pPr>
      <w:r>
        <w:t xml:space="preserve">For </w:t>
      </w:r>
      <w:r w:rsidRPr="00FB0F30">
        <w:t xml:space="preserve">the </w:t>
      </w:r>
      <w:r>
        <w:t>LTC</w:t>
      </w:r>
      <w:r w:rsidRPr="005B4B50">
        <w:t xml:space="preserve"> cohort</w:t>
      </w:r>
      <w:r>
        <w:t>, the</w:t>
      </w:r>
      <w:r w:rsidRPr="00FB0F30">
        <w:t xml:space="preserve"> </w:t>
      </w:r>
      <w:r>
        <w:t>clinical outcomes data</w:t>
      </w:r>
      <w:r w:rsidRPr="00FB0F30">
        <w:t xml:space="preserve"> will</w:t>
      </w:r>
      <w:r>
        <w:t xml:space="preserve"> be collected monthly</w:t>
      </w:r>
      <w:r w:rsidRPr="00992F6D">
        <w:t xml:space="preserve"> </w:t>
      </w:r>
      <w:r w:rsidRPr="003E7EB7">
        <w:t>via the secure</w:t>
      </w:r>
      <w:r>
        <w:t xml:space="preserve"> online portal, or via fax submission, and will</w:t>
      </w:r>
      <w:r w:rsidRPr="00FB0F30">
        <w:t xml:space="preserve"> include</w:t>
      </w:r>
      <w:r w:rsidRPr="005B4B50">
        <w:t>:</w:t>
      </w:r>
    </w:p>
    <w:p w:rsidRPr="00E007FA" w:rsidR="009E7637" w:rsidP="00E007FA" w:rsidRDefault="009E7637" w14:paraId="254454DC" w14:textId="2FC5D041">
      <w:pPr>
        <w:pStyle w:val="ListParagraph"/>
        <w:numPr>
          <w:ilvl w:val="0"/>
          <w:numId w:val="57"/>
        </w:numPr>
      </w:pPr>
      <w:r>
        <w:t xml:space="preserve">Transfer of facility resident(s) to an acute care hospital, with reason </w:t>
      </w:r>
      <w:r w:rsidR="009C2F9C">
        <w:t xml:space="preserve">of </w:t>
      </w:r>
      <w:r>
        <w:t>s</w:t>
      </w:r>
      <w:r w:rsidR="009C2F9C">
        <w:t>uspected or confirmed infection</w:t>
      </w:r>
      <w:r>
        <w:t xml:space="preserve"> </w:t>
      </w:r>
    </w:p>
    <w:p w:rsidRPr="00861D11" w:rsidR="009C2F9C" w:rsidP="009C2F9C" w:rsidRDefault="009C2F9C" w14:paraId="4D243D08" w14:textId="204ABA1B">
      <w:pPr>
        <w:pStyle w:val="ListParagraph"/>
        <w:numPr>
          <w:ilvl w:val="0"/>
          <w:numId w:val="57"/>
        </w:numPr>
      </w:pPr>
      <w:r>
        <w:t>Transfer of facility resident(s) to an acute care hospital, with reason other than infection</w:t>
      </w:r>
    </w:p>
    <w:p w:rsidRPr="00E007FA" w:rsidR="00992F6D" w:rsidP="00E007FA" w:rsidRDefault="00992F6D" w14:paraId="61282E7E" w14:textId="078F8D5F">
      <w:pPr>
        <w:pStyle w:val="ListParagraph"/>
        <w:numPr>
          <w:ilvl w:val="0"/>
          <w:numId w:val="57"/>
        </w:numPr>
        <w:rPr>
          <w:u w:val="single"/>
        </w:rPr>
      </w:pPr>
      <w:r>
        <w:t>A</w:t>
      </w:r>
      <w:r w:rsidRPr="00215B82" w:rsidR="00FC31F0">
        <w:t xml:space="preserve">ll-cause bacteremia with </w:t>
      </w:r>
      <w:r w:rsidR="003629E7">
        <w:t>causative</w:t>
      </w:r>
      <w:r w:rsidRPr="00215B82" w:rsidR="00FC31F0">
        <w:t xml:space="preserve"> organisms</w:t>
      </w:r>
    </w:p>
    <w:p w:rsidRPr="00E007FA" w:rsidR="00992F6D" w:rsidP="00E007FA" w:rsidRDefault="00992F6D" w14:paraId="2E3A0BD7" w14:textId="77777777">
      <w:pPr>
        <w:pStyle w:val="ListParagraph"/>
        <w:numPr>
          <w:ilvl w:val="0"/>
          <w:numId w:val="57"/>
        </w:numPr>
        <w:rPr>
          <w:u w:val="single"/>
        </w:rPr>
      </w:pPr>
      <w:r>
        <w:t>R</w:t>
      </w:r>
      <w:r w:rsidRPr="00215B82" w:rsidR="00FC31F0">
        <w:t>esident days</w:t>
      </w:r>
    </w:p>
    <w:p w:rsidRPr="00E70711" w:rsidR="007B243C" w:rsidP="00E007FA" w:rsidRDefault="00C404F4" w14:paraId="2E6B2FFA" w14:textId="5BACCCED">
      <w:r w:rsidRPr="003E7EB7">
        <w:t xml:space="preserve"> </w:t>
      </w:r>
    </w:p>
    <w:p w:rsidRPr="00E70711" w:rsidR="00D024BC" w:rsidRDefault="00D024BC" w14:paraId="31607365" w14:textId="3353A1D9">
      <w:pPr>
        <w:pStyle w:val="ListParagraph"/>
        <w:numPr>
          <w:ilvl w:val="0"/>
          <w:numId w:val="34"/>
        </w:numPr>
        <w:rPr>
          <w:u w:val="single"/>
        </w:rPr>
      </w:pPr>
      <w:r w:rsidRPr="00E70711">
        <w:rPr>
          <w:u w:val="single"/>
        </w:rPr>
        <w:t>Survey of Patient Safety</w:t>
      </w:r>
      <w:r w:rsidRPr="009F39D0">
        <w:rPr>
          <w:u w:val="single"/>
        </w:rPr>
        <w:t xml:space="preserve">: </w:t>
      </w:r>
      <w:r w:rsidRPr="00B213CD">
        <w:t xml:space="preserve">The NORC/JHU team will administer AHRQ Surveys of Patient Safety Culture to all eligible </w:t>
      </w:r>
      <w:r w:rsidRPr="00E007FA">
        <w:rPr>
          <w:i/>
        </w:rPr>
        <w:t>AHRQ Safety Program for MRSA Prevention</w:t>
      </w:r>
      <w:r w:rsidRPr="00B213CD">
        <w:t xml:space="preserve"> staff at the participating units or facilities at the beginning </w:t>
      </w:r>
      <w:r w:rsidR="00DE08CB">
        <w:t>(month 1)</w:t>
      </w:r>
      <w:r w:rsidRPr="00B213CD">
        <w:t xml:space="preserve"> and end</w:t>
      </w:r>
      <w:r w:rsidR="00DE08CB">
        <w:t xml:space="preserve"> (month 18)</w:t>
      </w:r>
      <w:r w:rsidRPr="00B213CD">
        <w:t xml:space="preserve"> of the </w:t>
      </w:r>
      <w:r w:rsidRPr="00E70711" w:rsidR="00965F68">
        <w:t>i</w:t>
      </w:r>
      <w:r w:rsidR="00965F68">
        <w:t>mplementation</w:t>
      </w:r>
      <w:r w:rsidRPr="00B213CD">
        <w:t>. We will administer the Hospital Survey of Patient Safety Culture (HSOPS) in the ICU, non-ICU, and surgical cohorts</w:t>
      </w:r>
      <w:r w:rsidRPr="00B213CD" w:rsidR="006A15D7">
        <w:t>,</w:t>
      </w:r>
      <w:r w:rsidRPr="00B213CD">
        <w:t xml:space="preserve"> and the Nursing Home Survey on Patient Safety (NHSOPS) in the </w:t>
      </w:r>
      <w:r w:rsidR="00534AD2">
        <w:t>LTC</w:t>
      </w:r>
      <w:r w:rsidRPr="00B213CD">
        <w:t xml:space="preserve"> cohort. These surveys ask questions about patient safety issues, medical errors, and event reporting in the respective setting. NORC/JHU will request that all staff on the unit or facility that is implementing the </w:t>
      </w:r>
      <w:r w:rsidRPr="00E007FA">
        <w:rPr>
          <w:i/>
        </w:rPr>
        <w:t>AHRQ Safety Program for MRSA Prevention</w:t>
      </w:r>
      <w:r w:rsidRPr="00B213CD">
        <w:t xml:space="preserve"> complete the survey. As unit and facility size vary, we estimate the average number of respondents to be 25 for each unit</w:t>
      </w:r>
      <w:r w:rsidRPr="00B213CD" w:rsidR="0015337D">
        <w:t xml:space="preserve"> (Attachments </w:t>
      </w:r>
      <w:r w:rsidR="006607D6">
        <w:t>H</w:t>
      </w:r>
      <w:r w:rsidRPr="00B213CD" w:rsidR="0015337D">
        <w:t xml:space="preserve">, </w:t>
      </w:r>
      <w:r w:rsidR="006607D6">
        <w:t>I</w:t>
      </w:r>
      <w:r w:rsidRPr="00B213CD" w:rsidR="0015337D">
        <w:t>).</w:t>
      </w:r>
    </w:p>
    <w:p w:rsidRPr="00E70711" w:rsidR="00D024BC" w:rsidP="009F39D0" w:rsidRDefault="00D024BC" w14:paraId="046115AC" w14:textId="77777777">
      <w:pPr>
        <w:pStyle w:val="ListParagraph"/>
        <w:ind w:left="462"/>
        <w:rPr>
          <w:u w:val="single"/>
        </w:rPr>
      </w:pPr>
    </w:p>
    <w:p w:rsidRPr="00C31634" w:rsidR="00D024BC" w:rsidRDefault="00E02F06" w14:paraId="46EB8626" w14:textId="5839D27E">
      <w:pPr>
        <w:pStyle w:val="ListParagraph"/>
        <w:numPr>
          <w:ilvl w:val="0"/>
          <w:numId w:val="34"/>
        </w:numPr>
        <w:rPr>
          <w:u w:val="single"/>
        </w:rPr>
      </w:pPr>
      <w:r>
        <w:rPr>
          <w:u w:val="single"/>
        </w:rPr>
        <w:t xml:space="preserve">Infrastructure Assessment Tool- </w:t>
      </w:r>
      <w:r w:rsidRPr="00C31634" w:rsidR="00D024BC">
        <w:rPr>
          <w:u w:val="single"/>
        </w:rPr>
        <w:t>Gap Analysis:</w:t>
      </w:r>
      <w:r w:rsidRPr="009F39D0" w:rsidR="00D024BC">
        <w:rPr>
          <w:u w:val="single"/>
        </w:rPr>
        <w:t xml:space="preserve">  </w:t>
      </w:r>
      <w:r w:rsidRPr="00B213CD" w:rsidR="00D024BC">
        <w:t xml:space="preserve">The NORC/JHU team will administer the Gap Analysis </w:t>
      </w:r>
      <w:r w:rsidR="00DE08CB">
        <w:t>at</w:t>
      </w:r>
      <w:r w:rsidRPr="00B213CD" w:rsidR="009F39D0">
        <w:t xml:space="preserve"> month </w:t>
      </w:r>
      <w:r w:rsidR="00DE08CB">
        <w:t>1 and month 18</w:t>
      </w:r>
      <w:r w:rsidRPr="00B213CD" w:rsidR="009F39D0">
        <w:t xml:space="preserve"> of the </w:t>
      </w:r>
      <w:r w:rsidRPr="00E70711" w:rsidR="00965F68">
        <w:t>i</w:t>
      </w:r>
      <w:r w:rsidR="00965F68">
        <w:t>mplementation</w:t>
      </w:r>
      <w:r w:rsidRPr="00B213CD" w:rsidR="00A76D94">
        <w:t xml:space="preserve"> to</w:t>
      </w:r>
      <w:r w:rsidRPr="00B213CD" w:rsidR="00287B69">
        <w:t xml:space="preserve"> </w:t>
      </w:r>
      <w:r w:rsidR="00287B69">
        <w:t>an Infection Preventionist and one of the unit’s team leaders (most likely a nurse</w:t>
      </w:r>
      <w:r w:rsidRPr="009F39D0" w:rsidR="00287B69">
        <w:t>)</w:t>
      </w:r>
      <w:r w:rsidRPr="002F2F6F" w:rsidR="00D024BC">
        <w:t>.</w:t>
      </w:r>
      <w:r w:rsidRPr="002F2F6F" w:rsidR="00216F0C">
        <w:t xml:space="preserve"> </w:t>
      </w:r>
      <w:r w:rsidRPr="00B213CD" w:rsidR="003332DE">
        <w:t>Information on current practices in MRSA prevention on the unit will be collected</w:t>
      </w:r>
      <w:r w:rsidRPr="00B213CD" w:rsidR="0015337D">
        <w:t xml:space="preserve"> (Attachments B, C, D).</w:t>
      </w:r>
      <w:r w:rsidRPr="009F39D0" w:rsidR="003332DE">
        <w:rPr>
          <w:u w:val="single"/>
        </w:rPr>
        <w:t xml:space="preserve"> </w:t>
      </w:r>
    </w:p>
    <w:p w:rsidRPr="00E70711" w:rsidR="00D024BC" w:rsidP="009F39D0" w:rsidRDefault="00D024BC" w14:paraId="424E0A3C" w14:textId="77777777">
      <w:pPr>
        <w:pStyle w:val="ListParagraph"/>
        <w:ind w:left="462"/>
        <w:rPr>
          <w:u w:val="single"/>
        </w:rPr>
      </w:pPr>
    </w:p>
    <w:p w:rsidR="008C5D5D" w:rsidP="00B213CD" w:rsidRDefault="009A3EFE" w14:paraId="49EE09A2" w14:textId="516C8C38">
      <w:pPr>
        <w:pStyle w:val="ListParagraph"/>
        <w:numPr>
          <w:ilvl w:val="0"/>
          <w:numId w:val="34"/>
        </w:numPr>
      </w:pPr>
      <w:r w:rsidRPr="00C31634">
        <w:rPr>
          <w:u w:val="single"/>
        </w:rPr>
        <w:t>Implementation Assessments</w:t>
      </w:r>
      <w:r w:rsidRPr="00805742" w:rsidR="00805742">
        <w:rPr>
          <w:u w:val="single"/>
        </w:rPr>
        <w:t>- Team Checkup Tool</w:t>
      </w:r>
      <w:r w:rsidRPr="00C31634">
        <w:rPr>
          <w:u w:val="single"/>
        </w:rPr>
        <w:t xml:space="preserve">: </w:t>
      </w:r>
      <w:r w:rsidRPr="00B213CD" w:rsidR="00861C7A">
        <w:t xml:space="preserve">The implementation assessments will be conducted to monitor the program’s progress and determine </w:t>
      </w:r>
      <w:r w:rsidRPr="00B213CD" w:rsidR="003E22D5">
        <w:t>what the participating sites have learned through participating in the program.</w:t>
      </w:r>
      <w:r w:rsidRPr="00B213CD" w:rsidR="00805742">
        <w:t xml:space="preserve"> </w:t>
      </w:r>
      <w:r w:rsidRPr="00E70711" w:rsidR="008C5D5D">
        <w:t xml:space="preserve">The Team Checkup Tool will </w:t>
      </w:r>
      <w:r w:rsidRPr="009F39D0" w:rsidR="008C5D5D">
        <w:t>be requested monthly</w:t>
      </w:r>
      <w:r w:rsidRPr="00E70711" w:rsidR="008C5D5D">
        <w:t xml:space="preserve">, and we anticipate participation from </w:t>
      </w:r>
      <w:r w:rsidRPr="009F39D0" w:rsidR="008C5D5D">
        <w:t xml:space="preserve">approximately 1 </w:t>
      </w:r>
      <w:r w:rsidR="00DE08CB">
        <w:t xml:space="preserve">frontline </w:t>
      </w:r>
      <w:r w:rsidRPr="009F39D0" w:rsidR="008C5D5D">
        <w:t xml:space="preserve">staff </w:t>
      </w:r>
      <w:r w:rsidR="00A509C3">
        <w:t>(</w:t>
      </w:r>
      <w:r w:rsidR="00632867">
        <w:t>most commonly a nurse</w:t>
      </w:r>
      <w:r w:rsidR="00AF69B1">
        <w:t xml:space="preserve">) </w:t>
      </w:r>
      <w:r w:rsidRPr="009F39D0" w:rsidR="008C5D5D">
        <w:t>per unit</w:t>
      </w:r>
      <w:r w:rsidRPr="00E70711" w:rsidR="008C5D5D">
        <w:t xml:space="preserve">.  The program will use the Team Checkup Tool </w:t>
      </w:r>
      <w:r w:rsidR="005E01C8">
        <w:t>(</w:t>
      </w:r>
      <w:r w:rsidRPr="00B213CD" w:rsidR="00A0693B">
        <w:t>Attachments</w:t>
      </w:r>
      <w:r w:rsidRPr="0015337D" w:rsidR="00E10878">
        <w:t xml:space="preserve"> </w:t>
      </w:r>
      <w:r w:rsidR="006607D6">
        <w:t>E</w:t>
      </w:r>
      <w:r w:rsidRPr="0015337D" w:rsidR="00E10878">
        <w:t xml:space="preserve">, </w:t>
      </w:r>
      <w:r w:rsidR="006607D6">
        <w:t>F</w:t>
      </w:r>
      <w:r w:rsidRPr="0015337D" w:rsidR="00E10878">
        <w:t xml:space="preserve">, </w:t>
      </w:r>
      <w:r w:rsidR="009F3065">
        <w:t>and G</w:t>
      </w:r>
      <w:r w:rsidR="00CB1E2C">
        <w:t>)</w:t>
      </w:r>
      <w:r w:rsidR="00C0383F">
        <w:t xml:space="preserve"> </w:t>
      </w:r>
      <w:r w:rsidRPr="00E70711" w:rsidR="008C5D5D">
        <w:t>to monitor key actions of staff. The Tool asks about use of safety guidelines, tools, and resources throughout three different phases: Assessment (1), Planning, Training, and Implementation (2), and Sustainment (3).</w:t>
      </w:r>
    </w:p>
    <w:p w:rsidR="00DD7169" w:rsidP="00E007FA" w:rsidRDefault="00DD7169" w14:paraId="2B20C2BE" w14:textId="77777777">
      <w:pPr>
        <w:pStyle w:val="ListParagraph"/>
      </w:pPr>
    </w:p>
    <w:p w:rsidRPr="00215B82" w:rsidR="00DD7169" w:rsidP="00DD7169" w:rsidRDefault="00DD7169" w14:paraId="6EB59641" w14:textId="77777777">
      <w:r>
        <w:t>The secondary data collection strategy includes use of</w:t>
      </w:r>
      <w:r w:rsidRPr="0013130C">
        <w:t xml:space="preserve"> </w:t>
      </w:r>
      <w:r w:rsidRPr="00182D3D">
        <w:t>National Heal</w:t>
      </w:r>
      <w:r>
        <w:t xml:space="preserve">thcare Safety Network (NHSN) </w:t>
      </w:r>
      <w:r w:rsidRPr="00D67B3E">
        <w:t>data f</w:t>
      </w:r>
      <w:r>
        <w:t>rom</w:t>
      </w:r>
      <w:r w:rsidRPr="00D67B3E">
        <w:t xml:space="preserve"> hospitals that confer rights</w:t>
      </w:r>
      <w:r>
        <w:t xml:space="preserve"> to the </w:t>
      </w:r>
      <w:r w:rsidRPr="000F0BCD">
        <w:rPr>
          <w:i/>
        </w:rPr>
        <w:t>AHRQ Safety Program for MRSA Prevention</w:t>
      </w:r>
      <w:r w:rsidRPr="00D67B3E">
        <w:t xml:space="preserve"> to</w:t>
      </w:r>
      <w:r>
        <w:t xml:space="preserve"> use</w:t>
      </w:r>
      <w:r w:rsidRPr="00D67B3E">
        <w:t xml:space="preserve"> their </w:t>
      </w:r>
      <w:r>
        <w:t xml:space="preserve">NHSN </w:t>
      </w:r>
      <w:r w:rsidRPr="00D67B3E">
        <w:t>data</w:t>
      </w:r>
      <w:r w:rsidRPr="00B03C55">
        <w:t xml:space="preserve"> </w:t>
      </w:r>
      <w:r>
        <w:t xml:space="preserve">for the evaluation. NHSN data will serve </w:t>
      </w:r>
      <w:r w:rsidRPr="0013130C">
        <w:t>as secondary data sources</w:t>
      </w:r>
      <w:r w:rsidRPr="00D67B3E">
        <w:t xml:space="preserve"> for</w:t>
      </w:r>
      <w:r>
        <w:t xml:space="preserve"> </w:t>
      </w:r>
      <w:r w:rsidRPr="00D67B3E">
        <w:t>clinical outcomes</w:t>
      </w:r>
      <w:r>
        <w:t xml:space="preserve"> in ICU, non-ICU, and surgical services units. </w:t>
      </w:r>
      <w:r w:rsidRPr="00E910A2" w:rsidDel="000B2A51">
        <w:t xml:space="preserve">Clinical outcome measures in LTC settings </w:t>
      </w:r>
      <w:r w:rsidDel="000B2A51">
        <w:t>are not available in NHSN.</w:t>
      </w:r>
    </w:p>
    <w:p w:rsidR="00DD7169" w:rsidP="00DD7169" w:rsidRDefault="00DD7169" w14:paraId="475221BE" w14:textId="77777777"/>
    <w:p w:rsidR="00DD7169" w:rsidP="00DD7169" w:rsidRDefault="00DD7169" w14:paraId="34E53FAE" w14:textId="17607D01">
      <w:r>
        <w:t xml:space="preserve">For hospitals that confer NHSN rights to the program </w:t>
      </w:r>
      <w:r w:rsidRPr="00904CC5">
        <w:t xml:space="preserve">for </w:t>
      </w:r>
      <w:r w:rsidRPr="00FB0F30">
        <w:t>the ICU and non-ICU cohorts</w:t>
      </w:r>
      <w:r>
        <w:t>, the</w:t>
      </w:r>
      <w:r w:rsidRPr="00FB0F30">
        <w:t xml:space="preserve"> </w:t>
      </w:r>
      <w:r>
        <w:t xml:space="preserve">secondary </w:t>
      </w:r>
      <w:r w:rsidRPr="00FB0F30">
        <w:t>data will include</w:t>
      </w:r>
      <w:r w:rsidR="0018096A">
        <w:t xml:space="preserve"> the five out of seven clinical outcome measures that are available via NHSN</w:t>
      </w:r>
      <w:r w:rsidRPr="00FB0F30">
        <w:t>:</w:t>
      </w:r>
    </w:p>
    <w:p w:rsidRPr="00E910A2" w:rsidR="00DD7169" w:rsidP="00DD7169" w:rsidRDefault="00DD7169" w14:paraId="59C8BEE4" w14:textId="77777777">
      <w:pPr>
        <w:pStyle w:val="ListParagraph"/>
        <w:numPr>
          <w:ilvl w:val="0"/>
          <w:numId w:val="53"/>
        </w:numPr>
      </w:pPr>
      <w:r w:rsidRPr="00E910A2">
        <w:t>Hospital onset MRSA invasive infection (MRSA bacteremia LabID Day 3 or after of admission</w:t>
      </w:r>
      <w:r>
        <w:t>)</w:t>
      </w:r>
    </w:p>
    <w:p w:rsidR="00992F6D" w:rsidP="00992F6D" w:rsidRDefault="00992F6D" w14:paraId="4F45861F" w14:textId="77777777">
      <w:pPr>
        <w:pStyle w:val="ListParagraph"/>
        <w:numPr>
          <w:ilvl w:val="0"/>
          <w:numId w:val="53"/>
        </w:numPr>
      </w:pPr>
      <w:r w:rsidRPr="00E910A2">
        <w:t>Community onset MRSA invasive infection (MRSA bacteremia LabID prior to Day 3 after admission)</w:t>
      </w:r>
    </w:p>
    <w:p w:rsidRPr="00E910A2" w:rsidR="00DD7169" w:rsidP="00DD7169" w:rsidRDefault="00DD7169" w14:paraId="05501204" w14:textId="77777777">
      <w:pPr>
        <w:pStyle w:val="ListParagraph"/>
        <w:numPr>
          <w:ilvl w:val="0"/>
          <w:numId w:val="53"/>
        </w:numPr>
      </w:pPr>
      <w:r w:rsidRPr="00E910A2">
        <w:t>Patient days</w:t>
      </w:r>
    </w:p>
    <w:p w:rsidRPr="00E910A2" w:rsidR="00DD7169" w:rsidP="00DD7169" w:rsidRDefault="00DD7169" w14:paraId="6BCFC71E" w14:textId="77777777">
      <w:pPr>
        <w:pStyle w:val="ListParagraph"/>
        <w:numPr>
          <w:ilvl w:val="0"/>
          <w:numId w:val="53"/>
        </w:numPr>
      </w:pPr>
      <w:r w:rsidRPr="00E910A2">
        <w:t>Central Line-Associated Blood Stream Infections with causative organism(s)</w:t>
      </w:r>
    </w:p>
    <w:p w:rsidRPr="00E910A2" w:rsidR="00DD7169" w:rsidP="00DD7169" w:rsidRDefault="00DD7169" w14:paraId="1D16B56C" w14:textId="77777777">
      <w:pPr>
        <w:pStyle w:val="ListParagraph"/>
        <w:numPr>
          <w:ilvl w:val="0"/>
          <w:numId w:val="53"/>
        </w:numPr>
      </w:pPr>
      <w:r w:rsidRPr="00E910A2">
        <w:t>Central Line Days</w:t>
      </w:r>
    </w:p>
    <w:p w:rsidR="00DD7169" w:rsidP="00DD7169" w:rsidRDefault="00DD7169" w14:paraId="676D2355" w14:textId="77777777"/>
    <w:p w:rsidR="00DD7169" w:rsidP="00DD7169" w:rsidRDefault="00DD7169" w14:paraId="60F17009" w14:textId="3A476183">
      <w:r>
        <w:t xml:space="preserve">For hospitals that confer NHSN rights to the program </w:t>
      </w:r>
      <w:r w:rsidRPr="00904CC5">
        <w:t xml:space="preserve">for </w:t>
      </w:r>
      <w:r w:rsidRPr="00FB0F30">
        <w:t xml:space="preserve">the </w:t>
      </w:r>
      <w:r w:rsidRPr="005B4B50">
        <w:t>surgical services cohort</w:t>
      </w:r>
      <w:r>
        <w:t xml:space="preserve">, the secondary data </w:t>
      </w:r>
      <w:r w:rsidRPr="005B4B50">
        <w:t>will include</w:t>
      </w:r>
      <w:r w:rsidR="0018096A">
        <w:t xml:space="preserve"> the two clinical outcome measures that are available via NHSN</w:t>
      </w:r>
      <w:r w:rsidRPr="005B4B50">
        <w:t>:</w:t>
      </w:r>
    </w:p>
    <w:p w:rsidR="00DD7169" w:rsidP="00DD7169" w:rsidRDefault="00DD7169" w14:paraId="2963E249" w14:textId="77777777">
      <w:pPr>
        <w:pStyle w:val="ListParagraph"/>
        <w:numPr>
          <w:ilvl w:val="0"/>
          <w:numId w:val="54"/>
        </w:numPr>
      </w:pPr>
      <w:r>
        <w:t xml:space="preserve">Surgical site infection (SSI) events and causative organisms </w:t>
      </w:r>
    </w:p>
    <w:p w:rsidR="00DD7169" w:rsidP="00E007FA" w:rsidRDefault="00DD7169" w14:paraId="35F421D3" w14:textId="4AD7DF01">
      <w:pPr>
        <w:pStyle w:val="ListParagraph"/>
        <w:numPr>
          <w:ilvl w:val="0"/>
          <w:numId w:val="54"/>
        </w:numPr>
      </w:pPr>
      <w:r>
        <w:t xml:space="preserve">Number of surgical procedures performed, by type of surgical procedure </w:t>
      </w:r>
    </w:p>
    <w:p w:rsidR="00E36BE4" w:rsidP="00B213CD" w:rsidRDefault="00E36BE4" w14:paraId="5D5A983F" w14:textId="77777777">
      <w:pPr>
        <w:pStyle w:val="ListParagraph"/>
      </w:pPr>
    </w:p>
    <w:p w:rsidRPr="00E70711" w:rsidR="009B633D" w:rsidP="00C14D37" w:rsidRDefault="009B633D" w14:paraId="0D9FB678" w14:textId="2BC3124D">
      <w:pPr>
        <w:pStyle w:val="Heading2"/>
        <w:rPr>
          <w:sz w:val="24"/>
        </w:rPr>
      </w:pPr>
      <w:bookmarkStart w:name="_Toc151782178" w:id="12"/>
      <w:bookmarkStart w:name="_Toc158526218" w:id="13"/>
      <w:bookmarkStart w:name="_Toc73964940" w:id="14"/>
      <w:bookmarkStart w:name="_Toc73965299" w:id="15"/>
      <w:r w:rsidRPr="00E70711">
        <w:rPr>
          <w:sz w:val="24"/>
        </w:rPr>
        <w:t>3. Use of Improved Information Technology</w:t>
      </w:r>
      <w:bookmarkEnd w:id="12"/>
      <w:bookmarkEnd w:id="13"/>
      <w:bookmarkEnd w:id="14"/>
      <w:bookmarkEnd w:id="15"/>
    </w:p>
    <w:p w:rsidRPr="00E70711" w:rsidR="007B1440" w:rsidP="00C14D37" w:rsidRDefault="00432FD4" w14:paraId="50E5B0F6" w14:textId="51CF61A8">
      <w:pPr>
        <w:pStyle w:val="BodyText"/>
        <w:spacing w:before="240"/>
      </w:pPr>
      <w:r w:rsidRPr="00E70711">
        <w:t xml:space="preserve">In order to </w:t>
      </w:r>
      <w:r w:rsidRPr="00E70711" w:rsidR="005D6D09">
        <w:t xml:space="preserve">minimize </w:t>
      </w:r>
      <w:r w:rsidRPr="00E70711">
        <w:t xml:space="preserve">respondent burden and to permit the electronic submission of </w:t>
      </w:r>
      <w:r w:rsidRPr="00E70711" w:rsidR="00F30508">
        <w:t>survey responses and data collection forms</w:t>
      </w:r>
      <w:r w:rsidRPr="00E70711">
        <w:t xml:space="preserve">, </w:t>
      </w:r>
      <w:r w:rsidRPr="00E70711" w:rsidR="00993488">
        <w:t>the Team</w:t>
      </w:r>
      <w:r w:rsidRPr="00E70711" w:rsidR="00D53E90">
        <w:t xml:space="preserve"> </w:t>
      </w:r>
      <w:r w:rsidRPr="00E70711" w:rsidR="003F4C57">
        <w:t>C</w:t>
      </w:r>
      <w:r w:rsidRPr="00E70711" w:rsidR="00D53E90">
        <w:t>heck</w:t>
      </w:r>
      <w:r w:rsidRPr="00E70711" w:rsidR="003F4C57">
        <w:t>up tool,</w:t>
      </w:r>
      <w:r w:rsidRPr="00E70711" w:rsidR="003F7951">
        <w:t xml:space="preserve"> </w:t>
      </w:r>
      <w:r w:rsidRPr="00E70711" w:rsidR="00950054">
        <w:t>Gap Analysis</w:t>
      </w:r>
      <w:r w:rsidR="005E6BBF">
        <w:t>,</w:t>
      </w:r>
      <w:r w:rsidRPr="00E70711" w:rsidR="00950054">
        <w:t xml:space="preserve"> </w:t>
      </w:r>
      <w:r w:rsidRPr="00E70711" w:rsidR="005D6D09">
        <w:t>and AHRQ Surveys on Patient Safety Culture will be web-based and deployed using a well-designed, low burden, and respondent-friendly survey administration process and instrument</w:t>
      </w:r>
      <w:r w:rsidRPr="00E70711" w:rsidR="00DA4AE8">
        <w:t>s</w:t>
      </w:r>
      <w:r w:rsidRPr="00E70711" w:rsidR="005D6D09">
        <w:t xml:space="preserve">. </w:t>
      </w:r>
    </w:p>
    <w:p w:rsidR="003164D8" w:rsidP="007B1440" w:rsidRDefault="00432FD4" w14:paraId="465EEA55" w14:textId="3A3F8E68">
      <w:pPr>
        <w:pStyle w:val="BodyText"/>
        <w:spacing w:before="240"/>
        <w:rPr>
          <w:color w:val="1F497D"/>
        </w:rPr>
      </w:pPr>
      <w:r w:rsidRPr="00E70711">
        <w:t xml:space="preserve">In addition, the </w:t>
      </w:r>
      <w:r w:rsidRPr="00E70711" w:rsidR="003F7951">
        <w:t xml:space="preserve">clinical outcome change data </w:t>
      </w:r>
      <w:r w:rsidR="009D6625">
        <w:t xml:space="preserve">collected via primary data collection </w:t>
      </w:r>
      <w:r w:rsidRPr="00E70711">
        <w:t xml:space="preserve">will be extracted by </w:t>
      </w:r>
      <w:r w:rsidRPr="00E70711" w:rsidR="003F7951">
        <w:t xml:space="preserve">unit or </w:t>
      </w:r>
      <w:r w:rsidRPr="00E70711">
        <w:t xml:space="preserve">facility staff from their </w:t>
      </w:r>
      <w:r w:rsidR="009D6625">
        <w:t>EHR</w:t>
      </w:r>
      <w:r w:rsidRPr="00E70711">
        <w:t xml:space="preserve"> systems. </w:t>
      </w:r>
      <w:r w:rsidRPr="00E70711" w:rsidR="008B7CC6">
        <w:t xml:space="preserve">The </w:t>
      </w:r>
      <w:r w:rsidRPr="00E70711" w:rsidR="00E06AA8">
        <w:rPr>
          <w:bCs/>
        </w:rPr>
        <w:t xml:space="preserve">EHR </w:t>
      </w:r>
      <w:r w:rsidRPr="00E70711" w:rsidR="008B7CC6">
        <w:t xml:space="preserve">data requested for this project may already be collected by hospitals </w:t>
      </w:r>
      <w:r w:rsidRPr="00E70711" w:rsidR="003F7951">
        <w:t xml:space="preserve">and </w:t>
      </w:r>
      <w:r w:rsidR="00534AD2">
        <w:t>LTC</w:t>
      </w:r>
      <w:r w:rsidRPr="00E70711" w:rsidR="003F7951">
        <w:t xml:space="preserve"> facilities </w:t>
      </w:r>
      <w:r w:rsidRPr="00E70711" w:rsidR="008B7CC6">
        <w:t xml:space="preserve">as part of their ongoing quality improvement initiatives. </w:t>
      </w:r>
      <w:r w:rsidR="002660C6">
        <w:t>R</w:t>
      </w:r>
      <w:r w:rsidRPr="00E70711" w:rsidR="007B1440">
        <w:t xml:space="preserve">espondents will receive access to the online data collection platform and step-by-step instructions on extracting and submitting the EHR data. </w:t>
      </w:r>
      <w:r w:rsidR="00287B69">
        <w:t>L</w:t>
      </w:r>
      <w:r w:rsidR="00534AD2">
        <w:t>TC</w:t>
      </w:r>
      <w:r w:rsidR="00287B69">
        <w:t xml:space="preserve"> settings and hospitals </w:t>
      </w:r>
      <w:r w:rsidRPr="00D519AC" w:rsidR="00287B69">
        <w:t xml:space="preserve">that </w:t>
      </w:r>
      <w:r w:rsidRPr="00B213CD" w:rsidR="00287B69">
        <w:t xml:space="preserve">do not have strong enough internet access to upload files will be offered a </w:t>
      </w:r>
      <w:r w:rsidRPr="00B213CD" w:rsidR="00287B69">
        <w:rPr>
          <w:bCs/>
        </w:rPr>
        <w:t>fax option</w:t>
      </w:r>
      <w:r w:rsidRPr="00B213CD" w:rsidR="00287B69">
        <w:t xml:space="preserve"> to provide their data</w:t>
      </w:r>
      <w:r w:rsidR="00287B69">
        <w:rPr>
          <w:color w:val="1F497D"/>
        </w:rPr>
        <w:t>.</w:t>
      </w:r>
      <w:r w:rsidR="003164D8">
        <w:rPr>
          <w:color w:val="1F497D"/>
        </w:rPr>
        <w:t xml:space="preserve">  </w:t>
      </w:r>
    </w:p>
    <w:p w:rsidRPr="00E70711" w:rsidR="007B1440" w:rsidP="007B1440" w:rsidRDefault="003164D8" w14:paraId="47ABEA5C" w14:textId="33470DA4">
      <w:pPr>
        <w:pStyle w:val="BodyText"/>
        <w:spacing w:before="240"/>
      </w:pPr>
      <w:r w:rsidRPr="00215B82">
        <w:t xml:space="preserve">NHSN is the </w:t>
      </w:r>
      <w:r w:rsidRPr="009E5280">
        <w:t xml:space="preserve">domestic </w:t>
      </w:r>
      <w:r w:rsidRPr="002565BB">
        <w:t>tracking and response system</w:t>
      </w:r>
      <w:r>
        <w:t xml:space="preserve"> from the Centers of Disease Control and Prevention (CDC) </w:t>
      </w:r>
      <w:r w:rsidRPr="002565BB">
        <w:t xml:space="preserve">to identify emerging and enduring threats across healthcare, including </w:t>
      </w:r>
      <w:r>
        <w:t>healthcare-associated infections (</w:t>
      </w:r>
      <w:r w:rsidRPr="002565BB">
        <w:t>HAIs</w:t>
      </w:r>
      <w:r>
        <w:t>)</w:t>
      </w:r>
      <w:r w:rsidRPr="002565BB">
        <w:t xml:space="preserve"> and antibiotic-resistant infections</w:t>
      </w:r>
      <w:r>
        <w:t>.</w:t>
      </w:r>
      <w:r w:rsidR="00AF1AEE">
        <w:rPr>
          <w:color w:val="1F497D"/>
        </w:rPr>
        <w:t xml:space="preserve">  </w:t>
      </w:r>
      <w:r w:rsidR="00AF1AEE">
        <w:t xml:space="preserve">Healthcare facilities participate in </w:t>
      </w:r>
      <w:r>
        <w:t>HAIs</w:t>
      </w:r>
      <w:r w:rsidR="00AF1AEE">
        <w:t xml:space="preserve"> surveillance via NHSN to monitor HAIs and the impact of their own prevention efforts; benchmark facility performance against risk-adjusted national data; and fulfill state-mandated reporting requirements or comply with the Centers for Medicare and Medicaid (CMS) Hospital Inpatient Quality Reporting </w:t>
      </w:r>
      <w:r w:rsidR="00AF1AEE">
        <w:lastRenderedPageBreak/>
        <w:t>Program requirements.</w:t>
      </w:r>
      <w:r>
        <w:t xml:space="preserve"> In order to utilize NHSN data, participating hospitals w</w:t>
      </w:r>
      <w:r w:rsidR="001E747B">
        <w:t>ould</w:t>
      </w:r>
      <w:r>
        <w:t xml:space="preserve"> need to confer rights to their NHSN data to the </w:t>
      </w:r>
      <w:r w:rsidRPr="00215B82">
        <w:rPr>
          <w:i/>
        </w:rPr>
        <w:t>AHRQ Safety Program for MRSA Prevention</w:t>
      </w:r>
      <w:r w:rsidRPr="003164D8">
        <w:t>.</w:t>
      </w:r>
      <w:r>
        <w:t xml:space="preserve">  Any entity, such as hospital systems, state health departments, and quality improvement organizations, can maintain a Group in NHSN. Th</w:t>
      </w:r>
      <w:r w:rsidR="0030510E">
        <w:t xml:space="preserve">ese entities, such as hospitals, </w:t>
      </w:r>
      <w:r>
        <w:t xml:space="preserve">can share data with partners and agencies, such as the </w:t>
      </w:r>
      <w:r w:rsidRPr="00215B82">
        <w:rPr>
          <w:i/>
        </w:rPr>
        <w:t>AHRQ Safety Program for MRSA Prevention</w:t>
      </w:r>
      <w:r>
        <w:rPr>
          <w:b/>
        </w:rPr>
        <w:t>,</w:t>
      </w:r>
      <w:r>
        <w:t xml:space="preserve"> using NHSN’s Group function.</w:t>
      </w:r>
      <w:r w:rsidR="0030510E">
        <w:t xml:space="preserve"> The</w:t>
      </w:r>
      <w:r>
        <w:t xml:space="preserve"> hospitals can join Groups and provide access to data requested by the Group within the NHSN application.  Groups are responsible for creating a Confer Rights Template of data they are requesting from facilities; the template is automatically sent to the Group’s member facilities upon completion.</w:t>
      </w:r>
      <w:r w:rsidR="0030510E">
        <w:t xml:space="preserve">  </w:t>
      </w:r>
      <w:r w:rsidR="00AF1AEE">
        <w:t xml:space="preserve">After facilities confer rights and join the MRSA Prevention Program group in NHSN, they will not need to take any further action. The data they submit to NHSN will automatically become available to the MRSA program team </w:t>
      </w:r>
      <w:r w:rsidR="00C305C6">
        <w:t>f</w:t>
      </w:r>
      <w:r w:rsidR="00AF1AEE">
        <w:t>or analysis.</w:t>
      </w:r>
    </w:p>
    <w:p w:rsidRPr="00215B82" w:rsidR="009D6625" w:rsidP="007B1440" w:rsidRDefault="009D6625" w14:paraId="4E600C4D" w14:textId="77777777">
      <w:pPr>
        <w:pStyle w:val="BodyText"/>
        <w:spacing w:before="240"/>
        <w:rPr>
          <w:color w:val="1F497D"/>
        </w:rPr>
      </w:pPr>
    </w:p>
    <w:p w:rsidRPr="00E007FA" w:rsidR="00D5448A" w:rsidP="00A46BD2" w:rsidRDefault="009B633D" w14:paraId="235794C4" w14:textId="4B4A7657">
      <w:pPr>
        <w:rPr>
          <w:b/>
        </w:rPr>
      </w:pPr>
      <w:bookmarkStart w:name="_Toc151782179" w:id="16"/>
      <w:bookmarkStart w:name="_Toc158526219" w:id="17"/>
      <w:r w:rsidRPr="00E007FA">
        <w:rPr>
          <w:b/>
        </w:rPr>
        <w:t>4. Efforts to Identify Duplication</w:t>
      </w:r>
      <w:bookmarkEnd w:id="16"/>
      <w:bookmarkEnd w:id="17"/>
    </w:p>
    <w:p w:rsidR="00D5448A" w:rsidP="00A46BD2" w:rsidRDefault="00D5448A" w14:paraId="02AAC545" w14:textId="77777777"/>
    <w:p w:rsidR="00B51423" w:rsidP="00A46BD2" w:rsidRDefault="00316B9E" w14:paraId="130D9827" w14:textId="6E67E8B7">
      <w:r>
        <w:t>Pro</w:t>
      </w:r>
      <w:r w:rsidR="00B51423">
        <w:t>gram</w:t>
      </w:r>
      <w:r>
        <w:t xml:space="preserve"> </w:t>
      </w:r>
      <w:r w:rsidR="00B51423">
        <w:t>d</w:t>
      </w:r>
      <w:r>
        <w:t>up</w:t>
      </w:r>
      <w:r w:rsidR="00B51423">
        <w:t>lication:</w:t>
      </w:r>
    </w:p>
    <w:p w:rsidRPr="00A46BD2" w:rsidR="00A46BD2" w:rsidP="00B213CD" w:rsidRDefault="002B0792" w14:paraId="1969E234" w14:textId="3B6DF221">
      <w:r>
        <w:t xml:space="preserve">The project team is aware of two initiatives that are focusing on a </w:t>
      </w:r>
      <w:r w:rsidR="00D5448A">
        <w:t xml:space="preserve">potentially </w:t>
      </w:r>
      <w:r>
        <w:t xml:space="preserve">similar topic as the </w:t>
      </w:r>
      <w:r w:rsidRPr="00E007FA">
        <w:rPr>
          <w:i/>
        </w:rPr>
        <w:t>AHRQ Safety Program for MRSA Prevention</w:t>
      </w:r>
      <w:r>
        <w:t>.</w:t>
      </w:r>
      <w:r w:rsidR="003D3DA6">
        <w:t xml:space="preserve"> </w:t>
      </w:r>
    </w:p>
    <w:p w:rsidRPr="00A46BD2" w:rsidR="00A46BD2" w:rsidP="00B213CD" w:rsidRDefault="00A46BD2" w14:paraId="713947F2" w14:textId="5084912B">
      <w:pPr>
        <w:pStyle w:val="NormalWeb"/>
        <w:numPr>
          <w:ilvl w:val="0"/>
          <w:numId w:val="51"/>
        </w:numPr>
        <w:spacing w:before="0" w:beforeAutospacing="0" w:after="0" w:afterAutospacing="0"/>
      </w:pPr>
      <w:r w:rsidRPr="00B213CD">
        <w:t>The CMS Hospital Quality Improvement Contractor Initiative – the initiative’s intent is to provide targeted quality improvement assistance to rural and critical access hospitals, as well as hospitals serving vulnerable and underserved populations to achieve measurable outcomes with a focus on patient safety, care transitions and opioids. The initiative also provides support to hospitals during public health emergencies, epidemics, pandemics and other crises as they arise. The HQIC initiative will focus on three CMS goals, which align with the CMS Rural Health Strategy: Goal 1: Improve behavioral health outcomes, with a focus on decreased opioid misuse Goal 2: Increase patient safety, with a focus on reduction of harm Goal 3: Increase the quality of care transitions, with a focus on high utilizers in an effort to improve overall utilization. Goal 2, as part of harm reduction, may include a metric related to MRSA as it will include reduction of hospital acquired infections.</w:t>
      </w:r>
    </w:p>
    <w:p w:rsidRPr="00A46BD2" w:rsidR="00A46BD2" w:rsidP="00A46BD2" w:rsidRDefault="00A46BD2" w14:paraId="3D89F438" w14:textId="77777777">
      <w:pPr>
        <w:pStyle w:val="NormalWeb"/>
        <w:spacing w:before="0" w:beforeAutospacing="0" w:after="0" w:afterAutospacing="0"/>
      </w:pPr>
      <w:r w:rsidRPr="00B213CD">
        <w:t> </w:t>
      </w:r>
    </w:p>
    <w:p w:rsidRPr="00B213CD" w:rsidR="00A46BD2" w:rsidP="003D3DA6" w:rsidRDefault="00A46BD2" w14:paraId="706AD1FF" w14:textId="131267CD">
      <w:pPr>
        <w:pStyle w:val="NormalWeb"/>
        <w:numPr>
          <w:ilvl w:val="0"/>
          <w:numId w:val="51"/>
        </w:numPr>
        <w:spacing w:before="0" w:beforeAutospacing="0" w:after="0" w:afterAutospacing="0"/>
      </w:pPr>
      <w:r w:rsidRPr="00B213CD">
        <w:t>Similar to the hospital quality improvement contractor</w:t>
      </w:r>
      <w:r w:rsidR="00831C7F">
        <w:t>’</w:t>
      </w:r>
      <w:r w:rsidRPr="00B213CD">
        <w:t>s initiative, </w:t>
      </w:r>
      <w:r w:rsidRPr="00B213CD">
        <w:rPr>
          <w:color w:val="000000"/>
          <w:shd w:val="clear" w:color="auto" w:fill="FFFFFF"/>
        </w:rPr>
        <w:t>QIN-QIOs serving under the 12th Statement of Work will provide targeted assistance to nursing homes and communities in small and rural practices, those serving the most vulnerable populations, and those in need of customized quality improvement. The work with nursing homes will also include the goal for reduction in harm, and includes efforts to reduce healthcare acquired infections. This may include tracking admissions from the hospital for patients with hospital acquired MRSA.</w:t>
      </w:r>
    </w:p>
    <w:p w:rsidR="003D3DA6" w:rsidP="003D3DA6" w:rsidRDefault="003D3DA6" w14:paraId="64AF3813" w14:textId="5DFEB2AE">
      <w:pPr>
        <w:pStyle w:val="NormalWeb"/>
        <w:spacing w:before="0" w:beforeAutospacing="0" w:after="0" w:afterAutospacing="0"/>
        <w:ind w:left="720"/>
      </w:pPr>
    </w:p>
    <w:p w:rsidR="003D3DA6" w:rsidP="00316B9E" w:rsidRDefault="00B213CD" w14:paraId="0F199E19" w14:textId="676DBA66">
      <w:pPr>
        <w:pStyle w:val="NormalWeb"/>
        <w:spacing w:before="0" w:beforeAutospacing="0" w:after="0" w:afterAutospacing="0"/>
      </w:pPr>
      <w:r>
        <w:t>Avoidance of d</w:t>
      </w:r>
      <w:r w:rsidR="00316B9E">
        <w:t>uplication on a data collection level:</w:t>
      </w:r>
    </w:p>
    <w:p w:rsidR="00636665" w:rsidP="004F078C" w:rsidRDefault="004F078C" w14:paraId="7A3CBCAE" w14:textId="1D445B7F">
      <w:pPr>
        <w:pStyle w:val="ListParagraph"/>
        <w:numPr>
          <w:ilvl w:val="0"/>
          <w:numId w:val="48"/>
        </w:numPr>
        <w:spacing w:before="240" w:after="160"/>
        <w:rPr>
          <w:rFonts w:eastAsia="Calibri"/>
        </w:rPr>
      </w:pPr>
      <w:r>
        <w:rPr>
          <w:rFonts w:eastAsia="Calibri"/>
        </w:rPr>
        <w:t xml:space="preserve">Unit </w:t>
      </w:r>
      <w:r w:rsidR="003F6B2F">
        <w:rPr>
          <w:rFonts w:eastAsia="Calibri"/>
        </w:rPr>
        <w:t>-level clinical outcome change data</w:t>
      </w:r>
      <w:r w:rsidR="009D0E33">
        <w:rPr>
          <w:rFonts w:eastAsia="Calibri"/>
        </w:rPr>
        <w:t>: Th</w:t>
      </w:r>
      <w:r w:rsidR="00C546F5">
        <w:rPr>
          <w:rFonts w:eastAsia="Calibri"/>
        </w:rPr>
        <w:t>ese</w:t>
      </w:r>
      <w:r w:rsidR="009D0E33">
        <w:rPr>
          <w:rFonts w:eastAsia="Calibri"/>
        </w:rPr>
        <w:t xml:space="preserve"> data </w:t>
      </w:r>
      <w:r w:rsidR="00C546F5">
        <w:rPr>
          <w:rFonts w:eastAsia="Calibri"/>
        </w:rPr>
        <w:t>are</w:t>
      </w:r>
      <w:r w:rsidR="009D0E33">
        <w:rPr>
          <w:rFonts w:eastAsia="Calibri"/>
        </w:rPr>
        <w:t xml:space="preserve"> </w:t>
      </w:r>
      <w:r w:rsidR="00FE75E3">
        <w:rPr>
          <w:rFonts w:eastAsia="Calibri"/>
        </w:rPr>
        <w:t xml:space="preserve">already </w:t>
      </w:r>
      <w:r w:rsidR="00D60D88">
        <w:rPr>
          <w:rFonts w:eastAsia="Calibri"/>
        </w:rPr>
        <w:t xml:space="preserve">collected as part of the </w:t>
      </w:r>
      <w:r w:rsidR="00D42D18">
        <w:rPr>
          <w:rFonts w:eastAsia="Calibri"/>
        </w:rPr>
        <w:t xml:space="preserve">required </w:t>
      </w:r>
      <w:r w:rsidR="00D60D88">
        <w:rPr>
          <w:rFonts w:eastAsia="Calibri"/>
        </w:rPr>
        <w:t xml:space="preserve">infection control efforts at the </w:t>
      </w:r>
      <w:r w:rsidR="00FF7B52">
        <w:rPr>
          <w:rFonts w:eastAsia="Calibri"/>
        </w:rPr>
        <w:t>hospitals</w:t>
      </w:r>
      <w:r w:rsidR="009D6625">
        <w:rPr>
          <w:rFonts w:eastAsia="Calibri"/>
        </w:rPr>
        <w:t xml:space="preserve"> and LTC</w:t>
      </w:r>
      <w:r w:rsidR="00FF7B52">
        <w:rPr>
          <w:rFonts w:eastAsia="Calibri"/>
        </w:rPr>
        <w:t xml:space="preserve"> </w:t>
      </w:r>
      <w:r w:rsidR="00D60D88">
        <w:rPr>
          <w:rFonts w:eastAsia="Calibri"/>
        </w:rPr>
        <w:t>facilit</w:t>
      </w:r>
      <w:r w:rsidR="00D42D18">
        <w:rPr>
          <w:rFonts w:eastAsia="Calibri"/>
        </w:rPr>
        <w:t>ies</w:t>
      </w:r>
      <w:r w:rsidR="00D60D88">
        <w:rPr>
          <w:rFonts w:eastAsia="Calibri"/>
        </w:rPr>
        <w:t>.</w:t>
      </w:r>
      <w:r w:rsidR="009924BC">
        <w:rPr>
          <w:rFonts w:eastAsia="Calibri"/>
        </w:rPr>
        <w:t xml:space="preserve"> </w:t>
      </w:r>
      <w:r w:rsidR="00973909">
        <w:rPr>
          <w:rFonts w:eastAsia="Calibri"/>
        </w:rPr>
        <w:t xml:space="preserve">The ICU/non-ICU and Surgical Services data </w:t>
      </w:r>
      <w:r w:rsidR="00C546F5">
        <w:rPr>
          <w:rFonts w:eastAsia="Calibri"/>
        </w:rPr>
        <w:t>are</w:t>
      </w:r>
      <w:r w:rsidR="00973909">
        <w:rPr>
          <w:rFonts w:eastAsia="Calibri"/>
        </w:rPr>
        <w:t xml:space="preserve"> </w:t>
      </w:r>
      <w:r w:rsidR="00B91641">
        <w:rPr>
          <w:rFonts w:eastAsia="Calibri"/>
        </w:rPr>
        <w:t xml:space="preserve">then </w:t>
      </w:r>
      <w:r w:rsidR="00973909">
        <w:rPr>
          <w:rFonts w:eastAsia="Calibri"/>
        </w:rPr>
        <w:t>submitted to NHSN</w:t>
      </w:r>
      <w:r w:rsidR="00B91641">
        <w:rPr>
          <w:rFonts w:eastAsia="Calibri"/>
        </w:rPr>
        <w:t xml:space="preserve">. </w:t>
      </w:r>
      <w:r w:rsidR="00A57106">
        <w:rPr>
          <w:rFonts w:eastAsia="Calibri"/>
        </w:rPr>
        <w:t xml:space="preserve"> </w:t>
      </w:r>
      <w:r w:rsidR="00412837">
        <w:rPr>
          <w:rFonts w:eastAsia="Calibri"/>
        </w:rPr>
        <w:t xml:space="preserve">The </w:t>
      </w:r>
      <w:r w:rsidRPr="00E007FA" w:rsidR="00412837">
        <w:rPr>
          <w:rFonts w:eastAsia="Calibri"/>
          <w:i/>
        </w:rPr>
        <w:lastRenderedPageBreak/>
        <w:t xml:space="preserve">AHRQ Safety Program for MRSA Prevention </w:t>
      </w:r>
      <w:r w:rsidR="00412837">
        <w:rPr>
          <w:rFonts w:eastAsia="Calibri"/>
        </w:rPr>
        <w:t xml:space="preserve">will </w:t>
      </w:r>
      <w:r w:rsidR="00FE75E3">
        <w:rPr>
          <w:rFonts w:eastAsia="Calibri"/>
        </w:rPr>
        <w:t xml:space="preserve">also </w:t>
      </w:r>
      <w:r w:rsidR="00412837">
        <w:rPr>
          <w:rFonts w:eastAsia="Calibri"/>
        </w:rPr>
        <w:t>offer the opportunity for participating hospitals to confer NHSN rights to the Program in order to</w:t>
      </w:r>
      <w:r w:rsidR="00FE75E3">
        <w:rPr>
          <w:rFonts w:eastAsia="Calibri"/>
        </w:rPr>
        <w:t xml:space="preserve"> further</w:t>
      </w:r>
      <w:r w:rsidR="00412837">
        <w:rPr>
          <w:rFonts w:eastAsia="Calibri"/>
        </w:rPr>
        <w:t xml:space="preserve"> reduce data collection burden.  </w:t>
      </w:r>
      <w:r w:rsidR="00A57106">
        <w:t>In order to utilize NHSN data for those measures available, participating hospita</w:t>
      </w:r>
      <w:r w:rsidR="00660689">
        <w:t>l</w:t>
      </w:r>
      <w:r w:rsidR="001B06EA">
        <w:t>s w</w:t>
      </w:r>
      <w:r w:rsidR="0018096A">
        <w:t>ould</w:t>
      </w:r>
      <w:r w:rsidR="001B06EA">
        <w:t xml:space="preserve"> need to confer rights for</w:t>
      </w:r>
      <w:r w:rsidR="00660689">
        <w:t xml:space="preserve"> the </w:t>
      </w:r>
      <w:r w:rsidRPr="000F0BCD" w:rsidR="00660689">
        <w:rPr>
          <w:i/>
        </w:rPr>
        <w:t>AHRQ Safety Program for MRSA Prevention</w:t>
      </w:r>
      <w:r w:rsidR="00912F19">
        <w:t xml:space="preserve"> </w:t>
      </w:r>
      <w:r w:rsidR="00660689">
        <w:t xml:space="preserve">to </w:t>
      </w:r>
      <w:r w:rsidR="009D6625">
        <w:t>use</w:t>
      </w:r>
      <w:r w:rsidR="00A57106">
        <w:t xml:space="preserve"> their NHSN data</w:t>
      </w:r>
      <w:r w:rsidR="00660689">
        <w:t xml:space="preserve"> for the evaluation.</w:t>
      </w:r>
      <w:r w:rsidR="00A57106">
        <w:t xml:space="preserve">  </w:t>
      </w:r>
      <w:r w:rsidR="001B06EA">
        <w:t>In ICU and non-ICU settings, five of the seven clinical o</w:t>
      </w:r>
      <w:r w:rsidR="00D829BE">
        <w:t>utcome measures are available via</w:t>
      </w:r>
      <w:r w:rsidR="001B06EA">
        <w:t xml:space="preserve"> NHSN. I</w:t>
      </w:r>
      <w:r w:rsidR="00D829BE">
        <w:t xml:space="preserve">n surgical settings, both </w:t>
      </w:r>
      <w:r w:rsidR="001B06EA">
        <w:t xml:space="preserve">clinical outcome measures are available via NHSN. For hospitals that confer rights, the program will be able to access this data via NHSN and will not need to request this data from unit-level EHR extracts.  </w:t>
      </w:r>
      <w:r w:rsidR="003374E1">
        <w:rPr>
          <w:rFonts w:eastAsia="Calibri"/>
        </w:rPr>
        <w:t xml:space="preserve">LTC data is </w:t>
      </w:r>
      <w:r w:rsidR="00E029C0">
        <w:rPr>
          <w:rFonts w:eastAsia="Calibri"/>
        </w:rPr>
        <w:t>not generally submitted to NHSN, but collected for internal use.</w:t>
      </w:r>
      <w:r w:rsidR="00D12670">
        <w:rPr>
          <w:rFonts w:eastAsia="Calibri"/>
        </w:rPr>
        <w:t xml:space="preserve"> </w:t>
      </w:r>
      <w:r w:rsidR="002129FB">
        <w:rPr>
          <w:rFonts w:eastAsia="Calibri"/>
        </w:rPr>
        <w:t xml:space="preserve">The information is </w:t>
      </w:r>
      <w:r w:rsidR="00937FDA">
        <w:rPr>
          <w:rFonts w:eastAsia="Calibri"/>
        </w:rPr>
        <w:t xml:space="preserve">therefore </w:t>
      </w:r>
      <w:r w:rsidR="002129FB">
        <w:rPr>
          <w:rFonts w:eastAsia="Calibri"/>
        </w:rPr>
        <w:t>already available for entry into the project’s data portal.</w:t>
      </w:r>
      <w:r w:rsidR="00412837">
        <w:rPr>
          <w:rFonts w:eastAsia="Calibri"/>
        </w:rPr>
        <w:t xml:space="preserve"> </w:t>
      </w:r>
    </w:p>
    <w:p w:rsidR="00C62B27" w:rsidP="004F078C" w:rsidRDefault="00636665" w14:paraId="63E57FC0" w14:textId="60F78C22">
      <w:pPr>
        <w:pStyle w:val="ListParagraph"/>
        <w:numPr>
          <w:ilvl w:val="0"/>
          <w:numId w:val="48"/>
        </w:numPr>
        <w:spacing w:before="240" w:after="160"/>
        <w:rPr>
          <w:rFonts w:eastAsia="Calibri"/>
        </w:rPr>
      </w:pPr>
      <w:r>
        <w:rPr>
          <w:rFonts w:eastAsia="Calibri"/>
        </w:rPr>
        <w:t>Survey of Patient Safety</w:t>
      </w:r>
      <w:r w:rsidR="0079350B">
        <w:rPr>
          <w:rFonts w:eastAsia="Calibri"/>
        </w:rPr>
        <w:t xml:space="preserve"> (SOPS)</w:t>
      </w:r>
      <w:r>
        <w:rPr>
          <w:rFonts w:eastAsia="Calibri"/>
        </w:rPr>
        <w:t xml:space="preserve">: </w:t>
      </w:r>
      <w:r w:rsidR="0088171C">
        <w:rPr>
          <w:rFonts w:eastAsia="Calibri"/>
        </w:rPr>
        <w:t xml:space="preserve">We will be collecting original data from most sites. Some sites may already use </w:t>
      </w:r>
      <w:r w:rsidR="00346FCE">
        <w:rPr>
          <w:rFonts w:eastAsia="Calibri"/>
        </w:rPr>
        <w:t xml:space="preserve">SOPS as part of meeting their CMS requirements. </w:t>
      </w:r>
      <w:r w:rsidR="00167AFB">
        <w:rPr>
          <w:rFonts w:eastAsia="Calibri"/>
        </w:rPr>
        <w:t xml:space="preserve">In those cases, </w:t>
      </w:r>
      <w:r w:rsidR="00C62B27">
        <w:rPr>
          <w:rFonts w:eastAsia="Calibri"/>
        </w:rPr>
        <w:t>the sites will share the data they have already collected.</w:t>
      </w:r>
    </w:p>
    <w:p w:rsidR="00F1324D" w:rsidP="004F078C" w:rsidRDefault="00C62B27" w14:paraId="482E345D" w14:textId="4354BF68">
      <w:pPr>
        <w:pStyle w:val="ListParagraph"/>
        <w:numPr>
          <w:ilvl w:val="0"/>
          <w:numId w:val="48"/>
        </w:numPr>
        <w:spacing w:before="240" w:after="160"/>
        <w:rPr>
          <w:rFonts w:eastAsia="Calibri"/>
        </w:rPr>
      </w:pPr>
      <w:r>
        <w:rPr>
          <w:rFonts w:eastAsia="Calibri"/>
        </w:rPr>
        <w:t xml:space="preserve">Gap Analysis: </w:t>
      </w:r>
      <w:r w:rsidR="00745F4A">
        <w:rPr>
          <w:rFonts w:eastAsia="Calibri"/>
        </w:rPr>
        <w:t xml:space="preserve">The Gap Analysis has been developed for this program. </w:t>
      </w:r>
      <w:r w:rsidR="00F1324D">
        <w:rPr>
          <w:rFonts w:eastAsia="Calibri"/>
        </w:rPr>
        <w:t>The data we are requesting is original.</w:t>
      </w:r>
    </w:p>
    <w:p w:rsidR="00E36BE4" w:rsidP="005663A4" w:rsidRDefault="00F1324D" w14:paraId="38434A6F" w14:textId="16EA6754">
      <w:pPr>
        <w:pStyle w:val="ListParagraph"/>
        <w:numPr>
          <w:ilvl w:val="0"/>
          <w:numId w:val="48"/>
        </w:numPr>
        <w:spacing w:before="240" w:after="160"/>
        <w:rPr>
          <w:rFonts w:eastAsia="Calibri"/>
        </w:rPr>
      </w:pPr>
      <w:r>
        <w:rPr>
          <w:rFonts w:eastAsia="Calibri"/>
        </w:rPr>
        <w:t>Team Checkup Tool</w:t>
      </w:r>
      <w:r w:rsidR="00DC59AE">
        <w:rPr>
          <w:rFonts w:eastAsia="Calibri"/>
        </w:rPr>
        <w:t xml:space="preserve"> (TCT)</w:t>
      </w:r>
      <w:r>
        <w:rPr>
          <w:rFonts w:eastAsia="Calibri"/>
        </w:rPr>
        <w:t xml:space="preserve">: </w:t>
      </w:r>
      <w:r w:rsidR="00801B3C">
        <w:rPr>
          <w:rFonts w:eastAsia="Calibri"/>
        </w:rPr>
        <w:t>T</w:t>
      </w:r>
      <w:r w:rsidR="003E780A">
        <w:rPr>
          <w:rFonts w:eastAsia="Calibri"/>
        </w:rPr>
        <w:t>his version of the TCT has been developed for this program. The data we are requesting is original.</w:t>
      </w:r>
      <w:r w:rsidRPr="004F078C" w:rsidR="00767BA0">
        <w:rPr>
          <w:rFonts w:eastAsia="Calibri"/>
        </w:rPr>
        <w:t xml:space="preserve">  </w:t>
      </w:r>
    </w:p>
    <w:p w:rsidR="00E36BE4" w:rsidP="00B213CD" w:rsidRDefault="00E36BE4" w14:paraId="398AB8E3" w14:textId="77777777">
      <w:pPr>
        <w:pStyle w:val="ListParagraph"/>
        <w:spacing w:before="240" w:after="160"/>
        <w:ind w:left="840"/>
        <w:rPr>
          <w:rFonts w:eastAsia="Calibri"/>
        </w:rPr>
      </w:pPr>
    </w:p>
    <w:p w:rsidRPr="00971A60" w:rsidR="00E36BE4" w:rsidP="00E36BE4" w:rsidRDefault="00E36BE4" w14:paraId="3C5CC4FE" w14:textId="754C4428">
      <w:pPr>
        <w:pStyle w:val="ListParagraph"/>
        <w:spacing w:after="160"/>
        <w:ind w:left="0"/>
      </w:pPr>
      <w:r w:rsidRPr="00E36BE4">
        <w:t xml:space="preserve"> </w:t>
      </w:r>
      <w:r>
        <w:t xml:space="preserve">AHRQ has engaged with CMS to explore possible coordination and to familiarize them with the </w:t>
      </w:r>
      <w:r w:rsidRPr="00F877FD">
        <w:rPr>
          <w:i/>
        </w:rPr>
        <w:t>AHRQ Safety Program for MRSA Prevention</w:t>
      </w:r>
      <w:r w:rsidRPr="00F178B5">
        <w:rPr>
          <w:rFonts w:eastAsia="Calibri"/>
        </w:rPr>
        <w:t xml:space="preserve">. </w:t>
      </w:r>
      <w:r>
        <w:rPr>
          <w:rFonts w:eastAsia="Calibri"/>
        </w:rPr>
        <w:t xml:space="preserve">CMS personnel will serve on the Technical Expert Panel to assure coordination and avoid duplication of efforts.  </w:t>
      </w:r>
      <w:r w:rsidRPr="00F178B5">
        <w:rPr>
          <w:rFonts w:eastAsia="Calibri"/>
        </w:rPr>
        <w:t xml:space="preserve">The </w:t>
      </w:r>
      <w:r w:rsidRPr="00F178B5">
        <w:rPr>
          <w:rFonts w:eastAsia="Calibri"/>
          <w:i/>
        </w:rPr>
        <w:t xml:space="preserve">AHRQ Safety </w:t>
      </w:r>
      <w:r>
        <w:rPr>
          <w:rFonts w:eastAsia="Calibri"/>
          <w:i/>
        </w:rPr>
        <w:t xml:space="preserve">Program for MRSA Prevention </w:t>
      </w:r>
      <w:r w:rsidRPr="00F178B5">
        <w:rPr>
          <w:rFonts w:eastAsia="Calibri"/>
        </w:rPr>
        <w:t>can synergize with and compliment these existing national incentives. The</w:t>
      </w:r>
      <w:r w:rsidRPr="00E007FA">
        <w:rPr>
          <w:rFonts w:eastAsia="Calibri"/>
          <w:i/>
        </w:rPr>
        <w:t xml:space="preserve"> </w:t>
      </w:r>
      <w:r w:rsidRPr="00E007FA" w:rsidR="00FE75E3">
        <w:rPr>
          <w:rFonts w:eastAsia="Calibri"/>
          <w:i/>
        </w:rPr>
        <w:t>AHRQ Safety Program</w:t>
      </w:r>
      <w:r w:rsidRPr="00F178B5">
        <w:rPr>
          <w:rFonts w:eastAsia="Calibri"/>
        </w:rPr>
        <w:t xml:space="preserve"> provides extensive technical and adaptive tools and approaches</w:t>
      </w:r>
      <w:r>
        <w:rPr>
          <w:rFonts w:eastAsia="Calibri"/>
        </w:rPr>
        <w:t xml:space="preserve"> for preventing MRSA infections to infection preventionists and</w:t>
      </w:r>
      <w:r w:rsidRPr="00F178B5">
        <w:rPr>
          <w:rFonts w:eastAsia="Calibri"/>
        </w:rPr>
        <w:t xml:space="preserve"> frontline providers. Through engaging webinars and e-learning modules, participants will learn how to optimize their existing resources </w:t>
      </w:r>
      <w:r>
        <w:rPr>
          <w:rFonts w:eastAsia="Calibri"/>
        </w:rPr>
        <w:t xml:space="preserve">for MRSA prevention efforts. As with previous </w:t>
      </w:r>
      <w:r w:rsidRPr="00F877FD">
        <w:rPr>
          <w:rFonts w:eastAsia="Calibri"/>
          <w:i/>
        </w:rPr>
        <w:t>AHRQ Safety Program</w:t>
      </w:r>
      <w:r>
        <w:rPr>
          <w:rFonts w:eastAsia="Calibri"/>
        </w:rPr>
        <w:t xml:space="preserve"> initiatives (e.g. the </w:t>
      </w:r>
      <w:r w:rsidRPr="00F877FD">
        <w:rPr>
          <w:rFonts w:eastAsia="Calibri"/>
          <w:i/>
        </w:rPr>
        <w:t>AHRQ Safety Program for Improving Antibiotic Use</w:t>
      </w:r>
      <w:r>
        <w:rPr>
          <w:rFonts w:eastAsia="Calibri"/>
        </w:rPr>
        <w:t xml:space="preserve"> and the </w:t>
      </w:r>
      <w:r w:rsidRPr="00F877FD">
        <w:rPr>
          <w:rFonts w:eastAsia="Calibri"/>
          <w:i/>
        </w:rPr>
        <w:t>AHRQ Safety Program for ICUs:  Preventing CLABSI and CAUTI</w:t>
      </w:r>
      <w:r>
        <w:rPr>
          <w:rFonts w:eastAsia="Calibri"/>
        </w:rPr>
        <w:t>), technical assistance provided in this program will not overlap</w:t>
      </w:r>
      <w:r w:rsidR="00A57106">
        <w:rPr>
          <w:rFonts w:eastAsia="Calibri"/>
        </w:rPr>
        <w:t>,</w:t>
      </w:r>
      <w:r>
        <w:rPr>
          <w:rFonts w:eastAsia="Calibri"/>
        </w:rPr>
        <w:t xml:space="preserve"> but will assist facilities participating in CMS quality improvement initiatives to reach established goals.</w:t>
      </w:r>
      <w:r w:rsidRPr="00F178B5">
        <w:rPr>
          <w:rFonts w:eastAsia="Calibri"/>
        </w:rPr>
        <w:t xml:space="preserve"> </w:t>
      </w:r>
    </w:p>
    <w:p w:rsidRPr="00E36BE4" w:rsidR="00E36BE4" w:rsidP="00B213CD" w:rsidRDefault="00E36BE4" w14:paraId="34812C83" w14:textId="05C93D6E">
      <w:pPr>
        <w:spacing w:before="240" w:after="160"/>
        <w:rPr>
          <w:rFonts w:eastAsia="Calibri"/>
        </w:rPr>
      </w:pPr>
    </w:p>
    <w:p w:rsidRPr="00E70711" w:rsidR="009B633D" w:rsidP="009B633D" w:rsidRDefault="009B633D" w14:paraId="5B69C8C5" w14:textId="5DA63458">
      <w:pPr>
        <w:pStyle w:val="Heading2"/>
        <w:rPr>
          <w:sz w:val="24"/>
        </w:rPr>
      </w:pPr>
      <w:bookmarkStart w:name="_Toc151782180" w:id="18"/>
      <w:bookmarkStart w:name="_Toc158526220" w:id="19"/>
      <w:bookmarkStart w:name="_Toc73964941" w:id="20"/>
      <w:bookmarkStart w:name="_Toc73965300" w:id="21"/>
      <w:r w:rsidRPr="00E70711">
        <w:rPr>
          <w:sz w:val="24"/>
        </w:rPr>
        <w:t>5. Involvement of Small Entities</w:t>
      </w:r>
      <w:bookmarkEnd w:id="18"/>
      <w:bookmarkEnd w:id="19"/>
      <w:bookmarkEnd w:id="20"/>
      <w:bookmarkEnd w:id="21"/>
    </w:p>
    <w:p w:rsidRPr="00E70711" w:rsidR="006D5791" w:rsidP="00EA3BED" w:rsidRDefault="006D5791" w14:paraId="04481472" w14:textId="64E1A6CE">
      <w:pPr>
        <w:spacing w:before="100" w:beforeAutospacing="1" w:after="100" w:afterAutospacing="1"/>
        <w:rPr>
          <w:i/>
        </w:rPr>
      </w:pPr>
      <w:r w:rsidRPr="00E70711">
        <w:t xml:space="preserve">The information collected may involve small entities, as </w:t>
      </w:r>
      <w:r w:rsidRPr="00E70711" w:rsidR="00DA3BCC">
        <w:t xml:space="preserve">some of the participating </w:t>
      </w:r>
      <w:r w:rsidRPr="00E70711" w:rsidR="00B057C3">
        <w:t>hospitals</w:t>
      </w:r>
      <w:r w:rsidRPr="00E70711" w:rsidR="00DA3BCC">
        <w:t xml:space="preserve"> and </w:t>
      </w:r>
      <w:r w:rsidR="00534AD2">
        <w:t>LTC</w:t>
      </w:r>
      <w:r w:rsidRPr="00E70711" w:rsidR="00DA3BCC">
        <w:t xml:space="preserve"> facilities may involve smaller units. </w:t>
      </w:r>
      <w:r w:rsidRPr="00E70711">
        <w:t xml:space="preserve">For this </w:t>
      </w:r>
      <w:r w:rsidRPr="00E70711" w:rsidR="009C155B">
        <w:t>project</w:t>
      </w:r>
      <w:r w:rsidRPr="00E70711">
        <w:t xml:space="preserve">, only </w:t>
      </w:r>
      <w:r w:rsidRPr="005663A4">
        <w:t xml:space="preserve">items that provide critical information for </w:t>
      </w:r>
      <w:r w:rsidRPr="005663A4" w:rsidR="00EA3BED">
        <w:t>conducting the evaluation</w:t>
      </w:r>
      <w:r w:rsidRPr="00E70711">
        <w:t xml:space="preserve"> will be included</w:t>
      </w:r>
      <w:r w:rsidRPr="00E70711" w:rsidR="009B62E3">
        <w:t>, and the information being requested has been held to the absolute minimum required for the intended use.</w:t>
      </w:r>
    </w:p>
    <w:p w:rsidRPr="00E70711" w:rsidR="009B633D" w:rsidP="009B633D" w:rsidRDefault="009B633D" w14:paraId="5C451BF3" w14:textId="77777777">
      <w:pPr>
        <w:pStyle w:val="Heading2"/>
        <w:rPr>
          <w:sz w:val="24"/>
        </w:rPr>
      </w:pPr>
      <w:bookmarkStart w:name="_Toc151782181" w:id="22"/>
      <w:bookmarkStart w:name="_Toc158526221" w:id="23"/>
      <w:bookmarkStart w:name="_Toc73964942" w:id="24"/>
      <w:bookmarkStart w:name="_Toc73965301" w:id="25"/>
      <w:r w:rsidRPr="00E70711">
        <w:rPr>
          <w:sz w:val="24"/>
        </w:rPr>
        <w:lastRenderedPageBreak/>
        <w:t>6. Consequences if Information Collected Less Frequently</w:t>
      </w:r>
      <w:bookmarkEnd w:id="22"/>
      <w:bookmarkEnd w:id="23"/>
      <w:bookmarkEnd w:id="24"/>
      <w:bookmarkEnd w:id="25"/>
    </w:p>
    <w:p w:rsidRPr="00E70711" w:rsidR="002665A1" w:rsidP="00B213CD" w:rsidRDefault="002665A1" w14:paraId="624E1E81" w14:textId="7F47E7E3">
      <w:pPr>
        <w:spacing w:before="100" w:beforeAutospacing="1" w:after="100" w:afterAutospacing="1"/>
      </w:pPr>
      <w:bookmarkStart w:name="_Toc151782182" w:id="26"/>
      <w:bookmarkStart w:name="_Toc158526222" w:id="27"/>
      <w:r w:rsidRPr="00E70711">
        <w:t xml:space="preserve">This data collection effort will be part of a comprehensive evaluation strategy to assess the adoption of </w:t>
      </w:r>
      <w:r w:rsidRPr="00215B82" w:rsidR="003A6F7E">
        <w:rPr>
          <w:i/>
        </w:rPr>
        <w:t>AHRQ Safety Program</w:t>
      </w:r>
      <w:r w:rsidRPr="00E007FA">
        <w:rPr>
          <w:i/>
        </w:rPr>
        <w:t xml:space="preserve"> for </w:t>
      </w:r>
      <w:r w:rsidRPr="00E007FA" w:rsidR="00C916BF">
        <w:rPr>
          <w:i/>
        </w:rPr>
        <w:t>MRSA Prevention</w:t>
      </w:r>
      <w:r w:rsidRPr="00E70711">
        <w:t xml:space="preserve"> in </w:t>
      </w:r>
      <w:r w:rsidRPr="00E70711" w:rsidR="00C916BF">
        <w:t xml:space="preserve">ICU, non-ICU, surgical services units, and </w:t>
      </w:r>
      <w:r w:rsidR="00534AD2">
        <w:t>LTC</w:t>
      </w:r>
      <w:r w:rsidRPr="00E70711">
        <w:t xml:space="preserve"> settings</w:t>
      </w:r>
      <w:r w:rsidRPr="00AA613D" w:rsidR="00FF7B52">
        <w:t>,</w:t>
      </w:r>
      <w:r w:rsidRPr="00E70711" w:rsidR="00C916BF">
        <w:t xml:space="preserve"> and</w:t>
      </w:r>
      <w:r w:rsidRPr="00E70711">
        <w:t xml:space="preserve"> m</w:t>
      </w:r>
      <w:r w:rsidRPr="00E70711" w:rsidR="00C916BF">
        <w:t xml:space="preserve">easure the effectiveness of the </w:t>
      </w:r>
      <w:r w:rsidRPr="00E70711" w:rsidR="00965F68">
        <w:t>i</w:t>
      </w:r>
      <w:r w:rsidR="00965F68">
        <w:t>mplementation</w:t>
      </w:r>
      <w:r w:rsidRPr="00E70711">
        <w:t xml:space="preserve"> in the participating </w:t>
      </w:r>
      <w:r w:rsidRPr="001B06EA" w:rsidR="00FF7B52">
        <w:t>units and</w:t>
      </w:r>
      <w:r w:rsidRPr="001B06EA">
        <w:t xml:space="preserve"> </w:t>
      </w:r>
      <w:r w:rsidRPr="00E70711">
        <w:t>facilities</w:t>
      </w:r>
      <w:r w:rsidRPr="00E70711" w:rsidR="00C916BF">
        <w:t xml:space="preserve">. </w:t>
      </w:r>
      <w:r w:rsidRPr="00E70711" w:rsidR="009537FA">
        <w:t xml:space="preserve">The planned frequency of data </w:t>
      </w:r>
      <w:r w:rsidRPr="00E70711">
        <w:t xml:space="preserve">collection is necessary to </w:t>
      </w:r>
      <w:r w:rsidRPr="00E70711" w:rsidR="009537FA">
        <w:t>accurately assess the adoption and effectiveness of the program</w:t>
      </w:r>
      <w:r w:rsidRPr="00E70711" w:rsidR="00C916BF">
        <w:t xml:space="preserve">. </w:t>
      </w:r>
    </w:p>
    <w:p w:rsidRPr="00E70711" w:rsidR="009B633D" w:rsidP="009B633D" w:rsidRDefault="009B633D" w14:paraId="007A289F" w14:textId="77777777">
      <w:pPr>
        <w:pStyle w:val="Heading2"/>
        <w:rPr>
          <w:sz w:val="24"/>
        </w:rPr>
      </w:pPr>
      <w:bookmarkStart w:name="_Toc73964943" w:id="28"/>
      <w:bookmarkStart w:name="_Toc73965302" w:id="29"/>
      <w:r w:rsidRPr="00E70711">
        <w:rPr>
          <w:sz w:val="24"/>
        </w:rPr>
        <w:t>7. Special Circumstances</w:t>
      </w:r>
      <w:bookmarkEnd w:id="26"/>
      <w:bookmarkEnd w:id="27"/>
      <w:bookmarkEnd w:id="28"/>
      <w:bookmarkEnd w:id="29"/>
    </w:p>
    <w:p w:rsidRPr="00E70711" w:rsidR="009B633D" w:rsidP="009B633D" w:rsidRDefault="009B633D" w14:paraId="6974F948" w14:textId="77777777">
      <w:pPr>
        <w:spacing w:before="120"/>
      </w:pPr>
      <w:r w:rsidRPr="00E70711">
        <w:t>This request is consistent with the general information collection guidelines of 5 CFR 1320.5(d)(2).  No special circumstances apply.</w:t>
      </w:r>
    </w:p>
    <w:p w:rsidRPr="00E70711" w:rsidR="004E3A1B" w:rsidP="004E3A1B" w:rsidRDefault="009B633D" w14:paraId="478C2EBA" w14:textId="77777777">
      <w:pPr>
        <w:pStyle w:val="Heading2"/>
        <w:rPr>
          <w:sz w:val="24"/>
          <w:szCs w:val="24"/>
        </w:rPr>
      </w:pPr>
      <w:bookmarkStart w:name="_Toc151782183" w:id="30"/>
      <w:bookmarkStart w:name="_Toc158526223" w:id="31"/>
      <w:bookmarkStart w:name="_Toc73964944" w:id="32"/>
      <w:bookmarkStart w:name="_Toc73965303" w:id="33"/>
      <w:r w:rsidRPr="00E70711">
        <w:rPr>
          <w:sz w:val="24"/>
        </w:rPr>
        <w:t>8.</w:t>
      </w:r>
      <w:r w:rsidRPr="00E70711">
        <w:rPr>
          <w:sz w:val="24"/>
          <w:szCs w:val="24"/>
        </w:rPr>
        <w:t xml:space="preserve"> </w:t>
      </w:r>
      <w:bookmarkEnd w:id="30"/>
      <w:bookmarkEnd w:id="31"/>
      <w:r w:rsidRPr="00E70711" w:rsidR="004E3A1B">
        <w:rPr>
          <w:sz w:val="24"/>
          <w:szCs w:val="24"/>
        </w:rPr>
        <w:t>Federal Register Notice and Outside Consultations</w:t>
      </w:r>
      <w:bookmarkEnd w:id="32"/>
      <w:bookmarkEnd w:id="33"/>
    </w:p>
    <w:p w:rsidRPr="00E70711" w:rsidR="00131443" w:rsidP="00896D9C" w:rsidRDefault="004E3A1B" w14:paraId="67E96644" w14:textId="77777777">
      <w:pPr>
        <w:pStyle w:val="Heading2"/>
        <w:spacing w:after="0"/>
      </w:pPr>
      <w:bookmarkStart w:name="_Toc73964945" w:id="34"/>
      <w:bookmarkStart w:name="_Toc73965304" w:id="35"/>
      <w:r w:rsidRPr="00E70711">
        <w:t>8.a. Federal Register Notice</w:t>
      </w:r>
      <w:bookmarkEnd w:id="34"/>
      <w:bookmarkEnd w:id="35"/>
    </w:p>
    <w:p w:rsidRPr="00E70711" w:rsidR="007C1ECB" w:rsidP="004E3A1B" w:rsidRDefault="007C1ECB" w14:paraId="00053099" w14:textId="77777777"/>
    <w:p w:rsidR="00F92AAC" w:rsidP="00F92AAC" w:rsidRDefault="00A30D9A" w14:paraId="2F4B91D0" w14:textId="13E1A105">
      <w:pPr>
        <w:rPr>
          <w:sz w:val="20"/>
          <w:szCs w:val="20"/>
        </w:rPr>
      </w:pPr>
      <w:bookmarkStart w:name="OLE_LINK3" w:id="36"/>
      <w:bookmarkStart w:name="OLE_LINK4" w:id="37"/>
      <w:r w:rsidRPr="00E70711">
        <w:t xml:space="preserve">As required by </w:t>
      </w:r>
      <w:r w:rsidRPr="00E70711" w:rsidR="0037771B">
        <w:t xml:space="preserve">5 CFR 1320.8(d), </w:t>
      </w:r>
      <w:r w:rsidR="00F92AAC">
        <w:t xml:space="preserve">a </w:t>
      </w:r>
      <w:r w:rsidRPr="00E70711" w:rsidR="0037771B">
        <w:t>n</w:t>
      </w:r>
      <w:r w:rsidRPr="00E70711" w:rsidR="009374DF">
        <w:t>otice was published in the Federal Register on</w:t>
      </w:r>
      <w:r w:rsidRPr="00E70711" w:rsidR="00AD7052">
        <w:t xml:space="preserve"> </w:t>
      </w:r>
      <w:r w:rsidR="00F92AAC">
        <w:t xml:space="preserve">     May 3, 2021</w:t>
      </w:r>
      <w:r w:rsidRPr="00E70711" w:rsidR="00AD7052">
        <w:t xml:space="preserve"> on </w:t>
      </w:r>
      <w:r w:rsidR="00DD7082">
        <w:t>P</w:t>
      </w:r>
      <w:r w:rsidRPr="00E70711" w:rsidR="00AD7052">
        <w:t>age</w:t>
      </w:r>
      <w:r w:rsidR="00F92AAC">
        <w:t xml:space="preserve"> 23366 </w:t>
      </w:r>
      <w:r w:rsidR="00DD7082">
        <w:t>Volume</w:t>
      </w:r>
      <w:r w:rsidR="00F92AAC">
        <w:t xml:space="preserve"> 86</w:t>
      </w:r>
      <w:r w:rsidRPr="00E70711" w:rsidR="00AD7052">
        <w:t xml:space="preserve"> </w:t>
      </w:r>
      <w:r w:rsidRPr="00E70711" w:rsidR="009374DF">
        <w:t>for 60 days</w:t>
      </w:r>
      <w:r w:rsidRPr="00E70711" w:rsidR="00016560">
        <w:t xml:space="preserve"> </w:t>
      </w:r>
      <w:r w:rsidRPr="00E70711" w:rsidR="00620B93">
        <w:t xml:space="preserve">(see </w:t>
      </w:r>
      <w:r w:rsidRPr="00E70711" w:rsidR="00620B93">
        <w:rPr>
          <w:b/>
        </w:rPr>
        <w:t>A</w:t>
      </w:r>
      <w:r w:rsidRPr="00E70711" w:rsidR="00EE4455">
        <w:rPr>
          <w:b/>
        </w:rPr>
        <w:t>ttachment</w:t>
      </w:r>
      <w:r w:rsidRPr="00E70711" w:rsidR="00E167EA">
        <w:rPr>
          <w:b/>
        </w:rPr>
        <w:t xml:space="preserve"> </w:t>
      </w:r>
      <w:r w:rsidRPr="00E70711" w:rsidR="00364187">
        <w:rPr>
          <w:b/>
        </w:rPr>
        <w:t>A</w:t>
      </w:r>
      <w:r w:rsidRPr="00E70711" w:rsidR="00016560">
        <w:t>)</w:t>
      </w:r>
      <w:r w:rsidRPr="00E70711" w:rsidR="009374DF">
        <w:t xml:space="preserve">.  </w:t>
      </w:r>
      <w:bookmarkEnd w:id="36"/>
      <w:bookmarkEnd w:id="37"/>
    </w:p>
    <w:p w:rsidRPr="00E70711" w:rsidR="004E3A1B" w:rsidP="004E3A1B" w:rsidRDefault="004E3A1B" w14:paraId="622614A7" w14:textId="0D999F1B"/>
    <w:p w:rsidRPr="00E70711" w:rsidR="009B633D" w:rsidP="009B633D" w:rsidRDefault="00AF646B" w14:paraId="69F337EA" w14:textId="77777777">
      <w:pPr>
        <w:pStyle w:val="Heading2"/>
        <w:rPr>
          <w:sz w:val="24"/>
        </w:rPr>
      </w:pPr>
      <w:bookmarkStart w:name="_Toc73964946" w:id="38"/>
      <w:bookmarkStart w:name="_Toc73965305" w:id="39"/>
      <w:r w:rsidRPr="00E70711">
        <w:rPr>
          <w:sz w:val="24"/>
        </w:rPr>
        <w:t xml:space="preserve">8.b. </w:t>
      </w:r>
      <w:r w:rsidRPr="00E70711" w:rsidR="004E3A1B">
        <w:rPr>
          <w:sz w:val="24"/>
          <w:szCs w:val="24"/>
        </w:rPr>
        <w:t>Outside Consultations</w:t>
      </w:r>
      <w:bookmarkStart w:name="_GoBack" w:id="40"/>
      <w:bookmarkEnd w:id="38"/>
      <w:bookmarkEnd w:id="39"/>
      <w:bookmarkEnd w:id="40"/>
    </w:p>
    <w:p w:rsidRPr="00E70711" w:rsidR="00752F13" w:rsidP="00752F13" w:rsidRDefault="00752F13" w14:paraId="60403A72" w14:textId="3245D5CE">
      <w:pPr>
        <w:pStyle w:val="Default"/>
      </w:pPr>
      <w:bookmarkStart w:name="_Toc457285506" w:id="41"/>
      <w:bookmarkStart w:name="_Toc58725294" w:id="42"/>
      <w:bookmarkStart w:name="_Toc151782184" w:id="43"/>
      <w:bookmarkStart w:name="_Toc158526224" w:id="44"/>
      <w:r w:rsidRPr="00E70711">
        <w:t xml:space="preserve">AHRQ, Johns Hopkins University, and NORC </w:t>
      </w:r>
      <w:r w:rsidR="00D33D18">
        <w:t xml:space="preserve">is </w:t>
      </w:r>
      <w:r w:rsidRPr="00E70711">
        <w:t>consult</w:t>
      </w:r>
      <w:r w:rsidR="00D33D18">
        <w:t>ing</w:t>
      </w:r>
      <w:r w:rsidRPr="00E70711">
        <w:t xml:space="preserve"> with a technical expert panel (TEP) to provide expertise and guidance to develop the plan and design for this project, including the development of the toolkits and the evaluation for which this data collection is designed. The multi-disciplinary TEP consists of individuals with knowledge and experience in MRSA prevention</w:t>
      </w:r>
      <w:r w:rsidRPr="00E70711" w:rsidR="00D15E18">
        <w:t xml:space="preserve">, </w:t>
      </w:r>
      <w:r w:rsidRPr="00E70711" w:rsidR="00AE439A">
        <w:t xml:space="preserve">HAI </w:t>
      </w:r>
      <w:r w:rsidRPr="00E70711" w:rsidR="00D15E18">
        <w:t>prevention, and change management and implementation</w:t>
      </w:r>
      <w:r w:rsidRPr="00E70711">
        <w:t xml:space="preserve"> in hospitals, surgical services, and </w:t>
      </w:r>
      <w:r w:rsidR="00534AD2">
        <w:t>LTC</w:t>
      </w:r>
      <w:r w:rsidRPr="00E70711">
        <w:t xml:space="preserve"> settings, as well as experts in neurosurgery, cardiac surgery, and orthopedic surgery. The first TEP meeting </w:t>
      </w:r>
      <w:r w:rsidR="008155EF">
        <w:t>was</w:t>
      </w:r>
      <w:r w:rsidRPr="00E70711">
        <w:t xml:space="preserve"> held </w:t>
      </w:r>
      <w:r w:rsidR="0002055E">
        <w:t>on</w:t>
      </w:r>
      <w:r w:rsidRPr="00E70711" w:rsidR="00D15E18">
        <w:t xml:space="preserve"> </w:t>
      </w:r>
      <w:r w:rsidRPr="00E70711" w:rsidR="00846FD4">
        <w:t>Ma</w:t>
      </w:r>
      <w:r w:rsidR="00C06287">
        <w:t>y</w:t>
      </w:r>
      <w:r w:rsidR="0002055E">
        <w:t xml:space="preserve"> 3</w:t>
      </w:r>
      <w:r w:rsidRPr="00E70711" w:rsidR="00D15E18">
        <w:t xml:space="preserve">, </w:t>
      </w:r>
      <w:r w:rsidRPr="00E70711" w:rsidR="00336C09">
        <w:t>2021</w:t>
      </w:r>
      <w:r w:rsidR="00D33D18">
        <w:t xml:space="preserve"> and included a review of the data collection and analysis plans</w:t>
      </w:r>
      <w:r w:rsidRPr="00E70711" w:rsidR="00D15E18">
        <w:t xml:space="preserve">. </w:t>
      </w:r>
    </w:p>
    <w:p w:rsidRPr="00E70711" w:rsidR="00752F13" w:rsidP="00752F13" w:rsidRDefault="00752F13" w14:paraId="1B0F1A0F" w14:textId="77777777">
      <w:pPr>
        <w:pStyle w:val="Default"/>
      </w:pPr>
    </w:p>
    <w:p w:rsidRPr="00E70711" w:rsidR="00752F13" w:rsidP="00752F13" w:rsidRDefault="00752F13" w14:paraId="2D67617B" w14:textId="6D58C4AE">
      <w:pPr>
        <w:rPr>
          <w:sz w:val="22"/>
          <w:szCs w:val="22"/>
        </w:rPr>
      </w:pPr>
      <w:r w:rsidRPr="00E70711">
        <w:t>The TEP is providing critical feedback on all aspects of this program, including reviewing the proposed plan for the</w:t>
      </w:r>
      <w:r w:rsidRPr="00E70711" w:rsidR="00AE439A">
        <w:t xml:space="preserve"> setting-specific</w:t>
      </w:r>
      <w:r w:rsidRPr="00E70711">
        <w:t xml:space="preserve"> toolkit</w:t>
      </w:r>
      <w:r w:rsidRPr="00E70711" w:rsidR="00AE439A">
        <w:t>s</w:t>
      </w:r>
      <w:r w:rsidRPr="00E70711">
        <w:t xml:space="preserve"> and project approach</w:t>
      </w:r>
      <w:r w:rsidRPr="00E70711" w:rsidR="00AE439A">
        <w:t>,</w:t>
      </w:r>
      <w:r w:rsidRPr="00E70711">
        <w:t xml:space="preserve"> including the </w:t>
      </w:r>
      <w:r w:rsidRPr="00E70711" w:rsidR="00AE439A">
        <w:t xml:space="preserve">evaluation plan. </w:t>
      </w:r>
    </w:p>
    <w:p w:rsidRPr="00E70711" w:rsidR="00752F13" w:rsidP="00752F13" w:rsidRDefault="00752F13" w14:paraId="72136FB7" w14:textId="77777777">
      <w:pPr>
        <w:pStyle w:val="Default"/>
        <w:rPr>
          <w:color w:val="auto"/>
        </w:rPr>
      </w:pPr>
    </w:p>
    <w:p w:rsidRPr="00E70711" w:rsidR="00DA69BC" w:rsidP="000840CC" w:rsidRDefault="00752F13" w14:paraId="79A9FAA2" w14:textId="3BC46E33">
      <w:pPr>
        <w:pStyle w:val="Default"/>
      </w:pPr>
      <w:r w:rsidRPr="00E70711">
        <w:rPr>
          <w:color w:val="auto"/>
        </w:rPr>
        <w:t xml:space="preserve">AHRQ has consulted with other </w:t>
      </w:r>
      <w:r w:rsidRPr="00E70711" w:rsidR="002A085A">
        <w:rPr>
          <w:color w:val="auto"/>
        </w:rPr>
        <w:t>F</w:t>
      </w:r>
      <w:r w:rsidRPr="00E70711">
        <w:rPr>
          <w:color w:val="auto"/>
        </w:rPr>
        <w:t xml:space="preserve">ederal partners including </w:t>
      </w:r>
      <w:r w:rsidRPr="00D519AC" w:rsidR="002A085A">
        <w:rPr>
          <w:color w:val="auto"/>
        </w:rPr>
        <w:t>CDC and CMS</w:t>
      </w:r>
      <w:r w:rsidRPr="00E70711">
        <w:rPr>
          <w:color w:val="auto"/>
        </w:rPr>
        <w:t xml:space="preserve"> to ensure synergistic efforts </w:t>
      </w:r>
      <w:r w:rsidRPr="00E70711" w:rsidR="00D15E18">
        <w:rPr>
          <w:color w:val="auto"/>
        </w:rPr>
        <w:t>are</w:t>
      </w:r>
      <w:r w:rsidRPr="00E70711">
        <w:rPr>
          <w:color w:val="auto"/>
        </w:rPr>
        <w:t xml:space="preserve"> being undertaken</w:t>
      </w:r>
      <w:r w:rsidRPr="00E70711" w:rsidR="002A085A">
        <w:rPr>
          <w:color w:val="auto"/>
        </w:rPr>
        <w:t xml:space="preserve"> and that there is no duplication of Federal initiatives.</w:t>
      </w:r>
    </w:p>
    <w:p w:rsidRPr="00E70711" w:rsidR="0038217D" w:rsidP="00C218DB" w:rsidRDefault="009B633D" w14:paraId="090119BB" w14:textId="77777777">
      <w:pPr>
        <w:pStyle w:val="Heading2"/>
        <w:spacing w:after="0"/>
        <w:rPr>
          <w:sz w:val="24"/>
        </w:rPr>
      </w:pPr>
      <w:bookmarkStart w:name="_Toc73964947" w:id="45"/>
      <w:bookmarkStart w:name="_Toc73965306" w:id="46"/>
      <w:r w:rsidRPr="00E70711">
        <w:t>9. Payments/Gifts to Respondents</w:t>
      </w:r>
      <w:bookmarkEnd w:id="41"/>
      <w:bookmarkEnd w:id="42"/>
      <w:bookmarkEnd w:id="43"/>
      <w:bookmarkEnd w:id="44"/>
      <w:bookmarkEnd w:id="45"/>
      <w:bookmarkEnd w:id="46"/>
    </w:p>
    <w:p w:rsidRPr="00E70711" w:rsidR="009B633D" w:rsidP="009B633D" w:rsidRDefault="009B633D" w14:paraId="0A44DE99" w14:textId="77777777">
      <w:pPr>
        <w:jc w:val="both"/>
        <w:rPr>
          <w:i/>
        </w:rPr>
      </w:pPr>
    </w:p>
    <w:p w:rsidRPr="00E70711" w:rsidR="00B915F1" w:rsidP="009B633D" w:rsidRDefault="006D5791" w14:paraId="0F1C47E3" w14:textId="4770242D">
      <w:pPr>
        <w:jc w:val="both"/>
        <w:rPr>
          <w:i/>
        </w:rPr>
      </w:pPr>
      <w:r w:rsidRPr="00E70711">
        <w:t xml:space="preserve">No remuneration of respondents </w:t>
      </w:r>
      <w:r w:rsidRPr="00E70711" w:rsidR="00302210">
        <w:t xml:space="preserve">or </w:t>
      </w:r>
      <w:r w:rsidRPr="00E70711" w:rsidR="009C155B">
        <w:t xml:space="preserve">participating </w:t>
      </w:r>
      <w:r w:rsidR="00FF7B52">
        <w:t>units</w:t>
      </w:r>
      <w:r w:rsidRPr="00E70711" w:rsidR="00302210">
        <w:t xml:space="preserve"> </w:t>
      </w:r>
      <w:r w:rsidRPr="00E70711">
        <w:t>is planned.</w:t>
      </w:r>
    </w:p>
    <w:p w:rsidRPr="00E70711" w:rsidR="009B633D" w:rsidP="009B633D" w:rsidRDefault="009B633D" w14:paraId="4AFE7AB3" w14:textId="77777777">
      <w:pPr>
        <w:pStyle w:val="Heading2"/>
        <w:rPr>
          <w:sz w:val="24"/>
        </w:rPr>
      </w:pPr>
      <w:bookmarkStart w:name="_Toc151782185" w:id="47"/>
      <w:bookmarkStart w:name="_Toc158526225" w:id="48"/>
      <w:bookmarkStart w:name="_Toc73964948" w:id="49"/>
      <w:bookmarkStart w:name="_Toc73965307" w:id="50"/>
      <w:r w:rsidRPr="00E70711">
        <w:rPr>
          <w:sz w:val="24"/>
        </w:rPr>
        <w:t>10. Assurance of Confidentiality</w:t>
      </w:r>
      <w:bookmarkEnd w:id="47"/>
      <w:bookmarkEnd w:id="48"/>
      <w:bookmarkEnd w:id="49"/>
      <w:bookmarkEnd w:id="50"/>
    </w:p>
    <w:p w:rsidRPr="00E70711" w:rsidR="009C155B" w:rsidP="009C155B" w:rsidRDefault="009C155B" w14:paraId="1FB5F773" w14:textId="77777777">
      <w:pPr>
        <w:autoSpaceDE w:val="0"/>
        <w:autoSpaceDN w:val="0"/>
        <w:adjustRightInd w:val="0"/>
      </w:pPr>
      <w:r w:rsidRPr="00E70711">
        <w:t xml:space="preserve">Individuals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 </w:t>
      </w:r>
    </w:p>
    <w:p w:rsidRPr="00E70711" w:rsidR="009C155B" w:rsidP="009C155B" w:rsidRDefault="009C155B" w14:paraId="22E2C920" w14:textId="77777777">
      <w:pPr>
        <w:autoSpaceDE w:val="0"/>
        <w:autoSpaceDN w:val="0"/>
        <w:adjustRightInd w:val="0"/>
      </w:pPr>
    </w:p>
    <w:p w:rsidRPr="00E70711" w:rsidR="009C155B" w:rsidP="009C155B" w:rsidRDefault="009C155B" w14:paraId="714A9C00" w14:textId="16367141">
      <w:pPr>
        <w:autoSpaceDE w:val="0"/>
        <w:autoSpaceDN w:val="0"/>
        <w:adjustRightInd w:val="0"/>
      </w:pPr>
      <w:r w:rsidRPr="00E70711">
        <w:t>Information that can directly identify the respondent, such as name and/or social security number will not be collected. A statement of confidentiality will appear on the online</w:t>
      </w:r>
      <w:r w:rsidR="006D38F9">
        <w:t xml:space="preserve"> and paper</w:t>
      </w:r>
      <w:r w:rsidRPr="00E70711">
        <w:t xml:space="preserve"> survey</w:t>
      </w:r>
      <w:r w:rsidRPr="00E70711" w:rsidR="00AE439A">
        <w:t>s</w:t>
      </w:r>
      <w:r w:rsidRPr="00E70711">
        <w:t xml:space="preserve"> and contain the following statement:</w:t>
      </w:r>
    </w:p>
    <w:p w:rsidRPr="00E70711" w:rsidR="00AE439A" w:rsidP="009C155B" w:rsidRDefault="00AE439A" w14:paraId="017E3968" w14:textId="77777777">
      <w:pPr>
        <w:autoSpaceDE w:val="0"/>
        <w:autoSpaceDN w:val="0"/>
        <w:adjustRightInd w:val="0"/>
      </w:pPr>
    </w:p>
    <w:p w:rsidRPr="00E70711" w:rsidR="00AE439A" w:rsidP="00F30508" w:rsidRDefault="00AE439A" w14:paraId="095A878D" w14:textId="111F8EC9">
      <w:pPr>
        <w:autoSpaceDE w:val="0"/>
        <w:autoSpaceDN w:val="0"/>
        <w:adjustRightInd w:val="0"/>
        <w:ind w:left="720"/>
      </w:pPr>
      <w:r w:rsidRPr="00E70711">
        <w:t>The confidentiality of your responses are protected by Sections 944(c) and 308(d) of the Public Health Service Act [42 U.S.C. 299c-3(c) and 42 U.S.C. 242m(d)]. Information that could identify you will not be disclosed unless you have consented to that disclosure</w:t>
      </w:r>
    </w:p>
    <w:p w:rsidRPr="00E70711" w:rsidR="007208E0" w:rsidP="002403AE" w:rsidRDefault="002403AE" w14:paraId="48016A7C" w14:textId="066ACB4F">
      <w:pPr>
        <w:spacing w:before="100" w:beforeAutospacing="1" w:after="100" w:afterAutospacing="1"/>
      </w:pPr>
      <w:r w:rsidRPr="00E70711">
        <w:t xml:space="preserve">The </w:t>
      </w:r>
      <w:r w:rsidRPr="00E70711" w:rsidR="009C155B">
        <w:t xml:space="preserve">data will be collected by AHRQ’s </w:t>
      </w:r>
      <w:r w:rsidRPr="00E70711" w:rsidR="00AE439A">
        <w:t>sub</w:t>
      </w:r>
      <w:r w:rsidRPr="00E70711" w:rsidR="009C155B">
        <w:t xml:space="preserve">contractor, NORC at the University of Chicago. All facility and respondent-level data, as well as survey response data, </w:t>
      </w:r>
      <w:r w:rsidRPr="00E70711">
        <w:t xml:space="preserve">will be stored on </w:t>
      </w:r>
      <w:r w:rsidRPr="00E70711" w:rsidR="00F30508">
        <w:t xml:space="preserve">NORC’s </w:t>
      </w:r>
      <w:r w:rsidRPr="00E70711">
        <w:t>secure serve</w:t>
      </w:r>
      <w:r w:rsidRPr="00E70711" w:rsidR="00F30508">
        <w:t>r</w:t>
      </w:r>
      <w:r w:rsidRPr="00E70711">
        <w:t xml:space="preserve">s. </w:t>
      </w:r>
    </w:p>
    <w:p w:rsidRPr="00E70711" w:rsidR="009B633D" w:rsidP="009B633D" w:rsidRDefault="009B633D" w14:paraId="795EF0A8" w14:textId="77777777">
      <w:pPr>
        <w:pStyle w:val="Heading2"/>
        <w:rPr>
          <w:sz w:val="24"/>
        </w:rPr>
      </w:pPr>
      <w:bookmarkStart w:name="_Toc151782186" w:id="51"/>
      <w:bookmarkStart w:name="_Toc158526226" w:id="52"/>
      <w:bookmarkStart w:name="_Toc73964949" w:id="53"/>
      <w:bookmarkStart w:name="_Toc73965308" w:id="54"/>
      <w:r w:rsidRPr="00E70711">
        <w:rPr>
          <w:sz w:val="24"/>
        </w:rPr>
        <w:t>11. Questions of a Sensitive Nature</w:t>
      </w:r>
      <w:bookmarkEnd w:id="51"/>
      <w:bookmarkEnd w:id="52"/>
      <w:bookmarkEnd w:id="53"/>
      <w:bookmarkEnd w:id="54"/>
    </w:p>
    <w:p w:rsidRPr="00E70711" w:rsidR="00E24EA6" w:rsidP="00E47851" w:rsidRDefault="00E24EA6" w14:paraId="4A436686" w14:textId="77777777">
      <w:pPr>
        <w:spacing w:after="240"/>
        <w:rPr>
          <w:i/>
        </w:rPr>
      </w:pPr>
      <w:r w:rsidRPr="00E70711">
        <w:t xml:space="preserve">There are no questions of a sensitive nature. </w:t>
      </w:r>
      <w:r w:rsidRPr="00E70711">
        <w:rPr>
          <w:i/>
        </w:rPr>
        <w:t xml:space="preserve"> </w:t>
      </w:r>
    </w:p>
    <w:p w:rsidRPr="00E70711" w:rsidR="009B633D" w:rsidP="009B633D" w:rsidRDefault="009B633D" w14:paraId="16C10883" w14:textId="77777777">
      <w:pPr>
        <w:pStyle w:val="Heading2"/>
        <w:rPr>
          <w:sz w:val="24"/>
        </w:rPr>
      </w:pPr>
      <w:bookmarkStart w:name="_Toc151782187" w:id="55"/>
      <w:bookmarkStart w:name="_Toc158526227" w:id="56"/>
      <w:bookmarkStart w:name="_Toc73964950" w:id="57"/>
      <w:bookmarkStart w:name="_Toc73965309" w:id="58"/>
      <w:r w:rsidRPr="00E70711">
        <w:rPr>
          <w:sz w:val="24"/>
        </w:rPr>
        <w:t>12. Estimates of Annualized Burden Hours and Costs</w:t>
      </w:r>
      <w:bookmarkEnd w:id="55"/>
      <w:bookmarkEnd w:id="56"/>
      <w:bookmarkEnd w:id="57"/>
      <w:bookmarkEnd w:id="58"/>
    </w:p>
    <w:p w:rsidR="00782E33" w:rsidP="00E24EA6" w:rsidRDefault="00782E33" w14:paraId="38EBD99D" w14:textId="716F7ECD">
      <w:pPr>
        <w:rPr>
          <w:rStyle w:val="Strong"/>
          <w:b w:val="0"/>
        </w:rPr>
      </w:pPr>
    </w:p>
    <w:p w:rsidR="001A1088" w:rsidP="001A1088" w:rsidRDefault="00285E4A" w14:paraId="04580759" w14:textId="5D6070E3">
      <w:pPr>
        <w:rPr>
          <w:rStyle w:val="Strong"/>
          <w:b w:val="0"/>
        </w:rPr>
      </w:pPr>
      <w:r w:rsidRPr="00E70711">
        <w:rPr>
          <w:rStyle w:val="Strong"/>
          <w:b w:val="0"/>
        </w:rPr>
        <w:t>The</w:t>
      </w:r>
      <w:r w:rsidRPr="00E70711" w:rsidR="007D52B2">
        <w:rPr>
          <w:rStyle w:val="Strong"/>
          <w:b w:val="0"/>
        </w:rPr>
        <w:t xml:space="preserve"> </w:t>
      </w:r>
      <w:r w:rsidR="00B606B3">
        <w:rPr>
          <w:rStyle w:val="Strong"/>
          <w:b w:val="0"/>
        </w:rPr>
        <w:t>primary</w:t>
      </w:r>
      <w:r w:rsidRPr="00E70711" w:rsidR="007D52B2">
        <w:rPr>
          <w:rStyle w:val="Strong"/>
          <w:b w:val="0"/>
        </w:rPr>
        <w:t xml:space="preserve"> data collection activities are </w:t>
      </w:r>
      <w:r w:rsidRPr="00E70711" w:rsidR="009868FA">
        <w:rPr>
          <w:rStyle w:val="Strong"/>
          <w:b w:val="0"/>
        </w:rPr>
        <w:t xml:space="preserve">summarized in </w:t>
      </w:r>
      <w:r w:rsidRPr="00E70711" w:rsidR="00C70AC2">
        <w:rPr>
          <w:rStyle w:val="Strong"/>
          <w:b w:val="0"/>
        </w:rPr>
        <w:t>E</w:t>
      </w:r>
      <w:r w:rsidRPr="00E70711" w:rsidR="009868FA">
        <w:rPr>
          <w:rStyle w:val="Strong"/>
          <w:b w:val="0"/>
        </w:rPr>
        <w:t xml:space="preserve">xhibit </w:t>
      </w:r>
      <w:r w:rsidR="00FC67D6">
        <w:rPr>
          <w:rStyle w:val="Strong"/>
          <w:b w:val="0"/>
        </w:rPr>
        <w:t>A.1</w:t>
      </w:r>
      <w:r w:rsidRPr="00E70711" w:rsidR="009868FA">
        <w:rPr>
          <w:rStyle w:val="Strong"/>
          <w:b w:val="0"/>
        </w:rPr>
        <w:t xml:space="preserve"> and below</w:t>
      </w:r>
      <w:r w:rsidRPr="00E70711" w:rsidR="0021671A">
        <w:rPr>
          <w:rStyle w:val="Strong"/>
          <w:b w:val="0"/>
        </w:rPr>
        <w:t>.</w:t>
      </w:r>
      <w:r w:rsidR="007A6B43">
        <w:rPr>
          <w:rStyle w:val="Strong"/>
          <w:b w:val="0"/>
        </w:rPr>
        <w:t xml:space="preserve">  </w:t>
      </w:r>
      <w:r w:rsidR="001A1088">
        <w:rPr>
          <w:rStyle w:val="Strong"/>
          <w:b w:val="0"/>
        </w:rPr>
        <w:t>For the secondary data collection via NHSN, we assume no</w:t>
      </w:r>
      <w:r w:rsidRPr="00E70711" w:rsidR="001A1088">
        <w:rPr>
          <w:rStyle w:val="Strong"/>
          <w:b w:val="0"/>
        </w:rPr>
        <w:t xml:space="preserve"> burden</w:t>
      </w:r>
      <w:r w:rsidR="001A1088">
        <w:rPr>
          <w:rStyle w:val="Strong"/>
          <w:b w:val="0"/>
        </w:rPr>
        <w:t xml:space="preserve">.  </w:t>
      </w:r>
      <w:r w:rsidR="001A1088">
        <w:t>After hospitals confer rights and join the MRSA Prevention Program group in NHSN, they will not need to take further action.</w:t>
      </w:r>
      <w:r w:rsidR="001A1088">
        <w:rPr>
          <w:rStyle w:val="Strong"/>
          <w:b w:val="0"/>
        </w:rPr>
        <w:t xml:space="preserve">  </w:t>
      </w:r>
    </w:p>
    <w:p w:rsidRPr="00D519AC" w:rsidR="009868FA" w:rsidP="00E24EA6" w:rsidRDefault="009868FA" w14:paraId="61E178B4" w14:textId="401E9389">
      <w:pPr>
        <w:rPr>
          <w:rStyle w:val="Strong"/>
          <w:b w:val="0"/>
        </w:rPr>
      </w:pPr>
    </w:p>
    <w:p w:rsidRPr="00E70711" w:rsidR="00654F33" w:rsidP="00E24EA6" w:rsidRDefault="00654F33" w14:paraId="0670374D" w14:textId="57D79C64">
      <w:pPr>
        <w:rPr>
          <w:rStyle w:val="Strong"/>
          <w:b w:val="0"/>
        </w:rPr>
      </w:pPr>
    </w:p>
    <w:p w:rsidRPr="00E70711" w:rsidR="009868FA" w:rsidP="009868FA" w:rsidRDefault="009868FA" w14:paraId="420C8B18" w14:textId="661B67C9">
      <w:r w:rsidRPr="00E70711">
        <w:rPr>
          <w:rStyle w:val="NORCCaption-Color"/>
          <w:rFonts w:eastAsia="Calibri"/>
        </w:rPr>
        <w:t xml:space="preserve">Exhibit </w:t>
      </w:r>
      <w:r w:rsidR="00FC67D6">
        <w:rPr>
          <w:rStyle w:val="NORCCaption-Color"/>
          <w:rFonts w:eastAsia="Calibri"/>
        </w:rPr>
        <w:t>A.1</w:t>
      </w:r>
      <w:r w:rsidRPr="00E70711">
        <w:rPr>
          <w:rStyle w:val="NORCCaption-Color"/>
          <w:rFonts w:eastAsia="Calibri"/>
        </w:rPr>
        <w:t>:</w:t>
      </w:r>
      <w:r w:rsidRPr="00E70711">
        <w:t xml:space="preserve"> Summary of </w:t>
      </w:r>
      <w:r w:rsidRPr="005663A4">
        <w:t>Primary</w:t>
      </w:r>
      <w:r w:rsidRPr="00E70711">
        <w:t xml:space="preserve"> Data Collection Activities </w:t>
      </w:r>
    </w:p>
    <w:tbl>
      <w:tblPr>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625"/>
        <w:gridCol w:w="1980"/>
        <w:gridCol w:w="2420"/>
        <w:gridCol w:w="2557"/>
      </w:tblGrid>
      <w:tr w:rsidRPr="00E70711" w:rsidR="009868FA" w:rsidTr="005663A4" w14:paraId="3083C8FF" w14:textId="77777777">
        <w:trPr>
          <w:cantSplit/>
          <w:tblHeader/>
          <w:jc w:val="center"/>
        </w:trPr>
        <w:tc>
          <w:tcPr>
            <w:tcW w:w="1625" w:type="dxa"/>
            <w:shd w:val="clear" w:color="auto" w:fill="8AB3A4"/>
            <w:tcMar>
              <w:top w:w="0" w:type="dxa"/>
              <w:left w:w="108" w:type="dxa"/>
              <w:bottom w:w="0" w:type="dxa"/>
              <w:right w:w="108" w:type="dxa"/>
            </w:tcMar>
            <w:vAlign w:val="center"/>
            <w:hideMark/>
          </w:tcPr>
          <w:p w:rsidRPr="00E70711" w:rsidR="009868FA" w:rsidP="00C252CA" w:rsidRDefault="009868FA" w14:paraId="7640F620" w14:textId="3AEDA1F9">
            <w:pPr>
              <w:pStyle w:val="NORCTableHeaderArial"/>
              <w:spacing w:line="276" w:lineRule="auto"/>
              <w:rPr>
                <w:rFonts w:ascii="Times New Roman" w:hAnsi="Times New Roman"/>
                <w:sz w:val="20"/>
                <w:szCs w:val="20"/>
              </w:rPr>
            </w:pPr>
            <w:r w:rsidRPr="00E70711">
              <w:rPr>
                <w:rFonts w:ascii="Times New Roman" w:hAnsi="Times New Roman"/>
                <w:sz w:val="20"/>
                <w:szCs w:val="20"/>
              </w:rPr>
              <w:t>Primary Data Collection Sources</w:t>
            </w:r>
          </w:p>
        </w:tc>
        <w:tc>
          <w:tcPr>
            <w:tcW w:w="1980" w:type="dxa"/>
            <w:shd w:val="clear" w:color="auto" w:fill="8AB3A4"/>
            <w:tcMar>
              <w:top w:w="0" w:type="dxa"/>
              <w:left w:w="108" w:type="dxa"/>
              <w:bottom w:w="0" w:type="dxa"/>
              <w:right w:w="108" w:type="dxa"/>
            </w:tcMar>
            <w:vAlign w:val="center"/>
            <w:hideMark/>
          </w:tcPr>
          <w:p w:rsidRPr="00E70711" w:rsidR="009868FA" w:rsidP="00C252CA" w:rsidRDefault="009868FA" w14:paraId="352F24BC" w14:textId="77777777">
            <w:pPr>
              <w:pStyle w:val="NORCTableHeaderArial"/>
              <w:spacing w:line="276" w:lineRule="auto"/>
              <w:rPr>
                <w:rFonts w:ascii="Times New Roman" w:hAnsi="Times New Roman"/>
                <w:sz w:val="20"/>
                <w:szCs w:val="20"/>
              </w:rPr>
            </w:pPr>
            <w:r w:rsidRPr="00E70711">
              <w:rPr>
                <w:rFonts w:ascii="Times New Roman" w:hAnsi="Times New Roman"/>
                <w:sz w:val="20"/>
                <w:szCs w:val="20"/>
              </w:rPr>
              <w:t>Data Collection Tools</w:t>
            </w:r>
          </w:p>
        </w:tc>
        <w:tc>
          <w:tcPr>
            <w:tcW w:w="2420" w:type="dxa"/>
            <w:shd w:val="clear" w:color="auto" w:fill="8AB3A4"/>
            <w:vAlign w:val="center"/>
          </w:tcPr>
          <w:p w:rsidRPr="00E70711" w:rsidR="009868FA" w:rsidP="00C252CA" w:rsidRDefault="009868FA" w14:paraId="6CA1048E" w14:textId="77777777">
            <w:pPr>
              <w:pStyle w:val="NORCTableHeaderArial"/>
              <w:spacing w:line="276" w:lineRule="auto"/>
              <w:rPr>
                <w:rFonts w:ascii="Times New Roman" w:hAnsi="Times New Roman"/>
                <w:sz w:val="20"/>
                <w:szCs w:val="20"/>
              </w:rPr>
            </w:pPr>
            <w:r w:rsidRPr="00E70711">
              <w:rPr>
                <w:rFonts w:ascii="Times New Roman" w:hAnsi="Times New Roman"/>
                <w:sz w:val="20"/>
                <w:szCs w:val="20"/>
              </w:rPr>
              <w:t>Target population</w:t>
            </w:r>
          </w:p>
        </w:tc>
        <w:tc>
          <w:tcPr>
            <w:tcW w:w="2557" w:type="dxa"/>
            <w:shd w:val="clear" w:color="auto" w:fill="8AB3A4"/>
            <w:vAlign w:val="center"/>
          </w:tcPr>
          <w:p w:rsidRPr="00E70711" w:rsidR="009868FA" w:rsidP="00BB1AB5" w:rsidRDefault="009868FA" w14:paraId="7838A7A1" w14:textId="420FEF1F">
            <w:pPr>
              <w:pStyle w:val="NORCTableHeaderArial"/>
              <w:spacing w:line="276" w:lineRule="auto"/>
              <w:rPr>
                <w:rFonts w:ascii="Times New Roman" w:hAnsi="Times New Roman"/>
                <w:sz w:val="20"/>
                <w:szCs w:val="20"/>
                <w:vertAlign w:val="superscript"/>
              </w:rPr>
            </w:pPr>
            <w:r w:rsidRPr="00E70711">
              <w:rPr>
                <w:rFonts w:ascii="Times New Roman" w:hAnsi="Times New Roman"/>
                <w:sz w:val="20"/>
                <w:szCs w:val="20"/>
              </w:rPr>
              <w:t>Data collection frequency</w:t>
            </w:r>
          </w:p>
        </w:tc>
      </w:tr>
      <w:tr w:rsidRPr="00E70711" w:rsidR="009868FA" w:rsidTr="005663A4" w14:paraId="2A42F13B" w14:textId="77777777">
        <w:trPr>
          <w:cantSplit/>
          <w:trHeight w:val="989"/>
          <w:jc w:val="center"/>
        </w:trPr>
        <w:tc>
          <w:tcPr>
            <w:tcW w:w="1625" w:type="dxa"/>
            <w:shd w:val="clear" w:color="auto" w:fill="E9E6E3"/>
            <w:tcMar>
              <w:top w:w="0" w:type="dxa"/>
              <w:left w:w="108" w:type="dxa"/>
              <w:bottom w:w="0" w:type="dxa"/>
              <w:right w:w="108" w:type="dxa"/>
            </w:tcMar>
            <w:hideMark/>
          </w:tcPr>
          <w:p w:rsidRPr="00E70711" w:rsidR="009868FA" w:rsidP="00C252CA" w:rsidRDefault="009868FA" w14:paraId="4AC29BB4" w14:textId="77777777">
            <w:pPr>
              <w:pStyle w:val="NORCTableBodyLeft"/>
              <w:rPr>
                <w:rFonts w:ascii="Times New Roman" w:hAnsi="Times New Roman"/>
                <w:sz w:val="20"/>
                <w:szCs w:val="20"/>
              </w:rPr>
            </w:pPr>
            <w:r w:rsidRPr="00E70711">
              <w:rPr>
                <w:rFonts w:ascii="Times New Roman" w:hAnsi="Times New Roman"/>
                <w:sz w:val="20"/>
                <w:szCs w:val="20"/>
              </w:rPr>
              <w:t xml:space="preserve">Surveys </w:t>
            </w:r>
          </w:p>
        </w:tc>
        <w:tc>
          <w:tcPr>
            <w:tcW w:w="1980" w:type="dxa"/>
            <w:shd w:val="clear" w:color="auto" w:fill="E9E6E3"/>
            <w:tcMar>
              <w:top w:w="0" w:type="dxa"/>
              <w:left w:w="108" w:type="dxa"/>
              <w:bottom w:w="0" w:type="dxa"/>
              <w:right w:w="108" w:type="dxa"/>
            </w:tcMar>
            <w:hideMark/>
          </w:tcPr>
          <w:p w:rsidRPr="00E70711" w:rsidR="009868FA" w:rsidP="00C252CA" w:rsidRDefault="009868FA" w14:paraId="26DC23A8" w14:textId="0AB3452A">
            <w:pPr>
              <w:pStyle w:val="NORCTableBodyLeft"/>
              <w:rPr>
                <w:rFonts w:ascii="Times New Roman" w:hAnsi="Times New Roman"/>
              </w:rPr>
            </w:pPr>
            <w:r w:rsidRPr="00E70711">
              <w:rPr>
                <w:rFonts w:ascii="Times New Roman" w:hAnsi="Times New Roman"/>
                <w:sz w:val="20"/>
                <w:szCs w:val="20"/>
              </w:rPr>
              <w:t>AHRQ Surveys of Patient Safety Culture (HSOPS</w:t>
            </w:r>
            <w:r w:rsidRPr="00E70711" w:rsidR="00644D53">
              <w:rPr>
                <w:rFonts w:ascii="Times New Roman" w:hAnsi="Times New Roman"/>
                <w:sz w:val="20"/>
                <w:szCs w:val="20"/>
              </w:rPr>
              <w:t xml:space="preserve">, </w:t>
            </w:r>
            <w:r w:rsidRPr="00E70711">
              <w:rPr>
                <w:rFonts w:ascii="Times New Roman" w:hAnsi="Times New Roman"/>
                <w:sz w:val="20"/>
                <w:szCs w:val="20"/>
              </w:rPr>
              <w:t>NHSOPS)</w:t>
            </w:r>
          </w:p>
        </w:tc>
        <w:tc>
          <w:tcPr>
            <w:tcW w:w="2420" w:type="dxa"/>
            <w:shd w:val="clear" w:color="auto" w:fill="E9E6E3"/>
          </w:tcPr>
          <w:p w:rsidRPr="00E70711" w:rsidR="009868FA" w:rsidP="00C252CA" w:rsidRDefault="009868FA" w14:paraId="6650A0A5" w14:textId="6340263B">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E70711">
              <w:rPr>
                <w:rFonts w:ascii="Times New Roman" w:hAnsi="Times New Roman"/>
              </w:rPr>
              <w:t>Frontline staff at all participating sites</w:t>
            </w:r>
          </w:p>
          <w:p w:rsidRPr="00E70711" w:rsidR="009868FA" w:rsidP="003D6D70" w:rsidRDefault="009868FA" w14:paraId="75C71817" w14:textId="77777777">
            <w:pPr>
              <w:pStyle w:val="NORCTableBullet110ptNarrow"/>
              <w:framePr w:hSpace="0" w:wrap="auto" w:hAnchor="text" w:vAnchor="margin" w:yAlign="inline"/>
              <w:numPr>
                <w:ilvl w:val="0"/>
                <w:numId w:val="43"/>
              </w:numPr>
              <w:tabs>
                <w:tab w:val="clear" w:pos="144"/>
                <w:tab w:val="left" w:pos="181"/>
              </w:tabs>
              <w:ind w:left="270" w:hanging="180"/>
              <w:suppressOverlap w:val="0"/>
              <w:rPr>
                <w:rFonts w:ascii="Times New Roman" w:hAnsi="Times New Roman"/>
              </w:rPr>
            </w:pPr>
            <w:r w:rsidRPr="00E70711">
              <w:rPr>
                <w:rFonts w:ascii="Times New Roman" w:hAnsi="Times New Roman"/>
              </w:rPr>
              <w:t>Estimated 25 staff per facility or unit</w:t>
            </w:r>
          </w:p>
          <w:p w:rsidRPr="00E70711" w:rsidR="0087354A" w:rsidP="00B06057" w:rsidRDefault="0087354A" w14:paraId="4C82F29B" w14:textId="17A59A93">
            <w:pPr>
              <w:pStyle w:val="NORCTableBullet110ptNarrow"/>
              <w:framePr w:hSpace="0" w:wrap="auto" w:hAnchor="text" w:vAnchor="margin" w:yAlign="inline"/>
              <w:numPr>
                <w:ilvl w:val="0"/>
                <w:numId w:val="43"/>
              </w:numPr>
              <w:tabs>
                <w:tab w:val="clear" w:pos="144"/>
                <w:tab w:val="left" w:pos="181"/>
              </w:tabs>
              <w:ind w:left="270" w:hanging="180"/>
              <w:suppressOverlap w:val="0"/>
              <w:rPr>
                <w:rFonts w:ascii="Times New Roman" w:hAnsi="Times New Roman"/>
              </w:rPr>
            </w:pPr>
            <w:r w:rsidRPr="00E70711">
              <w:rPr>
                <w:rFonts w:ascii="Times New Roman" w:hAnsi="Times New Roman"/>
              </w:rPr>
              <w:t xml:space="preserve">Estimate at least </w:t>
            </w:r>
            <w:r w:rsidRPr="00E70711" w:rsidR="00B06057">
              <w:rPr>
                <w:rFonts w:ascii="Times New Roman" w:hAnsi="Times New Roman"/>
              </w:rPr>
              <w:t>75</w:t>
            </w:r>
            <w:r w:rsidRPr="00E70711">
              <w:rPr>
                <w:rFonts w:ascii="Times New Roman" w:hAnsi="Times New Roman"/>
              </w:rPr>
              <w:t>% of units within one facility</w:t>
            </w:r>
          </w:p>
        </w:tc>
        <w:tc>
          <w:tcPr>
            <w:tcW w:w="2557" w:type="dxa"/>
            <w:shd w:val="clear" w:color="auto" w:fill="E9E6E3"/>
          </w:tcPr>
          <w:p w:rsidRPr="00E70711" w:rsidR="003D4667" w:rsidP="005C2436" w:rsidRDefault="00321591" w14:paraId="19C68FE7" w14:textId="1ED057BD">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E70711" w:rsidR="003D4667">
              <w:rPr>
                <w:rFonts w:ascii="Times New Roman" w:hAnsi="Times New Roman"/>
              </w:rPr>
              <w:t xml:space="preserve">: </w:t>
            </w:r>
          </w:p>
          <w:p w:rsidRPr="00E70711" w:rsidR="009868FA" w:rsidP="00C252CA" w:rsidRDefault="009868FA" w14:paraId="1EFBF0DA" w14:textId="200AA190">
            <w:pPr>
              <w:pStyle w:val="NORCTableBullet110ptNarrow"/>
              <w:framePr w:hSpace="0" w:wrap="auto" w:hAnchor="text" w:vAnchor="margin" w:yAlign="inline"/>
              <w:ind w:left="221" w:hanging="159"/>
              <w:suppressOverlap w:val="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 of </w:t>
            </w:r>
            <w:r w:rsidRPr="00965F68" w:rsidR="00965F68">
              <w:rPr>
                <w:rFonts w:ascii="Times New Roman" w:hAnsi="Times New Roman"/>
              </w:rPr>
              <w:t>implementation</w:t>
            </w:r>
          </w:p>
          <w:p w:rsidRPr="00E70711" w:rsidR="009868FA" w:rsidP="00BB1AB5" w:rsidRDefault="009868FA" w14:paraId="4D074084" w14:textId="52E4D93E">
            <w:pPr>
              <w:pStyle w:val="NORCTableBullet110ptNarrow"/>
              <w:framePr w:hSpace="0" w:wrap="auto" w:hAnchor="text" w:vAnchor="margin" w:yAlign="inline"/>
              <w:ind w:left="221" w:hanging="159"/>
              <w:suppressOverlap w:val="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18 of </w:t>
            </w:r>
            <w:r w:rsidRPr="00965F68" w:rsidR="00965F68">
              <w:rPr>
                <w:rFonts w:ascii="Times New Roman" w:hAnsi="Times New Roman"/>
              </w:rPr>
              <w:t>implementation</w:t>
            </w:r>
            <w:r w:rsidRPr="00E70711">
              <w:rPr>
                <w:rFonts w:ascii="Times New Roman" w:hAnsi="Times New Roman"/>
              </w:rPr>
              <w:t xml:space="preserve"> </w:t>
            </w:r>
          </w:p>
        </w:tc>
      </w:tr>
      <w:tr w:rsidRPr="00E70711" w:rsidR="009868FA" w:rsidTr="005663A4" w14:paraId="33B9C48E" w14:textId="77777777">
        <w:trPr>
          <w:cantSplit/>
          <w:trHeight w:val="1169"/>
          <w:jc w:val="center"/>
        </w:trPr>
        <w:tc>
          <w:tcPr>
            <w:tcW w:w="1625" w:type="dxa"/>
            <w:shd w:val="clear" w:color="auto" w:fill="E9E6E3"/>
            <w:tcMar>
              <w:top w:w="0" w:type="dxa"/>
              <w:left w:w="108" w:type="dxa"/>
              <w:bottom w:w="0" w:type="dxa"/>
              <w:right w:w="108" w:type="dxa"/>
            </w:tcMar>
          </w:tcPr>
          <w:p w:rsidRPr="00E70711" w:rsidR="009868FA" w:rsidP="00C252CA" w:rsidRDefault="009868FA" w14:paraId="0F28E9BE" w14:textId="5CD77FCB">
            <w:pPr>
              <w:pStyle w:val="NORCTableBodyLeft"/>
              <w:rPr>
                <w:rFonts w:ascii="Times New Roman" w:hAnsi="Times New Roman"/>
                <w:sz w:val="20"/>
                <w:szCs w:val="20"/>
              </w:rPr>
            </w:pPr>
            <w:r w:rsidRPr="00E70711">
              <w:rPr>
                <w:rFonts w:ascii="Times New Roman" w:hAnsi="Times New Roman"/>
                <w:sz w:val="20"/>
                <w:szCs w:val="20"/>
              </w:rPr>
              <w:t>Infrastructure Assessment Tool</w:t>
            </w:r>
          </w:p>
        </w:tc>
        <w:tc>
          <w:tcPr>
            <w:tcW w:w="1980" w:type="dxa"/>
            <w:shd w:val="clear" w:color="auto" w:fill="E9E6E3"/>
            <w:tcMar>
              <w:top w:w="0" w:type="dxa"/>
              <w:left w:w="108" w:type="dxa"/>
              <w:bottom w:w="0" w:type="dxa"/>
              <w:right w:w="108" w:type="dxa"/>
            </w:tcMar>
          </w:tcPr>
          <w:p w:rsidRPr="00E70711" w:rsidR="009868FA" w:rsidP="008E39E6" w:rsidRDefault="00775640" w14:paraId="44377E38" w14:textId="29E82D2E">
            <w:pPr>
              <w:pStyle w:val="NORCTableBodyLeft"/>
              <w:rPr>
                <w:rFonts w:ascii="Times New Roman" w:hAnsi="Times New Roman"/>
                <w:sz w:val="20"/>
                <w:szCs w:val="20"/>
              </w:rPr>
            </w:pPr>
            <w:r w:rsidRPr="00E70711">
              <w:rPr>
                <w:rFonts w:ascii="Times New Roman" w:hAnsi="Times New Roman"/>
                <w:sz w:val="20"/>
                <w:szCs w:val="20"/>
              </w:rPr>
              <w:t>Gap Analysis</w:t>
            </w:r>
            <w:r w:rsidRPr="00E70711" w:rsidR="009868FA">
              <w:rPr>
                <w:rFonts w:ascii="Times New Roman" w:hAnsi="Times New Roman"/>
                <w:sz w:val="20"/>
                <w:szCs w:val="20"/>
              </w:rPr>
              <w:t xml:space="preserve"> </w:t>
            </w:r>
          </w:p>
        </w:tc>
        <w:tc>
          <w:tcPr>
            <w:tcW w:w="2420" w:type="dxa"/>
            <w:shd w:val="clear" w:color="auto" w:fill="E9E6E3"/>
          </w:tcPr>
          <w:p w:rsidRPr="00E70711" w:rsidR="009868FA" w:rsidP="003D6D70" w:rsidRDefault="009868FA" w14:paraId="78A00C98" w14:textId="31119FE9">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E70711">
              <w:rPr>
                <w:rFonts w:ascii="Times New Roman" w:hAnsi="Times New Roman"/>
              </w:rPr>
              <w:t>Unit leader</w:t>
            </w:r>
            <w:r w:rsidR="003B418D">
              <w:rPr>
                <w:rFonts w:ascii="Times New Roman" w:hAnsi="Times New Roman"/>
              </w:rPr>
              <w:t xml:space="preserve"> and </w:t>
            </w:r>
            <w:r w:rsidRPr="00E70711" w:rsidR="00285E4A">
              <w:rPr>
                <w:rFonts w:ascii="Times New Roman" w:hAnsi="Times New Roman"/>
              </w:rPr>
              <w:t>Infection</w:t>
            </w:r>
            <w:r w:rsidRPr="00E70711" w:rsidR="00786B86">
              <w:rPr>
                <w:rFonts w:ascii="Times New Roman" w:hAnsi="Times New Roman"/>
              </w:rPr>
              <w:t xml:space="preserve"> </w:t>
            </w:r>
            <w:r w:rsidRPr="00E70711">
              <w:rPr>
                <w:rFonts w:ascii="Times New Roman" w:hAnsi="Times New Roman"/>
              </w:rPr>
              <w:t>P</w:t>
            </w:r>
            <w:r w:rsidRPr="00E70711" w:rsidR="00786B86">
              <w:rPr>
                <w:rFonts w:ascii="Times New Roman" w:hAnsi="Times New Roman"/>
              </w:rPr>
              <w:t>revention</w:t>
            </w:r>
            <w:r w:rsidR="003B418D">
              <w:rPr>
                <w:rFonts w:ascii="Times New Roman" w:hAnsi="Times New Roman"/>
              </w:rPr>
              <w:t>ist</w:t>
            </w:r>
            <w:r w:rsidRPr="00E70711" w:rsidR="00786B86">
              <w:rPr>
                <w:rFonts w:ascii="Times New Roman" w:hAnsi="Times New Roman"/>
              </w:rPr>
              <w:t xml:space="preserve"> (IP)</w:t>
            </w:r>
            <w:r w:rsidRPr="00E70711">
              <w:rPr>
                <w:rFonts w:ascii="Times New Roman" w:hAnsi="Times New Roman"/>
              </w:rPr>
              <w:t xml:space="preserve">  at the participating sites</w:t>
            </w:r>
          </w:p>
          <w:p w:rsidRPr="00E70711" w:rsidR="00AC3479" w:rsidP="00AC3479" w:rsidRDefault="00AC3479" w14:paraId="2F1027D8" w14:textId="306F07C0">
            <w:pPr>
              <w:pStyle w:val="NORCTableBullet110ptNarrow"/>
              <w:framePr w:hSpace="0" w:wrap="auto" w:hAnchor="text" w:vAnchor="margin" w:yAlign="inline"/>
              <w:numPr>
                <w:ilvl w:val="0"/>
                <w:numId w:val="43"/>
              </w:numPr>
              <w:tabs>
                <w:tab w:val="clear" w:pos="144"/>
                <w:tab w:val="left" w:pos="181"/>
              </w:tabs>
              <w:ind w:left="270" w:hanging="180"/>
              <w:suppressOverlap w:val="0"/>
              <w:rPr>
                <w:rFonts w:ascii="Times New Roman" w:hAnsi="Times New Roman"/>
              </w:rPr>
            </w:pPr>
            <w:r w:rsidRPr="005663A4">
              <w:rPr>
                <w:rFonts w:ascii="Times New Roman" w:hAnsi="Times New Roman"/>
              </w:rPr>
              <w:t xml:space="preserve">Estimated </w:t>
            </w:r>
            <w:r w:rsidR="003B418D">
              <w:rPr>
                <w:rFonts w:ascii="Times New Roman" w:hAnsi="Times New Roman"/>
              </w:rPr>
              <w:t>2</w:t>
            </w:r>
            <w:r w:rsidRPr="005663A4">
              <w:rPr>
                <w:rFonts w:ascii="Times New Roman" w:hAnsi="Times New Roman"/>
              </w:rPr>
              <w:t xml:space="preserve"> staff per facility</w:t>
            </w:r>
            <w:r w:rsidRPr="00E70711">
              <w:rPr>
                <w:rFonts w:ascii="Times New Roman" w:hAnsi="Times New Roman"/>
              </w:rPr>
              <w:t>, unit or service</w:t>
            </w:r>
          </w:p>
          <w:p w:rsidRPr="00E70711" w:rsidR="00AC3479" w:rsidP="003D6D70" w:rsidRDefault="00AC3479" w14:paraId="20AEA6BC" w14:textId="71AFF612">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p>
        </w:tc>
        <w:tc>
          <w:tcPr>
            <w:tcW w:w="2557" w:type="dxa"/>
            <w:shd w:val="clear" w:color="auto" w:fill="E9E6E3"/>
          </w:tcPr>
          <w:p w:rsidRPr="00E70711" w:rsidR="003D6D70" w:rsidP="005C2436" w:rsidRDefault="00321591" w14:paraId="23A61C67" w14:textId="77777777">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E70711" w:rsidR="003D4667">
              <w:rPr>
                <w:rFonts w:ascii="Times New Roman" w:hAnsi="Times New Roman"/>
              </w:rPr>
              <w:t xml:space="preserve">: </w:t>
            </w:r>
          </w:p>
          <w:p w:rsidRPr="00E70711" w:rsidR="009868FA" w:rsidP="00A36CDE" w:rsidRDefault="003D4667" w14:paraId="45B50EDD" w14:textId="2E891DA1">
            <w:pPr>
              <w:pStyle w:val="NORCTableBullet110ptNarrow"/>
              <w:framePr w:wrap="around"/>
              <w:ind w:hanging="27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 of </w:t>
            </w:r>
            <w:r w:rsidRPr="00805ABC" w:rsidR="00965F68">
              <w:rPr>
                <w:rFonts w:ascii="Times New Roman" w:hAnsi="Times New Roman"/>
              </w:rPr>
              <w:t>implementation</w:t>
            </w:r>
            <w:r w:rsidRPr="00E70711" w:rsidR="00A36CDE">
              <w:rPr>
                <w:rFonts w:ascii="Times New Roman" w:hAnsi="Times New Roman"/>
              </w:rPr>
              <w:t xml:space="preserve"> </w:t>
            </w:r>
          </w:p>
          <w:p w:rsidRPr="00E70711" w:rsidR="00AC3479" w:rsidP="00D7175B" w:rsidRDefault="00AC3479" w14:paraId="5C729B39" w14:textId="5D426AE6">
            <w:pPr>
              <w:pStyle w:val="NORCTableBullet110ptNarrow"/>
              <w:framePr w:wrap="around"/>
              <w:ind w:hanging="27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18 of </w:t>
            </w:r>
            <w:r w:rsidRPr="00805ABC" w:rsidR="00965F68">
              <w:rPr>
                <w:rFonts w:ascii="Times New Roman" w:hAnsi="Times New Roman"/>
              </w:rPr>
              <w:t>implementation</w:t>
            </w:r>
          </w:p>
        </w:tc>
      </w:tr>
      <w:tr w:rsidRPr="00E70711" w:rsidR="009868FA" w:rsidTr="005663A4" w14:paraId="1A96E2D2" w14:textId="77777777">
        <w:trPr>
          <w:cantSplit/>
          <w:trHeight w:val="1475"/>
          <w:jc w:val="center"/>
        </w:trPr>
        <w:tc>
          <w:tcPr>
            <w:tcW w:w="1625" w:type="dxa"/>
            <w:shd w:val="clear" w:color="auto" w:fill="E9E6E3"/>
            <w:tcMar>
              <w:top w:w="0" w:type="dxa"/>
              <w:left w:w="108" w:type="dxa"/>
              <w:bottom w:w="0" w:type="dxa"/>
              <w:right w:w="108" w:type="dxa"/>
            </w:tcMar>
          </w:tcPr>
          <w:p w:rsidRPr="00E70711" w:rsidR="009868FA" w:rsidP="00C252CA" w:rsidRDefault="009868FA" w14:paraId="78B6562C" w14:textId="77777777">
            <w:pPr>
              <w:pStyle w:val="NORCTableBodyLeft"/>
              <w:rPr>
                <w:rFonts w:ascii="Times New Roman" w:hAnsi="Times New Roman"/>
                <w:sz w:val="20"/>
                <w:szCs w:val="20"/>
              </w:rPr>
            </w:pPr>
            <w:r w:rsidRPr="00E70711">
              <w:rPr>
                <w:rFonts w:ascii="Times New Roman" w:hAnsi="Times New Roman"/>
                <w:sz w:val="20"/>
                <w:szCs w:val="20"/>
              </w:rPr>
              <w:t>Implementation Assessments</w:t>
            </w:r>
          </w:p>
        </w:tc>
        <w:tc>
          <w:tcPr>
            <w:tcW w:w="1980" w:type="dxa"/>
            <w:shd w:val="clear" w:color="auto" w:fill="E9E6E3"/>
            <w:tcMar>
              <w:top w:w="0" w:type="dxa"/>
              <w:left w:w="108" w:type="dxa"/>
              <w:bottom w:w="0" w:type="dxa"/>
              <w:right w:w="108" w:type="dxa"/>
            </w:tcMar>
          </w:tcPr>
          <w:p w:rsidRPr="00E70711" w:rsidR="009868FA" w:rsidP="00AB6736" w:rsidRDefault="009868FA" w14:paraId="67F75160" w14:textId="215D75CA">
            <w:pPr>
              <w:pStyle w:val="NORCTableBodyLeft"/>
              <w:rPr>
                <w:rFonts w:ascii="Times New Roman" w:hAnsi="Times New Roman"/>
                <w:sz w:val="20"/>
                <w:szCs w:val="20"/>
              </w:rPr>
            </w:pPr>
            <w:r w:rsidRPr="00E70711">
              <w:rPr>
                <w:rFonts w:ascii="Times New Roman" w:hAnsi="Times New Roman"/>
                <w:sz w:val="20"/>
                <w:szCs w:val="20"/>
              </w:rPr>
              <w:t>Team Check</w:t>
            </w:r>
            <w:r w:rsidRPr="00E70711" w:rsidR="00932C83">
              <w:rPr>
                <w:rFonts w:ascii="Times New Roman" w:hAnsi="Times New Roman"/>
                <w:sz w:val="20"/>
                <w:szCs w:val="20"/>
              </w:rPr>
              <w:t>up Tool</w:t>
            </w:r>
          </w:p>
        </w:tc>
        <w:tc>
          <w:tcPr>
            <w:tcW w:w="2420" w:type="dxa"/>
            <w:shd w:val="clear" w:color="auto" w:fill="E9E6E3"/>
          </w:tcPr>
          <w:p w:rsidRPr="00E70711" w:rsidR="009868FA" w:rsidP="00C252CA" w:rsidRDefault="009868FA" w14:paraId="15F9B3FB" w14:textId="68F7062C">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E70711">
              <w:rPr>
                <w:rFonts w:ascii="Times New Roman" w:hAnsi="Times New Roman"/>
              </w:rPr>
              <w:t xml:space="preserve">Frontline staff on </w:t>
            </w:r>
            <w:r w:rsidRPr="00E70711" w:rsidR="00D66462">
              <w:rPr>
                <w:rFonts w:ascii="Times New Roman" w:hAnsi="Times New Roman"/>
              </w:rPr>
              <w:t xml:space="preserve">CUSP </w:t>
            </w:r>
            <w:r w:rsidRPr="00E70711">
              <w:rPr>
                <w:rFonts w:ascii="Times New Roman" w:hAnsi="Times New Roman"/>
              </w:rPr>
              <w:t>teams</w:t>
            </w:r>
          </w:p>
          <w:p w:rsidRPr="00E70711" w:rsidR="003932E8" w:rsidP="003932E8" w:rsidRDefault="003932E8" w14:paraId="4AD28E8B" w14:textId="580BE959">
            <w:pPr>
              <w:pStyle w:val="NORCTableBullet110ptNarrow"/>
              <w:framePr w:hSpace="0" w:wrap="auto" w:hAnchor="text" w:vAnchor="margin" w:yAlign="inline"/>
              <w:numPr>
                <w:ilvl w:val="0"/>
                <w:numId w:val="43"/>
              </w:numPr>
              <w:tabs>
                <w:tab w:val="clear" w:pos="144"/>
                <w:tab w:val="left" w:pos="181"/>
              </w:tabs>
              <w:ind w:left="270" w:hanging="180"/>
              <w:suppressOverlap w:val="0"/>
              <w:rPr>
                <w:rFonts w:ascii="Times New Roman" w:hAnsi="Times New Roman"/>
              </w:rPr>
            </w:pPr>
            <w:r w:rsidRPr="00E70711">
              <w:rPr>
                <w:rFonts w:ascii="Times New Roman" w:hAnsi="Times New Roman"/>
              </w:rPr>
              <w:t xml:space="preserve">Estimated </w:t>
            </w:r>
            <w:r w:rsidRPr="00E70711" w:rsidR="00336C09">
              <w:rPr>
                <w:rFonts w:ascii="Times New Roman" w:hAnsi="Times New Roman"/>
              </w:rPr>
              <w:t>1 staff per facility, unit or service</w:t>
            </w:r>
          </w:p>
          <w:p w:rsidRPr="00E70711" w:rsidR="009868FA" w:rsidP="00C252CA" w:rsidRDefault="009868FA" w14:paraId="0A506FF5" w14:textId="77777777">
            <w:pPr>
              <w:pStyle w:val="NORCTableBullet110ptNarrow"/>
              <w:framePr w:hSpace="0" w:wrap="auto" w:hAnchor="text" w:vAnchor="margin" w:yAlign="inline"/>
              <w:numPr>
                <w:ilvl w:val="0"/>
                <w:numId w:val="0"/>
              </w:numPr>
              <w:tabs>
                <w:tab w:val="clear" w:pos="144"/>
                <w:tab w:val="left" w:pos="181"/>
              </w:tabs>
              <w:ind w:left="541"/>
              <w:suppressOverlap w:val="0"/>
              <w:rPr>
                <w:rFonts w:ascii="Times New Roman" w:hAnsi="Times New Roman"/>
              </w:rPr>
            </w:pPr>
          </w:p>
        </w:tc>
        <w:tc>
          <w:tcPr>
            <w:tcW w:w="2557" w:type="dxa"/>
            <w:shd w:val="clear" w:color="auto" w:fill="E9E6E3"/>
          </w:tcPr>
          <w:p w:rsidRPr="00E70711" w:rsidR="009868FA" w:rsidP="005C2436" w:rsidRDefault="00321591" w14:paraId="4AE3BFA7" w14:textId="5AE1F8EE">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E70711" w:rsidR="009868FA">
              <w:rPr>
                <w:rFonts w:ascii="Times New Roman" w:hAnsi="Times New Roman"/>
              </w:rPr>
              <w:t xml:space="preserve">: </w:t>
            </w:r>
          </w:p>
          <w:p w:rsidRPr="00E70711" w:rsidR="003D4667" w:rsidP="00D7175B" w:rsidRDefault="00E21ACB" w14:paraId="08AE1CE3" w14:textId="1A214A24">
            <w:pPr>
              <w:pStyle w:val="NORCTableBullet110ptNarrow"/>
              <w:framePr w:hSpace="0" w:wrap="auto" w:hAnchor="text" w:vAnchor="margin" w:yAlign="inline"/>
              <w:ind w:left="221" w:hanging="159"/>
              <w:suppressOverlap w:val="0"/>
              <w:rPr>
                <w:rFonts w:ascii="Times New Roman" w:hAnsi="Times New Roman"/>
              </w:rPr>
            </w:pPr>
            <w:r>
              <w:rPr>
                <w:rFonts w:ascii="Times New Roman" w:hAnsi="Times New Roman"/>
              </w:rPr>
              <w:t>C</w:t>
            </w:r>
            <w:r w:rsidRPr="00E70711" w:rsidR="003D4667">
              <w:rPr>
                <w:rFonts w:ascii="Times New Roman" w:hAnsi="Times New Roman"/>
              </w:rPr>
              <w:t xml:space="preserve">onducted </w:t>
            </w:r>
            <w:r w:rsidRPr="00E70711" w:rsidR="00FC785D">
              <w:rPr>
                <w:rFonts w:ascii="Times New Roman" w:hAnsi="Times New Roman"/>
              </w:rPr>
              <w:t xml:space="preserve">monthly </w:t>
            </w:r>
            <w:r w:rsidRPr="00E70711" w:rsidR="003D4667">
              <w:rPr>
                <w:rFonts w:ascii="Times New Roman" w:hAnsi="Times New Roman"/>
              </w:rPr>
              <w:t xml:space="preserve">over the </w:t>
            </w:r>
            <w:r w:rsidRPr="00E70711" w:rsidR="00163FBA">
              <w:rPr>
                <w:rFonts w:ascii="Times New Roman" w:hAnsi="Times New Roman"/>
              </w:rPr>
              <w:t>over the course of the program</w:t>
            </w:r>
            <w:r w:rsidRPr="00E70711" w:rsidR="003D4667">
              <w:rPr>
                <w:rFonts w:ascii="Times New Roman" w:hAnsi="Times New Roman"/>
              </w:rPr>
              <w:t xml:space="preserve"> </w:t>
            </w:r>
            <w:r w:rsidRPr="00E70711" w:rsidR="00AC3479">
              <w:rPr>
                <w:rFonts w:ascii="Times New Roman" w:hAnsi="Times New Roman"/>
              </w:rPr>
              <w:t>from</w:t>
            </w:r>
            <w:r w:rsidR="00A86979">
              <w:rPr>
                <w:rFonts w:ascii="Times New Roman" w:hAnsi="Times New Roman"/>
              </w:rPr>
              <w:t xml:space="preserve"> </w:t>
            </w:r>
            <w:r w:rsidR="00D7175B">
              <w:rPr>
                <w:rFonts w:ascii="Times New Roman" w:hAnsi="Times New Roman"/>
              </w:rPr>
              <w:t xml:space="preserve">month 1 of the </w:t>
            </w:r>
            <w:r w:rsidRPr="00805ABC" w:rsidR="00965F68">
              <w:rPr>
                <w:rFonts w:ascii="Times New Roman" w:hAnsi="Times New Roman"/>
              </w:rPr>
              <w:t>implementation</w:t>
            </w:r>
            <w:r w:rsidR="00D7175B">
              <w:rPr>
                <w:rFonts w:ascii="Times New Roman" w:hAnsi="Times New Roman"/>
              </w:rPr>
              <w:t xml:space="preserve"> to month 18</w:t>
            </w:r>
            <w:r w:rsidR="00A86979">
              <w:rPr>
                <w:rFonts w:ascii="Times New Roman" w:hAnsi="Times New Roman"/>
              </w:rPr>
              <w:t xml:space="preserve"> </w:t>
            </w:r>
            <w:r w:rsidRPr="00E70711" w:rsidR="00AC3479">
              <w:rPr>
                <w:rFonts w:ascii="Times New Roman" w:hAnsi="Times New Roman"/>
              </w:rPr>
              <w:t xml:space="preserve">  </w:t>
            </w:r>
          </w:p>
        </w:tc>
      </w:tr>
      <w:tr w:rsidRPr="00E70711" w:rsidR="003D69AE" w:rsidTr="005663A4" w14:paraId="50315A1A" w14:textId="77777777">
        <w:trPr>
          <w:cantSplit/>
          <w:trHeight w:val="1475"/>
          <w:jc w:val="center"/>
        </w:trPr>
        <w:tc>
          <w:tcPr>
            <w:tcW w:w="1625" w:type="dxa"/>
            <w:shd w:val="clear" w:color="auto" w:fill="E9E6E3"/>
            <w:tcMar>
              <w:top w:w="0" w:type="dxa"/>
              <w:left w:w="108" w:type="dxa"/>
              <w:bottom w:w="0" w:type="dxa"/>
              <w:right w:w="108" w:type="dxa"/>
            </w:tcMar>
          </w:tcPr>
          <w:p w:rsidRPr="001D56BD" w:rsidR="003D69AE" w:rsidP="00C252CA" w:rsidRDefault="001D56BD" w14:paraId="12A2988E" w14:textId="25528898">
            <w:pPr>
              <w:pStyle w:val="NORCTableBodyLeft"/>
              <w:rPr>
                <w:rFonts w:ascii="Times New Roman" w:hAnsi="Times New Roman"/>
                <w:sz w:val="20"/>
                <w:szCs w:val="20"/>
              </w:rPr>
            </w:pPr>
            <w:r w:rsidRPr="005663A4">
              <w:rPr>
                <w:rFonts w:ascii="Times New Roman" w:hAnsi="Times New Roman"/>
                <w:bCs/>
                <w:sz w:val="20"/>
                <w:szCs w:val="20"/>
              </w:rPr>
              <w:lastRenderedPageBreak/>
              <w:t>EHR extracts of unit-level data</w:t>
            </w:r>
            <w:r w:rsidR="00E40B1E">
              <w:rPr>
                <w:rFonts w:ascii="Times New Roman" w:hAnsi="Times New Roman"/>
                <w:bCs/>
                <w:sz w:val="20"/>
                <w:szCs w:val="20"/>
              </w:rPr>
              <w:t xml:space="preserve"> (unless conferring rights to NHSN data)</w:t>
            </w:r>
          </w:p>
        </w:tc>
        <w:tc>
          <w:tcPr>
            <w:tcW w:w="1980" w:type="dxa"/>
            <w:shd w:val="clear" w:color="auto" w:fill="E9E6E3"/>
            <w:tcMar>
              <w:top w:w="0" w:type="dxa"/>
              <w:left w:w="108" w:type="dxa"/>
              <w:bottom w:w="0" w:type="dxa"/>
              <w:right w:w="108" w:type="dxa"/>
            </w:tcMar>
          </w:tcPr>
          <w:p w:rsidRPr="00E70711" w:rsidR="003D69AE" w:rsidP="00AB6736" w:rsidRDefault="004208DD" w14:paraId="02C34DBD" w14:textId="21487D6B">
            <w:pPr>
              <w:pStyle w:val="NORCTableBodyLeft"/>
              <w:rPr>
                <w:rFonts w:ascii="Times New Roman" w:hAnsi="Times New Roman"/>
                <w:sz w:val="20"/>
                <w:szCs w:val="20"/>
              </w:rPr>
            </w:pPr>
            <w:r w:rsidRPr="002A1283">
              <w:rPr>
                <w:rFonts w:ascii="Times New Roman" w:hAnsi="Times New Roman"/>
                <w:bCs/>
                <w:sz w:val="20"/>
                <w:szCs w:val="20"/>
              </w:rPr>
              <w:t xml:space="preserve">EHR </w:t>
            </w:r>
            <w:r>
              <w:rPr>
                <w:rFonts w:ascii="Times New Roman" w:hAnsi="Times New Roman"/>
                <w:sz w:val="20"/>
                <w:szCs w:val="20"/>
              </w:rPr>
              <w:t>extraction tool</w:t>
            </w:r>
          </w:p>
        </w:tc>
        <w:tc>
          <w:tcPr>
            <w:tcW w:w="2420" w:type="dxa"/>
            <w:shd w:val="clear" w:color="auto" w:fill="E9E6E3"/>
          </w:tcPr>
          <w:p w:rsidR="003D69AE" w:rsidP="00C252CA" w:rsidRDefault="001D56BD" w14:paraId="69B77C4E"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Pr>
                <w:rFonts w:ascii="Times New Roman" w:hAnsi="Times New Roman"/>
              </w:rPr>
              <w:t>Data coordinator at participating sites</w:t>
            </w:r>
          </w:p>
          <w:p w:rsidRPr="00E70711" w:rsidR="001D56BD" w:rsidP="005663A4" w:rsidRDefault="001D56BD" w14:paraId="198A1072" w14:textId="0A260FFD">
            <w:pPr>
              <w:pStyle w:val="NORCTableBullet110ptNarrow"/>
              <w:framePr w:hSpace="0" w:wrap="auto" w:hAnchor="text" w:vAnchor="margin" w:yAlign="inline"/>
              <w:numPr>
                <w:ilvl w:val="0"/>
                <w:numId w:val="0"/>
              </w:numPr>
              <w:tabs>
                <w:tab w:val="clear" w:pos="144"/>
                <w:tab w:val="left" w:pos="181"/>
              </w:tabs>
              <w:ind w:left="270"/>
              <w:suppressOverlap w:val="0"/>
              <w:rPr>
                <w:rFonts w:ascii="Times New Roman" w:hAnsi="Times New Roman"/>
              </w:rPr>
            </w:pPr>
            <w:r w:rsidRPr="002A1283">
              <w:rPr>
                <w:rFonts w:ascii="Times New Roman" w:hAnsi="Times New Roman"/>
              </w:rPr>
              <w:t>Estimated 1 staff per facility</w:t>
            </w:r>
            <w:r w:rsidRPr="00E70711">
              <w:rPr>
                <w:rFonts w:ascii="Times New Roman" w:hAnsi="Times New Roman"/>
              </w:rPr>
              <w:t>, unit or service</w:t>
            </w:r>
          </w:p>
        </w:tc>
        <w:tc>
          <w:tcPr>
            <w:tcW w:w="2557" w:type="dxa"/>
            <w:shd w:val="clear" w:color="auto" w:fill="E9E6E3"/>
          </w:tcPr>
          <w:p w:rsidRPr="00E70711" w:rsidR="001D56BD" w:rsidP="001D56BD" w:rsidRDefault="001D56BD" w14:paraId="629A1B3A" w14:textId="1849C652">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E70711">
              <w:rPr>
                <w:rFonts w:ascii="Times New Roman" w:hAnsi="Times New Roman"/>
                <w:u w:val="single"/>
              </w:rPr>
              <w:t xml:space="preserve"> All cohorts</w:t>
            </w:r>
            <w:r w:rsidRPr="00E70711">
              <w:rPr>
                <w:rFonts w:ascii="Times New Roman" w:hAnsi="Times New Roman"/>
              </w:rPr>
              <w:t xml:space="preserve">: </w:t>
            </w:r>
          </w:p>
          <w:p w:rsidRPr="008B3EFD" w:rsidR="008B3EFD" w:rsidP="005663A4" w:rsidRDefault="00E21ACB" w14:paraId="60A5B583" w14:textId="403D6919">
            <w:pPr>
              <w:pStyle w:val="NORCTableBullet110ptNarrow"/>
              <w:framePr w:hSpace="0" w:wrap="auto" w:hAnchor="text" w:vAnchor="margin" w:yAlign="inline"/>
              <w:numPr>
                <w:ilvl w:val="0"/>
                <w:numId w:val="49"/>
              </w:numPr>
              <w:suppressOverlap w:val="0"/>
              <w:rPr>
                <w:rFonts w:ascii="Times New Roman" w:hAnsi="Times New Roman"/>
                <w:u w:val="single"/>
              </w:rPr>
            </w:pPr>
            <w:r>
              <w:rPr>
                <w:rFonts w:ascii="Times New Roman" w:hAnsi="Times New Roman"/>
              </w:rPr>
              <w:t>C</w:t>
            </w:r>
            <w:r w:rsidRPr="00E70711" w:rsidR="001D56BD">
              <w:rPr>
                <w:rFonts w:ascii="Times New Roman" w:hAnsi="Times New Roman"/>
              </w:rPr>
              <w:t xml:space="preserve">onducted </w:t>
            </w:r>
            <w:r w:rsidR="001711B5">
              <w:rPr>
                <w:rFonts w:ascii="Times New Roman" w:hAnsi="Times New Roman"/>
              </w:rPr>
              <w:t xml:space="preserve">quarterly </w:t>
            </w:r>
            <w:r w:rsidRPr="00E70711" w:rsidR="001D56BD">
              <w:rPr>
                <w:rFonts w:ascii="Times New Roman" w:hAnsi="Times New Roman"/>
              </w:rPr>
              <w:t xml:space="preserve"> over the </w:t>
            </w:r>
            <w:r w:rsidR="001711B5">
              <w:rPr>
                <w:rFonts w:ascii="Times New Roman" w:hAnsi="Times New Roman"/>
              </w:rPr>
              <w:t xml:space="preserve">18 month </w:t>
            </w:r>
            <w:r w:rsidRPr="00805ABC" w:rsidR="00965F68">
              <w:rPr>
                <w:rFonts w:ascii="Times New Roman" w:hAnsi="Times New Roman"/>
              </w:rPr>
              <w:t>implementation</w:t>
            </w:r>
            <w:r w:rsidR="001711B5">
              <w:rPr>
                <w:rFonts w:ascii="Times New Roman" w:hAnsi="Times New Roman"/>
              </w:rPr>
              <w:t xml:space="preserve"> period (monthly for LTC settings)</w:t>
            </w:r>
            <w:r w:rsidRPr="00E70711" w:rsidR="001D56BD">
              <w:rPr>
                <w:rFonts w:ascii="Times New Roman" w:hAnsi="Times New Roman"/>
              </w:rPr>
              <w:t xml:space="preserve"> </w:t>
            </w:r>
          </w:p>
        </w:tc>
      </w:tr>
    </w:tbl>
    <w:p w:rsidRPr="00D519AC" w:rsidR="009868FA" w:rsidP="00364187" w:rsidRDefault="009868FA" w14:paraId="45B4BEE7" w14:textId="3F28B113">
      <w:pPr>
        <w:pStyle w:val="TableNormalL"/>
        <w:rPr>
          <w:rStyle w:val="Strong"/>
          <w:rFonts w:ascii="Times New Roman" w:hAnsi="Times New Roman"/>
          <w:b w:val="0"/>
        </w:rPr>
      </w:pPr>
    </w:p>
    <w:p w:rsidRPr="00E70711" w:rsidR="00364187" w:rsidP="00364187" w:rsidRDefault="00364187" w14:paraId="07455B71" w14:textId="77777777">
      <w:pPr>
        <w:pStyle w:val="TableNormalL"/>
        <w:rPr>
          <w:rStyle w:val="Strong"/>
          <w:rFonts w:ascii="Times New Roman" w:hAnsi="Times New Roman"/>
          <w:b w:val="0"/>
        </w:rPr>
      </w:pPr>
    </w:p>
    <w:p w:rsidRPr="00D519AC" w:rsidR="00AC3479" w:rsidP="00AC3479" w:rsidRDefault="00AC3479" w14:paraId="272B33A0" w14:textId="5D5CDC7D">
      <w:pPr>
        <w:pStyle w:val="ListParagraph"/>
        <w:numPr>
          <w:ilvl w:val="0"/>
          <w:numId w:val="37"/>
        </w:numPr>
        <w:rPr>
          <w:rStyle w:val="Strong"/>
          <w:b w:val="0"/>
        </w:rPr>
      </w:pPr>
      <w:r w:rsidRPr="00E70711">
        <w:rPr>
          <w:rStyle w:val="Strong"/>
        </w:rPr>
        <w:t>Surveys of Patient Safety Culture (HSOPS or NHSOPS) (Attachment</w:t>
      </w:r>
      <w:r w:rsidRPr="00E70711" w:rsidR="00644773">
        <w:rPr>
          <w:rStyle w:val="Strong"/>
        </w:rPr>
        <w:t>s</w:t>
      </w:r>
      <w:r w:rsidRPr="00E70711">
        <w:rPr>
          <w:rStyle w:val="Strong"/>
        </w:rPr>
        <w:t xml:space="preserve"> </w:t>
      </w:r>
      <w:r w:rsidR="006607D6">
        <w:rPr>
          <w:rStyle w:val="Strong"/>
        </w:rPr>
        <w:t>H</w:t>
      </w:r>
      <w:r w:rsidRPr="00E70711" w:rsidR="00403D73">
        <w:rPr>
          <w:rStyle w:val="Strong"/>
        </w:rPr>
        <w:t xml:space="preserve"> </w:t>
      </w:r>
      <w:r w:rsidRPr="00E70711" w:rsidR="00DE0A24">
        <w:rPr>
          <w:rStyle w:val="Strong"/>
        </w:rPr>
        <w:t xml:space="preserve">and </w:t>
      </w:r>
      <w:r w:rsidR="006607D6">
        <w:rPr>
          <w:rStyle w:val="Strong"/>
        </w:rPr>
        <w:t>I</w:t>
      </w:r>
      <w:r w:rsidRPr="00E70711">
        <w:rPr>
          <w:rStyle w:val="Strong"/>
        </w:rPr>
        <w:t>).</w:t>
      </w:r>
      <w:r w:rsidRPr="00E70711">
        <w:rPr>
          <w:rStyle w:val="Strong"/>
          <w:b w:val="0"/>
        </w:rPr>
        <w:t xml:space="preserve"> The program will administer the AHRQ Surveys of Patient Safety Culture to eligible </w:t>
      </w:r>
      <w:r w:rsidRPr="00E007FA">
        <w:rPr>
          <w:rStyle w:val="Strong"/>
          <w:b w:val="0"/>
          <w:i/>
        </w:rPr>
        <w:t>AHRQ Safety Program for MRSA Prevention</w:t>
      </w:r>
      <w:r w:rsidRPr="00E70711">
        <w:rPr>
          <w:rStyle w:val="Strong"/>
          <w:b w:val="0"/>
        </w:rPr>
        <w:t xml:space="preserve"> staff at the participating units or facilities at the beginning and end of the </w:t>
      </w:r>
      <w:r w:rsidRPr="00805ABC" w:rsidR="00965F68">
        <w:t>implementation</w:t>
      </w:r>
      <w:r w:rsidRPr="00E70711">
        <w:rPr>
          <w:rStyle w:val="Strong"/>
          <w:b w:val="0"/>
        </w:rPr>
        <w:t xml:space="preserve">. The survey has separate versions adapted for hospital settings and </w:t>
      </w:r>
      <w:r w:rsidR="00534AD2">
        <w:rPr>
          <w:rStyle w:val="Strong"/>
          <w:b w:val="0"/>
        </w:rPr>
        <w:t>LTC</w:t>
      </w:r>
      <w:r w:rsidRPr="00E70711">
        <w:rPr>
          <w:rStyle w:val="Strong"/>
          <w:b w:val="0"/>
        </w:rPr>
        <w:t xml:space="preserve"> care settings: </w:t>
      </w:r>
    </w:p>
    <w:p w:rsidRPr="00E70711" w:rsidR="00AC3479" w:rsidP="00AC3479" w:rsidRDefault="00AC3479" w14:paraId="3F68398C" w14:textId="77777777">
      <w:pPr>
        <w:pStyle w:val="ListParagraph"/>
        <w:numPr>
          <w:ilvl w:val="1"/>
          <w:numId w:val="37"/>
        </w:numPr>
        <w:rPr>
          <w:rStyle w:val="Strong"/>
          <w:b w:val="0"/>
        </w:rPr>
      </w:pPr>
      <w:r w:rsidRPr="00E70711">
        <w:rPr>
          <w:rStyle w:val="Strong"/>
          <w:b w:val="0"/>
        </w:rPr>
        <w:t>The Hospital Survey on Patient Safety (HSOPS) will be utilized to evaluate safety culture for ICU, Non-ICU and surgical sites.</w:t>
      </w:r>
    </w:p>
    <w:p w:rsidRPr="00E70711" w:rsidR="00AC3479" w:rsidP="00AC3479" w:rsidRDefault="00AC3479" w14:paraId="1C748116" w14:textId="4E839FE5">
      <w:pPr>
        <w:pStyle w:val="ListParagraph"/>
        <w:numPr>
          <w:ilvl w:val="1"/>
          <w:numId w:val="37"/>
        </w:numPr>
        <w:rPr>
          <w:rStyle w:val="Strong"/>
          <w:b w:val="0"/>
        </w:rPr>
      </w:pPr>
      <w:r w:rsidRPr="00E70711">
        <w:rPr>
          <w:rStyle w:val="Strong"/>
          <w:b w:val="0"/>
        </w:rPr>
        <w:t xml:space="preserve">The Nursing Home Survey on Patient Safety (NHSOPS) will be administered in </w:t>
      </w:r>
      <w:r w:rsidR="00534AD2">
        <w:rPr>
          <w:rStyle w:val="Strong"/>
          <w:b w:val="0"/>
        </w:rPr>
        <w:t>LTC</w:t>
      </w:r>
      <w:r w:rsidRPr="00E70711">
        <w:rPr>
          <w:rStyle w:val="Strong"/>
          <w:b w:val="0"/>
        </w:rPr>
        <w:t xml:space="preserve"> facilities. </w:t>
      </w:r>
    </w:p>
    <w:p w:rsidRPr="00E70711" w:rsidR="00AC3479" w:rsidP="00AC3479" w:rsidRDefault="00AC3479" w14:paraId="3C88D892" w14:textId="77777777">
      <w:pPr>
        <w:pStyle w:val="ListParagraph"/>
        <w:ind w:left="1440"/>
        <w:rPr>
          <w:rStyle w:val="Strong"/>
          <w:b w:val="0"/>
        </w:rPr>
      </w:pPr>
    </w:p>
    <w:p w:rsidRPr="00E70711" w:rsidR="00AC3479" w:rsidP="00AC3479" w:rsidRDefault="00AC3479" w14:paraId="68E93FFD" w14:textId="6EC07567">
      <w:pPr>
        <w:pStyle w:val="ListParagraph"/>
        <w:rPr>
          <w:rStyle w:val="Strong"/>
          <w:b w:val="0"/>
        </w:rPr>
      </w:pPr>
      <w:r w:rsidRPr="00E70711">
        <w:rPr>
          <w:rStyle w:val="Strong"/>
          <w:b w:val="0"/>
        </w:rPr>
        <w:t>Each survey asks questions about patient safety issues, medical error, and event reporting in the respective setting</w:t>
      </w:r>
      <w:r w:rsidR="00FA32F9">
        <w:rPr>
          <w:rStyle w:val="Strong"/>
          <w:b w:val="0"/>
        </w:rPr>
        <w:t>, and takes approximately 15 minutes to complete</w:t>
      </w:r>
      <w:r w:rsidRPr="00E70711">
        <w:rPr>
          <w:rStyle w:val="Strong"/>
          <w:b w:val="0"/>
        </w:rPr>
        <w:t xml:space="preserve">. For patient safety culture surveys, the program will reach out to all eligible providers and staff in accordance with the HSOPS and NHSOPS User’s Guides. All eligible staff on the unit or facility that is implementing the </w:t>
      </w:r>
      <w:r w:rsidRPr="00E007FA">
        <w:rPr>
          <w:rStyle w:val="Strong"/>
          <w:b w:val="0"/>
          <w:i/>
        </w:rPr>
        <w:t>AHRQ Safety Program for MRSA Prevention</w:t>
      </w:r>
      <w:r w:rsidRPr="00E70711">
        <w:rPr>
          <w:rStyle w:val="Strong"/>
          <w:b w:val="0"/>
        </w:rPr>
        <w:t xml:space="preserve"> will be asked to complete the survey. As unit and facility size vary, the program estimates the average number of respondents to be 25 for each unit. Participating staff should have enough knowledge about the day-to-day activities in the unit or facility and interact regularly with other staff working in the unit or facility in order to provide informed answers. These staff, who spend all or most of their time at work within the unit or facility, may include the following:</w:t>
      </w:r>
    </w:p>
    <w:p w:rsidRPr="00E70711" w:rsidR="00AC3479" w:rsidP="00AC3479" w:rsidRDefault="00AC3479" w14:paraId="5748BCC7" w14:textId="77777777">
      <w:pPr>
        <w:pStyle w:val="ListParagraph"/>
        <w:numPr>
          <w:ilvl w:val="0"/>
          <w:numId w:val="44"/>
        </w:numPr>
        <w:rPr>
          <w:rStyle w:val="Strong"/>
          <w:b w:val="0"/>
        </w:rPr>
      </w:pPr>
      <w:r w:rsidRPr="00E70711">
        <w:rPr>
          <w:rStyle w:val="Strong"/>
          <w:b w:val="0"/>
        </w:rPr>
        <w:t xml:space="preserve">Staff who have direct contact or interaction with patients or residents; </w:t>
      </w:r>
    </w:p>
    <w:p w:rsidRPr="00E70711" w:rsidR="00AC3479" w:rsidP="00AC3479" w:rsidRDefault="00AC3479" w14:paraId="1C7EFF67" w14:textId="77777777">
      <w:pPr>
        <w:pStyle w:val="ListParagraph"/>
        <w:numPr>
          <w:ilvl w:val="0"/>
          <w:numId w:val="44"/>
        </w:numPr>
        <w:rPr>
          <w:rStyle w:val="Strong"/>
          <w:b w:val="0"/>
        </w:rPr>
      </w:pPr>
      <w:r w:rsidRPr="00E70711">
        <w:rPr>
          <w:rStyle w:val="Strong"/>
          <w:b w:val="0"/>
        </w:rPr>
        <w:t xml:space="preserve">Staff who may not have direct contact or interaction with patients or residents but whose work directly affects patient or resident care; </w:t>
      </w:r>
    </w:p>
    <w:p w:rsidRPr="00E70711" w:rsidR="00AC3479" w:rsidP="00AB6736" w:rsidRDefault="00AC3479" w14:paraId="4F18D57A" w14:textId="77777777">
      <w:pPr>
        <w:pStyle w:val="ListParagraph"/>
        <w:ind w:left="1440"/>
        <w:rPr>
          <w:rStyle w:val="Strong"/>
          <w:b w:val="0"/>
        </w:rPr>
      </w:pPr>
    </w:p>
    <w:p w:rsidRPr="00E70711" w:rsidR="004B6DF4" w:rsidP="000F21EA" w:rsidRDefault="00AC3479" w14:paraId="67A2194B" w14:textId="6864E4C8">
      <w:pPr>
        <w:pStyle w:val="ListParagraph"/>
        <w:numPr>
          <w:ilvl w:val="0"/>
          <w:numId w:val="37"/>
        </w:numPr>
        <w:rPr>
          <w:rStyle w:val="Strong"/>
          <w:b w:val="0"/>
        </w:rPr>
      </w:pPr>
      <w:r w:rsidRPr="00E70711">
        <w:rPr>
          <w:rStyle w:val="Strong"/>
        </w:rPr>
        <w:t>Gap Analysis</w:t>
      </w:r>
      <w:r w:rsidRPr="00E70711" w:rsidR="004B6DF4">
        <w:rPr>
          <w:rStyle w:val="Strong"/>
        </w:rPr>
        <w:t xml:space="preserve"> (Attachment</w:t>
      </w:r>
      <w:r w:rsidRPr="00E70711" w:rsidR="00DE0A24">
        <w:rPr>
          <w:rStyle w:val="Strong"/>
        </w:rPr>
        <w:t>s</w:t>
      </w:r>
      <w:r w:rsidRPr="00E70711" w:rsidR="004B6DF4">
        <w:rPr>
          <w:rStyle w:val="Strong"/>
        </w:rPr>
        <w:t xml:space="preserve"> </w:t>
      </w:r>
      <w:r w:rsidRPr="00E70711" w:rsidR="00DE0A24">
        <w:rPr>
          <w:rStyle w:val="Strong"/>
        </w:rPr>
        <w:t xml:space="preserve">B, C, </w:t>
      </w:r>
      <w:r w:rsidR="00C93CFD">
        <w:rPr>
          <w:rStyle w:val="Strong"/>
        </w:rPr>
        <w:t xml:space="preserve">and </w:t>
      </w:r>
      <w:r w:rsidRPr="00E70711" w:rsidR="00DE0A24">
        <w:rPr>
          <w:rStyle w:val="Strong"/>
        </w:rPr>
        <w:t>D</w:t>
      </w:r>
      <w:r w:rsidRPr="00E70711" w:rsidR="004B6DF4">
        <w:rPr>
          <w:rStyle w:val="Strong"/>
        </w:rPr>
        <w:t xml:space="preserve">). </w:t>
      </w:r>
      <w:r w:rsidRPr="00E70711" w:rsidR="00F85709">
        <w:rPr>
          <w:rStyle w:val="Strong"/>
          <w:b w:val="0"/>
        </w:rPr>
        <w:t>The unit or facility</w:t>
      </w:r>
      <w:r w:rsidR="004C1D50">
        <w:rPr>
          <w:rStyle w:val="Strong"/>
          <w:b w:val="0"/>
        </w:rPr>
        <w:t xml:space="preserve"> team</w:t>
      </w:r>
      <w:r w:rsidRPr="00E70711" w:rsidR="00F85709">
        <w:rPr>
          <w:rStyle w:val="Strong"/>
          <w:b w:val="0"/>
        </w:rPr>
        <w:t xml:space="preserve"> lead </w:t>
      </w:r>
      <w:r w:rsidR="004C1D50">
        <w:rPr>
          <w:rStyle w:val="Strong"/>
          <w:b w:val="0"/>
        </w:rPr>
        <w:t xml:space="preserve">and Infection Preventionist </w:t>
      </w:r>
      <w:r w:rsidRPr="00E70711" w:rsidR="00F85709">
        <w:rPr>
          <w:rStyle w:val="Strong"/>
          <w:b w:val="0"/>
        </w:rPr>
        <w:t xml:space="preserve">at each participating unit or facility will complete the </w:t>
      </w:r>
      <w:r w:rsidRPr="00E70711">
        <w:rPr>
          <w:rStyle w:val="Strong"/>
          <w:b w:val="0"/>
        </w:rPr>
        <w:t>Gap Analysis</w:t>
      </w:r>
      <w:r w:rsidRPr="00E70711" w:rsidR="003D30FC">
        <w:rPr>
          <w:rStyle w:val="Strong"/>
          <w:b w:val="0"/>
        </w:rPr>
        <w:t xml:space="preserve"> </w:t>
      </w:r>
      <w:r w:rsidRPr="00E70711">
        <w:rPr>
          <w:rStyle w:val="Strong"/>
          <w:b w:val="0"/>
        </w:rPr>
        <w:t xml:space="preserve">at the beginning and end of the </w:t>
      </w:r>
      <w:r w:rsidRPr="00805ABC" w:rsidR="00965F68">
        <w:t>implementation</w:t>
      </w:r>
      <w:r w:rsidR="009D66D8">
        <w:t xml:space="preserve"> period </w:t>
      </w:r>
      <w:r w:rsidRPr="00E70711" w:rsidDel="00AC3479">
        <w:rPr>
          <w:rStyle w:val="Strong"/>
          <w:b w:val="0"/>
        </w:rPr>
        <w:t xml:space="preserve"> </w:t>
      </w:r>
      <w:r w:rsidRPr="00E70711" w:rsidR="003D30FC">
        <w:rPr>
          <w:rStyle w:val="Strong"/>
          <w:b w:val="0"/>
        </w:rPr>
        <w:t xml:space="preserve">for each of the four cohorts. </w:t>
      </w:r>
      <w:r w:rsidR="00FA32F9">
        <w:rPr>
          <w:rStyle w:val="Strong"/>
          <w:b w:val="0"/>
        </w:rPr>
        <w:t xml:space="preserve"> </w:t>
      </w:r>
      <w:r w:rsidR="00C43216">
        <w:rPr>
          <w:rStyle w:val="Strong"/>
          <w:b w:val="0"/>
        </w:rPr>
        <w:t>For each administration of the tool, t</w:t>
      </w:r>
      <w:r w:rsidR="00C97F26">
        <w:rPr>
          <w:rStyle w:val="Strong"/>
          <w:b w:val="0"/>
        </w:rPr>
        <w:t>he Gap Analysis takes approximately one hour for both participants to complete.</w:t>
      </w:r>
      <w:r w:rsidRPr="00E70711" w:rsidR="003D30FC">
        <w:rPr>
          <w:rStyle w:val="Strong"/>
          <w:b w:val="0"/>
        </w:rPr>
        <w:t xml:space="preserve"> </w:t>
      </w:r>
    </w:p>
    <w:p w:rsidRPr="00E70711" w:rsidR="009868FA" w:rsidP="00FD7B18" w:rsidRDefault="009868FA" w14:paraId="6C4F1B09" w14:textId="77777777">
      <w:pPr>
        <w:rPr>
          <w:rStyle w:val="Strong"/>
        </w:rPr>
      </w:pPr>
    </w:p>
    <w:p w:rsidRPr="00E70711" w:rsidR="00F85709" w:rsidP="00B213CD" w:rsidRDefault="00AF29D1" w14:paraId="0C115B14" w14:textId="67D0D491">
      <w:pPr>
        <w:pStyle w:val="ListParagraph"/>
        <w:numPr>
          <w:ilvl w:val="0"/>
          <w:numId w:val="37"/>
        </w:numPr>
        <w:rPr>
          <w:rStyle w:val="Strong"/>
        </w:rPr>
      </w:pPr>
      <w:r w:rsidRPr="00E70711">
        <w:rPr>
          <w:rStyle w:val="Strong"/>
        </w:rPr>
        <w:t>I</w:t>
      </w:r>
      <w:r w:rsidRPr="00E70711" w:rsidR="004463B9">
        <w:rPr>
          <w:rStyle w:val="Strong"/>
        </w:rPr>
        <w:t xml:space="preserve">mplementation assessments: </w:t>
      </w:r>
      <w:r w:rsidRPr="00E70711" w:rsidR="00F85709">
        <w:rPr>
          <w:rStyle w:val="Strong"/>
        </w:rPr>
        <w:t>Team Check</w:t>
      </w:r>
      <w:r w:rsidRPr="00E70711" w:rsidR="0044220E">
        <w:rPr>
          <w:rStyle w:val="Strong"/>
        </w:rPr>
        <w:t>up Tool</w:t>
      </w:r>
      <w:r w:rsidRPr="00E70711" w:rsidR="00F85709">
        <w:rPr>
          <w:rStyle w:val="Strong"/>
        </w:rPr>
        <w:t xml:space="preserve"> (Attachment</w:t>
      </w:r>
      <w:r w:rsidR="00BB20EC">
        <w:rPr>
          <w:rStyle w:val="Strong"/>
        </w:rPr>
        <w:t>s</w:t>
      </w:r>
      <w:r w:rsidRPr="00E70711" w:rsidR="00F85709">
        <w:rPr>
          <w:rStyle w:val="Strong"/>
        </w:rPr>
        <w:t xml:space="preserve"> </w:t>
      </w:r>
      <w:r w:rsidR="006607D6">
        <w:rPr>
          <w:rStyle w:val="Strong"/>
        </w:rPr>
        <w:t>E</w:t>
      </w:r>
      <w:r w:rsidR="009A3710">
        <w:rPr>
          <w:rStyle w:val="Strong"/>
        </w:rPr>
        <w:t xml:space="preserve">, </w:t>
      </w:r>
      <w:r w:rsidR="006607D6">
        <w:rPr>
          <w:rStyle w:val="Strong"/>
        </w:rPr>
        <w:t>F</w:t>
      </w:r>
      <w:r w:rsidR="00E10878">
        <w:rPr>
          <w:rStyle w:val="Strong"/>
        </w:rPr>
        <w:t>,</w:t>
      </w:r>
      <w:r w:rsidR="009A3710">
        <w:rPr>
          <w:rStyle w:val="Strong"/>
        </w:rPr>
        <w:t xml:space="preserve"> and </w:t>
      </w:r>
      <w:r w:rsidR="006607D6">
        <w:rPr>
          <w:rStyle w:val="Strong"/>
        </w:rPr>
        <w:t>G</w:t>
      </w:r>
      <w:r w:rsidRPr="00E70711" w:rsidR="00F85709">
        <w:rPr>
          <w:rStyle w:val="Strong"/>
        </w:rPr>
        <w:t>).</w:t>
      </w:r>
      <w:r w:rsidRPr="00E70711" w:rsidR="009868FA">
        <w:rPr>
          <w:rStyle w:val="Strong"/>
          <w:b w:val="0"/>
        </w:rPr>
        <w:t xml:space="preserve"> </w:t>
      </w:r>
      <w:r w:rsidRPr="00E70711" w:rsidR="004463B9">
        <w:t xml:space="preserve">The program will use the Team Checkup Tool </w:t>
      </w:r>
      <w:r w:rsidRPr="00E70711" w:rsidR="001B1F1E">
        <w:t xml:space="preserve">monthly </w:t>
      </w:r>
      <w:r w:rsidRPr="00E70711" w:rsidR="00E214BE">
        <w:t xml:space="preserve">throughout the program </w:t>
      </w:r>
      <w:r w:rsidRPr="00E70711" w:rsidR="004463B9">
        <w:t>to monitor key actions of staff. The Tool</w:t>
      </w:r>
      <w:r w:rsidR="009A3710">
        <w:t>s</w:t>
      </w:r>
      <w:r w:rsidRPr="00E70711" w:rsidR="004463B9">
        <w:t xml:space="preserve"> ask about use of safety guidelines, tools, and resources throughout three different phases: Assessment (1), Planning, Training, and </w:t>
      </w:r>
      <w:r w:rsidRPr="00E70711" w:rsidR="004463B9">
        <w:lastRenderedPageBreak/>
        <w:t>Implementation (2), and Sustainment (3).</w:t>
      </w:r>
      <w:r w:rsidR="00C43216">
        <w:t xml:space="preserve">  For each administration of this tool, the TCT takes approximately ten minutes to complete.</w:t>
      </w:r>
    </w:p>
    <w:p w:rsidRPr="00E70711" w:rsidR="009868FA" w:rsidP="00FD7B18" w:rsidRDefault="009868FA" w14:paraId="568A6649" w14:textId="77777777">
      <w:pPr>
        <w:pStyle w:val="ListParagraph"/>
        <w:rPr>
          <w:rStyle w:val="Strong"/>
        </w:rPr>
      </w:pPr>
    </w:p>
    <w:p w:rsidRPr="00215B82" w:rsidR="005E0CE8" w:rsidP="005E0CE8" w:rsidRDefault="00BB20EC" w14:paraId="2746B82B" w14:textId="045D8270">
      <w:pPr>
        <w:pStyle w:val="ListParagraph"/>
        <w:numPr>
          <w:ilvl w:val="0"/>
          <w:numId w:val="37"/>
        </w:numPr>
        <w:rPr>
          <w:rStyle w:val="Strong"/>
        </w:rPr>
      </w:pPr>
      <w:r>
        <w:rPr>
          <w:rStyle w:val="Strong"/>
        </w:rPr>
        <w:t>Clinical Outcomes Data</w:t>
      </w:r>
      <w:r w:rsidRPr="00E70711" w:rsidR="00F85709">
        <w:rPr>
          <w:rStyle w:val="Strong"/>
        </w:rPr>
        <w:t xml:space="preserve"> of unit-level data (Attachment </w:t>
      </w:r>
      <w:r w:rsidR="006607D6">
        <w:rPr>
          <w:rStyle w:val="Strong"/>
        </w:rPr>
        <w:t>J</w:t>
      </w:r>
      <w:r w:rsidR="003D68A7">
        <w:rPr>
          <w:rStyle w:val="Strong"/>
        </w:rPr>
        <w:t xml:space="preserve">, </w:t>
      </w:r>
      <w:r w:rsidR="006607D6">
        <w:rPr>
          <w:rStyle w:val="Strong"/>
        </w:rPr>
        <w:t>K</w:t>
      </w:r>
      <w:r w:rsidR="00E10878">
        <w:rPr>
          <w:rStyle w:val="Strong"/>
        </w:rPr>
        <w:t>,</w:t>
      </w:r>
      <w:r w:rsidR="003D68A7">
        <w:rPr>
          <w:rStyle w:val="Strong"/>
        </w:rPr>
        <w:t xml:space="preserve"> and </w:t>
      </w:r>
      <w:r w:rsidR="006607D6">
        <w:rPr>
          <w:rStyle w:val="Strong"/>
        </w:rPr>
        <w:t>L</w:t>
      </w:r>
      <w:r w:rsidRPr="00E70711" w:rsidR="00F85709">
        <w:rPr>
          <w:rStyle w:val="Strong"/>
        </w:rPr>
        <w:t xml:space="preserve">). </w:t>
      </w:r>
      <w:r w:rsidRPr="005E0CE8" w:rsidR="00660689">
        <w:rPr>
          <w:rStyle w:val="Strong"/>
          <w:b w:val="0"/>
        </w:rPr>
        <w:t xml:space="preserve">For </w:t>
      </w:r>
      <w:r w:rsidRPr="005E0CE8" w:rsidR="00DE028F">
        <w:rPr>
          <w:rStyle w:val="Strong"/>
          <w:b w:val="0"/>
        </w:rPr>
        <w:t>ICU, non-ICU, and surgical settings</w:t>
      </w:r>
      <w:r w:rsidR="00DE028F">
        <w:rPr>
          <w:rStyle w:val="Strong"/>
          <w:b w:val="0"/>
        </w:rPr>
        <w:t xml:space="preserve">, </w:t>
      </w:r>
      <w:r w:rsidRPr="005E0CE8" w:rsidR="00660689">
        <w:rPr>
          <w:rStyle w:val="Strong"/>
          <w:b w:val="0"/>
        </w:rPr>
        <w:t>u</w:t>
      </w:r>
      <w:r w:rsidRPr="005E0CE8" w:rsidR="006937E6">
        <w:rPr>
          <w:rStyle w:val="Strong"/>
          <w:b w:val="0"/>
        </w:rPr>
        <w:t>nit</w:t>
      </w:r>
      <w:r w:rsidRPr="00E70711" w:rsidR="006937E6">
        <w:rPr>
          <w:rStyle w:val="Strong"/>
          <w:b w:val="0"/>
        </w:rPr>
        <w:t>-level</w:t>
      </w:r>
      <w:r w:rsidR="002E7A38">
        <w:rPr>
          <w:rStyle w:val="Strong"/>
          <w:b w:val="0"/>
        </w:rPr>
        <w:t xml:space="preserve"> clinical outcomes</w:t>
      </w:r>
      <w:r w:rsidRPr="00E70711" w:rsidR="006937E6">
        <w:rPr>
          <w:rStyle w:val="Strong"/>
          <w:b w:val="0"/>
        </w:rPr>
        <w:t xml:space="preserve"> data will be extracted by each site’s data coordinator </w:t>
      </w:r>
      <w:r w:rsidR="00DE028F">
        <w:rPr>
          <w:rStyle w:val="Strong"/>
          <w:b w:val="0"/>
        </w:rPr>
        <w:t xml:space="preserve">quarterly to obtain clinical outcome measures not available via NHSN and to obtain all clinical outcome measures among </w:t>
      </w:r>
      <w:r w:rsidRPr="005E0CE8" w:rsidR="00DE028F">
        <w:rPr>
          <w:rStyle w:val="Strong"/>
          <w:b w:val="0"/>
        </w:rPr>
        <w:t xml:space="preserve">hospitals that do not confer rights </w:t>
      </w:r>
      <w:r w:rsidR="002D130F">
        <w:rPr>
          <w:rStyle w:val="Strong"/>
          <w:b w:val="0"/>
        </w:rPr>
        <w:t>to</w:t>
      </w:r>
      <w:r w:rsidRPr="005E0CE8" w:rsidR="00DE028F">
        <w:rPr>
          <w:rStyle w:val="Strong"/>
          <w:b w:val="0"/>
        </w:rPr>
        <w:t xml:space="preserve"> </w:t>
      </w:r>
      <w:r w:rsidR="002D130F">
        <w:rPr>
          <w:rStyle w:val="Strong"/>
          <w:b w:val="0"/>
        </w:rPr>
        <w:t xml:space="preserve">their NHSN data to </w:t>
      </w:r>
      <w:r w:rsidRPr="005E0CE8" w:rsidR="00DE028F">
        <w:rPr>
          <w:rStyle w:val="Strong"/>
          <w:b w:val="0"/>
        </w:rPr>
        <w:t>the program</w:t>
      </w:r>
      <w:r w:rsidR="00DE028F">
        <w:rPr>
          <w:rStyle w:val="Strong"/>
          <w:b w:val="0"/>
        </w:rPr>
        <w:t xml:space="preserve">. Clinical outcome measures will </w:t>
      </w:r>
      <w:r w:rsidRPr="00B213CD" w:rsidR="00D442F5">
        <w:rPr>
          <w:rStyle w:val="Strong"/>
          <w:b w:val="0"/>
        </w:rPr>
        <w:t xml:space="preserve">be </w:t>
      </w:r>
      <w:r w:rsidR="00DE028F">
        <w:rPr>
          <w:rStyle w:val="Strong"/>
          <w:b w:val="0"/>
        </w:rPr>
        <w:t>collected</w:t>
      </w:r>
      <w:r w:rsidRPr="005E0CE8" w:rsidR="001711B5">
        <w:rPr>
          <w:rStyle w:val="Strong"/>
          <w:b w:val="0"/>
        </w:rPr>
        <w:t xml:space="preserve"> monthly for LTC settings</w:t>
      </w:r>
      <w:r w:rsidRPr="005E0CE8" w:rsidR="006937E6">
        <w:rPr>
          <w:rStyle w:val="Strong"/>
          <w:b w:val="0"/>
        </w:rPr>
        <w:t>.</w:t>
      </w:r>
      <w:r w:rsidR="00573B58">
        <w:rPr>
          <w:rStyle w:val="Strong"/>
          <w:b w:val="0"/>
        </w:rPr>
        <w:t xml:space="preserve"> The clinical outcomes data collected will differ by ICU and non-ICU units, surgical units, and LTC settings.  </w:t>
      </w:r>
      <w:r w:rsidRPr="005E0CE8" w:rsidR="00D442F5">
        <w:rPr>
          <w:rStyle w:val="Strong"/>
          <w:b w:val="0"/>
        </w:rPr>
        <w:t xml:space="preserve"> </w:t>
      </w:r>
    </w:p>
    <w:p w:rsidRPr="005E0CE8" w:rsidR="005E0CE8" w:rsidP="00215B82" w:rsidRDefault="005E0CE8" w14:paraId="1E1DAB88" w14:textId="77777777">
      <w:pPr>
        <w:pStyle w:val="ListParagraph"/>
        <w:rPr>
          <w:rStyle w:val="Strong"/>
          <w:b w:val="0"/>
        </w:rPr>
      </w:pPr>
    </w:p>
    <w:p w:rsidR="005E0CE8" w:rsidP="00215B82" w:rsidRDefault="005E0CE8" w14:paraId="24155B63" w14:textId="22662E88">
      <w:pPr>
        <w:ind w:firstLine="360"/>
        <w:rPr>
          <w:rStyle w:val="Strong"/>
          <w:b w:val="0"/>
          <w:u w:val="single"/>
        </w:rPr>
      </w:pPr>
      <w:r w:rsidRPr="00215B82">
        <w:rPr>
          <w:rStyle w:val="Strong"/>
          <w:b w:val="0"/>
          <w:u w:val="single"/>
        </w:rPr>
        <w:t xml:space="preserve">ICU and non-ICU </w:t>
      </w:r>
      <w:r w:rsidRPr="00215B82" w:rsidR="00573B58">
        <w:rPr>
          <w:rStyle w:val="Strong"/>
          <w:b w:val="0"/>
          <w:u w:val="single"/>
        </w:rPr>
        <w:t>units</w:t>
      </w:r>
    </w:p>
    <w:p w:rsidRPr="00215B82" w:rsidR="00573B58" w:rsidP="00215B82" w:rsidRDefault="00573B58" w14:paraId="4513E183" w14:textId="77777777">
      <w:pPr>
        <w:ind w:firstLine="360"/>
        <w:rPr>
          <w:rStyle w:val="Strong"/>
          <w:b w:val="0"/>
          <w:u w:val="single"/>
        </w:rPr>
      </w:pPr>
    </w:p>
    <w:p w:rsidR="002D130F" w:rsidP="00215B82" w:rsidRDefault="005E0CE8" w14:paraId="36B00E27" w14:textId="3E0F6D8E">
      <w:pPr>
        <w:pStyle w:val="ListParagraph"/>
        <w:ind w:left="360"/>
        <w:rPr>
          <w:rStyle w:val="Strong"/>
          <w:b w:val="0"/>
        </w:rPr>
      </w:pPr>
      <w:r>
        <w:rPr>
          <w:rStyle w:val="Strong"/>
          <w:b w:val="0"/>
        </w:rPr>
        <w:t xml:space="preserve">For the unit-level EHR extracts, the burden hours and costs </w:t>
      </w:r>
      <w:r w:rsidR="006E6894">
        <w:rPr>
          <w:rStyle w:val="Strong"/>
          <w:b w:val="0"/>
        </w:rPr>
        <w:t>for</w:t>
      </w:r>
      <w:r w:rsidRPr="00B213CD" w:rsidR="006937E6">
        <w:rPr>
          <w:rStyle w:val="Strong"/>
          <w:b w:val="0"/>
        </w:rPr>
        <w:t xml:space="preserve"> the </w:t>
      </w:r>
      <w:r w:rsidRPr="00B213CD" w:rsidR="00D442F5">
        <w:rPr>
          <w:rStyle w:val="Strong"/>
          <w:b w:val="0"/>
        </w:rPr>
        <w:t xml:space="preserve">initial data pull </w:t>
      </w:r>
      <w:r w:rsidR="002D130F">
        <w:rPr>
          <w:rStyle w:val="Strong"/>
          <w:b w:val="0"/>
        </w:rPr>
        <w:t>will vary based on hospital participation as follows</w:t>
      </w:r>
      <w:r>
        <w:rPr>
          <w:rStyle w:val="Strong"/>
          <w:b w:val="0"/>
        </w:rPr>
        <w:t xml:space="preserve">:  </w:t>
      </w:r>
    </w:p>
    <w:p w:rsidR="006E6894" w:rsidP="00215B82" w:rsidRDefault="006E6894" w14:paraId="0A787EA4" w14:textId="02E95FB8">
      <w:pPr>
        <w:pStyle w:val="ListParagraph"/>
        <w:numPr>
          <w:ilvl w:val="0"/>
          <w:numId w:val="56"/>
        </w:numPr>
        <w:rPr>
          <w:rStyle w:val="Strong"/>
          <w:b w:val="0"/>
        </w:rPr>
      </w:pPr>
      <w:r>
        <w:rPr>
          <w:rStyle w:val="Strong"/>
          <w:b w:val="0"/>
        </w:rPr>
        <w:t>About 10% of hospitals with units participating in the ICU and non-ICU cohorts are not expected to confer rights to the program to pull their NHSN data. For these hospitals, the</w:t>
      </w:r>
      <w:r w:rsidRPr="005E0CE8">
        <w:rPr>
          <w:rStyle w:val="Strong"/>
          <w:b w:val="0"/>
        </w:rPr>
        <w:t xml:space="preserve"> extraction process </w:t>
      </w:r>
      <w:r>
        <w:rPr>
          <w:rStyle w:val="Strong"/>
          <w:b w:val="0"/>
        </w:rPr>
        <w:t xml:space="preserve">for the initial data pull </w:t>
      </w:r>
      <w:r w:rsidRPr="005E0CE8">
        <w:rPr>
          <w:rStyle w:val="Strong"/>
          <w:b w:val="0"/>
        </w:rPr>
        <w:t xml:space="preserve">is estimated to take </w:t>
      </w:r>
      <w:r>
        <w:rPr>
          <w:rStyle w:val="Strong"/>
          <w:b w:val="0"/>
        </w:rPr>
        <w:t>about</w:t>
      </w:r>
      <w:r w:rsidRPr="005E0CE8">
        <w:rPr>
          <w:rStyle w:val="Strong"/>
          <w:b w:val="0"/>
        </w:rPr>
        <w:t xml:space="preserve"> 5 hours to extract the following clinical outcomes:  </w:t>
      </w:r>
      <w:r>
        <w:t>hospital onset MRSA invasive infection – MRSA bacteremia LabID Day 3 or after of admission, patient days, Central-Line-Associated Blood Stream Infections with causative organism(s), central line days, and community onset MRSA invasive infection – MRSA bacteremia LabID prior to Day 3 after of admission</w:t>
      </w:r>
      <w:r w:rsidRPr="005E0CE8">
        <w:rPr>
          <w:rStyle w:val="Strong"/>
          <w:b w:val="0"/>
        </w:rPr>
        <w:t xml:space="preserve">.  </w:t>
      </w:r>
    </w:p>
    <w:p w:rsidR="006E6894" w:rsidP="00215B82" w:rsidRDefault="002D130F" w14:paraId="0BCCD801" w14:textId="4CAB68FD">
      <w:pPr>
        <w:pStyle w:val="ListParagraph"/>
        <w:numPr>
          <w:ilvl w:val="0"/>
          <w:numId w:val="56"/>
        </w:numPr>
        <w:rPr>
          <w:rStyle w:val="Strong"/>
          <w:b w:val="0"/>
        </w:rPr>
      </w:pPr>
      <w:r w:rsidRPr="001E2158">
        <w:rPr>
          <w:rStyle w:val="Strong"/>
          <w:b w:val="0"/>
        </w:rPr>
        <w:t xml:space="preserve">All hospitals will </w:t>
      </w:r>
      <w:r w:rsidRPr="006E6894" w:rsidR="005E0CE8">
        <w:rPr>
          <w:rStyle w:val="Strong"/>
          <w:b w:val="0"/>
        </w:rPr>
        <w:t xml:space="preserve">provide two </w:t>
      </w:r>
      <w:r w:rsidRPr="005E0CE8" w:rsidR="006E6894">
        <w:rPr>
          <w:rStyle w:val="Strong"/>
          <w:b w:val="0"/>
        </w:rPr>
        <w:t xml:space="preserve">clinical outcome measures – hospital onset bacteremia (Day 3 or after of admission) with </w:t>
      </w:r>
      <w:r w:rsidR="003629E7">
        <w:rPr>
          <w:rStyle w:val="Strong"/>
          <w:b w:val="0"/>
        </w:rPr>
        <w:t>causative</w:t>
      </w:r>
      <w:r w:rsidRPr="005E0CE8" w:rsidR="006E6894">
        <w:rPr>
          <w:rStyle w:val="Strong"/>
          <w:b w:val="0"/>
        </w:rPr>
        <w:t xml:space="preserve"> organisms (including MSSA) and MRSA-positive clinical cultures –</w:t>
      </w:r>
      <w:r w:rsidR="006E6894">
        <w:rPr>
          <w:rStyle w:val="Strong"/>
          <w:b w:val="0"/>
        </w:rPr>
        <w:t xml:space="preserve"> via the EHR extract tool since </w:t>
      </w:r>
      <w:r w:rsidRPr="005E0CE8" w:rsidR="006E6894">
        <w:rPr>
          <w:rStyle w:val="Strong"/>
          <w:b w:val="0"/>
        </w:rPr>
        <w:t>th</w:t>
      </w:r>
      <w:r w:rsidR="006E6894">
        <w:rPr>
          <w:rStyle w:val="Strong"/>
          <w:b w:val="0"/>
        </w:rPr>
        <w:t>ese</w:t>
      </w:r>
      <w:r w:rsidRPr="005E0CE8" w:rsidR="006E6894">
        <w:rPr>
          <w:rStyle w:val="Strong"/>
          <w:b w:val="0"/>
        </w:rPr>
        <w:t xml:space="preserve"> data </w:t>
      </w:r>
      <w:r w:rsidR="006E6894">
        <w:rPr>
          <w:rStyle w:val="Strong"/>
          <w:b w:val="0"/>
        </w:rPr>
        <w:t>are</w:t>
      </w:r>
      <w:r w:rsidRPr="005E0CE8" w:rsidR="006E6894">
        <w:rPr>
          <w:rStyle w:val="Strong"/>
          <w:b w:val="0"/>
        </w:rPr>
        <w:t xml:space="preserve"> not available via NHSN</w:t>
      </w:r>
      <w:r w:rsidR="006E6894">
        <w:rPr>
          <w:rStyle w:val="Strong"/>
          <w:b w:val="0"/>
        </w:rPr>
        <w:t xml:space="preserve">. The </w:t>
      </w:r>
      <w:r w:rsidRPr="00B213CD" w:rsidR="006937E6">
        <w:rPr>
          <w:rStyle w:val="Strong"/>
          <w:b w:val="0"/>
        </w:rPr>
        <w:t xml:space="preserve">extraction process </w:t>
      </w:r>
      <w:r w:rsidRPr="005E0CE8" w:rsidR="006E6894">
        <w:rPr>
          <w:rStyle w:val="Strong"/>
          <w:b w:val="0"/>
        </w:rPr>
        <w:t xml:space="preserve">for the initial data pull </w:t>
      </w:r>
      <w:r w:rsidR="006E6894">
        <w:rPr>
          <w:rStyle w:val="Strong"/>
          <w:b w:val="0"/>
        </w:rPr>
        <w:t xml:space="preserve">for these outcomes </w:t>
      </w:r>
      <w:r w:rsidRPr="005E0CE8" w:rsidR="006E6894">
        <w:rPr>
          <w:rStyle w:val="Strong"/>
          <w:b w:val="0"/>
        </w:rPr>
        <w:t>is an estimated 3.5 hours.</w:t>
      </w:r>
      <w:r w:rsidR="006E6894">
        <w:rPr>
          <w:rStyle w:val="Strong"/>
          <w:b w:val="0"/>
        </w:rPr>
        <w:t xml:space="preserve">  </w:t>
      </w:r>
    </w:p>
    <w:p w:rsidRPr="006E6894" w:rsidR="002D130F" w:rsidP="00215B82" w:rsidRDefault="005E0CE8" w14:paraId="16132B8B" w14:textId="0B7CD17D">
      <w:pPr>
        <w:pStyle w:val="ListParagraph"/>
        <w:numPr>
          <w:ilvl w:val="0"/>
          <w:numId w:val="56"/>
        </w:numPr>
        <w:rPr>
          <w:rStyle w:val="Strong"/>
          <w:b w:val="0"/>
        </w:rPr>
      </w:pPr>
      <w:r w:rsidRPr="001E2158">
        <w:rPr>
          <w:rStyle w:val="Strong"/>
          <w:b w:val="0"/>
        </w:rPr>
        <w:t>Participating hospitals that provide optional point prevalence data</w:t>
      </w:r>
      <w:r w:rsidRPr="001E2158" w:rsidR="002D130F">
        <w:rPr>
          <w:rStyle w:val="Strong"/>
          <w:b w:val="0"/>
        </w:rPr>
        <w:t xml:space="preserve"> will also use</w:t>
      </w:r>
      <w:r w:rsidRPr="000A598A" w:rsidR="002D130F">
        <w:rPr>
          <w:rStyle w:val="Strong"/>
          <w:b w:val="0"/>
        </w:rPr>
        <w:t xml:space="preserve"> the </w:t>
      </w:r>
      <w:r w:rsidRPr="006E6894" w:rsidR="002D130F">
        <w:rPr>
          <w:rStyle w:val="Strong"/>
          <w:b w:val="0"/>
        </w:rPr>
        <w:t>EHR extract tool</w:t>
      </w:r>
      <w:r w:rsidRPr="006E6894" w:rsidR="00573B58">
        <w:rPr>
          <w:rStyle w:val="Strong"/>
          <w:b w:val="0"/>
        </w:rPr>
        <w:t xml:space="preserve">. </w:t>
      </w:r>
      <w:r w:rsidR="006E6894">
        <w:rPr>
          <w:rStyle w:val="Strong"/>
          <w:b w:val="0"/>
        </w:rPr>
        <w:t>T</w:t>
      </w:r>
      <w:r w:rsidRPr="00620BF7" w:rsidR="006E6894">
        <w:rPr>
          <w:rStyle w:val="Strong"/>
          <w:b w:val="0"/>
        </w:rPr>
        <w:t>he ex</w:t>
      </w:r>
      <w:r w:rsidR="006E6894">
        <w:rPr>
          <w:rStyle w:val="Strong"/>
          <w:b w:val="0"/>
        </w:rPr>
        <w:t>traction process for the initial data</w:t>
      </w:r>
      <w:r w:rsidRPr="00620BF7" w:rsidR="006E6894">
        <w:rPr>
          <w:rStyle w:val="Strong"/>
          <w:b w:val="0"/>
        </w:rPr>
        <w:t xml:space="preserve"> pull is approximately 30 minutes.</w:t>
      </w:r>
    </w:p>
    <w:p w:rsidR="002D130F" w:rsidP="00215B82" w:rsidRDefault="002D130F" w14:paraId="00F0F33D" w14:textId="77777777">
      <w:pPr>
        <w:pStyle w:val="ListParagraph"/>
        <w:ind w:left="360"/>
        <w:rPr>
          <w:rStyle w:val="Strong"/>
          <w:b w:val="0"/>
        </w:rPr>
      </w:pPr>
    </w:p>
    <w:p w:rsidRPr="00215B82" w:rsidR="00D52BB4" w:rsidP="00215B82" w:rsidRDefault="00620BF7" w14:paraId="7702F6B7" w14:textId="1297A438">
      <w:pPr>
        <w:pStyle w:val="ListParagraph"/>
        <w:ind w:left="360"/>
        <w:rPr>
          <w:rStyle w:val="Strong"/>
        </w:rPr>
      </w:pPr>
      <w:r w:rsidRPr="005E0CE8">
        <w:rPr>
          <w:rStyle w:val="Strong"/>
          <w:b w:val="0"/>
        </w:rPr>
        <w:t xml:space="preserve">It is expected that the burden hours for </w:t>
      </w:r>
      <w:r>
        <w:rPr>
          <w:rStyle w:val="Strong"/>
          <w:b w:val="0"/>
        </w:rPr>
        <w:t>the subsequent quarterly data pulls</w:t>
      </w:r>
      <w:r w:rsidRPr="005E0CE8">
        <w:rPr>
          <w:rStyle w:val="Strong"/>
          <w:b w:val="0"/>
        </w:rPr>
        <w:t xml:space="preserve"> should reduce to 30 minutes </w:t>
      </w:r>
      <w:r w:rsidRPr="00573B58">
        <w:rPr>
          <w:rStyle w:val="Strong"/>
          <w:b w:val="0"/>
        </w:rPr>
        <w:t>through the duration of data collection, as IT members and unit leaders become more familiar with the data collection process.</w:t>
      </w:r>
      <w:r>
        <w:rPr>
          <w:rStyle w:val="Strong"/>
          <w:b w:val="0"/>
        </w:rPr>
        <w:t xml:space="preserve">  </w:t>
      </w:r>
    </w:p>
    <w:p w:rsidR="00D52BB4" w:rsidP="00215B82" w:rsidRDefault="00D52BB4" w14:paraId="319D14D1" w14:textId="77777777">
      <w:pPr>
        <w:rPr>
          <w:rStyle w:val="Strong"/>
          <w:b w:val="0"/>
          <w:u w:val="single"/>
        </w:rPr>
      </w:pPr>
    </w:p>
    <w:p w:rsidRPr="00215B82" w:rsidR="00573B58" w:rsidP="00215B82" w:rsidRDefault="004421D7" w14:paraId="1F25568B" w14:textId="5902E25A">
      <w:pPr>
        <w:rPr>
          <w:rStyle w:val="Strong"/>
        </w:rPr>
      </w:pPr>
      <w:r w:rsidRPr="00BF6627">
        <w:rPr>
          <w:rStyle w:val="Strong"/>
          <w:b w:val="0"/>
          <w:u w:val="single"/>
        </w:rPr>
        <w:t>Surgical services units</w:t>
      </w:r>
    </w:p>
    <w:p w:rsidRPr="00215B82" w:rsidR="00573B58" w:rsidP="00215B82" w:rsidRDefault="00573B58" w14:paraId="5A5D5F40" w14:textId="77777777">
      <w:pPr>
        <w:pStyle w:val="ListParagraph"/>
        <w:ind w:left="360"/>
        <w:rPr>
          <w:rStyle w:val="Strong"/>
          <w:u w:val="single"/>
        </w:rPr>
      </w:pPr>
    </w:p>
    <w:p w:rsidR="00D52BB4" w:rsidP="00215B82" w:rsidRDefault="00620BF7" w14:paraId="633008ED" w14:textId="30F2C957">
      <w:pPr>
        <w:pStyle w:val="ListParagraph"/>
        <w:ind w:left="360"/>
        <w:rPr>
          <w:rStyle w:val="Strong"/>
          <w:b w:val="0"/>
        </w:rPr>
      </w:pPr>
      <w:r>
        <w:rPr>
          <w:rStyle w:val="Strong"/>
          <w:b w:val="0"/>
        </w:rPr>
        <w:t xml:space="preserve">For the unit-level EHR extracts, the burden hours and costs are </w:t>
      </w:r>
      <w:r w:rsidR="006E6894">
        <w:rPr>
          <w:rStyle w:val="Strong"/>
          <w:b w:val="0"/>
        </w:rPr>
        <w:t>assumed for</w:t>
      </w:r>
      <w:r>
        <w:rPr>
          <w:rStyle w:val="Strong"/>
          <w:b w:val="0"/>
        </w:rPr>
        <w:t xml:space="preserve"> participating hospitals that do not confer rights to their NHSN data and</w:t>
      </w:r>
      <w:r w:rsidR="006E6894">
        <w:rPr>
          <w:rStyle w:val="Strong"/>
          <w:b w:val="0"/>
        </w:rPr>
        <w:t>,</w:t>
      </w:r>
      <w:r>
        <w:rPr>
          <w:rStyle w:val="Strong"/>
          <w:b w:val="0"/>
        </w:rPr>
        <w:t xml:space="preserve"> therefore, will provide all data via the EHR extract tool. </w:t>
      </w:r>
      <w:r w:rsidR="00573B58">
        <w:rPr>
          <w:rStyle w:val="Strong"/>
          <w:b w:val="0"/>
        </w:rPr>
        <w:t xml:space="preserve">About 20% of hospitals are not expected to confer rights to the program to pull their NHSN data for the clinical outcomes </w:t>
      </w:r>
      <w:r w:rsidR="00D52BB4">
        <w:rPr>
          <w:rStyle w:val="Strong"/>
          <w:b w:val="0"/>
        </w:rPr>
        <w:t>data</w:t>
      </w:r>
      <w:r w:rsidR="00573B58">
        <w:rPr>
          <w:rStyle w:val="Strong"/>
          <w:b w:val="0"/>
        </w:rPr>
        <w:t xml:space="preserve"> collected in surgical units.</w:t>
      </w:r>
      <w:r w:rsidR="00D52BB4">
        <w:rPr>
          <w:rStyle w:val="Strong"/>
          <w:b w:val="0"/>
        </w:rPr>
        <w:t xml:space="preserve"> These outcomes include surgical site infections with </w:t>
      </w:r>
      <w:r w:rsidR="003E7EB7">
        <w:rPr>
          <w:rStyle w:val="Strong"/>
          <w:b w:val="0"/>
        </w:rPr>
        <w:t>causative</w:t>
      </w:r>
      <w:r w:rsidR="00D52BB4">
        <w:rPr>
          <w:rStyle w:val="Strong"/>
          <w:b w:val="0"/>
        </w:rPr>
        <w:t xml:space="preserve"> organisms and </w:t>
      </w:r>
      <w:r w:rsidR="003E7EB7">
        <w:rPr>
          <w:rStyle w:val="Strong"/>
          <w:b w:val="0"/>
        </w:rPr>
        <w:t xml:space="preserve">number of </w:t>
      </w:r>
      <w:r w:rsidR="00D52BB4">
        <w:rPr>
          <w:rStyle w:val="Strong"/>
          <w:b w:val="0"/>
        </w:rPr>
        <w:t xml:space="preserve">surgical </w:t>
      </w:r>
      <w:r w:rsidR="003E7EB7">
        <w:rPr>
          <w:rStyle w:val="Strong"/>
          <w:b w:val="0"/>
        </w:rPr>
        <w:t>procedures performed, by type of procedure</w:t>
      </w:r>
      <w:r w:rsidR="00D52BB4">
        <w:rPr>
          <w:rStyle w:val="Strong"/>
          <w:b w:val="0"/>
        </w:rPr>
        <w:t>.</w:t>
      </w:r>
      <w:r w:rsidR="00573B58">
        <w:rPr>
          <w:rStyle w:val="Strong"/>
          <w:b w:val="0"/>
        </w:rPr>
        <w:t xml:space="preserve"> </w:t>
      </w:r>
      <w:r w:rsidRPr="005E0CE8" w:rsidR="00427172">
        <w:rPr>
          <w:rStyle w:val="Strong"/>
          <w:b w:val="0"/>
        </w:rPr>
        <w:t>The extraction process for</w:t>
      </w:r>
      <w:r w:rsidRPr="005E0CE8" w:rsidR="0002055E">
        <w:rPr>
          <w:rStyle w:val="Strong"/>
          <w:b w:val="0"/>
        </w:rPr>
        <w:t xml:space="preserve"> the initial data pull in</w:t>
      </w:r>
      <w:r w:rsidRPr="005E0CE8" w:rsidR="00427172">
        <w:rPr>
          <w:rStyle w:val="Strong"/>
          <w:b w:val="0"/>
        </w:rPr>
        <w:t xml:space="preserve"> </w:t>
      </w:r>
      <w:r w:rsidRPr="005E0CE8" w:rsidR="00D442F5">
        <w:rPr>
          <w:rStyle w:val="Strong"/>
          <w:b w:val="0"/>
        </w:rPr>
        <w:t xml:space="preserve">surgical </w:t>
      </w:r>
      <w:r w:rsidR="00D52BB4">
        <w:rPr>
          <w:rStyle w:val="Strong"/>
          <w:b w:val="0"/>
        </w:rPr>
        <w:t>units</w:t>
      </w:r>
      <w:r w:rsidR="006E6894">
        <w:rPr>
          <w:rStyle w:val="Strong"/>
          <w:b w:val="0"/>
        </w:rPr>
        <w:t xml:space="preserve"> </w:t>
      </w:r>
      <w:r w:rsidRPr="00B213CD" w:rsidR="006937E6">
        <w:rPr>
          <w:rStyle w:val="Strong"/>
          <w:b w:val="0"/>
        </w:rPr>
        <w:t xml:space="preserve">is </w:t>
      </w:r>
      <w:r w:rsidRPr="00B213CD" w:rsidR="006937E6">
        <w:rPr>
          <w:rStyle w:val="Strong"/>
          <w:b w:val="0"/>
        </w:rPr>
        <w:lastRenderedPageBreak/>
        <w:t xml:space="preserve">estimated to take </w:t>
      </w:r>
      <w:r w:rsidRPr="005E0CE8" w:rsidR="00D442F5">
        <w:rPr>
          <w:rStyle w:val="Strong"/>
          <w:b w:val="0"/>
        </w:rPr>
        <w:t>30 minutes</w:t>
      </w:r>
      <w:r w:rsidR="00D52BB4">
        <w:rPr>
          <w:rStyle w:val="Strong"/>
          <w:b w:val="0"/>
        </w:rPr>
        <w:t xml:space="preserve"> and </w:t>
      </w:r>
      <w:r w:rsidR="006E6894">
        <w:rPr>
          <w:rStyle w:val="Strong"/>
          <w:b w:val="0"/>
        </w:rPr>
        <w:t>remain at 30</w:t>
      </w:r>
      <w:r w:rsidR="00D52BB4">
        <w:rPr>
          <w:rStyle w:val="Strong"/>
          <w:b w:val="0"/>
        </w:rPr>
        <w:t xml:space="preserve"> minutes for the subsequent quarterly data pulls</w:t>
      </w:r>
      <w:r w:rsidRPr="005E0CE8" w:rsidR="00D442F5">
        <w:rPr>
          <w:rStyle w:val="Strong"/>
          <w:b w:val="0"/>
        </w:rPr>
        <w:t>.</w:t>
      </w:r>
      <w:r w:rsidRPr="005E0CE8" w:rsidR="006937E6">
        <w:rPr>
          <w:rStyle w:val="Strong"/>
          <w:b w:val="0"/>
        </w:rPr>
        <w:t xml:space="preserve"> </w:t>
      </w:r>
    </w:p>
    <w:p w:rsidR="004421D7" w:rsidP="00215B82" w:rsidRDefault="004421D7" w14:paraId="17B23FB6" w14:textId="77777777">
      <w:pPr>
        <w:pStyle w:val="ListParagraph"/>
        <w:ind w:left="360"/>
        <w:rPr>
          <w:rStyle w:val="Strong"/>
          <w:b w:val="0"/>
        </w:rPr>
      </w:pPr>
    </w:p>
    <w:p w:rsidRPr="00BF6627" w:rsidR="004421D7" w:rsidP="004421D7" w:rsidRDefault="004421D7" w14:paraId="1D82A24B" w14:textId="07D560B1">
      <w:pPr>
        <w:rPr>
          <w:rStyle w:val="Strong"/>
        </w:rPr>
      </w:pPr>
      <w:r>
        <w:rPr>
          <w:rStyle w:val="Strong"/>
          <w:b w:val="0"/>
          <w:u w:val="single"/>
        </w:rPr>
        <w:t>LTC</w:t>
      </w:r>
      <w:r w:rsidRPr="00BF6627">
        <w:rPr>
          <w:rStyle w:val="Strong"/>
          <w:b w:val="0"/>
          <w:u w:val="single"/>
        </w:rPr>
        <w:t xml:space="preserve"> units</w:t>
      </w:r>
    </w:p>
    <w:p w:rsidRPr="004421D7" w:rsidR="004421D7" w:rsidP="00215B82" w:rsidRDefault="004421D7" w14:paraId="2C42E61D" w14:textId="77777777">
      <w:pPr>
        <w:pStyle w:val="ListParagraph"/>
        <w:ind w:left="360"/>
        <w:rPr>
          <w:rStyle w:val="Strong"/>
          <w:b w:val="0"/>
        </w:rPr>
      </w:pPr>
    </w:p>
    <w:p w:rsidRPr="00E70711" w:rsidR="00F85709" w:rsidP="00E007FA" w:rsidRDefault="00620BF7" w14:paraId="01EEA8E6" w14:textId="1C1DA37C">
      <w:pPr>
        <w:pStyle w:val="ListParagraph"/>
        <w:ind w:left="360"/>
        <w:rPr>
          <w:rStyle w:val="Strong"/>
        </w:rPr>
      </w:pPr>
      <w:r>
        <w:rPr>
          <w:rStyle w:val="Strong"/>
          <w:b w:val="0"/>
        </w:rPr>
        <w:t xml:space="preserve">For the facility-level EHR extracts, the burden hours and costs are based on all clinical outcomes data in LTC settings obtained by EHR extracts. </w:t>
      </w:r>
      <w:r w:rsidRPr="005E0CE8" w:rsidR="006937E6">
        <w:rPr>
          <w:rStyle w:val="Strong"/>
          <w:b w:val="0"/>
        </w:rPr>
        <w:t xml:space="preserve">During the </w:t>
      </w:r>
      <w:r w:rsidRPr="005E0CE8" w:rsidR="00D442F5">
        <w:rPr>
          <w:rStyle w:val="Strong"/>
          <w:b w:val="0"/>
        </w:rPr>
        <w:t xml:space="preserve">initial data pull for </w:t>
      </w:r>
      <w:r w:rsidRPr="005E0CE8" w:rsidR="00534AD2">
        <w:rPr>
          <w:rStyle w:val="Strong"/>
          <w:b w:val="0"/>
        </w:rPr>
        <w:t>LTC</w:t>
      </w:r>
      <w:r w:rsidRPr="005E0CE8" w:rsidR="00D442F5">
        <w:rPr>
          <w:rStyle w:val="Strong"/>
          <w:b w:val="0"/>
        </w:rPr>
        <w:t xml:space="preserve"> settings</w:t>
      </w:r>
      <w:r w:rsidRPr="005E0CE8" w:rsidR="00427172">
        <w:rPr>
          <w:rStyle w:val="Strong"/>
          <w:b w:val="0"/>
        </w:rPr>
        <w:t>,</w:t>
      </w:r>
      <w:r w:rsidRPr="005E0CE8" w:rsidR="006937E6">
        <w:rPr>
          <w:rStyle w:val="Strong"/>
          <w:b w:val="0"/>
        </w:rPr>
        <w:t xml:space="preserve"> the extraction process is estimated to take </w:t>
      </w:r>
      <w:r w:rsidR="006E6894">
        <w:rPr>
          <w:rStyle w:val="Strong"/>
          <w:b w:val="0"/>
        </w:rPr>
        <w:t>about</w:t>
      </w:r>
      <w:r w:rsidRPr="005E0CE8" w:rsidR="006937E6">
        <w:rPr>
          <w:rStyle w:val="Strong"/>
          <w:b w:val="0"/>
        </w:rPr>
        <w:t xml:space="preserve"> </w:t>
      </w:r>
      <w:r w:rsidR="009D3078">
        <w:rPr>
          <w:rStyle w:val="Strong"/>
          <w:b w:val="0"/>
        </w:rPr>
        <w:t xml:space="preserve">five </w:t>
      </w:r>
      <w:r w:rsidRPr="005E0CE8" w:rsidR="00D442F5">
        <w:rPr>
          <w:rStyle w:val="Strong"/>
          <w:b w:val="0"/>
        </w:rPr>
        <w:t>hours</w:t>
      </w:r>
      <w:r w:rsidRPr="005E0CE8" w:rsidR="006937E6">
        <w:rPr>
          <w:rStyle w:val="Strong"/>
          <w:b w:val="0"/>
        </w:rPr>
        <w:t>.</w:t>
      </w:r>
      <w:r w:rsidRPr="00E70711" w:rsidR="006937E6">
        <w:rPr>
          <w:rStyle w:val="Strong"/>
          <w:b w:val="0"/>
        </w:rPr>
        <w:t xml:space="preserve"> </w:t>
      </w:r>
      <w:r w:rsidRPr="00EC1E61" w:rsidR="00EC1E61">
        <w:rPr>
          <w:bCs/>
        </w:rPr>
        <w:t xml:space="preserve">LTC </w:t>
      </w:r>
      <w:r w:rsidR="001A1088">
        <w:rPr>
          <w:bCs/>
        </w:rPr>
        <w:t>facilities</w:t>
      </w:r>
      <w:r w:rsidRPr="00EC1E61" w:rsidR="00EC1E61">
        <w:rPr>
          <w:bCs/>
        </w:rPr>
        <w:t xml:space="preserve"> that do not have </w:t>
      </w:r>
      <w:r w:rsidR="00EC1E61">
        <w:rPr>
          <w:bCs/>
        </w:rPr>
        <w:t xml:space="preserve">IT support or </w:t>
      </w:r>
      <w:r w:rsidRPr="00EC1E61" w:rsidR="00EC1E61">
        <w:rPr>
          <w:bCs/>
        </w:rPr>
        <w:t xml:space="preserve">strong enough internet access to upload files will be offered a fax option to provide their data. </w:t>
      </w:r>
      <w:r w:rsidRPr="00E70711" w:rsidR="006937E6">
        <w:rPr>
          <w:rStyle w:val="Strong"/>
          <w:b w:val="0"/>
        </w:rPr>
        <w:t>It is expected that the burden hours for this effort should reduce</w:t>
      </w:r>
      <w:r w:rsidR="00D442F5">
        <w:rPr>
          <w:rStyle w:val="Strong"/>
          <w:b w:val="0"/>
        </w:rPr>
        <w:t xml:space="preserve"> to 30 minutes </w:t>
      </w:r>
      <w:r w:rsidRPr="00E70711" w:rsidR="006937E6">
        <w:rPr>
          <w:rStyle w:val="Strong"/>
          <w:b w:val="0"/>
        </w:rPr>
        <w:t>through the duration of data collection</w:t>
      </w:r>
      <w:r w:rsidRPr="00573B58" w:rsidR="00427172">
        <w:rPr>
          <w:rStyle w:val="Strong"/>
          <w:b w:val="0"/>
        </w:rPr>
        <w:t>,</w:t>
      </w:r>
      <w:r w:rsidRPr="00E70711" w:rsidR="006937E6">
        <w:rPr>
          <w:rStyle w:val="Strong"/>
          <w:b w:val="0"/>
        </w:rPr>
        <w:t xml:space="preserve"> as IT members and unit leaders become more familiar with the </w:t>
      </w:r>
      <w:r w:rsidR="002E7A38">
        <w:rPr>
          <w:rStyle w:val="Strong"/>
          <w:b w:val="0"/>
        </w:rPr>
        <w:t>data collection</w:t>
      </w:r>
      <w:r w:rsidRPr="00E70711" w:rsidR="006937E6">
        <w:rPr>
          <w:rStyle w:val="Strong"/>
          <w:b w:val="0"/>
        </w:rPr>
        <w:t xml:space="preserve"> process.</w:t>
      </w:r>
    </w:p>
    <w:p w:rsidRPr="00E70711" w:rsidR="00C70AC2" w:rsidP="00C70AC2" w:rsidRDefault="00C70AC2" w14:paraId="0F198D76" w14:textId="77777777">
      <w:pPr>
        <w:pStyle w:val="ListParagraph"/>
        <w:ind w:left="360"/>
        <w:rPr>
          <w:rStyle w:val="Strong"/>
        </w:rPr>
      </w:pPr>
    </w:p>
    <w:p w:rsidR="000820B4" w:rsidP="00C70AC2" w:rsidRDefault="00C70AC2" w14:paraId="7ADD298F" w14:textId="77777777">
      <w:pPr>
        <w:rPr>
          <w:rStyle w:val="Strong"/>
          <w:b w:val="0"/>
        </w:rPr>
      </w:pPr>
      <w:r w:rsidRPr="00E70711">
        <w:rPr>
          <w:rStyle w:val="Strong"/>
          <w:b w:val="0"/>
        </w:rPr>
        <w:t>Exhibit A.</w:t>
      </w:r>
      <w:r w:rsidR="006E54BE">
        <w:rPr>
          <w:rStyle w:val="Strong"/>
          <w:b w:val="0"/>
        </w:rPr>
        <w:t>2</w:t>
      </w:r>
      <w:r w:rsidRPr="00E70711" w:rsidR="006E54BE">
        <w:rPr>
          <w:rStyle w:val="Strong"/>
          <w:b w:val="0"/>
        </w:rPr>
        <w:t xml:space="preserve"> </w:t>
      </w:r>
      <w:r w:rsidRPr="00E70711">
        <w:rPr>
          <w:rStyle w:val="Strong"/>
          <w:b w:val="0"/>
        </w:rPr>
        <w:t xml:space="preserve">shows the total estimated annualized burden hours for the data collection efforts. </w:t>
      </w:r>
      <w:r w:rsidR="000820B4">
        <w:rPr>
          <w:rStyle w:val="Strong"/>
          <w:b w:val="0"/>
        </w:rPr>
        <w:t xml:space="preserve"> </w:t>
      </w:r>
    </w:p>
    <w:p w:rsidR="000820B4" w:rsidP="00C70AC2" w:rsidRDefault="000820B4" w14:paraId="1F168EFC" w14:textId="1337B8F9">
      <w:pPr>
        <w:rPr>
          <w:rStyle w:val="Strong"/>
          <w:b w:val="0"/>
        </w:rPr>
      </w:pPr>
      <w:r>
        <w:rPr>
          <w:rStyle w:val="Strong"/>
          <w:b w:val="0"/>
        </w:rPr>
        <w:t xml:space="preserve">  </w:t>
      </w:r>
    </w:p>
    <w:p w:rsidR="000820B4" w:rsidP="00C70AC2" w:rsidRDefault="000820B4" w14:paraId="7FB76CE3" w14:textId="77777777">
      <w:pPr>
        <w:rPr>
          <w:rStyle w:val="Strong"/>
          <w:b w:val="0"/>
        </w:rPr>
      </w:pPr>
    </w:p>
    <w:p w:rsidRPr="00E70711" w:rsidR="00C70AC2" w:rsidP="00C70AC2" w:rsidRDefault="00C70AC2" w14:paraId="394FA360" w14:textId="1AB91D73">
      <w:pPr>
        <w:rPr>
          <w:rStyle w:val="Strong"/>
        </w:rPr>
      </w:pPr>
      <w:r w:rsidRPr="00E70711">
        <w:rPr>
          <w:rStyle w:val="Strong"/>
          <w:b w:val="0"/>
        </w:rPr>
        <w:t xml:space="preserve">All data collection activities are expected to occur within the three-year clearance period. The total estimated annualized burden is </w:t>
      </w:r>
      <w:r w:rsidRPr="00E70711" w:rsidR="00717722">
        <w:rPr>
          <w:rStyle w:val="Strong"/>
          <w:b w:val="0"/>
        </w:rPr>
        <w:t>1</w:t>
      </w:r>
      <w:r w:rsidR="00B33973">
        <w:rPr>
          <w:rStyle w:val="Strong"/>
          <w:b w:val="0"/>
        </w:rPr>
        <w:t>1</w:t>
      </w:r>
      <w:r w:rsidR="006E725C">
        <w:rPr>
          <w:rStyle w:val="Strong"/>
          <w:b w:val="0"/>
        </w:rPr>
        <w:t>,</w:t>
      </w:r>
      <w:r w:rsidR="00D04494">
        <w:rPr>
          <w:rStyle w:val="Strong"/>
          <w:b w:val="0"/>
        </w:rPr>
        <w:t>5</w:t>
      </w:r>
      <w:r w:rsidR="00717722">
        <w:rPr>
          <w:rStyle w:val="Strong"/>
          <w:b w:val="0"/>
        </w:rPr>
        <w:t>5</w:t>
      </w:r>
      <w:r w:rsidR="00B33973">
        <w:rPr>
          <w:rStyle w:val="Strong"/>
          <w:b w:val="0"/>
        </w:rPr>
        <w:t>2</w:t>
      </w:r>
      <w:r w:rsidRPr="00E70711" w:rsidR="00717722">
        <w:rPr>
          <w:rStyle w:val="Strong"/>
          <w:b w:val="0"/>
        </w:rPr>
        <w:t xml:space="preserve"> </w:t>
      </w:r>
      <w:r w:rsidRPr="00E70711">
        <w:rPr>
          <w:rStyle w:val="Strong"/>
          <w:b w:val="0"/>
        </w:rPr>
        <w:t>hours.</w:t>
      </w:r>
    </w:p>
    <w:p w:rsidR="008314EB" w:rsidP="00594447" w:rsidRDefault="008314EB" w14:paraId="564D4E0F" w14:textId="77777777">
      <w:pPr>
        <w:tabs>
          <w:tab w:val="left" w:pos="3234"/>
        </w:tabs>
        <w:rPr>
          <w:rStyle w:val="Strong"/>
          <w:b w:val="0"/>
        </w:rPr>
      </w:pPr>
    </w:p>
    <w:p w:rsidRPr="00E70711" w:rsidR="00945E34" w:rsidP="00594447" w:rsidRDefault="00945E34" w14:paraId="1A0630CF" w14:textId="4AAB770E">
      <w:pPr>
        <w:tabs>
          <w:tab w:val="left" w:pos="3234"/>
        </w:tabs>
        <w:rPr>
          <w:rStyle w:val="Strong"/>
          <w:b w:val="0"/>
        </w:rPr>
      </w:pPr>
    </w:p>
    <w:p w:rsidRPr="00E70711" w:rsidR="00E24EA6" w:rsidP="00E24EA6" w:rsidRDefault="00E24EA6" w14:paraId="7A8B32A3" w14:textId="42511C5D">
      <w:r w:rsidRPr="00E70711">
        <w:rPr>
          <w:b/>
          <w:bCs/>
          <w:color w:val="000000"/>
        </w:rPr>
        <w:t xml:space="preserve">Exhibit </w:t>
      </w:r>
      <w:r w:rsidRPr="00E70711" w:rsidR="001C1E5C">
        <w:rPr>
          <w:b/>
          <w:bCs/>
          <w:color w:val="000000"/>
        </w:rPr>
        <w:t>A.</w:t>
      </w:r>
      <w:r w:rsidR="00FC67D6">
        <w:rPr>
          <w:b/>
          <w:bCs/>
          <w:color w:val="000000"/>
        </w:rPr>
        <w:t>2</w:t>
      </w:r>
      <w:r w:rsidRPr="00E70711" w:rsidR="00FC67D6">
        <w:rPr>
          <w:b/>
          <w:bCs/>
          <w:color w:val="000000"/>
        </w:rPr>
        <w:t> </w:t>
      </w:r>
      <w:r w:rsidRPr="00E70711">
        <w:rPr>
          <w:b/>
          <w:bCs/>
          <w:color w:val="000000"/>
        </w:rPr>
        <w:t>Estimated annualized burden hours</w:t>
      </w:r>
    </w:p>
    <w:p w:rsidR="006E725C" w:rsidP="00F603E3" w:rsidRDefault="006E725C" w14:paraId="0F166BB3" w14:textId="77777777">
      <w:pPr>
        <w:rPr>
          <w:color w:val="000000"/>
          <w:sz w:val="20"/>
          <w:szCs w:val="20"/>
        </w:rPr>
        <w:sectPr w:rsidR="006E725C" w:rsidSect="006E725C">
          <w:footerReference w:type="even" r:id="rId12"/>
          <w:footerReference w:type="default" r:id="rId13"/>
          <w:endnotePr>
            <w:numFmt w:val="decimal"/>
          </w:endnotePr>
          <w:type w:val="continuous"/>
          <w:pgSz w:w="12240" w:h="15840"/>
          <w:pgMar w:top="1440" w:right="1800" w:bottom="1260" w:left="1800" w:header="720" w:footer="720" w:gutter="0"/>
          <w:cols w:space="720"/>
          <w:titlePg/>
          <w:docGrid w:linePitch="360"/>
        </w:sectPr>
      </w:pPr>
    </w:p>
    <w:tbl>
      <w:tblPr>
        <w:tblW w:w="53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2592"/>
        <w:gridCol w:w="1751"/>
        <w:gridCol w:w="1180"/>
        <w:gridCol w:w="1769"/>
        <w:gridCol w:w="2011"/>
      </w:tblGrid>
      <w:tr w:rsidRPr="00E70711" w:rsidR="00D65943" w:rsidTr="00E007FA" w14:paraId="2AC03D0E" w14:textId="77777777">
        <w:trPr>
          <w:trHeight w:val="878"/>
        </w:trPr>
        <w:tc>
          <w:tcPr>
            <w:tcW w:w="1393" w:type="pct"/>
            <w:shd w:val="clear" w:color="auto" w:fill="auto"/>
            <w:tcMar>
              <w:top w:w="0" w:type="dxa"/>
              <w:left w:w="108" w:type="dxa"/>
              <w:bottom w:w="0" w:type="dxa"/>
              <w:right w:w="108" w:type="dxa"/>
            </w:tcMar>
          </w:tcPr>
          <w:p w:rsidRPr="00E70711" w:rsidR="00D65943" w:rsidP="00F603E3" w:rsidRDefault="00D65943" w14:paraId="49229552" w14:textId="7EE218DE">
            <w:pPr>
              <w:rPr>
                <w:sz w:val="20"/>
                <w:szCs w:val="20"/>
              </w:rPr>
            </w:pPr>
            <w:r w:rsidRPr="00E70711">
              <w:rPr>
                <w:color w:val="000000"/>
                <w:sz w:val="20"/>
                <w:szCs w:val="20"/>
              </w:rPr>
              <w:t>Form Name</w:t>
            </w:r>
          </w:p>
        </w:tc>
        <w:tc>
          <w:tcPr>
            <w:tcW w:w="941" w:type="pct"/>
            <w:shd w:val="clear" w:color="auto" w:fill="auto"/>
            <w:tcMar>
              <w:top w:w="0" w:type="dxa"/>
              <w:left w:w="108" w:type="dxa"/>
              <w:bottom w:w="0" w:type="dxa"/>
              <w:right w:w="108" w:type="dxa"/>
            </w:tcMar>
          </w:tcPr>
          <w:p w:rsidRPr="00E70711" w:rsidR="00D65943" w:rsidP="00B27F17" w:rsidRDefault="00D65943" w14:paraId="4EC7393D" w14:textId="3391A70D">
            <w:pPr>
              <w:jc w:val="center"/>
              <w:rPr>
                <w:sz w:val="20"/>
                <w:szCs w:val="20"/>
              </w:rPr>
            </w:pPr>
            <w:r w:rsidRPr="00E70711">
              <w:rPr>
                <w:color w:val="000000"/>
                <w:sz w:val="20"/>
                <w:szCs w:val="20"/>
              </w:rPr>
              <w:t>Number of Respondents</w:t>
            </w:r>
            <w:r w:rsidR="001909CD">
              <w:rPr>
                <w:color w:val="000000"/>
                <w:sz w:val="20"/>
                <w:szCs w:val="20"/>
              </w:rPr>
              <w:t xml:space="preserve"> +</w:t>
            </w:r>
          </w:p>
        </w:tc>
        <w:tc>
          <w:tcPr>
            <w:tcW w:w="634" w:type="pct"/>
            <w:shd w:val="clear" w:color="auto" w:fill="auto"/>
            <w:tcMar>
              <w:top w:w="0" w:type="dxa"/>
              <w:left w:w="108" w:type="dxa"/>
              <w:bottom w:w="0" w:type="dxa"/>
              <w:right w:w="108" w:type="dxa"/>
            </w:tcMar>
          </w:tcPr>
          <w:p w:rsidRPr="00E70711" w:rsidR="00D65943" w:rsidP="00B27F17" w:rsidRDefault="00D65943" w14:paraId="4BEBB9D1" w14:textId="77777777">
            <w:pPr>
              <w:jc w:val="center"/>
              <w:rPr>
                <w:sz w:val="20"/>
                <w:szCs w:val="20"/>
              </w:rPr>
            </w:pPr>
            <w:r w:rsidRPr="00E70711">
              <w:rPr>
                <w:sz w:val="20"/>
                <w:szCs w:val="20"/>
              </w:rPr>
              <w:t>Number of responses per respondent</w:t>
            </w:r>
          </w:p>
        </w:tc>
        <w:tc>
          <w:tcPr>
            <w:tcW w:w="951" w:type="pct"/>
          </w:tcPr>
          <w:p w:rsidRPr="00E70711" w:rsidR="00D65943" w:rsidP="00B27F17" w:rsidRDefault="00D65943" w14:paraId="2D446CE8" w14:textId="77777777">
            <w:pPr>
              <w:jc w:val="center"/>
              <w:rPr>
                <w:sz w:val="20"/>
                <w:szCs w:val="20"/>
              </w:rPr>
            </w:pPr>
            <w:r w:rsidRPr="00E70711">
              <w:rPr>
                <w:color w:val="000000"/>
                <w:sz w:val="20"/>
                <w:szCs w:val="20"/>
              </w:rPr>
              <w:t>Hours per response</w:t>
            </w:r>
          </w:p>
        </w:tc>
        <w:tc>
          <w:tcPr>
            <w:tcW w:w="1081" w:type="pct"/>
            <w:shd w:val="clear" w:color="auto" w:fill="auto"/>
            <w:tcMar>
              <w:top w:w="0" w:type="dxa"/>
              <w:left w:w="108" w:type="dxa"/>
              <w:bottom w:w="0" w:type="dxa"/>
              <w:right w:w="108" w:type="dxa"/>
            </w:tcMar>
          </w:tcPr>
          <w:p w:rsidRPr="00E70711" w:rsidR="00D65943" w:rsidP="00B27F17" w:rsidRDefault="00D65943" w14:paraId="3512BBED" w14:textId="77777777">
            <w:pPr>
              <w:jc w:val="center"/>
              <w:rPr>
                <w:sz w:val="20"/>
                <w:szCs w:val="20"/>
              </w:rPr>
            </w:pPr>
            <w:r w:rsidRPr="00E70711">
              <w:rPr>
                <w:color w:val="000000"/>
                <w:sz w:val="20"/>
                <w:szCs w:val="20"/>
              </w:rPr>
              <w:t>Total Burden hours</w:t>
            </w:r>
          </w:p>
        </w:tc>
      </w:tr>
      <w:tr w:rsidRPr="00E70711" w:rsidR="00910ECE" w:rsidTr="00C734CC" w14:paraId="11EBEA9B" w14:textId="77777777">
        <w:trPr>
          <w:trHeight w:val="217"/>
        </w:trPr>
        <w:tc>
          <w:tcPr>
            <w:tcW w:w="5000" w:type="pct"/>
            <w:gridSpan w:val="5"/>
            <w:shd w:val="clear" w:color="auto" w:fill="auto"/>
            <w:tcMar>
              <w:top w:w="0" w:type="dxa"/>
              <w:left w:w="108" w:type="dxa"/>
              <w:bottom w:w="0" w:type="dxa"/>
              <w:right w:w="108" w:type="dxa"/>
            </w:tcMar>
          </w:tcPr>
          <w:p w:rsidRPr="00E70711" w:rsidR="00910ECE" w:rsidP="00910ECE" w:rsidRDefault="00910ECE" w14:paraId="055B12C6" w14:textId="1FB63A7B">
            <w:pPr>
              <w:rPr>
                <w:b/>
                <w:color w:val="000000"/>
                <w:sz w:val="20"/>
                <w:szCs w:val="20"/>
              </w:rPr>
            </w:pPr>
            <w:r w:rsidRPr="00E70711">
              <w:rPr>
                <w:b/>
                <w:bCs/>
                <w:color w:val="000000"/>
                <w:sz w:val="20"/>
                <w:szCs w:val="20"/>
              </w:rPr>
              <w:t xml:space="preserve">Survey of Patient Safety Culture </w:t>
            </w:r>
          </w:p>
        </w:tc>
      </w:tr>
      <w:tr w:rsidRPr="00E70711" w:rsidR="00910ECE" w:rsidTr="00E007FA" w14:paraId="3E13CC64" w14:textId="77777777">
        <w:trPr>
          <w:trHeight w:val="1104"/>
        </w:trPr>
        <w:tc>
          <w:tcPr>
            <w:tcW w:w="1393" w:type="pct"/>
            <w:shd w:val="clear" w:color="auto" w:fill="auto"/>
            <w:tcMar>
              <w:top w:w="0" w:type="dxa"/>
              <w:left w:w="108" w:type="dxa"/>
              <w:bottom w:w="0" w:type="dxa"/>
              <w:right w:w="108" w:type="dxa"/>
            </w:tcMar>
          </w:tcPr>
          <w:p w:rsidRPr="00E70711" w:rsidR="00910ECE" w:rsidP="00910ECE" w:rsidRDefault="00910ECE" w14:paraId="6A786574" w14:textId="7BD14959">
            <w:pPr>
              <w:pStyle w:val="ColorfulList-Accent11"/>
              <w:ind w:left="229"/>
              <w:rPr>
                <w:bCs/>
                <w:color w:val="000000"/>
                <w:sz w:val="20"/>
                <w:szCs w:val="20"/>
              </w:rPr>
            </w:pPr>
            <w:r w:rsidRPr="00E70711">
              <w:rPr>
                <w:bCs/>
                <w:color w:val="000000"/>
                <w:sz w:val="20"/>
                <w:szCs w:val="20"/>
              </w:rPr>
              <w:t xml:space="preserve">HSOPS </w:t>
            </w:r>
            <w:r w:rsidR="00791178">
              <w:rPr>
                <w:bCs/>
                <w:color w:val="000000"/>
                <w:sz w:val="20"/>
                <w:szCs w:val="20"/>
              </w:rPr>
              <w:t xml:space="preserve">(Attachment </w:t>
            </w:r>
            <w:r w:rsidRPr="00F820C2" w:rsidR="006607D6">
              <w:rPr>
                <w:bCs/>
                <w:color w:val="000000"/>
                <w:sz w:val="20"/>
                <w:szCs w:val="20"/>
              </w:rPr>
              <w:t>H</w:t>
            </w:r>
            <w:r w:rsidR="00791178">
              <w:rPr>
                <w:bCs/>
                <w:color w:val="000000"/>
                <w:sz w:val="20"/>
                <w:szCs w:val="20"/>
              </w:rPr>
              <w:t>)</w:t>
            </w:r>
          </w:p>
          <w:p w:rsidRPr="00E70711" w:rsidR="00910ECE" w:rsidRDefault="00910ECE" w14:paraId="0029811F" w14:textId="2F03295B">
            <w:pPr>
              <w:pStyle w:val="ColorfulList-Accent11"/>
              <w:ind w:left="0" w:firstLine="319"/>
              <w:rPr>
                <w:sz w:val="20"/>
                <w:szCs w:val="20"/>
              </w:rPr>
            </w:pPr>
            <w:r w:rsidRPr="00E70711">
              <w:rPr>
                <w:bCs/>
                <w:i/>
                <w:color w:val="000000"/>
                <w:sz w:val="20"/>
                <w:szCs w:val="20"/>
              </w:rPr>
              <w:t>(25 respondents per unit,</w:t>
            </w:r>
            <w:r w:rsidR="00EA6041">
              <w:rPr>
                <w:bCs/>
                <w:i/>
                <w:color w:val="000000"/>
                <w:sz w:val="20"/>
                <w:szCs w:val="20"/>
              </w:rPr>
              <w:t xml:space="preserve"> </w:t>
            </w:r>
            <w:r w:rsidRPr="00E70711">
              <w:rPr>
                <w:bCs/>
                <w:i/>
                <w:color w:val="000000"/>
                <w:sz w:val="20"/>
                <w:szCs w:val="20"/>
              </w:rPr>
              <w:t>pre- and post-</w:t>
            </w:r>
            <w:r w:rsidRPr="00F820C2" w:rsidR="00965F68">
              <w:rPr>
                <w:bCs/>
                <w:i/>
                <w:color w:val="000000"/>
                <w:sz w:val="20"/>
                <w:szCs w:val="20"/>
              </w:rPr>
              <w:t>implementation</w:t>
            </w:r>
            <w:r w:rsidRPr="00E70711">
              <w:rPr>
                <w:bCs/>
                <w:i/>
                <w:color w:val="000000"/>
                <w:sz w:val="20"/>
                <w:szCs w:val="20"/>
              </w:rPr>
              <w:t xml:space="preserve"> for ICU</w:t>
            </w:r>
            <w:r w:rsidR="00EA6041">
              <w:rPr>
                <w:bCs/>
                <w:i/>
                <w:color w:val="000000"/>
                <w:sz w:val="20"/>
                <w:szCs w:val="20"/>
              </w:rPr>
              <w:t xml:space="preserve"> (400)</w:t>
            </w:r>
            <w:r w:rsidRPr="00E70711">
              <w:rPr>
                <w:bCs/>
                <w:i/>
                <w:color w:val="000000"/>
                <w:sz w:val="20"/>
                <w:szCs w:val="20"/>
              </w:rPr>
              <w:t>, non-ICU</w:t>
            </w:r>
            <w:r w:rsidR="00EA6041">
              <w:rPr>
                <w:bCs/>
                <w:i/>
                <w:color w:val="000000"/>
                <w:sz w:val="20"/>
                <w:szCs w:val="20"/>
              </w:rPr>
              <w:t xml:space="preserve"> (400)</w:t>
            </w:r>
            <w:r w:rsidRPr="00E70711">
              <w:rPr>
                <w:bCs/>
                <w:i/>
                <w:color w:val="000000"/>
                <w:sz w:val="20"/>
                <w:szCs w:val="20"/>
              </w:rPr>
              <w:t xml:space="preserve">, and surgical </w:t>
            </w:r>
            <w:r w:rsidR="00EA6041">
              <w:rPr>
                <w:bCs/>
                <w:i/>
                <w:color w:val="000000"/>
                <w:sz w:val="20"/>
                <w:szCs w:val="20"/>
              </w:rPr>
              <w:t xml:space="preserve">(300) </w:t>
            </w:r>
            <w:r w:rsidRPr="00E70711">
              <w:rPr>
                <w:bCs/>
                <w:i/>
                <w:color w:val="000000"/>
                <w:sz w:val="20"/>
                <w:szCs w:val="20"/>
              </w:rPr>
              <w:t>cohorts</w:t>
            </w:r>
            <w:r w:rsidR="00EA6041">
              <w:rPr>
                <w:bCs/>
                <w:i/>
                <w:color w:val="000000"/>
                <w:sz w:val="20"/>
                <w:szCs w:val="20"/>
              </w:rPr>
              <w:t xml:space="preserve">, 1,100 </w:t>
            </w:r>
            <w:r w:rsidR="00E32106">
              <w:rPr>
                <w:bCs/>
                <w:i/>
                <w:color w:val="000000"/>
                <w:sz w:val="20"/>
                <w:szCs w:val="20"/>
              </w:rPr>
              <w:t>units</w:t>
            </w:r>
            <w:r w:rsidR="00EA6041">
              <w:rPr>
                <w:bCs/>
                <w:i/>
                <w:color w:val="000000"/>
                <w:sz w:val="20"/>
                <w:szCs w:val="20"/>
              </w:rPr>
              <w:t xml:space="preserve"> total</w:t>
            </w:r>
            <w:r w:rsidRPr="00E70711">
              <w:rPr>
                <w:bCs/>
                <w:i/>
                <w:color w:val="000000"/>
                <w:sz w:val="20"/>
                <w:szCs w:val="20"/>
              </w:rPr>
              <w:t>)</w:t>
            </w:r>
          </w:p>
        </w:tc>
        <w:tc>
          <w:tcPr>
            <w:tcW w:w="941" w:type="pct"/>
            <w:shd w:val="clear" w:color="auto" w:fill="auto"/>
            <w:tcMar>
              <w:top w:w="0" w:type="dxa"/>
              <w:left w:w="108" w:type="dxa"/>
              <w:bottom w:w="0" w:type="dxa"/>
              <w:right w:w="108" w:type="dxa"/>
            </w:tcMar>
          </w:tcPr>
          <w:p w:rsidRPr="00E70711" w:rsidR="00910ECE" w:rsidP="00910ECE" w:rsidRDefault="00910ECE" w14:paraId="534B30F1" w14:textId="624F8CA4">
            <w:pPr>
              <w:jc w:val="center"/>
              <w:rPr>
                <w:sz w:val="20"/>
                <w:szCs w:val="20"/>
              </w:rPr>
            </w:pPr>
            <w:r w:rsidRPr="00E70711">
              <w:rPr>
                <w:sz w:val="20"/>
                <w:szCs w:val="20"/>
              </w:rPr>
              <w:t>9,167</w:t>
            </w:r>
          </w:p>
        </w:tc>
        <w:tc>
          <w:tcPr>
            <w:tcW w:w="634" w:type="pct"/>
            <w:shd w:val="clear" w:color="auto" w:fill="auto"/>
            <w:tcMar>
              <w:top w:w="0" w:type="dxa"/>
              <w:left w:w="108" w:type="dxa"/>
              <w:bottom w:w="0" w:type="dxa"/>
              <w:right w:w="108" w:type="dxa"/>
            </w:tcMar>
          </w:tcPr>
          <w:p w:rsidRPr="00E70711" w:rsidR="00910ECE" w:rsidP="00910ECE" w:rsidRDefault="00910ECE" w14:paraId="06A16D9D" w14:textId="6B29D5F5">
            <w:pPr>
              <w:jc w:val="center"/>
              <w:rPr>
                <w:sz w:val="20"/>
                <w:szCs w:val="20"/>
              </w:rPr>
            </w:pPr>
            <w:r w:rsidRPr="00E70711">
              <w:rPr>
                <w:sz w:val="20"/>
                <w:szCs w:val="20"/>
              </w:rPr>
              <w:t>2</w:t>
            </w:r>
          </w:p>
        </w:tc>
        <w:tc>
          <w:tcPr>
            <w:tcW w:w="951" w:type="pct"/>
          </w:tcPr>
          <w:p w:rsidRPr="00E70711" w:rsidR="00910ECE" w:rsidP="00910ECE" w:rsidRDefault="00910ECE" w14:paraId="79F6DCA6" w14:textId="3F020B18">
            <w:pPr>
              <w:jc w:val="center"/>
              <w:rPr>
                <w:sz w:val="20"/>
                <w:szCs w:val="20"/>
              </w:rPr>
            </w:pPr>
            <w:r w:rsidRPr="005663A4">
              <w:rPr>
                <w:sz w:val="20"/>
                <w:szCs w:val="20"/>
              </w:rPr>
              <w:t>0.25</w:t>
            </w:r>
          </w:p>
        </w:tc>
        <w:tc>
          <w:tcPr>
            <w:tcW w:w="1081" w:type="pct"/>
            <w:shd w:val="clear" w:color="auto" w:fill="auto"/>
            <w:tcMar>
              <w:top w:w="0" w:type="dxa"/>
              <w:left w:w="108" w:type="dxa"/>
              <w:bottom w:w="0" w:type="dxa"/>
              <w:right w:w="108" w:type="dxa"/>
            </w:tcMar>
          </w:tcPr>
          <w:p w:rsidRPr="00E70711" w:rsidR="00910ECE" w:rsidP="00910ECE" w:rsidRDefault="00910ECE" w14:paraId="0E7BCA7D" w14:textId="4C762866">
            <w:pPr>
              <w:jc w:val="center"/>
              <w:rPr>
                <w:sz w:val="20"/>
                <w:szCs w:val="20"/>
              </w:rPr>
            </w:pPr>
            <w:r w:rsidRPr="00E70711">
              <w:rPr>
                <w:sz w:val="20"/>
                <w:szCs w:val="20"/>
              </w:rPr>
              <w:t>4,58</w:t>
            </w:r>
            <w:r w:rsidR="008D7C14">
              <w:rPr>
                <w:sz w:val="20"/>
                <w:szCs w:val="20"/>
              </w:rPr>
              <w:t>4</w:t>
            </w:r>
          </w:p>
        </w:tc>
      </w:tr>
      <w:tr w:rsidRPr="00E70711" w:rsidR="00910ECE" w:rsidTr="00E007FA" w14:paraId="1EC69CB1" w14:textId="77777777">
        <w:trPr>
          <w:trHeight w:val="1104"/>
        </w:trPr>
        <w:tc>
          <w:tcPr>
            <w:tcW w:w="1393" w:type="pct"/>
            <w:shd w:val="clear" w:color="auto" w:fill="auto"/>
            <w:tcMar>
              <w:top w:w="0" w:type="dxa"/>
              <w:left w:w="108" w:type="dxa"/>
              <w:bottom w:w="0" w:type="dxa"/>
              <w:right w:w="108" w:type="dxa"/>
            </w:tcMar>
          </w:tcPr>
          <w:p w:rsidRPr="00E70711" w:rsidR="00910ECE" w:rsidP="00910ECE" w:rsidRDefault="00910ECE" w14:paraId="4C85F720" w14:textId="26F7E49A">
            <w:pPr>
              <w:pStyle w:val="ColorfulList-Accent11"/>
              <w:ind w:left="229"/>
              <w:rPr>
                <w:bCs/>
                <w:color w:val="000000"/>
                <w:sz w:val="20"/>
                <w:szCs w:val="20"/>
              </w:rPr>
            </w:pPr>
            <w:r w:rsidRPr="00E70711">
              <w:rPr>
                <w:bCs/>
                <w:color w:val="000000"/>
                <w:sz w:val="20"/>
                <w:szCs w:val="20"/>
              </w:rPr>
              <w:t xml:space="preserve">NHSOPS </w:t>
            </w:r>
            <w:r w:rsidR="00791178">
              <w:rPr>
                <w:bCs/>
                <w:color w:val="000000"/>
                <w:sz w:val="20"/>
                <w:szCs w:val="20"/>
              </w:rPr>
              <w:t xml:space="preserve">(Attachment </w:t>
            </w:r>
            <w:r w:rsidRPr="00F820C2" w:rsidR="006607D6">
              <w:rPr>
                <w:bCs/>
                <w:color w:val="000000"/>
                <w:sz w:val="20"/>
                <w:szCs w:val="20"/>
              </w:rPr>
              <w:t>I</w:t>
            </w:r>
            <w:r w:rsidR="00791178">
              <w:rPr>
                <w:bCs/>
                <w:color w:val="000000"/>
                <w:sz w:val="20"/>
                <w:szCs w:val="20"/>
              </w:rPr>
              <w:t>)</w:t>
            </w:r>
          </w:p>
          <w:p w:rsidRPr="00E70711" w:rsidR="00910ECE" w:rsidDel="00910ECE" w:rsidRDefault="00910ECE" w14:paraId="2B3AE7CC" w14:textId="364759A0">
            <w:pPr>
              <w:pStyle w:val="ColorfulList-Accent11"/>
              <w:ind w:left="0" w:firstLine="319"/>
              <w:rPr>
                <w:sz w:val="20"/>
                <w:szCs w:val="20"/>
              </w:rPr>
            </w:pPr>
            <w:r w:rsidRPr="00E70711">
              <w:rPr>
                <w:bCs/>
                <w:i/>
                <w:color w:val="000000"/>
                <w:sz w:val="20"/>
                <w:szCs w:val="20"/>
              </w:rPr>
              <w:t xml:space="preserve">(25 respondents per facility, </w:t>
            </w:r>
            <w:r w:rsidR="001D56BD">
              <w:rPr>
                <w:bCs/>
                <w:i/>
                <w:color w:val="000000"/>
                <w:sz w:val="20"/>
                <w:szCs w:val="20"/>
              </w:rPr>
              <w:t xml:space="preserve">one response per </w:t>
            </w:r>
            <w:r w:rsidRPr="00E70711">
              <w:rPr>
                <w:bCs/>
                <w:i/>
                <w:color w:val="000000"/>
                <w:sz w:val="20"/>
                <w:szCs w:val="20"/>
              </w:rPr>
              <w:t>pre- and post-</w:t>
            </w:r>
            <w:r w:rsidRPr="00F820C2" w:rsidR="00965F68">
              <w:rPr>
                <w:bCs/>
                <w:i/>
                <w:color w:val="000000"/>
                <w:sz w:val="20"/>
                <w:szCs w:val="20"/>
              </w:rPr>
              <w:t>implementation</w:t>
            </w:r>
            <w:r w:rsidRPr="00E70711">
              <w:rPr>
                <w:bCs/>
                <w:i/>
                <w:color w:val="000000"/>
                <w:sz w:val="20"/>
                <w:szCs w:val="20"/>
              </w:rPr>
              <w:t xml:space="preserve"> for LTC cohort</w:t>
            </w:r>
            <w:r w:rsidR="00EA6041">
              <w:rPr>
                <w:bCs/>
                <w:i/>
                <w:color w:val="000000"/>
                <w:sz w:val="20"/>
                <w:szCs w:val="20"/>
              </w:rPr>
              <w:t xml:space="preserve">, 300 </w:t>
            </w:r>
            <w:r w:rsidR="00E32106">
              <w:rPr>
                <w:bCs/>
                <w:i/>
                <w:color w:val="000000"/>
                <w:sz w:val="20"/>
                <w:szCs w:val="20"/>
              </w:rPr>
              <w:t>facilities</w:t>
            </w:r>
            <w:r w:rsidR="00EA6041">
              <w:rPr>
                <w:bCs/>
                <w:i/>
                <w:color w:val="000000"/>
                <w:sz w:val="20"/>
                <w:szCs w:val="20"/>
              </w:rPr>
              <w:t xml:space="preserve"> total</w:t>
            </w:r>
            <w:r w:rsidRPr="00E70711">
              <w:rPr>
                <w:bCs/>
                <w:i/>
                <w:color w:val="000000"/>
                <w:sz w:val="20"/>
                <w:szCs w:val="20"/>
              </w:rPr>
              <w:t>)</w:t>
            </w:r>
          </w:p>
        </w:tc>
        <w:tc>
          <w:tcPr>
            <w:tcW w:w="941" w:type="pct"/>
            <w:shd w:val="clear" w:color="auto" w:fill="auto"/>
            <w:tcMar>
              <w:top w:w="0" w:type="dxa"/>
              <w:left w:w="108" w:type="dxa"/>
              <w:bottom w:w="0" w:type="dxa"/>
              <w:right w:w="108" w:type="dxa"/>
            </w:tcMar>
          </w:tcPr>
          <w:p w:rsidRPr="00E70711" w:rsidR="00910ECE" w:rsidDel="00910ECE" w:rsidP="00910ECE" w:rsidRDefault="00910ECE" w14:paraId="0DDB3802" w14:textId="4C5DEA3C">
            <w:pPr>
              <w:jc w:val="center"/>
              <w:rPr>
                <w:sz w:val="20"/>
                <w:szCs w:val="20"/>
              </w:rPr>
            </w:pPr>
            <w:r w:rsidRPr="00E70711">
              <w:rPr>
                <w:sz w:val="20"/>
                <w:szCs w:val="20"/>
              </w:rPr>
              <w:t>2,500</w:t>
            </w:r>
          </w:p>
        </w:tc>
        <w:tc>
          <w:tcPr>
            <w:tcW w:w="634" w:type="pct"/>
            <w:shd w:val="clear" w:color="auto" w:fill="auto"/>
            <w:tcMar>
              <w:top w:w="0" w:type="dxa"/>
              <w:left w:w="108" w:type="dxa"/>
              <w:bottom w:w="0" w:type="dxa"/>
              <w:right w:w="108" w:type="dxa"/>
            </w:tcMar>
          </w:tcPr>
          <w:p w:rsidRPr="00E70711" w:rsidR="00910ECE" w:rsidDel="00910ECE" w:rsidP="00910ECE" w:rsidRDefault="00910ECE" w14:paraId="2E004F5D" w14:textId="49EFDA76">
            <w:pPr>
              <w:jc w:val="center"/>
              <w:rPr>
                <w:sz w:val="20"/>
                <w:szCs w:val="20"/>
              </w:rPr>
            </w:pPr>
            <w:r w:rsidRPr="00E70711">
              <w:rPr>
                <w:sz w:val="20"/>
                <w:szCs w:val="20"/>
              </w:rPr>
              <w:t>2</w:t>
            </w:r>
          </w:p>
        </w:tc>
        <w:tc>
          <w:tcPr>
            <w:tcW w:w="951" w:type="pct"/>
          </w:tcPr>
          <w:p w:rsidRPr="00E70711" w:rsidR="00910ECE" w:rsidDel="00910ECE" w:rsidP="00910ECE" w:rsidRDefault="00910ECE" w14:paraId="5CF163D2" w14:textId="119CB278">
            <w:pPr>
              <w:jc w:val="center"/>
              <w:rPr>
                <w:sz w:val="20"/>
                <w:szCs w:val="20"/>
              </w:rPr>
            </w:pPr>
            <w:r w:rsidRPr="00E70711">
              <w:rPr>
                <w:sz w:val="20"/>
                <w:szCs w:val="20"/>
              </w:rPr>
              <w:t>0.25</w:t>
            </w:r>
          </w:p>
        </w:tc>
        <w:tc>
          <w:tcPr>
            <w:tcW w:w="1081" w:type="pct"/>
            <w:shd w:val="clear" w:color="auto" w:fill="auto"/>
            <w:tcMar>
              <w:top w:w="0" w:type="dxa"/>
              <w:left w:w="108" w:type="dxa"/>
              <w:bottom w:w="0" w:type="dxa"/>
              <w:right w:w="108" w:type="dxa"/>
            </w:tcMar>
          </w:tcPr>
          <w:p w:rsidRPr="00E70711" w:rsidR="00910ECE" w:rsidDel="00910ECE" w:rsidP="00910ECE" w:rsidRDefault="00910ECE" w14:paraId="338F629B" w14:textId="437751A7">
            <w:pPr>
              <w:jc w:val="center"/>
              <w:rPr>
                <w:sz w:val="20"/>
                <w:szCs w:val="20"/>
              </w:rPr>
            </w:pPr>
            <w:r w:rsidRPr="00E70711">
              <w:rPr>
                <w:sz w:val="20"/>
                <w:szCs w:val="20"/>
              </w:rPr>
              <w:t>1,250</w:t>
            </w:r>
          </w:p>
        </w:tc>
      </w:tr>
      <w:tr w:rsidRPr="00E70711" w:rsidR="003374C8" w:rsidTr="00C734CC" w14:paraId="27106AB0" w14:textId="77777777">
        <w:trPr>
          <w:trHeight w:val="217"/>
        </w:trPr>
        <w:tc>
          <w:tcPr>
            <w:tcW w:w="5000" w:type="pct"/>
            <w:gridSpan w:val="5"/>
            <w:shd w:val="clear" w:color="auto" w:fill="auto"/>
            <w:tcMar>
              <w:top w:w="0" w:type="dxa"/>
              <w:left w:w="108" w:type="dxa"/>
              <w:bottom w:w="0" w:type="dxa"/>
              <w:right w:w="108" w:type="dxa"/>
            </w:tcMar>
          </w:tcPr>
          <w:p w:rsidRPr="00E70711" w:rsidR="003374C8" w:rsidP="003374C8" w:rsidRDefault="00910ECE" w14:paraId="64803F7C" w14:textId="10C14CA0">
            <w:pPr>
              <w:rPr>
                <w:b/>
                <w:sz w:val="20"/>
                <w:szCs w:val="20"/>
              </w:rPr>
            </w:pPr>
            <w:r w:rsidRPr="00E70711">
              <w:rPr>
                <w:b/>
                <w:sz w:val="20"/>
                <w:szCs w:val="20"/>
              </w:rPr>
              <w:t xml:space="preserve">Infrastructure </w:t>
            </w:r>
            <w:r w:rsidRPr="00E70711" w:rsidR="003374C8">
              <w:rPr>
                <w:b/>
                <w:sz w:val="20"/>
                <w:szCs w:val="20"/>
              </w:rPr>
              <w:t>Assessment</w:t>
            </w:r>
          </w:p>
        </w:tc>
      </w:tr>
      <w:tr w:rsidRPr="00E70711" w:rsidR="003374C8" w:rsidTr="00E007FA" w14:paraId="629E6B16" w14:textId="77777777">
        <w:trPr>
          <w:trHeight w:val="1104"/>
        </w:trPr>
        <w:tc>
          <w:tcPr>
            <w:tcW w:w="1393" w:type="pct"/>
            <w:shd w:val="clear" w:color="auto" w:fill="auto"/>
            <w:tcMar>
              <w:top w:w="0" w:type="dxa"/>
              <w:left w:w="108" w:type="dxa"/>
              <w:bottom w:w="0" w:type="dxa"/>
              <w:right w:w="108" w:type="dxa"/>
            </w:tcMar>
          </w:tcPr>
          <w:p w:rsidRPr="00E70711" w:rsidR="003374C8" w:rsidP="003374C8" w:rsidRDefault="00910ECE" w14:paraId="561A21C1" w14:textId="3CCD2840">
            <w:pPr>
              <w:pStyle w:val="ColorfulList-Accent11"/>
              <w:tabs>
                <w:tab w:val="left" w:pos="229"/>
              </w:tabs>
              <w:ind w:left="229"/>
              <w:rPr>
                <w:sz w:val="20"/>
                <w:szCs w:val="20"/>
              </w:rPr>
            </w:pPr>
            <w:r w:rsidRPr="00E70711">
              <w:rPr>
                <w:sz w:val="20"/>
                <w:szCs w:val="20"/>
              </w:rPr>
              <w:t>Gap Analysis</w:t>
            </w:r>
            <w:r w:rsidR="00791178">
              <w:rPr>
                <w:sz w:val="20"/>
                <w:szCs w:val="20"/>
              </w:rPr>
              <w:t xml:space="preserve"> (Attachments B-D)</w:t>
            </w:r>
          </w:p>
          <w:p w:rsidRPr="00E70711" w:rsidR="003374C8" w:rsidRDefault="003374C8" w14:paraId="2BF30047" w14:textId="6A462CDC">
            <w:pPr>
              <w:pStyle w:val="ColorfulList-Accent11"/>
              <w:ind w:left="319"/>
              <w:rPr>
                <w:i/>
                <w:sz w:val="20"/>
                <w:szCs w:val="20"/>
              </w:rPr>
            </w:pPr>
            <w:r w:rsidRPr="00E70711">
              <w:rPr>
                <w:i/>
                <w:sz w:val="20"/>
                <w:szCs w:val="20"/>
              </w:rPr>
              <w:t>(</w:t>
            </w:r>
            <w:r w:rsidR="00EA6041">
              <w:rPr>
                <w:i/>
                <w:sz w:val="20"/>
                <w:szCs w:val="20"/>
              </w:rPr>
              <w:t xml:space="preserve">1 assessment per </w:t>
            </w:r>
            <w:r w:rsidRPr="00E70711">
              <w:rPr>
                <w:i/>
                <w:sz w:val="20"/>
                <w:szCs w:val="20"/>
              </w:rPr>
              <w:t xml:space="preserve">unit or facility, </w:t>
            </w:r>
            <w:r w:rsidRPr="00E70711" w:rsidR="00A96343">
              <w:rPr>
                <w:i/>
                <w:sz w:val="20"/>
                <w:szCs w:val="20"/>
              </w:rPr>
              <w:t>pre</w:t>
            </w:r>
            <w:r w:rsidR="00EA6041">
              <w:rPr>
                <w:i/>
                <w:sz w:val="20"/>
                <w:szCs w:val="20"/>
              </w:rPr>
              <w:t xml:space="preserve"> </w:t>
            </w:r>
            <w:r w:rsidRPr="00E70711" w:rsidR="00910ECE">
              <w:rPr>
                <w:i/>
                <w:sz w:val="20"/>
                <w:szCs w:val="20"/>
              </w:rPr>
              <w:t>and post-</w:t>
            </w:r>
            <w:r w:rsidRPr="00F820C2" w:rsidR="00965F68">
              <w:rPr>
                <w:bCs/>
                <w:i/>
                <w:color w:val="000000"/>
                <w:sz w:val="20"/>
                <w:szCs w:val="20"/>
              </w:rPr>
              <w:t>implementation</w:t>
            </w:r>
            <w:r w:rsidRPr="00E70711">
              <w:rPr>
                <w:i/>
                <w:sz w:val="20"/>
                <w:szCs w:val="20"/>
              </w:rPr>
              <w:t xml:space="preserve"> for all four cohorts</w:t>
            </w:r>
            <w:r w:rsidR="00EA6041">
              <w:rPr>
                <w:i/>
                <w:sz w:val="20"/>
                <w:szCs w:val="20"/>
              </w:rPr>
              <w:t>, 1,400 sites total</w:t>
            </w:r>
            <w:r w:rsidRPr="00E70711">
              <w:rPr>
                <w:i/>
                <w:sz w:val="20"/>
                <w:szCs w:val="20"/>
              </w:rPr>
              <w:t>)</w:t>
            </w:r>
          </w:p>
        </w:tc>
        <w:tc>
          <w:tcPr>
            <w:tcW w:w="941" w:type="pct"/>
            <w:shd w:val="clear" w:color="auto" w:fill="auto"/>
            <w:tcMar>
              <w:top w:w="0" w:type="dxa"/>
              <w:left w:w="108" w:type="dxa"/>
              <w:bottom w:w="0" w:type="dxa"/>
              <w:right w:w="108" w:type="dxa"/>
            </w:tcMar>
          </w:tcPr>
          <w:p w:rsidRPr="00E70711" w:rsidR="003374C8" w:rsidP="003374C8" w:rsidRDefault="003374C8" w14:paraId="245E747E" w14:textId="32DB7807">
            <w:pPr>
              <w:jc w:val="center"/>
              <w:rPr>
                <w:sz w:val="20"/>
                <w:szCs w:val="20"/>
              </w:rPr>
            </w:pPr>
            <w:r w:rsidRPr="00E70711">
              <w:rPr>
                <w:sz w:val="20"/>
                <w:szCs w:val="20"/>
              </w:rPr>
              <w:t>467</w:t>
            </w:r>
          </w:p>
        </w:tc>
        <w:tc>
          <w:tcPr>
            <w:tcW w:w="634" w:type="pct"/>
            <w:shd w:val="clear" w:color="auto" w:fill="auto"/>
            <w:tcMar>
              <w:top w:w="0" w:type="dxa"/>
              <w:left w:w="108" w:type="dxa"/>
              <w:bottom w:w="0" w:type="dxa"/>
              <w:right w:w="108" w:type="dxa"/>
            </w:tcMar>
          </w:tcPr>
          <w:p w:rsidRPr="00E70711" w:rsidR="003374C8" w:rsidP="003374C8" w:rsidRDefault="00381A46" w14:paraId="56A7D14D" w14:textId="27318D72">
            <w:pPr>
              <w:jc w:val="center"/>
              <w:rPr>
                <w:sz w:val="20"/>
                <w:szCs w:val="20"/>
              </w:rPr>
            </w:pPr>
            <w:r w:rsidRPr="00E70711">
              <w:rPr>
                <w:sz w:val="20"/>
                <w:szCs w:val="20"/>
              </w:rPr>
              <w:t>2</w:t>
            </w:r>
          </w:p>
        </w:tc>
        <w:tc>
          <w:tcPr>
            <w:tcW w:w="951" w:type="pct"/>
          </w:tcPr>
          <w:p w:rsidRPr="00E70711" w:rsidR="003374C8" w:rsidP="003374C8" w:rsidRDefault="002F2F6F" w14:paraId="7F155468" w14:textId="76E281B7">
            <w:pPr>
              <w:jc w:val="center"/>
              <w:rPr>
                <w:sz w:val="20"/>
                <w:szCs w:val="20"/>
              </w:rPr>
            </w:pPr>
            <w:r>
              <w:rPr>
                <w:sz w:val="20"/>
                <w:szCs w:val="20"/>
              </w:rPr>
              <w:t>1</w:t>
            </w:r>
          </w:p>
        </w:tc>
        <w:tc>
          <w:tcPr>
            <w:tcW w:w="1081" w:type="pct"/>
            <w:shd w:val="clear" w:color="auto" w:fill="auto"/>
            <w:tcMar>
              <w:top w:w="0" w:type="dxa"/>
              <w:left w:w="108" w:type="dxa"/>
              <w:bottom w:w="0" w:type="dxa"/>
              <w:right w:w="108" w:type="dxa"/>
            </w:tcMar>
          </w:tcPr>
          <w:p w:rsidRPr="00E70711" w:rsidR="003374C8" w:rsidP="003374C8" w:rsidRDefault="002F2F6F" w14:paraId="70540706" w14:textId="49710AA1">
            <w:pPr>
              <w:jc w:val="center"/>
              <w:rPr>
                <w:sz w:val="20"/>
                <w:szCs w:val="20"/>
              </w:rPr>
            </w:pPr>
            <w:r>
              <w:rPr>
                <w:sz w:val="20"/>
                <w:szCs w:val="20"/>
              </w:rPr>
              <w:t>9</w:t>
            </w:r>
            <w:r w:rsidRPr="00E70711" w:rsidR="00381A46">
              <w:rPr>
                <w:sz w:val="20"/>
                <w:szCs w:val="20"/>
              </w:rPr>
              <w:t>3</w:t>
            </w:r>
            <w:r w:rsidR="008D7C14">
              <w:rPr>
                <w:sz w:val="20"/>
                <w:szCs w:val="20"/>
              </w:rPr>
              <w:t>4</w:t>
            </w:r>
          </w:p>
        </w:tc>
      </w:tr>
      <w:tr w:rsidRPr="00E70711" w:rsidR="003374C8" w:rsidTr="00C734CC" w14:paraId="0DA8CE53" w14:textId="77777777">
        <w:trPr>
          <w:trHeight w:val="217"/>
        </w:trPr>
        <w:tc>
          <w:tcPr>
            <w:tcW w:w="5000" w:type="pct"/>
            <w:gridSpan w:val="5"/>
            <w:shd w:val="clear" w:color="auto" w:fill="auto"/>
            <w:tcMar>
              <w:top w:w="0" w:type="dxa"/>
              <w:left w:w="108" w:type="dxa"/>
              <w:bottom w:w="0" w:type="dxa"/>
              <w:right w:w="108" w:type="dxa"/>
            </w:tcMar>
          </w:tcPr>
          <w:p w:rsidRPr="00E70711" w:rsidR="003374C8" w:rsidP="003374C8" w:rsidRDefault="003374C8" w14:paraId="4A467FFC" w14:textId="6220DEA5">
            <w:pPr>
              <w:rPr>
                <w:b/>
                <w:sz w:val="20"/>
                <w:szCs w:val="20"/>
              </w:rPr>
            </w:pPr>
            <w:r w:rsidRPr="00E70711">
              <w:rPr>
                <w:b/>
                <w:sz w:val="20"/>
                <w:szCs w:val="20"/>
              </w:rPr>
              <w:t xml:space="preserve">Implementation Assessments: </w:t>
            </w:r>
          </w:p>
        </w:tc>
      </w:tr>
      <w:tr w:rsidRPr="00E70711" w:rsidR="00BB0E0F" w:rsidTr="00E007FA" w14:paraId="4BD91ED4" w14:textId="77777777">
        <w:trPr>
          <w:trHeight w:val="1313"/>
        </w:trPr>
        <w:tc>
          <w:tcPr>
            <w:tcW w:w="1393" w:type="pct"/>
            <w:shd w:val="clear" w:color="auto" w:fill="auto"/>
            <w:tcMar>
              <w:top w:w="0" w:type="dxa"/>
              <w:left w:w="108" w:type="dxa"/>
              <w:bottom w:w="0" w:type="dxa"/>
              <w:right w:w="108" w:type="dxa"/>
            </w:tcMar>
          </w:tcPr>
          <w:p w:rsidRPr="00E70711" w:rsidR="00BB0E0F" w:rsidP="00BB0E0F" w:rsidRDefault="00BB0E0F" w14:paraId="7157B89F" w14:textId="03031D37">
            <w:pPr>
              <w:pStyle w:val="ColorfulList-Accent11"/>
              <w:ind w:left="0" w:firstLine="229"/>
              <w:rPr>
                <w:bCs/>
                <w:color w:val="000000"/>
                <w:sz w:val="20"/>
                <w:szCs w:val="20"/>
              </w:rPr>
            </w:pPr>
            <w:r w:rsidRPr="00E70711">
              <w:rPr>
                <w:bCs/>
                <w:color w:val="000000"/>
                <w:sz w:val="20"/>
                <w:szCs w:val="20"/>
              </w:rPr>
              <w:lastRenderedPageBreak/>
              <w:t xml:space="preserve">Team Checkup Tool </w:t>
            </w:r>
            <w:r w:rsidR="00791178">
              <w:rPr>
                <w:bCs/>
                <w:color w:val="000000"/>
                <w:sz w:val="20"/>
                <w:szCs w:val="20"/>
              </w:rPr>
              <w:t xml:space="preserve">(Attachments </w:t>
            </w:r>
            <w:r w:rsidRPr="00F820C2" w:rsidR="006607D6">
              <w:rPr>
                <w:bCs/>
                <w:color w:val="000000"/>
                <w:sz w:val="20"/>
                <w:szCs w:val="20"/>
              </w:rPr>
              <w:t>E</w:t>
            </w:r>
            <w:r w:rsidR="00791178">
              <w:rPr>
                <w:bCs/>
                <w:color w:val="000000"/>
                <w:sz w:val="20"/>
                <w:szCs w:val="20"/>
              </w:rPr>
              <w:t xml:space="preserve"> and </w:t>
            </w:r>
            <w:r w:rsidRPr="00F820C2" w:rsidR="006607D6">
              <w:rPr>
                <w:bCs/>
                <w:color w:val="000000"/>
                <w:sz w:val="20"/>
                <w:szCs w:val="20"/>
              </w:rPr>
              <w:t>F</w:t>
            </w:r>
            <w:r w:rsidR="00791178">
              <w:rPr>
                <w:bCs/>
                <w:color w:val="000000"/>
                <w:sz w:val="20"/>
                <w:szCs w:val="20"/>
              </w:rPr>
              <w:t>)</w:t>
            </w:r>
          </w:p>
          <w:p w:rsidRPr="00E70711" w:rsidR="00BB0E0F" w:rsidP="001711B5" w:rsidRDefault="00BB0E0F" w14:paraId="0DFBDFD7" w14:textId="47EFADF1">
            <w:pPr>
              <w:pStyle w:val="ColorfulList-Accent11"/>
              <w:ind w:left="229"/>
              <w:rPr>
                <w:bCs/>
                <w:i/>
                <w:color w:val="000000"/>
                <w:sz w:val="20"/>
                <w:szCs w:val="20"/>
              </w:rPr>
            </w:pPr>
            <w:r w:rsidRPr="00E70711">
              <w:rPr>
                <w:i/>
                <w:sz w:val="20"/>
                <w:szCs w:val="20"/>
              </w:rPr>
              <w:t>(1 checklist conducted monthly during</w:t>
            </w:r>
            <w:r w:rsidR="001711B5">
              <w:rPr>
                <w:i/>
                <w:sz w:val="20"/>
                <w:szCs w:val="20"/>
              </w:rPr>
              <w:t xml:space="preserve"> the</w:t>
            </w:r>
            <w:r w:rsidRPr="00E70711">
              <w:rPr>
                <w:i/>
                <w:sz w:val="20"/>
                <w:szCs w:val="20"/>
              </w:rPr>
              <w:t xml:space="preserve"> </w:t>
            </w:r>
            <w:r w:rsidR="001711B5">
              <w:rPr>
                <w:i/>
                <w:sz w:val="20"/>
                <w:szCs w:val="20"/>
              </w:rPr>
              <w:t xml:space="preserve">18 </w:t>
            </w:r>
            <w:r w:rsidRPr="00E70711" w:rsidR="002C3CCA">
              <w:rPr>
                <w:i/>
                <w:sz w:val="20"/>
                <w:szCs w:val="20"/>
              </w:rPr>
              <w:t xml:space="preserve">months of </w:t>
            </w:r>
            <w:r w:rsidRPr="00F820C2" w:rsidR="00965F68">
              <w:rPr>
                <w:bCs/>
                <w:i/>
                <w:color w:val="000000"/>
                <w:sz w:val="20"/>
                <w:szCs w:val="20"/>
              </w:rPr>
              <w:t>implementation</w:t>
            </w:r>
            <w:r w:rsidRPr="00E70711">
              <w:rPr>
                <w:i/>
                <w:sz w:val="20"/>
                <w:szCs w:val="20"/>
              </w:rPr>
              <w:t xml:space="preserve"> for ICU, non-ICU, and Surgical cohorts</w:t>
            </w:r>
            <w:r w:rsidR="00EA6041">
              <w:rPr>
                <w:i/>
                <w:sz w:val="20"/>
                <w:szCs w:val="20"/>
              </w:rPr>
              <w:t xml:space="preserve">, 1,100 </w:t>
            </w:r>
            <w:r w:rsidR="001012C5">
              <w:rPr>
                <w:i/>
                <w:sz w:val="20"/>
                <w:szCs w:val="20"/>
              </w:rPr>
              <w:t>units</w:t>
            </w:r>
            <w:r w:rsidR="00EA6041">
              <w:rPr>
                <w:i/>
                <w:sz w:val="20"/>
                <w:szCs w:val="20"/>
              </w:rPr>
              <w:t xml:space="preserve"> total</w:t>
            </w:r>
            <w:r w:rsidRPr="00E70711">
              <w:rPr>
                <w:i/>
                <w:sz w:val="20"/>
                <w:szCs w:val="20"/>
              </w:rPr>
              <w:t>)</w:t>
            </w:r>
          </w:p>
        </w:tc>
        <w:tc>
          <w:tcPr>
            <w:tcW w:w="941" w:type="pct"/>
            <w:shd w:val="clear" w:color="auto" w:fill="auto"/>
            <w:tcMar>
              <w:top w:w="0" w:type="dxa"/>
              <w:left w:w="108" w:type="dxa"/>
              <w:bottom w:w="0" w:type="dxa"/>
              <w:right w:w="108" w:type="dxa"/>
            </w:tcMar>
          </w:tcPr>
          <w:p w:rsidRPr="00E70711" w:rsidR="00BB0E0F" w:rsidP="00BB0E0F" w:rsidRDefault="00BB0E0F" w14:paraId="12C6F674" w14:textId="6CCBA0BE">
            <w:pPr>
              <w:jc w:val="center"/>
              <w:rPr>
                <w:sz w:val="20"/>
                <w:szCs w:val="20"/>
              </w:rPr>
            </w:pPr>
            <w:r w:rsidRPr="00E70711">
              <w:rPr>
                <w:sz w:val="20"/>
                <w:szCs w:val="20"/>
              </w:rPr>
              <w:t>367</w:t>
            </w:r>
          </w:p>
        </w:tc>
        <w:tc>
          <w:tcPr>
            <w:tcW w:w="634" w:type="pct"/>
            <w:shd w:val="clear" w:color="auto" w:fill="auto"/>
            <w:tcMar>
              <w:top w:w="0" w:type="dxa"/>
              <w:left w:w="108" w:type="dxa"/>
              <w:bottom w:w="0" w:type="dxa"/>
              <w:right w:w="108" w:type="dxa"/>
            </w:tcMar>
          </w:tcPr>
          <w:p w:rsidRPr="00E70711" w:rsidR="00BB0E0F" w:rsidP="00BB0E0F" w:rsidRDefault="00BB0E0F" w14:paraId="75E96E38" w14:textId="5AE29D32">
            <w:pPr>
              <w:jc w:val="center"/>
              <w:rPr>
                <w:sz w:val="20"/>
                <w:szCs w:val="20"/>
              </w:rPr>
            </w:pPr>
            <w:r w:rsidRPr="00E70711">
              <w:rPr>
                <w:sz w:val="20"/>
                <w:szCs w:val="20"/>
              </w:rPr>
              <w:t>18</w:t>
            </w:r>
          </w:p>
        </w:tc>
        <w:tc>
          <w:tcPr>
            <w:tcW w:w="951" w:type="pct"/>
          </w:tcPr>
          <w:p w:rsidRPr="00E70711" w:rsidR="00BB0E0F" w:rsidP="00BB0E0F" w:rsidRDefault="00BB0E0F" w14:paraId="17364F62" w14:textId="78D1AA3D">
            <w:pPr>
              <w:jc w:val="center"/>
              <w:rPr>
                <w:sz w:val="20"/>
                <w:szCs w:val="20"/>
              </w:rPr>
            </w:pPr>
            <w:r w:rsidRPr="005663A4">
              <w:rPr>
                <w:sz w:val="20"/>
                <w:szCs w:val="20"/>
              </w:rPr>
              <w:t>0.17</w:t>
            </w:r>
          </w:p>
        </w:tc>
        <w:tc>
          <w:tcPr>
            <w:tcW w:w="1081" w:type="pct"/>
            <w:shd w:val="clear" w:color="auto" w:fill="auto"/>
            <w:tcMar>
              <w:top w:w="0" w:type="dxa"/>
              <w:left w:w="108" w:type="dxa"/>
              <w:bottom w:w="0" w:type="dxa"/>
              <w:right w:w="108" w:type="dxa"/>
            </w:tcMar>
          </w:tcPr>
          <w:p w:rsidRPr="00E70711" w:rsidR="00BB0E0F" w:rsidRDefault="00BB0E0F" w14:paraId="199031F4" w14:textId="085CB289">
            <w:pPr>
              <w:jc w:val="center"/>
              <w:rPr>
                <w:sz w:val="20"/>
                <w:szCs w:val="20"/>
              </w:rPr>
            </w:pPr>
            <w:r w:rsidRPr="00E70711">
              <w:rPr>
                <w:sz w:val="20"/>
                <w:szCs w:val="20"/>
              </w:rPr>
              <w:t>1,</w:t>
            </w:r>
            <w:r w:rsidRPr="00E70711" w:rsidR="002C3CCA">
              <w:rPr>
                <w:sz w:val="20"/>
                <w:szCs w:val="20"/>
              </w:rPr>
              <w:t>1</w:t>
            </w:r>
            <w:r w:rsidR="0032637E">
              <w:rPr>
                <w:sz w:val="20"/>
                <w:szCs w:val="20"/>
              </w:rPr>
              <w:t>23</w:t>
            </w:r>
          </w:p>
        </w:tc>
      </w:tr>
      <w:tr w:rsidRPr="00E70711" w:rsidR="00BB0E0F" w:rsidTr="00E007FA" w14:paraId="5F46F234" w14:textId="77777777">
        <w:trPr>
          <w:trHeight w:val="1104"/>
        </w:trPr>
        <w:tc>
          <w:tcPr>
            <w:tcW w:w="1393" w:type="pct"/>
            <w:shd w:val="clear" w:color="auto" w:fill="auto"/>
            <w:tcMar>
              <w:top w:w="0" w:type="dxa"/>
              <w:left w:w="108" w:type="dxa"/>
              <w:bottom w:w="0" w:type="dxa"/>
              <w:right w:w="108" w:type="dxa"/>
            </w:tcMar>
          </w:tcPr>
          <w:p w:rsidRPr="00E70711" w:rsidR="00BB0E0F" w:rsidP="00BB0E0F" w:rsidRDefault="00BB0E0F" w14:paraId="74BEF561" w14:textId="298475D0">
            <w:pPr>
              <w:pStyle w:val="ColorfulList-Accent11"/>
              <w:ind w:left="0" w:firstLine="229"/>
              <w:rPr>
                <w:bCs/>
                <w:color w:val="000000"/>
                <w:sz w:val="20"/>
                <w:szCs w:val="20"/>
              </w:rPr>
            </w:pPr>
            <w:r w:rsidRPr="00E70711">
              <w:rPr>
                <w:bCs/>
                <w:color w:val="000000"/>
                <w:sz w:val="20"/>
                <w:szCs w:val="20"/>
              </w:rPr>
              <w:t xml:space="preserve">Team Checkup Tool </w:t>
            </w:r>
            <w:r w:rsidR="00791178">
              <w:rPr>
                <w:bCs/>
                <w:color w:val="000000"/>
                <w:sz w:val="20"/>
                <w:szCs w:val="20"/>
              </w:rPr>
              <w:t xml:space="preserve">(Attachment </w:t>
            </w:r>
            <w:r w:rsidRPr="00F820C2" w:rsidR="006607D6">
              <w:rPr>
                <w:bCs/>
                <w:color w:val="000000"/>
                <w:sz w:val="20"/>
                <w:szCs w:val="20"/>
              </w:rPr>
              <w:t>G</w:t>
            </w:r>
            <w:r w:rsidR="00791178">
              <w:rPr>
                <w:bCs/>
                <w:color w:val="000000"/>
                <w:sz w:val="20"/>
                <w:szCs w:val="20"/>
              </w:rPr>
              <w:t>)</w:t>
            </w:r>
          </w:p>
          <w:p w:rsidRPr="00E70711" w:rsidR="00BB0E0F" w:rsidP="001711B5" w:rsidRDefault="00BB0E0F" w14:paraId="5FF5FFF4" w14:textId="5CBF941F">
            <w:pPr>
              <w:pStyle w:val="ColorfulList-Accent11"/>
              <w:ind w:left="0" w:firstLine="229"/>
              <w:rPr>
                <w:bCs/>
                <w:color w:val="000000"/>
                <w:sz w:val="20"/>
                <w:szCs w:val="20"/>
              </w:rPr>
            </w:pPr>
            <w:r w:rsidRPr="00E70711">
              <w:rPr>
                <w:i/>
                <w:sz w:val="20"/>
                <w:szCs w:val="20"/>
              </w:rPr>
              <w:t xml:space="preserve">(1 checklist conducted monthly </w:t>
            </w:r>
            <w:r w:rsidRPr="00E70711" w:rsidR="00685148">
              <w:rPr>
                <w:bCs/>
                <w:i/>
                <w:color w:val="000000"/>
                <w:sz w:val="20"/>
                <w:szCs w:val="20"/>
              </w:rPr>
              <w:t>per facility</w:t>
            </w:r>
            <w:r w:rsidRPr="00E70711" w:rsidR="00685148">
              <w:rPr>
                <w:i/>
                <w:sz w:val="20"/>
                <w:szCs w:val="20"/>
              </w:rPr>
              <w:t xml:space="preserve"> </w:t>
            </w:r>
            <w:r w:rsidRPr="00E70711">
              <w:rPr>
                <w:i/>
                <w:sz w:val="20"/>
                <w:szCs w:val="20"/>
              </w:rPr>
              <w:t xml:space="preserve">during </w:t>
            </w:r>
            <w:r w:rsidR="001711B5">
              <w:rPr>
                <w:i/>
                <w:sz w:val="20"/>
                <w:szCs w:val="20"/>
              </w:rPr>
              <w:t xml:space="preserve">the </w:t>
            </w:r>
            <w:r w:rsidRPr="00E70711" w:rsidR="002C3CCA">
              <w:rPr>
                <w:i/>
                <w:sz w:val="20"/>
                <w:szCs w:val="20"/>
              </w:rPr>
              <w:t>1</w:t>
            </w:r>
            <w:r w:rsidR="001711B5">
              <w:rPr>
                <w:i/>
                <w:sz w:val="20"/>
                <w:szCs w:val="20"/>
              </w:rPr>
              <w:t>8</w:t>
            </w:r>
            <w:r w:rsidRPr="00E70711" w:rsidR="002C3CCA">
              <w:rPr>
                <w:i/>
                <w:sz w:val="20"/>
                <w:szCs w:val="20"/>
              </w:rPr>
              <w:t xml:space="preserve"> month</w:t>
            </w:r>
            <w:r w:rsidR="006E725C">
              <w:rPr>
                <w:i/>
                <w:sz w:val="20"/>
                <w:szCs w:val="20"/>
              </w:rPr>
              <w:t xml:space="preserve"> </w:t>
            </w:r>
            <w:r w:rsidRPr="00F820C2" w:rsidR="00965F68">
              <w:rPr>
                <w:bCs/>
                <w:i/>
                <w:color w:val="000000"/>
                <w:sz w:val="20"/>
                <w:szCs w:val="20"/>
              </w:rPr>
              <w:t>implementation</w:t>
            </w:r>
            <w:r w:rsidRPr="00E70711">
              <w:rPr>
                <w:i/>
                <w:sz w:val="20"/>
                <w:szCs w:val="20"/>
              </w:rPr>
              <w:t xml:space="preserve"> period for LTC cohort</w:t>
            </w:r>
            <w:r w:rsidR="00685148">
              <w:rPr>
                <w:i/>
                <w:sz w:val="20"/>
                <w:szCs w:val="20"/>
              </w:rPr>
              <w:t xml:space="preserve">, </w:t>
            </w:r>
            <w:r w:rsidR="002E07CA">
              <w:rPr>
                <w:i/>
                <w:sz w:val="20"/>
                <w:szCs w:val="20"/>
              </w:rPr>
              <w:t>300</w:t>
            </w:r>
            <w:r w:rsidR="001756C7">
              <w:rPr>
                <w:i/>
                <w:sz w:val="20"/>
                <w:szCs w:val="20"/>
              </w:rPr>
              <w:t xml:space="preserve"> </w:t>
            </w:r>
            <w:r w:rsidR="001012C5">
              <w:rPr>
                <w:i/>
                <w:sz w:val="20"/>
                <w:szCs w:val="20"/>
              </w:rPr>
              <w:t>facilities</w:t>
            </w:r>
            <w:r w:rsidR="002E07CA">
              <w:rPr>
                <w:i/>
                <w:sz w:val="20"/>
                <w:szCs w:val="20"/>
              </w:rPr>
              <w:t xml:space="preserve"> total</w:t>
            </w:r>
            <w:r w:rsidRPr="00E70711">
              <w:rPr>
                <w:i/>
                <w:sz w:val="20"/>
                <w:szCs w:val="20"/>
              </w:rPr>
              <w:t>)</w:t>
            </w:r>
          </w:p>
        </w:tc>
        <w:tc>
          <w:tcPr>
            <w:tcW w:w="941" w:type="pct"/>
            <w:shd w:val="clear" w:color="auto" w:fill="auto"/>
            <w:tcMar>
              <w:top w:w="0" w:type="dxa"/>
              <w:left w:w="108" w:type="dxa"/>
              <w:bottom w:w="0" w:type="dxa"/>
              <w:right w:w="108" w:type="dxa"/>
            </w:tcMar>
          </w:tcPr>
          <w:p w:rsidRPr="00E70711" w:rsidR="00BB0E0F" w:rsidDel="005F15E2" w:rsidP="00BB0E0F" w:rsidRDefault="00BB0E0F" w14:paraId="7B6912CC" w14:textId="00C0BB77">
            <w:pPr>
              <w:jc w:val="center"/>
              <w:rPr>
                <w:sz w:val="20"/>
                <w:szCs w:val="20"/>
              </w:rPr>
            </w:pPr>
            <w:r w:rsidRPr="00E70711">
              <w:rPr>
                <w:sz w:val="20"/>
                <w:szCs w:val="20"/>
              </w:rPr>
              <w:t>100</w:t>
            </w:r>
          </w:p>
        </w:tc>
        <w:tc>
          <w:tcPr>
            <w:tcW w:w="634" w:type="pct"/>
            <w:shd w:val="clear" w:color="auto" w:fill="auto"/>
            <w:tcMar>
              <w:top w:w="0" w:type="dxa"/>
              <w:left w:w="108" w:type="dxa"/>
              <w:bottom w:w="0" w:type="dxa"/>
              <w:right w:w="108" w:type="dxa"/>
            </w:tcMar>
          </w:tcPr>
          <w:p w:rsidRPr="00E70711" w:rsidR="00BB0E0F" w:rsidDel="00B758CB" w:rsidRDefault="003D69AE" w14:paraId="0903102D" w14:textId="7EC588C6">
            <w:pPr>
              <w:jc w:val="center"/>
              <w:rPr>
                <w:sz w:val="20"/>
                <w:szCs w:val="20"/>
              </w:rPr>
            </w:pPr>
            <w:r w:rsidRPr="00E70711">
              <w:rPr>
                <w:sz w:val="20"/>
                <w:szCs w:val="20"/>
              </w:rPr>
              <w:t>1</w:t>
            </w:r>
            <w:r>
              <w:rPr>
                <w:sz w:val="20"/>
                <w:szCs w:val="20"/>
              </w:rPr>
              <w:t>8</w:t>
            </w:r>
          </w:p>
        </w:tc>
        <w:tc>
          <w:tcPr>
            <w:tcW w:w="951" w:type="pct"/>
          </w:tcPr>
          <w:p w:rsidRPr="00E70711" w:rsidR="00BB0E0F" w:rsidP="00BB0E0F" w:rsidRDefault="00BB0E0F" w14:paraId="55904FC2" w14:textId="647AC4CB">
            <w:pPr>
              <w:jc w:val="center"/>
              <w:rPr>
                <w:sz w:val="20"/>
                <w:szCs w:val="20"/>
              </w:rPr>
            </w:pPr>
            <w:r w:rsidRPr="00E70711">
              <w:rPr>
                <w:sz w:val="20"/>
                <w:szCs w:val="20"/>
              </w:rPr>
              <w:t>0.17</w:t>
            </w:r>
          </w:p>
        </w:tc>
        <w:tc>
          <w:tcPr>
            <w:tcW w:w="1081" w:type="pct"/>
            <w:shd w:val="clear" w:color="auto" w:fill="auto"/>
            <w:tcMar>
              <w:top w:w="0" w:type="dxa"/>
              <w:left w:w="108" w:type="dxa"/>
              <w:bottom w:w="0" w:type="dxa"/>
              <w:right w:w="108" w:type="dxa"/>
            </w:tcMar>
          </w:tcPr>
          <w:p w:rsidRPr="00E70711" w:rsidR="00BB0E0F" w:rsidDel="00D14641" w:rsidP="00BB0E0F" w:rsidRDefault="003D69AE" w14:paraId="1C50B546" w14:textId="25DC4B33">
            <w:pPr>
              <w:jc w:val="center"/>
              <w:rPr>
                <w:sz w:val="20"/>
                <w:szCs w:val="20"/>
              </w:rPr>
            </w:pPr>
            <w:r>
              <w:rPr>
                <w:sz w:val="20"/>
                <w:szCs w:val="20"/>
              </w:rPr>
              <w:t>30</w:t>
            </w:r>
            <w:r w:rsidR="0032637E">
              <w:rPr>
                <w:sz w:val="20"/>
                <w:szCs w:val="20"/>
              </w:rPr>
              <w:t>6</w:t>
            </w:r>
          </w:p>
        </w:tc>
      </w:tr>
      <w:tr w:rsidRPr="00E70711" w:rsidR="003374C8" w:rsidTr="00C734CC" w14:paraId="3A3C83DC" w14:textId="77777777">
        <w:trPr>
          <w:trHeight w:val="217"/>
        </w:trPr>
        <w:tc>
          <w:tcPr>
            <w:tcW w:w="5000" w:type="pct"/>
            <w:gridSpan w:val="5"/>
            <w:shd w:val="clear" w:color="auto" w:fill="auto"/>
            <w:tcMar>
              <w:top w:w="0" w:type="dxa"/>
              <w:left w:w="108" w:type="dxa"/>
              <w:bottom w:w="0" w:type="dxa"/>
              <w:right w:w="108" w:type="dxa"/>
            </w:tcMar>
          </w:tcPr>
          <w:p w:rsidRPr="00E70711" w:rsidR="003374C8" w:rsidP="003374C8" w:rsidRDefault="003374C8" w14:paraId="1870CB86" w14:textId="1FD95D1B">
            <w:pPr>
              <w:rPr>
                <w:b/>
                <w:sz w:val="20"/>
                <w:szCs w:val="20"/>
              </w:rPr>
            </w:pPr>
            <w:r w:rsidRPr="00E70711">
              <w:rPr>
                <w:b/>
                <w:sz w:val="20"/>
                <w:szCs w:val="20"/>
              </w:rPr>
              <w:t xml:space="preserve">Electronic Health Record (EHR) Extracts </w:t>
            </w:r>
          </w:p>
        </w:tc>
      </w:tr>
      <w:tr w:rsidRPr="00E70711" w:rsidR="004F32DB" w:rsidTr="00E007FA" w14:paraId="468F6A32" w14:textId="77777777">
        <w:trPr>
          <w:trHeight w:val="661"/>
        </w:trPr>
        <w:tc>
          <w:tcPr>
            <w:tcW w:w="1393" w:type="pct"/>
            <w:shd w:val="clear" w:color="auto" w:fill="auto"/>
            <w:tcMar>
              <w:top w:w="0" w:type="dxa"/>
              <w:left w:w="108" w:type="dxa"/>
              <w:bottom w:w="0" w:type="dxa"/>
              <w:right w:w="108" w:type="dxa"/>
            </w:tcMar>
          </w:tcPr>
          <w:p w:rsidR="004F32DB" w:rsidP="003374C8" w:rsidRDefault="004F32DB" w14:paraId="52FB99F1" w14:textId="59A87432">
            <w:pPr>
              <w:pStyle w:val="ColorfulList-Accent11"/>
              <w:ind w:left="0" w:firstLine="229"/>
              <w:rPr>
                <w:sz w:val="20"/>
                <w:szCs w:val="20"/>
              </w:rPr>
            </w:pPr>
            <w:r>
              <w:rPr>
                <w:sz w:val="20"/>
                <w:szCs w:val="20"/>
              </w:rPr>
              <w:t xml:space="preserve">Initial </w:t>
            </w:r>
            <w:r w:rsidRPr="00F820C2">
              <w:rPr>
                <w:sz w:val="20"/>
                <w:szCs w:val="20"/>
              </w:rPr>
              <w:t>data</w:t>
            </w:r>
            <w:r w:rsidRPr="00215B82" w:rsidR="00235BA3">
              <w:rPr>
                <w:sz w:val="20"/>
                <w:szCs w:val="20"/>
              </w:rPr>
              <w:t xml:space="preserve"> </w:t>
            </w:r>
            <w:r w:rsidRPr="00F820C2">
              <w:rPr>
                <w:sz w:val="20"/>
                <w:szCs w:val="20"/>
              </w:rPr>
              <w:t>pull</w:t>
            </w:r>
            <w:r w:rsidRPr="00F820C2" w:rsidR="00235BA3">
              <w:rPr>
                <w:sz w:val="20"/>
                <w:szCs w:val="20"/>
              </w:rPr>
              <w:t xml:space="preserve"> for </w:t>
            </w:r>
            <w:r w:rsidRPr="00F820C2" w:rsidR="004066E6">
              <w:rPr>
                <w:sz w:val="20"/>
                <w:szCs w:val="20"/>
              </w:rPr>
              <w:t xml:space="preserve">10% of </w:t>
            </w:r>
            <w:r w:rsidRPr="00F820C2" w:rsidR="00235BA3">
              <w:rPr>
                <w:sz w:val="20"/>
                <w:szCs w:val="20"/>
              </w:rPr>
              <w:t>hospitals that</w:t>
            </w:r>
            <w:r w:rsidRPr="00F820C2" w:rsidR="004066E6">
              <w:rPr>
                <w:sz w:val="20"/>
                <w:szCs w:val="20"/>
              </w:rPr>
              <w:t xml:space="preserve"> do not</w:t>
            </w:r>
            <w:r w:rsidRPr="00F820C2" w:rsidR="00235BA3">
              <w:rPr>
                <w:sz w:val="20"/>
                <w:szCs w:val="20"/>
              </w:rPr>
              <w:t xml:space="preserve"> confer rights </w:t>
            </w:r>
            <w:r w:rsidRPr="00F820C2" w:rsidR="004066E6">
              <w:rPr>
                <w:sz w:val="20"/>
                <w:szCs w:val="20"/>
              </w:rPr>
              <w:t>to their NHSN data</w:t>
            </w:r>
            <w:r w:rsidR="00791178">
              <w:rPr>
                <w:sz w:val="20"/>
                <w:szCs w:val="20"/>
              </w:rPr>
              <w:t xml:space="preserve"> (Attachment </w:t>
            </w:r>
            <w:r w:rsidRPr="00F820C2" w:rsidR="006D46BE">
              <w:rPr>
                <w:sz w:val="20"/>
                <w:szCs w:val="20"/>
              </w:rPr>
              <w:t>J</w:t>
            </w:r>
            <w:r w:rsidR="00791178">
              <w:rPr>
                <w:sz w:val="20"/>
                <w:szCs w:val="20"/>
              </w:rPr>
              <w:t>)</w:t>
            </w:r>
            <w:r>
              <w:rPr>
                <w:sz w:val="20"/>
                <w:szCs w:val="20"/>
              </w:rPr>
              <w:t>-</w:t>
            </w:r>
          </w:p>
          <w:p w:rsidRPr="00E70711" w:rsidR="004F32DB" w:rsidDel="00A11EF2" w:rsidP="003374C8" w:rsidRDefault="004F32DB" w14:paraId="0B2ECDF5" w14:textId="6A0BE2D1">
            <w:pPr>
              <w:pStyle w:val="ColorfulList-Accent11"/>
              <w:ind w:left="0" w:firstLine="229"/>
              <w:rPr>
                <w:sz w:val="20"/>
                <w:szCs w:val="20"/>
              </w:rPr>
            </w:pPr>
            <w:r>
              <w:rPr>
                <w:sz w:val="20"/>
                <w:szCs w:val="20"/>
              </w:rPr>
              <w:t>(</w:t>
            </w:r>
            <w:r w:rsidRPr="00E630A2">
              <w:rPr>
                <w:i/>
                <w:sz w:val="20"/>
                <w:szCs w:val="20"/>
              </w:rPr>
              <w:t>once at baseline for ICU and non-ICU cohorts, 800 units total</w:t>
            </w:r>
            <w:r>
              <w:rPr>
                <w:sz w:val="20"/>
                <w:szCs w:val="20"/>
              </w:rPr>
              <w:t>)</w:t>
            </w:r>
          </w:p>
        </w:tc>
        <w:tc>
          <w:tcPr>
            <w:tcW w:w="941" w:type="pct"/>
            <w:shd w:val="clear" w:color="auto" w:fill="auto"/>
            <w:tcMar>
              <w:top w:w="0" w:type="dxa"/>
              <w:left w:w="108" w:type="dxa"/>
              <w:bottom w:w="0" w:type="dxa"/>
              <w:right w:w="108" w:type="dxa"/>
            </w:tcMar>
          </w:tcPr>
          <w:p w:rsidRPr="00E70711" w:rsidR="004F32DB" w:rsidP="003374C8" w:rsidRDefault="004F32DB" w14:paraId="1D9FD924" w14:textId="3922E08A">
            <w:pPr>
              <w:jc w:val="center"/>
              <w:rPr>
                <w:sz w:val="20"/>
                <w:szCs w:val="20"/>
              </w:rPr>
            </w:pPr>
            <w:r w:rsidRPr="00F820C2">
              <w:rPr>
                <w:sz w:val="20"/>
                <w:szCs w:val="20"/>
              </w:rPr>
              <w:t>2</w:t>
            </w:r>
            <w:r w:rsidRPr="00F820C2" w:rsidR="00F734B8">
              <w:rPr>
                <w:sz w:val="20"/>
                <w:szCs w:val="20"/>
              </w:rPr>
              <w:t>7</w:t>
            </w:r>
          </w:p>
        </w:tc>
        <w:tc>
          <w:tcPr>
            <w:tcW w:w="634" w:type="pct"/>
            <w:shd w:val="clear" w:color="auto" w:fill="auto"/>
            <w:tcMar>
              <w:top w:w="0" w:type="dxa"/>
              <w:left w:w="108" w:type="dxa"/>
              <w:bottom w:w="0" w:type="dxa"/>
              <w:right w:w="108" w:type="dxa"/>
            </w:tcMar>
          </w:tcPr>
          <w:p w:rsidRPr="00E70711" w:rsidR="004F32DB" w:rsidP="000628B2" w:rsidRDefault="004F32DB" w14:paraId="185A0935" w14:textId="14378DE3">
            <w:pPr>
              <w:jc w:val="center"/>
              <w:rPr>
                <w:sz w:val="20"/>
                <w:szCs w:val="20"/>
              </w:rPr>
            </w:pPr>
            <w:r>
              <w:rPr>
                <w:sz w:val="20"/>
                <w:szCs w:val="20"/>
              </w:rPr>
              <w:t>1</w:t>
            </w:r>
          </w:p>
        </w:tc>
        <w:tc>
          <w:tcPr>
            <w:tcW w:w="951" w:type="pct"/>
          </w:tcPr>
          <w:p w:rsidRPr="00E70711" w:rsidR="004F32DB" w:rsidP="003374C8" w:rsidRDefault="004066E6" w14:paraId="511FE289" w14:textId="0A0CDCD0">
            <w:pPr>
              <w:jc w:val="center"/>
              <w:rPr>
                <w:bCs/>
                <w:color w:val="000000"/>
                <w:sz w:val="20"/>
                <w:szCs w:val="20"/>
              </w:rPr>
            </w:pPr>
            <w:r w:rsidRPr="00F820C2">
              <w:rPr>
                <w:bCs/>
                <w:color w:val="000000"/>
                <w:sz w:val="20"/>
                <w:szCs w:val="20"/>
              </w:rPr>
              <w:t>5</w:t>
            </w:r>
          </w:p>
        </w:tc>
        <w:tc>
          <w:tcPr>
            <w:tcW w:w="1081" w:type="pct"/>
            <w:shd w:val="clear" w:color="auto" w:fill="auto"/>
            <w:tcMar>
              <w:top w:w="0" w:type="dxa"/>
              <w:left w:w="108" w:type="dxa"/>
              <w:bottom w:w="0" w:type="dxa"/>
              <w:right w:w="108" w:type="dxa"/>
            </w:tcMar>
          </w:tcPr>
          <w:p w:rsidRPr="00E70711" w:rsidR="004F32DB" w:rsidDel="008D7C14" w:rsidP="00BB1AB5" w:rsidRDefault="004066E6" w14:paraId="4F428905" w14:textId="2A7FC066">
            <w:pPr>
              <w:jc w:val="center"/>
              <w:rPr>
                <w:sz w:val="20"/>
                <w:szCs w:val="20"/>
              </w:rPr>
            </w:pPr>
            <w:r w:rsidRPr="00F820C2">
              <w:rPr>
                <w:sz w:val="20"/>
                <w:szCs w:val="20"/>
              </w:rPr>
              <w:t>13</w:t>
            </w:r>
            <w:r w:rsidRPr="00F820C2" w:rsidR="000D602A">
              <w:rPr>
                <w:sz w:val="20"/>
                <w:szCs w:val="20"/>
              </w:rPr>
              <w:t>5</w:t>
            </w:r>
          </w:p>
        </w:tc>
      </w:tr>
      <w:tr w:rsidRPr="00E70711" w:rsidR="00235BA3" w:rsidTr="006A5F8A" w14:paraId="38F10B94" w14:textId="77777777">
        <w:trPr>
          <w:trHeight w:val="661"/>
        </w:trPr>
        <w:tc>
          <w:tcPr>
            <w:tcW w:w="1393" w:type="pct"/>
            <w:shd w:val="clear" w:color="auto" w:fill="auto"/>
            <w:tcMar>
              <w:top w:w="0" w:type="dxa"/>
              <w:left w:w="108" w:type="dxa"/>
              <w:bottom w:w="0" w:type="dxa"/>
              <w:right w:w="108" w:type="dxa"/>
            </w:tcMar>
          </w:tcPr>
          <w:p w:rsidRPr="00215B82" w:rsidR="00235BA3" w:rsidP="00215B82" w:rsidRDefault="00235BA3" w14:paraId="57DE9065" w14:textId="18827838">
            <w:pPr>
              <w:pStyle w:val="ColorfulList-Accent11"/>
              <w:ind w:left="0"/>
              <w:rPr>
                <w:sz w:val="20"/>
                <w:szCs w:val="20"/>
              </w:rPr>
            </w:pPr>
            <w:r w:rsidRPr="00E630A2">
              <w:rPr>
                <w:sz w:val="20"/>
                <w:szCs w:val="20"/>
                <w:highlight w:val="yellow"/>
              </w:rPr>
              <w:t>Initial</w:t>
            </w:r>
            <w:r w:rsidRPr="00E630A2" w:rsidR="004066E6">
              <w:rPr>
                <w:sz w:val="20"/>
                <w:szCs w:val="20"/>
                <w:highlight w:val="yellow"/>
              </w:rPr>
              <w:t xml:space="preserve"> data pull for hospital onset bacteremia (including MSSA) and MRSA-positive clinical cultures (not available in NHSN) </w:t>
            </w:r>
            <w:r w:rsidR="0039406E">
              <w:rPr>
                <w:sz w:val="20"/>
                <w:szCs w:val="20"/>
                <w:highlight w:val="yellow"/>
              </w:rPr>
              <w:t xml:space="preserve">(Attachment J) </w:t>
            </w:r>
            <w:r w:rsidRPr="00E630A2" w:rsidR="004066E6">
              <w:rPr>
                <w:sz w:val="20"/>
                <w:szCs w:val="20"/>
                <w:highlight w:val="yellow"/>
              </w:rPr>
              <w:t>(</w:t>
            </w:r>
            <w:r w:rsidRPr="00E630A2" w:rsidR="004066E6">
              <w:rPr>
                <w:i/>
                <w:sz w:val="20"/>
                <w:szCs w:val="20"/>
                <w:highlight w:val="yellow"/>
              </w:rPr>
              <w:t>once at baseline for ICU and non-ICU cohorts, 800 units total</w:t>
            </w:r>
            <w:r w:rsidRPr="00F820C2" w:rsidR="004066E6">
              <w:rPr>
                <w:sz w:val="20"/>
                <w:szCs w:val="20"/>
              </w:rPr>
              <w:t>)</w:t>
            </w:r>
          </w:p>
        </w:tc>
        <w:tc>
          <w:tcPr>
            <w:tcW w:w="941" w:type="pct"/>
            <w:shd w:val="clear" w:color="auto" w:fill="auto"/>
            <w:tcMar>
              <w:top w:w="0" w:type="dxa"/>
              <w:left w:w="108" w:type="dxa"/>
              <w:bottom w:w="0" w:type="dxa"/>
              <w:right w:w="108" w:type="dxa"/>
            </w:tcMar>
          </w:tcPr>
          <w:p w:rsidRPr="00F820C2" w:rsidR="00235BA3" w:rsidP="003374C8" w:rsidRDefault="004066E6" w14:paraId="1056469D" w14:textId="1A7B354D">
            <w:pPr>
              <w:jc w:val="center"/>
              <w:rPr>
                <w:sz w:val="20"/>
                <w:szCs w:val="20"/>
              </w:rPr>
            </w:pPr>
            <w:r w:rsidRPr="00F820C2">
              <w:rPr>
                <w:sz w:val="20"/>
                <w:szCs w:val="20"/>
              </w:rPr>
              <w:t>267</w:t>
            </w:r>
          </w:p>
        </w:tc>
        <w:tc>
          <w:tcPr>
            <w:tcW w:w="634" w:type="pct"/>
            <w:shd w:val="clear" w:color="auto" w:fill="auto"/>
            <w:tcMar>
              <w:top w:w="0" w:type="dxa"/>
              <w:left w:w="108" w:type="dxa"/>
              <w:bottom w:w="0" w:type="dxa"/>
              <w:right w:w="108" w:type="dxa"/>
            </w:tcMar>
          </w:tcPr>
          <w:p w:rsidRPr="00F820C2" w:rsidR="00235BA3" w:rsidP="000628B2" w:rsidRDefault="004066E6" w14:paraId="58DFB94B" w14:textId="03B87B75">
            <w:pPr>
              <w:jc w:val="center"/>
              <w:rPr>
                <w:sz w:val="20"/>
                <w:szCs w:val="20"/>
              </w:rPr>
            </w:pPr>
            <w:r w:rsidRPr="00F820C2">
              <w:rPr>
                <w:sz w:val="20"/>
                <w:szCs w:val="20"/>
              </w:rPr>
              <w:t>1</w:t>
            </w:r>
          </w:p>
        </w:tc>
        <w:tc>
          <w:tcPr>
            <w:tcW w:w="951" w:type="pct"/>
          </w:tcPr>
          <w:p w:rsidRPr="00F820C2" w:rsidR="00235BA3" w:rsidDel="00B606B3" w:rsidP="003374C8" w:rsidRDefault="004066E6" w14:paraId="19D45E4C" w14:textId="5764D89F">
            <w:pPr>
              <w:jc w:val="center"/>
              <w:rPr>
                <w:bCs/>
                <w:color w:val="000000"/>
                <w:sz w:val="20"/>
                <w:szCs w:val="20"/>
              </w:rPr>
            </w:pPr>
            <w:r w:rsidRPr="00F820C2">
              <w:rPr>
                <w:bCs/>
                <w:color w:val="000000"/>
                <w:sz w:val="20"/>
                <w:szCs w:val="20"/>
              </w:rPr>
              <w:t>3.5</w:t>
            </w:r>
          </w:p>
        </w:tc>
        <w:tc>
          <w:tcPr>
            <w:tcW w:w="1081" w:type="pct"/>
            <w:shd w:val="clear" w:color="auto" w:fill="auto"/>
            <w:tcMar>
              <w:top w:w="0" w:type="dxa"/>
              <w:left w:w="108" w:type="dxa"/>
              <w:bottom w:w="0" w:type="dxa"/>
              <w:right w:w="108" w:type="dxa"/>
            </w:tcMar>
          </w:tcPr>
          <w:p w:rsidRPr="00F820C2" w:rsidR="00235BA3" w:rsidP="00BB1AB5" w:rsidRDefault="004066E6" w14:paraId="03323A3E" w14:textId="69851142">
            <w:pPr>
              <w:jc w:val="center"/>
              <w:rPr>
                <w:sz w:val="20"/>
                <w:szCs w:val="20"/>
              </w:rPr>
            </w:pPr>
            <w:r w:rsidRPr="00F820C2">
              <w:rPr>
                <w:sz w:val="20"/>
                <w:szCs w:val="20"/>
              </w:rPr>
              <w:t>93</w:t>
            </w:r>
            <w:r w:rsidRPr="00F820C2" w:rsidR="00C613EF">
              <w:rPr>
                <w:sz w:val="20"/>
                <w:szCs w:val="20"/>
              </w:rPr>
              <w:t>5</w:t>
            </w:r>
          </w:p>
        </w:tc>
      </w:tr>
      <w:tr w:rsidRPr="00E70711" w:rsidR="00235BA3" w:rsidTr="006A5F8A" w14:paraId="71E5105F" w14:textId="77777777">
        <w:trPr>
          <w:trHeight w:val="661"/>
        </w:trPr>
        <w:tc>
          <w:tcPr>
            <w:tcW w:w="1393" w:type="pct"/>
            <w:shd w:val="clear" w:color="auto" w:fill="auto"/>
            <w:tcMar>
              <w:top w:w="0" w:type="dxa"/>
              <w:left w:w="108" w:type="dxa"/>
              <w:bottom w:w="0" w:type="dxa"/>
              <w:right w:w="108" w:type="dxa"/>
            </w:tcMar>
          </w:tcPr>
          <w:p w:rsidRPr="00215B82" w:rsidR="00235BA3" w:rsidP="00215B82" w:rsidRDefault="004066E6" w14:paraId="4862FE84" w14:textId="2BA40AD5">
            <w:pPr>
              <w:pStyle w:val="ColorfulList-Accent11"/>
              <w:ind w:left="0"/>
              <w:rPr>
                <w:sz w:val="20"/>
                <w:szCs w:val="20"/>
              </w:rPr>
            </w:pPr>
            <w:r w:rsidRPr="00E630A2">
              <w:rPr>
                <w:sz w:val="20"/>
                <w:szCs w:val="20"/>
                <w:highlight w:val="yellow"/>
              </w:rPr>
              <w:t xml:space="preserve">Initial data pull for </w:t>
            </w:r>
            <w:r w:rsidRPr="00E630A2" w:rsidR="002351C6">
              <w:rPr>
                <w:sz w:val="20"/>
                <w:szCs w:val="20"/>
                <w:highlight w:val="yellow"/>
              </w:rPr>
              <w:t xml:space="preserve">10% of </w:t>
            </w:r>
            <w:r w:rsidRPr="00E630A2" w:rsidR="00E77B70">
              <w:rPr>
                <w:sz w:val="20"/>
                <w:szCs w:val="20"/>
                <w:highlight w:val="yellow"/>
              </w:rPr>
              <w:t>units</w:t>
            </w:r>
            <w:r w:rsidRPr="00E630A2">
              <w:rPr>
                <w:sz w:val="20"/>
                <w:szCs w:val="20"/>
                <w:highlight w:val="yellow"/>
              </w:rPr>
              <w:t xml:space="preserve"> that submit point prevalence survey data </w:t>
            </w:r>
            <w:r w:rsidR="0039406E">
              <w:rPr>
                <w:sz w:val="20"/>
                <w:szCs w:val="20"/>
                <w:highlight w:val="yellow"/>
              </w:rPr>
              <w:t xml:space="preserve">(Attachment J) </w:t>
            </w:r>
            <w:r w:rsidRPr="00E630A2">
              <w:rPr>
                <w:sz w:val="20"/>
                <w:szCs w:val="20"/>
                <w:highlight w:val="yellow"/>
              </w:rPr>
              <w:t>(</w:t>
            </w:r>
            <w:r w:rsidRPr="00E630A2">
              <w:rPr>
                <w:i/>
                <w:sz w:val="20"/>
                <w:szCs w:val="20"/>
                <w:highlight w:val="yellow"/>
              </w:rPr>
              <w:t>once at baseline for ICU and non-ICU cohorts, 800 units tota</w:t>
            </w:r>
            <w:r w:rsidRPr="00E630A2">
              <w:rPr>
                <w:sz w:val="20"/>
                <w:szCs w:val="20"/>
                <w:highlight w:val="yellow"/>
              </w:rPr>
              <w:t>l)</w:t>
            </w:r>
          </w:p>
          <w:p w:rsidRPr="00215B82" w:rsidR="004066E6" w:rsidP="00215B82" w:rsidRDefault="004066E6" w14:paraId="66ED7E01" w14:textId="32E2F879">
            <w:pPr>
              <w:pStyle w:val="ColorfulList-Accent11"/>
              <w:ind w:left="0"/>
              <w:rPr>
                <w:sz w:val="20"/>
                <w:szCs w:val="20"/>
              </w:rPr>
            </w:pPr>
          </w:p>
        </w:tc>
        <w:tc>
          <w:tcPr>
            <w:tcW w:w="941" w:type="pct"/>
            <w:shd w:val="clear" w:color="auto" w:fill="auto"/>
            <w:tcMar>
              <w:top w:w="0" w:type="dxa"/>
              <w:left w:w="108" w:type="dxa"/>
              <w:bottom w:w="0" w:type="dxa"/>
              <w:right w:w="108" w:type="dxa"/>
            </w:tcMar>
          </w:tcPr>
          <w:p w:rsidRPr="00F820C2" w:rsidR="00235BA3" w:rsidP="003374C8" w:rsidRDefault="00F734B8" w14:paraId="4007DC62" w14:textId="75879A1A">
            <w:pPr>
              <w:jc w:val="center"/>
              <w:rPr>
                <w:sz w:val="20"/>
                <w:szCs w:val="20"/>
              </w:rPr>
            </w:pPr>
            <w:r w:rsidRPr="00F820C2">
              <w:rPr>
                <w:sz w:val="20"/>
                <w:szCs w:val="20"/>
              </w:rPr>
              <w:t>27</w:t>
            </w:r>
          </w:p>
        </w:tc>
        <w:tc>
          <w:tcPr>
            <w:tcW w:w="634" w:type="pct"/>
            <w:shd w:val="clear" w:color="auto" w:fill="auto"/>
            <w:tcMar>
              <w:top w:w="0" w:type="dxa"/>
              <w:left w:w="108" w:type="dxa"/>
              <w:bottom w:w="0" w:type="dxa"/>
              <w:right w:w="108" w:type="dxa"/>
            </w:tcMar>
          </w:tcPr>
          <w:p w:rsidRPr="00F820C2" w:rsidR="00235BA3" w:rsidP="000628B2" w:rsidRDefault="004066E6" w14:paraId="089E6449" w14:textId="2B9228D4">
            <w:pPr>
              <w:jc w:val="center"/>
              <w:rPr>
                <w:sz w:val="20"/>
                <w:szCs w:val="20"/>
              </w:rPr>
            </w:pPr>
            <w:r w:rsidRPr="00F820C2">
              <w:rPr>
                <w:sz w:val="20"/>
                <w:szCs w:val="20"/>
              </w:rPr>
              <w:t>1</w:t>
            </w:r>
          </w:p>
        </w:tc>
        <w:tc>
          <w:tcPr>
            <w:tcW w:w="951" w:type="pct"/>
          </w:tcPr>
          <w:p w:rsidRPr="00F820C2" w:rsidR="00235BA3" w:rsidDel="00B606B3" w:rsidP="003374C8" w:rsidRDefault="00C613EF" w14:paraId="3F79FF57" w14:textId="4AEC4C7D">
            <w:pPr>
              <w:jc w:val="center"/>
              <w:rPr>
                <w:bCs/>
                <w:color w:val="000000"/>
                <w:sz w:val="20"/>
                <w:szCs w:val="20"/>
              </w:rPr>
            </w:pPr>
            <w:r w:rsidRPr="00F820C2">
              <w:rPr>
                <w:bCs/>
                <w:color w:val="000000"/>
                <w:sz w:val="20"/>
                <w:szCs w:val="20"/>
              </w:rPr>
              <w:t>0</w:t>
            </w:r>
            <w:r w:rsidRPr="00F820C2" w:rsidR="00E77B70">
              <w:rPr>
                <w:bCs/>
                <w:color w:val="000000"/>
                <w:sz w:val="20"/>
                <w:szCs w:val="20"/>
              </w:rPr>
              <w:t>.5</w:t>
            </w:r>
          </w:p>
        </w:tc>
        <w:tc>
          <w:tcPr>
            <w:tcW w:w="1081" w:type="pct"/>
            <w:shd w:val="clear" w:color="auto" w:fill="auto"/>
            <w:tcMar>
              <w:top w:w="0" w:type="dxa"/>
              <w:left w:w="108" w:type="dxa"/>
              <w:bottom w:w="0" w:type="dxa"/>
              <w:right w:w="108" w:type="dxa"/>
            </w:tcMar>
          </w:tcPr>
          <w:p w:rsidRPr="00F820C2" w:rsidR="00235BA3" w:rsidP="00BB1AB5" w:rsidRDefault="00E77B70" w14:paraId="464576A2" w14:textId="4BD1118D">
            <w:pPr>
              <w:jc w:val="center"/>
              <w:rPr>
                <w:sz w:val="20"/>
                <w:szCs w:val="20"/>
              </w:rPr>
            </w:pPr>
            <w:r w:rsidRPr="00F820C2">
              <w:rPr>
                <w:sz w:val="20"/>
                <w:szCs w:val="20"/>
              </w:rPr>
              <w:t>1</w:t>
            </w:r>
            <w:r w:rsidRPr="00F820C2" w:rsidR="00F37833">
              <w:rPr>
                <w:sz w:val="20"/>
                <w:szCs w:val="20"/>
              </w:rPr>
              <w:t>4</w:t>
            </w:r>
          </w:p>
        </w:tc>
      </w:tr>
      <w:tr w:rsidRPr="00E70711" w:rsidR="004F32DB" w:rsidTr="00E007FA" w14:paraId="04F1DF1B" w14:textId="77777777">
        <w:trPr>
          <w:trHeight w:val="661"/>
        </w:trPr>
        <w:tc>
          <w:tcPr>
            <w:tcW w:w="1393" w:type="pct"/>
            <w:shd w:val="clear" w:color="auto" w:fill="auto"/>
            <w:tcMar>
              <w:top w:w="0" w:type="dxa"/>
              <w:left w:w="108" w:type="dxa"/>
              <w:bottom w:w="0" w:type="dxa"/>
              <w:right w:w="108" w:type="dxa"/>
            </w:tcMar>
          </w:tcPr>
          <w:p w:rsidR="004F32DB" w:rsidP="004F32DB" w:rsidRDefault="004F32DB" w14:paraId="71591F53" w14:textId="2E7E8585">
            <w:pPr>
              <w:pStyle w:val="ColorfulList-Accent11"/>
              <w:ind w:left="0" w:firstLine="229"/>
              <w:rPr>
                <w:sz w:val="20"/>
                <w:szCs w:val="20"/>
              </w:rPr>
            </w:pPr>
            <w:r>
              <w:rPr>
                <w:sz w:val="20"/>
                <w:szCs w:val="20"/>
              </w:rPr>
              <w:t xml:space="preserve">Initial </w:t>
            </w:r>
            <w:r w:rsidRPr="00F820C2" w:rsidR="009F3065">
              <w:rPr>
                <w:sz w:val="20"/>
                <w:szCs w:val="20"/>
              </w:rPr>
              <w:t>data pull</w:t>
            </w:r>
            <w:r w:rsidRPr="00F820C2" w:rsidR="00791178">
              <w:rPr>
                <w:sz w:val="20"/>
                <w:szCs w:val="20"/>
              </w:rPr>
              <w:t xml:space="preserve"> </w:t>
            </w:r>
            <w:r w:rsidRPr="00F820C2" w:rsidR="007E0DBA">
              <w:rPr>
                <w:sz w:val="20"/>
                <w:szCs w:val="20"/>
              </w:rPr>
              <w:t>for 20% of surgical unit</w:t>
            </w:r>
            <w:r w:rsidRPr="00F820C2" w:rsidR="000820B4">
              <w:rPr>
                <w:sz w:val="20"/>
                <w:szCs w:val="20"/>
              </w:rPr>
              <w:t>s that do not confer rights to NHSN data</w:t>
            </w:r>
            <w:r w:rsidR="00791178">
              <w:rPr>
                <w:sz w:val="20"/>
                <w:szCs w:val="20"/>
              </w:rPr>
              <w:t xml:space="preserve"> (Attachment </w:t>
            </w:r>
            <w:r w:rsidRPr="00F820C2" w:rsidR="006607D6">
              <w:rPr>
                <w:sz w:val="20"/>
                <w:szCs w:val="20"/>
              </w:rPr>
              <w:t>K</w:t>
            </w:r>
            <w:r w:rsidR="00791178">
              <w:rPr>
                <w:sz w:val="20"/>
                <w:szCs w:val="20"/>
              </w:rPr>
              <w:t>)</w:t>
            </w:r>
            <w:r>
              <w:rPr>
                <w:sz w:val="20"/>
                <w:szCs w:val="20"/>
              </w:rPr>
              <w:t>-</w:t>
            </w:r>
          </w:p>
          <w:p w:rsidRPr="00E70711" w:rsidR="004F32DB" w:rsidDel="00A11EF2" w:rsidRDefault="004F32DB" w14:paraId="78C14742" w14:textId="1E428CC5">
            <w:pPr>
              <w:pStyle w:val="ColorfulList-Accent11"/>
              <w:ind w:left="0" w:firstLine="229"/>
              <w:rPr>
                <w:sz w:val="20"/>
                <w:szCs w:val="20"/>
              </w:rPr>
            </w:pPr>
            <w:r>
              <w:rPr>
                <w:sz w:val="20"/>
                <w:szCs w:val="20"/>
              </w:rPr>
              <w:t>(</w:t>
            </w:r>
            <w:r w:rsidRPr="00E630A2">
              <w:rPr>
                <w:i/>
                <w:sz w:val="20"/>
                <w:szCs w:val="20"/>
              </w:rPr>
              <w:t>once at baseline for Surgical cohort, 300 settings total</w:t>
            </w:r>
            <w:r>
              <w:rPr>
                <w:sz w:val="20"/>
                <w:szCs w:val="20"/>
              </w:rPr>
              <w:t>)</w:t>
            </w:r>
          </w:p>
        </w:tc>
        <w:tc>
          <w:tcPr>
            <w:tcW w:w="941" w:type="pct"/>
            <w:shd w:val="clear" w:color="auto" w:fill="auto"/>
            <w:tcMar>
              <w:top w:w="0" w:type="dxa"/>
              <w:left w:w="108" w:type="dxa"/>
              <w:bottom w:w="0" w:type="dxa"/>
              <w:right w:w="108" w:type="dxa"/>
            </w:tcMar>
          </w:tcPr>
          <w:p w:rsidRPr="00E70711" w:rsidR="004F32DB" w:rsidP="004F32DB" w:rsidRDefault="006E1FC5" w14:paraId="29D7AB36" w14:textId="10789D41">
            <w:pPr>
              <w:jc w:val="center"/>
              <w:rPr>
                <w:sz w:val="20"/>
                <w:szCs w:val="20"/>
              </w:rPr>
            </w:pPr>
            <w:r w:rsidRPr="00F820C2">
              <w:rPr>
                <w:sz w:val="20"/>
                <w:szCs w:val="20"/>
              </w:rPr>
              <w:t>20</w:t>
            </w:r>
          </w:p>
        </w:tc>
        <w:tc>
          <w:tcPr>
            <w:tcW w:w="634" w:type="pct"/>
            <w:shd w:val="clear" w:color="auto" w:fill="auto"/>
            <w:tcMar>
              <w:top w:w="0" w:type="dxa"/>
              <w:left w:w="108" w:type="dxa"/>
              <w:bottom w:w="0" w:type="dxa"/>
              <w:right w:w="108" w:type="dxa"/>
            </w:tcMar>
          </w:tcPr>
          <w:p w:rsidRPr="00E70711" w:rsidR="004F32DB" w:rsidP="004F32DB" w:rsidRDefault="004F32DB" w14:paraId="51CFF063" w14:textId="324AF0A4">
            <w:pPr>
              <w:jc w:val="center"/>
              <w:rPr>
                <w:sz w:val="20"/>
                <w:szCs w:val="20"/>
              </w:rPr>
            </w:pPr>
            <w:r>
              <w:rPr>
                <w:sz w:val="20"/>
                <w:szCs w:val="20"/>
              </w:rPr>
              <w:t>1</w:t>
            </w:r>
          </w:p>
        </w:tc>
        <w:tc>
          <w:tcPr>
            <w:tcW w:w="951" w:type="pct"/>
          </w:tcPr>
          <w:p w:rsidRPr="00E70711" w:rsidR="004F32DB" w:rsidP="004F32DB" w:rsidRDefault="004F32DB" w14:paraId="3145E187" w14:textId="3351F792">
            <w:pPr>
              <w:jc w:val="center"/>
              <w:rPr>
                <w:bCs/>
                <w:color w:val="000000"/>
                <w:sz w:val="20"/>
                <w:szCs w:val="20"/>
              </w:rPr>
            </w:pPr>
            <w:r>
              <w:rPr>
                <w:bCs/>
                <w:color w:val="000000"/>
                <w:sz w:val="20"/>
                <w:szCs w:val="20"/>
              </w:rPr>
              <w:t>0.5</w:t>
            </w:r>
          </w:p>
        </w:tc>
        <w:tc>
          <w:tcPr>
            <w:tcW w:w="1081" w:type="pct"/>
            <w:shd w:val="clear" w:color="auto" w:fill="auto"/>
            <w:tcMar>
              <w:top w:w="0" w:type="dxa"/>
              <w:left w:w="108" w:type="dxa"/>
              <w:bottom w:w="0" w:type="dxa"/>
              <w:right w:w="108" w:type="dxa"/>
            </w:tcMar>
          </w:tcPr>
          <w:p w:rsidRPr="00E70711" w:rsidR="004F32DB" w:rsidDel="008D7C14" w:rsidP="004F32DB" w:rsidRDefault="006A5F8A" w14:paraId="60E9D088" w14:textId="7E358600">
            <w:pPr>
              <w:jc w:val="center"/>
              <w:rPr>
                <w:sz w:val="20"/>
                <w:szCs w:val="20"/>
              </w:rPr>
            </w:pPr>
            <w:r w:rsidRPr="00F820C2">
              <w:rPr>
                <w:sz w:val="20"/>
                <w:szCs w:val="20"/>
              </w:rPr>
              <w:t>1</w:t>
            </w:r>
            <w:r w:rsidRPr="00F820C2" w:rsidR="004F32DB">
              <w:rPr>
                <w:sz w:val="20"/>
                <w:szCs w:val="20"/>
              </w:rPr>
              <w:t>0</w:t>
            </w:r>
          </w:p>
        </w:tc>
      </w:tr>
      <w:tr w:rsidRPr="00E70711" w:rsidR="004F32DB" w:rsidTr="00E007FA" w14:paraId="50C8FA54" w14:textId="77777777">
        <w:trPr>
          <w:trHeight w:val="653"/>
        </w:trPr>
        <w:tc>
          <w:tcPr>
            <w:tcW w:w="1393" w:type="pct"/>
            <w:shd w:val="clear" w:color="auto" w:fill="auto"/>
            <w:tcMar>
              <w:top w:w="0" w:type="dxa"/>
              <w:left w:w="108" w:type="dxa"/>
              <w:bottom w:w="0" w:type="dxa"/>
              <w:right w:w="108" w:type="dxa"/>
            </w:tcMar>
          </w:tcPr>
          <w:p w:rsidR="004F32DB" w:rsidP="004F32DB" w:rsidRDefault="004F32DB" w14:paraId="0A059CDD" w14:textId="46D5139C">
            <w:pPr>
              <w:pStyle w:val="ColorfulList-Accent11"/>
              <w:ind w:left="0" w:firstLine="229"/>
              <w:rPr>
                <w:sz w:val="20"/>
                <w:szCs w:val="20"/>
              </w:rPr>
            </w:pPr>
            <w:r>
              <w:rPr>
                <w:sz w:val="20"/>
                <w:szCs w:val="20"/>
              </w:rPr>
              <w:t xml:space="preserve">Initial </w:t>
            </w:r>
            <w:r w:rsidRPr="00F820C2" w:rsidR="009F3065">
              <w:rPr>
                <w:sz w:val="20"/>
                <w:szCs w:val="20"/>
              </w:rPr>
              <w:t>data pull</w:t>
            </w:r>
            <w:r w:rsidR="00791178">
              <w:rPr>
                <w:sz w:val="20"/>
                <w:szCs w:val="20"/>
              </w:rPr>
              <w:t xml:space="preserve"> (Attachment </w:t>
            </w:r>
            <w:r w:rsidRPr="00F820C2" w:rsidR="006607D6">
              <w:rPr>
                <w:sz w:val="20"/>
                <w:szCs w:val="20"/>
              </w:rPr>
              <w:t>L</w:t>
            </w:r>
            <w:r w:rsidR="00791178">
              <w:rPr>
                <w:sz w:val="20"/>
                <w:szCs w:val="20"/>
              </w:rPr>
              <w:t>)</w:t>
            </w:r>
            <w:r>
              <w:rPr>
                <w:sz w:val="20"/>
                <w:szCs w:val="20"/>
              </w:rPr>
              <w:t>-</w:t>
            </w:r>
          </w:p>
          <w:p w:rsidRPr="00E70711" w:rsidR="004F32DB" w:rsidDel="00A11EF2" w:rsidP="004F32DB" w:rsidRDefault="004F32DB" w14:paraId="4E08BF49" w14:textId="50922C2B">
            <w:pPr>
              <w:pStyle w:val="ColorfulList-Accent11"/>
              <w:ind w:left="0" w:firstLine="229"/>
              <w:rPr>
                <w:sz w:val="20"/>
                <w:szCs w:val="20"/>
              </w:rPr>
            </w:pPr>
            <w:r>
              <w:rPr>
                <w:sz w:val="20"/>
                <w:szCs w:val="20"/>
              </w:rPr>
              <w:t>(</w:t>
            </w:r>
            <w:r w:rsidRPr="00E630A2">
              <w:rPr>
                <w:i/>
                <w:sz w:val="20"/>
                <w:szCs w:val="20"/>
              </w:rPr>
              <w:t>once at baseline for LTC cohort, 300 facilities total</w:t>
            </w:r>
            <w:r>
              <w:rPr>
                <w:sz w:val="20"/>
                <w:szCs w:val="20"/>
              </w:rPr>
              <w:t>)</w:t>
            </w:r>
          </w:p>
        </w:tc>
        <w:tc>
          <w:tcPr>
            <w:tcW w:w="941" w:type="pct"/>
            <w:shd w:val="clear" w:color="auto" w:fill="auto"/>
            <w:tcMar>
              <w:top w:w="0" w:type="dxa"/>
              <w:left w:w="108" w:type="dxa"/>
              <w:bottom w:w="0" w:type="dxa"/>
              <w:right w:w="108" w:type="dxa"/>
            </w:tcMar>
          </w:tcPr>
          <w:p w:rsidRPr="00E70711" w:rsidR="004F32DB" w:rsidP="004F32DB" w:rsidRDefault="004F32DB" w14:paraId="409F415D" w14:textId="6B00AE9C">
            <w:pPr>
              <w:jc w:val="center"/>
              <w:rPr>
                <w:sz w:val="20"/>
                <w:szCs w:val="20"/>
              </w:rPr>
            </w:pPr>
            <w:r>
              <w:rPr>
                <w:sz w:val="20"/>
                <w:szCs w:val="20"/>
              </w:rPr>
              <w:t>100</w:t>
            </w:r>
          </w:p>
        </w:tc>
        <w:tc>
          <w:tcPr>
            <w:tcW w:w="634" w:type="pct"/>
            <w:shd w:val="clear" w:color="auto" w:fill="auto"/>
            <w:tcMar>
              <w:top w:w="0" w:type="dxa"/>
              <w:left w:w="108" w:type="dxa"/>
              <w:bottom w:w="0" w:type="dxa"/>
              <w:right w:w="108" w:type="dxa"/>
            </w:tcMar>
          </w:tcPr>
          <w:p w:rsidRPr="00E70711" w:rsidR="004F32DB" w:rsidP="004F32DB" w:rsidRDefault="004F32DB" w14:paraId="389B7191" w14:textId="7FFE9FBD">
            <w:pPr>
              <w:jc w:val="center"/>
              <w:rPr>
                <w:sz w:val="20"/>
                <w:szCs w:val="20"/>
              </w:rPr>
            </w:pPr>
            <w:r>
              <w:rPr>
                <w:sz w:val="20"/>
                <w:szCs w:val="20"/>
              </w:rPr>
              <w:t>1</w:t>
            </w:r>
          </w:p>
        </w:tc>
        <w:tc>
          <w:tcPr>
            <w:tcW w:w="951" w:type="pct"/>
          </w:tcPr>
          <w:p w:rsidRPr="00E70711" w:rsidR="004F32DB" w:rsidP="004F32DB" w:rsidRDefault="009D3078" w14:paraId="3E6086EA" w14:textId="744BA0D8">
            <w:pPr>
              <w:jc w:val="center"/>
              <w:rPr>
                <w:bCs/>
                <w:color w:val="000000"/>
                <w:sz w:val="20"/>
                <w:szCs w:val="20"/>
              </w:rPr>
            </w:pPr>
            <w:r>
              <w:rPr>
                <w:bCs/>
                <w:color w:val="000000"/>
                <w:sz w:val="20"/>
                <w:szCs w:val="20"/>
              </w:rPr>
              <w:t>5</w:t>
            </w:r>
          </w:p>
        </w:tc>
        <w:tc>
          <w:tcPr>
            <w:tcW w:w="1081" w:type="pct"/>
            <w:shd w:val="clear" w:color="auto" w:fill="auto"/>
            <w:tcMar>
              <w:top w:w="0" w:type="dxa"/>
              <w:left w:w="108" w:type="dxa"/>
              <w:bottom w:w="0" w:type="dxa"/>
              <w:right w:w="108" w:type="dxa"/>
            </w:tcMar>
          </w:tcPr>
          <w:p w:rsidRPr="00E70711" w:rsidR="004F32DB" w:rsidDel="008D7C14" w:rsidP="004F32DB" w:rsidRDefault="00D04494" w14:paraId="1824A48A" w14:textId="146662BA">
            <w:pPr>
              <w:jc w:val="center"/>
              <w:rPr>
                <w:sz w:val="20"/>
                <w:szCs w:val="20"/>
              </w:rPr>
            </w:pPr>
            <w:r>
              <w:rPr>
                <w:sz w:val="20"/>
                <w:szCs w:val="20"/>
              </w:rPr>
              <w:t>5</w:t>
            </w:r>
            <w:r w:rsidRPr="00F820C2" w:rsidR="004F32DB">
              <w:rPr>
                <w:sz w:val="20"/>
                <w:szCs w:val="20"/>
              </w:rPr>
              <w:t>00</w:t>
            </w:r>
          </w:p>
        </w:tc>
      </w:tr>
      <w:tr w:rsidRPr="00E70711" w:rsidR="004F32DB" w:rsidTr="00E007FA" w14:paraId="09D8C90F" w14:textId="77777777">
        <w:trPr>
          <w:trHeight w:val="1104"/>
        </w:trPr>
        <w:tc>
          <w:tcPr>
            <w:tcW w:w="1393" w:type="pct"/>
            <w:shd w:val="clear" w:color="auto" w:fill="auto"/>
            <w:tcMar>
              <w:top w:w="0" w:type="dxa"/>
              <w:left w:w="108" w:type="dxa"/>
              <w:bottom w:w="0" w:type="dxa"/>
              <w:right w:w="108" w:type="dxa"/>
            </w:tcMar>
          </w:tcPr>
          <w:p w:rsidRPr="00E70711" w:rsidR="004F32DB" w:rsidP="004F32DB" w:rsidRDefault="004F32DB" w14:paraId="6C1BF0AA" w14:textId="3FF18EFF">
            <w:pPr>
              <w:pStyle w:val="ColorfulList-Accent11"/>
              <w:ind w:left="0" w:firstLine="229"/>
              <w:rPr>
                <w:sz w:val="20"/>
                <w:szCs w:val="20"/>
              </w:rPr>
            </w:pPr>
            <w:r>
              <w:rPr>
                <w:sz w:val="20"/>
                <w:szCs w:val="20"/>
              </w:rPr>
              <w:t>Quarterly</w:t>
            </w:r>
            <w:r w:rsidRPr="00E70711">
              <w:rPr>
                <w:sz w:val="20"/>
                <w:szCs w:val="20"/>
              </w:rPr>
              <w:t xml:space="preserve"> data</w:t>
            </w:r>
            <w:r w:rsidR="00791178">
              <w:rPr>
                <w:sz w:val="20"/>
                <w:szCs w:val="20"/>
              </w:rPr>
              <w:t xml:space="preserve"> </w:t>
            </w:r>
            <w:r w:rsidRPr="00F820C2" w:rsidR="005A7B41">
              <w:rPr>
                <w:sz w:val="20"/>
                <w:szCs w:val="20"/>
              </w:rPr>
              <w:t xml:space="preserve">collection of monthly data </w:t>
            </w:r>
            <w:r w:rsidR="00791178">
              <w:rPr>
                <w:sz w:val="20"/>
                <w:szCs w:val="20"/>
              </w:rPr>
              <w:t xml:space="preserve">(Attachments </w:t>
            </w:r>
            <w:r w:rsidRPr="00F820C2" w:rsidR="006D46BE">
              <w:rPr>
                <w:sz w:val="20"/>
                <w:szCs w:val="20"/>
              </w:rPr>
              <w:t>J</w:t>
            </w:r>
            <w:r w:rsidR="00791178">
              <w:rPr>
                <w:sz w:val="20"/>
                <w:szCs w:val="20"/>
              </w:rPr>
              <w:t>)</w:t>
            </w:r>
            <w:r w:rsidRPr="00E70711">
              <w:rPr>
                <w:sz w:val="20"/>
                <w:szCs w:val="20"/>
              </w:rPr>
              <w:t xml:space="preserve">- </w:t>
            </w:r>
          </w:p>
          <w:p w:rsidRPr="00E70711" w:rsidR="004F32DB" w:rsidP="004F32DB" w:rsidRDefault="004F32DB" w14:paraId="4B0DA3CD" w14:textId="2EB7C0E4">
            <w:pPr>
              <w:pStyle w:val="ColorfulList-Accent11"/>
              <w:ind w:left="229"/>
              <w:rPr>
                <w:i/>
                <w:sz w:val="20"/>
                <w:szCs w:val="20"/>
              </w:rPr>
            </w:pPr>
            <w:r w:rsidRPr="00E70711">
              <w:rPr>
                <w:i/>
                <w:sz w:val="20"/>
                <w:szCs w:val="20"/>
              </w:rPr>
              <w:t>(</w:t>
            </w:r>
            <w:r>
              <w:rPr>
                <w:i/>
                <w:sz w:val="20"/>
                <w:szCs w:val="20"/>
              </w:rPr>
              <w:t>quarterly</w:t>
            </w:r>
            <w:r w:rsidRPr="00E70711">
              <w:rPr>
                <w:i/>
                <w:sz w:val="20"/>
                <w:szCs w:val="20"/>
              </w:rPr>
              <w:t xml:space="preserve"> during </w:t>
            </w:r>
            <w:r>
              <w:rPr>
                <w:i/>
                <w:sz w:val="20"/>
                <w:szCs w:val="20"/>
              </w:rPr>
              <w:t xml:space="preserve">18 </w:t>
            </w:r>
            <w:r w:rsidRPr="00E70711">
              <w:rPr>
                <w:i/>
                <w:sz w:val="20"/>
                <w:szCs w:val="20"/>
              </w:rPr>
              <w:t xml:space="preserve">months of </w:t>
            </w:r>
            <w:r w:rsidRPr="00F820C2" w:rsidR="00965F68">
              <w:rPr>
                <w:bCs/>
                <w:i/>
                <w:color w:val="000000"/>
                <w:sz w:val="20"/>
                <w:szCs w:val="20"/>
              </w:rPr>
              <w:t>implementation</w:t>
            </w:r>
            <w:r w:rsidRPr="00E70711">
              <w:rPr>
                <w:i/>
                <w:sz w:val="20"/>
                <w:szCs w:val="20"/>
              </w:rPr>
              <w:t xml:space="preserve"> for ICU</w:t>
            </w:r>
            <w:r w:rsidRPr="00F820C2" w:rsidR="005A7B41">
              <w:rPr>
                <w:i/>
                <w:sz w:val="20"/>
                <w:szCs w:val="20"/>
              </w:rPr>
              <w:t xml:space="preserve"> and</w:t>
            </w:r>
            <w:r w:rsidRPr="00E70711">
              <w:rPr>
                <w:i/>
                <w:sz w:val="20"/>
                <w:szCs w:val="20"/>
              </w:rPr>
              <w:t xml:space="preserve"> non-ICU, cohorts</w:t>
            </w:r>
            <w:r>
              <w:rPr>
                <w:i/>
                <w:sz w:val="20"/>
                <w:szCs w:val="20"/>
              </w:rPr>
              <w:t xml:space="preserve">, </w:t>
            </w:r>
            <w:r w:rsidRPr="00F820C2" w:rsidR="006A5F8A">
              <w:rPr>
                <w:i/>
                <w:sz w:val="20"/>
                <w:szCs w:val="20"/>
              </w:rPr>
              <w:t>800</w:t>
            </w:r>
            <w:r>
              <w:rPr>
                <w:i/>
                <w:sz w:val="20"/>
                <w:szCs w:val="20"/>
              </w:rPr>
              <w:t xml:space="preserve"> units total</w:t>
            </w:r>
            <w:r w:rsidRPr="00E70711">
              <w:rPr>
                <w:i/>
                <w:sz w:val="20"/>
                <w:szCs w:val="20"/>
              </w:rPr>
              <w:t>)</w:t>
            </w:r>
          </w:p>
        </w:tc>
        <w:tc>
          <w:tcPr>
            <w:tcW w:w="941" w:type="pct"/>
            <w:shd w:val="clear" w:color="auto" w:fill="auto"/>
            <w:tcMar>
              <w:top w:w="0" w:type="dxa"/>
              <w:left w:w="108" w:type="dxa"/>
              <w:bottom w:w="0" w:type="dxa"/>
              <w:right w:w="108" w:type="dxa"/>
            </w:tcMar>
          </w:tcPr>
          <w:p w:rsidRPr="00E70711" w:rsidR="004F32DB" w:rsidP="004F32DB" w:rsidRDefault="006A5F8A" w14:paraId="6551CF01" w14:textId="5A6FBCE0">
            <w:pPr>
              <w:jc w:val="center"/>
              <w:rPr>
                <w:sz w:val="20"/>
                <w:szCs w:val="20"/>
              </w:rPr>
            </w:pPr>
            <w:r w:rsidRPr="00F820C2">
              <w:rPr>
                <w:sz w:val="20"/>
                <w:szCs w:val="20"/>
              </w:rPr>
              <w:t>2</w:t>
            </w:r>
            <w:r w:rsidRPr="00F820C2" w:rsidR="004F32DB">
              <w:rPr>
                <w:sz w:val="20"/>
                <w:szCs w:val="20"/>
              </w:rPr>
              <w:t>67</w:t>
            </w:r>
          </w:p>
        </w:tc>
        <w:tc>
          <w:tcPr>
            <w:tcW w:w="634" w:type="pct"/>
            <w:shd w:val="clear" w:color="auto" w:fill="auto"/>
            <w:tcMar>
              <w:top w:w="0" w:type="dxa"/>
              <w:left w:w="108" w:type="dxa"/>
              <w:bottom w:w="0" w:type="dxa"/>
              <w:right w:w="108" w:type="dxa"/>
            </w:tcMar>
          </w:tcPr>
          <w:p w:rsidRPr="00E70711" w:rsidR="004F32DB" w:rsidP="004F32DB" w:rsidRDefault="004F32DB" w14:paraId="0E7F49E9" w14:textId="4CC430CE">
            <w:pPr>
              <w:jc w:val="center"/>
              <w:rPr>
                <w:sz w:val="20"/>
                <w:szCs w:val="20"/>
              </w:rPr>
            </w:pPr>
            <w:r>
              <w:rPr>
                <w:sz w:val="20"/>
                <w:szCs w:val="20"/>
              </w:rPr>
              <w:t>6</w:t>
            </w:r>
          </w:p>
        </w:tc>
        <w:tc>
          <w:tcPr>
            <w:tcW w:w="951" w:type="pct"/>
          </w:tcPr>
          <w:p w:rsidRPr="00E70711" w:rsidR="004F32DB" w:rsidP="004F32DB" w:rsidRDefault="004F32DB" w14:paraId="44431C60" w14:textId="1D91308B">
            <w:pPr>
              <w:jc w:val="center"/>
              <w:rPr>
                <w:bCs/>
                <w:color w:val="000000"/>
                <w:sz w:val="20"/>
                <w:szCs w:val="20"/>
              </w:rPr>
            </w:pPr>
            <w:r>
              <w:rPr>
                <w:bCs/>
                <w:color w:val="000000"/>
                <w:sz w:val="20"/>
                <w:szCs w:val="20"/>
              </w:rPr>
              <w:t>0.5</w:t>
            </w:r>
          </w:p>
        </w:tc>
        <w:tc>
          <w:tcPr>
            <w:tcW w:w="1081" w:type="pct"/>
            <w:shd w:val="clear" w:color="auto" w:fill="auto"/>
            <w:tcMar>
              <w:top w:w="0" w:type="dxa"/>
              <w:left w:w="108" w:type="dxa"/>
              <w:bottom w:w="0" w:type="dxa"/>
              <w:right w:w="108" w:type="dxa"/>
            </w:tcMar>
          </w:tcPr>
          <w:p w:rsidRPr="00E70711" w:rsidR="004F32DB" w:rsidP="004F32DB" w:rsidRDefault="001A0DA8" w14:paraId="5DA47992" w14:textId="0BADB33F">
            <w:pPr>
              <w:jc w:val="center"/>
              <w:rPr>
                <w:sz w:val="20"/>
                <w:szCs w:val="20"/>
              </w:rPr>
            </w:pPr>
            <w:r w:rsidRPr="00F820C2">
              <w:rPr>
                <w:sz w:val="20"/>
                <w:szCs w:val="20"/>
              </w:rPr>
              <w:t>8</w:t>
            </w:r>
            <w:r w:rsidRPr="00F820C2" w:rsidR="004C6277">
              <w:rPr>
                <w:sz w:val="20"/>
                <w:szCs w:val="20"/>
              </w:rPr>
              <w:t>0</w:t>
            </w:r>
            <w:r w:rsidRPr="00F820C2" w:rsidR="001F2717">
              <w:rPr>
                <w:sz w:val="20"/>
                <w:szCs w:val="20"/>
              </w:rPr>
              <w:t>1</w:t>
            </w:r>
          </w:p>
        </w:tc>
      </w:tr>
      <w:tr w:rsidRPr="00E70711" w:rsidR="006A5F8A" w:rsidTr="006A5F8A" w14:paraId="5A59B1FA" w14:textId="77777777">
        <w:trPr>
          <w:trHeight w:val="1104"/>
        </w:trPr>
        <w:tc>
          <w:tcPr>
            <w:tcW w:w="1393" w:type="pct"/>
            <w:shd w:val="clear" w:color="auto" w:fill="auto"/>
            <w:tcMar>
              <w:top w:w="0" w:type="dxa"/>
              <w:left w:w="108" w:type="dxa"/>
              <w:bottom w:w="0" w:type="dxa"/>
              <w:right w:w="108" w:type="dxa"/>
            </w:tcMar>
          </w:tcPr>
          <w:p w:rsidRPr="00F820C2" w:rsidR="006A5F8A" w:rsidP="005A7B41" w:rsidRDefault="006A5F8A" w14:paraId="474651A8" w14:textId="4A1E9BEC">
            <w:pPr>
              <w:pStyle w:val="ColorfulList-Accent11"/>
              <w:ind w:left="0" w:firstLine="229"/>
              <w:rPr>
                <w:sz w:val="20"/>
                <w:szCs w:val="20"/>
              </w:rPr>
            </w:pPr>
            <w:r w:rsidRPr="00E630A2">
              <w:rPr>
                <w:sz w:val="20"/>
                <w:szCs w:val="20"/>
                <w:highlight w:val="yellow"/>
              </w:rPr>
              <w:lastRenderedPageBreak/>
              <w:t>Quarterly data</w:t>
            </w:r>
            <w:r w:rsidRPr="00E630A2" w:rsidR="005A7B41">
              <w:rPr>
                <w:sz w:val="20"/>
                <w:szCs w:val="20"/>
                <w:highlight w:val="yellow"/>
              </w:rPr>
              <w:t xml:space="preserve"> collection of monthly data for 20% of hospitals that do not confer rights to their NHSN data</w:t>
            </w:r>
            <w:r w:rsidRPr="00E630A2">
              <w:rPr>
                <w:sz w:val="20"/>
                <w:szCs w:val="20"/>
                <w:highlight w:val="yellow"/>
              </w:rPr>
              <w:t xml:space="preserve"> </w:t>
            </w:r>
            <w:r w:rsidR="00B27DEF">
              <w:rPr>
                <w:sz w:val="20"/>
                <w:szCs w:val="20"/>
                <w:highlight w:val="yellow"/>
              </w:rPr>
              <w:t>(Attachment K)</w:t>
            </w:r>
            <w:r w:rsidRPr="00E630A2">
              <w:rPr>
                <w:sz w:val="20"/>
                <w:szCs w:val="20"/>
                <w:highlight w:val="yellow"/>
              </w:rPr>
              <w:t xml:space="preserve">    (</w:t>
            </w:r>
            <w:r w:rsidRPr="00E630A2">
              <w:rPr>
                <w:i/>
                <w:sz w:val="20"/>
                <w:szCs w:val="20"/>
                <w:highlight w:val="yellow"/>
              </w:rPr>
              <w:t xml:space="preserve">quarterly during 18 months of </w:t>
            </w:r>
            <w:r w:rsidRPr="00E630A2" w:rsidR="00965F68">
              <w:rPr>
                <w:bCs/>
                <w:i/>
                <w:color w:val="000000"/>
                <w:sz w:val="20"/>
                <w:szCs w:val="20"/>
                <w:highlight w:val="yellow"/>
              </w:rPr>
              <w:t>implementation</w:t>
            </w:r>
            <w:r w:rsidRPr="00E630A2">
              <w:rPr>
                <w:i/>
                <w:sz w:val="20"/>
                <w:szCs w:val="20"/>
                <w:highlight w:val="yellow"/>
              </w:rPr>
              <w:t xml:space="preserve"> for surgical cohorts, 300 units total</w:t>
            </w:r>
            <w:r w:rsidRPr="00E630A2">
              <w:rPr>
                <w:sz w:val="20"/>
                <w:szCs w:val="20"/>
                <w:highlight w:val="yellow"/>
              </w:rPr>
              <w:t>)</w:t>
            </w:r>
          </w:p>
        </w:tc>
        <w:tc>
          <w:tcPr>
            <w:tcW w:w="941" w:type="pct"/>
            <w:shd w:val="clear" w:color="auto" w:fill="auto"/>
            <w:tcMar>
              <w:top w:w="0" w:type="dxa"/>
              <w:left w:w="108" w:type="dxa"/>
              <w:bottom w:w="0" w:type="dxa"/>
              <w:right w:w="108" w:type="dxa"/>
            </w:tcMar>
          </w:tcPr>
          <w:p w:rsidRPr="00F820C2" w:rsidR="006A5F8A" w:rsidP="004F32DB" w:rsidRDefault="001A0DA8" w14:paraId="6FB77F1B" w14:textId="52757E33">
            <w:pPr>
              <w:jc w:val="center"/>
              <w:rPr>
                <w:sz w:val="20"/>
                <w:szCs w:val="20"/>
              </w:rPr>
            </w:pPr>
            <w:r w:rsidRPr="00F820C2">
              <w:rPr>
                <w:sz w:val="20"/>
                <w:szCs w:val="20"/>
              </w:rPr>
              <w:t>20</w:t>
            </w:r>
          </w:p>
        </w:tc>
        <w:tc>
          <w:tcPr>
            <w:tcW w:w="634" w:type="pct"/>
            <w:shd w:val="clear" w:color="auto" w:fill="auto"/>
            <w:tcMar>
              <w:top w:w="0" w:type="dxa"/>
              <w:left w:w="108" w:type="dxa"/>
              <w:bottom w:w="0" w:type="dxa"/>
              <w:right w:w="108" w:type="dxa"/>
            </w:tcMar>
          </w:tcPr>
          <w:p w:rsidRPr="00F820C2" w:rsidR="006A5F8A" w:rsidP="004F32DB" w:rsidRDefault="005A7B41" w14:paraId="6D943048" w14:textId="50C8E8D2">
            <w:pPr>
              <w:jc w:val="center"/>
              <w:rPr>
                <w:sz w:val="20"/>
                <w:szCs w:val="20"/>
              </w:rPr>
            </w:pPr>
            <w:r w:rsidRPr="00F820C2">
              <w:rPr>
                <w:sz w:val="20"/>
                <w:szCs w:val="20"/>
              </w:rPr>
              <w:t>6</w:t>
            </w:r>
          </w:p>
        </w:tc>
        <w:tc>
          <w:tcPr>
            <w:tcW w:w="951" w:type="pct"/>
          </w:tcPr>
          <w:p w:rsidRPr="00F820C2" w:rsidR="006A5F8A" w:rsidP="004F32DB" w:rsidRDefault="00C613EF" w14:paraId="690D3590" w14:textId="663F25B5">
            <w:pPr>
              <w:jc w:val="center"/>
              <w:rPr>
                <w:bCs/>
                <w:color w:val="000000"/>
                <w:sz w:val="20"/>
                <w:szCs w:val="20"/>
              </w:rPr>
            </w:pPr>
            <w:r w:rsidRPr="00F820C2">
              <w:rPr>
                <w:bCs/>
                <w:color w:val="000000"/>
                <w:sz w:val="20"/>
                <w:szCs w:val="20"/>
              </w:rPr>
              <w:t>0</w:t>
            </w:r>
            <w:r w:rsidRPr="00F820C2" w:rsidR="006A5F8A">
              <w:rPr>
                <w:bCs/>
                <w:color w:val="000000"/>
                <w:sz w:val="20"/>
                <w:szCs w:val="20"/>
              </w:rPr>
              <w:t>.5</w:t>
            </w:r>
          </w:p>
        </w:tc>
        <w:tc>
          <w:tcPr>
            <w:tcW w:w="1081" w:type="pct"/>
            <w:shd w:val="clear" w:color="auto" w:fill="auto"/>
            <w:tcMar>
              <w:top w:w="0" w:type="dxa"/>
              <w:left w:w="108" w:type="dxa"/>
              <w:bottom w:w="0" w:type="dxa"/>
              <w:right w:w="108" w:type="dxa"/>
            </w:tcMar>
          </w:tcPr>
          <w:p w:rsidRPr="00F820C2" w:rsidR="006A5F8A" w:rsidP="004F32DB" w:rsidRDefault="002351C6" w14:paraId="3ACCB572" w14:textId="3A68A368">
            <w:pPr>
              <w:jc w:val="center"/>
              <w:rPr>
                <w:sz w:val="20"/>
                <w:szCs w:val="20"/>
              </w:rPr>
            </w:pPr>
            <w:r w:rsidRPr="00F820C2">
              <w:rPr>
                <w:sz w:val="20"/>
                <w:szCs w:val="20"/>
              </w:rPr>
              <w:t>60</w:t>
            </w:r>
          </w:p>
        </w:tc>
      </w:tr>
      <w:tr w:rsidRPr="00E70711" w:rsidR="004F32DB" w:rsidTr="00E007FA" w14:paraId="4DE3FE18" w14:textId="77777777">
        <w:trPr>
          <w:trHeight w:val="878"/>
        </w:trPr>
        <w:tc>
          <w:tcPr>
            <w:tcW w:w="1393" w:type="pct"/>
            <w:shd w:val="clear" w:color="auto" w:fill="auto"/>
            <w:tcMar>
              <w:top w:w="0" w:type="dxa"/>
              <w:left w:w="108" w:type="dxa"/>
              <w:bottom w:w="0" w:type="dxa"/>
              <w:right w:w="108" w:type="dxa"/>
            </w:tcMar>
          </w:tcPr>
          <w:p w:rsidRPr="00E70711" w:rsidR="004F32DB" w:rsidP="004F32DB" w:rsidRDefault="004F32DB" w14:paraId="0304FF7E" w14:textId="310791B9">
            <w:pPr>
              <w:pStyle w:val="ColorfulList-Accent11"/>
              <w:ind w:left="0" w:firstLine="229"/>
              <w:rPr>
                <w:sz w:val="20"/>
                <w:szCs w:val="20"/>
              </w:rPr>
            </w:pPr>
            <w:r w:rsidRPr="00E70711">
              <w:rPr>
                <w:sz w:val="20"/>
                <w:szCs w:val="20"/>
              </w:rPr>
              <w:t>Monthly data</w:t>
            </w:r>
            <w:r w:rsidR="00791178">
              <w:rPr>
                <w:sz w:val="20"/>
                <w:szCs w:val="20"/>
              </w:rPr>
              <w:t xml:space="preserve"> (Attachment </w:t>
            </w:r>
            <w:r w:rsidRPr="00F820C2" w:rsidR="006D46BE">
              <w:rPr>
                <w:sz w:val="20"/>
                <w:szCs w:val="20"/>
              </w:rPr>
              <w:t>L</w:t>
            </w:r>
            <w:r w:rsidR="00791178">
              <w:rPr>
                <w:sz w:val="20"/>
                <w:szCs w:val="20"/>
              </w:rPr>
              <w:t>)</w:t>
            </w:r>
            <w:r w:rsidRPr="00E70711">
              <w:rPr>
                <w:sz w:val="20"/>
                <w:szCs w:val="20"/>
              </w:rPr>
              <w:t xml:space="preserve">- </w:t>
            </w:r>
          </w:p>
          <w:p w:rsidRPr="00E70711" w:rsidR="004F32DB" w:rsidP="004F32DB" w:rsidRDefault="004F32DB" w14:paraId="6937DC5A" w14:textId="21C23182">
            <w:pPr>
              <w:pStyle w:val="ColorfulList-Accent11"/>
              <w:ind w:left="0" w:firstLine="229"/>
              <w:rPr>
                <w:sz w:val="20"/>
                <w:szCs w:val="20"/>
              </w:rPr>
            </w:pPr>
            <w:r w:rsidRPr="00E70711">
              <w:rPr>
                <w:i/>
                <w:sz w:val="20"/>
                <w:szCs w:val="20"/>
              </w:rPr>
              <w:t xml:space="preserve">(monthly </w:t>
            </w:r>
            <w:r>
              <w:rPr>
                <w:i/>
                <w:sz w:val="20"/>
                <w:szCs w:val="20"/>
              </w:rPr>
              <w:t xml:space="preserve">per facility </w:t>
            </w:r>
            <w:r w:rsidRPr="00E70711">
              <w:rPr>
                <w:i/>
                <w:sz w:val="20"/>
                <w:szCs w:val="20"/>
              </w:rPr>
              <w:t>during 1</w:t>
            </w:r>
            <w:r>
              <w:rPr>
                <w:i/>
                <w:sz w:val="20"/>
                <w:szCs w:val="20"/>
              </w:rPr>
              <w:t>8</w:t>
            </w:r>
            <w:r w:rsidRPr="00E70711">
              <w:rPr>
                <w:i/>
                <w:sz w:val="20"/>
                <w:szCs w:val="20"/>
              </w:rPr>
              <w:t xml:space="preserve"> months of </w:t>
            </w:r>
            <w:r w:rsidRPr="00F820C2" w:rsidR="00965F68">
              <w:rPr>
                <w:bCs/>
                <w:i/>
                <w:color w:val="000000"/>
                <w:sz w:val="20"/>
                <w:szCs w:val="20"/>
              </w:rPr>
              <w:t>implementation</w:t>
            </w:r>
            <w:r w:rsidRPr="00E70711">
              <w:rPr>
                <w:i/>
                <w:sz w:val="20"/>
                <w:szCs w:val="20"/>
              </w:rPr>
              <w:t xml:space="preserve"> for LTC cohort</w:t>
            </w:r>
            <w:r>
              <w:rPr>
                <w:i/>
                <w:sz w:val="20"/>
                <w:szCs w:val="20"/>
              </w:rPr>
              <w:t>, 300 facilities total</w:t>
            </w:r>
            <w:r w:rsidRPr="00E70711">
              <w:rPr>
                <w:i/>
                <w:sz w:val="20"/>
                <w:szCs w:val="20"/>
              </w:rPr>
              <w:t>)</w:t>
            </w:r>
          </w:p>
        </w:tc>
        <w:tc>
          <w:tcPr>
            <w:tcW w:w="941" w:type="pct"/>
            <w:shd w:val="clear" w:color="auto" w:fill="auto"/>
            <w:tcMar>
              <w:top w:w="0" w:type="dxa"/>
              <w:left w:w="108" w:type="dxa"/>
              <w:bottom w:w="0" w:type="dxa"/>
              <w:right w:w="108" w:type="dxa"/>
            </w:tcMar>
          </w:tcPr>
          <w:p w:rsidRPr="00E70711" w:rsidR="004F32DB" w:rsidP="004F32DB" w:rsidRDefault="004F32DB" w14:paraId="1F0D611B" w14:textId="2F393BC6">
            <w:pPr>
              <w:jc w:val="center"/>
              <w:rPr>
                <w:sz w:val="20"/>
                <w:szCs w:val="20"/>
              </w:rPr>
            </w:pPr>
            <w:r w:rsidRPr="00E70711">
              <w:rPr>
                <w:sz w:val="20"/>
                <w:szCs w:val="20"/>
              </w:rPr>
              <w:t>100</w:t>
            </w:r>
          </w:p>
        </w:tc>
        <w:tc>
          <w:tcPr>
            <w:tcW w:w="634" w:type="pct"/>
            <w:shd w:val="clear" w:color="auto" w:fill="auto"/>
            <w:tcMar>
              <w:top w:w="0" w:type="dxa"/>
              <w:left w:w="108" w:type="dxa"/>
              <w:bottom w:w="0" w:type="dxa"/>
              <w:right w:w="108" w:type="dxa"/>
            </w:tcMar>
          </w:tcPr>
          <w:p w:rsidRPr="00E70711" w:rsidR="004F32DB" w:rsidP="004F32DB" w:rsidRDefault="004F32DB" w14:paraId="5F531EAD" w14:textId="4966A5DF">
            <w:pPr>
              <w:jc w:val="center"/>
              <w:rPr>
                <w:sz w:val="20"/>
                <w:szCs w:val="20"/>
              </w:rPr>
            </w:pPr>
            <w:r w:rsidRPr="00E70711">
              <w:rPr>
                <w:sz w:val="20"/>
                <w:szCs w:val="20"/>
              </w:rPr>
              <w:t>1</w:t>
            </w:r>
            <w:r>
              <w:rPr>
                <w:sz w:val="20"/>
                <w:szCs w:val="20"/>
              </w:rPr>
              <w:t>8</w:t>
            </w:r>
          </w:p>
        </w:tc>
        <w:tc>
          <w:tcPr>
            <w:tcW w:w="951" w:type="pct"/>
          </w:tcPr>
          <w:p w:rsidRPr="00E70711" w:rsidR="004F32DB" w:rsidP="004F32DB" w:rsidRDefault="004F32DB" w14:paraId="12CCB2D5" w14:textId="01F6304F">
            <w:pPr>
              <w:jc w:val="center"/>
              <w:rPr>
                <w:bCs/>
                <w:color w:val="000000"/>
                <w:sz w:val="20"/>
                <w:szCs w:val="20"/>
              </w:rPr>
            </w:pPr>
            <w:r>
              <w:rPr>
                <w:bCs/>
                <w:color w:val="000000"/>
                <w:sz w:val="20"/>
                <w:szCs w:val="20"/>
              </w:rPr>
              <w:t>0.5</w:t>
            </w:r>
          </w:p>
        </w:tc>
        <w:tc>
          <w:tcPr>
            <w:tcW w:w="1081" w:type="pct"/>
            <w:shd w:val="clear" w:color="auto" w:fill="auto"/>
            <w:tcMar>
              <w:top w:w="0" w:type="dxa"/>
              <w:left w:w="108" w:type="dxa"/>
              <w:bottom w:w="0" w:type="dxa"/>
              <w:right w:w="108" w:type="dxa"/>
            </w:tcMar>
          </w:tcPr>
          <w:p w:rsidRPr="00E70711" w:rsidR="004F32DB" w:rsidP="004F32DB" w:rsidRDefault="004F32DB" w14:paraId="51F56301" w14:textId="60AD80DB">
            <w:pPr>
              <w:jc w:val="center"/>
              <w:rPr>
                <w:sz w:val="20"/>
                <w:szCs w:val="20"/>
              </w:rPr>
            </w:pPr>
            <w:r>
              <w:rPr>
                <w:sz w:val="20"/>
                <w:szCs w:val="20"/>
              </w:rPr>
              <w:t>900</w:t>
            </w:r>
          </w:p>
        </w:tc>
      </w:tr>
      <w:tr w:rsidRPr="00E70711" w:rsidR="004F32DB" w:rsidTr="00E007FA" w14:paraId="6804391D" w14:textId="77777777">
        <w:trPr>
          <w:trHeight w:val="217"/>
        </w:trPr>
        <w:tc>
          <w:tcPr>
            <w:tcW w:w="1393" w:type="pct"/>
            <w:shd w:val="clear" w:color="auto" w:fill="auto"/>
            <w:tcMar>
              <w:top w:w="0" w:type="dxa"/>
              <w:left w:w="108" w:type="dxa"/>
              <w:bottom w:w="0" w:type="dxa"/>
              <w:right w:w="108" w:type="dxa"/>
            </w:tcMar>
          </w:tcPr>
          <w:p w:rsidRPr="00E70711" w:rsidR="004F32DB" w:rsidP="004F32DB" w:rsidRDefault="004F32DB" w14:paraId="5CA5F0F5" w14:textId="77777777">
            <w:pPr>
              <w:rPr>
                <w:b/>
                <w:sz w:val="20"/>
                <w:szCs w:val="20"/>
              </w:rPr>
            </w:pPr>
            <w:r w:rsidRPr="00E70711">
              <w:rPr>
                <w:b/>
                <w:sz w:val="20"/>
                <w:szCs w:val="20"/>
              </w:rPr>
              <w:t>Total</w:t>
            </w:r>
          </w:p>
        </w:tc>
        <w:tc>
          <w:tcPr>
            <w:tcW w:w="941" w:type="pct"/>
            <w:shd w:val="clear" w:color="auto" w:fill="auto"/>
            <w:tcMar>
              <w:top w:w="0" w:type="dxa"/>
              <w:left w:w="108" w:type="dxa"/>
              <w:bottom w:w="0" w:type="dxa"/>
              <w:right w:w="108" w:type="dxa"/>
            </w:tcMar>
          </w:tcPr>
          <w:p w:rsidRPr="00E70711" w:rsidR="004F32DB" w:rsidP="004F32DB" w:rsidRDefault="004F32DB" w14:paraId="6519BCCB" w14:textId="31F215DA">
            <w:pPr>
              <w:jc w:val="center"/>
              <w:rPr>
                <w:b/>
                <w:sz w:val="20"/>
                <w:szCs w:val="20"/>
              </w:rPr>
            </w:pPr>
            <w:r w:rsidRPr="00E70711">
              <w:rPr>
                <w:b/>
                <w:sz w:val="20"/>
                <w:szCs w:val="20"/>
              </w:rPr>
              <w:t>13,</w:t>
            </w:r>
            <w:r w:rsidRPr="00215B82" w:rsidR="00675B3A">
              <w:rPr>
                <w:b/>
                <w:sz w:val="20"/>
                <w:szCs w:val="20"/>
              </w:rPr>
              <w:t>42</w:t>
            </w:r>
            <w:r w:rsidRPr="00215B82" w:rsidR="001F2717">
              <w:rPr>
                <w:b/>
                <w:sz w:val="20"/>
                <w:szCs w:val="20"/>
              </w:rPr>
              <w:t>9</w:t>
            </w:r>
          </w:p>
        </w:tc>
        <w:tc>
          <w:tcPr>
            <w:tcW w:w="634" w:type="pct"/>
            <w:shd w:val="clear" w:color="auto" w:fill="auto"/>
            <w:tcMar>
              <w:top w:w="0" w:type="dxa"/>
              <w:left w:w="108" w:type="dxa"/>
              <w:bottom w:w="0" w:type="dxa"/>
              <w:right w:w="108" w:type="dxa"/>
            </w:tcMar>
          </w:tcPr>
          <w:p w:rsidRPr="00E70711" w:rsidR="004F32DB" w:rsidP="004F32DB" w:rsidRDefault="004F32DB" w14:paraId="276CB720" w14:textId="35C304CD">
            <w:pPr>
              <w:jc w:val="center"/>
              <w:rPr>
                <w:b/>
                <w:sz w:val="20"/>
                <w:szCs w:val="20"/>
              </w:rPr>
            </w:pPr>
          </w:p>
        </w:tc>
        <w:tc>
          <w:tcPr>
            <w:tcW w:w="951" w:type="pct"/>
          </w:tcPr>
          <w:p w:rsidRPr="00E70711" w:rsidR="004F32DB" w:rsidP="004F32DB" w:rsidRDefault="004F32DB" w14:paraId="10BA1860" w14:textId="1C1E4E95">
            <w:pPr>
              <w:jc w:val="center"/>
              <w:rPr>
                <w:b/>
                <w:bCs/>
                <w:color w:val="000000"/>
                <w:sz w:val="20"/>
                <w:szCs w:val="20"/>
              </w:rPr>
            </w:pPr>
          </w:p>
        </w:tc>
        <w:tc>
          <w:tcPr>
            <w:tcW w:w="1081" w:type="pct"/>
            <w:shd w:val="clear" w:color="auto" w:fill="auto"/>
            <w:tcMar>
              <w:top w:w="0" w:type="dxa"/>
              <w:left w:w="108" w:type="dxa"/>
              <w:bottom w:w="0" w:type="dxa"/>
              <w:right w:w="108" w:type="dxa"/>
            </w:tcMar>
          </w:tcPr>
          <w:p w:rsidRPr="00E70711" w:rsidR="004F32DB" w:rsidRDefault="00B33973" w14:paraId="4E45D4DE" w14:textId="2F3D2CEE">
            <w:pPr>
              <w:jc w:val="center"/>
              <w:rPr>
                <w:b/>
                <w:sz w:val="20"/>
                <w:szCs w:val="20"/>
              </w:rPr>
            </w:pPr>
            <w:r w:rsidRPr="00F820C2">
              <w:rPr>
                <w:b/>
                <w:sz w:val="20"/>
                <w:szCs w:val="20"/>
              </w:rPr>
              <w:t>11</w:t>
            </w:r>
            <w:r w:rsidRPr="00F820C2" w:rsidR="00D87905">
              <w:rPr>
                <w:b/>
                <w:sz w:val="20"/>
                <w:szCs w:val="20"/>
              </w:rPr>
              <w:t>,</w:t>
            </w:r>
            <w:r w:rsidR="00D04494">
              <w:rPr>
                <w:b/>
                <w:sz w:val="20"/>
                <w:szCs w:val="20"/>
              </w:rPr>
              <w:t>5</w:t>
            </w:r>
            <w:r w:rsidRPr="00F820C2">
              <w:rPr>
                <w:b/>
                <w:sz w:val="20"/>
                <w:szCs w:val="20"/>
              </w:rPr>
              <w:t>52</w:t>
            </w:r>
          </w:p>
        </w:tc>
      </w:tr>
    </w:tbl>
    <w:p w:rsidRPr="00B213CD" w:rsidR="00654F33" w:rsidP="00654F33" w:rsidRDefault="001909CD" w14:paraId="05100008" w14:textId="0249A670">
      <w:pPr>
        <w:rPr>
          <w:sz w:val="20"/>
          <w:szCs w:val="20"/>
        </w:rPr>
      </w:pPr>
      <w:r w:rsidRPr="00B213CD">
        <w:rPr>
          <w:sz w:val="20"/>
          <w:szCs w:val="20"/>
        </w:rPr>
        <w:t>+ The number of respondents per data collection effort is calculat</w:t>
      </w:r>
      <w:r>
        <w:rPr>
          <w:sz w:val="20"/>
          <w:szCs w:val="20"/>
        </w:rPr>
        <w:t xml:space="preserve">ed by multiplying the number of </w:t>
      </w:r>
      <w:r w:rsidR="00306C56">
        <w:rPr>
          <w:sz w:val="20"/>
          <w:szCs w:val="20"/>
        </w:rPr>
        <w:t>r</w:t>
      </w:r>
      <w:r w:rsidRPr="00B213CD">
        <w:rPr>
          <w:sz w:val="20"/>
          <w:szCs w:val="20"/>
        </w:rPr>
        <w:t>espondents per unit by the total number of units. The result is divided by three to capture an annualized number.</w:t>
      </w:r>
    </w:p>
    <w:p w:rsidRPr="00E70711" w:rsidR="001909CD" w:rsidP="00654F33" w:rsidRDefault="001909CD" w14:paraId="323D6801" w14:textId="77777777"/>
    <w:p w:rsidRPr="00E70711" w:rsidR="00654F33" w:rsidP="00654F33" w:rsidRDefault="00654F33" w14:paraId="51DDD4FF" w14:textId="58F16D0B">
      <w:r w:rsidRPr="00E70711">
        <w:t xml:space="preserve">Exhibit </w:t>
      </w:r>
      <w:r w:rsidRPr="00E70711" w:rsidR="001C1E5C">
        <w:t>A.</w:t>
      </w:r>
      <w:r w:rsidR="006E54BE">
        <w:t>3</w:t>
      </w:r>
      <w:r w:rsidRPr="00E70711" w:rsidR="006E54BE">
        <w:t xml:space="preserve"> </w:t>
      </w:r>
      <w:r w:rsidRPr="00E70711">
        <w:t xml:space="preserve">shows the estimated annualized cost burden based on the respondents’ time to </w:t>
      </w:r>
      <w:r w:rsidRPr="00E70711" w:rsidR="0082220D">
        <w:t xml:space="preserve">complete the </w:t>
      </w:r>
      <w:r w:rsidRPr="00E70711" w:rsidR="00591ED5">
        <w:t>data collection activities</w:t>
      </w:r>
      <w:r w:rsidRPr="00E70711">
        <w:t xml:space="preserve">. The total </w:t>
      </w:r>
      <w:r w:rsidRPr="00E70711" w:rsidR="00591ED5">
        <w:t xml:space="preserve">annualized </w:t>
      </w:r>
      <w:r w:rsidRPr="00E70711">
        <w:t xml:space="preserve">cost burden is estimated to be </w:t>
      </w:r>
      <w:r w:rsidRPr="00E70711" w:rsidR="002C3CCA">
        <w:t>$</w:t>
      </w:r>
      <w:r w:rsidRPr="00B213CD" w:rsidR="00717722">
        <w:t>5</w:t>
      </w:r>
      <w:r w:rsidR="00D04494">
        <w:t>40</w:t>
      </w:r>
      <w:r w:rsidRPr="00B213CD" w:rsidR="00717722">
        <w:t>,</w:t>
      </w:r>
      <w:r w:rsidR="00D04494">
        <w:t>325</w:t>
      </w:r>
      <w:r w:rsidRPr="00B213CD" w:rsidR="00717722">
        <w:t>.83</w:t>
      </w:r>
      <w:r w:rsidRPr="00D86687">
        <w:t>.</w:t>
      </w:r>
    </w:p>
    <w:p w:rsidRPr="00E70711" w:rsidR="00EC3197" w:rsidP="00654F33" w:rsidRDefault="00EC3197" w14:paraId="46412D47" w14:textId="77777777"/>
    <w:p w:rsidRPr="00E70711" w:rsidR="00B51378" w:rsidP="00B51378" w:rsidRDefault="00E738AF" w14:paraId="4D72D32F" w14:textId="7ADFC254">
      <w:pPr>
        <w:rPr>
          <w:b/>
        </w:rPr>
      </w:pPr>
      <w:r w:rsidRPr="00E70711">
        <w:rPr>
          <w:b/>
          <w:bCs/>
          <w:color w:val="000000"/>
        </w:rPr>
        <w:t xml:space="preserve">Exhibit </w:t>
      </w:r>
      <w:r w:rsidRPr="00E70711" w:rsidR="001C1E5C">
        <w:rPr>
          <w:b/>
          <w:bCs/>
          <w:color w:val="000000"/>
        </w:rPr>
        <w:t>A.</w:t>
      </w:r>
      <w:r w:rsidR="006E54BE">
        <w:rPr>
          <w:b/>
          <w:bCs/>
          <w:color w:val="000000"/>
        </w:rPr>
        <w:t>3</w:t>
      </w:r>
      <w:r w:rsidRPr="00E70711" w:rsidR="006E54BE">
        <w:rPr>
          <w:b/>
          <w:bCs/>
          <w:color w:val="000000"/>
        </w:rPr>
        <w:t xml:space="preserve"> </w:t>
      </w:r>
      <w:r w:rsidRPr="00E70711" w:rsidR="00B51378">
        <w:rPr>
          <w:b/>
        </w:rPr>
        <w:t>Estimated annualized cost burden</w:t>
      </w:r>
    </w:p>
    <w:tbl>
      <w:tblPr>
        <w:tblW w:w="906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497"/>
        <w:gridCol w:w="1530"/>
        <w:gridCol w:w="1620"/>
        <w:gridCol w:w="1620"/>
        <w:gridCol w:w="1800"/>
      </w:tblGrid>
      <w:tr w:rsidRPr="00E70711" w:rsidR="00C70AC2" w:rsidTr="00AB6736" w14:paraId="0552F3A8" w14:textId="77777777">
        <w:tc>
          <w:tcPr>
            <w:tcW w:w="2497" w:type="dxa"/>
            <w:shd w:val="clear" w:color="auto" w:fill="auto"/>
            <w:tcMar>
              <w:top w:w="0" w:type="dxa"/>
              <w:left w:w="108" w:type="dxa"/>
              <w:bottom w:w="0" w:type="dxa"/>
              <w:right w:w="108" w:type="dxa"/>
            </w:tcMar>
          </w:tcPr>
          <w:p w:rsidRPr="00E70711" w:rsidR="00C70AC2" w:rsidP="0044220E" w:rsidRDefault="00C70AC2" w14:paraId="4FC451A2" w14:textId="77777777">
            <w:pPr>
              <w:rPr>
                <w:sz w:val="20"/>
                <w:szCs w:val="20"/>
              </w:rPr>
            </w:pPr>
            <w:r w:rsidRPr="00E70711">
              <w:rPr>
                <w:color w:val="000000"/>
                <w:sz w:val="20"/>
                <w:szCs w:val="20"/>
              </w:rPr>
              <w:t>Form Name</w:t>
            </w:r>
          </w:p>
        </w:tc>
        <w:tc>
          <w:tcPr>
            <w:tcW w:w="1530" w:type="dxa"/>
            <w:shd w:val="clear" w:color="auto" w:fill="auto"/>
            <w:tcMar>
              <w:top w:w="0" w:type="dxa"/>
              <w:left w:w="108" w:type="dxa"/>
              <w:bottom w:w="0" w:type="dxa"/>
              <w:right w:w="108" w:type="dxa"/>
            </w:tcMar>
          </w:tcPr>
          <w:p w:rsidRPr="00E70711" w:rsidR="00C70AC2" w:rsidP="0044220E" w:rsidRDefault="00C70AC2" w14:paraId="397CA285" w14:textId="77777777">
            <w:pPr>
              <w:jc w:val="center"/>
              <w:rPr>
                <w:sz w:val="20"/>
                <w:szCs w:val="20"/>
              </w:rPr>
            </w:pPr>
            <w:r w:rsidRPr="00E70711">
              <w:rPr>
                <w:color w:val="000000"/>
                <w:sz w:val="20"/>
                <w:szCs w:val="20"/>
              </w:rPr>
              <w:t>Number of Respondents</w:t>
            </w:r>
          </w:p>
        </w:tc>
        <w:tc>
          <w:tcPr>
            <w:tcW w:w="1620" w:type="dxa"/>
            <w:shd w:val="clear" w:color="auto" w:fill="auto"/>
            <w:tcMar>
              <w:top w:w="0" w:type="dxa"/>
              <w:left w:w="108" w:type="dxa"/>
              <w:bottom w:w="0" w:type="dxa"/>
              <w:right w:w="108" w:type="dxa"/>
            </w:tcMar>
          </w:tcPr>
          <w:p w:rsidRPr="00E70711" w:rsidR="00C70AC2" w:rsidP="0044220E" w:rsidRDefault="00C70AC2" w14:paraId="7D73AD04" w14:textId="7B1DC1B7">
            <w:pPr>
              <w:jc w:val="center"/>
              <w:rPr>
                <w:sz w:val="20"/>
                <w:szCs w:val="20"/>
              </w:rPr>
            </w:pPr>
            <w:r w:rsidRPr="00E70711">
              <w:rPr>
                <w:sz w:val="20"/>
                <w:szCs w:val="20"/>
              </w:rPr>
              <w:t>Total Burden Hours</w:t>
            </w:r>
          </w:p>
        </w:tc>
        <w:tc>
          <w:tcPr>
            <w:tcW w:w="1620" w:type="dxa"/>
          </w:tcPr>
          <w:p w:rsidRPr="00E70711" w:rsidR="00C70AC2" w:rsidP="0044220E" w:rsidRDefault="00C70AC2" w14:paraId="59C17773" w14:textId="3DD6BEFD">
            <w:pPr>
              <w:jc w:val="center"/>
              <w:rPr>
                <w:sz w:val="20"/>
                <w:szCs w:val="20"/>
              </w:rPr>
            </w:pPr>
            <w:r w:rsidRPr="00E70711">
              <w:rPr>
                <w:color w:val="000000"/>
                <w:sz w:val="20"/>
                <w:szCs w:val="20"/>
              </w:rPr>
              <w:t>Average Hourly Wage Rate</w:t>
            </w:r>
          </w:p>
        </w:tc>
        <w:tc>
          <w:tcPr>
            <w:tcW w:w="1800" w:type="dxa"/>
            <w:shd w:val="clear" w:color="auto" w:fill="auto"/>
            <w:tcMar>
              <w:top w:w="0" w:type="dxa"/>
              <w:left w:w="108" w:type="dxa"/>
              <w:bottom w:w="0" w:type="dxa"/>
              <w:right w:w="108" w:type="dxa"/>
            </w:tcMar>
          </w:tcPr>
          <w:p w:rsidRPr="00E70711" w:rsidR="00C70AC2" w:rsidP="0044220E" w:rsidRDefault="00C70AC2" w14:paraId="6E106080" w14:textId="776DF8DB">
            <w:pPr>
              <w:jc w:val="center"/>
              <w:rPr>
                <w:sz w:val="20"/>
                <w:szCs w:val="20"/>
              </w:rPr>
            </w:pPr>
            <w:r w:rsidRPr="00E70711">
              <w:rPr>
                <w:color w:val="000000"/>
                <w:sz w:val="20"/>
                <w:szCs w:val="20"/>
              </w:rPr>
              <w:t xml:space="preserve">Total Cost Burden </w:t>
            </w:r>
          </w:p>
        </w:tc>
      </w:tr>
      <w:tr w:rsidRPr="00E70711" w:rsidR="003374C8" w:rsidTr="00AB6736" w14:paraId="6251F4AD" w14:textId="77777777">
        <w:tc>
          <w:tcPr>
            <w:tcW w:w="9067" w:type="dxa"/>
            <w:gridSpan w:val="5"/>
            <w:shd w:val="clear" w:color="auto" w:fill="auto"/>
            <w:tcMar>
              <w:top w:w="0" w:type="dxa"/>
              <w:left w:w="108" w:type="dxa"/>
              <w:bottom w:w="0" w:type="dxa"/>
              <w:right w:w="108" w:type="dxa"/>
            </w:tcMar>
          </w:tcPr>
          <w:p w:rsidRPr="00E70711" w:rsidR="003374C8" w:rsidP="003374C8" w:rsidRDefault="003374C8" w14:paraId="3FC777F6" w14:textId="77777777">
            <w:pPr>
              <w:rPr>
                <w:b/>
                <w:sz w:val="20"/>
                <w:szCs w:val="20"/>
              </w:rPr>
            </w:pPr>
            <w:r w:rsidRPr="00E70711">
              <w:rPr>
                <w:b/>
                <w:bCs/>
                <w:color w:val="000000"/>
                <w:sz w:val="20"/>
                <w:szCs w:val="20"/>
              </w:rPr>
              <w:t xml:space="preserve">Survey of Patient Safety Culture </w:t>
            </w:r>
          </w:p>
        </w:tc>
      </w:tr>
      <w:tr w:rsidRPr="00E70711" w:rsidR="00FD7C1A" w:rsidTr="00AB6736" w14:paraId="097AB029" w14:textId="77777777">
        <w:tc>
          <w:tcPr>
            <w:tcW w:w="2497" w:type="dxa"/>
            <w:shd w:val="clear" w:color="auto" w:fill="auto"/>
            <w:tcMar>
              <w:top w:w="0" w:type="dxa"/>
              <w:left w:w="108" w:type="dxa"/>
              <w:bottom w:w="0" w:type="dxa"/>
              <w:right w:w="108" w:type="dxa"/>
            </w:tcMar>
          </w:tcPr>
          <w:p w:rsidRPr="00E70711" w:rsidR="00FD7C1A" w:rsidP="00FD7C1A" w:rsidRDefault="00FD7C1A" w14:paraId="55796672" w14:textId="3F93C0F3">
            <w:pPr>
              <w:pStyle w:val="ColorfulList-Accent11"/>
              <w:ind w:left="229"/>
              <w:rPr>
                <w:bCs/>
                <w:color w:val="000000"/>
                <w:sz w:val="20"/>
                <w:szCs w:val="20"/>
              </w:rPr>
            </w:pPr>
            <w:r w:rsidRPr="00E70711">
              <w:rPr>
                <w:bCs/>
                <w:color w:val="000000"/>
                <w:sz w:val="20"/>
                <w:szCs w:val="20"/>
              </w:rPr>
              <w:t xml:space="preserve">HSOPS </w:t>
            </w:r>
            <w:r w:rsidR="0083758D">
              <w:rPr>
                <w:bCs/>
                <w:color w:val="000000"/>
                <w:sz w:val="20"/>
                <w:szCs w:val="20"/>
              </w:rPr>
              <w:t xml:space="preserve">(Attachment </w:t>
            </w:r>
            <w:r w:rsidR="006D46BE">
              <w:rPr>
                <w:bCs/>
                <w:color w:val="000000"/>
                <w:sz w:val="20"/>
                <w:szCs w:val="20"/>
              </w:rPr>
              <w:t>H</w:t>
            </w:r>
            <w:r w:rsidR="0083758D">
              <w:rPr>
                <w:bCs/>
                <w:color w:val="000000"/>
                <w:sz w:val="20"/>
                <w:szCs w:val="20"/>
              </w:rPr>
              <w:t>)</w:t>
            </w:r>
          </w:p>
          <w:p w:rsidRPr="00E70711" w:rsidR="00FD7C1A" w:rsidP="00FD7C1A" w:rsidRDefault="00FD7C1A" w14:paraId="7D9B7FE0" w14:textId="40F11CE2">
            <w:pPr>
              <w:pStyle w:val="ColorfulList-Accent11"/>
              <w:ind w:left="229"/>
              <w:rPr>
                <w:bCs/>
                <w:i/>
                <w:color w:val="000000"/>
                <w:sz w:val="20"/>
                <w:szCs w:val="20"/>
              </w:rPr>
            </w:pPr>
            <w:r w:rsidRPr="00E70711">
              <w:rPr>
                <w:bCs/>
                <w:i/>
                <w:color w:val="000000"/>
                <w:sz w:val="20"/>
                <w:szCs w:val="20"/>
              </w:rPr>
              <w:t>(25 respondents per unit,</w:t>
            </w:r>
            <w:r>
              <w:rPr>
                <w:bCs/>
                <w:i/>
                <w:color w:val="000000"/>
                <w:sz w:val="20"/>
                <w:szCs w:val="20"/>
              </w:rPr>
              <w:t xml:space="preserve"> </w:t>
            </w:r>
            <w:r w:rsidRPr="00E70711">
              <w:rPr>
                <w:bCs/>
                <w:i/>
                <w:color w:val="000000"/>
                <w:sz w:val="20"/>
                <w:szCs w:val="20"/>
              </w:rPr>
              <w:t>pre- and post-</w:t>
            </w:r>
            <w:r w:rsidRPr="00965F68" w:rsidR="00965F68">
              <w:rPr>
                <w:bCs/>
                <w:i/>
                <w:color w:val="000000"/>
                <w:sz w:val="20"/>
                <w:szCs w:val="20"/>
              </w:rPr>
              <w:t>implementation</w:t>
            </w:r>
            <w:r w:rsidRPr="00E70711">
              <w:rPr>
                <w:bCs/>
                <w:i/>
                <w:color w:val="000000"/>
                <w:sz w:val="20"/>
                <w:szCs w:val="20"/>
              </w:rPr>
              <w:t xml:space="preserve"> for ICU</w:t>
            </w:r>
            <w:r>
              <w:rPr>
                <w:bCs/>
                <w:i/>
                <w:color w:val="000000"/>
                <w:sz w:val="20"/>
                <w:szCs w:val="20"/>
              </w:rPr>
              <w:t xml:space="preserve"> (400)</w:t>
            </w:r>
            <w:r w:rsidRPr="00E70711">
              <w:rPr>
                <w:bCs/>
                <w:i/>
                <w:color w:val="000000"/>
                <w:sz w:val="20"/>
                <w:szCs w:val="20"/>
              </w:rPr>
              <w:t>, non-ICU</w:t>
            </w:r>
            <w:r>
              <w:rPr>
                <w:bCs/>
                <w:i/>
                <w:color w:val="000000"/>
                <w:sz w:val="20"/>
                <w:szCs w:val="20"/>
              </w:rPr>
              <w:t xml:space="preserve"> (400)</w:t>
            </w:r>
            <w:r w:rsidRPr="00E70711">
              <w:rPr>
                <w:bCs/>
                <w:i/>
                <w:color w:val="000000"/>
                <w:sz w:val="20"/>
                <w:szCs w:val="20"/>
              </w:rPr>
              <w:t xml:space="preserve">, and surgical </w:t>
            </w:r>
            <w:r>
              <w:rPr>
                <w:bCs/>
                <w:i/>
                <w:color w:val="000000"/>
                <w:sz w:val="20"/>
                <w:szCs w:val="20"/>
              </w:rPr>
              <w:t xml:space="preserve">(300) </w:t>
            </w:r>
            <w:r w:rsidRPr="00E70711">
              <w:rPr>
                <w:bCs/>
                <w:i/>
                <w:color w:val="000000"/>
                <w:sz w:val="20"/>
                <w:szCs w:val="20"/>
              </w:rPr>
              <w:t>cohorts</w:t>
            </w:r>
            <w:r>
              <w:rPr>
                <w:bCs/>
                <w:i/>
                <w:color w:val="000000"/>
                <w:sz w:val="20"/>
                <w:szCs w:val="20"/>
              </w:rPr>
              <w:t>, 1,100 units total</w:t>
            </w:r>
            <w:r w:rsidRPr="00E70711">
              <w:rPr>
                <w:bCs/>
                <w:i/>
                <w:color w:val="000000"/>
                <w:sz w:val="20"/>
                <w:szCs w:val="20"/>
              </w:rPr>
              <w:t>)</w:t>
            </w:r>
          </w:p>
        </w:tc>
        <w:tc>
          <w:tcPr>
            <w:tcW w:w="1530" w:type="dxa"/>
            <w:shd w:val="clear" w:color="auto" w:fill="auto"/>
            <w:tcMar>
              <w:top w:w="0" w:type="dxa"/>
              <w:left w:w="108" w:type="dxa"/>
              <w:bottom w:w="0" w:type="dxa"/>
              <w:right w:w="108" w:type="dxa"/>
            </w:tcMar>
          </w:tcPr>
          <w:p w:rsidRPr="00E70711" w:rsidR="00FD7C1A" w:rsidP="00FD7C1A" w:rsidRDefault="00FD7C1A" w14:paraId="5185B57A" w14:textId="77777777">
            <w:pPr>
              <w:jc w:val="center"/>
              <w:rPr>
                <w:sz w:val="20"/>
                <w:szCs w:val="20"/>
              </w:rPr>
            </w:pPr>
            <w:r w:rsidRPr="00E70711">
              <w:rPr>
                <w:sz w:val="20"/>
                <w:szCs w:val="20"/>
              </w:rPr>
              <w:t>9,167</w:t>
            </w:r>
          </w:p>
        </w:tc>
        <w:tc>
          <w:tcPr>
            <w:tcW w:w="1620" w:type="dxa"/>
            <w:shd w:val="clear" w:color="auto" w:fill="auto"/>
            <w:tcMar>
              <w:top w:w="0" w:type="dxa"/>
              <w:left w:w="108" w:type="dxa"/>
              <w:bottom w:w="0" w:type="dxa"/>
              <w:right w:w="108" w:type="dxa"/>
            </w:tcMar>
          </w:tcPr>
          <w:p w:rsidRPr="00E70711" w:rsidR="00FD7C1A" w:rsidP="00FD7C1A" w:rsidRDefault="00FD7C1A" w14:paraId="118FE1F7" w14:textId="7E7B857C">
            <w:pPr>
              <w:jc w:val="center"/>
              <w:rPr>
                <w:sz w:val="20"/>
                <w:szCs w:val="20"/>
              </w:rPr>
            </w:pPr>
            <w:r w:rsidRPr="00E70711">
              <w:rPr>
                <w:sz w:val="20"/>
                <w:szCs w:val="20"/>
              </w:rPr>
              <w:t>4,58</w:t>
            </w:r>
            <w:r w:rsidR="008A26A9">
              <w:rPr>
                <w:sz w:val="20"/>
                <w:szCs w:val="20"/>
              </w:rPr>
              <w:t>4</w:t>
            </w:r>
          </w:p>
        </w:tc>
        <w:tc>
          <w:tcPr>
            <w:tcW w:w="1620" w:type="dxa"/>
          </w:tcPr>
          <w:p w:rsidRPr="00E70711" w:rsidR="00FD7C1A" w:rsidP="00FD7C1A" w:rsidRDefault="00FD7C1A" w14:paraId="57DC6FA2" w14:textId="14F6B4C8">
            <w:pPr>
              <w:jc w:val="center"/>
              <w:rPr>
                <w:sz w:val="20"/>
                <w:szCs w:val="20"/>
              </w:rPr>
            </w:pPr>
            <w:r w:rsidRPr="00E70711">
              <w:rPr>
                <w:sz w:val="20"/>
                <w:szCs w:val="20"/>
              </w:rPr>
              <w:t>$51.53*</w:t>
            </w:r>
          </w:p>
        </w:tc>
        <w:tc>
          <w:tcPr>
            <w:tcW w:w="1800" w:type="dxa"/>
            <w:shd w:val="clear" w:color="auto" w:fill="auto"/>
            <w:tcMar>
              <w:top w:w="0" w:type="dxa"/>
              <w:left w:w="108" w:type="dxa"/>
              <w:bottom w:w="0" w:type="dxa"/>
              <w:right w:w="108" w:type="dxa"/>
            </w:tcMar>
          </w:tcPr>
          <w:p w:rsidRPr="00E70711" w:rsidR="00FD7C1A" w:rsidRDefault="00FD7C1A" w14:paraId="3EB38ED1" w14:textId="63BCF396">
            <w:pPr>
              <w:jc w:val="center"/>
              <w:rPr>
                <w:sz w:val="20"/>
                <w:szCs w:val="20"/>
              </w:rPr>
            </w:pPr>
            <w:r w:rsidRPr="00E70711">
              <w:rPr>
                <w:sz w:val="20"/>
                <w:szCs w:val="20"/>
              </w:rPr>
              <w:t>$236,</w:t>
            </w:r>
            <w:r w:rsidR="008A26A9">
              <w:rPr>
                <w:sz w:val="20"/>
                <w:szCs w:val="20"/>
              </w:rPr>
              <w:t>187.76</w:t>
            </w:r>
          </w:p>
        </w:tc>
      </w:tr>
      <w:tr w:rsidRPr="00E70711" w:rsidR="00FD7C1A" w:rsidTr="00AB6736" w14:paraId="6169D18E" w14:textId="77777777">
        <w:trPr>
          <w:trHeight w:val="260"/>
        </w:trPr>
        <w:tc>
          <w:tcPr>
            <w:tcW w:w="2497" w:type="dxa"/>
            <w:shd w:val="clear" w:color="auto" w:fill="auto"/>
            <w:tcMar>
              <w:top w:w="0" w:type="dxa"/>
              <w:left w:w="108" w:type="dxa"/>
              <w:bottom w:w="0" w:type="dxa"/>
              <w:right w:w="108" w:type="dxa"/>
            </w:tcMar>
          </w:tcPr>
          <w:p w:rsidRPr="00E70711" w:rsidR="00FD7C1A" w:rsidP="00FD7C1A" w:rsidRDefault="00FD7C1A" w14:paraId="1B68DF83" w14:textId="225E03D2">
            <w:pPr>
              <w:pStyle w:val="ColorfulList-Accent11"/>
              <w:ind w:left="229"/>
              <w:rPr>
                <w:bCs/>
                <w:color w:val="000000"/>
                <w:sz w:val="20"/>
                <w:szCs w:val="20"/>
              </w:rPr>
            </w:pPr>
            <w:r w:rsidRPr="00E70711">
              <w:rPr>
                <w:bCs/>
                <w:color w:val="000000"/>
                <w:sz w:val="20"/>
                <w:szCs w:val="20"/>
              </w:rPr>
              <w:t xml:space="preserve">NHSOPS </w:t>
            </w:r>
            <w:r w:rsidR="0083758D">
              <w:rPr>
                <w:bCs/>
                <w:color w:val="000000"/>
                <w:sz w:val="20"/>
                <w:szCs w:val="20"/>
              </w:rPr>
              <w:t xml:space="preserve">(Attachment </w:t>
            </w:r>
            <w:r w:rsidR="006D46BE">
              <w:rPr>
                <w:bCs/>
                <w:color w:val="000000"/>
                <w:sz w:val="20"/>
                <w:szCs w:val="20"/>
              </w:rPr>
              <w:t>I</w:t>
            </w:r>
            <w:r w:rsidR="0083758D">
              <w:rPr>
                <w:bCs/>
                <w:color w:val="000000"/>
                <w:sz w:val="20"/>
                <w:szCs w:val="20"/>
              </w:rPr>
              <w:t>)</w:t>
            </w:r>
          </w:p>
          <w:p w:rsidRPr="00E70711" w:rsidR="00FD7C1A" w:rsidP="00FD7C1A" w:rsidRDefault="00FD7C1A" w14:paraId="12DD2F76" w14:textId="7CEDD46D">
            <w:pPr>
              <w:pStyle w:val="ColorfulList-Accent11"/>
              <w:ind w:left="229"/>
              <w:rPr>
                <w:bCs/>
                <w:color w:val="000000"/>
                <w:sz w:val="20"/>
                <w:szCs w:val="20"/>
              </w:rPr>
            </w:pPr>
            <w:r w:rsidRPr="00E70711">
              <w:rPr>
                <w:bCs/>
                <w:i/>
                <w:color w:val="000000"/>
                <w:sz w:val="20"/>
                <w:szCs w:val="20"/>
              </w:rPr>
              <w:t xml:space="preserve">(25 respondents per facility, </w:t>
            </w:r>
            <w:r>
              <w:rPr>
                <w:bCs/>
                <w:i/>
                <w:color w:val="000000"/>
                <w:sz w:val="20"/>
                <w:szCs w:val="20"/>
              </w:rPr>
              <w:t xml:space="preserve">one response per </w:t>
            </w:r>
            <w:r w:rsidRPr="00E70711">
              <w:rPr>
                <w:bCs/>
                <w:i/>
                <w:color w:val="000000"/>
                <w:sz w:val="20"/>
                <w:szCs w:val="20"/>
              </w:rPr>
              <w:t>pre- and post-</w:t>
            </w:r>
            <w:r w:rsidRPr="00965F68" w:rsidR="00965F68">
              <w:rPr>
                <w:bCs/>
                <w:i/>
                <w:color w:val="000000"/>
                <w:sz w:val="20"/>
                <w:szCs w:val="20"/>
              </w:rPr>
              <w:t>implementation</w:t>
            </w:r>
            <w:r w:rsidRPr="00E70711">
              <w:rPr>
                <w:bCs/>
                <w:i/>
                <w:color w:val="000000"/>
                <w:sz w:val="20"/>
                <w:szCs w:val="20"/>
              </w:rPr>
              <w:t xml:space="preserve"> for LTC cohort</w:t>
            </w:r>
            <w:r>
              <w:rPr>
                <w:bCs/>
                <w:i/>
                <w:color w:val="000000"/>
                <w:sz w:val="20"/>
                <w:szCs w:val="20"/>
              </w:rPr>
              <w:t>, 300 facilities total</w:t>
            </w:r>
            <w:r w:rsidRPr="00E70711">
              <w:rPr>
                <w:bCs/>
                <w:i/>
                <w:color w:val="000000"/>
                <w:sz w:val="20"/>
                <w:szCs w:val="20"/>
              </w:rPr>
              <w:t>)</w:t>
            </w:r>
          </w:p>
        </w:tc>
        <w:tc>
          <w:tcPr>
            <w:tcW w:w="1530" w:type="dxa"/>
            <w:shd w:val="clear" w:color="auto" w:fill="auto"/>
            <w:tcMar>
              <w:top w:w="0" w:type="dxa"/>
              <w:left w:w="108" w:type="dxa"/>
              <w:bottom w:w="0" w:type="dxa"/>
              <w:right w:w="108" w:type="dxa"/>
            </w:tcMar>
          </w:tcPr>
          <w:p w:rsidRPr="00E70711" w:rsidR="00FD7C1A" w:rsidDel="00535E4A" w:rsidP="00FD7C1A" w:rsidRDefault="00FD7C1A" w14:paraId="4A7284C7" w14:textId="77777777">
            <w:pPr>
              <w:jc w:val="center"/>
              <w:rPr>
                <w:sz w:val="20"/>
                <w:szCs w:val="20"/>
              </w:rPr>
            </w:pPr>
            <w:r w:rsidRPr="00E70711">
              <w:rPr>
                <w:sz w:val="20"/>
                <w:szCs w:val="20"/>
              </w:rPr>
              <w:t>2,500</w:t>
            </w:r>
          </w:p>
        </w:tc>
        <w:tc>
          <w:tcPr>
            <w:tcW w:w="1620" w:type="dxa"/>
            <w:shd w:val="clear" w:color="auto" w:fill="auto"/>
            <w:tcMar>
              <w:top w:w="0" w:type="dxa"/>
              <w:left w:w="108" w:type="dxa"/>
              <w:bottom w:w="0" w:type="dxa"/>
              <w:right w:w="108" w:type="dxa"/>
            </w:tcMar>
          </w:tcPr>
          <w:p w:rsidRPr="00E70711" w:rsidR="00FD7C1A" w:rsidP="00FD7C1A" w:rsidRDefault="00FD7C1A" w14:paraId="265CA800" w14:textId="3B5406D3">
            <w:pPr>
              <w:jc w:val="center"/>
              <w:rPr>
                <w:sz w:val="20"/>
                <w:szCs w:val="20"/>
              </w:rPr>
            </w:pPr>
            <w:r w:rsidRPr="00E70711">
              <w:rPr>
                <w:sz w:val="20"/>
                <w:szCs w:val="20"/>
              </w:rPr>
              <w:t>1,250</w:t>
            </w:r>
          </w:p>
        </w:tc>
        <w:tc>
          <w:tcPr>
            <w:tcW w:w="1620" w:type="dxa"/>
          </w:tcPr>
          <w:p w:rsidRPr="00E70711" w:rsidR="00FD7C1A" w:rsidP="00FD7C1A" w:rsidRDefault="00FD7C1A" w14:paraId="4BA5DC72" w14:textId="2FFE45DD">
            <w:pPr>
              <w:jc w:val="center"/>
              <w:rPr>
                <w:sz w:val="20"/>
                <w:szCs w:val="20"/>
              </w:rPr>
            </w:pPr>
            <w:r w:rsidRPr="00E70711">
              <w:rPr>
                <w:sz w:val="20"/>
                <w:szCs w:val="20"/>
              </w:rPr>
              <w:t>$51.53*</w:t>
            </w:r>
          </w:p>
        </w:tc>
        <w:tc>
          <w:tcPr>
            <w:tcW w:w="1800" w:type="dxa"/>
            <w:shd w:val="clear" w:color="auto" w:fill="auto"/>
            <w:tcMar>
              <w:top w:w="0" w:type="dxa"/>
              <w:left w:w="108" w:type="dxa"/>
              <w:bottom w:w="0" w:type="dxa"/>
              <w:right w:w="108" w:type="dxa"/>
            </w:tcMar>
          </w:tcPr>
          <w:p w:rsidRPr="00E70711" w:rsidR="00FD7C1A" w:rsidP="00FD7C1A" w:rsidRDefault="00FD7C1A" w14:paraId="3506D017" w14:textId="058DE376">
            <w:pPr>
              <w:jc w:val="center"/>
              <w:rPr>
                <w:sz w:val="20"/>
                <w:szCs w:val="20"/>
              </w:rPr>
            </w:pPr>
            <w:r w:rsidRPr="00E70711">
              <w:rPr>
                <w:sz w:val="20"/>
                <w:szCs w:val="20"/>
              </w:rPr>
              <w:t>$64,412.50</w:t>
            </w:r>
          </w:p>
        </w:tc>
      </w:tr>
      <w:tr w:rsidRPr="00E70711" w:rsidR="00B105DD" w:rsidTr="00AB6736" w14:paraId="308EAD27" w14:textId="77777777">
        <w:trPr>
          <w:trHeight w:val="260"/>
        </w:trPr>
        <w:tc>
          <w:tcPr>
            <w:tcW w:w="9067" w:type="dxa"/>
            <w:gridSpan w:val="5"/>
            <w:shd w:val="clear" w:color="auto" w:fill="auto"/>
            <w:tcMar>
              <w:top w:w="0" w:type="dxa"/>
              <w:left w:w="108" w:type="dxa"/>
              <w:bottom w:w="0" w:type="dxa"/>
              <w:right w:w="108" w:type="dxa"/>
            </w:tcMar>
          </w:tcPr>
          <w:p w:rsidRPr="00E70711" w:rsidR="00B105DD" w:rsidP="00AB6736" w:rsidRDefault="00B105DD" w14:paraId="4C77F213" w14:textId="617E55D7">
            <w:pPr>
              <w:rPr>
                <w:sz w:val="20"/>
                <w:szCs w:val="20"/>
              </w:rPr>
            </w:pPr>
            <w:r w:rsidRPr="00E70711">
              <w:rPr>
                <w:b/>
                <w:sz w:val="20"/>
                <w:szCs w:val="20"/>
              </w:rPr>
              <w:t>Infrastructure Assessment</w:t>
            </w:r>
          </w:p>
        </w:tc>
      </w:tr>
      <w:tr w:rsidRPr="00E70711" w:rsidR="00FD7C1A" w:rsidTr="00AB6736" w14:paraId="6A9118A0" w14:textId="77777777">
        <w:trPr>
          <w:trHeight w:val="260"/>
        </w:trPr>
        <w:tc>
          <w:tcPr>
            <w:tcW w:w="2497" w:type="dxa"/>
            <w:shd w:val="clear" w:color="auto" w:fill="auto"/>
            <w:tcMar>
              <w:top w:w="0" w:type="dxa"/>
              <w:left w:w="108" w:type="dxa"/>
              <w:bottom w:w="0" w:type="dxa"/>
              <w:right w:w="108" w:type="dxa"/>
            </w:tcMar>
          </w:tcPr>
          <w:p w:rsidRPr="00E70711" w:rsidR="00FD7C1A" w:rsidP="00FD7C1A" w:rsidRDefault="00FD7C1A" w14:paraId="7D148AA9" w14:textId="2CA2C2D0">
            <w:pPr>
              <w:pStyle w:val="ColorfulList-Accent11"/>
              <w:tabs>
                <w:tab w:val="left" w:pos="229"/>
              </w:tabs>
              <w:ind w:left="229"/>
              <w:rPr>
                <w:sz w:val="20"/>
                <w:szCs w:val="20"/>
              </w:rPr>
            </w:pPr>
            <w:r w:rsidRPr="00E70711">
              <w:rPr>
                <w:sz w:val="20"/>
                <w:szCs w:val="20"/>
              </w:rPr>
              <w:t>Gap Analysis</w:t>
            </w:r>
            <w:r w:rsidR="0083758D">
              <w:rPr>
                <w:sz w:val="20"/>
                <w:szCs w:val="20"/>
              </w:rPr>
              <w:t xml:space="preserve"> (Attachments B-D)</w:t>
            </w:r>
          </w:p>
          <w:p w:rsidRPr="00E70711" w:rsidR="00FD7C1A" w:rsidP="00FD7C1A" w:rsidRDefault="00FD7C1A" w14:paraId="6C957A5F" w14:textId="4AFB60FE">
            <w:pPr>
              <w:pStyle w:val="ColorfulList-Accent11"/>
              <w:ind w:left="229"/>
              <w:rPr>
                <w:bCs/>
                <w:color w:val="000000"/>
                <w:sz w:val="20"/>
                <w:szCs w:val="20"/>
              </w:rPr>
            </w:pPr>
            <w:r w:rsidRPr="00E70711">
              <w:rPr>
                <w:i/>
                <w:sz w:val="20"/>
                <w:szCs w:val="20"/>
              </w:rPr>
              <w:t>(</w:t>
            </w:r>
            <w:r>
              <w:rPr>
                <w:i/>
                <w:sz w:val="20"/>
                <w:szCs w:val="20"/>
              </w:rPr>
              <w:t xml:space="preserve">1 assessment per </w:t>
            </w:r>
            <w:r w:rsidRPr="00E70711">
              <w:rPr>
                <w:i/>
                <w:sz w:val="20"/>
                <w:szCs w:val="20"/>
              </w:rPr>
              <w:t>unit or facility, pre</w:t>
            </w:r>
            <w:r>
              <w:rPr>
                <w:i/>
                <w:sz w:val="20"/>
                <w:szCs w:val="20"/>
              </w:rPr>
              <w:t xml:space="preserve"> </w:t>
            </w:r>
            <w:r w:rsidRPr="00E70711">
              <w:rPr>
                <w:i/>
                <w:sz w:val="20"/>
                <w:szCs w:val="20"/>
              </w:rPr>
              <w:t>and post-</w:t>
            </w:r>
            <w:r w:rsidRPr="00965F68" w:rsidR="00965F68">
              <w:rPr>
                <w:bCs/>
                <w:i/>
                <w:color w:val="000000"/>
                <w:sz w:val="20"/>
                <w:szCs w:val="20"/>
              </w:rPr>
              <w:t>implementation</w:t>
            </w:r>
            <w:r w:rsidRPr="00E70711">
              <w:rPr>
                <w:i/>
                <w:sz w:val="20"/>
                <w:szCs w:val="20"/>
              </w:rPr>
              <w:t xml:space="preserve"> for all four cohorts</w:t>
            </w:r>
            <w:r>
              <w:rPr>
                <w:i/>
                <w:sz w:val="20"/>
                <w:szCs w:val="20"/>
              </w:rPr>
              <w:t>, 1,400 sites total</w:t>
            </w:r>
            <w:r w:rsidRPr="00E70711">
              <w:rPr>
                <w:i/>
                <w:sz w:val="20"/>
                <w:szCs w:val="20"/>
              </w:rPr>
              <w:t>)</w:t>
            </w:r>
          </w:p>
        </w:tc>
        <w:tc>
          <w:tcPr>
            <w:tcW w:w="1530" w:type="dxa"/>
            <w:shd w:val="clear" w:color="auto" w:fill="auto"/>
            <w:tcMar>
              <w:top w:w="0" w:type="dxa"/>
              <w:left w:w="108" w:type="dxa"/>
              <w:bottom w:w="0" w:type="dxa"/>
              <w:right w:w="108" w:type="dxa"/>
            </w:tcMar>
          </w:tcPr>
          <w:p w:rsidRPr="00E70711" w:rsidR="00FD7C1A" w:rsidP="00FD7C1A" w:rsidRDefault="00FD7C1A" w14:paraId="3D847A1C" w14:textId="52C6BD2F">
            <w:pPr>
              <w:jc w:val="center"/>
              <w:rPr>
                <w:sz w:val="20"/>
                <w:szCs w:val="20"/>
              </w:rPr>
            </w:pPr>
            <w:r w:rsidRPr="00E70711">
              <w:rPr>
                <w:sz w:val="20"/>
                <w:szCs w:val="20"/>
              </w:rPr>
              <w:t>467</w:t>
            </w:r>
          </w:p>
        </w:tc>
        <w:tc>
          <w:tcPr>
            <w:tcW w:w="1620" w:type="dxa"/>
            <w:shd w:val="clear" w:color="auto" w:fill="auto"/>
            <w:tcMar>
              <w:top w:w="0" w:type="dxa"/>
              <w:left w:w="108" w:type="dxa"/>
              <w:bottom w:w="0" w:type="dxa"/>
              <w:right w:w="108" w:type="dxa"/>
            </w:tcMar>
          </w:tcPr>
          <w:p w:rsidRPr="00E70711" w:rsidR="00FD7C1A" w:rsidP="00FD7C1A" w:rsidRDefault="002F2F6F" w14:paraId="1E4D57B8" w14:textId="1205079D">
            <w:pPr>
              <w:jc w:val="center"/>
              <w:rPr>
                <w:sz w:val="20"/>
                <w:szCs w:val="20"/>
              </w:rPr>
            </w:pPr>
            <w:r>
              <w:rPr>
                <w:sz w:val="20"/>
                <w:szCs w:val="20"/>
              </w:rPr>
              <w:t>9</w:t>
            </w:r>
            <w:r w:rsidRPr="00E70711" w:rsidR="00FD7C1A">
              <w:rPr>
                <w:sz w:val="20"/>
                <w:szCs w:val="20"/>
              </w:rPr>
              <w:t>3</w:t>
            </w:r>
            <w:r w:rsidR="008A26A9">
              <w:rPr>
                <w:sz w:val="20"/>
                <w:szCs w:val="20"/>
              </w:rPr>
              <w:t>4</w:t>
            </w:r>
          </w:p>
        </w:tc>
        <w:tc>
          <w:tcPr>
            <w:tcW w:w="1620" w:type="dxa"/>
          </w:tcPr>
          <w:p w:rsidRPr="00E70711" w:rsidR="00FD7C1A" w:rsidP="00FD7C1A" w:rsidRDefault="00FD7C1A" w14:paraId="182AF5A1" w14:textId="48CAF711">
            <w:pPr>
              <w:jc w:val="center"/>
              <w:rPr>
                <w:sz w:val="20"/>
                <w:szCs w:val="20"/>
              </w:rPr>
            </w:pPr>
            <w:r w:rsidRPr="00E70711">
              <w:rPr>
                <w:sz w:val="20"/>
                <w:szCs w:val="20"/>
              </w:rPr>
              <w:t>$51.53*</w:t>
            </w:r>
          </w:p>
        </w:tc>
        <w:tc>
          <w:tcPr>
            <w:tcW w:w="1800" w:type="dxa"/>
            <w:shd w:val="clear" w:color="auto" w:fill="auto"/>
            <w:tcMar>
              <w:top w:w="0" w:type="dxa"/>
              <w:left w:w="108" w:type="dxa"/>
              <w:bottom w:w="0" w:type="dxa"/>
              <w:right w:w="108" w:type="dxa"/>
            </w:tcMar>
          </w:tcPr>
          <w:p w:rsidRPr="00E70711" w:rsidR="00FD7C1A" w:rsidRDefault="00FD7C1A" w14:paraId="431DD56A" w14:textId="32837762">
            <w:pPr>
              <w:jc w:val="center"/>
              <w:rPr>
                <w:sz w:val="20"/>
                <w:szCs w:val="20"/>
              </w:rPr>
            </w:pPr>
            <w:r w:rsidRPr="00E70711">
              <w:rPr>
                <w:sz w:val="20"/>
                <w:szCs w:val="20"/>
              </w:rPr>
              <w:t>$</w:t>
            </w:r>
            <w:r w:rsidR="002F2F6F">
              <w:rPr>
                <w:sz w:val="20"/>
                <w:szCs w:val="20"/>
              </w:rPr>
              <w:t>48</w:t>
            </w:r>
            <w:r w:rsidRPr="00E70711">
              <w:rPr>
                <w:sz w:val="20"/>
                <w:szCs w:val="20"/>
              </w:rPr>
              <w:t>,</w:t>
            </w:r>
            <w:r w:rsidR="002F2F6F">
              <w:rPr>
                <w:sz w:val="20"/>
                <w:szCs w:val="20"/>
              </w:rPr>
              <w:t>129</w:t>
            </w:r>
            <w:r w:rsidRPr="00E70711">
              <w:rPr>
                <w:sz w:val="20"/>
                <w:szCs w:val="20"/>
              </w:rPr>
              <w:t>.</w:t>
            </w:r>
            <w:r w:rsidR="008A26A9">
              <w:rPr>
                <w:sz w:val="20"/>
                <w:szCs w:val="20"/>
              </w:rPr>
              <w:t>02</w:t>
            </w:r>
          </w:p>
        </w:tc>
      </w:tr>
      <w:tr w:rsidRPr="00E70711" w:rsidR="00B105DD" w:rsidTr="00AB6736" w14:paraId="5CF8EC34" w14:textId="77777777">
        <w:trPr>
          <w:trHeight w:val="260"/>
        </w:trPr>
        <w:tc>
          <w:tcPr>
            <w:tcW w:w="9067" w:type="dxa"/>
            <w:gridSpan w:val="5"/>
            <w:shd w:val="clear" w:color="auto" w:fill="auto"/>
            <w:tcMar>
              <w:top w:w="0" w:type="dxa"/>
              <w:left w:w="108" w:type="dxa"/>
              <w:bottom w:w="0" w:type="dxa"/>
              <w:right w:w="108" w:type="dxa"/>
            </w:tcMar>
          </w:tcPr>
          <w:p w:rsidRPr="00E70711" w:rsidR="00B105DD" w:rsidP="00AB6736" w:rsidRDefault="00B105DD" w14:paraId="5195054B" w14:textId="46D3A4B4">
            <w:pPr>
              <w:rPr>
                <w:sz w:val="20"/>
                <w:szCs w:val="20"/>
              </w:rPr>
            </w:pPr>
            <w:r w:rsidRPr="00E70711">
              <w:rPr>
                <w:b/>
                <w:sz w:val="20"/>
                <w:szCs w:val="20"/>
              </w:rPr>
              <w:t>Implementation Assessments:</w:t>
            </w:r>
          </w:p>
        </w:tc>
      </w:tr>
      <w:tr w:rsidRPr="00E70711" w:rsidR="00FD7C1A" w:rsidTr="00AB6736" w14:paraId="498F2981" w14:textId="77777777">
        <w:trPr>
          <w:trHeight w:val="260"/>
        </w:trPr>
        <w:tc>
          <w:tcPr>
            <w:tcW w:w="2497" w:type="dxa"/>
            <w:shd w:val="clear" w:color="auto" w:fill="auto"/>
            <w:tcMar>
              <w:top w:w="0" w:type="dxa"/>
              <w:left w:w="108" w:type="dxa"/>
              <w:bottom w:w="0" w:type="dxa"/>
              <w:right w:w="108" w:type="dxa"/>
            </w:tcMar>
          </w:tcPr>
          <w:p w:rsidRPr="00E70711" w:rsidR="00FD7C1A" w:rsidP="0083758D" w:rsidRDefault="00FD7C1A" w14:paraId="7E26E237" w14:textId="29F846DE">
            <w:pPr>
              <w:pStyle w:val="ColorfulList-Accent11"/>
              <w:ind w:left="0" w:firstLine="229"/>
              <w:rPr>
                <w:bCs/>
                <w:color w:val="000000"/>
                <w:sz w:val="20"/>
                <w:szCs w:val="20"/>
              </w:rPr>
            </w:pPr>
            <w:r w:rsidRPr="00E70711">
              <w:rPr>
                <w:bCs/>
                <w:color w:val="000000"/>
                <w:sz w:val="20"/>
                <w:szCs w:val="20"/>
              </w:rPr>
              <w:t>Team Checkup Tool</w:t>
            </w:r>
            <w:r w:rsidR="0083758D">
              <w:rPr>
                <w:bCs/>
                <w:color w:val="000000"/>
                <w:sz w:val="20"/>
                <w:szCs w:val="20"/>
              </w:rPr>
              <w:t xml:space="preserve"> (Attachments </w:t>
            </w:r>
            <w:r w:rsidR="006D46BE">
              <w:rPr>
                <w:bCs/>
                <w:color w:val="000000"/>
                <w:sz w:val="20"/>
                <w:szCs w:val="20"/>
              </w:rPr>
              <w:t>E</w:t>
            </w:r>
            <w:r w:rsidR="0083758D">
              <w:rPr>
                <w:bCs/>
                <w:color w:val="000000"/>
                <w:sz w:val="20"/>
                <w:szCs w:val="20"/>
              </w:rPr>
              <w:t xml:space="preserve"> and </w:t>
            </w:r>
            <w:r w:rsidR="006D46BE">
              <w:rPr>
                <w:bCs/>
                <w:color w:val="000000"/>
                <w:sz w:val="20"/>
                <w:szCs w:val="20"/>
              </w:rPr>
              <w:t>F</w:t>
            </w:r>
            <w:r w:rsidR="0083758D">
              <w:rPr>
                <w:bCs/>
                <w:color w:val="000000"/>
                <w:sz w:val="20"/>
                <w:szCs w:val="20"/>
              </w:rPr>
              <w:t>)</w:t>
            </w:r>
            <w:r w:rsidRPr="00E70711">
              <w:rPr>
                <w:bCs/>
                <w:color w:val="000000"/>
                <w:sz w:val="20"/>
                <w:szCs w:val="20"/>
              </w:rPr>
              <w:t xml:space="preserve"> </w:t>
            </w:r>
          </w:p>
          <w:p w:rsidRPr="00E70711" w:rsidR="00FD7C1A" w:rsidP="00FD7C1A" w:rsidRDefault="00FD7C1A" w14:paraId="33669657" w14:textId="28C4D2CE">
            <w:pPr>
              <w:pStyle w:val="ColorfulList-Accent11"/>
              <w:ind w:left="229"/>
              <w:rPr>
                <w:bCs/>
                <w:color w:val="000000"/>
                <w:sz w:val="20"/>
                <w:szCs w:val="20"/>
              </w:rPr>
            </w:pPr>
            <w:r w:rsidRPr="00E70711">
              <w:rPr>
                <w:i/>
                <w:sz w:val="20"/>
                <w:szCs w:val="20"/>
              </w:rPr>
              <w:t xml:space="preserve">(1 checklist conducted monthly during 3 months </w:t>
            </w:r>
            <w:r w:rsidRPr="00E70711">
              <w:rPr>
                <w:i/>
                <w:sz w:val="20"/>
                <w:szCs w:val="20"/>
              </w:rPr>
              <w:lastRenderedPageBreak/>
              <w:t xml:space="preserve">of ramp-up and 15 months of </w:t>
            </w:r>
            <w:r w:rsidRPr="00965F68" w:rsidR="00965F68">
              <w:rPr>
                <w:bCs/>
                <w:i/>
                <w:color w:val="000000"/>
                <w:sz w:val="20"/>
                <w:szCs w:val="20"/>
              </w:rPr>
              <w:t>implementation</w:t>
            </w:r>
            <w:r w:rsidRPr="00E70711">
              <w:rPr>
                <w:i/>
                <w:sz w:val="20"/>
                <w:szCs w:val="20"/>
              </w:rPr>
              <w:t xml:space="preserve"> periods for ICU, non-ICU, and Surgical cohorts</w:t>
            </w:r>
            <w:r>
              <w:rPr>
                <w:i/>
                <w:sz w:val="20"/>
                <w:szCs w:val="20"/>
              </w:rPr>
              <w:t>, 1,100 units total</w:t>
            </w:r>
            <w:r w:rsidRPr="00E70711">
              <w:rPr>
                <w:i/>
                <w:sz w:val="20"/>
                <w:szCs w:val="20"/>
              </w:rPr>
              <w:t>)</w:t>
            </w:r>
          </w:p>
        </w:tc>
        <w:tc>
          <w:tcPr>
            <w:tcW w:w="1530" w:type="dxa"/>
            <w:shd w:val="clear" w:color="auto" w:fill="auto"/>
            <w:tcMar>
              <w:top w:w="0" w:type="dxa"/>
              <w:left w:w="108" w:type="dxa"/>
              <w:bottom w:w="0" w:type="dxa"/>
              <w:right w:w="108" w:type="dxa"/>
            </w:tcMar>
          </w:tcPr>
          <w:p w:rsidRPr="00E70711" w:rsidR="00FD7C1A" w:rsidP="00FD7C1A" w:rsidRDefault="00FD7C1A" w14:paraId="01A26126" w14:textId="4593AE7B">
            <w:pPr>
              <w:jc w:val="center"/>
              <w:rPr>
                <w:sz w:val="20"/>
                <w:szCs w:val="20"/>
              </w:rPr>
            </w:pPr>
            <w:r w:rsidRPr="00E70711">
              <w:rPr>
                <w:sz w:val="20"/>
                <w:szCs w:val="20"/>
              </w:rPr>
              <w:lastRenderedPageBreak/>
              <w:t>367</w:t>
            </w:r>
          </w:p>
        </w:tc>
        <w:tc>
          <w:tcPr>
            <w:tcW w:w="1620" w:type="dxa"/>
            <w:shd w:val="clear" w:color="auto" w:fill="auto"/>
            <w:tcMar>
              <w:top w:w="0" w:type="dxa"/>
              <w:left w:w="108" w:type="dxa"/>
              <w:bottom w:w="0" w:type="dxa"/>
              <w:right w:w="108" w:type="dxa"/>
            </w:tcMar>
          </w:tcPr>
          <w:p w:rsidRPr="00E70711" w:rsidR="00FD7C1A" w:rsidP="00FD7C1A" w:rsidRDefault="00FD7C1A" w14:paraId="4D75A49A" w14:textId="5A36573D">
            <w:pPr>
              <w:jc w:val="center"/>
              <w:rPr>
                <w:sz w:val="20"/>
                <w:szCs w:val="20"/>
              </w:rPr>
            </w:pPr>
            <w:r w:rsidRPr="00E70711">
              <w:rPr>
                <w:sz w:val="20"/>
                <w:szCs w:val="20"/>
              </w:rPr>
              <w:t>1,1</w:t>
            </w:r>
            <w:r w:rsidR="00D86687">
              <w:rPr>
                <w:sz w:val="20"/>
                <w:szCs w:val="20"/>
              </w:rPr>
              <w:t>23</w:t>
            </w:r>
          </w:p>
        </w:tc>
        <w:tc>
          <w:tcPr>
            <w:tcW w:w="1620" w:type="dxa"/>
          </w:tcPr>
          <w:p w:rsidRPr="00E70711" w:rsidR="00FD7C1A" w:rsidP="00FD7C1A" w:rsidRDefault="00FD7C1A" w14:paraId="353891D2" w14:textId="2D752177">
            <w:pPr>
              <w:jc w:val="center"/>
              <w:rPr>
                <w:sz w:val="20"/>
                <w:szCs w:val="20"/>
              </w:rPr>
            </w:pPr>
            <w:r w:rsidRPr="00E70711">
              <w:rPr>
                <w:sz w:val="20"/>
                <w:szCs w:val="20"/>
              </w:rPr>
              <w:t>$51.53*</w:t>
            </w:r>
          </w:p>
        </w:tc>
        <w:tc>
          <w:tcPr>
            <w:tcW w:w="1800" w:type="dxa"/>
            <w:shd w:val="clear" w:color="auto" w:fill="auto"/>
            <w:tcMar>
              <w:top w:w="0" w:type="dxa"/>
              <w:left w:w="108" w:type="dxa"/>
              <w:bottom w:w="0" w:type="dxa"/>
              <w:right w:w="108" w:type="dxa"/>
            </w:tcMar>
          </w:tcPr>
          <w:p w:rsidRPr="00E70711" w:rsidR="00FD7C1A" w:rsidRDefault="00FD7C1A" w14:paraId="563EFD7B" w14:textId="5EEF221C">
            <w:pPr>
              <w:jc w:val="center"/>
              <w:rPr>
                <w:sz w:val="20"/>
                <w:szCs w:val="20"/>
              </w:rPr>
            </w:pPr>
            <w:r w:rsidRPr="00E70711">
              <w:rPr>
                <w:sz w:val="20"/>
                <w:szCs w:val="20"/>
              </w:rPr>
              <w:t>$5</w:t>
            </w:r>
            <w:r w:rsidR="008A26A9">
              <w:rPr>
                <w:sz w:val="20"/>
                <w:szCs w:val="20"/>
              </w:rPr>
              <w:t>7,</w:t>
            </w:r>
            <w:r w:rsidR="00717722">
              <w:rPr>
                <w:sz w:val="20"/>
                <w:szCs w:val="20"/>
              </w:rPr>
              <w:t>868</w:t>
            </w:r>
            <w:r w:rsidR="008A26A9">
              <w:rPr>
                <w:sz w:val="20"/>
                <w:szCs w:val="20"/>
              </w:rPr>
              <w:t>.</w:t>
            </w:r>
            <w:r w:rsidR="00717722">
              <w:rPr>
                <w:sz w:val="20"/>
                <w:szCs w:val="20"/>
              </w:rPr>
              <w:t>19</w:t>
            </w:r>
          </w:p>
        </w:tc>
      </w:tr>
      <w:tr w:rsidRPr="00E70711" w:rsidR="00FD7C1A" w:rsidTr="00AB6736" w14:paraId="4AB72835" w14:textId="77777777">
        <w:trPr>
          <w:trHeight w:val="260"/>
        </w:trPr>
        <w:tc>
          <w:tcPr>
            <w:tcW w:w="2497" w:type="dxa"/>
            <w:shd w:val="clear" w:color="auto" w:fill="auto"/>
            <w:tcMar>
              <w:top w:w="0" w:type="dxa"/>
              <w:left w:w="108" w:type="dxa"/>
              <w:bottom w:w="0" w:type="dxa"/>
              <w:right w:w="108" w:type="dxa"/>
            </w:tcMar>
          </w:tcPr>
          <w:p w:rsidRPr="00E70711" w:rsidR="00FD7C1A" w:rsidP="00FD7C1A" w:rsidRDefault="00FD7C1A" w14:paraId="0E1F0297" w14:textId="34C37F60">
            <w:pPr>
              <w:pStyle w:val="ColorfulList-Accent11"/>
              <w:ind w:left="0" w:firstLine="229"/>
              <w:rPr>
                <w:bCs/>
                <w:color w:val="000000"/>
                <w:sz w:val="20"/>
                <w:szCs w:val="20"/>
              </w:rPr>
            </w:pPr>
            <w:r w:rsidRPr="00E70711">
              <w:rPr>
                <w:bCs/>
                <w:color w:val="000000"/>
                <w:sz w:val="20"/>
                <w:szCs w:val="20"/>
              </w:rPr>
              <w:t xml:space="preserve">Team Checkup Tool </w:t>
            </w:r>
            <w:r w:rsidR="0083758D">
              <w:rPr>
                <w:bCs/>
                <w:color w:val="000000"/>
                <w:sz w:val="20"/>
                <w:szCs w:val="20"/>
              </w:rPr>
              <w:t xml:space="preserve"> (Attachment </w:t>
            </w:r>
            <w:r w:rsidR="006D46BE">
              <w:rPr>
                <w:bCs/>
                <w:color w:val="000000"/>
                <w:sz w:val="20"/>
                <w:szCs w:val="20"/>
              </w:rPr>
              <w:t>G</w:t>
            </w:r>
            <w:r w:rsidR="0083758D">
              <w:rPr>
                <w:bCs/>
                <w:color w:val="000000"/>
                <w:sz w:val="20"/>
                <w:szCs w:val="20"/>
              </w:rPr>
              <w:t>)</w:t>
            </w:r>
          </w:p>
          <w:p w:rsidRPr="00E70711" w:rsidR="00FD7C1A" w:rsidP="00FD7C1A" w:rsidRDefault="00FD7C1A" w14:paraId="0D181E9C" w14:textId="21D7FD35">
            <w:pPr>
              <w:pStyle w:val="ColorfulList-Accent11"/>
              <w:ind w:left="0" w:firstLine="229"/>
              <w:rPr>
                <w:bCs/>
                <w:color w:val="000000"/>
                <w:sz w:val="20"/>
                <w:szCs w:val="20"/>
              </w:rPr>
            </w:pPr>
            <w:r w:rsidRPr="00E70711">
              <w:rPr>
                <w:i/>
                <w:sz w:val="20"/>
                <w:szCs w:val="20"/>
              </w:rPr>
              <w:t xml:space="preserve">(1 checklist conducted monthly </w:t>
            </w:r>
            <w:r w:rsidRPr="00E70711">
              <w:rPr>
                <w:bCs/>
                <w:i/>
                <w:color w:val="000000"/>
                <w:sz w:val="20"/>
                <w:szCs w:val="20"/>
              </w:rPr>
              <w:t>per facility</w:t>
            </w:r>
            <w:r w:rsidRPr="00E70711">
              <w:rPr>
                <w:i/>
                <w:sz w:val="20"/>
                <w:szCs w:val="20"/>
              </w:rPr>
              <w:t xml:space="preserve"> during 1</w:t>
            </w:r>
            <w:r w:rsidR="005775A8">
              <w:rPr>
                <w:i/>
                <w:sz w:val="20"/>
                <w:szCs w:val="20"/>
              </w:rPr>
              <w:t>8</w:t>
            </w:r>
            <w:r w:rsidRPr="00E70711">
              <w:rPr>
                <w:i/>
                <w:sz w:val="20"/>
                <w:szCs w:val="20"/>
              </w:rPr>
              <w:t xml:space="preserve"> months of </w:t>
            </w:r>
            <w:r w:rsidRPr="00965F68" w:rsidR="00965F68">
              <w:rPr>
                <w:bCs/>
                <w:i/>
                <w:color w:val="000000"/>
                <w:sz w:val="20"/>
                <w:szCs w:val="20"/>
              </w:rPr>
              <w:t>implementation</w:t>
            </w:r>
            <w:r w:rsidRPr="00E70711">
              <w:rPr>
                <w:i/>
                <w:sz w:val="20"/>
                <w:szCs w:val="20"/>
              </w:rPr>
              <w:t xml:space="preserve"> for LTC cohort</w:t>
            </w:r>
            <w:r>
              <w:rPr>
                <w:i/>
                <w:sz w:val="20"/>
                <w:szCs w:val="20"/>
              </w:rPr>
              <w:t>, 300 facilities total</w:t>
            </w:r>
            <w:r w:rsidRPr="00E70711">
              <w:rPr>
                <w:i/>
                <w:sz w:val="20"/>
                <w:szCs w:val="20"/>
              </w:rPr>
              <w:t>)</w:t>
            </w:r>
          </w:p>
        </w:tc>
        <w:tc>
          <w:tcPr>
            <w:tcW w:w="1530" w:type="dxa"/>
            <w:shd w:val="clear" w:color="auto" w:fill="auto"/>
            <w:tcMar>
              <w:top w:w="0" w:type="dxa"/>
              <w:left w:w="108" w:type="dxa"/>
              <w:bottom w:w="0" w:type="dxa"/>
              <w:right w:w="108" w:type="dxa"/>
            </w:tcMar>
          </w:tcPr>
          <w:p w:rsidRPr="00E70711" w:rsidR="00FD7C1A" w:rsidP="00FD7C1A" w:rsidRDefault="00FD7C1A" w14:paraId="715B102D" w14:textId="406D132F">
            <w:pPr>
              <w:jc w:val="center"/>
              <w:rPr>
                <w:sz w:val="20"/>
                <w:szCs w:val="20"/>
              </w:rPr>
            </w:pPr>
            <w:r w:rsidRPr="00E70711">
              <w:rPr>
                <w:sz w:val="20"/>
                <w:szCs w:val="20"/>
              </w:rPr>
              <w:t>100</w:t>
            </w:r>
          </w:p>
        </w:tc>
        <w:tc>
          <w:tcPr>
            <w:tcW w:w="1620" w:type="dxa"/>
            <w:shd w:val="clear" w:color="auto" w:fill="auto"/>
            <w:tcMar>
              <w:top w:w="0" w:type="dxa"/>
              <w:left w:w="108" w:type="dxa"/>
              <w:bottom w:w="0" w:type="dxa"/>
              <w:right w:w="108" w:type="dxa"/>
            </w:tcMar>
          </w:tcPr>
          <w:p w:rsidRPr="00E70711" w:rsidR="00FD7C1A" w:rsidP="00FD7C1A" w:rsidRDefault="00FD7C1A" w14:paraId="4D886F74" w14:textId="395113D7">
            <w:pPr>
              <w:jc w:val="center"/>
              <w:rPr>
                <w:sz w:val="20"/>
                <w:szCs w:val="20"/>
              </w:rPr>
            </w:pPr>
            <w:r>
              <w:rPr>
                <w:sz w:val="20"/>
                <w:szCs w:val="20"/>
              </w:rPr>
              <w:t>306</w:t>
            </w:r>
          </w:p>
        </w:tc>
        <w:tc>
          <w:tcPr>
            <w:tcW w:w="1620" w:type="dxa"/>
          </w:tcPr>
          <w:p w:rsidRPr="00E70711" w:rsidR="00FD7C1A" w:rsidP="00FD7C1A" w:rsidRDefault="00FD7C1A" w14:paraId="06289E92" w14:textId="0191A75A">
            <w:pPr>
              <w:jc w:val="center"/>
              <w:rPr>
                <w:sz w:val="20"/>
                <w:szCs w:val="20"/>
              </w:rPr>
            </w:pPr>
            <w:r w:rsidRPr="00E70711">
              <w:rPr>
                <w:sz w:val="20"/>
                <w:szCs w:val="20"/>
              </w:rPr>
              <w:t>$51.53*</w:t>
            </w:r>
          </w:p>
        </w:tc>
        <w:tc>
          <w:tcPr>
            <w:tcW w:w="1800" w:type="dxa"/>
            <w:shd w:val="clear" w:color="auto" w:fill="auto"/>
            <w:tcMar>
              <w:top w:w="0" w:type="dxa"/>
              <w:left w:w="108" w:type="dxa"/>
              <w:bottom w:w="0" w:type="dxa"/>
              <w:right w:w="108" w:type="dxa"/>
            </w:tcMar>
          </w:tcPr>
          <w:p w:rsidRPr="00E70711" w:rsidR="00FD7C1A" w:rsidP="00FD7C1A" w:rsidRDefault="00FD7C1A" w14:paraId="5F57E9F4" w14:textId="7B4BEBB9">
            <w:pPr>
              <w:jc w:val="center"/>
              <w:rPr>
                <w:sz w:val="20"/>
                <w:szCs w:val="20"/>
              </w:rPr>
            </w:pPr>
            <w:r w:rsidRPr="00E70711">
              <w:rPr>
                <w:sz w:val="20"/>
                <w:szCs w:val="20"/>
              </w:rPr>
              <w:t>$1</w:t>
            </w:r>
            <w:r>
              <w:rPr>
                <w:sz w:val="20"/>
                <w:szCs w:val="20"/>
              </w:rPr>
              <w:t>5</w:t>
            </w:r>
            <w:r w:rsidRPr="00E70711">
              <w:rPr>
                <w:sz w:val="20"/>
                <w:szCs w:val="20"/>
              </w:rPr>
              <w:t>,</w:t>
            </w:r>
            <w:r>
              <w:rPr>
                <w:sz w:val="20"/>
                <w:szCs w:val="20"/>
              </w:rPr>
              <w:t>768</w:t>
            </w:r>
            <w:r w:rsidRPr="00E70711">
              <w:rPr>
                <w:sz w:val="20"/>
                <w:szCs w:val="20"/>
              </w:rPr>
              <w:t>.</w:t>
            </w:r>
            <w:r>
              <w:rPr>
                <w:sz w:val="20"/>
                <w:szCs w:val="20"/>
              </w:rPr>
              <w:t>18</w:t>
            </w:r>
          </w:p>
        </w:tc>
      </w:tr>
      <w:tr w:rsidRPr="00E70711" w:rsidR="00BB0E0F" w:rsidTr="00AB6736" w14:paraId="11C29DA9" w14:textId="77777777">
        <w:tc>
          <w:tcPr>
            <w:tcW w:w="9067" w:type="dxa"/>
            <w:gridSpan w:val="5"/>
            <w:shd w:val="clear" w:color="auto" w:fill="auto"/>
            <w:tcMar>
              <w:top w:w="0" w:type="dxa"/>
              <w:left w:w="108" w:type="dxa"/>
              <w:bottom w:w="0" w:type="dxa"/>
              <w:right w:w="108" w:type="dxa"/>
            </w:tcMar>
          </w:tcPr>
          <w:p w:rsidRPr="00E70711" w:rsidR="00BB0E0F" w:rsidP="00BB0E0F" w:rsidRDefault="00BB0E0F" w14:paraId="33990E34" w14:textId="77777777">
            <w:pPr>
              <w:rPr>
                <w:b/>
                <w:sz w:val="20"/>
                <w:szCs w:val="20"/>
              </w:rPr>
            </w:pPr>
            <w:r w:rsidRPr="00E70711">
              <w:rPr>
                <w:b/>
                <w:sz w:val="20"/>
                <w:szCs w:val="20"/>
              </w:rPr>
              <w:t xml:space="preserve">Electronic Health Record (EHR) Extracts </w:t>
            </w:r>
          </w:p>
        </w:tc>
      </w:tr>
      <w:tr w:rsidRPr="00E70711" w:rsidR="00761A4F" w:rsidTr="00AB6736" w14:paraId="1E1F4351" w14:textId="77777777">
        <w:tc>
          <w:tcPr>
            <w:tcW w:w="2497" w:type="dxa"/>
            <w:shd w:val="clear" w:color="auto" w:fill="auto"/>
            <w:tcMar>
              <w:top w:w="0" w:type="dxa"/>
              <w:left w:w="108" w:type="dxa"/>
              <w:bottom w:w="0" w:type="dxa"/>
              <w:right w:w="108" w:type="dxa"/>
            </w:tcMar>
          </w:tcPr>
          <w:p w:rsidR="00761A4F" w:rsidP="00761A4F" w:rsidRDefault="00761A4F" w14:paraId="45604E7A" w14:textId="4AFA5FB7">
            <w:pPr>
              <w:pStyle w:val="ColorfulList-Accent11"/>
              <w:ind w:left="0" w:firstLine="229"/>
              <w:rPr>
                <w:sz w:val="20"/>
                <w:szCs w:val="20"/>
              </w:rPr>
            </w:pPr>
            <w:r>
              <w:rPr>
                <w:sz w:val="20"/>
                <w:szCs w:val="20"/>
              </w:rPr>
              <w:t>Initial data</w:t>
            </w:r>
            <w:r w:rsidR="00D7175B">
              <w:rPr>
                <w:sz w:val="20"/>
                <w:szCs w:val="20"/>
              </w:rPr>
              <w:t xml:space="preserve"> </w:t>
            </w:r>
            <w:r>
              <w:rPr>
                <w:sz w:val="20"/>
                <w:szCs w:val="20"/>
              </w:rPr>
              <w:t>pull</w:t>
            </w:r>
            <w:r w:rsidR="0083758D">
              <w:rPr>
                <w:sz w:val="20"/>
                <w:szCs w:val="20"/>
              </w:rPr>
              <w:t xml:space="preserve"> </w:t>
            </w:r>
            <w:r w:rsidRPr="006D32EA" w:rsidR="00A65AB2">
              <w:rPr>
                <w:sz w:val="20"/>
                <w:szCs w:val="20"/>
              </w:rPr>
              <w:t>for</w:t>
            </w:r>
            <w:r w:rsidR="00A65AB2">
              <w:rPr>
                <w:sz w:val="20"/>
                <w:szCs w:val="20"/>
              </w:rPr>
              <w:t xml:space="preserve"> 10% of hospitals that do not confer rights to  their NHSN data </w:t>
            </w:r>
            <w:r w:rsidR="0083758D">
              <w:rPr>
                <w:sz w:val="20"/>
                <w:szCs w:val="20"/>
              </w:rPr>
              <w:t xml:space="preserve">(Attachment </w:t>
            </w:r>
            <w:r w:rsidR="006D46BE">
              <w:rPr>
                <w:sz w:val="20"/>
                <w:szCs w:val="20"/>
              </w:rPr>
              <w:t>J</w:t>
            </w:r>
            <w:r w:rsidR="0083758D">
              <w:rPr>
                <w:sz w:val="20"/>
                <w:szCs w:val="20"/>
              </w:rPr>
              <w:t>)</w:t>
            </w:r>
            <w:r>
              <w:rPr>
                <w:sz w:val="20"/>
                <w:szCs w:val="20"/>
              </w:rPr>
              <w:t>-</w:t>
            </w:r>
          </w:p>
          <w:p w:rsidR="00761A4F" w:rsidP="00761A4F" w:rsidRDefault="00761A4F" w14:paraId="25534AA3" w14:textId="1AAF698D">
            <w:pPr>
              <w:pStyle w:val="ColorfulList-Accent11"/>
              <w:ind w:left="0" w:firstLine="229"/>
              <w:rPr>
                <w:sz w:val="20"/>
                <w:szCs w:val="20"/>
              </w:rPr>
            </w:pPr>
            <w:r>
              <w:rPr>
                <w:sz w:val="20"/>
                <w:szCs w:val="20"/>
              </w:rPr>
              <w:t>(</w:t>
            </w:r>
            <w:r w:rsidRPr="00E630A2">
              <w:rPr>
                <w:i/>
                <w:sz w:val="20"/>
                <w:szCs w:val="20"/>
              </w:rPr>
              <w:t>once at baseline for ICU and non-ICU cohorts, 800 units total</w:t>
            </w:r>
            <w:r>
              <w:rPr>
                <w:sz w:val="20"/>
                <w:szCs w:val="20"/>
              </w:rPr>
              <w:t>)</w:t>
            </w:r>
          </w:p>
        </w:tc>
        <w:tc>
          <w:tcPr>
            <w:tcW w:w="1530" w:type="dxa"/>
            <w:shd w:val="clear" w:color="auto" w:fill="auto"/>
            <w:tcMar>
              <w:top w:w="0" w:type="dxa"/>
              <w:left w:w="108" w:type="dxa"/>
              <w:bottom w:w="0" w:type="dxa"/>
              <w:right w:w="108" w:type="dxa"/>
            </w:tcMar>
          </w:tcPr>
          <w:p w:rsidRPr="00E70711" w:rsidR="00761A4F" w:rsidP="00761A4F" w:rsidRDefault="00761A4F" w14:paraId="07632217" w14:textId="7619A1F5">
            <w:pPr>
              <w:jc w:val="center"/>
              <w:rPr>
                <w:sz w:val="20"/>
                <w:szCs w:val="20"/>
              </w:rPr>
            </w:pPr>
            <w:r>
              <w:rPr>
                <w:sz w:val="20"/>
                <w:szCs w:val="20"/>
              </w:rPr>
              <w:t>2</w:t>
            </w:r>
            <w:r w:rsidR="002D3E2D">
              <w:rPr>
                <w:sz w:val="20"/>
                <w:szCs w:val="20"/>
              </w:rPr>
              <w:t>7</w:t>
            </w:r>
          </w:p>
        </w:tc>
        <w:tc>
          <w:tcPr>
            <w:tcW w:w="1620" w:type="dxa"/>
            <w:shd w:val="clear" w:color="auto" w:fill="auto"/>
            <w:tcMar>
              <w:top w:w="0" w:type="dxa"/>
              <w:left w:w="108" w:type="dxa"/>
              <w:bottom w:w="0" w:type="dxa"/>
              <w:right w:w="108" w:type="dxa"/>
            </w:tcMar>
          </w:tcPr>
          <w:p w:rsidRPr="00E70711" w:rsidR="00761A4F" w:rsidDel="008A26A9" w:rsidP="00761A4F" w:rsidRDefault="000D602A" w14:paraId="011F7BCA" w14:textId="50672DB0">
            <w:pPr>
              <w:jc w:val="center"/>
              <w:rPr>
                <w:sz w:val="20"/>
                <w:szCs w:val="20"/>
              </w:rPr>
            </w:pPr>
            <w:r>
              <w:rPr>
                <w:sz w:val="20"/>
                <w:szCs w:val="20"/>
              </w:rPr>
              <w:t>135</w:t>
            </w:r>
          </w:p>
        </w:tc>
        <w:tc>
          <w:tcPr>
            <w:tcW w:w="1620" w:type="dxa"/>
          </w:tcPr>
          <w:p w:rsidRPr="00E70711" w:rsidR="00761A4F" w:rsidP="00761A4F" w:rsidRDefault="00761A4F" w14:paraId="2FDCA709" w14:textId="77D49310">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E70711" w:rsidR="00761A4F" w:rsidP="00761A4F" w:rsidRDefault="00761A4F" w14:paraId="3F00D605" w14:textId="2150922E">
            <w:pPr>
              <w:jc w:val="center"/>
              <w:rPr>
                <w:sz w:val="20"/>
                <w:szCs w:val="20"/>
              </w:rPr>
            </w:pPr>
            <w:r w:rsidRPr="00761A4F">
              <w:rPr>
                <w:sz w:val="20"/>
                <w:szCs w:val="20"/>
              </w:rPr>
              <w:t>$</w:t>
            </w:r>
            <w:r w:rsidR="00A65AB2">
              <w:rPr>
                <w:sz w:val="20"/>
                <w:szCs w:val="20"/>
              </w:rPr>
              <w:t>4,</w:t>
            </w:r>
            <w:r w:rsidR="000D602A">
              <w:rPr>
                <w:sz w:val="20"/>
                <w:szCs w:val="20"/>
              </w:rPr>
              <w:t>747.95</w:t>
            </w:r>
          </w:p>
        </w:tc>
      </w:tr>
      <w:tr w:rsidRPr="00E70711" w:rsidR="00A65AB2" w:rsidTr="00AB6736" w14:paraId="3E621797" w14:textId="77777777">
        <w:tc>
          <w:tcPr>
            <w:tcW w:w="2497" w:type="dxa"/>
            <w:shd w:val="clear" w:color="auto" w:fill="auto"/>
            <w:tcMar>
              <w:top w:w="0" w:type="dxa"/>
              <w:left w:w="108" w:type="dxa"/>
              <w:bottom w:w="0" w:type="dxa"/>
              <w:right w:w="108" w:type="dxa"/>
            </w:tcMar>
          </w:tcPr>
          <w:p w:rsidRPr="00A65AB2" w:rsidR="00A65AB2" w:rsidP="00215B82" w:rsidRDefault="00A65AB2" w14:paraId="281A6ABD" w14:textId="056C4918">
            <w:pPr>
              <w:pStyle w:val="ColorfulList-Accent11"/>
              <w:ind w:left="0"/>
              <w:rPr>
                <w:sz w:val="20"/>
                <w:szCs w:val="20"/>
                <w:highlight w:val="yellow"/>
              </w:rPr>
            </w:pPr>
            <w:r w:rsidRPr="00215B82">
              <w:rPr>
                <w:sz w:val="20"/>
                <w:szCs w:val="20"/>
              </w:rPr>
              <w:t xml:space="preserve">Initial data pull for hospital onset bacteremia (including MSSA) and MRSA-positive clinical cultures (not available in NHSN) </w:t>
            </w:r>
            <w:r w:rsidR="00B27DEF">
              <w:rPr>
                <w:sz w:val="20"/>
                <w:szCs w:val="20"/>
              </w:rPr>
              <w:t xml:space="preserve">(Attachment J) </w:t>
            </w:r>
            <w:r w:rsidRPr="006D32EA">
              <w:rPr>
                <w:sz w:val="20"/>
                <w:szCs w:val="20"/>
              </w:rPr>
              <w:t>(</w:t>
            </w:r>
            <w:r w:rsidRPr="00E630A2">
              <w:rPr>
                <w:i/>
                <w:sz w:val="20"/>
                <w:szCs w:val="20"/>
              </w:rPr>
              <w:t>once at baseline for ICU and non-ICU cohorts, 800 units total</w:t>
            </w:r>
            <w:r>
              <w:rPr>
                <w:sz w:val="20"/>
                <w:szCs w:val="20"/>
              </w:rPr>
              <w:t>)</w:t>
            </w:r>
          </w:p>
        </w:tc>
        <w:tc>
          <w:tcPr>
            <w:tcW w:w="1530" w:type="dxa"/>
            <w:shd w:val="clear" w:color="auto" w:fill="auto"/>
            <w:tcMar>
              <w:top w:w="0" w:type="dxa"/>
              <w:left w:w="108" w:type="dxa"/>
              <w:bottom w:w="0" w:type="dxa"/>
              <w:right w:w="108" w:type="dxa"/>
            </w:tcMar>
          </w:tcPr>
          <w:p w:rsidR="00A65AB2" w:rsidP="00761A4F" w:rsidRDefault="00A65AB2" w14:paraId="187D9D1E" w14:textId="2620ECE9">
            <w:pPr>
              <w:jc w:val="center"/>
              <w:rPr>
                <w:sz w:val="20"/>
                <w:szCs w:val="20"/>
              </w:rPr>
            </w:pPr>
            <w:r>
              <w:rPr>
                <w:sz w:val="20"/>
                <w:szCs w:val="20"/>
              </w:rPr>
              <w:t>267</w:t>
            </w:r>
          </w:p>
        </w:tc>
        <w:tc>
          <w:tcPr>
            <w:tcW w:w="1620" w:type="dxa"/>
            <w:shd w:val="clear" w:color="auto" w:fill="auto"/>
            <w:tcMar>
              <w:top w:w="0" w:type="dxa"/>
              <w:left w:w="108" w:type="dxa"/>
              <w:bottom w:w="0" w:type="dxa"/>
              <w:right w:w="108" w:type="dxa"/>
            </w:tcMar>
          </w:tcPr>
          <w:p w:rsidR="00A65AB2" w:rsidDel="00A65AB2" w:rsidP="00F820C2" w:rsidRDefault="00A65AB2" w14:paraId="2601542D" w14:textId="2D2A4168">
            <w:pPr>
              <w:jc w:val="center"/>
              <w:rPr>
                <w:sz w:val="20"/>
                <w:szCs w:val="20"/>
              </w:rPr>
            </w:pPr>
            <w:r>
              <w:rPr>
                <w:sz w:val="20"/>
                <w:szCs w:val="20"/>
              </w:rPr>
              <w:t>935</w:t>
            </w:r>
          </w:p>
        </w:tc>
        <w:tc>
          <w:tcPr>
            <w:tcW w:w="1620" w:type="dxa"/>
          </w:tcPr>
          <w:p w:rsidRPr="00E70711" w:rsidR="00A65AB2" w:rsidP="00761A4F" w:rsidRDefault="00A65AB2" w14:paraId="1C0718BE" w14:textId="5A7FB7EE">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761A4F" w:rsidR="00A65AB2" w:rsidP="00761A4F" w:rsidRDefault="00A65AB2" w14:paraId="574CF50F" w14:textId="38772C53">
            <w:pPr>
              <w:jc w:val="center"/>
              <w:rPr>
                <w:sz w:val="20"/>
                <w:szCs w:val="20"/>
              </w:rPr>
            </w:pPr>
            <w:r>
              <w:rPr>
                <w:sz w:val="20"/>
                <w:szCs w:val="20"/>
              </w:rPr>
              <w:t>$32,866</w:t>
            </w:r>
            <w:r w:rsidR="008F65CE">
              <w:rPr>
                <w:sz w:val="20"/>
                <w:szCs w:val="20"/>
              </w:rPr>
              <w:t>.37</w:t>
            </w:r>
          </w:p>
        </w:tc>
      </w:tr>
      <w:tr w:rsidRPr="00E70711" w:rsidR="00A65AB2" w:rsidTr="00AB6736" w14:paraId="6F0F946F" w14:textId="77777777">
        <w:tc>
          <w:tcPr>
            <w:tcW w:w="2497" w:type="dxa"/>
            <w:shd w:val="clear" w:color="auto" w:fill="auto"/>
            <w:tcMar>
              <w:top w:w="0" w:type="dxa"/>
              <w:left w:w="108" w:type="dxa"/>
              <w:bottom w:w="0" w:type="dxa"/>
              <w:right w:w="108" w:type="dxa"/>
            </w:tcMar>
          </w:tcPr>
          <w:p w:rsidR="00A65AB2" w:rsidP="00A65AB2" w:rsidRDefault="00A65AB2" w14:paraId="4DD2AC18" w14:textId="521D5E1F">
            <w:pPr>
              <w:pStyle w:val="ColorfulList-Accent11"/>
              <w:ind w:left="0"/>
              <w:rPr>
                <w:sz w:val="20"/>
                <w:szCs w:val="20"/>
                <w:highlight w:val="yellow"/>
              </w:rPr>
            </w:pPr>
            <w:r w:rsidRPr="00215B82">
              <w:rPr>
                <w:sz w:val="20"/>
                <w:szCs w:val="20"/>
              </w:rPr>
              <w:t xml:space="preserve">Initial data pull for </w:t>
            </w:r>
            <w:r w:rsidR="00595F37">
              <w:rPr>
                <w:sz w:val="20"/>
                <w:szCs w:val="20"/>
              </w:rPr>
              <w:t xml:space="preserve">10% of </w:t>
            </w:r>
            <w:r w:rsidRPr="00215B82">
              <w:rPr>
                <w:sz w:val="20"/>
                <w:szCs w:val="20"/>
              </w:rPr>
              <w:t xml:space="preserve">units that submit point prevalence survey data </w:t>
            </w:r>
            <w:r w:rsidR="00B27DEF">
              <w:rPr>
                <w:sz w:val="20"/>
                <w:szCs w:val="20"/>
              </w:rPr>
              <w:t xml:space="preserve">(Attachment J) </w:t>
            </w:r>
            <w:r w:rsidRPr="006D32EA">
              <w:rPr>
                <w:sz w:val="20"/>
                <w:szCs w:val="20"/>
              </w:rPr>
              <w:t>(</w:t>
            </w:r>
            <w:r w:rsidRPr="00E630A2">
              <w:rPr>
                <w:i/>
                <w:sz w:val="20"/>
                <w:szCs w:val="20"/>
              </w:rPr>
              <w:t>once at baseline for ICU and non-ICU cohorts, 800 units total</w:t>
            </w:r>
            <w:r>
              <w:rPr>
                <w:sz w:val="20"/>
                <w:szCs w:val="20"/>
              </w:rPr>
              <w:t>)</w:t>
            </w:r>
          </w:p>
          <w:p w:rsidRPr="00A65AB2" w:rsidR="00A65AB2" w:rsidP="00761A4F" w:rsidRDefault="00A65AB2" w14:paraId="4A4AB410" w14:textId="77777777">
            <w:pPr>
              <w:pStyle w:val="ColorfulList-Accent11"/>
              <w:ind w:left="0" w:firstLine="229"/>
              <w:rPr>
                <w:sz w:val="20"/>
                <w:szCs w:val="20"/>
                <w:highlight w:val="yellow"/>
              </w:rPr>
            </w:pPr>
          </w:p>
        </w:tc>
        <w:tc>
          <w:tcPr>
            <w:tcW w:w="1530" w:type="dxa"/>
            <w:shd w:val="clear" w:color="auto" w:fill="auto"/>
            <w:tcMar>
              <w:top w:w="0" w:type="dxa"/>
              <w:left w:w="108" w:type="dxa"/>
              <w:bottom w:w="0" w:type="dxa"/>
              <w:right w:w="108" w:type="dxa"/>
            </w:tcMar>
          </w:tcPr>
          <w:p w:rsidR="00A65AB2" w:rsidP="002270E2" w:rsidRDefault="00A65AB2" w14:paraId="2EEA99FD" w14:textId="5D7555B9">
            <w:pPr>
              <w:jc w:val="center"/>
              <w:rPr>
                <w:sz w:val="20"/>
                <w:szCs w:val="20"/>
              </w:rPr>
            </w:pPr>
            <w:r>
              <w:rPr>
                <w:sz w:val="20"/>
                <w:szCs w:val="20"/>
              </w:rPr>
              <w:t>27</w:t>
            </w:r>
          </w:p>
        </w:tc>
        <w:tc>
          <w:tcPr>
            <w:tcW w:w="1620" w:type="dxa"/>
            <w:shd w:val="clear" w:color="auto" w:fill="auto"/>
            <w:tcMar>
              <w:top w:w="0" w:type="dxa"/>
              <w:left w:w="108" w:type="dxa"/>
              <w:bottom w:w="0" w:type="dxa"/>
              <w:right w:w="108" w:type="dxa"/>
            </w:tcMar>
          </w:tcPr>
          <w:p w:rsidR="00A65AB2" w:rsidDel="00A65AB2" w:rsidP="00761A4F" w:rsidRDefault="00F820C2" w14:paraId="79224005" w14:textId="409A1537">
            <w:pPr>
              <w:jc w:val="center"/>
              <w:rPr>
                <w:sz w:val="20"/>
                <w:szCs w:val="20"/>
              </w:rPr>
            </w:pPr>
            <w:r>
              <w:rPr>
                <w:sz w:val="20"/>
                <w:szCs w:val="20"/>
              </w:rPr>
              <w:t>14</w:t>
            </w:r>
          </w:p>
        </w:tc>
        <w:tc>
          <w:tcPr>
            <w:tcW w:w="1620" w:type="dxa"/>
          </w:tcPr>
          <w:p w:rsidRPr="00E70711" w:rsidR="00A65AB2" w:rsidP="00761A4F" w:rsidRDefault="00187B55" w14:paraId="31FEFA1A" w14:textId="7EB25A8E">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761A4F" w:rsidR="00A65AB2" w:rsidP="002270E2" w:rsidRDefault="00595F37" w14:paraId="1DCD7BB5" w14:textId="03E78CC9">
            <w:pPr>
              <w:jc w:val="center"/>
              <w:rPr>
                <w:sz w:val="20"/>
                <w:szCs w:val="20"/>
              </w:rPr>
            </w:pPr>
            <w:r>
              <w:rPr>
                <w:sz w:val="20"/>
                <w:szCs w:val="20"/>
              </w:rPr>
              <w:t>$4</w:t>
            </w:r>
            <w:r w:rsidR="002270E2">
              <w:rPr>
                <w:sz w:val="20"/>
                <w:szCs w:val="20"/>
              </w:rPr>
              <w:t>74</w:t>
            </w:r>
            <w:r>
              <w:rPr>
                <w:sz w:val="20"/>
                <w:szCs w:val="20"/>
              </w:rPr>
              <w:t>.</w:t>
            </w:r>
            <w:r w:rsidR="002270E2">
              <w:rPr>
                <w:sz w:val="20"/>
                <w:szCs w:val="20"/>
              </w:rPr>
              <w:t>80</w:t>
            </w:r>
          </w:p>
        </w:tc>
      </w:tr>
      <w:tr w:rsidRPr="00E70711" w:rsidR="00761A4F" w:rsidTr="00AB6736" w14:paraId="51AE2C43" w14:textId="77777777">
        <w:tc>
          <w:tcPr>
            <w:tcW w:w="2497" w:type="dxa"/>
            <w:shd w:val="clear" w:color="auto" w:fill="auto"/>
            <w:tcMar>
              <w:top w:w="0" w:type="dxa"/>
              <w:left w:w="108" w:type="dxa"/>
              <w:bottom w:w="0" w:type="dxa"/>
              <w:right w:w="108" w:type="dxa"/>
            </w:tcMar>
          </w:tcPr>
          <w:p w:rsidR="00761A4F" w:rsidP="00761A4F" w:rsidRDefault="00761A4F" w14:paraId="567107C9" w14:textId="0236C128">
            <w:pPr>
              <w:pStyle w:val="ColorfulList-Accent11"/>
              <w:ind w:left="0" w:firstLine="229"/>
              <w:rPr>
                <w:sz w:val="20"/>
                <w:szCs w:val="20"/>
              </w:rPr>
            </w:pPr>
            <w:r>
              <w:rPr>
                <w:sz w:val="20"/>
                <w:szCs w:val="20"/>
              </w:rPr>
              <w:t>Initial data</w:t>
            </w:r>
            <w:r w:rsidR="00D7175B">
              <w:rPr>
                <w:sz w:val="20"/>
                <w:szCs w:val="20"/>
              </w:rPr>
              <w:t xml:space="preserve"> </w:t>
            </w:r>
            <w:r>
              <w:rPr>
                <w:sz w:val="20"/>
                <w:szCs w:val="20"/>
              </w:rPr>
              <w:t>pull</w:t>
            </w:r>
            <w:r w:rsidR="008F1709">
              <w:rPr>
                <w:sz w:val="20"/>
                <w:szCs w:val="20"/>
              </w:rPr>
              <w:t xml:space="preserve"> </w:t>
            </w:r>
            <w:r w:rsidR="003F24F7">
              <w:rPr>
                <w:sz w:val="20"/>
                <w:szCs w:val="20"/>
              </w:rPr>
              <w:t xml:space="preserve">for 20% of surgical settings that do not confer rights to NHSN data </w:t>
            </w:r>
            <w:r w:rsidR="008F1709">
              <w:rPr>
                <w:sz w:val="20"/>
                <w:szCs w:val="20"/>
              </w:rPr>
              <w:t xml:space="preserve">(Attachment </w:t>
            </w:r>
            <w:r w:rsidR="006D46BE">
              <w:rPr>
                <w:sz w:val="20"/>
                <w:szCs w:val="20"/>
              </w:rPr>
              <w:t>K</w:t>
            </w:r>
            <w:r w:rsidR="008F1709">
              <w:rPr>
                <w:sz w:val="20"/>
                <w:szCs w:val="20"/>
              </w:rPr>
              <w:t>)</w:t>
            </w:r>
            <w:r>
              <w:rPr>
                <w:sz w:val="20"/>
                <w:szCs w:val="20"/>
              </w:rPr>
              <w:t>-</w:t>
            </w:r>
          </w:p>
          <w:p w:rsidR="00761A4F" w:rsidP="00761A4F" w:rsidRDefault="00761A4F" w14:paraId="30662CC7" w14:textId="49448163">
            <w:pPr>
              <w:pStyle w:val="ColorfulList-Accent11"/>
              <w:ind w:left="0" w:firstLine="229"/>
              <w:rPr>
                <w:sz w:val="20"/>
                <w:szCs w:val="20"/>
              </w:rPr>
            </w:pPr>
            <w:r>
              <w:rPr>
                <w:sz w:val="20"/>
                <w:szCs w:val="20"/>
              </w:rPr>
              <w:t>(</w:t>
            </w:r>
            <w:r w:rsidRPr="00E630A2">
              <w:rPr>
                <w:i/>
                <w:sz w:val="20"/>
                <w:szCs w:val="20"/>
              </w:rPr>
              <w:t>once at baseline for Surgical cohort, 300 settings total</w:t>
            </w:r>
            <w:r>
              <w:rPr>
                <w:sz w:val="20"/>
                <w:szCs w:val="20"/>
              </w:rPr>
              <w:t>)</w:t>
            </w:r>
          </w:p>
        </w:tc>
        <w:tc>
          <w:tcPr>
            <w:tcW w:w="1530" w:type="dxa"/>
            <w:shd w:val="clear" w:color="auto" w:fill="auto"/>
            <w:tcMar>
              <w:top w:w="0" w:type="dxa"/>
              <w:left w:w="108" w:type="dxa"/>
              <w:bottom w:w="0" w:type="dxa"/>
              <w:right w:w="108" w:type="dxa"/>
            </w:tcMar>
          </w:tcPr>
          <w:p w:rsidRPr="00E70711" w:rsidR="00761A4F" w:rsidP="00761A4F" w:rsidRDefault="002270E2" w14:paraId="5AD0AA87" w14:textId="2B04AF00">
            <w:pPr>
              <w:jc w:val="center"/>
              <w:rPr>
                <w:sz w:val="20"/>
                <w:szCs w:val="20"/>
              </w:rPr>
            </w:pPr>
            <w:r>
              <w:rPr>
                <w:sz w:val="20"/>
                <w:szCs w:val="20"/>
              </w:rPr>
              <w:t>2</w:t>
            </w:r>
            <w:r w:rsidR="00761A4F">
              <w:rPr>
                <w:sz w:val="20"/>
                <w:szCs w:val="20"/>
              </w:rPr>
              <w:t>0</w:t>
            </w:r>
          </w:p>
        </w:tc>
        <w:tc>
          <w:tcPr>
            <w:tcW w:w="1620" w:type="dxa"/>
            <w:shd w:val="clear" w:color="auto" w:fill="auto"/>
            <w:tcMar>
              <w:top w:w="0" w:type="dxa"/>
              <w:left w:w="108" w:type="dxa"/>
              <w:bottom w:w="0" w:type="dxa"/>
              <w:right w:w="108" w:type="dxa"/>
            </w:tcMar>
          </w:tcPr>
          <w:p w:rsidRPr="00E70711" w:rsidR="00761A4F" w:rsidDel="008A26A9" w:rsidP="00761A4F" w:rsidRDefault="003420A5" w14:paraId="122AEDE3" w14:textId="6DBA66FE">
            <w:pPr>
              <w:jc w:val="center"/>
              <w:rPr>
                <w:sz w:val="20"/>
                <w:szCs w:val="20"/>
              </w:rPr>
            </w:pPr>
            <w:r>
              <w:rPr>
                <w:sz w:val="20"/>
                <w:szCs w:val="20"/>
              </w:rPr>
              <w:t>1</w:t>
            </w:r>
            <w:r w:rsidR="00761A4F">
              <w:rPr>
                <w:sz w:val="20"/>
                <w:szCs w:val="20"/>
              </w:rPr>
              <w:t>0</w:t>
            </w:r>
          </w:p>
        </w:tc>
        <w:tc>
          <w:tcPr>
            <w:tcW w:w="1620" w:type="dxa"/>
          </w:tcPr>
          <w:p w:rsidRPr="00E70711" w:rsidR="00761A4F" w:rsidP="00761A4F" w:rsidRDefault="00761A4F" w14:paraId="13F4E613" w14:textId="33E874C6">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E70711" w:rsidR="00761A4F" w:rsidP="00761A4F" w:rsidRDefault="00761A4F" w14:paraId="352B1AC1" w14:textId="230E0FDE">
            <w:pPr>
              <w:jc w:val="center"/>
              <w:rPr>
                <w:sz w:val="20"/>
                <w:szCs w:val="20"/>
              </w:rPr>
            </w:pPr>
            <w:r w:rsidRPr="00761A4F">
              <w:rPr>
                <w:sz w:val="20"/>
                <w:szCs w:val="20"/>
              </w:rPr>
              <w:t>$</w:t>
            </w:r>
            <w:r w:rsidR="003420A5">
              <w:rPr>
                <w:sz w:val="20"/>
                <w:szCs w:val="20"/>
              </w:rPr>
              <w:t>351</w:t>
            </w:r>
            <w:r w:rsidRPr="00761A4F">
              <w:rPr>
                <w:sz w:val="20"/>
                <w:szCs w:val="20"/>
              </w:rPr>
              <w:t>.</w:t>
            </w:r>
            <w:r w:rsidR="003420A5">
              <w:rPr>
                <w:sz w:val="20"/>
                <w:szCs w:val="20"/>
              </w:rPr>
              <w:t>7</w:t>
            </w:r>
            <w:r w:rsidR="00F37833">
              <w:rPr>
                <w:sz w:val="20"/>
                <w:szCs w:val="20"/>
              </w:rPr>
              <w:t>0</w:t>
            </w:r>
          </w:p>
        </w:tc>
      </w:tr>
      <w:tr w:rsidRPr="00E70711" w:rsidR="00761A4F" w:rsidTr="00AB6736" w14:paraId="60F9F7DD" w14:textId="77777777">
        <w:tc>
          <w:tcPr>
            <w:tcW w:w="2497" w:type="dxa"/>
            <w:shd w:val="clear" w:color="auto" w:fill="auto"/>
            <w:tcMar>
              <w:top w:w="0" w:type="dxa"/>
              <w:left w:w="108" w:type="dxa"/>
              <w:bottom w:w="0" w:type="dxa"/>
              <w:right w:w="108" w:type="dxa"/>
            </w:tcMar>
          </w:tcPr>
          <w:p w:rsidR="00761A4F" w:rsidP="00761A4F" w:rsidRDefault="00761A4F" w14:paraId="642484DC" w14:textId="099CCE90">
            <w:pPr>
              <w:pStyle w:val="ColorfulList-Accent11"/>
              <w:ind w:left="0" w:firstLine="229"/>
              <w:rPr>
                <w:sz w:val="20"/>
                <w:szCs w:val="20"/>
              </w:rPr>
            </w:pPr>
            <w:r>
              <w:rPr>
                <w:sz w:val="20"/>
                <w:szCs w:val="20"/>
              </w:rPr>
              <w:t>Initial data</w:t>
            </w:r>
            <w:r w:rsidR="00D7175B">
              <w:rPr>
                <w:sz w:val="20"/>
                <w:szCs w:val="20"/>
              </w:rPr>
              <w:t xml:space="preserve"> </w:t>
            </w:r>
            <w:r>
              <w:rPr>
                <w:sz w:val="20"/>
                <w:szCs w:val="20"/>
              </w:rPr>
              <w:t>pull</w:t>
            </w:r>
            <w:r w:rsidR="0083758D">
              <w:rPr>
                <w:sz w:val="20"/>
                <w:szCs w:val="20"/>
              </w:rPr>
              <w:t xml:space="preserve"> (Attachment </w:t>
            </w:r>
            <w:r w:rsidR="006D46BE">
              <w:rPr>
                <w:sz w:val="20"/>
                <w:szCs w:val="20"/>
              </w:rPr>
              <w:t>L</w:t>
            </w:r>
            <w:r w:rsidR="0083758D">
              <w:rPr>
                <w:sz w:val="20"/>
                <w:szCs w:val="20"/>
              </w:rPr>
              <w:t>)</w:t>
            </w:r>
            <w:r>
              <w:rPr>
                <w:sz w:val="20"/>
                <w:szCs w:val="20"/>
              </w:rPr>
              <w:t>-</w:t>
            </w:r>
          </w:p>
          <w:p w:rsidR="00761A4F" w:rsidP="00761A4F" w:rsidRDefault="00761A4F" w14:paraId="346BA6FB" w14:textId="6809DA37">
            <w:pPr>
              <w:pStyle w:val="ColorfulList-Accent11"/>
              <w:ind w:left="0" w:firstLine="229"/>
              <w:rPr>
                <w:sz w:val="20"/>
                <w:szCs w:val="20"/>
              </w:rPr>
            </w:pPr>
            <w:r>
              <w:rPr>
                <w:sz w:val="20"/>
                <w:szCs w:val="20"/>
              </w:rPr>
              <w:t>(</w:t>
            </w:r>
            <w:r w:rsidRPr="00E630A2">
              <w:rPr>
                <w:i/>
                <w:sz w:val="20"/>
                <w:szCs w:val="20"/>
              </w:rPr>
              <w:t>once at baseline for LTC cohort, 300 facilities total</w:t>
            </w:r>
            <w:r>
              <w:rPr>
                <w:sz w:val="20"/>
                <w:szCs w:val="20"/>
              </w:rPr>
              <w:t>)</w:t>
            </w:r>
          </w:p>
        </w:tc>
        <w:tc>
          <w:tcPr>
            <w:tcW w:w="1530" w:type="dxa"/>
            <w:shd w:val="clear" w:color="auto" w:fill="auto"/>
            <w:tcMar>
              <w:top w:w="0" w:type="dxa"/>
              <w:left w:w="108" w:type="dxa"/>
              <w:bottom w:w="0" w:type="dxa"/>
              <w:right w:w="108" w:type="dxa"/>
            </w:tcMar>
          </w:tcPr>
          <w:p w:rsidRPr="00E70711" w:rsidR="00761A4F" w:rsidP="00761A4F" w:rsidRDefault="00761A4F" w14:paraId="20F1B06B" w14:textId="28F8F7C4">
            <w:pPr>
              <w:jc w:val="center"/>
              <w:rPr>
                <w:sz w:val="20"/>
                <w:szCs w:val="20"/>
              </w:rPr>
            </w:pPr>
            <w:r>
              <w:rPr>
                <w:sz w:val="20"/>
                <w:szCs w:val="20"/>
              </w:rPr>
              <w:t>100</w:t>
            </w:r>
          </w:p>
        </w:tc>
        <w:tc>
          <w:tcPr>
            <w:tcW w:w="1620" w:type="dxa"/>
            <w:shd w:val="clear" w:color="auto" w:fill="auto"/>
            <w:tcMar>
              <w:top w:w="0" w:type="dxa"/>
              <w:left w:w="108" w:type="dxa"/>
              <w:bottom w:w="0" w:type="dxa"/>
              <w:right w:w="108" w:type="dxa"/>
            </w:tcMar>
          </w:tcPr>
          <w:p w:rsidRPr="00E70711" w:rsidR="00761A4F" w:rsidDel="008A26A9" w:rsidP="00761A4F" w:rsidRDefault="00D04494" w14:paraId="7309CC6A" w14:textId="6D837935">
            <w:pPr>
              <w:jc w:val="center"/>
              <w:rPr>
                <w:sz w:val="20"/>
                <w:szCs w:val="20"/>
              </w:rPr>
            </w:pPr>
            <w:r>
              <w:rPr>
                <w:sz w:val="20"/>
                <w:szCs w:val="20"/>
              </w:rPr>
              <w:t>5</w:t>
            </w:r>
            <w:r w:rsidR="00761A4F">
              <w:rPr>
                <w:sz w:val="20"/>
                <w:szCs w:val="20"/>
              </w:rPr>
              <w:t>00</w:t>
            </w:r>
          </w:p>
        </w:tc>
        <w:tc>
          <w:tcPr>
            <w:tcW w:w="1620" w:type="dxa"/>
          </w:tcPr>
          <w:p w:rsidRPr="00E70711" w:rsidR="00761A4F" w:rsidP="00761A4F" w:rsidRDefault="00761A4F" w14:paraId="59F3ECA7" w14:textId="623204A1">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E70711" w:rsidR="00761A4F" w:rsidRDefault="00761A4F" w14:paraId="7DCA9D1A" w14:textId="67CDE3FB">
            <w:pPr>
              <w:jc w:val="center"/>
              <w:rPr>
                <w:sz w:val="20"/>
                <w:szCs w:val="20"/>
              </w:rPr>
            </w:pPr>
            <w:r w:rsidRPr="00761A4F">
              <w:rPr>
                <w:sz w:val="20"/>
                <w:szCs w:val="20"/>
              </w:rPr>
              <w:t>$1</w:t>
            </w:r>
            <w:r w:rsidR="00D04494">
              <w:rPr>
                <w:sz w:val="20"/>
                <w:szCs w:val="20"/>
              </w:rPr>
              <w:t>7</w:t>
            </w:r>
            <w:r w:rsidRPr="00761A4F">
              <w:rPr>
                <w:sz w:val="20"/>
                <w:szCs w:val="20"/>
              </w:rPr>
              <w:t>,</w:t>
            </w:r>
            <w:r w:rsidR="00D04494">
              <w:rPr>
                <w:sz w:val="20"/>
                <w:szCs w:val="20"/>
              </w:rPr>
              <w:t>585</w:t>
            </w:r>
            <w:r w:rsidRPr="00761A4F">
              <w:rPr>
                <w:sz w:val="20"/>
                <w:szCs w:val="20"/>
              </w:rPr>
              <w:t>.00</w:t>
            </w:r>
          </w:p>
        </w:tc>
      </w:tr>
      <w:tr w:rsidRPr="00E70711" w:rsidR="00A11EF2" w:rsidTr="00AB6736" w14:paraId="79E7F4F3" w14:textId="77777777">
        <w:tc>
          <w:tcPr>
            <w:tcW w:w="2497" w:type="dxa"/>
            <w:shd w:val="clear" w:color="auto" w:fill="auto"/>
            <w:tcMar>
              <w:top w:w="0" w:type="dxa"/>
              <w:left w:w="108" w:type="dxa"/>
              <w:bottom w:w="0" w:type="dxa"/>
              <w:right w:w="108" w:type="dxa"/>
            </w:tcMar>
          </w:tcPr>
          <w:p w:rsidRPr="00E70711" w:rsidR="00A11EF2" w:rsidP="00A11EF2" w:rsidRDefault="00A11EF2" w14:paraId="2D2FF930" w14:textId="2E4511B6">
            <w:pPr>
              <w:pStyle w:val="ColorfulList-Accent11"/>
              <w:ind w:left="0" w:firstLine="229"/>
              <w:rPr>
                <w:sz w:val="20"/>
                <w:szCs w:val="20"/>
              </w:rPr>
            </w:pPr>
            <w:r>
              <w:rPr>
                <w:sz w:val="20"/>
                <w:szCs w:val="20"/>
              </w:rPr>
              <w:t>Quarterly</w:t>
            </w:r>
            <w:r w:rsidRPr="00E70711">
              <w:rPr>
                <w:sz w:val="20"/>
                <w:szCs w:val="20"/>
              </w:rPr>
              <w:t xml:space="preserve"> data</w:t>
            </w:r>
            <w:r w:rsidR="008F1709">
              <w:rPr>
                <w:sz w:val="20"/>
                <w:szCs w:val="20"/>
              </w:rPr>
              <w:t xml:space="preserve"> (Attachments </w:t>
            </w:r>
            <w:r w:rsidR="006D46BE">
              <w:rPr>
                <w:sz w:val="20"/>
                <w:szCs w:val="20"/>
              </w:rPr>
              <w:t>J</w:t>
            </w:r>
            <w:r w:rsidR="008F1709">
              <w:rPr>
                <w:sz w:val="20"/>
                <w:szCs w:val="20"/>
              </w:rPr>
              <w:t>)</w:t>
            </w:r>
            <w:r w:rsidRPr="00E70711">
              <w:rPr>
                <w:sz w:val="20"/>
                <w:szCs w:val="20"/>
              </w:rPr>
              <w:t xml:space="preserve">- </w:t>
            </w:r>
          </w:p>
          <w:p w:rsidRPr="00E70711" w:rsidR="00A11EF2" w:rsidP="00A11EF2" w:rsidRDefault="00A11EF2" w14:paraId="6161BB1E" w14:textId="1763A0FA">
            <w:pPr>
              <w:pStyle w:val="ColorfulList-Accent11"/>
              <w:ind w:left="229"/>
              <w:rPr>
                <w:i/>
                <w:sz w:val="20"/>
                <w:szCs w:val="20"/>
              </w:rPr>
            </w:pPr>
            <w:r w:rsidRPr="00E70711">
              <w:rPr>
                <w:i/>
                <w:sz w:val="20"/>
                <w:szCs w:val="20"/>
              </w:rPr>
              <w:t>(</w:t>
            </w:r>
            <w:r>
              <w:rPr>
                <w:i/>
                <w:sz w:val="20"/>
                <w:szCs w:val="20"/>
              </w:rPr>
              <w:t>quarterly</w:t>
            </w:r>
            <w:r w:rsidRPr="00E70711">
              <w:rPr>
                <w:i/>
                <w:sz w:val="20"/>
                <w:szCs w:val="20"/>
              </w:rPr>
              <w:t xml:space="preserve"> during </w:t>
            </w:r>
            <w:r w:rsidR="005775A8">
              <w:rPr>
                <w:i/>
                <w:sz w:val="20"/>
                <w:szCs w:val="20"/>
              </w:rPr>
              <w:t>18</w:t>
            </w:r>
            <w:r w:rsidRPr="00E70711">
              <w:rPr>
                <w:i/>
                <w:sz w:val="20"/>
                <w:szCs w:val="20"/>
              </w:rPr>
              <w:t xml:space="preserve"> months of </w:t>
            </w:r>
            <w:r w:rsidRPr="00965F68" w:rsidR="00965F68">
              <w:rPr>
                <w:bCs/>
                <w:i/>
                <w:color w:val="000000"/>
                <w:sz w:val="20"/>
                <w:szCs w:val="20"/>
              </w:rPr>
              <w:t>implementation</w:t>
            </w:r>
            <w:r w:rsidRPr="00E70711">
              <w:rPr>
                <w:i/>
                <w:sz w:val="20"/>
                <w:szCs w:val="20"/>
              </w:rPr>
              <w:t xml:space="preserve">  for ICU</w:t>
            </w:r>
            <w:r w:rsidR="001E2158">
              <w:rPr>
                <w:i/>
                <w:sz w:val="20"/>
                <w:szCs w:val="20"/>
              </w:rPr>
              <w:t xml:space="preserve"> </w:t>
            </w:r>
            <w:r w:rsidR="001E2158">
              <w:rPr>
                <w:i/>
                <w:sz w:val="20"/>
                <w:szCs w:val="20"/>
              </w:rPr>
              <w:lastRenderedPageBreak/>
              <w:t>and</w:t>
            </w:r>
            <w:r w:rsidRPr="00E70711">
              <w:rPr>
                <w:i/>
                <w:sz w:val="20"/>
                <w:szCs w:val="20"/>
              </w:rPr>
              <w:t xml:space="preserve"> non-ICU cohorts</w:t>
            </w:r>
            <w:r>
              <w:rPr>
                <w:i/>
                <w:sz w:val="20"/>
                <w:szCs w:val="20"/>
              </w:rPr>
              <w:t>, 1,100 units total</w:t>
            </w:r>
            <w:r w:rsidRPr="00E70711">
              <w:rPr>
                <w:i/>
                <w:sz w:val="20"/>
                <w:szCs w:val="20"/>
              </w:rPr>
              <w:t>)</w:t>
            </w:r>
          </w:p>
        </w:tc>
        <w:tc>
          <w:tcPr>
            <w:tcW w:w="1530" w:type="dxa"/>
            <w:shd w:val="clear" w:color="auto" w:fill="auto"/>
            <w:tcMar>
              <w:top w:w="0" w:type="dxa"/>
              <w:left w:w="108" w:type="dxa"/>
              <w:bottom w:w="0" w:type="dxa"/>
              <w:right w:w="108" w:type="dxa"/>
            </w:tcMar>
          </w:tcPr>
          <w:p w:rsidRPr="00E70711" w:rsidR="00A11EF2" w:rsidP="00A11EF2" w:rsidRDefault="003420A5" w14:paraId="7D546AA7" w14:textId="64236472">
            <w:pPr>
              <w:jc w:val="center"/>
              <w:rPr>
                <w:sz w:val="20"/>
                <w:szCs w:val="20"/>
              </w:rPr>
            </w:pPr>
            <w:r>
              <w:rPr>
                <w:sz w:val="20"/>
                <w:szCs w:val="20"/>
              </w:rPr>
              <w:lastRenderedPageBreak/>
              <w:t>2</w:t>
            </w:r>
            <w:r w:rsidRPr="00E70711" w:rsidR="00A11EF2">
              <w:rPr>
                <w:sz w:val="20"/>
                <w:szCs w:val="20"/>
              </w:rPr>
              <w:t>67</w:t>
            </w:r>
          </w:p>
        </w:tc>
        <w:tc>
          <w:tcPr>
            <w:tcW w:w="1620" w:type="dxa"/>
            <w:shd w:val="clear" w:color="auto" w:fill="auto"/>
            <w:tcMar>
              <w:top w:w="0" w:type="dxa"/>
              <w:left w:w="108" w:type="dxa"/>
              <w:bottom w:w="0" w:type="dxa"/>
              <w:right w:w="108" w:type="dxa"/>
            </w:tcMar>
          </w:tcPr>
          <w:p w:rsidRPr="00E70711" w:rsidR="00A11EF2" w:rsidP="00A11EF2" w:rsidRDefault="002270E2" w14:paraId="2A8C7311" w14:textId="3CD14A26">
            <w:pPr>
              <w:jc w:val="center"/>
              <w:rPr>
                <w:sz w:val="20"/>
                <w:szCs w:val="20"/>
              </w:rPr>
            </w:pPr>
            <w:r>
              <w:rPr>
                <w:sz w:val="20"/>
                <w:szCs w:val="20"/>
              </w:rPr>
              <w:t>8</w:t>
            </w:r>
            <w:r w:rsidR="00EE4936">
              <w:rPr>
                <w:sz w:val="20"/>
                <w:szCs w:val="20"/>
              </w:rPr>
              <w:t>0</w:t>
            </w:r>
            <w:r w:rsidR="003420A5">
              <w:rPr>
                <w:sz w:val="20"/>
                <w:szCs w:val="20"/>
              </w:rPr>
              <w:t>1</w:t>
            </w:r>
          </w:p>
        </w:tc>
        <w:tc>
          <w:tcPr>
            <w:tcW w:w="1620" w:type="dxa"/>
          </w:tcPr>
          <w:p w:rsidRPr="00E70711" w:rsidR="00A11EF2" w:rsidP="00A11EF2" w:rsidRDefault="00A11EF2" w14:paraId="69272A51" w14:textId="7800F2D4">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E70711" w:rsidR="00A11EF2" w:rsidP="00A11EF2" w:rsidRDefault="00761A4F" w14:paraId="1E8F48C8" w14:textId="44165A63">
            <w:pPr>
              <w:jc w:val="center"/>
              <w:rPr>
                <w:sz w:val="20"/>
                <w:szCs w:val="20"/>
              </w:rPr>
            </w:pPr>
            <w:r w:rsidRPr="00761A4F">
              <w:rPr>
                <w:sz w:val="20"/>
                <w:szCs w:val="20"/>
              </w:rPr>
              <w:t>$</w:t>
            </w:r>
            <w:r w:rsidR="00EE4936">
              <w:rPr>
                <w:sz w:val="20"/>
                <w:szCs w:val="20"/>
              </w:rPr>
              <w:t>2</w:t>
            </w:r>
            <w:r w:rsidR="00316A30">
              <w:rPr>
                <w:sz w:val="20"/>
                <w:szCs w:val="20"/>
              </w:rPr>
              <w:t>8</w:t>
            </w:r>
            <w:r w:rsidR="00EE4936">
              <w:rPr>
                <w:sz w:val="20"/>
                <w:szCs w:val="20"/>
              </w:rPr>
              <w:t>,171</w:t>
            </w:r>
            <w:r w:rsidRPr="00761A4F">
              <w:rPr>
                <w:sz w:val="20"/>
                <w:szCs w:val="20"/>
              </w:rPr>
              <w:t>.17</w:t>
            </w:r>
          </w:p>
        </w:tc>
      </w:tr>
      <w:tr w:rsidRPr="00E70711" w:rsidR="003420A5" w:rsidTr="00AB6736" w14:paraId="4E90813E" w14:textId="77777777">
        <w:tc>
          <w:tcPr>
            <w:tcW w:w="2497" w:type="dxa"/>
            <w:shd w:val="clear" w:color="auto" w:fill="auto"/>
            <w:tcMar>
              <w:top w:w="0" w:type="dxa"/>
              <w:left w:w="108" w:type="dxa"/>
              <w:bottom w:w="0" w:type="dxa"/>
              <w:right w:w="108" w:type="dxa"/>
            </w:tcMar>
          </w:tcPr>
          <w:p w:rsidRPr="00E70711" w:rsidR="003420A5" w:rsidP="00A11EF2" w:rsidRDefault="003420A5" w14:paraId="153D9DE9" w14:textId="4B2AF2F2">
            <w:pPr>
              <w:pStyle w:val="ColorfulList-Accent11"/>
              <w:ind w:left="0" w:firstLine="229"/>
              <w:rPr>
                <w:sz w:val="20"/>
                <w:szCs w:val="20"/>
              </w:rPr>
            </w:pPr>
            <w:r>
              <w:rPr>
                <w:sz w:val="20"/>
                <w:szCs w:val="20"/>
              </w:rPr>
              <w:t xml:space="preserve">Quarterly data collection of monthly data for 20% of hospitals that do not confer rights to their NHSN data </w:t>
            </w:r>
            <w:r w:rsidR="00B27DEF">
              <w:rPr>
                <w:sz w:val="20"/>
                <w:szCs w:val="20"/>
              </w:rPr>
              <w:t>(Attachment K)</w:t>
            </w:r>
            <w:r>
              <w:rPr>
                <w:sz w:val="20"/>
                <w:szCs w:val="20"/>
              </w:rPr>
              <w:t xml:space="preserve">    (</w:t>
            </w:r>
            <w:r w:rsidRPr="00BF6627">
              <w:rPr>
                <w:i/>
                <w:sz w:val="20"/>
                <w:szCs w:val="20"/>
              </w:rPr>
              <w:t xml:space="preserve">quarterly during 18 months of </w:t>
            </w:r>
            <w:r w:rsidRPr="00965F68" w:rsidR="00965F68">
              <w:rPr>
                <w:bCs/>
                <w:i/>
                <w:color w:val="000000"/>
                <w:sz w:val="20"/>
                <w:szCs w:val="20"/>
              </w:rPr>
              <w:t>implementation</w:t>
            </w:r>
            <w:r w:rsidRPr="00BF6627">
              <w:rPr>
                <w:i/>
                <w:sz w:val="20"/>
                <w:szCs w:val="20"/>
              </w:rPr>
              <w:t xml:space="preserve"> for surgical cohorts</w:t>
            </w:r>
            <w:r>
              <w:rPr>
                <w:i/>
                <w:sz w:val="20"/>
                <w:szCs w:val="20"/>
              </w:rPr>
              <w:t>, 300 units total</w:t>
            </w:r>
            <w:r>
              <w:rPr>
                <w:sz w:val="20"/>
                <w:szCs w:val="20"/>
              </w:rPr>
              <w:t>)</w:t>
            </w:r>
          </w:p>
        </w:tc>
        <w:tc>
          <w:tcPr>
            <w:tcW w:w="1530" w:type="dxa"/>
            <w:shd w:val="clear" w:color="auto" w:fill="auto"/>
            <w:tcMar>
              <w:top w:w="0" w:type="dxa"/>
              <w:left w:w="108" w:type="dxa"/>
              <w:bottom w:w="0" w:type="dxa"/>
              <w:right w:w="108" w:type="dxa"/>
            </w:tcMar>
          </w:tcPr>
          <w:p w:rsidRPr="00E70711" w:rsidR="003420A5" w:rsidP="00A11EF2" w:rsidRDefault="002270E2" w14:paraId="77DFA458" w14:textId="77931168">
            <w:pPr>
              <w:jc w:val="center"/>
              <w:rPr>
                <w:sz w:val="20"/>
                <w:szCs w:val="20"/>
              </w:rPr>
            </w:pPr>
            <w:r>
              <w:rPr>
                <w:sz w:val="20"/>
                <w:szCs w:val="20"/>
              </w:rPr>
              <w:t>2</w:t>
            </w:r>
            <w:r w:rsidR="003420A5">
              <w:rPr>
                <w:sz w:val="20"/>
                <w:szCs w:val="20"/>
              </w:rPr>
              <w:t>0</w:t>
            </w:r>
          </w:p>
        </w:tc>
        <w:tc>
          <w:tcPr>
            <w:tcW w:w="1620" w:type="dxa"/>
            <w:shd w:val="clear" w:color="auto" w:fill="auto"/>
            <w:tcMar>
              <w:top w:w="0" w:type="dxa"/>
              <w:left w:w="108" w:type="dxa"/>
              <w:bottom w:w="0" w:type="dxa"/>
              <w:right w:w="108" w:type="dxa"/>
            </w:tcMar>
          </w:tcPr>
          <w:p w:rsidR="003420A5" w:rsidP="00A11EF2" w:rsidRDefault="003420A5" w14:paraId="59B0C6B8" w14:textId="5723908E">
            <w:pPr>
              <w:jc w:val="center"/>
              <w:rPr>
                <w:sz w:val="20"/>
                <w:szCs w:val="20"/>
              </w:rPr>
            </w:pPr>
            <w:r>
              <w:rPr>
                <w:sz w:val="20"/>
                <w:szCs w:val="20"/>
              </w:rPr>
              <w:t>60</w:t>
            </w:r>
          </w:p>
        </w:tc>
        <w:tc>
          <w:tcPr>
            <w:tcW w:w="1620" w:type="dxa"/>
          </w:tcPr>
          <w:p w:rsidRPr="00E70711" w:rsidR="003420A5" w:rsidP="00A11EF2" w:rsidRDefault="003420A5" w14:paraId="6DC45955" w14:textId="37272392">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761A4F" w:rsidR="003420A5" w:rsidP="00A11EF2" w:rsidRDefault="00E46EB0" w14:paraId="20A3FF93" w14:textId="2F3660DF">
            <w:pPr>
              <w:jc w:val="center"/>
              <w:rPr>
                <w:sz w:val="20"/>
                <w:szCs w:val="20"/>
              </w:rPr>
            </w:pPr>
            <w:r>
              <w:rPr>
                <w:sz w:val="20"/>
                <w:szCs w:val="20"/>
              </w:rPr>
              <w:t>$2</w:t>
            </w:r>
            <w:r w:rsidR="00F820C2">
              <w:rPr>
                <w:sz w:val="20"/>
                <w:szCs w:val="20"/>
              </w:rPr>
              <w:t>,</w:t>
            </w:r>
            <w:r>
              <w:rPr>
                <w:sz w:val="20"/>
                <w:szCs w:val="20"/>
              </w:rPr>
              <w:t>110.20</w:t>
            </w:r>
          </w:p>
        </w:tc>
      </w:tr>
      <w:tr w:rsidRPr="00E70711" w:rsidR="00A11EF2" w:rsidTr="00AB6736" w14:paraId="299148CB" w14:textId="77777777">
        <w:tc>
          <w:tcPr>
            <w:tcW w:w="2497" w:type="dxa"/>
            <w:shd w:val="clear" w:color="auto" w:fill="auto"/>
            <w:tcMar>
              <w:top w:w="0" w:type="dxa"/>
              <w:left w:w="108" w:type="dxa"/>
              <w:bottom w:w="0" w:type="dxa"/>
              <w:right w:w="108" w:type="dxa"/>
            </w:tcMar>
          </w:tcPr>
          <w:p w:rsidRPr="00E70711" w:rsidR="00A11EF2" w:rsidP="00A11EF2" w:rsidRDefault="00A11EF2" w14:paraId="189CA329" w14:textId="2AC52C5D">
            <w:pPr>
              <w:pStyle w:val="ColorfulList-Accent11"/>
              <w:ind w:left="0" w:firstLine="229"/>
              <w:rPr>
                <w:sz w:val="20"/>
                <w:szCs w:val="20"/>
              </w:rPr>
            </w:pPr>
            <w:r w:rsidRPr="00E70711">
              <w:rPr>
                <w:sz w:val="20"/>
                <w:szCs w:val="20"/>
              </w:rPr>
              <w:t>Monthly data</w:t>
            </w:r>
            <w:r w:rsidR="008F1709">
              <w:rPr>
                <w:sz w:val="20"/>
                <w:szCs w:val="20"/>
              </w:rPr>
              <w:t xml:space="preserve"> (Attachment </w:t>
            </w:r>
            <w:r w:rsidR="006D46BE">
              <w:rPr>
                <w:sz w:val="20"/>
                <w:szCs w:val="20"/>
              </w:rPr>
              <w:t>L</w:t>
            </w:r>
            <w:r w:rsidR="008F1709">
              <w:rPr>
                <w:sz w:val="20"/>
                <w:szCs w:val="20"/>
              </w:rPr>
              <w:t>)</w:t>
            </w:r>
            <w:r w:rsidRPr="00E70711">
              <w:rPr>
                <w:sz w:val="20"/>
                <w:szCs w:val="20"/>
              </w:rPr>
              <w:t xml:space="preserve">- </w:t>
            </w:r>
          </w:p>
          <w:p w:rsidRPr="00E70711" w:rsidR="00A11EF2" w:rsidP="00A11EF2" w:rsidRDefault="00A11EF2" w14:paraId="10A0CFC4" w14:textId="289665DA">
            <w:pPr>
              <w:pStyle w:val="ColorfulList-Accent11"/>
              <w:ind w:left="0" w:firstLine="229"/>
              <w:rPr>
                <w:sz w:val="20"/>
                <w:szCs w:val="20"/>
              </w:rPr>
            </w:pPr>
            <w:r w:rsidRPr="00E70711">
              <w:rPr>
                <w:i/>
                <w:sz w:val="20"/>
                <w:szCs w:val="20"/>
              </w:rPr>
              <w:t xml:space="preserve">(monthly </w:t>
            </w:r>
            <w:r>
              <w:rPr>
                <w:i/>
                <w:sz w:val="20"/>
                <w:szCs w:val="20"/>
              </w:rPr>
              <w:t xml:space="preserve">per facility </w:t>
            </w:r>
            <w:r w:rsidRPr="00E70711">
              <w:rPr>
                <w:i/>
                <w:sz w:val="20"/>
                <w:szCs w:val="20"/>
              </w:rPr>
              <w:t xml:space="preserve">during </w:t>
            </w:r>
            <w:r w:rsidR="005775A8">
              <w:rPr>
                <w:i/>
                <w:sz w:val="20"/>
                <w:szCs w:val="20"/>
              </w:rPr>
              <w:t>18</w:t>
            </w:r>
            <w:r w:rsidRPr="00E70711">
              <w:rPr>
                <w:i/>
                <w:sz w:val="20"/>
                <w:szCs w:val="20"/>
              </w:rPr>
              <w:t xml:space="preserve"> months of </w:t>
            </w:r>
            <w:r w:rsidRPr="00965F68" w:rsidR="00965F68">
              <w:rPr>
                <w:bCs/>
                <w:i/>
                <w:color w:val="000000"/>
                <w:sz w:val="20"/>
                <w:szCs w:val="20"/>
              </w:rPr>
              <w:t>implementation</w:t>
            </w:r>
            <w:r w:rsidRPr="00E70711">
              <w:rPr>
                <w:i/>
                <w:sz w:val="20"/>
                <w:szCs w:val="20"/>
              </w:rPr>
              <w:t xml:space="preserve"> for LTC cohort</w:t>
            </w:r>
            <w:r>
              <w:rPr>
                <w:i/>
                <w:sz w:val="20"/>
                <w:szCs w:val="20"/>
              </w:rPr>
              <w:t>, 100 facilities total</w:t>
            </w:r>
            <w:r w:rsidRPr="00E70711">
              <w:rPr>
                <w:i/>
                <w:sz w:val="20"/>
                <w:szCs w:val="20"/>
              </w:rPr>
              <w:t>)</w:t>
            </w:r>
          </w:p>
        </w:tc>
        <w:tc>
          <w:tcPr>
            <w:tcW w:w="1530" w:type="dxa"/>
            <w:shd w:val="clear" w:color="auto" w:fill="auto"/>
            <w:tcMar>
              <w:top w:w="0" w:type="dxa"/>
              <w:left w:w="108" w:type="dxa"/>
              <w:bottom w:w="0" w:type="dxa"/>
              <w:right w:w="108" w:type="dxa"/>
            </w:tcMar>
          </w:tcPr>
          <w:p w:rsidRPr="00E70711" w:rsidR="00A11EF2" w:rsidP="00A11EF2" w:rsidRDefault="00A11EF2" w14:paraId="044F4AC7" w14:textId="1DC3C331">
            <w:pPr>
              <w:jc w:val="center"/>
              <w:rPr>
                <w:sz w:val="20"/>
                <w:szCs w:val="20"/>
              </w:rPr>
            </w:pPr>
            <w:r w:rsidRPr="00E70711">
              <w:rPr>
                <w:sz w:val="20"/>
                <w:szCs w:val="20"/>
              </w:rPr>
              <w:t>100</w:t>
            </w:r>
          </w:p>
        </w:tc>
        <w:tc>
          <w:tcPr>
            <w:tcW w:w="1620" w:type="dxa"/>
            <w:shd w:val="clear" w:color="auto" w:fill="auto"/>
            <w:tcMar>
              <w:top w:w="0" w:type="dxa"/>
              <w:left w:w="108" w:type="dxa"/>
              <w:bottom w:w="0" w:type="dxa"/>
              <w:right w:w="108" w:type="dxa"/>
            </w:tcMar>
          </w:tcPr>
          <w:p w:rsidRPr="00E70711" w:rsidR="00A11EF2" w:rsidP="00A11EF2" w:rsidRDefault="00761A4F" w14:paraId="70F46D16" w14:textId="4CBDCF11">
            <w:pPr>
              <w:jc w:val="center"/>
              <w:rPr>
                <w:sz w:val="20"/>
                <w:szCs w:val="20"/>
              </w:rPr>
            </w:pPr>
            <w:r>
              <w:rPr>
                <w:sz w:val="20"/>
                <w:szCs w:val="20"/>
              </w:rPr>
              <w:t>900</w:t>
            </w:r>
          </w:p>
        </w:tc>
        <w:tc>
          <w:tcPr>
            <w:tcW w:w="1620" w:type="dxa"/>
          </w:tcPr>
          <w:p w:rsidRPr="00E70711" w:rsidR="00A11EF2" w:rsidP="00A11EF2" w:rsidRDefault="00A11EF2" w14:paraId="6C09D90E" w14:textId="5770B6B6">
            <w:pPr>
              <w:jc w:val="center"/>
              <w:rPr>
                <w:bCs/>
                <w:color w:val="000000"/>
                <w:sz w:val="20"/>
                <w:szCs w:val="20"/>
              </w:rPr>
            </w:pPr>
            <w:r w:rsidRPr="00E70711">
              <w:rPr>
                <w:bCs/>
                <w:color w:val="000000"/>
                <w:sz w:val="20"/>
                <w:szCs w:val="20"/>
              </w:rPr>
              <w:t>$35.17</w:t>
            </w:r>
            <w:r w:rsidRPr="00E70711">
              <w:rPr>
                <w:sz w:val="20"/>
                <w:szCs w:val="20"/>
              </w:rPr>
              <w:t>^</w:t>
            </w:r>
          </w:p>
        </w:tc>
        <w:tc>
          <w:tcPr>
            <w:tcW w:w="1800" w:type="dxa"/>
            <w:shd w:val="clear" w:color="auto" w:fill="auto"/>
            <w:tcMar>
              <w:top w:w="0" w:type="dxa"/>
              <w:left w:w="108" w:type="dxa"/>
              <w:bottom w:w="0" w:type="dxa"/>
              <w:right w:w="108" w:type="dxa"/>
            </w:tcMar>
          </w:tcPr>
          <w:p w:rsidRPr="00E70711" w:rsidR="00A11EF2" w:rsidP="00A11EF2" w:rsidRDefault="00761A4F" w14:paraId="50D8D5DC" w14:textId="4D4307D2">
            <w:pPr>
              <w:jc w:val="center"/>
              <w:rPr>
                <w:sz w:val="20"/>
                <w:szCs w:val="20"/>
              </w:rPr>
            </w:pPr>
            <w:r w:rsidRPr="00761A4F">
              <w:rPr>
                <w:sz w:val="20"/>
                <w:szCs w:val="20"/>
              </w:rPr>
              <w:t>$31,653.00</w:t>
            </w:r>
          </w:p>
        </w:tc>
      </w:tr>
      <w:tr w:rsidRPr="00E70711" w:rsidR="00A11EF2" w:rsidTr="00AB6736" w14:paraId="6677C5FA" w14:textId="77777777">
        <w:tc>
          <w:tcPr>
            <w:tcW w:w="2497" w:type="dxa"/>
            <w:shd w:val="clear" w:color="auto" w:fill="auto"/>
            <w:tcMar>
              <w:top w:w="0" w:type="dxa"/>
              <w:left w:w="108" w:type="dxa"/>
              <w:bottom w:w="0" w:type="dxa"/>
              <w:right w:w="108" w:type="dxa"/>
            </w:tcMar>
          </w:tcPr>
          <w:p w:rsidRPr="00E70711" w:rsidR="00A11EF2" w:rsidP="00A11EF2" w:rsidRDefault="00A11EF2" w14:paraId="40970942" w14:textId="77777777">
            <w:pPr>
              <w:rPr>
                <w:b/>
                <w:sz w:val="20"/>
                <w:szCs w:val="20"/>
              </w:rPr>
            </w:pPr>
            <w:r w:rsidRPr="00E70711">
              <w:rPr>
                <w:b/>
                <w:sz w:val="20"/>
                <w:szCs w:val="20"/>
              </w:rPr>
              <w:t>Total</w:t>
            </w:r>
          </w:p>
        </w:tc>
        <w:tc>
          <w:tcPr>
            <w:tcW w:w="1530" w:type="dxa"/>
            <w:shd w:val="clear" w:color="auto" w:fill="auto"/>
            <w:tcMar>
              <w:top w:w="0" w:type="dxa"/>
              <w:left w:w="108" w:type="dxa"/>
              <w:bottom w:w="0" w:type="dxa"/>
              <w:right w:w="108" w:type="dxa"/>
            </w:tcMar>
          </w:tcPr>
          <w:p w:rsidRPr="00E70711" w:rsidR="00A11EF2" w:rsidP="00A11EF2" w:rsidRDefault="00A11EF2" w14:paraId="7D4AF181" w14:textId="2CCE2687">
            <w:pPr>
              <w:jc w:val="center"/>
              <w:rPr>
                <w:b/>
                <w:sz w:val="20"/>
                <w:szCs w:val="20"/>
              </w:rPr>
            </w:pPr>
            <w:r w:rsidRPr="00E70711">
              <w:rPr>
                <w:b/>
                <w:sz w:val="20"/>
                <w:szCs w:val="20"/>
              </w:rPr>
              <w:t>13,</w:t>
            </w:r>
            <w:r w:rsidR="008F5033">
              <w:rPr>
                <w:b/>
                <w:sz w:val="20"/>
                <w:szCs w:val="20"/>
              </w:rPr>
              <w:t>42</w:t>
            </w:r>
            <w:r w:rsidR="00316A30">
              <w:rPr>
                <w:b/>
                <w:sz w:val="20"/>
                <w:szCs w:val="20"/>
              </w:rPr>
              <w:t>9</w:t>
            </w:r>
          </w:p>
        </w:tc>
        <w:tc>
          <w:tcPr>
            <w:tcW w:w="1620" w:type="dxa"/>
            <w:shd w:val="clear" w:color="auto" w:fill="auto"/>
            <w:tcMar>
              <w:top w:w="0" w:type="dxa"/>
              <w:left w:w="108" w:type="dxa"/>
              <w:bottom w:w="0" w:type="dxa"/>
              <w:right w:w="108" w:type="dxa"/>
            </w:tcMar>
          </w:tcPr>
          <w:p w:rsidRPr="00E70711" w:rsidR="00A11EF2" w:rsidRDefault="00F820C2" w14:paraId="3F1FDB79" w14:textId="7BA8C3B5">
            <w:pPr>
              <w:jc w:val="center"/>
              <w:rPr>
                <w:b/>
                <w:sz w:val="20"/>
                <w:szCs w:val="20"/>
              </w:rPr>
            </w:pPr>
            <w:r>
              <w:rPr>
                <w:b/>
                <w:sz w:val="20"/>
                <w:szCs w:val="20"/>
              </w:rPr>
              <w:t>11,</w:t>
            </w:r>
            <w:r w:rsidR="00D04494">
              <w:rPr>
                <w:b/>
                <w:sz w:val="20"/>
                <w:szCs w:val="20"/>
              </w:rPr>
              <w:t>5</w:t>
            </w:r>
            <w:r>
              <w:rPr>
                <w:b/>
                <w:sz w:val="20"/>
                <w:szCs w:val="20"/>
              </w:rPr>
              <w:t>52</w:t>
            </w:r>
          </w:p>
        </w:tc>
        <w:tc>
          <w:tcPr>
            <w:tcW w:w="1620" w:type="dxa"/>
          </w:tcPr>
          <w:p w:rsidRPr="00E70711" w:rsidR="00A11EF2" w:rsidP="00A11EF2" w:rsidRDefault="00A11EF2" w14:paraId="4433834E" w14:textId="30EAB8EE">
            <w:pPr>
              <w:jc w:val="center"/>
              <w:rPr>
                <w:b/>
                <w:bCs/>
                <w:color w:val="000000"/>
                <w:sz w:val="20"/>
                <w:szCs w:val="20"/>
              </w:rPr>
            </w:pPr>
          </w:p>
        </w:tc>
        <w:tc>
          <w:tcPr>
            <w:tcW w:w="1800" w:type="dxa"/>
            <w:shd w:val="clear" w:color="auto" w:fill="auto"/>
            <w:tcMar>
              <w:top w:w="0" w:type="dxa"/>
              <w:left w:w="108" w:type="dxa"/>
              <w:bottom w:w="0" w:type="dxa"/>
              <w:right w:w="108" w:type="dxa"/>
            </w:tcMar>
          </w:tcPr>
          <w:p w:rsidRPr="00E70711" w:rsidR="00A11EF2" w:rsidRDefault="00761A4F" w14:paraId="074112B8" w14:textId="1B2177F5">
            <w:pPr>
              <w:jc w:val="center"/>
              <w:rPr>
                <w:b/>
                <w:sz w:val="20"/>
                <w:szCs w:val="20"/>
              </w:rPr>
            </w:pPr>
            <w:r w:rsidRPr="00761A4F">
              <w:rPr>
                <w:b/>
                <w:sz w:val="20"/>
                <w:szCs w:val="20"/>
              </w:rPr>
              <w:t>$5</w:t>
            </w:r>
            <w:r w:rsidR="00D04494">
              <w:rPr>
                <w:b/>
                <w:sz w:val="20"/>
                <w:szCs w:val="20"/>
              </w:rPr>
              <w:t>40</w:t>
            </w:r>
            <w:r w:rsidR="00E46EB0">
              <w:rPr>
                <w:b/>
                <w:sz w:val="20"/>
                <w:szCs w:val="20"/>
              </w:rPr>
              <w:t>,</w:t>
            </w:r>
            <w:r w:rsidR="00D04494">
              <w:rPr>
                <w:b/>
                <w:sz w:val="20"/>
                <w:szCs w:val="20"/>
              </w:rPr>
              <w:t>325</w:t>
            </w:r>
            <w:r w:rsidRPr="00761A4F">
              <w:rPr>
                <w:b/>
                <w:sz w:val="20"/>
                <w:szCs w:val="20"/>
              </w:rPr>
              <w:t>.83</w:t>
            </w:r>
          </w:p>
        </w:tc>
      </w:tr>
    </w:tbl>
    <w:p w:rsidRPr="00E70711" w:rsidR="009F4D9E" w:rsidP="009F4D9E" w:rsidRDefault="004017CB" w14:paraId="6A775E2B" w14:textId="3E7ED1D8">
      <w:pPr>
        <w:pStyle w:val="CommentText"/>
      </w:pPr>
      <w:r w:rsidRPr="00E70711">
        <w:t>*</w:t>
      </w:r>
      <w:r w:rsidRPr="00E70711" w:rsidR="009F4D9E">
        <w:t>This is an average of the average hourly wage rate for physician, nurse, nurse practitioner, physician’s assistant, and nurse’s aide from the May 2019 National Occupational Employment and Wage Estimates, United States, U.S. Bureau of Labor Statistics (</w:t>
      </w:r>
      <w:hyperlink w:history="1" w:anchor="00-0000" r:id="rId14">
        <w:r w:rsidRPr="00E70711" w:rsidR="009F4D9E">
          <w:rPr>
            <w:rStyle w:val="Hyperlink"/>
          </w:rPr>
          <w:t>https://www.bls.gov/oes/current/oes_nat.htm#00-0000</w:t>
        </w:r>
      </w:hyperlink>
      <w:r w:rsidRPr="00E70711" w:rsidR="009F4D9E">
        <w:t>).</w:t>
      </w:r>
    </w:p>
    <w:p w:rsidRPr="00E70711" w:rsidR="009F4D9E" w:rsidP="009F4D9E" w:rsidRDefault="00AD744C" w14:paraId="7E2915EF" w14:textId="3F28FAE4">
      <w:pPr>
        <w:pStyle w:val="CommentText"/>
      </w:pPr>
      <w:r w:rsidRPr="00E70711">
        <w:t>^</w:t>
      </w:r>
      <w:r w:rsidRPr="00E70711" w:rsidR="009F4D9E">
        <w:t>This is an average of the average hourly wage rate for nurse and IT specialist from the May 2019 National Occupational Employment and Wage Estimates, United States, U.S. Bureau of Labor Statistics (</w:t>
      </w:r>
      <w:hyperlink w:history="1" w:anchor="00-0000" r:id="rId15">
        <w:r w:rsidRPr="00E70711" w:rsidR="009F4D9E">
          <w:rPr>
            <w:rStyle w:val="Hyperlink"/>
          </w:rPr>
          <w:t>https://www.bls.gov/oes/current/oes_nat.htm#00-0000</w:t>
        </w:r>
      </w:hyperlink>
      <w:r w:rsidRPr="00E70711" w:rsidR="009F4D9E">
        <w:t>).</w:t>
      </w:r>
    </w:p>
    <w:p w:rsidRPr="00E70711" w:rsidR="00AD744C" w:rsidP="00B51378" w:rsidRDefault="00AD744C" w14:paraId="4BCDE85C" w14:textId="3557E1E6">
      <w:pPr>
        <w:rPr>
          <w:sz w:val="20"/>
          <w:szCs w:val="20"/>
        </w:rPr>
      </w:pPr>
    </w:p>
    <w:p w:rsidRPr="00E70711" w:rsidR="009B633D" w:rsidP="009B633D" w:rsidRDefault="009B633D" w14:paraId="1FB5559A" w14:textId="77777777">
      <w:pPr>
        <w:pStyle w:val="Heading2"/>
        <w:rPr>
          <w:sz w:val="24"/>
        </w:rPr>
      </w:pPr>
      <w:bookmarkStart w:name="_Toc151782188" w:id="59"/>
      <w:bookmarkStart w:name="_Toc158526228" w:id="60"/>
      <w:bookmarkStart w:name="_Toc73964951" w:id="61"/>
      <w:bookmarkStart w:name="_Toc73965310" w:id="62"/>
      <w:r w:rsidRPr="00E70711">
        <w:rPr>
          <w:sz w:val="24"/>
        </w:rPr>
        <w:t>13. Estimates of Annualized Respondent Capital and Maintenance Costs</w:t>
      </w:r>
      <w:bookmarkEnd w:id="59"/>
      <w:bookmarkEnd w:id="60"/>
      <w:bookmarkEnd w:id="61"/>
      <w:bookmarkEnd w:id="62"/>
    </w:p>
    <w:p w:rsidRPr="00E70711" w:rsidR="00E14FC3" w:rsidP="00C205C8" w:rsidRDefault="00B762E0" w14:paraId="0AA1AF18" w14:textId="77777777">
      <w:pPr>
        <w:spacing w:before="120"/>
      </w:pPr>
      <w:r w:rsidRPr="00E70711">
        <w:t xml:space="preserve">Capital and maintenance costs include the purchase of </w:t>
      </w:r>
      <w:r w:rsidRPr="00E70711" w:rsidR="00C205C8">
        <w:t xml:space="preserve">equipment, </w:t>
      </w:r>
      <w:r w:rsidRPr="00E70711">
        <w:t>computer</w:t>
      </w:r>
      <w:r w:rsidRPr="00E70711" w:rsidR="00C205C8">
        <w:t>s or computer software or services, or storage facilities for records, as a result of complying with this data collection.</w:t>
      </w:r>
      <w:r w:rsidRPr="00E70711" w:rsidR="00C205C8">
        <w:rPr>
          <w:i/>
        </w:rPr>
        <w:t xml:space="preserve"> </w:t>
      </w:r>
      <w:r w:rsidRPr="00E70711" w:rsidR="00C205C8">
        <w:t>T</w:t>
      </w:r>
      <w:r w:rsidRPr="00E70711" w:rsidR="0080612B">
        <w:t xml:space="preserve">here are no direct costs to respondents other than their time to participate in the </w:t>
      </w:r>
      <w:r w:rsidRPr="00E70711" w:rsidR="003B6873">
        <w:t>project</w:t>
      </w:r>
      <w:r w:rsidRPr="00E70711" w:rsidR="0080612B">
        <w:t>.</w:t>
      </w:r>
    </w:p>
    <w:p w:rsidRPr="00E70711" w:rsidR="009B633D" w:rsidP="009B633D" w:rsidRDefault="009B633D" w14:paraId="77C6DD65" w14:textId="77777777">
      <w:pPr>
        <w:pStyle w:val="Heading2"/>
        <w:rPr>
          <w:sz w:val="24"/>
        </w:rPr>
      </w:pPr>
      <w:bookmarkStart w:name="_Toc58725299" w:id="63"/>
      <w:bookmarkStart w:name="_Toc151782189" w:id="64"/>
      <w:bookmarkStart w:name="_Toc158526229" w:id="65"/>
      <w:bookmarkStart w:name="_Toc73964952" w:id="66"/>
      <w:bookmarkStart w:name="_Toc73965311" w:id="67"/>
      <w:r w:rsidRPr="00E70711">
        <w:rPr>
          <w:sz w:val="24"/>
        </w:rPr>
        <w:t xml:space="preserve">14. Estimates of </w:t>
      </w:r>
      <w:r w:rsidRPr="00E70711" w:rsidR="00DA79B5">
        <w:rPr>
          <w:sz w:val="24"/>
        </w:rPr>
        <w:t xml:space="preserve">Total and </w:t>
      </w:r>
      <w:r w:rsidRPr="00E70711">
        <w:rPr>
          <w:sz w:val="24"/>
        </w:rPr>
        <w:t>Annualized Cost to the Government</w:t>
      </w:r>
      <w:bookmarkEnd w:id="63"/>
      <w:bookmarkEnd w:id="64"/>
      <w:bookmarkEnd w:id="65"/>
      <w:bookmarkEnd w:id="66"/>
      <w:bookmarkEnd w:id="67"/>
    </w:p>
    <w:p w:rsidRPr="00E70711" w:rsidR="00D57118" w:rsidP="00D57118" w:rsidRDefault="00D57118" w14:paraId="232855F1" w14:textId="6EF9DC59">
      <w:bookmarkStart w:name="_Toc151782190" w:id="68"/>
      <w:bookmarkStart w:name="_Toc158526230" w:id="69"/>
      <w:r w:rsidRPr="00E70711">
        <w:t xml:space="preserve">Exhibit </w:t>
      </w:r>
      <w:r w:rsidRPr="00E70711" w:rsidR="00633677">
        <w:t>A.</w:t>
      </w:r>
      <w:r w:rsidR="006E54BE">
        <w:t>4</w:t>
      </w:r>
      <w:r w:rsidRPr="00E70711" w:rsidR="006E54BE">
        <w:t xml:space="preserve">a </w:t>
      </w:r>
      <w:r w:rsidRPr="00E70711">
        <w:t xml:space="preserve">and Exhibit </w:t>
      </w:r>
      <w:r w:rsidRPr="00E70711" w:rsidR="00633677">
        <w:t>A.</w:t>
      </w:r>
      <w:r w:rsidR="006E54BE">
        <w:t>4</w:t>
      </w:r>
      <w:r w:rsidRPr="00E70711" w:rsidR="006E54BE">
        <w:t xml:space="preserve">b </w:t>
      </w:r>
      <w:r w:rsidRPr="00E70711">
        <w:t>show the estimated annualized cost to the government for the contractors and government personnel. The cost is estimated to be $</w:t>
      </w:r>
      <w:r w:rsidRPr="00E70711" w:rsidR="002C3CCA">
        <w:t>1</w:t>
      </w:r>
      <w:r w:rsidR="00BC4E98">
        <w:t>,977</w:t>
      </w:r>
      <w:r w:rsidRPr="00E70711" w:rsidR="002C3CCA">
        <w:t>,</w:t>
      </w:r>
      <w:r w:rsidR="00BC4E98">
        <w:t>501</w:t>
      </w:r>
      <w:r w:rsidRPr="00E70711" w:rsidR="00BC4E98">
        <w:t xml:space="preserve">   </w:t>
      </w:r>
      <w:r w:rsidRPr="00E70711">
        <w:t>annually.</w:t>
      </w:r>
    </w:p>
    <w:p w:rsidRPr="00E70711" w:rsidR="00D65943" w:rsidP="00012FB9" w:rsidRDefault="00D65943" w14:paraId="5D75C7E7" w14:textId="77777777">
      <w:pPr>
        <w:rPr>
          <w:b/>
          <w:bCs/>
          <w:color w:val="000000"/>
        </w:rPr>
      </w:pPr>
    </w:p>
    <w:p w:rsidRPr="00E70711" w:rsidR="00980528" w:rsidP="00980528" w:rsidRDefault="00980528" w14:paraId="0A82E275" w14:textId="77777777">
      <w:r w:rsidRPr="00E70711">
        <w:t>The costs associated with the data collection activities for the project include the contractor project development costs and project management costs, as well as the costs to design the data collection protocols, develop and host an online data collection platform, develop and program the online instruments, provide technical assistance and support to facilities for submission of data, data processing, and data analysis.  </w:t>
      </w:r>
    </w:p>
    <w:p w:rsidRPr="00E70711" w:rsidR="00980528" w:rsidP="00980528" w:rsidRDefault="00980528" w14:paraId="5A364771" w14:textId="77777777">
      <w:pPr>
        <w:rPr>
          <w:color w:val="1F497D"/>
        </w:rPr>
      </w:pPr>
    </w:p>
    <w:p w:rsidRPr="00E70711" w:rsidR="00980528" w:rsidP="00980528" w:rsidRDefault="00980528" w14:paraId="6F5FA8F1" w14:textId="11A6F2D8">
      <w:pPr>
        <w:rPr>
          <w:sz w:val="22"/>
          <w:szCs w:val="22"/>
        </w:rPr>
      </w:pPr>
      <w:r w:rsidRPr="00E70711">
        <w:rPr>
          <w:b/>
          <w:bCs/>
          <w:color w:val="000000"/>
        </w:rPr>
        <w:t>Exhibit A.</w:t>
      </w:r>
      <w:r w:rsidR="006E54BE">
        <w:rPr>
          <w:b/>
          <w:bCs/>
          <w:color w:val="000000"/>
        </w:rPr>
        <w:t>4</w:t>
      </w:r>
      <w:r w:rsidRPr="00E70711">
        <w:rPr>
          <w:b/>
          <w:bCs/>
          <w:color w:val="000000"/>
        </w:rPr>
        <w:t>.a Estimated Total and Annualized Cost</w:t>
      </w:r>
    </w:p>
    <w:tbl>
      <w:tblPr>
        <w:tblW w:w="0" w:type="auto"/>
        <w:tblInd w:w="108" w:type="dxa"/>
        <w:tblLayout w:type="fixed"/>
        <w:tblCellMar>
          <w:left w:w="0" w:type="dxa"/>
          <w:right w:w="0" w:type="dxa"/>
        </w:tblCellMar>
        <w:tblLook w:val="04A0" w:firstRow="1" w:lastRow="0" w:firstColumn="1" w:lastColumn="0" w:noHBand="0" w:noVBand="1"/>
      </w:tblPr>
      <w:tblGrid>
        <w:gridCol w:w="3122"/>
        <w:gridCol w:w="2086"/>
        <w:gridCol w:w="1784"/>
      </w:tblGrid>
      <w:tr w:rsidRPr="00E70711" w:rsidR="00980528" w:rsidTr="00AB6736" w14:paraId="052F986C" w14:textId="77777777">
        <w:tc>
          <w:tcPr>
            <w:tcW w:w="31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70711" w:rsidR="00980528" w:rsidP="006D7C70" w:rsidRDefault="00980528" w14:paraId="43E11F29" w14:textId="77777777">
            <w:pPr>
              <w:rPr>
                <w:sz w:val="22"/>
                <w:szCs w:val="22"/>
              </w:rPr>
            </w:pPr>
            <w:r w:rsidRPr="00E70711">
              <w:rPr>
                <w:b/>
                <w:bCs/>
                <w:color w:val="000000"/>
                <w:sz w:val="22"/>
                <w:szCs w:val="22"/>
              </w:rPr>
              <w:t xml:space="preserve">Cost Component </w:t>
            </w:r>
          </w:p>
        </w:tc>
        <w:tc>
          <w:tcPr>
            <w:tcW w:w="20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711" w:rsidR="00980528" w:rsidP="006D7C70" w:rsidRDefault="00980528" w14:paraId="2E753A3E" w14:textId="77777777">
            <w:pPr>
              <w:jc w:val="center"/>
              <w:rPr>
                <w:sz w:val="22"/>
                <w:szCs w:val="22"/>
              </w:rPr>
            </w:pPr>
            <w:r w:rsidRPr="00E70711">
              <w:rPr>
                <w:b/>
                <w:bCs/>
                <w:sz w:val="22"/>
                <w:szCs w:val="22"/>
              </w:rPr>
              <w:t>Total Cost</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70711" w:rsidR="00980528" w:rsidP="006D7C70" w:rsidRDefault="00980528" w14:paraId="624827E6" w14:textId="77777777">
            <w:pPr>
              <w:jc w:val="center"/>
              <w:rPr>
                <w:sz w:val="22"/>
                <w:szCs w:val="22"/>
              </w:rPr>
            </w:pPr>
            <w:r w:rsidRPr="00E70711">
              <w:rPr>
                <w:b/>
                <w:bCs/>
                <w:sz w:val="22"/>
                <w:szCs w:val="22"/>
              </w:rPr>
              <w:t>Annualized Cost</w:t>
            </w:r>
          </w:p>
        </w:tc>
      </w:tr>
      <w:tr w:rsidRPr="00E70711" w:rsidR="00A4631C" w:rsidTr="00AB6736" w14:paraId="5D402428" w14:textId="77777777">
        <w:tc>
          <w:tcPr>
            <w:tcW w:w="3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711" w:rsidR="00A4631C" w:rsidP="00A4631C" w:rsidRDefault="00A4631C" w14:paraId="0DF71000" w14:textId="77777777">
            <w:pPr>
              <w:rPr>
                <w:sz w:val="22"/>
                <w:szCs w:val="22"/>
              </w:rPr>
            </w:pPr>
            <w:r w:rsidRPr="00E70711">
              <w:rPr>
                <w:sz w:val="22"/>
                <w:szCs w:val="22"/>
              </w:rPr>
              <w:t>Project Development</w:t>
            </w:r>
          </w:p>
        </w:tc>
        <w:tc>
          <w:tcPr>
            <w:tcW w:w="2086"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5A2D7C48" w14:textId="55D015ED">
            <w:pPr>
              <w:jc w:val="right"/>
              <w:rPr>
                <w:sz w:val="22"/>
                <w:szCs w:val="22"/>
              </w:rPr>
            </w:pPr>
            <w:r w:rsidRPr="00E70711">
              <w:rPr>
                <w:sz w:val="22"/>
                <w:szCs w:val="22"/>
              </w:rPr>
              <w:t xml:space="preserve"> $</w:t>
            </w:r>
            <w:r w:rsidRPr="00E70711" w:rsidR="00DA2BE3">
              <w:rPr>
                <w:sz w:val="22"/>
                <w:szCs w:val="22"/>
              </w:rPr>
              <w:t>1,511,877</w:t>
            </w:r>
            <w:r w:rsidRPr="00E70711">
              <w:rPr>
                <w:sz w:val="22"/>
                <w:szCs w:val="22"/>
              </w:rPr>
              <w:t xml:space="preserve"> </w:t>
            </w:r>
          </w:p>
        </w:tc>
        <w:tc>
          <w:tcPr>
            <w:tcW w:w="1784"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1E05BD69" w14:textId="2AE61245">
            <w:pPr>
              <w:jc w:val="right"/>
              <w:rPr>
                <w:sz w:val="22"/>
                <w:szCs w:val="22"/>
              </w:rPr>
            </w:pPr>
            <w:r w:rsidRPr="00E70711">
              <w:rPr>
                <w:sz w:val="22"/>
                <w:szCs w:val="22"/>
              </w:rPr>
              <w:t xml:space="preserve"> $</w:t>
            </w:r>
            <w:r w:rsidRPr="00E70711" w:rsidR="00A20E40">
              <w:rPr>
                <w:sz w:val="22"/>
                <w:szCs w:val="22"/>
              </w:rPr>
              <w:t>503,959</w:t>
            </w:r>
            <w:r w:rsidRPr="00E70711">
              <w:rPr>
                <w:sz w:val="22"/>
                <w:szCs w:val="22"/>
              </w:rPr>
              <w:t xml:space="preserve"> </w:t>
            </w:r>
          </w:p>
        </w:tc>
      </w:tr>
      <w:tr w:rsidRPr="00E70711" w:rsidR="00A4631C" w:rsidTr="00AB6736" w14:paraId="53B1FBD5" w14:textId="77777777">
        <w:tc>
          <w:tcPr>
            <w:tcW w:w="3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711" w:rsidR="00A4631C" w:rsidP="00A4631C" w:rsidRDefault="00A4631C" w14:paraId="00B80986" w14:textId="77777777">
            <w:pPr>
              <w:rPr>
                <w:sz w:val="22"/>
                <w:szCs w:val="22"/>
              </w:rPr>
            </w:pPr>
            <w:r w:rsidRPr="00E70711">
              <w:rPr>
                <w:sz w:val="22"/>
                <w:szCs w:val="22"/>
              </w:rPr>
              <w:t>Data Collection, Processing and Analysis</w:t>
            </w:r>
          </w:p>
        </w:tc>
        <w:tc>
          <w:tcPr>
            <w:tcW w:w="2086"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2F51F7E1" w14:textId="59A79F1A">
            <w:pPr>
              <w:jc w:val="right"/>
              <w:rPr>
                <w:sz w:val="22"/>
                <w:szCs w:val="22"/>
              </w:rPr>
            </w:pPr>
            <w:r w:rsidRPr="00E70711">
              <w:rPr>
                <w:sz w:val="22"/>
                <w:szCs w:val="22"/>
              </w:rPr>
              <w:t xml:space="preserve"> $3,</w:t>
            </w:r>
            <w:r w:rsidRPr="00E70711" w:rsidR="00AB4A15">
              <w:rPr>
                <w:sz w:val="22"/>
                <w:szCs w:val="22"/>
              </w:rPr>
              <w:t>186</w:t>
            </w:r>
            <w:r w:rsidRPr="00E70711">
              <w:rPr>
                <w:sz w:val="22"/>
                <w:szCs w:val="22"/>
              </w:rPr>
              <w:t>,</w:t>
            </w:r>
            <w:r w:rsidRPr="00E70711" w:rsidR="00C12CB0">
              <w:rPr>
                <w:sz w:val="22"/>
                <w:szCs w:val="22"/>
              </w:rPr>
              <w:t xml:space="preserve">877 </w:t>
            </w:r>
          </w:p>
        </w:tc>
        <w:tc>
          <w:tcPr>
            <w:tcW w:w="1784"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769F2DEE" w14:textId="33C50DD6">
            <w:pPr>
              <w:jc w:val="right"/>
              <w:rPr>
                <w:sz w:val="22"/>
                <w:szCs w:val="22"/>
              </w:rPr>
            </w:pPr>
            <w:r w:rsidRPr="00E70711">
              <w:rPr>
                <w:sz w:val="22"/>
                <w:szCs w:val="22"/>
              </w:rPr>
              <w:t xml:space="preserve"> $1,</w:t>
            </w:r>
            <w:r w:rsidRPr="00E70711" w:rsidR="00C12CB0">
              <w:rPr>
                <w:sz w:val="22"/>
                <w:szCs w:val="22"/>
              </w:rPr>
              <w:t>062</w:t>
            </w:r>
            <w:r w:rsidRPr="00E70711" w:rsidR="00E95001">
              <w:rPr>
                <w:sz w:val="22"/>
                <w:szCs w:val="22"/>
              </w:rPr>
              <w:t>,</w:t>
            </w:r>
            <w:r w:rsidRPr="00E70711" w:rsidR="00C12CB0">
              <w:rPr>
                <w:sz w:val="22"/>
                <w:szCs w:val="22"/>
              </w:rPr>
              <w:t>292</w:t>
            </w:r>
            <w:r w:rsidRPr="00E70711">
              <w:rPr>
                <w:sz w:val="22"/>
                <w:szCs w:val="22"/>
              </w:rPr>
              <w:t xml:space="preserve"> </w:t>
            </w:r>
          </w:p>
        </w:tc>
      </w:tr>
      <w:tr w:rsidRPr="00E70711" w:rsidR="00A4631C" w:rsidTr="00AB6736" w14:paraId="5EAD40BB" w14:textId="77777777">
        <w:tc>
          <w:tcPr>
            <w:tcW w:w="3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711" w:rsidR="00A4631C" w:rsidP="00A4631C" w:rsidRDefault="00A4631C" w14:paraId="6E17000E" w14:textId="77777777">
            <w:pPr>
              <w:rPr>
                <w:sz w:val="22"/>
                <w:szCs w:val="22"/>
              </w:rPr>
            </w:pPr>
            <w:r w:rsidRPr="00E70711">
              <w:rPr>
                <w:sz w:val="22"/>
                <w:szCs w:val="22"/>
              </w:rPr>
              <w:t>Project Management</w:t>
            </w:r>
          </w:p>
        </w:tc>
        <w:tc>
          <w:tcPr>
            <w:tcW w:w="2086"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036A0596" w14:textId="29B0A70E">
            <w:pPr>
              <w:jc w:val="right"/>
              <w:rPr>
                <w:sz w:val="22"/>
                <w:szCs w:val="22"/>
              </w:rPr>
            </w:pPr>
            <w:r w:rsidRPr="00E70711">
              <w:rPr>
                <w:sz w:val="22"/>
                <w:szCs w:val="22"/>
              </w:rPr>
              <w:t xml:space="preserve"> $</w:t>
            </w:r>
            <w:r w:rsidRPr="00E70711" w:rsidR="0060437C">
              <w:rPr>
                <w:sz w:val="22"/>
                <w:szCs w:val="22"/>
              </w:rPr>
              <w:t>918,222</w:t>
            </w:r>
            <w:r w:rsidRPr="00E70711">
              <w:rPr>
                <w:sz w:val="22"/>
                <w:szCs w:val="22"/>
              </w:rPr>
              <w:t xml:space="preserve"> </w:t>
            </w:r>
          </w:p>
        </w:tc>
        <w:tc>
          <w:tcPr>
            <w:tcW w:w="1784"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1564FF92" w14:textId="79059588">
            <w:pPr>
              <w:jc w:val="right"/>
              <w:rPr>
                <w:sz w:val="22"/>
                <w:szCs w:val="22"/>
              </w:rPr>
            </w:pPr>
            <w:r w:rsidRPr="00E70711">
              <w:rPr>
                <w:sz w:val="22"/>
                <w:szCs w:val="22"/>
              </w:rPr>
              <w:t xml:space="preserve"> $</w:t>
            </w:r>
            <w:r w:rsidRPr="00E70711" w:rsidR="00B97C70">
              <w:rPr>
                <w:sz w:val="22"/>
                <w:szCs w:val="22"/>
              </w:rPr>
              <w:t>306</w:t>
            </w:r>
            <w:r w:rsidRPr="00E70711" w:rsidR="00B45BEB">
              <w:rPr>
                <w:sz w:val="22"/>
                <w:szCs w:val="22"/>
              </w:rPr>
              <w:t>,074</w:t>
            </w:r>
            <w:r w:rsidRPr="00E70711">
              <w:rPr>
                <w:sz w:val="22"/>
                <w:szCs w:val="22"/>
              </w:rPr>
              <w:t xml:space="preserve"> </w:t>
            </w:r>
          </w:p>
        </w:tc>
      </w:tr>
      <w:tr w:rsidRPr="00E70711" w:rsidR="00A4631C" w:rsidTr="00AB6736" w14:paraId="1D587793" w14:textId="77777777">
        <w:tc>
          <w:tcPr>
            <w:tcW w:w="31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70711" w:rsidR="00A4631C" w:rsidP="00A4631C" w:rsidRDefault="00A4631C" w14:paraId="41576FB3" w14:textId="77777777">
            <w:pPr>
              <w:rPr>
                <w:sz w:val="22"/>
                <w:szCs w:val="22"/>
              </w:rPr>
            </w:pPr>
            <w:r w:rsidRPr="00E70711">
              <w:rPr>
                <w:b/>
                <w:bCs/>
                <w:color w:val="000000"/>
                <w:sz w:val="22"/>
                <w:szCs w:val="22"/>
              </w:rPr>
              <w:t>Total</w:t>
            </w:r>
          </w:p>
        </w:tc>
        <w:tc>
          <w:tcPr>
            <w:tcW w:w="2086"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A4631C" w:rsidRDefault="00A4631C" w14:paraId="52650722" w14:textId="66466D41">
            <w:pPr>
              <w:jc w:val="right"/>
              <w:rPr>
                <w:b/>
                <w:sz w:val="22"/>
                <w:szCs w:val="22"/>
              </w:rPr>
            </w:pPr>
            <w:r w:rsidRPr="00E70711">
              <w:rPr>
                <w:b/>
                <w:sz w:val="22"/>
                <w:szCs w:val="22"/>
              </w:rPr>
              <w:t xml:space="preserve"> $</w:t>
            </w:r>
            <w:r w:rsidRPr="00E70711" w:rsidR="00BE7034">
              <w:rPr>
                <w:b/>
                <w:sz w:val="22"/>
                <w:szCs w:val="22"/>
              </w:rPr>
              <w:t>5</w:t>
            </w:r>
            <w:r w:rsidRPr="00E70711" w:rsidR="002038C0">
              <w:rPr>
                <w:b/>
                <w:sz w:val="22"/>
                <w:szCs w:val="22"/>
              </w:rPr>
              <w:t>,616,976</w:t>
            </w:r>
            <w:r w:rsidRPr="00E70711">
              <w:rPr>
                <w:b/>
                <w:sz w:val="22"/>
                <w:szCs w:val="22"/>
              </w:rPr>
              <w:t xml:space="preserve"> </w:t>
            </w:r>
          </w:p>
        </w:tc>
        <w:tc>
          <w:tcPr>
            <w:tcW w:w="1784" w:type="dxa"/>
            <w:tcBorders>
              <w:top w:val="nil"/>
              <w:left w:val="nil"/>
              <w:bottom w:val="single" w:color="auto" w:sz="8" w:space="0"/>
              <w:right w:val="single" w:color="auto" w:sz="8" w:space="0"/>
            </w:tcBorders>
            <w:tcMar>
              <w:top w:w="0" w:type="dxa"/>
              <w:left w:w="108" w:type="dxa"/>
              <w:bottom w:w="0" w:type="dxa"/>
              <w:right w:w="108" w:type="dxa"/>
            </w:tcMar>
          </w:tcPr>
          <w:p w:rsidRPr="00E70711" w:rsidR="00A4631C" w:rsidP="0049294E" w:rsidRDefault="00E95001" w14:paraId="08CF8CC8" w14:textId="12C332A5">
            <w:pPr>
              <w:jc w:val="right"/>
              <w:rPr>
                <w:b/>
                <w:sz w:val="22"/>
                <w:szCs w:val="22"/>
              </w:rPr>
            </w:pPr>
            <w:r w:rsidRPr="00E70711">
              <w:rPr>
                <w:b/>
                <w:sz w:val="22"/>
                <w:szCs w:val="22"/>
              </w:rPr>
              <w:t xml:space="preserve">$1,872,325 </w:t>
            </w:r>
            <w:r w:rsidRPr="00E70711" w:rsidR="00A4631C">
              <w:rPr>
                <w:b/>
                <w:sz w:val="22"/>
                <w:szCs w:val="22"/>
              </w:rPr>
              <w:t xml:space="preserve"> </w:t>
            </w:r>
          </w:p>
        </w:tc>
      </w:tr>
    </w:tbl>
    <w:p w:rsidRPr="00E70711" w:rsidR="00980528" w:rsidP="00D20C47" w:rsidRDefault="00980528" w14:paraId="65F00E9A" w14:textId="77777777">
      <w:pPr>
        <w:ind w:firstLine="90"/>
        <w:rPr>
          <w:b/>
        </w:rPr>
      </w:pPr>
    </w:p>
    <w:p w:rsidRPr="00E70711" w:rsidR="00D20C47" w:rsidP="00D20C47" w:rsidRDefault="00D20C47" w14:paraId="456D1FBC" w14:textId="4CBEFD5E">
      <w:pPr>
        <w:ind w:firstLine="90"/>
        <w:rPr>
          <w:b/>
        </w:rPr>
      </w:pPr>
      <w:r w:rsidRPr="00E70711">
        <w:rPr>
          <w:b/>
        </w:rPr>
        <w:t xml:space="preserve">Exhibit </w:t>
      </w:r>
      <w:r w:rsidRPr="00E70711" w:rsidR="00633677">
        <w:rPr>
          <w:b/>
        </w:rPr>
        <w:t>A.</w:t>
      </w:r>
      <w:r w:rsidR="006E54BE">
        <w:rPr>
          <w:b/>
        </w:rPr>
        <w:t>4</w:t>
      </w:r>
      <w:r w:rsidRPr="00E70711" w:rsidR="00633677">
        <w:rPr>
          <w:b/>
        </w:rPr>
        <w:t>.b</w:t>
      </w:r>
      <w:r w:rsidRPr="00E70711">
        <w:rPr>
          <w:b/>
        </w:rPr>
        <w:t xml:space="preserve">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2781"/>
        <w:gridCol w:w="2250"/>
        <w:gridCol w:w="1440"/>
        <w:gridCol w:w="1132"/>
        <w:gridCol w:w="1123"/>
      </w:tblGrid>
      <w:tr w:rsidRPr="00E70711" w:rsidR="00D20C47" w:rsidTr="00980528" w14:paraId="7F34B07C" w14:textId="77777777">
        <w:trPr>
          <w:cantSplit/>
          <w:trHeight w:val="403"/>
          <w:jc w:val="center"/>
        </w:trPr>
        <w:tc>
          <w:tcPr>
            <w:tcW w:w="2781" w:type="dxa"/>
            <w:tcBorders>
              <w:top w:val="single" w:color="auto" w:sz="6" w:space="0"/>
              <w:left w:val="single" w:color="auto" w:sz="6" w:space="0"/>
              <w:bottom w:val="nil"/>
              <w:right w:val="nil"/>
            </w:tcBorders>
            <w:vAlign w:val="bottom"/>
          </w:tcPr>
          <w:p w:rsidRPr="00E70711" w:rsidR="00D20C47" w:rsidP="00A74E0A" w:rsidRDefault="00D20C47" w14:paraId="06673775" w14:textId="77777777">
            <w:pPr>
              <w:jc w:val="center"/>
              <w:rPr>
                <w:b/>
                <w:bCs/>
                <w:sz w:val="20"/>
                <w:szCs w:val="20"/>
              </w:rPr>
            </w:pPr>
            <w:r w:rsidRPr="00E70711">
              <w:rPr>
                <w:b/>
                <w:bCs/>
                <w:sz w:val="20"/>
                <w:szCs w:val="20"/>
              </w:rPr>
              <w:lastRenderedPageBreak/>
              <w:t>Activity</w:t>
            </w:r>
          </w:p>
        </w:tc>
        <w:tc>
          <w:tcPr>
            <w:tcW w:w="2250" w:type="dxa"/>
            <w:tcBorders>
              <w:top w:val="single" w:color="auto" w:sz="6" w:space="0"/>
              <w:left w:val="single" w:color="auto" w:sz="6" w:space="0"/>
              <w:bottom w:val="single" w:color="auto" w:sz="6" w:space="0"/>
              <w:right w:val="nil"/>
            </w:tcBorders>
            <w:vAlign w:val="bottom"/>
          </w:tcPr>
          <w:p w:rsidRPr="00E70711" w:rsidR="00D20C47" w:rsidP="00A74E0A" w:rsidRDefault="00D20C47" w14:paraId="40C733E8" w14:textId="77777777">
            <w:pPr>
              <w:jc w:val="center"/>
              <w:rPr>
                <w:b/>
                <w:bCs/>
                <w:sz w:val="20"/>
                <w:szCs w:val="20"/>
              </w:rPr>
            </w:pPr>
            <w:r w:rsidRPr="00E70711">
              <w:rPr>
                <w:b/>
                <w:bCs/>
                <w:sz w:val="20"/>
                <w:szCs w:val="20"/>
              </w:rPr>
              <w:t>Federal Personnel</w:t>
            </w:r>
          </w:p>
        </w:tc>
        <w:tc>
          <w:tcPr>
            <w:tcW w:w="1440" w:type="dxa"/>
            <w:tcBorders>
              <w:top w:val="single" w:color="auto" w:sz="6" w:space="0"/>
              <w:left w:val="single" w:color="auto" w:sz="6" w:space="0"/>
              <w:bottom w:val="single" w:color="auto" w:sz="6" w:space="0"/>
              <w:right w:val="single" w:color="auto" w:sz="6" w:space="0"/>
            </w:tcBorders>
            <w:vAlign w:val="bottom"/>
          </w:tcPr>
          <w:p w:rsidRPr="00E70711" w:rsidR="00D20C47" w:rsidP="00A74E0A" w:rsidRDefault="00197272" w14:paraId="351F3229" w14:textId="77777777">
            <w:pPr>
              <w:jc w:val="center"/>
              <w:rPr>
                <w:b/>
                <w:bCs/>
                <w:sz w:val="20"/>
                <w:szCs w:val="20"/>
              </w:rPr>
            </w:pPr>
            <w:r w:rsidRPr="00E70711">
              <w:rPr>
                <w:b/>
                <w:bCs/>
                <w:sz w:val="20"/>
                <w:szCs w:val="20"/>
              </w:rPr>
              <w:t>Annual Salary</w:t>
            </w:r>
          </w:p>
        </w:tc>
        <w:tc>
          <w:tcPr>
            <w:tcW w:w="1132" w:type="dxa"/>
            <w:tcBorders>
              <w:top w:val="single" w:color="auto" w:sz="6" w:space="0"/>
              <w:left w:val="single" w:color="auto" w:sz="6" w:space="0"/>
              <w:bottom w:val="single" w:color="auto" w:sz="6" w:space="0"/>
              <w:right w:val="nil"/>
            </w:tcBorders>
            <w:vAlign w:val="bottom"/>
          </w:tcPr>
          <w:p w:rsidRPr="00E70711" w:rsidR="00D20C47" w:rsidP="00A74E0A" w:rsidRDefault="00197272" w14:paraId="08D4116F" w14:textId="77777777">
            <w:pPr>
              <w:jc w:val="center"/>
              <w:rPr>
                <w:b/>
                <w:bCs/>
                <w:sz w:val="20"/>
                <w:szCs w:val="20"/>
              </w:rPr>
            </w:pPr>
            <w:r w:rsidRPr="00E70711">
              <w:rPr>
                <w:b/>
                <w:bCs/>
                <w:sz w:val="20"/>
                <w:szCs w:val="20"/>
              </w:rPr>
              <w:t>% of time</w:t>
            </w:r>
          </w:p>
        </w:tc>
        <w:tc>
          <w:tcPr>
            <w:tcW w:w="1123" w:type="dxa"/>
            <w:tcBorders>
              <w:top w:val="single" w:color="auto" w:sz="6" w:space="0"/>
              <w:left w:val="single" w:color="auto" w:sz="6" w:space="0"/>
              <w:bottom w:val="single" w:color="auto" w:sz="6" w:space="0"/>
              <w:right w:val="single" w:color="auto" w:sz="6" w:space="0"/>
            </w:tcBorders>
            <w:vAlign w:val="bottom"/>
          </w:tcPr>
          <w:p w:rsidRPr="00E70711" w:rsidR="00D20C47" w:rsidP="00A74E0A" w:rsidRDefault="00D20C47" w14:paraId="4AAD8E30" w14:textId="77777777">
            <w:pPr>
              <w:jc w:val="center"/>
              <w:rPr>
                <w:b/>
                <w:bCs/>
                <w:sz w:val="20"/>
                <w:szCs w:val="20"/>
              </w:rPr>
            </w:pPr>
            <w:r w:rsidRPr="00E70711">
              <w:rPr>
                <w:b/>
                <w:bCs/>
                <w:sz w:val="20"/>
                <w:szCs w:val="20"/>
              </w:rPr>
              <w:t>Cost</w:t>
            </w:r>
          </w:p>
        </w:tc>
      </w:tr>
      <w:tr w:rsidRPr="00E70711" w:rsidR="00EC6C86" w:rsidTr="00980528" w14:paraId="58F8AEE7" w14:textId="77777777">
        <w:trPr>
          <w:cantSplit/>
          <w:trHeight w:val="403"/>
          <w:jc w:val="center"/>
        </w:trPr>
        <w:tc>
          <w:tcPr>
            <w:tcW w:w="2781" w:type="dxa"/>
            <w:tcBorders>
              <w:top w:val="single" w:color="auto" w:sz="6" w:space="0"/>
              <w:left w:val="single" w:color="auto" w:sz="6" w:space="0"/>
              <w:bottom w:val="nil"/>
              <w:right w:val="nil"/>
            </w:tcBorders>
            <w:vAlign w:val="bottom"/>
          </w:tcPr>
          <w:p w:rsidRPr="00E70711" w:rsidR="00EC6C86" w:rsidP="00EC6C86" w:rsidRDefault="00EC6C86" w14:paraId="23637837" w14:textId="4110249B">
            <w:pPr>
              <w:rPr>
                <w:sz w:val="20"/>
                <w:szCs w:val="20"/>
              </w:rPr>
            </w:pPr>
            <w:r w:rsidRPr="00E70711">
              <w:rPr>
                <w:sz w:val="20"/>
                <w:szCs w:val="20"/>
              </w:rPr>
              <w:t>Management Support:  GS-15, Step 5 average</w:t>
            </w:r>
          </w:p>
        </w:tc>
        <w:tc>
          <w:tcPr>
            <w:tcW w:w="2250" w:type="dxa"/>
            <w:tcBorders>
              <w:top w:val="single" w:color="auto" w:sz="6" w:space="0"/>
              <w:left w:val="single" w:color="auto" w:sz="6" w:space="0"/>
              <w:bottom w:val="single" w:color="auto" w:sz="6" w:space="0"/>
              <w:right w:val="nil"/>
            </w:tcBorders>
          </w:tcPr>
          <w:p w:rsidRPr="00E70711" w:rsidR="00EC6C86" w:rsidP="00EC6C86" w:rsidRDefault="00EC6C86" w14:paraId="3A079080" w14:textId="23591AAA">
            <w:pPr>
              <w:jc w:val="center"/>
              <w:rPr>
                <w:sz w:val="20"/>
                <w:szCs w:val="20"/>
              </w:rPr>
            </w:pPr>
            <w:r w:rsidRPr="00E70711">
              <w:rPr>
                <w:sz w:val="20"/>
                <w:szCs w:val="20"/>
              </w:rPr>
              <w:t>2</w:t>
            </w:r>
          </w:p>
        </w:tc>
        <w:tc>
          <w:tcPr>
            <w:tcW w:w="1440" w:type="dxa"/>
            <w:tcBorders>
              <w:top w:val="single" w:color="auto" w:sz="6" w:space="0"/>
              <w:left w:val="single" w:color="auto" w:sz="6" w:space="0"/>
              <w:bottom w:val="single" w:color="auto" w:sz="6" w:space="0"/>
              <w:right w:val="single" w:color="auto" w:sz="6" w:space="0"/>
            </w:tcBorders>
            <w:vAlign w:val="bottom"/>
          </w:tcPr>
          <w:p w:rsidRPr="00E70711" w:rsidR="00EC6C86" w:rsidP="00EC6C86" w:rsidRDefault="00EC6C86" w14:paraId="4F3F5305" w14:textId="6EE84617">
            <w:pPr>
              <w:jc w:val="center"/>
              <w:rPr>
                <w:sz w:val="20"/>
                <w:szCs w:val="20"/>
              </w:rPr>
            </w:pPr>
            <w:r w:rsidRPr="00E70711">
              <w:rPr>
                <w:sz w:val="20"/>
                <w:szCs w:val="20"/>
              </w:rPr>
              <w:t xml:space="preserve"> 163,345</w:t>
            </w:r>
          </w:p>
        </w:tc>
        <w:tc>
          <w:tcPr>
            <w:tcW w:w="1132" w:type="dxa"/>
            <w:tcBorders>
              <w:top w:val="single" w:color="auto" w:sz="6" w:space="0"/>
              <w:left w:val="single" w:color="auto" w:sz="6" w:space="0"/>
              <w:bottom w:val="single" w:color="auto" w:sz="6" w:space="0"/>
              <w:right w:val="nil"/>
            </w:tcBorders>
            <w:vAlign w:val="bottom"/>
          </w:tcPr>
          <w:p w:rsidRPr="00E70711" w:rsidR="00EC6C86" w:rsidP="00EC6C86" w:rsidRDefault="00EC6C86" w14:paraId="4B60BC76" w14:textId="1250AC65">
            <w:pPr>
              <w:jc w:val="center"/>
              <w:rPr>
                <w:sz w:val="20"/>
                <w:szCs w:val="20"/>
              </w:rPr>
            </w:pPr>
            <w:r w:rsidRPr="00E70711">
              <w:rPr>
                <w:sz w:val="20"/>
                <w:szCs w:val="20"/>
              </w:rPr>
              <w:t>25%</w:t>
            </w:r>
          </w:p>
        </w:tc>
        <w:tc>
          <w:tcPr>
            <w:tcW w:w="1123" w:type="dxa"/>
            <w:tcBorders>
              <w:top w:val="single" w:color="auto" w:sz="6" w:space="0"/>
              <w:left w:val="single" w:color="auto" w:sz="6" w:space="0"/>
              <w:bottom w:val="single" w:color="auto" w:sz="6" w:space="0"/>
              <w:right w:val="single" w:color="auto" w:sz="6" w:space="0"/>
            </w:tcBorders>
            <w:vAlign w:val="bottom"/>
          </w:tcPr>
          <w:p w:rsidRPr="00E70711" w:rsidR="00EC6C86" w:rsidP="00EC6C86" w:rsidRDefault="00EC6C86" w14:paraId="592AC5F2" w14:textId="1D158E18">
            <w:pPr>
              <w:jc w:val="center"/>
              <w:rPr>
                <w:sz w:val="20"/>
                <w:szCs w:val="20"/>
              </w:rPr>
            </w:pPr>
            <w:r w:rsidRPr="00E70711">
              <w:rPr>
                <w:sz w:val="20"/>
                <w:szCs w:val="20"/>
              </w:rPr>
              <w:t>$81,673</w:t>
            </w:r>
          </w:p>
        </w:tc>
      </w:tr>
      <w:tr w:rsidRPr="00E70711" w:rsidR="00EC6C86" w:rsidTr="00980528" w14:paraId="768A4945" w14:textId="77777777">
        <w:trPr>
          <w:cantSplit/>
          <w:trHeight w:val="403"/>
          <w:jc w:val="center"/>
        </w:trPr>
        <w:tc>
          <w:tcPr>
            <w:tcW w:w="2781" w:type="dxa"/>
            <w:tcBorders>
              <w:top w:val="single" w:color="auto" w:sz="6" w:space="0"/>
              <w:left w:val="single" w:color="auto" w:sz="6" w:space="0"/>
              <w:bottom w:val="nil"/>
              <w:right w:val="nil"/>
            </w:tcBorders>
            <w:vAlign w:val="bottom"/>
          </w:tcPr>
          <w:p w:rsidRPr="00E70711" w:rsidR="00EC6C86" w:rsidP="00EC6C86" w:rsidRDefault="00EC6C86" w14:paraId="575AB386" w14:textId="59EDF14D">
            <w:pPr>
              <w:rPr>
                <w:sz w:val="20"/>
                <w:szCs w:val="20"/>
              </w:rPr>
            </w:pPr>
            <w:r w:rsidRPr="00E70711">
              <w:rPr>
                <w:sz w:val="20"/>
                <w:szCs w:val="20"/>
              </w:rPr>
              <w:t>Program Management Analysis:  GS-13, Step 5 average</w:t>
            </w:r>
          </w:p>
        </w:tc>
        <w:tc>
          <w:tcPr>
            <w:tcW w:w="2250" w:type="dxa"/>
            <w:tcBorders>
              <w:top w:val="single" w:color="auto" w:sz="6" w:space="0"/>
              <w:left w:val="single" w:color="auto" w:sz="6" w:space="0"/>
              <w:bottom w:val="single" w:color="auto" w:sz="6" w:space="0"/>
              <w:right w:val="nil"/>
            </w:tcBorders>
          </w:tcPr>
          <w:p w:rsidRPr="00E70711" w:rsidR="00EC6C86" w:rsidP="00EC6C86" w:rsidRDefault="00EC6C86" w14:paraId="4DA61331" w14:textId="184EFD07">
            <w:pPr>
              <w:jc w:val="center"/>
              <w:rPr>
                <w:sz w:val="20"/>
                <w:szCs w:val="20"/>
              </w:rPr>
            </w:pPr>
            <w:r w:rsidRPr="00E70711">
              <w:rPr>
                <w:sz w:val="20"/>
                <w:szCs w:val="20"/>
              </w:rPr>
              <w:t>1</w:t>
            </w:r>
          </w:p>
        </w:tc>
        <w:tc>
          <w:tcPr>
            <w:tcW w:w="1440" w:type="dxa"/>
            <w:tcBorders>
              <w:top w:val="single" w:color="auto" w:sz="6" w:space="0"/>
              <w:left w:val="single" w:color="auto" w:sz="6" w:space="0"/>
              <w:bottom w:val="single" w:color="auto" w:sz="6" w:space="0"/>
              <w:right w:val="single" w:color="auto" w:sz="6" w:space="0"/>
            </w:tcBorders>
            <w:vAlign w:val="bottom"/>
          </w:tcPr>
          <w:p w:rsidRPr="00E70711" w:rsidR="00EC6C86" w:rsidP="00EC6C86" w:rsidRDefault="00EC6C86" w14:paraId="773B0DC6" w14:textId="7B38E1F9">
            <w:pPr>
              <w:jc w:val="center"/>
              <w:rPr>
                <w:sz w:val="20"/>
                <w:szCs w:val="20"/>
              </w:rPr>
            </w:pPr>
            <w:r w:rsidRPr="00E70711">
              <w:rPr>
                <w:sz w:val="20"/>
                <w:szCs w:val="20"/>
              </w:rPr>
              <w:t>117,516</w:t>
            </w:r>
          </w:p>
        </w:tc>
        <w:tc>
          <w:tcPr>
            <w:tcW w:w="1132" w:type="dxa"/>
            <w:tcBorders>
              <w:top w:val="single" w:color="auto" w:sz="6" w:space="0"/>
              <w:left w:val="single" w:color="auto" w:sz="6" w:space="0"/>
              <w:bottom w:val="single" w:color="auto" w:sz="6" w:space="0"/>
              <w:right w:val="nil"/>
            </w:tcBorders>
            <w:vAlign w:val="bottom"/>
          </w:tcPr>
          <w:p w:rsidRPr="00E70711" w:rsidR="00EC6C86" w:rsidP="00EC6C86" w:rsidRDefault="00EC6C86" w14:paraId="2F8C5001" w14:textId="259E9C5E">
            <w:pPr>
              <w:jc w:val="center"/>
              <w:rPr>
                <w:sz w:val="20"/>
                <w:szCs w:val="20"/>
              </w:rPr>
            </w:pPr>
            <w:r w:rsidRPr="00E70711">
              <w:rPr>
                <w:sz w:val="20"/>
                <w:szCs w:val="20"/>
              </w:rPr>
              <w:t xml:space="preserve">20% </w:t>
            </w:r>
          </w:p>
        </w:tc>
        <w:tc>
          <w:tcPr>
            <w:tcW w:w="1123" w:type="dxa"/>
            <w:tcBorders>
              <w:top w:val="single" w:color="auto" w:sz="6" w:space="0"/>
              <w:left w:val="single" w:color="auto" w:sz="6" w:space="0"/>
              <w:bottom w:val="single" w:color="auto" w:sz="6" w:space="0"/>
              <w:right w:val="single" w:color="auto" w:sz="6" w:space="0"/>
            </w:tcBorders>
            <w:vAlign w:val="bottom"/>
          </w:tcPr>
          <w:p w:rsidRPr="00E70711" w:rsidR="00EC6C86" w:rsidP="00EC6C86" w:rsidRDefault="00EC6C86" w14:paraId="34E5FF92" w14:textId="39CCBE61">
            <w:pPr>
              <w:rPr>
                <w:sz w:val="20"/>
                <w:szCs w:val="20"/>
              </w:rPr>
            </w:pPr>
            <w:r w:rsidRPr="00E70711">
              <w:rPr>
                <w:sz w:val="20"/>
                <w:szCs w:val="20"/>
              </w:rPr>
              <w:t>$</w:t>
            </w:r>
            <w:r w:rsidRPr="00E70711" w:rsidR="00183E6D">
              <w:rPr>
                <w:sz w:val="20"/>
                <w:szCs w:val="20"/>
              </w:rPr>
              <w:t>23,503</w:t>
            </w:r>
          </w:p>
        </w:tc>
      </w:tr>
      <w:tr w:rsidRPr="00E70711" w:rsidR="00EC6C86" w:rsidTr="00EC6C86" w14:paraId="559FFAB6" w14:textId="77777777">
        <w:trPr>
          <w:cantSplit/>
          <w:trHeight w:val="403"/>
          <w:jc w:val="center"/>
        </w:trPr>
        <w:tc>
          <w:tcPr>
            <w:tcW w:w="7603" w:type="dxa"/>
            <w:gridSpan w:val="4"/>
            <w:tcBorders>
              <w:top w:val="single" w:color="auto" w:sz="6" w:space="0"/>
              <w:left w:val="single" w:color="auto" w:sz="6" w:space="0"/>
              <w:bottom w:val="single" w:color="auto" w:sz="6" w:space="0"/>
              <w:right w:val="nil"/>
            </w:tcBorders>
            <w:vAlign w:val="bottom"/>
          </w:tcPr>
          <w:p w:rsidRPr="00E70711" w:rsidR="00EC6C86" w:rsidP="00ED3C36" w:rsidRDefault="00EC6C86" w14:paraId="2CF80A8B" w14:textId="77777777">
            <w:pPr>
              <w:rPr>
                <w:b/>
                <w:bCs/>
                <w:sz w:val="20"/>
                <w:szCs w:val="20"/>
              </w:rPr>
            </w:pPr>
            <w:r w:rsidRPr="00E70711">
              <w:rPr>
                <w:b/>
                <w:bCs/>
                <w:sz w:val="20"/>
                <w:szCs w:val="20"/>
              </w:rPr>
              <w:t>Total</w:t>
            </w:r>
          </w:p>
        </w:tc>
        <w:tc>
          <w:tcPr>
            <w:tcW w:w="1123" w:type="dxa"/>
            <w:tcBorders>
              <w:top w:val="single" w:color="auto" w:sz="6" w:space="0"/>
              <w:left w:val="single" w:color="auto" w:sz="6" w:space="0"/>
              <w:bottom w:val="single" w:color="auto" w:sz="6" w:space="0"/>
              <w:right w:val="single" w:color="auto" w:sz="6" w:space="0"/>
            </w:tcBorders>
            <w:vAlign w:val="bottom"/>
          </w:tcPr>
          <w:p w:rsidRPr="00E70711" w:rsidR="00EC6C86" w:rsidP="00ED3C36" w:rsidRDefault="00EC6C86" w14:paraId="42B9312A" w14:textId="1A9D0D1F">
            <w:pPr>
              <w:jc w:val="center"/>
              <w:rPr>
                <w:b/>
                <w:bCs/>
                <w:sz w:val="20"/>
                <w:szCs w:val="20"/>
              </w:rPr>
            </w:pPr>
            <w:r w:rsidRPr="00E70711">
              <w:rPr>
                <w:b/>
                <w:bCs/>
                <w:sz w:val="20"/>
                <w:szCs w:val="20"/>
              </w:rPr>
              <w:t xml:space="preserve"> $</w:t>
            </w:r>
            <w:r w:rsidRPr="00E70711" w:rsidR="00183E6D">
              <w:rPr>
                <w:b/>
                <w:bCs/>
                <w:sz w:val="20"/>
                <w:szCs w:val="20"/>
              </w:rPr>
              <w:t>105,176</w:t>
            </w:r>
          </w:p>
        </w:tc>
      </w:tr>
    </w:tbl>
    <w:p w:rsidRPr="00250BA1" w:rsidR="004131BC" w:rsidP="004131BC" w:rsidRDefault="004131BC" w14:paraId="272F89CF" w14:textId="7A91E3CD">
      <w:pPr>
        <w:rPr>
          <w:rStyle w:val="Hyperlink"/>
          <w:sz w:val="22"/>
          <w:szCs w:val="22"/>
        </w:rPr>
      </w:pPr>
      <w:r w:rsidRPr="005C3376">
        <w:rPr>
          <w:color w:val="000000"/>
          <w:sz w:val="22"/>
          <w:szCs w:val="22"/>
        </w:rPr>
        <w:t>Annual salaries based on 20</w:t>
      </w:r>
      <w:r w:rsidRPr="00250BA1" w:rsidR="00563440">
        <w:rPr>
          <w:color w:val="000000"/>
          <w:sz w:val="22"/>
          <w:szCs w:val="22"/>
        </w:rPr>
        <w:t>21</w:t>
      </w:r>
      <w:r w:rsidRPr="00250BA1">
        <w:rPr>
          <w:color w:val="000000"/>
          <w:sz w:val="22"/>
          <w:szCs w:val="22"/>
        </w:rPr>
        <w:t xml:space="preserve"> OPM Pay Schedule for Washington/DC area:</w:t>
      </w:r>
      <w:r w:rsidRPr="00250BA1">
        <w:rPr>
          <w:sz w:val="22"/>
          <w:szCs w:val="22"/>
        </w:rPr>
        <w:t xml:space="preserve"> </w:t>
      </w:r>
      <w:r w:rsidRPr="00250BA1" w:rsidR="00AE1382">
        <w:rPr>
          <w:rStyle w:val="Hyperlink"/>
          <w:sz w:val="22"/>
          <w:szCs w:val="22"/>
        </w:rPr>
        <w:t xml:space="preserve"> </w:t>
      </w:r>
    </w:p>
    <w:p w:rsidRPr="005C3376" w:rsidR="00DE1202" w:rsidP="004131BC" w:rsidRDefault="00563440" w14:paraId="0CD8701D" w14:textId="44CE595B">
      <w:pPr>
        <w:rPr>
          <w:sz w:val="22"/>
          <w:szCs w:val="22"/>
        </w:rPr>
      </w:pPr>
      <w:r w:rsidRPr="00E630A2">
        <w:rPr>
          <w:sz w:val="22"/>
          <w:szCs w:val="22"/>
        </w:rPr>
        <w:t>https://www.opm.gov/policy-data-oversight/pay-leave/salaries-wages/salary-tables/pdf/2021/DCB.pdf</w:t>
      </w:r>
    </w:p>
    <w:p w:rsidRPr="00E70711" w:rsidR="009B633D" w:rsidP="009B633D" w:rsidRDefault="009B633D" w14:paraId="634CA83B" w14:textId="3B30C034">
      <w:pPr>
        <w:pStyle w:val="Heading2"/>
        <w:rPr>
          <w:sz w:val="24"/>
        </w:rPr>
      </w:pPr>
      <w:bookmarkStart w:name="_Toc73964953" w:id="70"/>
      <w:bookmarkStart w:name="_Toc73965312" w:id="71"/>
      <w:r w:rsidRPr="00E70711">
        <w:rPr>
          <w:sz w:val="24"/>
        </w:rPr>
        <w:t>15. Changes in Hour Burden</w:t>
      </w:r>
      <w:bookmarkEnd w:id="68"/>
      <w:bookmarkEnd w:id="69"/>
      <w:bookmarkEnd w:id="70"/>
      <w:bookmarkEnd w:id="71"/>
    </w:p>
    <w:p w:rsidRPr="00E70711" w:rsidR="00D57118" w:rsidP="00D57118" w:rsidRDefault="00D57118" w14:paraId="0EDEBA1A" w14:textId="77777777">
      <w:bookmarkStart w:name="_Toc151782191" w:id="72"/>
      <w:bookmarkStart w:name="_Toc158526231" w:id="73"/>
      <w:r w:rsidRPr="00E70711">
        <w:t>This is a new collection of information, thus no changes in hour burden is expected or reported here.</w:t>
      </w:r>
    </w:p>
    <w:p w:rsidRPr="00E70711" w:rsidR="00FA6388" w:rsidP="009B633D" w:rsidRDefault="009B633D" w14:paraId="119622AF" w14:textId="77777777">
      <w:pPr>
        <w:pStyle w:val="Heading2"/>
        <w:rPr>
          <w:sz w:val="24"/>
        </w:rPr>
      </w:pPr>
      <w:bookmarkStart w:name="_Toc73964954" w:id="74"/>
      <w:bookmarkStart w:name="_Toc73965313" w:id="75"/>
      <w:r w:rsidRPr="00E70711">
        <w:rPr>
          <w:sz w:val="24"/>
        </w:rPr>
        <w:t>16. Time Schedule, Publication and Analysis Plans</w:t>
      </w:r>
      <w:bookmarkEnd w:id="72"/>
      <w:bookmarkEnd w:id="73"/>
      <w:bookmarkEnd w:id="74"/>
      <w:bookmarkEnd w:id="75"/>
    </w:p>
    <w:p w:rsidRPr="00E70711" w:rsidR="003B21D0" w:rsidP="00FA6388" w:rsidRDefault="003B21D0" w14:paraId="47BD3FA2" w14:textId="7E552B65">
      <w:pPr>
        <w:pStyle w:val="CommentText"/>
        <w:rPr>
          <w:sz w:val="24"/>
          <w:szCs w:val="24"/>
        </w:rPr>
      </w:pPr>
      <w:r w:rsidRPr="00E70711">
        <w:rPr>
          <w:sz w:val="24"/>
          <w:szCs w:val="24"/>
        </w:rPr>
        <w:t xml:space="preserve">The draft schedule of evaluation activities </w:t>
      </w:r>
      <w:r w:rsidRPr="00E70711" w:rsidR="00464B30">
        <w:rPr>
          <w:sz w:val="24"/>
          <w:szCs w:val="24"/>
        </w:rPr>
        <w:t>is</w:t>
      </w:r>
      <w:r w:rsidRPr="00E70711">
        <w:rPr>
          <w:sz w:val="24"/>
          <w:szCs w:val="24"/>
        </w:rPr>
        <w:t xml:space="preserve"> contained in </w:t>
      </w:r>
      <w:r w:rsidRPr="00B213CD">
        <w:rPr>
          <w:b/>
          <w:sz w:val="24"/>
          <w:szCs w:val="24"/>
        </w:rPr>
        <w:t>Attachment</w:t>
      </w:r>
      <w:r w:rsidRPr="00D519AC">
        <w:rPr>
          <w:b/>
          <w:sz w:val="24"/>
          <w:szCs w:val="24"/>
        </w:rPr>
        <w:t xml:space="preserve"> </w:t>
      </w:r>
      <w:r w:rsidRPr="00E10878" w:rsidR="00E10878">
        <w:rPr>
          <w:b/>
          <w:sz w:val="24"/>
          <w:szCs w:val="24"/>
        </w:rPr>
        <w:t>V</w:t>
      </w:r>
      <w:r w:rsidRPr="00E70711">
        <w:rPr>
          <w:b/>
          <w:sz w:val="24"/>
          <w:szCs w:val="24"/>
        </w:rPr>
        <w:t xml:space="preserve">. </w:t>
      </w:r>
      <w:r w:rsidRPr="00E70711">
        <w:rPr>
          <w:sz w:val="24"/>
          <w:szCs w:val="24"/>
        </w:rPr>
        <w:t xml:space="preserve">The exact </w:t>
      </w:r>
      <w:r w:rsidRPr="00E70711" w:rsidR="00D9045B">
        <w:rPr>
          <w:sz w:val="24"/>
          <w:szCs w:val="24"/>
        </w:rPr>
        <w:t>start date</w:t>
      </w:r>
      <w:r w:rsidRPr="00E70711">
        <w:rPr>
          <w:sz w:val="24"/>
          <w:szCs w:val="24"/>
        </w:rPr>
        <w:t xml:space="preserve"> for data collection activities </w:t>
      </w:r>
      <w:r w:rsidRPr="00E70711" w:rsidR="00D9045B">
        <w:rPr>
          <w:sz w:val="24"/>
          <w:szCs w:val="24"/>
        </w:rPr>
        <w:t>is</w:t>
      </w:r>
      <w:r w:rsidRPr="00E70711">
        <w:rPr>
          <w:sz w:val="24"/>
          <w:szCs w:val="24"/>
        </w:rPr>
        <w:t xml:space="preserve"> contingent on the OMB clearance date. </w:t>
      </w:r>
    </w:p>
    <w:p w:rsidRPr="00E70711" w:rsidR="003B21D0" w:rsidP="00FA6388" w:rsidRDefault="003B21D0" w14:paraId="423EFC33" w14:textId="77777777">
      <w:pPr>
        <w:pStyle w:val="CommentText"/>
        <w:rPr>
          <w:sz w:val="24"/>
          <w:szCs w:val="24"/>
        </w:rPr>
      </w:pPr>
    </w:p>
    <w:p w:rsidRPr="00E70711" w:rsidR="00FA6388" w:rsidP="00FA6388" w:rsidRDefault="00FA6388" w14:paraId="055DFBE9" w14:textId="359604F6">
      <w:pPr>
        <w:pStyle w:val="CommentText"/>
        <w:rPr>
          <w:sz w:val="24"/>
          <w:szCs w:val="24"/>
        </w:rPr>
      </w:pPr>
      <w:r w:rsidRPr="00E70711">
        <w:rPr>
          <w:sz w:val="24"/>
          <w:szCs w:val="24"/>
        </w:rPr>
        <w:t xml:space="preserve">AHRQ will make the final toolkit publicly available on its website. </w:t>
      </w:r>
      <w:r w:rsidRPr="00E70711" w:rsidR="00490A8F">
        <w:rPr>
          <w:sz w:val="24"/>
          <w:szCs w:val="24"/>
        </w:rPr>
        <w:t>Results of</w:t>
      </w:r>
      <w:r w:rsidRPr="00E70711">
        <w:rPr>
          <w:sz w:val="24"/>
          <w:szCs w:val="24"/>
        </w:rPr>
        <w:t xml:space="preserve"> the project will be </w:t>
      </w:r>
      <w:r w:rsidRPr="00E70711" w:rsidR="00490A8F">
        <w:rPr>
          <w:sz w:val="24"/>
          <w:szCs w:val="24"/>
        </w:rPr>
        <w:t xml:space="preserve">compiled in a final report and posted on the AHRQ website.  Analyses and findings will also be </w:t>
      </w:r>
      <w:r w:rsidRPr="00E70711">
        <w:rPr>
          <w:sz w:val="24"/>
          <w:szCs w:val="24"/>
        </w:rPr>
        <w:t xml:space="preserve">submitted for publication in academic journals. </w:t>
      </w:r>
    </w:p>
    <w:p w:rsidRPr="00E70711" w:rsidR="008E64CD" w:rsidP="00FA6388" w:rsidRDefault="008E64CD" w14:paraId="22078A57" w14:textId="77777777">
      <w:pPr>
        <w:pStyle w:val="CommentText"/>
        <w:rPr>
          <w:sz w:val="24"/>
          <w:szCs w:val="24"/>
        </w:rPr>
      </w:pPr>
    </w:p>
    <w:tbl>
      <w:tblPr>
        <w:tblW w:w="8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50"/>
        <w:gridCol w:w="1499"/>
        <w:gridCol w:w="1686"/>
      </w:tblGrid>
      <w:tr w:rsidRPr="00E70711" w:rsidR="008E64CD" w:rsidTr="00AB6736" w14:paraId="599716EF" w14:textId="77777777">
        <w:trPr>
          <w:cantSplit/>
          <w:trHeight w:val="379"/>
          <w:tblHeader/>
        </w:trPr>
        <w:tc>
          <w:tcPr>
            <w:tcW w:w="5150" w:type="dxa"/>
            <w:tcBorders>
              <w:bottom w:val="single" w:color="auto" w:sz="4" w:space="0"/>
            </w:tcBorders>
            <w:shd w:val="clear" w:color="auto" w:fill="D9F3E9"/>
            <w:noWrap/>
            <w:vAlign w:val="center"/>
            <w:hideMark/>
          </w:tcPr>
          <w:p w:rsidRPr="00E70711" w:rsidR="008E64CD" w:rsidP="00ED0D35" w:rsidRDefault="008E64CD" w14:paraId="05087183" w14:textId="77777777">
            <w:pPr>
              <w:rPr>
                <w:b/>
                <w:bCs/>
                <w:color w:val="000000"/>
              </w:rPr>
            </w:pPr>
          </w:p>
        </w:tc>
        <w:tc>
          <w:tcPr>
            <w:tcW w:w="1499" w:type="dxa"/>
            <w:tcBorders>
              <w:bottom w:val="single" w:color="auto" w:sz="4" w:space="0"/>
            </w:tcBorders>
            <w:shd w:val="clear" w:color="auto" w:fill="D9F3E9"/>
            <w:noWrap/>
            <w:vAlign w:val="center"/>
            <w:hideMark/>
          </w:tcPr>
          <w:p w:rsidRPr="00E70711" w:rsidR="008E64CD" w:rsidP="00ED0D35" w:rsidRDefault="008E64CD" w14:paraId="2FF755EE" w14:textId="77777777">
            <w:pPr>
              <w:jc w:val="center"/>
              <w:rPr>
                <w:b/>
                <w:bCs/>
                <w:color w:val="000000"/>
              </w:rPr>
            </w:pPr>
            <w:r w:rsidRPr="00E70711">
              <w:rPr>
                <w:b/>
                <w:bCs/>
                <w:color w:val="000000"/>
              </w:rPr>
              <w:t>Start Date</w:t>
            </w:r>
          </w:p>
        </w:tc>
        <w:tc>
          <w:tcPr>
            <w:tcW w:w="1686" w:type="dxa"/>
            <w:tcBorders>
              <w:bottom w:val="single" w:color="auto" w:sz="4" w:space="0"/>
            </w:tcBorders>
            <w:shd w:val="clear" w:color="auto" w:fill="D9F3E9"/>
            <w:noWrap/>
            <w:vAlign w:val="center"/>
            <w:hideMark/>
          </w:tcPr>
          <w:p w:rsidRPr="00E70711" w:rsidR="008E64CD" w:rsidP="00ED0D35" w:rsidRDefault="008E64CD" w14:paraId="3EA84CCC" w14:textId="77777777">
            <w:pPr>
              <w:jc w:val="center"/>
              <w:rPr>
                <w:b/>
                <w:bCs/>
                <w:color w:val="000000"/>
              </w:rPr>
            </w:pPr>
            <w:r w:rsidRPr="00E70711">
              <w:rPr>
                <w:b/>
                <w:bCs/>
                <w:color w:val="000000"/>
              </w:rPr>
              <w:t>End Date</w:t>
            </w:r>
          </w:p>
        </w:tc>
      </w:tr>
      <w:tr w:rsidRPr="00E70711" w:rsidR="008E64CD" w:rsidTr="00AB6736" w14:paraId="765CD2E2" w14:textId="77777777">
        <w:trPr>
          <w:trHeight w:val="208"/>
        </w:trPr>
        <w:tc>
          <w:tcPr>
            <w:tcW w:w="5150" w:type="dxa"/>
            <w:shd w:val="pct10" w:color="auto" w:fill="auto"/>
            <w:vAlign w:val="bottom"/>
          </w:tcPr>
          <w:p w:rsidRPr="00E70711" w:rsidR="008E64CD" w:rsidP="00ED0D35" w:rsidRDefault="008E64CD" w14:paraId="1457AD16" w14:textId="77777777">
            <w:pPr>
              <w:rPr>
                <w:b/>
                <w:bCs/>
                <w:color w:val="000000"/>
              </w:rPr>
            </w:pPr>
            <w:r w:rsidRPr="00E70711">
              <w:rPr>
                <w:b/>
                <w:bCs/>
                <w:color w:val="000000"/>
              </w:rPr>
              <w:t>ICU and Non-ICU Cohorts</w:t>
            </w:r>
          </w:p>
        </w:tc>
        <w:tc>
          <w:tcPr>
            <w:tcW w:w="1499" w:type="dxa"/>
            <w:shd w:val="pct10" w:color="auto" w:fill="auto"/>
            <w:noWrap/>
            <w:vAlign w:val="center"/>
          </w:tcPr>
          <w:p w:rsidRPr="00E70711" w:rsidR="008E64CD" w:rsidP="00ED0D35" w:rsidRDefault="008E64CD" w14:paraId="0297EBCE" w14:textId="77777777">
            <w:pPr>
              <w:jc w:val="center"/>
              <w:rPr>
                <w:color w:val="000000"/>
              </w:rPr>
            </w:pPr>
          </w:p>
        </w:tc>
        <w:tc>
          <w:tcPr>
            <w:tcW w:w="1686" w:type="dxa"/>
            <w:shd w:val="pct10" w:color="auto" w:fill="auto"/>
            <w:noWrap/>
            <w:vAlign w:val="center"/>
          </w:tcPr>
          <w:p w:rsidRPr="00E70711" w:rsidR="008E64CD" w:rsidP="00ED0D35" w:rsidRDefault="008E64CD" w14:paraId="193DE3E7" w14:textId="77777777">
            <w:pPr>
              <w:jc w:val="center"/>
              <w:rPr>
                <w:color w:val="000000"/>
              </w:rPr>
            </w:pPr>
          </w:p>
        </w:tc>
      </w:tr>
      <w:tr w:rsidRPr="00E70711" w:rsidR="008E64CD" w:rsidTr="00AB6736" w14:paraId="5094EBF4" w14:textId="77777777">
        <w:trPr>
          <w:trHeight w:val="208"/>
        </w:trPr>
        <w:tc>
          <w:tcPr>
            <w:tcW w:w="5150" w:type="dxa"/>
            <w:shd w:val="clear" w:color="auto" w:fill="auto"/>
            <w:vAlign w:val="bottom"/>
            <w:hideMark/>
          </w:tcPr>
          <w:p w:rsidRPr="00E70711" w:rsidR="008E64CD" w:rsidP="00ED0D35" w:rsidRDefault="008E64CD" w14:paraId="62132142" w14:textId="77777777">
            <w:pPr>
              <w:rPr>
                <w:bCs/>
                <w:color w:val="000000"/>
              </w:rPr>
            </w:pPr>
            <w:r w:rsidRPr="00E70711">
              <w:rPr>
                <w:bCs/>
                <w:color w:val="000000"/>
              </w:rPr>
              <w:t>ICU data collection</w:t>
            </w:r>
          </w:p>
        </w:tc>
        <w:tc>
          <w:tcPr>
            <w:tcW w:w="1499" w:type="dxa"/>
            <w:shd w:val="clear" w:color="auto" w:fill="auto"/>
            <w:noWrap/>
            <w:vAlign w:val="center"/>
            <w:hideMark/>
          </w:tcPr>
          <w:p w:rsidRPr="00E70711" w:rsidR="008E64CD" w:rsidP="00ED0D35" w:rsidRDefault="000A598A" w14:paraId="12EFD63E" w14:textId="6E03A567">
            <w:pPr>
              <w:jc w:val="center"/>
              <w:rPr>
                <w:color w:val="000000"/>
              </w:rPr>
            </w:pPr>
            <w:r>
              <w:rPr>
                <w:color w:val="000000"/>
              </w:rPr>
              <w:t>4</w:t>
            </w:r>
            <w:r w:rsidRPr="00E70711" w:rsidR="006F78A6">
              <w:rPr>
                <w:color w:val="000000"/>
              </w:rPr>
              <w:t>/</w:t>
            </w:r>
            <w:r w:rsidR="00AD4273">
              <w:rPr>
                <w:color w:val="000000"/>
              </w:rPr>
              <w:t>1</w:t>
            </w:r>
            <w:r w:rsidRPr="00E70711" w:rsidR="00E20E48">
              <w:rPr>
                <w:color w:val="000000"/>
              </w:rPr>
              <w:t>/2022</w:t>
            </w:r>
          </w:p>
        </w:tc>
        <w:tc>
          <w:tcPr>
            <w:tcW w:w="1686" w:type="dxa"/>
            <w:shd w:val="clear" w:color="auto" w:fill="auto"/>
            <w:noWrap/>
            <w:vAlign w:val="center"/>
            <w:hideMark/>
          </w:tcPr>
          <w:p w:rsidRPr="00E70711" w:rsidR="008E64CD" w:rsidP="00ED0D35" w:rsidRDefault="000A598A" w14:paraId="15FAC644" w14:textId="575BDFA2">
            <w:pPr>
              <w:jc w:val="center"/>
              <w:rPr>
                <w:color w:val="000000"/>
              </w:rPr>
            </w:pPr>
            <w:r>
              <w:rPr>
                <w:color w:val="000000"/>
              </w:rPr>
              <w:t>10</w:t>
            </w:r>
            <w:r w:rsidRPr="00E70711" w:rsidR="00E20E48">
              <w:rPr>
                <w:color w:val="000000"/>
              </w:rPr>
              <w:t>/</w:t>
            </w:r>
            <w:r w:rsidR="00AD4273">
              <w:rPr>
                <w:color w:val="000000"/>
              </w:rPr>
              <w:t>1</w:t>
            </w:r>
            <w:r w:rsidRPr="00E70711" w:rsidR="00E20E48">
              <w:rPr>
                <w:color w:val="000000"/>
              </w:rPr>
              <w:t>/2023</w:t>
            </w:r>
          </w:p>
        </w:tc>
      </w:tr>
      <w:tr w:rsidRPr="00E70711" w:rsidR="008E64CD" w:rsidTr="00AB6736" w14:paraId="5F48AF0E" w14:textId="77777777">
        <w:trPr>
          <w:trHeight w:val="454"/>
        </w:trPr>
        <w:tc>
          <w:tcPr>
            <w:tcW w:w="5150" w:type="dxa"/>
            <w:shd w:val="clear" w:color="auto" w:fill="auto"/>
            <w:vAlign w:val="bottom"/>
            <w:hideMark/>
          </w:tcPr>
          <w:p w:rsidRPr="00E70711" w:rsidR="008E64CD" w:rsidP="00ED0D35" w:rsidRDefault="008E64CD" w14:paraId="7C2CD3E4" w14:textId="77777777">
            <w:pPr>
              <w:rPr>
                <w:bCs/>
                <w:color w:val="000000"/>
              </w:rPr>
            </w:pPr>
            <w:r w:rsidRPr="00E70711">
              <w:rPr>
                <w:bCs/>
                <w:color w:val="000000"/>
              </w:rPr>
              <w:t>Non-ICU data collection</w:t>
            </w:r>
          </w:p>
        </w:tc>
        <w:tc>
          <w:tcPr>
            <w:tcW w:w="1499" w:type="dxa"/>
            <w:shd w:val="clear" w:color="auto" w:fill="auto"/>
            <w:noWrap/>
            <w:vAlign w:val="center"/>
            <w:hideMark/>
          </w:tcPr>
          <w:p w:rsidRPr="00E70711" w:rsidR="008E64CD" w:rsidP="00ED0D35" w:rsidRDefault="000A598A" w14:paraId="5EC9D361" w14:textId="7A9F1EAB">
            <w:pPr>
              <w:jc w:val="center"/>
              <w:rPr>
                <w:color w:val="000000"/>
              </w:rPr>
            </w:pPr>
            <w:r>
              <w:rPr>
                <w:color w:val="000000"/>
              </w:rPr>
              <w:t>4</w:t>
            </w:r>
            <w:r w:rsidRPr="00E70711" w:rsidR="003E3794">
              <w:rPr>
                <w:color w:val="000000"/>
              </w:rPr>
              <w:t>/</w:t>
            </w:r>
            <w:r w:rsidR="00AD4273">
              <w:rPr>
                <w:color w:val="000000"/>
              </w:rPr>
              <w:t>1</w:t>
            </w:r>
            <w:r w:rsidRPr="00E70711" w:rsidR="003E3794">
              <w:rPr>
                <w:color w:val="000000"/>
              </w:rPr>
              <w:t>/2022</w:t>
            </w:r>
          </w:p>
        </w:tc>
        <w:tc>
          <w:tcPr>
            <w:tcW w:w="1686" w:type="dxa"/>
            <w:shd w:val="clear" w:color="auto" w:fill="auto"/>
            <w:noWrap/>
            <w:vAlign w:val="center"/>
            <w:hideMark/>
          </w:tcPr>
          <w:p w:rsidRPr="00E70711" w:rsidR="008E64CD" w:rsidP="00ED0D35" w:rsidRDefault="000A598A" w14:paraId="7FBF0C52" w14:textId="53C2893F">
            <w:pPr>
              <w:jc w:val="center"/>
              <w:rPr>
                <w:color w:val="000000"/>
              </w:rPr>
            </w:pPr>
            <w:r>
              <w:rPr>
                <w:color w:val="000000"/>
              </w:rPr>
              <w:t>10</w:t>
            </w:r>
            <w:r w:rsidRPr="00E70711" w:rsidR="003E3794">
              <w:rPr>
                <w:color w:val="000000"/>
              </w:rPr>
              <w:t>/</w:t>
            </w:r>
            <w:r w:rsidR="00AD4273">
              <w:rPr>
                <w:color w:val="000000"/>
              </w:rPr>
              <w:t>1</w:t>
            </w:r>
            <w:r w:rsidRPr="00E70711" w:rsidR="003E3794">
              <w:rPr>
                <w:color w:val="000000"/>
              </w:rPr>
              <w:t>/2023</w:t>
            </w:r>
          </w:p>
        </w:tc>
      </w:tr>
      <w:tr w:rsidRPr="00E70711" w:rsidR="008E64CD" w:rsidTr="00AB6736" w14:paraId="5632E7B7" w14:textId="77777777">
        <w:trPr>
          <w:trHeight w:val="98"/>
        </w:trPr>
        <w:tc>
          <w:tcPr>
            <w:tcW w:w="5150" w:type="dxa"/>
            <w:shd w:val="clear" w:color="auto" w:fill="auto"/>
            <w:vAlign w:val="bottom"/>
            <w:hideMark/>
          </w:tcPr>
          <w:p w:rsidRPr="00E70711" w:rsidR="008E64CD" w:rsidP="00ED0D35" w:rsidRDefault="008E64CD" w14:paraId="0270A34D" w14:textId="77777777">
            <w:pPr>
              <w:rPr>
                <w:bCs/>
                <w:color w:val="000000"/>
              </w:rPr>
            </w:pPr>
            <w:r w:rsidRPr="00E70711">
              <w:rPr>
                <w:bCs/>
                <w:color w:val="000000"/>
              </w:rPr>
              <w:t xml:space="preserve">Final Interim Report </w:t>
            </w:r>
          </w:p>
        </w:tc>
        <w:tc>
          <w:tcPr>
            <w:tcW w:w="1499" w:type="dxa"/>
            <w:shd w:val="clear" w:color="auto" w:fill="auto"/>
            <w:noWrap/>
            <w:vAlign w:val="center"/>
            <w:hideMark/>
          </w:tcPr>
          <w:p w:rsidRPr="00E70711" w:rsidR="008E64CD" w:rsidP="00ED0D35" w:rsidRDefault="008E64CD" w14:paraId="36357413" w14:textId="77777777">
            <w:pPr>
              <w:jc w:val="center"/>
              <w:rPr>
                <w:color w:val="000000"/>
              </w:rPr>
            </w:pPr>
          </w:p>
        </w:tc>
        <w:tc>
          <w:tcPr>
            <w:tcW w:w="1686" w:type="dxa"/>
            <w:shd w:val="clear" w:color="auto" w:fill="auto"/>
            <w:noWrap/>
            <w:vAlign w:val="center"/>
            <w:hideMark/>
          </w:tcPr>
          <w:p w:rsidRPr="00E70711" w:rsidR="008E64CD" w:rsidP="00ED0D35" w:rsidRDefault="000A598A" w14:paraId="3BB2D219" w14:textId="69181857">
            <w:pPr>
              <w:jc w:val="center"/>
              <w:rPr>
                <w:color w:val="000000"/>
              </w:rPr>
            </w:pPr>
            <w:r>
              <w:rPr>
                <w:color w:val="000000"/>
              </w:rPr>
              <w:t>12</w:t>
            </w:r>
            <w:r w:rsidRPr="00E70711" w:rsidR="003E3794">
              <w:rPr>
                <w:color w:val="000000"/>
              </w:rPr>
              <w:t>/</w:t>
            </w:r>
            <w:r w:rsidR="002D4F3E">
              <w:rPr>
                <w:color w:val="000000"/>
              </w:rPr>
              <w:t>30</w:t>
            </w:r>
            <w:r w:rsidRPr="00E70711" w:rsidR="003E3794">
              <w:rPr>
                <w:color w:val="000000"/>
              </w:rPr>
              <w:t>/2022</w:t>
            </w:r>
          </w:p>
        </w:tc>
      </w:tr>
      <w:tr w:rsidRPr="00E70711" w:rsidR="008E64CD" w:rsidTr="00AB6736" w14:paraId="14E53CDC" w14:textId="77777777">
        <w:trPr>
          <w:trHeight w:val="60"/>
        </w:trPr>
        <w:tc>
          <w:tcPr>
            <w:tcW w:w="5150" w:type="dxa"/>
            <w:shd w:val="clear" w:color="auto" w:fill="auto"/>
            <w:vAlign w:val="bottom"/>
          </w:tcPr>
          <w:p w:rsidRPr="00E70711" w:rsidR="008E64CD" w:rsidP="00ED0D35" w:rsidRDefault="008E64CD" w14:paraId="79F04120" w14:textId="5C6AB55E">
            <w:pPr>
              <w:rPr>
                <w:bCs/>
                <w:color w:val="000000"/>
              </w:rPr>
            </w:pPr>
            <w:r w:rsidRPr="00B213CD">
              <w:rPr>
                <w:color w:val="000000"/>
              </w:rPr>
              <w:t xml:space="preserve">Final </w:t>
            </w:r>
            <w:r w:rsidRPr="00215B82" w:rsidR="00190666">
              <w:rPr>
                <w:i/>
                <w:color w:val="000000"/>
              </w:rPr>
              <w:t>AHRQ Safety Program</w:t>
            </w:r>
            <w:r w:rsidRPr="00E007FA">
              <w:rPr>
                <w:i/>
                <w:color w:val="000000"/>
              </w:rPr>
              <w:t xml:space="preserve"> for MRSA Prevention</w:t>
            </w:r>
            <w:r w:rsidRPr="00B213CD">
              <w:rPr>
                <w:color w:val="000000"/>
              </w:rPr>
              <w:t xml:space="preserve"> Toolkit</w:t>
            </w:r>
          </w:p>
        </w:tc>
        <w:tc>
          <w:tcPr>
            <w:tcW w:w="1499" w:type="dxa"/>
            <w:shd w:val="clear" w:color="auto" w:fill="auto"/>
            <w:noWrap/>
            <w:vAlign w:val="center"/>
          </w:tcPr>
          <w:p w:rsidRPr="00E70711" w:rsidR="008E64CD" w:rsidP="00ED0D35" w:rsidRDefault="008E64CD" w14:paraId="10FF6D2D" w14:textId="77777777">
            <w:pPr>
              <w:jc w:val="center"/>
              <w:rPr>
                <w:color w:val="000000"/>
              </w:rPr>
            </w:pPr>
          </w:p>
        </w:tc>
        <w:tc>
          <w:tcPr>
            <w:tcW w:w="1686" w:type="dxa"/>
            <w:shd w:val="clear" w:color="auto" w:fill="auto"/>
            <w:noWrap/>
            <w:vAlign w:val="center"/>
          </w:tcPr>
          <w:p w:rsidRPr="00E70711" w:rsidR="008E64CD" w:rsidP="00ED0D35" w:rsidRDefault="00A11010" w14:paraId="320C1743" w14:textId="35E01BEE">
            <w:pPr>
              <w:jc w:val="center"/>
              <w:rPr>
                <w:color w:val="000000"/>
              </w:rPr>
            </w:pPr>
            <w:r w:rsidRPr="00E70711">
              <w:t>9/5</w:t>
            </w:r>
            <w:r w:rsidRPr="00E70711" w:rsidR="008E64CD">
              <w:t>/2024</w:t>
            </w:r>
          </w:p>
        </w:tc>
      </w:tr>
      <w:tr w:rsidRPr="00E70711" w:rsidR="008E64CD" w:rsidTr="00AB6736" w14:paraId="6B2E50D0" w14:textId="77777777">
        <w:trPr>
          <w:trHeight w:val="60"/>
        </w:trPr>
        <w:tc>
          <w:tcPr>
            <w:tcW w:w="5150" w:type="dxa"/>
            <w:tcBorders>
              <w:bottom w:val="single" w:color="auto" w:sz="4" w:space="0"/>
            </w:tcBorders>
            <w:shd w:val="clear" w:color="auto" w:fill="auto"/>
            <w:vAlign w:val="bottom"/>
          </w:tcPr>
          <w:p w:rsidRPr="00E70711" w:rsidR="008E64CD" w:rsidP="00ED0D35" w:rsidRDefault="008E64CD" w14:paraId="395C7D65" w14:textId="77777777">
            <w:pPr>
              <w:rPr>
                <w:bCs/>
                <w:color w:val="000000"/>
              </w:rPr>
            </w:pPr>
            <w:r w:rsidRPr="00E70711">
              <w:rPr>
                <w:bCs/>
                <w:color w:val="000000"/>
              </w:rPr>
              <w:t xml:space="preserve">Final Report </w:t>
            </w:r>
          </w:p>
        </w:tc>
        <w:tc>
          <w:tcPr>
            <w:tcW w:w="1499" w:type="dxa"/>
            <w:tcBorders>
              <w:bottom w:val="single" w:color="auto" w:sz="4" w:space="0"/>
            </w:tcBorders>
            <w:shd w:val="clear" w:color="auto" w:fill="auto"/>
            <w:noWrap/>
            <w:vAlign w:val="center"/>
          </w:tcPr>
          <w:p w:rsidRPr="00E70711" w:rsidR="008E64CD" w:rsidP="00ED0D35" w:rsidRDefault="008E64CD" w14:paraId="2C434B62" w14:textId="77777777">
            <w:pPr>
              <w:jc w:val="center"/>
            </w:pPr>
          </w:p>
        </w:tc>
        <w:tc>
          <w:tcPr>
            <w:tcW w:w="1686" w:type="dxa"/>
            <w:tcBorders>
              <w:bottom w:val="single" w:color="auto" w:sz="4" w:space="0"/>
            </w:tcBorders>
            <w:shd w:val="clear" w:color="auto" w:fill="auto"/>
            <w:noWrap/>
            <w:vAlign w:val="center"/>
          </w:tcPr>
          <w:p w:rsidRPr="00E70711" w:rsidR="008E64CD" w:rsidRDefault="004061E3" w14:paraId="2CAFB137" w14:textId="5984E18D">
            <w:pPr>
              <w:jc w:val="center"/>
            </w:pPr>
            <w:r>
              <w:rPr>
                <w:color w:val="000000"/>
              </w:rPr>
              <w:t>6</w:t>
            </w:r>
            <w:r w:rsidRPr="00E70711" w:rsidR="00C14A17">
              <w:rPr>
                <w:color w:val="000000"/>
              </w:rPr>
              <w:t>/</w:t>
            </w:r>
            <w:r>
              <w:rPr>
                <w:color w:val="000000"/>
              </w:rPr>
              <w:t>5</w:t>
            </w:r>
            <w:r w:rsidRPr="00E70711" w:rsidR="008E64CD">
              <w:rPr>
                <w:color w:val="000000"/>
              </w:rPr>
              <w:t>/2024</w:t>
            </w:r>
          </w:p>
        </w:tc>
      </w:tr>
      <w:tr w:rsidRPr="00E70711" w:rsidR="008E64CD" w:rsidTr="00AB6736" w14:paraId="038DC663" w14:textId="77777777">
        <w:trPr>
          <w:trHeight w:val="60"/>
        </w:trPr>
        <w:tc>
          <w:tcPr>
            <w:tcW w:w="5150" w:type="dxa"/>
            <w:shd w:val="pct10" w:color="auto" w:fill="auto"/>
            <w:vAlign w:val="bottom"/>
          </w:tcPr>
          <w:p w:rsidRPr="00E70711" w:rsidR="008E64CD" w:rsidP="00ED0D35" w:rsidRDefault="008E64CD" w14:paraId="6ADF207D" w14:textId="77777777">
            <w:pPr>
              <w:rPr>
                <w:b/>
                <w:bCs/>
                <w:color w:val="000000"/>
              </w:rPr>
            </w:pPr>
            <w:r w:rsidRPr="00E70711">
              <w:rPr>
                <w:b/>
                <w:bCs/>
                <w:color w:val="000000"/>
              </w:rPr>
              <w:t>Surgical Services Cohort</w:t>
            </w:r>
          </w:p>
        </w:tc>
        <w:tc>
          <w:tcPr>
            <w:tcW w:w="1499" w:type="dxa"/>
            <w:shd w:val="pct10" w:color="auto" w:fill="auto"/>
            <w:noWrap/>
            <w:vAlign w:val="center"/>
          </w:tcPr>
          <w:p w:rsidRPr="00E70711" w:rsidR="008E64CD" w:rsidP="00ED0D35" w:rsidRDefault="008E64CD" w14:paraId="0CEE4F07" w14:textId="77777777">
            <w:pPr>
              <w:jc w:val="center"/>
            </w:pPr>
          </w:p>
        </w:tc>
        <w:tc>
          <w:tcPr>
            <w:tcW w:w="1686" w:type="dxa"/>
            <w:shd w:val="pct10" w:color="auto" w:fill="auto"/>
            <w:noWrap/>
            <w:vAlign w:val="center"/>
          </w:tcPr>
          <w:p w:rsidRPr="00E70711" w:rsidR="008E64CD" w:rsidP="00ED0D35" w:rsidRDefault="008E64CD" w14:paraId="2D5A7D83" w14:textId="77777777">
            <w:pPr>
              <w:jc w:val="center"/>
              <w:rPr>
                <w:color w:val="000000"/>
              </w:rPr>
            </w:pPr>
          </w:p>
        </w:tc>
      </w:tr>
      <w:tr w:rsidRPr="00E70711" w:rsidR="008E64CD" w:rsidTr="00AB6736" w14:paraId="50E2B389" w14:textId="77777777">
        <w:trPr>
          <w:trHeight w:val="60"/>
        </w:trPr>
        <w:tc>
          <w:tcPr>
            <w:tcW w:w="5150" w:type="dxa"/>
            <w:shd w:val="clear" w:color="auto" w:fill="auto"/>
            <w:vAlign w:val="bottom"/>
          </w:tcPr>
          <w:p w:rsidRPr="00E70711" w:rsidR="008E64CD" w:rsidP="00ED0D35" w:rsidRDefault="008E64CD" w14:paraId="7100757D" w14:textId="77777777">
            <w:pPr>
              <w:rPr>
                <w:b/>
                <w:bCs/>
                <w:color w:val="000000"/>
              </w:rPr>
            </w:pPr>
            <w:r w:rsidRPr="00E70711">
              <w:rPr>
                <w:bCs/>
                <w:color w:val="000000"/>
              </w:rPr>
              <w:t>Data collection</w:t>
            </w:r>
          </w:p>
        </w:tc>
        <w:tc>
          <w:tcPr>
            <w:tcW w:w="1499" w:type="dxa"/>
            <w:shd w:val="clear" w:color="auto" w:fill="auto"/>
            <w:noWrap/>
            <w:vAlign w:val="center"/>
          </w:tcPr>
          <w:p w:rsidRPr="00E70711" w:rsidR="00521965" w:rsidP="00ED0D35" w:rsidRDefault="00521965" w14:paraId="39A83F16" w14:textId="42D6D327">
            <w:pPr>
              <w:jc w:val="center"/>
              <w:rPr>
                <w:color w:val="000000"/>
              </w:rPr>
            </w:pPr>
            <w:r w:rsidRPr="00E70711">
              <w:rPr>
                <w:color w:val="000000"/>
              </w:rPr>
              <w:t>1/</w:t>
            </w:r>
            <w:r w:rsidR="000A598A">
              <w:rPr>
                <w:color w:val="000000"/>
              </w:rPr>
              <w:t>2</w:t>
            </w:r>
            <w:r w:rsidRPr="00E70711">
              <w:rPr>
                <w:color w:val="000000"/>
              </w:rPr>
              <w:t>/</w:t>
            </w:r>
            <w:r w:rsidRPr="00E70711" w:rsidR="000A598A">
              <w:rPr>
                <w:color w:val="000000"/>
              </w:rPr>
              <w:t>202</w:t>
            </w:r>
            <w:r w:rsidR="000A598A">
              <w:rPr>
                <w:color w:val="000000"/>
              </w:rPr>
              <w:t>3</w:t>
            </w:r>
          </w:p>
        </w:tc>
        <w:tc>
          <w:tcPr>
            <w:tcW w:w="1686" w:type="dxa"/>
            <w:shd w:val="clear" w:color="auto" w:fill="auto"/>
            <w:noWrap/>
            <w:vAlign w:val="center"/>
          </w:tcPr>
          <w:p w:rsidRPr="00E70711" w:rsidR="00521965" w:rsidP="00ED0D35" w:rsidRDefault="000A598A" w14:paraId="06890071" w14:textId="3B008EB8">
            <w:pPr>
              <w:jc w:val="center"/>
              <w:rPr>
                <w:color w:val="000000"/>
              </w:rPr>
            </w:pPr>
            <w:r>
              <w:rPr>
                <w:color w:val="000000"/>
              </w:rPr>
              <w:t>7</w:t>
            </w:r>
            <w:r w:rsidRPr="00E70711" w:rsidR="00521965">
              <w:rPr>
                <w:color w:val="000000"/>
              </w:rPr>
              <w:t>/</w:t>
            </w:r>
            <w:r>
              <w:rPr>
                <w:color w:val="000000"/>
              </w:rPr>
              <w:t>2</w:t>
            </w:r>
            <w:r w:rsidRPr="00E70711" w:rsidR="00521965">
              <w:rPr>
                <w:color w:val="000000"/>
              </w:rPr>
              <w:t>/2024</w:t>
            </w:r>
          </w:p>
        </w:tc>
      </w:tr>
      <w:tr w:rsidRPr="00E70711" w:rsidR="008E64CD" w:rsidTr="00AB6736" w14:paraId="75BE48AC" w14:textId="77777777">
        <w:trPr>
          <w:trHeight w:val="60"/>
        </w:trPr>
        <w:tc>
          <w:tcPr>
            <w:tcW w:w="5150" w:type="dxa"/>
            <w:shd w:val="clear" w:color="auto" w:fill="auto"/>
            <w:vAlign w:val="bottom"/>
          </w:tcPr>
          <w:p w:rsidRPr="00E70711" w:rsidR="008E64CD" w:rsidP="00ED0D35" w:rsidRDefault="008E64CD" w14:paraId="240E695C" w14:textId="77777777">
            <w:pPr>
              <w:rPr>
                <w:b/>
                <w:bCs/>
                <w:color w:val="000000"/>
              </w:rPr>
            </w:pPr>
            <w:r w:rsidRPr="00E70711">
              <w:rPr>
                <w:bCs/>
                <w:color w:val="000000"/>
              </w:rPr>
              <w:t xml:space="preserve">Final Interim Report </w:t>
            </w:r>
          </w:p>
        </w:tc>
        <w:tc>
          <w:tcPr>
            <w:tcW w:w="1499" w:type="dxa"/>
            <w:shd w:val="clear" w:color="auto" w:fill="auto"/>
            <w:noWrap/>
            <w:vAlign w:val="center"/>
          </w:tcPr>
          <w:p w:rsidRPr="00E70711" w:rsidR="008E64CD" w:rsidP="00ED0D35" w:rsidRDefault="008E64CD" w14:paraId="57ECB90D" w14:textId="77777777">
            <w:pPr>
              <w:jc w:val="center"/>
            </w:pPr>
          </w:p>
        </w:tc>
        <w:tc>
          <w:tcPr>
            <w:tcW w:w="1686" w:type="dxa"/>
            <w:shd w:val="clear" w:color="auto" w:fill="auto"/>
            <w:noWrap/>
            <w:vAlign w:val="center"/>
          </w:tcPr>
          <w:p w:rsidRPr="00E70711" w:rsidR="00EB4214" w:rsidP="00ED0D35" w:rsidRDefault="000A598A" w14:paraId="2F83FE44" w14:textId="1F70089B">
            <w:pPr>
              <w:jc w:val="center"/>
              <w:rPr>
                <w:color w:val="000000"/>
              </w:rPr>
            </w:pPr>
            <w:r>
              <w:rPr>
                <w:color w:val="000000"/>
              </w:rPr>
              <w:t>9</w:t>
            </w:r>
            <w:r w:rsidRPr="00E70711" w:rsidR="00EB4214">
              <w:rPr>
                <w:color w:val="000000"/>
              </w:rPr>
              <w:t>/</w:t>
            </w:r>
            <w:r w:rsidR="002D4F3E">
              <w:rPr>
                <w:color w:val="000000"/>
              </w:rPr>
              <w:t>30</w:t>
            </w:r>
            <w:r w:rsidRPr="00E70711" w:rsidR="00EB4214">
              <w:rPr>
                <w:color w:val="000000"/>
              </w:rPr>
              <w:t>/2023</w:t>
            </w:r>
          </w:p>
        </w:tc>
      </w:tr>
      <w:tr w:rsidRPr="00E70711" w:rsidR="008E64CD" w:rsidTr="00AB6736" w14:paraId="7C8778B6" w14:textId="77777777">
        <w:trPr>
          <w:trHeight w:val="60"/>
        </w:trPr>
        <w:tc>
          <w:tcPr>
            <w:tcW w:w="5150" w:type="dxa"/>
            <w:shd w:val="clear" w:color="auto" w:fill="auto"/>
            <w:vAlign w:val="bottom"/>
          </w:tcPr>
          <w:p w:rsidRPr="00E70711" w:rsidR="008E64CD" w:rsidP="00ED0D35" w:rsidRDefault="008E64CD" w14:paraId="1FF6E3C0" w14:textId="2A0D88A4">
            <w:pPr>
              <w:rPr>
                <w:b/>
                <w:bCs/>
                <w:color w:val="000000"/>
              </w:rPr>
            </w:pPr>
            <w:r w:rsidRPr="00B213CD">
              <w:rPr>
                <w:color w:val="000000"/>
              </w:rPr>
              <w:t xml:space="preserve">Final </w:t>
            </w:r>
            <w:r w:rsidRPr="00CC5BBB" w:rsidR="00190666">
              <w:rPr>
                <w:i/>
                <w:color w:val="000000"/>
              </w:rPr>
              <w:t>AHRQ Safety Program</w:t>
            </w:r>
            <w:r w:rsidRPr="00B213CD">
              <w:rPr>
                <w:color w:val="000000"/>
              </w:rPr>
              <w:t xml:space="preserve"> for MRSA Prevention Toolkit</w:t>
            </w:r>
          </w:p>
        </w:tc>
        <w:tc>
          <w:tcPr>
            <w:tcW w:w="1499" w:type="dxa"/>
            <w:shd w:val="clear" w:color="auto" w:fill="auto"/>
            <w:noWrap/>
            <w:vAlign w:val="center"/>
          </w:tcPr>
          <w:p w:rsidRPr="00E70711" w:rsidR="008E64CD" w:rsidP="00ED0D35" w:rsidRDefault="008E64CD" w14:paraId="5D8BFA90" w14:textId="77777777">
            <w:pPr>
              <w:jc w:val="center"/>
            </w:pPr>
          </w:p>
        </w:tc>
        <w:tc>
          <w:tcPr>
            <w:tcW w:w="1686" w:type="dxa"/>
            <w:shd w:val="clear" w:color="auto" w:fill="auto"/>
            <w:noWrap/>
            <w:vAlign w:val="center"/>
          </w:tcPr>
          <w:p w:rsidRPr="00E70711" w:rsidR="00EB4214" w:rsidP="00ED0D35" w:rsidRDefault="00EB4214" w14:paraId="410DDF5E" w14:textId="3A7256BE">
            <w:pPr>
              <w:jc w:val="center"/>
              <w:rPr>
                <w:color w:val="000000"/>
              </w:rPr>
            </w:pPr>
            <w:r w:rsidRPr="00E70711">
              <w:t>10/12/2025</w:t>
            </w:r>
          </w:p>
          <w:p w:rsidRPr="00E70711" w:rsidR="008E64CD" w:rsidP="00ED0D35" w:rsidRDefault="008E64CD" w14:paraId="684A1153" w14:textId="77777777">
            <w:pPr>
              <w:jc w:val="center"/>
              <w:rPr>
                <w:color w:val="000000"/>
              </w:rPr>
            </w:pPr>
          </w:p>
        </w:tc>
      </w:tr>
      <w:tr w:rsidRPr="00E70711" w:rsidR="008E64CD" w:rsidTr="00AB6736" w14:paraId="01494951" w14:textId="77777777">
        <w:trPr>
          <w:trHeight w:val="60"/>
        </w:trPr>
        <w:tc>
          <w:tcPr>
            <w:tcW w:w="5150" w:type="dxa"/>
            <w:tcBorders>
              <w:bottom w:val="single" w:color="auto" w:sz="4" w:space="0"/>
            </w:tcBorders>
            <w:shd w:val="clear" w:color="auto" w:fill="auto"/>
            <w:vAlign w:val="bottom"/>
          </w:tcPr>
          <w:p w:rsidRPr="00E70711" w:rsidR="008E64CD" w:rsidP="00ED0D35" w:rsidRDefault="008E64CD" w14:paraId="742EDCF8" w14:textId="77777777">
            <w:pPr>
              <w:rPr>
                <w:b/>
                <w:bCs/>
                <w:color w:val="000000"/>
              </w:rPr>
            </w:pPr>
            <w:r w:rsidRPr="00E70711">
              <w:rPr>
                <w:bCs/>
                <w:color w:val="000000"/>
              </w:rPr>
              <w:t xml:space="preserve">Final Report </w:t>
            </w:r>
          </w:p>
        </w:tc>
        <w:tc>
          <w:tcPr>
            <w:tcW w:w="1499" w:type="dxa"/>
            <w:tcBorders>
              <w:bottom w:val="single" w:color="auto" w:sz="4" w:space="0"/>
            </w:tcBorders>
            <w:shd w:val="clear" w:color="auto" w:fill="auto"/>
            <w:noWrap/>
            <w:vAlign w:val="center"/>
          </w:tcPr>
          <w:p w:rsidRPr="00E70711" w:rsidR="008E64CD" w:rsidP="00ED0D35" w:rsidRDefault="008E64CD" w14:paraId="44E003DD" w14:textId="77777777">
            <w:pPr>
              <w:jc w:val="center"/>
            </w:pPr>
          </w:p>
        </w:tc>
        <w:tc>
          <w:tcPr>
            <w:tcW w:w="1686" w:type="dxa"/>
            <w:tcBorders>
              <w:bottom w:val="single" w:color="auto" w:sz="4" w:space="0"/>
            </w:tcBorders>
            <w:shd w:val="clear" w:color="auto" w:fill="auto"/>
            <w:noWrap/>
            <w:vAlign w:val="center"/>
          </w:tcPr>
          <w:p w:rsidRPr="00E70711" w:rsidR="00EB4214" w:rsidP="00ED0D35" w:rsidRDefault="002D4F3E" w14:paraId="6101132B" w14:textId="1068FE51">
            <w:pPr>
              <w:jc w:val="center"/>
              <w:rPr>
                <w:rFonts w:eastAsiaTheme="minorEastAsia"/>
                <w:color w:val="000000"/>
              </w:rPr>
            </w:pPr>
            <w:r>
              <w:t>07</w:t>
            </w:r>
            <w:r w:rsidRPr="00E70711" w:rsidR="00EB4214">
              <w:t>/</w:t>
            </w:r>
            <w:r>
              <w:t>31</w:t>
            </w:r>
            <w:r w:rsidRPr="00E70711" w:rsidR="00EB4214">
              <w:t>/2025</w:t>
            </w:r>
          </w:p>
        </w:tc>
      </w:tr>
      <w:tr w:rsidRPr="00E70711" w:rsidR="008E64CD" w:rsidTr="00AB6736" w14:paraId="217F3EAA" w14:textId="77777777">
        <w:trPr>
          <w:trHeight w:val="60"/>
        </w:trPr>
        <w:tc>
          <w:tcPr>
            <w:tcW w:w="5150" w:type="dxa"/>
            <w:shd w:val="pct10" w:color="auto" w:fill="auto"/>
            <w:vAlign w:val="bottom"/>
          </w:tcPr>
          <w:p w:rsidRPr="00E70711" w:rsidR="008E64CD" w:rsidP="00ED0D35" w:rsidRDefault="008E64CD" w14:paraId="738E6318" w14:textId="643FC109">
            <w:pPr>
              <w:rPr>
                <w:b/>
                <w:bCs/>
                <w:color w:val="000000"/>
              </w:rPr>
            </w:pPr>
            <w:r w:rsidRPr="00E70711">
              <w:rPr>
                <w:b/>
                <w:bCs/>
                <w:color w:val="000000"/>
              </w:rPr>
              <w:t>L</w:t>
            </w:r>
            <w:r w:rsidR="004C6277">
              <w:rPr>
                <w:b/>
                <w:bCs/>
                <w:color w:val="000000"/>
              </w:rPr>
              <w:t>TC</w:t>
            </w:r>
            <w:r w:rsidRPr="00E70711">
              <w:rPr>
                <w:b/>
                <w:bCs/>
                <w:color w:val="000000"/>
              </w:rPr>
              <w:t xml:space="preserve"> Facility Cohort</w:t>
            </w:r>
          </w:p>
        </w:tc>
        <w:tc>
          <w:tcPr>
            <w:tcW w:w="1499" w:type="dxa"/>
            <w:shd w:val="pct10" w:color="auto" w:fill="auto"/>
            <w:noWrap/>
            <w:vAlign w:val="center"/>
          </w:tcPr>
          <w:p w:rsidRPr="00E70711" w:rsidR="008E64CD" w:rsidP="00ED0D35" w:rsidRDefault="008E64CD" w14:paraId="387C722D" w14:textId="77777777">
            <w:pPr>
              <w:jc w:val="center"/>
            </w:pPr>
          </w:p>
        </w:tc>
        <w:tc>
          <w:tcPr>
            <w:tcW w:w="1686" w:type="dxa"/>
            <w:shd w:val="pct10" w:color="auto" w:fill="auto"/>
            <w:noWrap/>
            <w:vAlign w:val="center"/>
          </w:tcPr>
          <w:p w:rsidRPr="00E70711" w:rsidR="008E64CD" w:rsidP="00ED0D35" w:rsidRDefault="008E64CD" w14:paraId="1935014A" w14:textId="77777777">
            <w:pPr>
              <w:jc w:val="center"/>
              <w:rPr>
                <w:color w:val="000000"/>
              </w:rPr>
            </w:pPr>
          </w:p>
        </w:tc>
      </w:tr>
      <w:tr w:rsidRPr="00E70711" w:rsidR="008E64CD" w:rsidTr="00AB6736" w14:paraId="68DF1890" w14:textId="77777777">
        <w:trPr>
          <w:trHeight w:val="60"/>
        </w:trPr>
        <w:tc>
          <w:tcPr>
            <w:tcW w:w="5150" w:type="dxa"/>
            <w:shd w:val="clear" w:color="auto" w:fill="auto"/>
            <w:vAlign w:val="bottom"/>
          </w:tcPr>
          <w:p w:rsidRPr="00E70711" w:rsidR="008E64CD" w:rsidP="00ED0D35" w:rsidRDefault="008E64CD" w14:paraId="2993BDE0" w14:textId="77777777">
            <w:pPr>
              <w:rPr>
                <w:b/>
                <w:bCs/>
                <w:color w:val="000000"/>
              </w:rPr>
            </w:pPr>
            <w:r w:rsidRPr="00E70711">
              <w:rPr>
                <w:bCs/>
                <w:color w:val="000000"/>
              </w:rPr>
              <w:t>Data collection</w:t>
            </w:r>
          </w:p>
        </w:tc>
        <w:tc>
          <w:tcPr>
            <w:tcW w:w="1499" w:type="dxa"/>
            <w:shd w:val="clear" w:color="auto" w:fill="auto"/>
            <w:noWrap/>
            <w:vAlign w:val="center"/>
          </w:tcPr>
          <w:p w:rsidRPr="00E70711" w:rsidR="00521965" w:rsidP="00ED0D35" w:rsidRDefault="000A598A" w14:paraId="23E8041B" w14:textId="7CDD5EB7">
            <w:pPr>
              <w:jc w:val="center"/>
              <w:rPr>
                <w:color w:val="000000"/>
              </w:rPr>
            </w:pPr>
            <w:r>
              <w:rPr>
                <w:color w:val="000000"/>
              </w:rPr>
              <w:t>6</w:t>
            </w:r>
            <w:r w:rsidRPr="00E70711" w:rsidR="00521965">
              <w:rPr>
                <w:color w:val="000000"/>
              </w:rPr>
              <w:t>/1/2023</w:t>
            </w:r>
          </w:p>
        </w:tc>
        <w:tc>
          <w:tcPr>
            <w:tcW w:w="1686" w:type="dxa"/>
            <w:shd w:val="clear" w:color="auto" w:fill="auto"/>
            <w:noWrap/>
            <w:vAlign w:val="center"/>
          </w:tcPr>
          <w:p w:rsidRPr="00E70711" w:rsidR="00521965" w:rsidRDefault="000A598A" w14:paraId="16F24F76" w14:textId="48887067">
            <w:pPr>
              <w:jc w:val="center"/>
              <w:rPr>
                <w:color w:val="000000"/>
              </w:rPr>
            </w:pPr>
            <w:r w:rsidRPr="00E70711">
              <w:rPr>
                <w:color w:val="000000"/>
              </w:rPr>
              <w:t>1</w:t>
            </w:r>
            <w:r>
              <w:rPr>
                <w:color w:val="000000"/>
              </w:rPr>
              <w:t>2</w:t>
            </w:r>
            <w:r w:rsidRPr="00E70711" w:rsidR="00521965">
              <w:rPr>
                <w:color w:val="000000"/>
              </w:rPr>
              <w:t>/</w:t>
            </w:r>
            <w:r w:rsidRPr="00E70711" w:rsidR="004061E3">
              <w:rPr>
                <w:color w:val="000000"/>
              </w:rPr>
              <w:t>3</w:t>
            </w:r>
            <w:r w:rsidR="004061E3">
              <w:rPr>
                <w:color w:val="000000"/>
              </w:rPr>
              <w:t>0</w:t>
            </w:r>
            <w:r w:rsidRPr="00E70711" w:rsidR="00521965">
              <w:rPr>
                <w:color w:val="000000"/>
              </w:rPr>
              <w:t>/2024</w:t>
            </w:r>
          </w:p>
        </w:tc>
      </w:tr>
      <w:tr w:rsidRPr="00E70711" w:rsidR="008E64CD" w:rsidTr="00AB6736" w14:paraId="340F5069" w14:textId="77777777">
        <w:trPr>
          <w:trHeight w:val="60"/>
        </w:trPr>
        <w:tc>
          <w:tcPr>
            <w:tcW w:w="5150" w:type="dxa"/>
            <w:shd w:val="clear" w:color="auto" w:fill="auto"/>
            <w:vAlign w:val="bottom"/>
          </w:tcPr>
          <w:p w:rsidRPr="00E70711" w:rsidR="008E64CD" w:rsidP="00ED0D35" w:rsidRDefault="008E64CD" w14:paraId="51BE3D14" w14:textId="77777777">
            <w:pPr>
              <w:rPr>
                <w:b/>
                <w:bCs/>
                <w:color w:val="000000"/>
              </w:rPr>
            </w:pPr>
            <w:r w:rsidRPr="00E70711">
              <w:rPr>
                <w:bCs/>
                <w:color w:val="000000"/>
              </w:rPr>
              <w:t xml:space="preserve">Final Interim Report </w:t>
            </w:r>
          </w:p>
        </w:tc>
        <w:tc>
          <w:tcPr>
            <w:tcW w:w="1499" w:type="dxa"/>
            <w:shd w:val="clear" w:color="auto" w:fill="auto"/>
            <w:noWrap/>
            <w:vAlign w:val="center"/>
          </w:tcPr>
          <w:p w:rsidRPr="00E70711" w:rsidR="008E64CD" w:rsidP="00ED0D35" w:rsidRDefault="008E64CD" w14:paraId="0A3A1045" w14:textId="77777777">
            <w:pPr>
              <w:jc w:val="center"/>
            </w:pPr>
          </w:p>
        </w:tc>
        <w:tc>
          <w:tcPr>
            <w:tcW w:w="1686" w:type="dxa"/>
            <w:shd w:val="clear" w:color="auto" w:fill="auto"/>
            <w:noWrap/>
            <w:vAlign w:val="center"/>
          </w:tcPr>
          <w:p w:rsidRPr="00E70711" w:rsidR="00EB4214" w:rsidP="00ED0D35" w:rsidRDefault="000A598A" w14:paraId="708EDF09" w14:textId="63275E9D">
            <w:pPr>
              <w:jc w:val="center"/>
              <w:rPr>
                <w:color w:val="000000"/>
              </w:rPr>
            </w:pPr>
            <w:r>
              <w:rPr>
                <w:color w:val="000000"/>
              </w:rPr>
              <w:t>2</w:t>
            </w:r>
            <w:r w:rsidRPr="00E70711" w:rsidR="00EB4214">
              <w:rPr>
                <w:color w:val="000000"/>
              </w:rPr>
              <w:t>/</w:t>
            </w:r>
            <w:r>
              <w:rPr>
                <w:color w:val="000000"/>
              </w:rPr>
              <w:t>28</w:t>
            </w:r>
            <w:r w:rsidRPr="00E70711" w:rsidR="00EB4214">
              <w:rPr>
                <w:color w:val="000000"/>
              </w:rPr>
              <w:t>/2024</w:t>
            </w:r>
          </w:p>
        </w:tc>
      </w:tr>
      <w:tr w:rsidRPr="00E70711" w:rsidR="008E64CD" w:rsidTr="00AB6736" w14:paraId="4E24AA7B" w14:textId="77777777">
        <w:trPr>
          <w:trHeight w:val="60"/>
        </w:trPr>
        <w:tc>
          <w:tcPr>
            <w:tcW w:w="5150" w:type="dxa"/>
            <w:shd w:val="clear" w:color="auto" w:fill="auto"/>
            <w:vAlign w:val="bottom"/>
          </w:tcPr>
          <w:p w:rsidRPr="00E70711" w:rsidR="008E64CD" w:rsidP="00ED0D35" w:rsidRDefault="008E64CD" w14:paraId="4A8C949A" w14:textId="786590C3">
            <w:pPr>
              <w:rPr>
                <w:b/>
                <w:bCs/>
                <w:color w:val="000000"/>
              </w:rPr>
            </w:pPr>
            <w:r w:rsidRPr="00B213CD">
              <w:rPr>
                <w:color w:val="000000"/>
              </w:rPr>
              <w:t xml:space="preserve">Final </w:t>
            </w:r>
            <w:r w:rsidRPr="00CC5BBB" w:rsidR="00190666">
              <w:rPr>
                <w:i/>
                <w:color w:val="000000"/>
              </w:rPr>
              <w:t>AHRQ Safety Program</w:t>
            </w:r>
            <w:r w:rsidRPr="00B213CD">
              <w:rPr>
                <w:color w:val="000000"/>
              </w:rPr>
              <w:t xml:space="preserve"> for MRSA Prevention Toolkit</w:t>
            </w:r>
          </w:p>
        </w:tc>
        <w:tc>
          <w:tcPr>
            <w:tcW w:w="1499" w:type="dxa"/>
            <w:shd w:val="clear" w:color="auto" w:fill="auto"/>
            <w:noWrap/>
            <w:vAlign w:val="center"/>
          </w:tcPr>
          <w:p w:rsidRPr="00E70711" w:rsidR="008E64CD" w:rsidP="00ED0D35" w:rsidRDefault="008E64CD" w14:paraId="0E2DA43A" w14:textId="77777777">
            <w:pPr>
              <w:jc w:val="center"/>
            </w:pPr>
          </w:p>
        </w:tc>
        <w:tc>
          <w:tcPr>
            <w:tcW w:w="1686" w:type="dxa"/>
            <w:shd w:val="clear" w:color="auto" w:fill="auto"/>
            <w:noWrap/>
            <w:vAlign w:val="center"/>
          </w:tcPr>
          <w:p w:rsidRPr="00E70711" w:rsidR="00EB4214" w:rsidP="00ED0D35" w:rsidRDefault="00EB4214" w14:paraId="0801F51A" w14:textId="48239A8A">
            <w:pPr>
              <w:jc w:val="center"/>
              <w:rPr>
                <w:rFonts w:eastAsiaTheme="minorEastAsia"/>
                <w:color w:val="000000"/>
              </w:rPr>
            </w:pPr>
            <w:r w:rsidRPr="00E70711">
              <w:t>1/12/2026</w:t>
            </w:r>
          </w:p>
        </w:tc>
      </w:tr>
      <w:tr w:rsidRPr="00E70711" w:rsidR="008E64CD" w:rsidTr="00AB6736" w14:paraId="328398A9" w14:textId="77777777">
        <w:trPr>
          <w:trHeight w:val="60"/>
        </w:trPr>
        <w:tc>
          <w:tcPr>
            <w:tcW w:w="5150" w:type="dxa"/>
            <w:shd w:val="clear" w:color="auto" w:fill="auto"/>
            <w:vAlign w:val="bottom"/>
          </w:tcPr>
          <w:p w:rsidRPr="00E70711" w:rsidR="008E64CD" w:rsidP="00ED0D35" w:rsidRDefault="008E64CD" w14:paraId="6FAD07D3" w14:textId="77777777">
            <w:pPr>
              <w:rPr>
                <w:b/>
                <w:bCs/>
                <w:color w:val="000000"/>
              </w:rPr>
            </w:pPr>
            <w:r w:rsidRPr="00E70711">
              <w:rPr>
                <w:bCs/>
                <w:color w:val="000000"/>
              </w:rPr>
              <w:t xml:space="preserve">Final Report </w:t>
            </w:r>
          </w:p>
        </w:tc>
        <w:tc>
          <w:tcPr>
            <w:tcW w:w="1499" w:type="dxa"/>
            <w:shd w:val="clear" w:color="auto" w:fill="auto"/>
            <w:noWrap/>
            <w:vAlign w:val="center"/>
          </w:tcPr>
          <w:p w:rsidRPr="00E70711" w:rsidR="008E64CD" w:rsidP="00ED0D35" w:rsidRDefault="008E64CD" w14:paraId="5C120D02" w14:textId="77777777">
            <w:pPr>
              <w:jc w:val="center"/>
            </w:pPr>
          </w:p>
        </w:tc>
        <w:tc>
          <w:tcPr>
            <w:tcW w:w="1686" w:type="dxa"/>
            <w:shd w:val="clear" w:color="auto" w:fill="auto"/>
            <w:noWrap/>
            <w:vAlign w:val="center"/>
          </w:tcPr>
          <w:p w:rsidRPr="00E70711" w:rsidR="00EB4214" w:rsidP="00ED0D35" w:rsidRDefault="002D4F3E" w14:paraId="3B89DA2C" w14:textId="1594D038">
            <w:pPr>
              <w:jc w:val="center"/>
              <w:rPr>
                <w:color w:val="000000"/>
              </w:rPr>
            </w:pPr>
            <w:r>
              <w:t>7</w:t>
            </w:r>
            <w:r w:rsidRPr="00E70711" w:rsidR="00EB4214">
              <w:t>/</w:t>
            </w:r>
            <w:r>
              <w:t>31</w:t>
            </w:r>
            <w:r w:rsidRPr="00E70711" w:rsidR="00EB4214">
              <w:t>/202</w:t>
            </w:r>
            <w:r>
              <w:t>5</w:t>
            </w:r>
          </w:p>
        </w:tc>
      </w:tr>
    </w:tbl>
    <w:p w:rsidRPr="00E70711" w:rsidR="008E64CD" w:rsidP="00FA6388" w:rsidRDefault="008E64CD" w14:paraId="1652E42E" w14:textId="77777777">
      <w:pPr>
        <w:pStyle w:val="CommentText"/>
        <w:rPr>
          <w:sz w:val="24"/>
          <w:szCs w:val="24"/>
        </w:rPr>
      </w:pPr>
    </w:p>
    <w:p w:rsidRPr="00E70711" w:rsidR="009B633D" w:rsidP="009B633D" w:rsidRDefault="009B633D" w14:paraId="0195C2C9" w14:textId="77777777">
      <w:pPr>
        <w:pStyle w:val="Heading2"/>
        <w:rPr>
          <w:sz w:val="24"/>
        </w:rPr>
      </w:pPr>
      <w:bookmarkStart w:name="_Toc151782196" w:id="76"/>
      <w:bookmarkStart w:name="_Toc158526232" w:id="77"/>
      <w:bookmarkStart w:name="_Toc73964955" w:id="78"/>
      <w:bookmarkStart w:name="_Toc73965314" w:id="79"/>
      <w:r w:rsidRPr="00E70711">
        <w:rPr>
          <w:sz w:val="24"/>
        </w:rPr>
        <w:lastRenderedPageBreak/>
        <w:t>17. Exemption for Display of Expiration Date</w:t>
      </w:r>
      <w:bookmarkEnd w:id="76"/>
      <w:bookmarkEnd w:id="77"/>
      <w:bookmarkEnd w:id="78"/>
      <w:bookmarkEnd w:id="79"/>
    </w:p>
    <w:p w:rsidRPr="00E70711" w:rsidR="009B633D" w:rsidP="009B633D" w:rsidRDefault="009B633D" w14:paraId="695E41C7" w14:textId="77777777">
      <w:r w:rsidRPr="00E70711">
        <w:t>AHRQ does not seek this exemption.</w:t>
      </w:r>
    </w:p>
    <w:p w:rsidRPr="00B213CD" w:rsidR="00016560" w:rsidP="00F43FE9" w:rsidRDefault="00904CC3" w14:paraId="600E684D" w14:textId="77777777">
      <w:pPr>
        <w:pStyle w:val="Heading2"/>
      </w:pPr>
      <w:bookmarkStart w:name="_Toc73964956" w:id="80"/>
      <w:bookmarkStart w:name="_Toc73965315" w:id="81"/>
      <w:r w:rsidRPr="00B213CD">
        <w:t xml:space="preserve">List of </w:t>
      </w:r>
      <w:r w:rsidRPr="00B213CD" w:rsidR="00016560">
        <w:t>Attachments</w:t>
      </w:r>
      <w:bookmarkEnd w:id="80"/>
      <w:bookmarkEnd w:id="81"/>
    </w:p>
    <w:p w:rsidRPr="00B213CD" w:rsidR="00702CE9" w:rsidP="00702CE9" w:rsidRDefault="008573ED" w14:paraId="31CBD6E1" w14:textId="50A4D7D9">
      <w:r w:rsidRPr="00B213CD">
        <w:t xml:space="preserve">Attachment </w:t>
      </w:r>
      <w:r w:rsidRPr="00B213CD" w:rsidR="00C55529">
        <w:t>A</w:t>
      </w:r>
      <w:r w:rsidRPr="00B213CD" w:rsidR="00302210">
        <w:t xml:space="preserve">: </w:t>
      </w:r>
      <w:r w:rsidRPr="00B213CD" w:rsidR="00C55529">
        <w:t>Federal Register Notice</w:t>
      </w:r>
      <w:r w:rsidRPr="00B213CD" w:rsidR="00C55529">
        <w:br/>
      </w:r>
      <w:r w:rsidRPr="00B213CD" w:rsidR="00702CE9">
        <w:t xml:space="preserve">Attachment </w:t>
      </w:r>
      <w:r w:rsidRPr="00B213CD" w:rsidR="00123A53">
        <w:t>B</w:t>
      </w:r>
      <w:r w:rsidRPr="00B213CD" w:rsidR="00702CE9">
        <w:t xml:space="preserve">: </w:t>
      </w:r>
      <w:r w:rsidRPr="00B213CD" w:rsidR="00787B67">
        <w:t xml:space="preserve">ICU/Non-ICU </w:t>
      </w:r>
      <w:r w:rsidRPr="00B213CD" w:rsidR="00702CE9">
        <w:t>Gap Analysis</w:t>
      </w:r>
    </w:p>
    <w:p w:rsidRPr="00B213CD" w:rsidR="00787B67" w:rsidP="00702CE9" w:rsidRDefault="00787B67" w14:paraId="72C33A0E" w14:textId="661AE9B8">
      <w:r w:rsidRPr="00B213CD">
        <w:t xml:space="preserve">Attachment C: </w:t>
      </w:r>
      <w:r w:rsidRPr="00B213CD" w:rsidR="00006A31">
        <w:t>Surgical Services Gap Analysis</w:t>
      </w:r>
    </w:p>
    <w:p w:rsidRPr="00B213CD" w:rsidR="00006A31" w:rsidP="00702CE9" w:rsidRDefault="00006A31" w14:paraId="318528D6" w14:textId="3995E4CD">
      <w:r w:rsidRPr="00B213CD">
        <w:t xml:space="preserve">Attachment D: </w:t>
      </w:r>
      <w:r w:rsidRPr="00B213CD" w:rsidR="00342739">
        <w:t>LTC Gap Analysis</w:t>
      </w:r>
    </w:p>
    <w:p w:rsidRPr="00B213CD" w:rsidR="00C55529" w:rsidP="00671A04" w:rsidRDefault="00342739" w14:paraId="77CBA836" w14:textId="1AE29C79">
      <w:r w:rsidRPr="00B213CD">
        <w:t xml:space="preserve">Attachment E: </w:t>
      </w:r>
      <w:r w:rsidRPr="00B213CD" w:rsidR="005269BE">
        <w:t>ICU/Non-ICU</w:t>
      </w:r>
      <w:r w:rsidRPr="00B213CD" w:rsidR="00717934">
        <w:t xml:space="preserve"> </w:t>
      </w:r>
      <w:r w:rsidRPr="00B213CD" w:rsidR="00C55529">
        <w:t>Team Checkup Tool</w:t>
      </w:r>
    </w:p>
    <w:p w:rsidRPr="00B213CD" w:rsidR="00717934" w:rsidP="00671A04" w:rsidRDefault="00D9297B" w14:paraId="40FC466F" w14:textId="02998C74">
      <w:r w:rsidRPr="00B213CD">
        <w:t xml:space="preserve">Attachment </w:t>
      </w:r>
      <w:r w:rsidR="006607D6">
        <w:t>F</w:t>
      </w:r>
      <w:r w:rsidRPr="00B213CD">
        <w:t>: Surgical Services Team Checkup Tool</w:t>
      </w:r>
    </w:p>
    <w:p w:rsidRPr="00B213CD" w:rsidR="00D9297B" w:rsidP="00671A04" w:rsidRDefault="00D9297B" w14:paraId="710C38B1" w14:textId="57ADDDFC">
      <w:r w:rsidRPr="00B213CD">
        <w:t xml:space="preserve">Attachment </w:t>
      </w:r>
      <w:r w:rsidR="006607D6">
        <w:t>G</w:t>
      </w:r>
      <w:r w:rsidRPr="00B213CD">
        <w:t>: LTC Team Checkup Tool</w:t>
      </w:r>
    </w:p>
    <w:p w:rsidRPr="00B213CD" w:rsidR="00C55529" w:rsidP="00671A04" w:rsidRDefault="00D9297B" w14:paraId="7E15F876" w14:textId="6924BA55">
      <w:r w:rsidRPr="00B213CD">
        <w:t xml:space="preserve">Attachment </w:t>
      </w:r>
      <w:r w:rsidR="006607D6">
        <w:t>H</w:t>
      </w:r>
      <w:r w:rsidRPr="00B213CD" w:rsidR="00C55529">
        <w:t xml:space="preserve">: Survey of Patient Safety Culture </w:t>
      </w:r>
      <w:r w:rsidRPr="00B213CD" w:rsidR="00123A53">
        <w:t xml:space="preserve">– </w:t>
      </w:r>
      <w:r w:rsidRPr="00B213CD" w:rsidR="00C55529">
        <w:t>HSOPS</w:t>
      </w:r>
    </w:p>
    <w:p w:rsidRPr="00B213CD" w:rsidR="00123A53" w:rsidP="00671A04" w:rsidRDefault="00123A53" w14:paraId="4815FB97" w14:textId="7176807D">
      <w:r w:rsidRPr="00B213CD">
        <w:t xml:space="preserve">Attachment </w:t>
      </w:r>
      <w:r w:rsidR="006607D6">
        <w:t>I</w:t>
      </w:r>
      <w:r w:rsidRPr="00B213CD">
        <w:t xml:space="preserve">: Survey of Patient Safety Culture </w:t>
      </w:r>
      <w:r w:rsidRPr="00B213CD" w:rsidR="004228EB">
        <w:t>–</w:t>
      </w:r>
      <w:r w:rsidRPr="00B213CD">
        <w:t xml:space="preserve"> NHSOPS</w:t>
      </w:r>
      <w:r w:rsidRPr="00B213CD" w:rsidR="004228EB">
        <w:t xml:space="preserve"> </w:t>
      </w:r>
    </w:p>
    <w:p w:rsidRPr="00B213CD" w:rsidR="00C55529" w:rsidP="00671A04" w:rsidRDefault="00C55529" w14:paraId="17432358" w14:textId="6A2C3504">
      <w:r w:rsidRPr="00B213CD">
        <w:t xml:space="preserve">Attachment </w:t>
      </w:r>
      <w:r w:rsidR="006607D6">
        <w:t>J</w:t>
      </w:r>
      <w:r w:rsidRPr="00B213CD">
        <w:t xml:space="preserve">: </w:t>
      </w:r>
      <w:r w:rsidRPr="00B213CD" w:rsidR="008E283C">
        <w:t>Clinical Outcomes Data</w:t>
      </w:r>
      <w:r w:rsidRPr="00B213CD" w:rsidR="0008378E">
        <w:t xml:space="preserve"> for ICU/Non-ICU</w:t>
      </w:r>
    </w:p>
    <w:p w:rsidRPr="00B213CD" w:rsidR="0008378E" w:rsidP="00671A04" w:rsidRDefault="0008378E" w14:paraId="57DF5C8C" w14:textId="3CFAD32A">
      <w:r w:rsidRPr="00B213CD">
        <w:t xml:space="preserve">Attachment </w:t>
      </w:r>
      <w:r w:rsidR="006607D6">
        <w:t>K</w:t>
      </w:r>
      <w:r w:rsidRPr="00B213CD">
        <w:t>: Clinical Outcomes</w:t>
      </w:r>
      <w:r w:rsidRPr="00B213CD" w:rsidR="001902F2">
        <w:t xml:space="preserve"> Data for Surgical Services</w:t>
      </w:r>
    </w:p>
    <w:p w:rsidRPr="00B213CD" w:rsidR="001902F2" w:rsidP="00671A04" w:rsidRDefault="001902F2" w14:paraId="14A1B174" w14:textId="7D83BDA2">
      <w:r w:rsidRPr="00B213CD">
        <w:t xml:space="preserve">Attachment </w:t>
      </w:r>
      <w:r w:rsidR="006607D6">
        <w:t>L</w:t>
      </w:r>
      <w:r w:rsidRPr="00B213CD">
        <w:t xml:space="preserve">: Clinical Outcomes Data for </w:t>
      </w:r>
      <w:r w:rsidRPr="00B213CD" w:rsidR="00D6202A">
        <w:t>LTC</w:t>
      </w:r>
    </w:p>
    <w:p w:rsidRPr="00B213CD" w:rsidR="00D6202A" w:rsidP="00671A04" w:rsidRDefault="00D6202A" w14:paraId="74357330" w14:textId="420EE5B7">
      <w:r w:rsidRPr="00B213CD">
        <w:t xml:space="preserve">Attachment </w:t>
      </w:r>
      <w:r w:rsidR="006607D6">
        <w:t>M</w:t>
      </w:r>
      <w:r w:rsidRPr="00B213CD">
        <w:t xml:space="preserve">: Completion Guide for </w:t>
      </w:r>
      <w:r w:rsidRPr="00B213CD" w:rsidR="0015271F">
        <w:t>ICU/Non-ICU Clinical Outcomes Data</w:t>
      </w:r>
    </w:p>
    <w:p w:rsidRPr="00B213CD" w:rsidR="0015271F" w:rsidP="00671A04" w:rsidRDefault="0015271F" w14:paraId="146E3D39" w14:textId="508F6CAE">
      <w:r w:rsidRPr="00B213CD">
        <w:t xml:space="preserve">Attachment </w:t>
      </w:r>
      <w:r w:rsidR="006607D6">
        <w:t>N</w:t>
      </w:r>
      <w:r w:rsidRPr="00B213CD">
        <w:t>: Completion Guide for Surgical Services Clinical Outcomes Data</w:t>
      </w:r>
    </w:p>
    <w:p w:rsidRPr="00B213CD" w:rsidR="0015271F" w:rsidP="00671A04" w:rsidRDefault="0015271F" w14:paraId="0E32C897" w14:textId="294928D4">
      <w:pPr>
        <w:rPr>
          <w:rStyle w:val="Strong"/>
          <w:b w:val="0"/>
        </w:rPr>
      </w:pPr>
      <w:r w:rsidRPr="00B213CD">
        <w:t xml:space="preserve">Attachment </w:t>
      </w:r>
      <w:r w:rsidR="006607D6">
        <w:t>O</w:t>
      </w:r>
      <w:r w:rsidRPr="00B213CD">
        <w:t>: Completion Guide for LTC Clinical Outcomes Data</w:t>
      </w:r>
    </w:p>
    <w:p w:rsidR="00DA79B5" w:rsidP="00671A04" w:rsidRDefault="00C55529" w14:paraId="6F91BCB5" w14:textId="529E46CF">
      <w:r w:rsidRPr="00B213CD">
        <w:rPr>
          <w:rStyle w:val="Strong"/>
          <w:b w:val="0"/>
        </w:rPr>
        <w:t xml:space="preserve">Attachment </w:t>
      </w:r>
      <w:r w:rsidR="006607D6">
        <w:rPr>
          <w:rStyle w:val="Strong"/>
          <w:b w:val="0"/>
        </w:rPr>
        <w:t>P</w:t>
      </w:r>
      <w:r w:rsidRPr="00B213CD">
        <w:rPr>
          <w:rStyle w:val="Strong"/>
          <w:b w:val="0"/>
        </w:rPr>
        <w:t xml:space="preserve">: </w:t>
      </w:r>
      <w:r w:rsidRPr="00B213CD">
        <w:t>Schedule of Evaluation Activities</w:t>
      </w:r>
      <w:r>
        <w:br/>
      </w:r>
    </w:p>
    <w:p w:rsidRPr="00535B56" w:rsidR="00DA79B5" w:rsidP="00B213CD" w:rsidRDefault="00C24784" w14:paraId="65ED15E3" w14:textId="2F4B9060">
      <w:pPr>
        <w:pStyle w:val="Heading2"/>
      </w:pPr>
      <w:bookmarkStart w:name="_Toc73964957" w:id="82"/>
      <w:bookmarkStart w:name="_Toc73965316" w:id="83"/>
      <w:r>
        <w:t>References</w:t>
      </w:r>
      <w:bookmarkEnd w:id="82"/>
      <w:bookmarkEnd w:id="83"/>
    </w:p>
    <w:sectPr w:rsidRPr="00535B56" w:rsidR="00DA79B5" w:rsidSect="006E725C">
      <w:footnotePr>
        <w:numFmt w:val="chicago"/>
      </w:footnotePr>
      <w:endnotePr>
        <w:numFmt w:val="decimal"/>
      </w:endnotePr>
      <w:type w:val="continuous"/>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A8A1A" w14:textId="77777777" w:rsidR="00F92AAC" w:rsidRDefault="00F92AAC">
      <w:r>
        <w:separator/>
      </w:r>
    </w:p>
  </w:endnote>
  <w:endnote w:type="continuationSeparator" w:id="0">
    <w:p w14:paraId="72137D2D" w14:textId="77777777" w:rsidR="00F92AAC" w:rsidRDefault="00F92AAC">
      <w:r>
        <w:continuationSeparator/>
      </w:r>
    </w:p>
  </w:endnote>
  <w:endnote w:type="continuationNotice" w:id="1">
    <w:p w14:paraId="15940F5B" w14:textId="77777777" w:rsidR="00F92AAC" w:rsidRDefault="00F92AAC"/>
  </w:endnote>
  <w:endnote w:id="2">
    <w:p w14:paraId="5EFFBE06" w14:textId="2D0ED0C2" w:rsidR="00F92AAC" w:rsidRPr="00B213CD" w:rsidRDefault="00F92AAC" w:rsidP="00652EBB">
      <w:pPr>
        <w:pStyle w:val="EndnoteText"/>
        <w:rPr>
          <w:sz w:val="24"/>
        </w:rPr>
      </w:pPr>
      <w:r>
        <w:rPr>
          <w:rStyle w:val="EndnoteReference"/>
        </w:rPr>
        <w:endnoteRef/>
      </w:r>
      <w:r>
        <w:t xml:space="preserve"> </w:t>
      </w:r>
      <w:r w:rsidRPr="00B213CD">
        <w:rPr>
          <w:sz w:val="24"/>
        </w:rPr>
        <w:t>Strausbaugh LJ, Joseph CL.</w:t>
      </w:r>
      <w:r>
        <w:rPr>
          <w:sz w:val="24"/>
        </w:rPr>
        <w:t xml:space="preserve"> (2000).</w:t>
      </w:r>
      <w:r w:rsidRPr="00B213CD">
        <w:rPr>
          <w:sz w:val="24"/>
        </w:rPr>
        <w:t xml:space="preserve"> The burden of infection in long-term care.</w:t>
      </w:r>
    </w:p>
    <w:p w14:paraId="5312EE39" w14:textId="303CDBBD" w:rsidR="00F92AAC" w:rsidRDefault="00F92AAC" w:rsidP="00652EBB">
      <w:pPr>
        <w:pStyle w:val="EndnoteText"/>
      </w:pPr>
      <w:r w:rsidRPr="00B213CD">
        <w:rPr>
          <w:i/>
          <w:sz w:val="24"/>
        </w:rPr>
        <w:t>Infect Control Hosp Epidemiol</w:t>
      </w:r>
      <w:r w:rsidRPr="00B213CD">
        <w:rPr>
          <w:sz w:val="24"/>
        </w:rPr>
        <w:t>. 21(10):674-9.</w:t>
      </w:r>
    </w:p>
  </w:endnote>
  <w:endnote w:id="3">
    <w:p w14:paraId="34EB5D11" w14:textId="72BAB119" w:rsidR="00F92AAC" w:rsidRPr="00D45544" w:rsidRDefault="00F92AAC" w:rsidP="00D45544">
      <w:pPr>
        <w:pStyle w:val="EndnoteText"/>
        <w:spacing w:after="120"/>
        <w:rPr>
          <w:sz w:val="24"/>
          <w:szCs w:val="24"/>
        </w:rPr>
      </w:pPr>
      <w:r w:rsidRPr="00B213CD">
        <w:rPr>
          <w:rStyle w:val="EndnoteReference"/>
          <w:sz w:val="24"/>
          <w:szCs w:val="24"/>
        </w:rPr>
        <w:endnoteRef/>
      </w:r>
      <w:r w:rsidRPr="00D45544">
        <w:rPr>
          <w:sz w:val="24"/>
          <w:szCs w:val="24"/>
        </w:rPr>
        <w:t xml:space="preserve"> </w:t>
      </w:r>
      <w:r w:rsidRPr="00D45544">
        <w:rPr>
          <w:color w:val="0A0A0A"/>
          <w:sz w:val="24"/>
          <w:szCs w:val="24"/>
          <w:shd w:val="clear" w:color="auto" w:fill="FFFFFF"/>
        </w:rPr>
        <w:t xml:space="preserve">Klein E, Smith DL, Laxminarayan R. </w:t>
      </w:r>
      <w:r>
        <w:rPr>
          <w:color w:val="0A0A0A"/>
          <w:sz w:val="24"/>
          <w:szCs w:val="24"/>
          <w:shd w:val="clear" w:color="auto" w:fill="FFFFFF"/>
        </w:rPr>
        <w:t xml:space="preserve">(2007). </w:t>
      </w:r>
      <w:r w:rsidRPr="00D45544">
        <w:rPr>
          <w:color w:val="0A0A0A"/>
          <w:sz w:val="24"/>
          <w:szCs w:val="24"/>
          <w:shd w:val="clear" w:color="auto" w:fill="FFFFFF"/>
        </w:rPr>
        <w:t>Hospitalizations and Deaths Caused by Methicillin-Resistant Staphylococcus aureus, United States, 1999–2005. </w:t>
      </w:r>
      <w:r w:rsidRPr="00D45544">
        <w:rPr>
          <w:i/>
          <w:iCs/>
          <w:color w:val="0A0A0A"/>
          <w:sz w:val="24"/>
          <w:szCs w:val="24"/>
          <w:shd w:val="clear" w:color="auto" w:fill="FFFFFF"/>
        </w:rPr>
        <w:t>Emerging Infectious Diseases</w:t>
      </w:r>
      <w:r>
        <w:rPr>
          <w:color w:val="0A0A0A"/>
          <w:sz w:val="24"/>
          <w:szCs w:val="24"/>
          <w:shd w:val="clear" w:color="auto" w:fill="FFFFFF"/>
        </w:rPr>
        <w:t xml:space="preserve">, </w:t>
      </w:r>
      <w:r w:rsidRPr="00D45544">
        <w:rPr>
          <w:color w:val="0A0A0A"/>
          <w:sz w:val="24"/>
          <w:szCs w:val="24"/>
          <w:shd w:val="clear" w:color="auto" w:fill="FFFFFF"/>
        </w:rPr>
        <w:t>13(12):1840-1846. doi:10.3201/eid1312.070629.</w:t>
      </w:r>
    </w:p>
  </w:endnote>
  <w:endnote w:id="4">
    <w:p w14:paraId="360EFA0E" w14:textId="73CF47F0" w:rsidR="00F92AAC" w:rsidRDefault="00F92AAC">
      <w:pPr>
        <w:pStyle w:val="EndnoteText"/>
      </w:pPr>
      <w:r w:rsidRPr="00D45544">
        <w:rPr>
          <w:rStyle w:val="EndnoteReference"/>
        </w:rPr>
        <w:endnoteRef/>
      </w:r>
      <w:r w:rsidRPr="00D45544">
        <w:t xml:space="preserve"> </w:t>
      </w:r>
      <w:r>
        <w:rPr>
          <w:sz w:val="24"/>
          <w:szCs w:val="24"/>
        </w:rPr>
        <w:t>Klevens R</w:t>
      </w:r>
      <w:r w:rsidRPr="00D45544">
        <w:rPr>
          <w:sz w:val="24"/>
          <w:szCs w:val="24"/>
        </w:rPr>
        <w:t>M, Morrison</w:t>
      </w:r>
      <w:r>
        <w:rPr>
          <w:sz w:val="24"/>
          <w:szCs w:val="24"/>
        </w:rPr>
        <w:t xml:space="preserve"> MA</w:t>
      </w:r>
      <w:r w:rsidRPr="00B213CD">
        <w:rPr>
          <w:sz w:val="24"/>
          <w:szCs w:val="24"/>
        </w:rPr>
        <w:t>,</w:t>
      </w:r>
      <w:r>
        <w:rPr>
          <w:sz w:val="24"/>
          <w:szCs w:val="24"/>
        </w:rPr>
        <w:t xml:space="preserve"> Nadle J,</w:t>
      </w:r>
      <w:r w:rsidRPr="00D45544">
        <w:rPr>
          <w:sz w:val="24"/>
          <w:szCs w:val="24"/>
        </w:rPr>
        <w:t xml:space="preserve"> et al. (2007)</w:t>
      </w:r>
      <w:r>
        <w:rPr>
          <w:sz w:val="24"/>
          <w:szCs w:val="24"/>
        </w:rPr>
        <w:t>.</w:t>
      </w:r>
      <w:r w:rsidRPr="00D45544">
        <w:rPr>
          <w:sz w:val="24"/>
          <w:szCs w:val="24"/>
        </w:rPr>
        <w:t xml:space="preserve"> Invasive methicillin-resistant Staphylooccus aureus infections in the United States. </w:t>
      </w:r>
      <w:r w:rsidRPr="00D45544">
        <w:rPr>
          <w:i/>
          <w:sz w:val="24"/>
          <w:szCs w:val="24"/>
        </w:rPr>
        <w:t>Journal of the American Medical Association</w:t>
      </w:r>
      <w:r>
        <w:rPr>
          <w:i/>
          <w:sz w:val="24"/>
          <w:szCs w:val="24"/>
        </w:rPr>
        <w:t>,</w:t>
      </w:r>
      <w:r w:rsidRPr="00D45544">
        <w:rPr>
          <w:sz w:val="24"/>
          <w:szCs w:val="24"/>
        </w:rPr>
        <w:t xml:space="preserve"> 298(15): 1763-1771</w:t>
      </w:r>
      <w:r>
        <w:rPr>
          <w:sz w:val="24"/>
          <w:szCs w:val="24"/>
        </w:rPr>
        <w:t xml:space="preserve">. </w:t>
      </w:r>
      <w:r w:rsidRPr="00D45544">
        <w:rPr>
          <w:sz w:val="24"/>
          <w:szCs w:val="24"/>
        </w:rPr>
        <w:t>doi: 10.1001/jama.298.15.1763.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973FD" w14:textId="77777777" w:rsidR="00F92AAC" w:rsidRDefault="00F92AA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138069" w14:textId="77777777" w:rsidR="00F92AAC" w:rsidRDefault="00F92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728B7" w14:textId="76A662EC" w:rsidR="00F92AAC" w:rsidRDefault="00F92AA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082">
      <w:rPr>
        <w:rStyle w:val="PageNumber"/>
        <w:noProof/>
      </w:rPr>
      <w:t>20</w:t>
    </w:r>
    <w:r>
      <w:rPr>
        <w:rStyle w:val="PageNumber"/>
      </w:rPr>
      <w:fldChar w:fldCharType="end"/>
    </w:r>
  </w:p>
  <w:p w14:paraId="7811B55E" w14:textId="77777777" w:rsidR="00F92AAC" w:rsidRDefault="00F9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2781" w14:textId="77777777" w:rsidR="00F92AAC" w:rsidRDefault="00F92AAC">
      <w:r>
        <w:separator/>
      </w:r>
    </w:p>
  </w:footnote>
  <w:footnote w:type="continuationSeparator" w:id="0">
    <w:p w14:paraId="62B4DCC1" w14:textId="77777777" w:rsidR="00F92AAC" w:rsidRDefault="00F92AAC">
      <w:r>
        <w:continuationSeparator/>
      </w:r>
    </w:p>
  </w:footnote>
  <w:footnote w:type="continuationNotice" w:id="1">
    <w:p w14:paraId="5AD72378" w14:textId="77777777" w:rsidR="00F92AAC" w:rsidRDefault="00F92A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3FA4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65883B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2" w15:restartNumberingAfterBreak="0">
    <w:nsid w:val="002776B9"/>
    <w:multiLevelType w:val="hybridMultilevel"/>
    <w:tmpl w:val="F636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35FD0"/>
    <w:multiLevelType w:val="hybridMultilevel"/>
    <w:tmpl w:val="1B362E5C"/>
    <w:lvl w:ilvl="0" w:tplc="2A34517A">
      <w:start w:val="1"/>
      <w:numFmt w:val="decimal"/>
      <w:lvlText w:val="%1)"/>
      <w:lvlJc w:val="left"/>
      <w:pPr>
        <w:ind w:left="462" w:hanging="10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A7CFE"/>
    <w:multiLevelType w:val="hybridMultilevel"/>
    <w:tmpl w:val="DC4C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775D3"/>
    <w:multiLevelType w:val="hybridMultilevel"/>
    <w:tmpl w:val="FC421B8C"/>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6" w15:restartNumberingAfterBreak="0">
    <w:nsid w:val="05820619"/>
    <w:multiLevelType w:val="hybridMultilevel"/>
    <w:tmpl w:val="143ECE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D6D6A"/>
    <w:multiLevelType w:val="hybridMultilevel"/>
    <w:tmpl w:val="9312C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C7048"/>
    <w:multiLevelType w:val="hybridMultilevel"/>
    <w:tmpl w:val="5D365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7632F6"/>
    <w:multiLevelType w:val="hybridMultilevel"/>
    <w:tmpl w:val="A6B05B60"/>
    <w:lvl w:ilvl="0" w:tplc="04090019">
      <w:start w:val="1"/>
      <w:numFmt w:val="lowerLetter"/>
      <w:lvlText w:val="%1."/>
      <w:lvlJc w:val="left"/>
      <w:pPr>
        <w:ind w:left="-216" w:hanging="360"/>
      </w:p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1" w15:restartNumberingAfterBreak="0">
    <w:nsid w:val="12D41008"/>
    <w:multiLevelType w:val="hybridMultilevel"/>
    <w:tmpl w:val="8C589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C941D2"/>
    <w:multiLevelType w:val="hybridMultilevel"/>
    <w:tmpl w:val="9B349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475BF"/>
    <w:multiLevelType w:val="hybridMultilevel"/>
    <w:tmpl w:val="DAC2D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10DFA"/>
    <w:multiLevelType w:val="hybridMultilevel"/>
    <w:tmpl w:val="D340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41DFC"/>
    <w:multiLevelType w:val="hybridMultilevel"/>
    <w:tmpl w:val="E996ACC2"/>
    <w:lvl w:ilvl="0" w:tplc="04090005">
      <w:start w:val="1"/>
      <w:numFmt w:val="bullet"/>
      <w:lvlText w:val=""/>
      <w:lvlJc w:val="left"/>
      <w:pPr>
        <w:ind w:left="504" w:hanging="360"/>
      </w:pPr>
      <w:rPr>
        <w:rFonts w:ascii="Wingdings" w:hAnsi="Wingdings"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26000BEF"/>
    <w:multiLevelType w:val="hybridMultilevel"/>
    <w:tmpl w:val="DAEC0BF0"/>
    <w:lvl w:ilvl="0" w:tplc="04090001">
      <w:start w:val="1"/>
      <w:numFmt w:val="bullet"/>
      <w:lvlText w:val=""/>
      <w:lvlJc w:val="left"/>
      <w:pPr>
        <w:ind w:left="541" w:hanging="360"/>
      </w:pPr>
      <w:rPr>
        <w:rFonts w:ascii="Symbol" w:hAnsi="Symbo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17" w15:restartNumberingAfterBreak="0">
    <w:nsid w:val="29863E75"/>
    <w:multiLevelType w:val="hybridMultilevel"/>
    <w:tmpl w:val="23B6478C"/>
    <w:lvl w:ilvl="0" w:tplc="752EE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963E8"/>
    <w:multiLevelType w:val="hybridMultilevel"/>
    <w:tmpl w:val="21CE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66C2E"/>
    <w:multiLevelType w:val="hybridMultilevel"/>
    <w:tmpl w:val="E9343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0B4A36"/>
    <w:multiLevelType w:val="hybridMultilevel"/>
    <w:tmpl w:val="77AA2D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B3C0E"/>
    <w:multiLevelType w:val="hybridMultilevel"/>
    <w:tmpl w:val="5D365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584802"/>
    <w:multiLevelType w:val="hybridMultilevel"/>
    <w:tmpl w:val="A6B05B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26627D4"/>
    <w:multiLevelType w:val="hybridMultilevel"/>
    <w:tmpl w:val="D06A1A0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661FCC"/>
    <w:multiLevelType w:val="hybridMultilevel"/>
    <w:tmpl w:val="395AB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421F6"/>
    <w:multiLevelType w:val="hybridMultilevel"/>
    <w:tmpl w:val="17AE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76885"/>
    <w:multiLevelType w:val="hybridMultilevel"/>
    <w:tmpl w:val="853487D6"/>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771A72"/>
    <w:multiLevelType w:val="hybridMultilevel"/>
    <w:tmpl w:val="1FC08A76"/>
    <w:lvl w:ilvl="0" w:tplc="04090005">
      <w:start w:val="1"/>
      <w:numFmt w:val="bullet"/>
      <w:lvlText w:val=""/>
      <w:lvlJc w:val="left"/>
      <w:pPr>
        <w:ind w:left="216" w:hanging="216"/>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786D8B"/>
    <w:multiLevelType w:val="hybridMultilevel"/>
    <w:tmpl w:val="5FE43456"/>
    <w:lvl w:ilvl="0" w:tplc="BFE0A1F4">
      <w:start w:val="1"/>
      <w:numFmt w:val="decimal"/>
      <w:lvlText w:val="%1)"/>
      <w:lvlJc w:val="left"/>
      <w:pPr>
        <w:ind w:left="462" w:hanging="102"/>
      </w:pPr>
      <w:rPr>
        <w:rFonts w:hint="default"/>
      </w:rPr>
    </w:lvl>
    <w:lvl w:ilvl="1" w:tplc="7AEE5F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F467D"/>
    <w:multiLevelType w:val="hybridMultilevel"/>
    <w:tmpl w:val="EF845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9D490D"/>
    <w:multiLevelType w:val="hybridMultilevel"/>
    <w:tmpl w:val="F008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677AFC"/>
    <w:multiLevelType w:val="hybridMultilevel"/>
    <w:tmpl w:val="C9DC7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5511F0"/>
    <w:multiLevelType w:val="hybridMultilevel"/>
    <w:tmpl w:val="A6B05B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A97368"/>
    <w:multiLevelType w:val="hybridMultilevel"/>
    <w:tmpl w:val="A6662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1F5EE1"/>
    <w:multiLevelType w:val="hybridMultilevel"/>
    <w:tmpl w:val="3CD2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B1B14"/>
    <w:multiLevelType w:val="hybridMultilevel"/>
    <w:tmpl w:val="7C56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132377"/>
    <w:multiLevelType w:val="hybridMultilevel"/>
    <w:tmpl w:val="862226C0"/>
    <w:lvl w:ilvl="0" w:tplc="EA30D0DA">
      <w:start w:val="1"/>
      <w:numFmt w:val="bullet"/>
      <w:pStyle w:val="NORCTableBullet110ptNarrow"/>
      <w:lvlText w:val="■"/>
      <w:lvlJc w:val="left"/>
      <w:pPr>
        <w:ind w:left="360" w:hanging="360"/>
      </w:pPr>
      <w:rPr>
        <w:rFonts w:ascii="Arial" w:hAnsi="Arial" w:hint="default"/>
        <w:color w:val="auto"/>
        <w:position w:val="2"/>
        <w:sz w:val="15"/>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3" w15:restartNumberingAfterBreak="0">
    <w:nsid w:val="5B8132EC"/>
    <w:multiLevelType w:val="hybridMultilevel"/>
    <w:tmpl w:val="7A38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AD16D9"/>
    <w:multiLevelType w:val="hybridMultilevel"/>
    <w:tmpl w:val="8898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6E1553"/>
    <w:multiLevelType w:val="hybridMultilevel"/>
    <w:tmpl w:val="7096B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007830"/>
    <w:multiLevelType w:val="hybridMultilevel"/>
    <w:tmpl w:val="44805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1F1299E"/>
    <w:multiLevelType w:val="hybridMultilevel"/>
    <w:tmpl w:val="A92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3E3C4B"/>
    <w:multiLevelType w:val="hybridMultilevel"/>
    <w:tmpl w:val="A65C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06650"/>
    <w:multiLevelType w:val="hybridMultilevel"/>
    <w:tmpl w:val="054EF1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9F0675E"/>
    <w:multiLevelType w:val="hybridMultilevel"/>
    <w:tmpl w:val="AE4AE49A"/>
    <w:lvl w:ilvl="0" w:tplc="2A34517A">
      <w:start w:val="1"/>
      <w:numFmt w:val="decimal"/>
      <w:lvlText w:val="%1)"/>
      <w:lvlJc w:val="left"/>
      <w:pPr>
        <w:ind w:left="462" w:hanging="102"/>
      </w:pPr>
      <w:rPr>
        <w:rFonts w:hint="default"/>
      </w:rPr>
    </w:lvl>
    <w:lvl w:ilvl="1" w:tplc="7AEE5F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C26199"/>
    <w:multiLevelType w:val="hybridMultilevel"/>
    <w:tmpl w:val="DA44DD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3" w15:restartNumberingAfterBreak="0">
    <w:nsid w:val="78122FCF"/>
    <w:multiLevelType w:val="hybridMultilevel"/>
    <w:tmpl w:val="371A6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06C05"/>
    <w:multiLevelType w:val="hybridMultilevel"/>
    <w:tmpl w:val="5D6C7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55"/>
  </w:num>
  <w:num w:numId="2">
    <w:abstractNumId w:val="42"/>
  </w:num>
  <w:num w:numId="3">
    <w:abstractNumId w:val="31"/>
  </w:num>
  <w:num w:numId="4">
    <w:abstractNumId w:val="40"/>
  </w:num>
  <w:num w:numId="5">
    <w:abstractNumId w:val="44"/>
  </w:num>
  <w:num w:numId="6">
    <w:abstractNumId w:val="20"/>
  </w:num>
  <w:num w:numId="7">
    <w:abstractNumId w:val="7"/>
  </w:num>
  <w:num w:numId="8">
    <w:abstractNumId w:val="37"/>
  </w:num>
  <w:num w:numId="9">
    <w:abstractNumId w:val="34"/>
  </w:num>
  <w:num w:numId="10">
    <w:abstractNumId w:val="4"/>
  </w:num>
  <w:num w:numId="11">
    <w:abstractNumId w:val="21"/>
  </w:num>
  <w:num w:numId="12">
    <w:abstractNumId w:val="9"/>
  </w:num>
  <w:num w:numId="13">
    <w:abstractNumId w:val="50"/>
  </w:num>
  <w:num w:numId="14">
    <w:abstractNumId w:val="43"/>
  </w:num>
  <w:num w:numId="15">
    <w:abstractNumId w:val="45"/>
  </w:num>
  <w:num w:numId="16">
    <w:abstractNumId w:val="17"/>
  </w:num>
  <w:num w:numId="17">
    <w:abstractNumId w:val="38"/>
  </w:num>
  <w:num w:numId="18">
    <w:abstractNumId w:val="24"/>
  </w:num>
  <w:num w:numId="19">
    <w:abstractNumId w:val="53"/>
  </w:num>
  <w:num w:numId="20">
    <w:abstractNumId w:val="8"/>
  </w:num>
  <w:num w:numId="21">
    <w:abstractNumId w:val="30"/>
  </w:num>
  <w:num w:numId="22">
    <w:abstractNumId w:val="10"/>
  </w:num>
  <w:num w:numId="23">
    <w:abstractNumId w:val="22"/>
  </w:num>
  <w:num w:numId="24">
    <w:abstractNumId w:val="23"/>
  </w:num>
  <w:num w:numId="25">
    <w:abstractNumId w:val="0"/>
  </w:num>
  <w:num w:numId="26">
    <w:abstractNumId w:val="35"/>
  </w:num>
  <w:num w:numId="27">
    <w:abstractNumId w:val="18"/>
  </w:num>
  <w:num w:numId="28">
    <w:abstractNumId w:val="13"/>
  </w:num>
  <w:num w:numId="29">
    <w:abstractNumId w:val="26"/>
  </w:num>
  <w:num w:numId="30">
    <w:abstractNumId w:val="1"/>
  </w:num>
  <w:num w:numId="31">
    <w:abstractNumId w:val="2"/>
  </w:num>
  <w:num w:numId="32">
    <w:abstractNumId w:val="12"/>
  </w:num>
  <w:num w:numId="33">
    <w:abstractNumId w:val="3"/>
  </w:num>
  <w:num w:numId="34">
    <w:abstractNumId w:val="51"/>
  </w:num>
  <w:num w:numId="35">
    <w:abstractNumId w:val="25"/>
  </w:num>
  <w:num w:numId="36">
    <w:abstractNumId w:val="6"/>
  </w:num>
  <w:num w:numId="37">
    <w:abstractNumId w:val="27"/>
  </w:num>
  <w:num w:numId="38">
    <w:abstractNumId w:val="49"/>
  </w:num>
  <w:num w:numId="39">
    <w:abstractNumId w:val="14"/>
  </w:num>
  <w:num w:numId="40">
    <w:abstractNumId w:val="28"/>
  </w:num>
  <w:num w:numId="41">
    <w:abstractNumId w:val="41"/>
  </w:num>
  <w:num w:numId="42">
    <w:abstractNumId w:val="46"/>
  </w:num>
  <w:num w:numId="43">
    <w:abstractNumId w:val="16"/>
  </w:num>
  <w:num w:numId="44">
    <w:abstractNumId w:val="47"/>
  </w:num>
  <w:num w:numId="45">
    <w:abstractNumId w:val="39"/>
  </w:num>
  <w:num w:numId="46">
    <w:abstractNumId w:val="36"/>
  </w:num>
  <w:num w:numId="47">
    <w:abstractNumId w:val="29"/>
  </w:num>
  <w:num w:numId="48">
    <w:abstractNumId w:val="52"/>
  </w:num>
  <w:num w:numId="49">
    <w:abstractNumId w:val="15"/>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32"/>
  </w:num>
  <w:num w:numId="53">
    <w:abstractNumId w:val="33"/>
  </w:num>
  <w:num w:numId="54">
    <w:abstractNumId w:val="48"/>
  </w:num>
  <w:num w:numId="55">
    <w:abstractNumId w:val="11"/>
  </w:num>
  <w:num w:numId="56">
    <w:abstractNumId w:val="19"/>
  </w:num>
  <w:num w:numId="5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jI0MzC0MDOwMDJW0lEKTi0uzszPAykwqQUAQHDn2SwAAAA="/>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18B3"/>
    <w:rsid w:val="00002C07"/>
    <w:rsid w:val="000031F7"/>
    <w:rsid w:val="00005358"/>
    <w:rsid w:val="00006A31"/>
    <w:rsid w:val="00006AB1"/>
    <w:rsid w:val="00007589"/>
    <w:rsid w:val="00011E85"/>
    <w:rsid w:val="00012921"/>
    <w:rsid w:val="00012FB9"/>
    <w:rsid w:val="000136F2"/>
    <w:rsid w:val="00014CA8"/>
    <w:rsid w:val="00014E7C"/>
    <w:rsid w:val="00015AAF"/>
    <w:rsid w:val="00016177"/>
    <w:rsid w:val="00016560"/>
    <w:rsid w:val="00016C5F"/>
    <w:rsid w:val="00017031"/>
    <w:rsid w:val="0002055E"/>
    <w:rsid w:val="0002259B"/>
    <w:rsid w:val="00024FEE"/>
    <w:rsid w:val="000279A6"/>
    <w:rsid w:val="00033301"/>
    <w:rsid w:val="000334DE"/>
    <w:rsid w:val="00037998"/>
    <w:rsid w:val="00041790"/>
    <w:rsid w:val="00041C74"/>
    <w:rsid w:val="00043473"/>
    <w:rsid w:val="0004369E"/>
    <w:rsid w:val="00045959"/>
    <w:rsid w:val="000460AA"/>
    <w:rsid w:val="00046359"/>
    <w:rsid w:val="00046F6E"/>
    <w:rsid w:val="00054B6B"/>
    <w:rsid w:val="00054D88"/>
    <w:rsid w:val="00056481"/>
    <w:rsid w:val="0006207D"/>
    <w:rsid w:val="000628B2"/>
    <w:rsid w:val="00063D73"/>
    <w:rsid w:val="000641B3"/>
    <w:rsid w:val="0006612E"/>
    <w:rsid w:val="00066706"/>
    <w:rsid w:val="00070F7A"/>
    <w:rsid w:val="00071306"/>
    <w:rsid w:val="000722CE"/>
    <w:rsid w:val="00073394"/>
    <w:rsid w:val="00074B31"/>
    <w:rsid w:val="00075D51"/>
    <w:rsid w:val="000769F7"/>
    <w:rsid w:val="000775B2"/>
    <w:rsid w:val="000779A9"/>
    <w:rsid w:val="0008122B"/>
    <w:rsid w:val="00082047"/>
    <w:rsid w:val="000820B4"/>
    <w:rsid w:val="000821C0"/>
    <w:rsid w:val="0008378E"/>
    <w:rsid w:val="000840CC"/>
    <w:rsid w:val="000843DB"/>
    <w:rsid w:val="00086BEF"/>
    <w:rsid w:val="00092734"/>
    <w:rsid w:val="00094648"/>
    <w:rsid w:val="000958CB"/>
    <w:rsid w:val="000A016A"/>
    <w:rsid w:val="000A0B83"/>
    <w:rsid w:val="000A140E"/>
    <w:rsid w:val="000A1A2D"/>
    <w:rsid w:val="000A3475"/>
    <w:rsid w:val="000A4FAE"/>
    <w:rsid w:val="000A598A"/>
    <w:rsid w:val="000B2A51"/>
    <w:rsid w:val="000B56B4"/>
    <w:rsid w:val="000B6667"/>
    <w:rsid w:val="000B78CB"/>
    <w:rsid w:val="000C1845"/>
    <w:rsid w:val="000C2841"/>
    <w:rsid w:val="000C2BA8"/>
    <w:rsid w:val="000C490F"/>
    <w:rsid w:val="000C6243"/>
    <w:rsid w:val="000C78A7"/>
    <w:rsid w:val="000D429E"/>
    <w:rsid w:val="000D602A"/>
    <w:rsid w:val="000E01D1"/>
    <w:rsid w:val="000E0C7E"/>
    <w:rsid w:val="000E1115"/>
    <w:rsid w:val="000E3FB7"/>
    <w:rsid w:val="000E4300"/>
    <w:rsid w:val="000E5D3A"/>
    <w:rsid w:val="000E65BF"/>
    <w:rsid w:val="000E6855"/>
    <w:rsid w:val="000E7AA5"/>
    <w:rsid w:val="000F0BCD"/>
    <w:rsid w:val="000F1328"/>
    <w:rsid w:val="000F21EA"/>
    <w:rsid w:val="000F265A"/>
    <w:rsid w:val="000F2AE2"/>
    <w:rsid w:val="000F2B59"/>
    <w:rsid w:val="001012C5"/>
    <w:rsid w:val="00104F3E"/>
    <w:rsid w:val="001054BE"/>
    <w:rsid w:val="00105AA9"/>
    <w:rsid w:val="00110316"/>
    <w:rsid w:val="001111D6"/>
    <w:rsid w:val="00112DBD"/>
    <w:rsid w:val="00112DF2"/>
    <w:rsid w:val="001165FC"/>
    <w:rsid w:val="00120A0C"/>
    <w:rsid w:val="00123A53"/>
    <w:rsid w:val="00124917"/>
    <w:rsid w:val="00125566"/>
    <w:rsid w:val="001269DB"/>
    <w:rsid w:val="00127339"/>
    <w:rsid w:val="001301AA"/>
    <w:rsid w:val="00131443"/>
    <w:rsid w:val="001333F9"/>
    <w:rsid w:val="00134698"/>
    <w:rsid w:val="00135E3C"/>
    <w:rsid w:val="00135FDC"/>
    <w:rsid w:val="00136013"/>
    <w:rsid w:val="001407EE"/>
    <w:rsid w:val="0014301C"/>
    <w:rsid w:val="00143AA5"/>
    <w:rsid w:val="00143F8A"/>
    <w:rsid w:val="0014563E"/>
    <w:rsid w:val="001508D3"/>
    <w:rsid w:val="00150F84"/>
    <w:rsid w:val="0015271F"/>
    <w:rsid w:val="0015337D"/>
    <w:rsid w:val="00155B1D"/>
    <w:rsid w:val="00157013"/>
    <w:rsid w:val="00157032"/>
    <w:rsid w:val="00162728"/>
    <w:rsid w:val="00163FBA"/>
    <w:rsid w:val="00165DE6"/>
    <w:rsid w:val="00166A69"/>
    <w:rsid w:val="00167679"/>
    <w:rsid w:val="00167AFB"/>
    <w:rsid w:val="001711B5"/>
    <w:rsid w:val="0017238B"/>
    <w:rsid w:val="001756C7"/>
    <w:rsid w:val="0018096A"/>
    <w:rsid w:val="00181461"/>
    <w:rsid w:val="00183E6D"/>
    <w:rsid w:val="001868E0"/>
    <w:rsid w:val="00187A50"/>
    <w:rsid w:val="00187B55"/>
    <w:rsid w:val="00187D1D"/>
    <w:rsid w:val="001902F2"/>
    <w:rsid w:val="00190666"/>
    <w:rsid w:val="001909CD"/>
    <w:rsid w:val="001916C6"/>
    <w:rsid w:val="001924E8"/>
    <w:rsid w:val="0019300D"/>
    <w:rsid w:val="00193F47"/>
    <w:rsid w:val="00193F6A"/>
    <w:rsid w:val="00197272"/>
    <w:rsid w:val="001A07AF"/>
    <w:rsid w:val="001A0DA8"/>
    <w:rsid w:val="001A1088"/>
    <w:rsid w:val="001A2275"/>
    <w:rsid w:val="001A28C0"/>
    <w:rsid w:val="001A4E02"/>
    <w:rsid w:val="001A5102"/>
    <w:rsid w:val="001A535B"/>
    <w:rsid w:val="001A6787"/>
    <w:rsid w:val="001B06A3"/>
    <w:rsid w:val="001B06EA"/>
    <w:rsid w:val="001B1C61"/>
    <w:rsid w:val="001B1EC4"/>
    <w:rsid w:val="001B1F1E"/>
    <w:rsid w:val="001B3427"/>
    <w:rsid w:val="001B3498"/>
    <w:rsid w:val="001B4488"/>
    <w:rsid w:val="001B5923"/>
    <w:rsid w:val="001C06AD"/>
    <w:rsid w:val="001C1E5C"/>
    <w:rsid w:val="001C1EA2"/>
    <w:rsid w:val="001C297D"/>
    <w:rsid w:val="001C2B9E"/>
    <w:rsid w:val="001C4721"/>
    <w:rsid w:val="001C59E4"/>
    <w:rsid w:val="001C6800"/>
    <w:rsid w:val="001C6D02"/>
    <w:rsid w:val="001C768B"/>
    <w:rsid w:val="001D006B"/>
    <w:rsid w:val="001D3E3E"/>
    <w:rsid w:val="001D43AA"/>
    <w:rsid w:val="001D56BD"/>
    <w:rsid w:val="001E2158"/>
    <w:rsid w:val="001E30DF"/>
    <w:rsid w:val="001E3514"/>
    <w:rsid w:val="001E63C6"/>
    <w:rsid w:val="001E7116"/>
    <w:rsid w:val="001E747B"/>
    <w:rsid w:val="001E7A68"/>
    <w:rsid w:val="001F2717"/>
    <w:rsid w:val="001F39EF"/>
    <w:rsid w:val="001F3D06"/>
    <w:rsid w:val="001F5698"/>
    <w:rsid w:val="0020064B"/>
    <w:rsid w:val="00200A74"/>
    <w:rsid w:val="00200DE1"/>
    <w:rsid w:val="002038C0"/>
    <w:rsid w:val="0020742D"/>
    <w:rsid w:val="0021145A"/>
    <w:rsid w:val="00211E70"/>
    <w:rsid w:val="002129FB"/>
    <w:rsid w:val="00212B47"/>
    <w:rsid w:val="00213AB1"/>
    <w:rsid w:val="00214DD5"/>
    <w:rsid w:val="00215B82"/>
    <w:rsid w:val="0021671A"/>
    <w:rsid w:val="00216F0C"/>
    <w:rsid w:val="00221090"/>
    <w:rsid w:val="002213D6"/>
    <w:rsid w:val="00222CB1"/>
    <w:rsid w:val="0022366A"/>
    <w:rsid w:val="00223E88"/>
    <w:rsid w:val="002270E2"/>
    <w:rsid w:val="002306A1"/>
    <w:rsid w:val="0023294F"/>
    <w:rsid w:val="00233775"/>
    <w:rsid w:val="002351C6"/>
    <w:rsid w:val="00235BA3"/>
    <w:rsid w:val="002403AE"/>
    <w:rsid w:val="00241AF2"/>
    <w:rsid w:val="00246DF3"/>
    <w:rsid w:val="00247059"/>
    <w:rsid w:val="00247147"/>
    <w:rsid w:val="002501A1"/>
    <w:rsid w:val="00250747"/>
    <w:rsid w:val="00250BA1"/>
    <w:rsid w:val="002520F0"/>
    <w:rsid w:val="0025541F"/>
    <w:rsid w:val="00260129"/>
    <w:rsid w:val="002633DD"/>
    <w:rsid w:val="0026424E"/>
    <w:rsid w:val="00264B80"/>
    <w:rsid w:val="00265B6B"/>
    <w:rsid w:val="002660C6"/>
    <w:rsid w:val="002665A1"/>
    <w:rsid w:val="002673DF"/>
    <w:rsid w:val="0027083C"/>
    <w:rsid w:val="0027090B"/>
    <w:rsid w:val="00271841"/>
    <w:rsid w:val="00272E29"/>
    <w:rsid w:val="002747C8"/>
    <w:rsid w:val="00274D78"/>
    <w:rsid w:val="00277B41"/>
    <w:rsid w:val="002821F0"/>
    <w:rsid w:val="00284694"/>
    <w:rsid w:val="00284735"/>
    <w:rsid w:val="00285724"/>
    <w:rsid w:val="00285E4A"/>
    <w:rsid w:val="00287B69"/>
    <w:rsid w:val="00287CB3"/>
    <w:rsid w:val="00291B73"/>
    <w:rsid w:val="00292203"/>
    <w:rsid w:val="00294AE7"/>
    <w:rsid w:val="00296109"/>
    <w:rsid w:val="00296DC0"/>
    <w:rsid w:val="0029734C"/>
    <w:rsid w:val="002A085A"/>
    <w:rsid w:val="002A163A"/>
    <w:rsid w:val="002A3F6F"/>
    <w:rsid w:val="002A477E"/>
    <w:rsid w:val="002B0792"/>
    <w:rsid w:val="002B382B"/>
    <w:rsid w:val="002B5FBA"/>
    <w:rsid w:val="002B7635"/>
    <w:rsid w:val="002B76EA"/>
    <w:rsid w:val="002B79F3"/>
    <w:rsid w:val="002C3CCA"/>
    <w:rsid w:val="002C459A"/>
    <w:rsid w:val="002C470E"/>
    <w:rsid w:val="002C5639"/>
    <w:rsid w:val="002C5AFD"/>
    <w:rsid w:val="002C62C5"/>
    <w:rsid w:val="002C64A9"/>
    <w:rsid w:val="002C652E"/>
    <w:rsid w:val="002D130F"/>
    <w:rsid w:val="002D364E"/>
    <w:rsid w:val="002D3E2D"/>
    <w:rsid w:val="002D3FA8"/>
    <w:rsid w:val="002D4585"/>
    <w:rsid w:val="002D4F3E"/>
    <w:rsid w:val="002D7A36"/>
    <w:rsid w:val="002D7F74"/>
    <w:rsid w:val="002E07CA"/>
    <w:rsid w:val="002E4C6A"/>
    <w:rsid w:val="002E54EF"/>
    <w:rsid w:val="002E7A38"/>
    <w:rsid w:val="002F285E"/>
    <w:rsid w:val="002F2F6F"/>
    <w:rsid w:val="002F3374"/>
    <w:rsid w:val="002F4DE8"/>
    <w:rsid w:val="002F50B0"/>
    <w:rsid w:val="0030208C"/>
    <w:rsid w:val="00302210"/>
    <w:rsid w:val="003032EF"/>
    <w:rsid w:val="00304183"/>
    <w:rsid w:val="0030510E"/>
    <w:rsid w:val="00306C56"/>
    <w:rsid w:val="00307733"/>
    <w:rsid w:val="003111B1"/>
    <w:rsid w:val="003137A2"/>
    <w:rsid w:val="003164D8"/>
    <w:rsid w:val="00316A30"/>
    <w:rsid w:val="00316B9E"/>
    <w:rsid w:val="00321591"/>
    <w:rsid w:val="00321A46"/>
    <w:rsid w:val="00322589"/>
    <w:rsid w:val="00325B9C"/>
    <w:rsid w:val="00325C1C"/>
    <w:rsid w:val="0032637E"/>
    <w:rsid w:val="003270FA"/>
    <w:rsid w:val="0033009D"/>
    <w:rsid w:val="00330F72"/>
    <w:rsid w:val="003318DC"/>
    <w:rsid w:val="003332DE"/>
    <w:rsid w:val="0033389C"/>
    <w:rsid w:val="00334D06"/>
    <w:rsid w:val="003365BF"/>
    <w:rsid w:val="00336C09"/>
    <w:rsid w:val="003374C8"/>
    <w:rsid w:val="003374E1"/>
    <w:rsid w:val="00340D97"/>
    <w:rsid w:val="003419F2"/>
    <w:rsid w:val="003420A5"/>
    <w:rsid w:val="00342739"/>
    <w:rsid w:val="0034325D"/>
    <w:rsid w:val="00343F93"/>
    <w:rsid w:val="00346774"/>
    <w:rsid w:val="00346FCE"/>
    <w:rsid w:val="00350E4E"/>
    <w:rsid w:val="00352331"/>
    <w:rsid w:val="003539C6"/>
    <w:rsid w:val="003549C2"/>
    <w:rsid w:val="003558DC"/>
    <w:rsid w:val="0036107D"/>
    <w:rsid w:val="00361F52"/>
    <w:rsid w:val="003629E7"/>
    <w:rsid w:val="00363525"/>
    <w:rsid w:val="00364187"/>
    <w:rsid w:val="00364867"/>
    <w:rsid w:val="00365B7B"/>
    <w:rsid w:val="00367362"/>
    <w:rsid w:val="003701A2"/>
    <w:rsid w:val="00370BAC"/>
    <w:rsid w:val="003722D5"/>
    <w:rsid w:val="0037254D"/>
    <w:rsid w:val="003727D8"/>
    <w:rsid w:val="0037427A"/>
    <w:rsid w:val="00376D8A"/>
    <w:rsid w:val="00377301"/>
    <w:rsid w:val="0037771B"/>
    <w:rsid w:val="00377D80"/>
    <w:rsid w:val="00381A46"/>
    <w:rsid w:val="0038217D"/>
    <w:rsid w:val="00384ED4"/>
    <w:rsid w:val="0039038A"/>
    <w:rsid w:val="003916CB"/>
    <w:rsid w:val="003932E8"/>
    <w:rsid w:val="0039406E"/>
    <w:rsid w:val="00394CA1"/>
    <w:rsid w:val="00396F9B"/>
    <w:rsid w:val="00397C91"/>
    <w:rsid w:val="003A0672"/>
    <w:rsid w:val="003A14B4"/>
    <w:rsid w:val="003A56F9"/>
    <w:rsid w:val="003A6008"/>
    <w:rsid w:val="003A606E"/>
    <w:rsid w:val="003A6468"/>
    <w:rsid w:val="003A6581"/>
    <w:rsid w:val="003A6F7E"/>
    <w:rsid w:val="003A7133"/>
    <w:rsid w:val="003B21D0"/>
    <w:rsid w:val="003B2951"/>
    <w:rsid w:val="003B418D"/>
    <w:rsid w:val="003B52FC"/>
    <w:rsid w:val="003B5859"/>
    <w:rsid w:val="003B59E8"/>
    <w:rsid w:val="003B6873"/>
    <w:rsid w:val="003B6B41"/>
    <w:rsid w:val="003C048C"/>
    <w:rsid w:val="003C4640"/>
    <w:rsid w:val="003C4C44"/>
    <w:rsid w:val="003C60BD"/>
    <w:rsid w:val="003C645D"/>
    <w:rsid w:val="003C7BDF"/>
    <w:rsid w:val="003C7E68"/>
    <w:rsid w:val="003D097C"/>
    <w:rsid w:val="003D18DC"/>
    <w:rsid w:val="003D21A7"/>
    <w:rsid w:val="003D30FC"/>
    <w:rsid w:val="003D3937"/>
    <w:rsid w:val="003D3DA6"/>
    <w:rsid w:val="003D4248"/>
    <w:rsid w:val="003D4667"/>
    <w:rsid w:val="003D68A7"/>
    <w:rsid w:val="003D69AE"/>
    <w:rsid w:val="003D69BE"/>
    <w:rsid w:val="003D6D70"/>
    <w:rsid w:val="003D73D8"/>
    <w:rsid w:val="003E041D"/>
    <w:rsid w:val="003E0D2C"/>
    <w:rsid w:val="003E22D5"/>
    <w:rsid w:val="003E2801"/>
    <w:rsid w:val="003E3794"/>
    <w:rsid w:val="003E780A"/>
    <w:rsid w:val="003E7EB7"/>
    <w:rsid w:val="003F0881"/>
    <w:rsid w:val="003F1AEB"/>
    <w:rsid w:val="003F1B49"/>
    <w:rsid w:val="003F24F7"/>
    <w:rsid w:val="003F3B2B"/>
    <w:rsid w:val="003F4C57"/>
    <w:rsid w:val="003F5921"/>
    <w:rsid w:val="003F6B2F"/>
    <w:rsid w:val="003F7744"/>
    <w:rsid w:val="003F7951"/>
    <w:rsid w:val="003F7F8C"/>
    <w:rsid w:val="004017CB"/>
    <w:rsid w:val="00402680"/>
    <w:rsid w:val="00402BC2"/>
    <w:rsid w:val="00403D73"/>
    <w:rsid w:val="00403DC9"/>
    <w:rsid w:val="004061E3"/>
    <w:rsid w:val="004066E6"/>
    <w:rsid w:val="00407FC7"/>
    <w:rsid w:val="004103E8"/>
    <w:rsid w:val="00410E8D"/>
    <w:rsid w:val="00412580"/>
    <w:rsid w:val="00412837"/>
    <w:rsid w:val="004131BC"/>
    <w:rsid w:val="00414C80"/>
    <w:rsid w:val="004155E1"/>
    <w:rsid w:val="004208DD"/>
    <w:rsid w:val="00420AEC"/>
    <w:rsid w:val="004228EB"/>
    <w:rsid w:val="004231D8"/>
    <w:rsid w:val="00423E8F"/>
    <w:rsid w:val="00424D53"/>
    <w:rsid w:val="00425974"/>
    <w:rsid w:val="00427172"/>
    <w:rsid w:val="00432FD4"/>
    <w:rsid w:val="00433240"/>
    <w:rsid w:val="0043596B"/>
    <w:rsid w:val="00436244"/>
    <w:rsid w:val="00442161"/>
    <w:rsid w:val="004421D7"/>
    <w:rsid w:val="0044220E"/>
    <w:rsid w:val="004459FD"/>
    <w:rsid w:val="004463B9"/>
    <w:rsid w:val="0044769A"/>
    <w:rsid w:val="00450538"/>
    <w:rsid w:val="00451201"/>
    <w:rsid w:val="00452268"/>
    <w:rsid w:val="00456179"/>
    <w:rsid w:val="004562D6"/>
    <w:rsid w:val="0045666F"/>
    <w:rsid w:val="00460B9F"/>
    <w:rsid w:val="004626E9"/>
    <w:rsid w:val="0046292C"/>
    <w:rsid w:val="00462DE8"/>
    <w:rsid w:val="00463AD3"/>
    <w:rsid w:val="00463CC2"/>
    <w:rsid w:val="00464B30"/>
    <w:rsid w:val="00466270"/>
    <w:rsid w:val="004670C2"/>
    <w:rsid w:val="00467163"/>
    <w:rsid w:val="00472E3A"/>
    <w:rsid w:val="00473636"/>
    <w:rsid w:val="00474D22"/>
    <w:rsid w:val="00474DF3"/>
    <w:rsid w:val="0047504D"/>
    <w:rsid w:val="00476288"/>
    <w:rsid w:val="00480523"/>
    <w:rsid w:val="004811AD"/>
    <w:rsid w:val="004811DF"/>
    <w:rsid w:val="0048272A"/>
    <w:rsid w:val="004847BF"/>
    <w:rsid w:val="0048605C"/>
    <w:rsid w:val="0048769A"/>
    <w:rsid w:val="00490A8F"/>
    <w:rsid w:val="004911A1"/>
    <w:rsid w:val="0049294E"/>
    <w:rsid w:val="00492F5F"/>
    <w:rsid w:val="004962FD"/>
    <w:rsid w:val="00497467"/>
    <w:rsid w:val="004A253F"/>
    <w:rsid w:val="004A5CF8"/>
    <w:rsid w:val="004A624D"/>
    <w:rsid w:val="004A62FC"/>
    <w:rsid w:val="004B05BE"/>
    <w:rsid w:val="004B1451"/>
    <w:rsid w:val="004B171F"/>
    <w:rsid w:val="004B2145"/>
    <w:rsid w:val="004B39ED"/>
    <w:rsid w:val="004B54CD"/>
    <w:rsid w:val="004B57E9"/>
    <w:rsid w:val="004B69DB"/>
    <w:rsid w:val="004B6DF4"/>
    <w:rsid w:val="004C1D50"/>
    <w:rsid w:val="004C1DFE"/>
    <w:rsid w:val="004C24CF"/>
    <w:rsid w:val="004C3BA7"/>
    <w:rsid w:val="004C4A74"/>
    <w:rsid w:val="004C4C52"/>
    <w:rsid w:val="004C6277"/>
    <w:rsid w:val="004D0DBD"/>
    <w:rsid w:val="004D5BC3"/>
    <w:rsid w:val="004E0232"/>
    <w:rsid w:val="004E16F6"/>
    <w:rsid w:val="004E21D6"/>
    <w:rsid w:val="004E3A1B"/>
    <w:rsid w:val="004E650A"/>
    <w:rsid w:val="004F078C"/>
    <w:rsid w:val="004F0DB6"/>
    <w:rsid w:val="004F32DB"/>
    <w:rsid w:val="004F53F8"/>
    <w:rsid w:val="00501308"/>
    <w:rsid w:val="00501370"/>
    <w:rsid w:val="00502C17"/>
    <w:rsid w:val="00502C39"/>
    <w:rsid w:val="00504583"/>
    <w:rsid w:val="00507969"/>
    <w:rsid w:val="00507A2E"/>
    <w:rsid w:val="00510909"/>
    <w:rsid w:val="00511158"/>
    <w:rsid w:val="00511490"/>
    <w:rsid w:val="0051745A"/>
    <w:rsid w:val="00520483"/>
    <w:rsid w:val="00520CE0"/>
    <w:rsid w:val="005212B6"/>
    <w:rsid w:val="00521868"/>
    <w:rsid w:val="00521965"/>
    <w:rsid w:val="00523E79"/>
    <w:rsid w:val="005244BE"/>
    <w:rsid w:val="00524536"/>
    <w:rsid w:val="00524F76"/>
    <w:rsid w:val="00525F8F"/>
    <w:rsid w:val="005266F7"/>
    <w:rsid w:val="005269BE"/>
    <w:rsid w:val="00526A1E"/>
    <w:rsid w:val="00527BBD"/>
    <w:rsid w:val="00530275"/>
    <w:rsid w:val="00531857"/>
    <w:rsid w:val="00534A24"/>
    <w:rsid w:val="00534AD2"/>
    <w:rsid w:val="005357C3"/>
    <w:rsid w:val="00535B56"/>
    <w:rsid w:val="00536273"/>
    <w:rsid w:val="0054079E"/>
    <w:rsid w:val="00541453"/>
    <w:rsid w:val="005450EA"/>
    <w:rsid w:val="00555932"/>
    <w:rsid w:val="00556066"/>
    <w:rsid w:val="00561062"/>
    <w:rsid w:val="0056238F"/>
    <w:rsid w:val="00563440"/>
    <w:rsid w:val="005642F7"/>
    <w:rsid w:val="00564D5B"/>
    <w:rsid w:val="005663A4"/>
    <w:rsid w:val="005665CD"/>
    <w:rsid w:val="00567E5B"/>
    <w:rsid w:val="00570B54"/>
    <w:rsid w:val="00572183"/>
    <w:rsid w:val="00573B58"/>
    <w:rsid w:val="005775A8"/>
    <w:rsid w:val="00580427"/>
    <w:rsid w:val="0058162F"/>
    <w:rsid w:val="00581FD2"/>
    <w:rsid w:val="00582705"/>
    <w:rsid w:val="00583BAE"/>
    <w:rsid w:val="00585A3B"/>
    <w:rsid w:val="00590844"/>
    <w:rsid w:val="00590D6F"/>
    <w:rsid w:val="0059189B"/>
    <w:rsid w:val="00591ED5"/>
    <w:rsid w:val="00592AF3"/>
    <w:rsid w:val="00593E67"/>
    <w:rsid w:val="005942D7"/>
    <w:rsid w:val="00594447"/>
    <w:rsid w:val="00594550"/>
    <w:rsid w:val="005951E8"/>
    <w:rsid w:val="005955D0"/>
    <w:rsid w:val="00595880"/>
    <w:rsid w:val="00595F37"/>
    <w:rsid w:val="005A01A4"/>
    <w:rsid w:val="005A046D"/>
    <w:rsid w:val="005A22C8"/>
    <w:rsid w:val="005A44CD"/>
    <w:rsid w:val="005A4B77"/>
    <w:rsid w:val="005A7B41"/>
    <w:rsid w:val="005B2955"/>
    <w:rsid w:val="005B3C01"/>
    <w:rsid w:val="005B62CF"/>
    <w:rsid w:val="005B6FAA"/>
    <w:rsid w:val="005B715B"/>
    <w:rsid w:val="005B7703"/>
    <w:rsid w:val="005C1681"/>
    <w:rsid w:val="005C2436"/>
    <w:rsid w:val="005C243D"/>
    <w:rsid w:val="005C3376"/>
    <w:rsid w:val="005C4F72"/>
    <w:rsid w:val="005C6823"/>
    <w:rsid w:val="005C72EC"/>
    <w:rsid w:val="005C762B"/>
    <w:rsid w:val="005D308C"/>
    <w:rsid w:val="005D411B"/>
    <w:rsid w:val="005D53F1"/>
    <w:rsid w:val="005D6D09"/>
    <w:rsid w:val="005D6EDA"/>
    <w:rsid w:val="005E01C8"/>
    <w:rsid w:val="005E0BBB"/>
    <w:rsid w:val="005E0CE8"/>
    <w:rsid w:val="005E3BFA"/>
    <w:rsid w:val="005E492D"/>
    <w:rsid w:val="005E49B8"/>
    <w:rsid w:val="005E6BBF"/>
    <w:rsid w:val="005E7AB6"/>
    <w:rsid w:val="005F1148"/>
    <w:rsid w:val="005F15E2"/>
    <w:rsid w:val="005F33E9"/>
    <w:rsid w:val="005F4B12"/>
    <w:rsid w:val="005F670C"/>
    <w:rsid w:val="005F7855"/>
    <w:rsid w:val="0060047D"/>
    <w:rsid w:val="0060056F"/>
    <w:rsid w:val="006014DB"/>
    <w:rsid w:val="00602CA5"/>
    <w:rsid w:val="0060437C"/>
    <w:rsid w:val="00604437"/>
    <w:rsid w:val="00606400"/>
    <w:rsid w:val="00612015"/>
    <w:rsid w:val="006130BA"/>
    <w:rsid w:val="00613C05"/>
    <w:rsid w:val="006160E9"/>
    <w:rsid w:val="00620B93"/>
    <w:rsid w:val="00620BF7"/>
    <w:rsid w:val="006211AD"/>
    <w:rsid w:val="00622510"/>
    <w:rsid w:val="00623E24"/>
    <w:rsid w:val="00625C1B"/>
    <w:rsid w:val="00626D1D"/>
    <w:rsid w:val="00627764"/>
    <w:rsid w:val="00627FDA"/>
    <w:rsid w:val="00631C81"/>
    <w:rsid w:val="00632867"/>
    <w:rsid w:val="00633677"/>
    <w:rsid w:val="00635119"/>
    <w:rsid w:val="00636665"/>
    <w:rsid w:val="00636A0C"/>
    <w:rsid w:val="00636BAC"/>
    <w:rsid w:val="00636EEF"/>
    <w:rsid w:val="00637C04"/>
    <w:rsid w:val="00637DC4"/>
    <w:rsid w:val="006414D8"/>
    <w:rsid w:val="006443DD"/>
    <w:rsid w:val="00644773"/>
    <w:rsid w:val="00644D53"/>
    <w:rsid w:val="00645855"/>
    <w:rsid w:val="00646624"/>
    <w:rsid w:val="00646D3A"/>
    <w:rsid w:val="0064723A"/>
    <w:rsid w:val="0065029F"/>
    <w:rsid w:val="00652EBB"/>
    <w:rsid w:val="006545C8"/>
    <w:rsid w:val="00654F33"/>
    <w:rsid w:val="0065583B"/>
    <w:rsid w:val="00655A17"/>
    <w:rsid w:val="00660689"/>
    <w:rsid w:val="006607D6"/>
    <w:rsid w:val="006614DA"/>
    <w:rsid w:val="00663573"/>
    <w:rsid w:val="00671A04"/>
    <w:rsid w:val="00672A73"/>
    <w:rsid w:val="00673146"/>
    <w:rsid w:val="00673643"/>
    <w:rsid w:val="006740C2"/>
    <w:rsid w:val="00674D05"/>
    <w:rsid w:val="00675B3A"/>
    <w:rsid w:val="006835B2"/>
    <w:rsid w:val="006842EB"/>
    <w:rsid w:val="00685148"/>
    <w:rsid w:val="006878E0"/>
    <w:rsid w:val="00690B64"/>
    <w:rsid w:val="00691569"/>
    <w:rsid w:val="0069176B"/>
    <w:rsid w:val="006919F7"/>
    <w:rsid w:val="00693086"/>
    <w:rsid w:val="006934CA"/>
    <w:rsid w:val="006937E6"/>
    <w:rsid w:val="00694C68"/>
    <w:rsid w:val="006961AA"/>
    <w:rsid w:val="006A042D"/>
    <w:rsid w:val="006A15D7"/>
    <w:rsid w:val="006A28E1"/>
    <w:rsid w:val="006A30A8"/>
    <w:rsid w:val="006A3FA4"/>
    <w:rsid w:val="006A4AAF"/>
    <w:rsid w:val="006A4D4E"/>
    <w:rsid w:val="006A5F8A"/>
    <w:rsid w:val="006B0F22"/>
    <w:rsid w:val="006B5CFA"/>
    <w:rsid w:val="006B5E51"/>
    <w:rsid w:val="006B5FCB"/>
    <w:rsid w:val="006B6657"/>
    <w:rsid w:val="006B6CA9"/>
    <w:rsid w:val="006C45D0"/>
    <w:rsid w:val="006C50B0"/>
    <w:rsid w:val="006C5DCA"/>
    <w:rsid w:val="006D0197"/>
    <w:rsid w:val="006D1BEB"/>
    <w:rsid w:val="006D1C5E"/>
    <w:rsid w:val="006D32EA"/>
    <w:rsid w:val="006D38F9"/>
    <w:rsid w:val="006D46BE"/>
    <w:rsid w:val="006D5791"/>
    <w:rsid w:val="006D77F0"/>
    <w:rsid w:val="006D7C70"/>
    <w:rsid w:val="006E0A89"/>
    <w:rsid w:val="006E181E"/>
    <w:rsid w:val="006E1FC5"/>
    <w:rsid w:val="006E38BE"/>
    <w:rsid w:val="006E43EA"/>
    <w:rsid w:val="006E5349"/>
    <w:rsid w:val="006E54BE"/>
    <w:rsid w:val="006E6894"/>
    <w:rsid w:val="006E725C"/>
    <w:rsid w:val="006F1B69"/>
    <w:rsid w:val="006F3472"/>
    <w:rsid w:val="006F78A6"/>
    <w:rsid w:val="006F7933"/>
    <w:rsid w:val="006F7F9F"/>
    <w:rsid w:val="0070072D"/>
    <w:rsid w:val="007016C0"/>
    <w:rsid w:val="00701AC2"/>
    <w:rsid w:val="00702CE9"/>
    <w:rsid w:val="00703573"/>
    <w:rsid w:val="00705C8F"/>
    <w:rsid w:val="007109B1"/>
    <w:rsid w:val="00710C91"/>
    <w:rsid w:val="007120C5"/>
    <w:rsid w:val="007129F5"/>
    <w:rsid w:val="00712E51"/>
    <w:rsid w:val="00716BA8"/>
    <w:rsid w:val="00716EC1"/>
    <w:rsid w:val="00717722"/>
    <w:rsid w:val="00717934"/>
    <w:rsid w:val="007208E0"/>
    <w:rsid w:val="0072127C"/>
    <w:rsid w:val="007226BE"/>
    <w:rsid w:val="00723075"/>
    <w:rsid w:val="00733323"/>
    <w:rsid w:val="007336F6"/>
    <w:rsid w:val="00734613"/>
    <w:rsid w:val="0073521F"/>
    <w:rsid w:val="00735869"/>
    <w:rsid w:val="0073700A"/>
    <w:rsid w:val="007374BC"/>
    <w:rsid w:val="00744B33"/>
    <w:rsid w:val="00744D19"/>
    <w:rsid w:val="00744E84"/>
    <w:rsid w:val="0074531C"/>
    <w:rsid w:val="00745F4A"/>
    <w:rsid w:val="00746A47"/>
    <w:rsid w:val="00747A7E"/>
    <w:rsid w:val="00747D2F"/>
    <w:rsid w:val="00752EA8"/>
    <w:rsid w:val="00752F13"/>
    <w:rsid w:val="00753A8A"/>
    <w:rsid w:val="00753D93"/>
    <w:rsid w:val="00753E41"/>
    <w:rsid w:val="00761A4F"/>
    <w:rsid w:val="00761BC1"/>
    <w:rsid w:val="00762BEE"/>
    <w:rsid w:val="00765D1A"/>
    <w:rsid w:val="00766299"/>
    <w:rsid w:val="00767BA0"/>
    <w:rsid w:val="007700A7"/>
    <w:rsid w:val="0077046B"/>
    <w:rsid w:val="00771BDC"/>
    <w:rsid w:val="007721F3"/>
    <w:rsid w:val="00772C95"/>
    <w:rsid w:val="00773900"/>
    <w:rsid w:val="00775640"/>
    <w:rsid w:val="00776654"/>
    <w:rsid w:val="00780979"/>
    <w:rsid w:val="007827AF"/>
    <w:rsid w:val="00782E33"/>
    <w:rsid w:val="00784A8B"/>
    <w:rsid w:val="007869F5"/>
    <w:rsid w:val="00786B01"/>
    <w:rsid w:val="00786B86"/>
    <w:rsid w:val="00786E44"/>
    <w:rsid w:val="00787B67"/>
    <w:rsid w:val="00791178"/>
    <w:rsid w:val="00792E45"/>
    <w:rsid w:val="0079350B"/>
    <w:rsid w:val="00793BCE"/>
    <w:rsid w:val="00794D5E"/>
    <w:rsid w:val="00795072"/>
    <w:rsid w:val="007A0320"/>
    <w:rsid w:val="007A1739"/>
    <w:rsid w:val="007A265C"/>
    <w:rsid w:val="007A33FF"/>
    <w:rsid w:val="007A37C6"/>
    <w:rsid w:val="007A681E"/>
    <w:rsid w:val="007A6B43"/>
    <w:rsid w:val="007B0745"/>
    <w:rsid w:val="007B0CF3"/>
    <w:rsid w:val="007B1440"/>
    <w:rsid w:val="007B243C"/>
    <w:rsid w:val="007B3A8E"/>
    <w:rsid w:val="007B57D0"/>
    <w:rsid w:val="007B72E5"/>
    <w:rsid w:val="007B7BB8"/>
    <w:rsid w:val="007C1ECB"/>
    <w:rsid w:val="007C5521"/>
    <w:rsid w:val="007C649F"/>
    <w:rsid w:val="007D03F7"/>
    <w:rsid w:val="007D0638"/>
    <w:rsid w:val="007D0680"/>
    <w:rsid w:val="007D2C68"/>
    <w:rsid w:val="007D4F9F"/>
    <w:rsid w:val="007D52B2"/>
    <w:rsid w:val="007D55D4"/>
    <w:rsid w:val="007E0969"/>
    <w:rsid w:val="007E0DBA"/>
    <w:rsid w:val="007E3A25"/>
    <w:rsid w:val="007E4359"/>
    <w:rsid w:val="007E47B3"/>
    <w:rsid w:val="007E4DF4"/>
    <w:rsid w:val="007E6716"/>
    <w:rsid w:val="007F0E86"/>
    <w:rsid w:val="007F1F57"/>
    <w:rsid w:val="007F3599"/>
    <w:rsid w:val="007F65A5"/>
    <w:rsid w:val="007F7A36"/>
    <w:rsid w:val="007F7CFD"/>
    <w:rsid w:val="00801B3C"/>
    <w:rsid w:val="00805742"/>
    <w:rsid w:val="00805877"/>
    <w:rsid w:val="00805A59"/>
    <w:rsid w:val="0080612B"/>
    <w:rsid w:val="00811735"/>
    <w:rsid w:val="0081536B"/>
    <w:rsid w:val="008155EF"/>
    <w:rsid w:val="00816E0B"/>
    <w:rsid w:val="00817DA0"/>
    <w:rsid w:val="00820F0A"/>
    <w:rsid w:val="0082220D"/>
    <w:rsid w:val="00824050"/>
    <w:rsid w:val="0082545C"/>
    <w:rsid w:val="00825DA9"/>
    <w:rsid w:val="00830154"/>
    <w:rsid w:val="0083145C"/>
    <w:rsid w:val="008314EB"/>
    <w:rsid w:val="00831C7F"/>
    <w:rsid w:val="00834A18"/>
    <w:rsid w:val="0083585C"/>
    <w:rsid w:val="0083758D"/>
    <w:rsid w:val="0084059E"/>
    <w:rsid w:val="00841047"/>
    <w:rsid w:val="008450C0"/>
    <w:rsid w:val="008463CF"/>
    <w:rsid w:val="00846FD4"/>
    <w:rsid w:val="008530E8"/>
    <w:rsid w:val="00853A6E"/>
    <w:rsid w:val="008560E7"/>
    <w:rsid w:val="00856A10"/>
    <w:rsid w:val="008573ED"/>
    <w:rsid w:val="00861A4D"/>
    <w:rsid w:val="00861C7A"/>
    <w:rsid w:val="00861E61"/>
    <w:rsid w:val="00867180"/>
    <w:rsid w:val="00871536"/>
    <w:rsid w:val="0087278B"/>
    <w:rsid w:val="0087354A"/>
    <w:rsid w:val="00873F74"/>
    <w:rsid w:val="00874C6F"/>
    <w:rsid w:val="00874F5F"/>
    <w:rsid w:val="0087593A"/>
    <w:rsid w:val="00877E58"/>
    <w:rsid w:val="00880DFE"/>
    <w:rsid w:val="00880F8C"/>
    <w:rsid w:val="0088171C"/>
    <w:rsid w:val="008824C7"/>
    <w:rsid w:val="0088435A"/>
    <w:rsid w:val="00884D8B"/>
    <w:rsid w:val="008875B1"/>
    <w:rsid w:val="00887F65"/>
    <w:rsid w:val="00892162"/>
    <w:rsid w:val="00892655"/>
    <w:rsid w:val="00894ADC"/>
    <w:rsid w:val="008953C4"/>
    <w:rsid w:val="00895FDE"/>
    <w:rsid w:val="00896D9C"/>
    <w:rsid w:val="0089799C"/>
    <w:rsid w:val="00897A8A"/>
    <w:rsid w:val="008A26A9"/>
    <w:rsid w:val="008A2A14"/>
    <w:rsid w:val="008A30B9"/>
    <w:rsid w:val="008A3E60"/>
    <w:rsid w:val="008A3EB3"/>
    <w:rsid w:val="008A4C17"/>
    <w:rsid w:val="008A61AE"/>
    <w:rsid w:val="008A6701"/>
    <w:rsid w:val="008B30B8"/>
    <w:rsid w:val="008B3EFD"/>
    <w:rsid w:val="008B593F"/>
    <w:rsid w:val="008B7CC6"/>
    <w:rsid w:val="008C0BDD"/>
    <w:rsid w:val="008C52B1"/>
    <w:rsid w:val="008C580E"/>
    <w:rsid w:val="008C5D5D"/>
    <w:rsid w:val="008D028E"/>
    <w:rsid w:val="008D201C"/>
    <w:rsid w:val="008D208C"/>
    <w:rsid w:val="008D20BD"/>
    <w:rsid w:val="008D7C14"/>
    <w:rsid w:val="008E283C"/>
    <w:rsid w:val="008E3814"/>
    <w:rsid w:val="008E39E6"/>
    <w:rsid w:val="008E412E"/>
    <w:rsid w:val="008E4685"/>
    <w:rsid w:val="008E4DAD"/>
    <w:rsid w:val="008E4FC9"/>
    <w:rsid w:val="008E567E"/>
    <w:rsid w:val="008E64CD"/>
    <w:rsid w:val="008E6C3A"/>
    <w:rsid w:val="008F0B8B"/>
    <w:rsid w:val="008F1709"/>
    <w:rsid w:val="008F3737"/>
    <w:rsid w:val="008F3E8C"/>
    <w:rsid w:val="008F47DA"/>
    <w:rsid w:val="008F5033"/>
    <w:rsid w:val="008F5093"/>
    <w:rsid w:val="008F54DE"/>
    <w:rsid w:val="008F65CE"/>
    <w:rsid w:val="008F7797"/>
    <w:rsid w:val="008F7E01"/>
    <w:rsid w:val="0090076E"/>
    <w:rsid w:val="0090102E"/>
    <w:rsid w:val="009016C1"/>
    <w:rsid w:val="0090243A"/>
    <w:rsid w:val="009026AE"/>
    <w:rsid w:val="00904CC3"/>
    <w:rsid w:val="00905682"/>
    <w:rsid w:val="009066D3"/>
    <w:rsid w:val="00906ECE"/>
    <w:rsid w:val="009103E6"/>
    <w:rsid w:val="00910754"/>
    <w:rsid w:val="00910DC3"/>
    <w:rsid w:val="00910ECE"/>
    <w:rsid w:val="00912F19"/>
    <w:rsid w:val="00915699"/>
    <w:rsid w:val="00915FE1"/>
    <w:rsid w:val="009162B1"/>
    <w:rsid w:val="00923476"/>
    <w:rsid w:val="009303D4"/>
    <w:rsid w:val="00932C83"/>
    <w:rsid w:val="0093389A"/>
    <w:rsid w:val="00934E48"/>
    <w:rsid w:val="00936AB0"/>
    <w:rsid w:val="009374DF"/>
    <w:rsid w:val="00937941"/>
    <w:rsid w:val="00937FDA"/>
    <w:rsid w:val="009416D7"/>
    <w:rsid w:val="009420AE"/>
    <w:rsid w:val="00945E34"/>
    <w:rsid w:val="00950054"/>
    <w:rsid w:val="009537FA"/>
    <w:rsid w:val="0095510C"/>
    <w:rsid w:val="00955553"/>
    <w:rsid w:val="0096126A"/>
    <w:rsid w:val="009614BB"/>
    <w:rsid w:val="009614C8"/>
    <w:rsid w:val="0096549E"/>
    <w:rsid w:val="00965F68"/>
    <w:rsid w:val="009679FB"/>
    <w:rsid w:val="00971A60"/>
    <w:rsid w:val="00972762"/>
    <w:rsid w:val="00973909"/>
    <w:rsid w:val="009746A1"/>
    <w:rsid w:val="00975B83"/>
    <w:rsid w:val="00977C4B"/>
    <w:rsid w:val="00980528"/>
    <w:rsid w:val="0098580E"/>
    <w:rsid w:val="00985F26"/>
    <w:rsid w:val="009868FA"/>
    <w:rsid w:val="00990972"/>
    <w:rsid w:val="009924BC"/>
    <w:rsid w:val="00992BB8"/>
    <w:rsid w:val="00992F6D"/>
    <w:rsid w:val="00993488"/>
    <w:rsid w:val="009943E2"/>
    <w:rsid w:val="009943E4"/>
    <w:rsid w:val="00994C16"/>
    <w:rsid w:val="009957EF"/>
    <w:rsid w:val="0099646C"/>
    <w:rsid w:val="009A1C0E"/>
    <w:rsid w:val="009A237A"/>
    <w:rsid w:val="009A3710"/>
    <w:rsid w:val="009A3E4F"/>
    <w:rsid w:val="009A3EFE"/>
    <w:rsid w:val="009A49A7"/>
    <w:rsid w:val="009A5A4B"/>
    <w:rsid w:val="009A6802"/>
    <w:rsid w:val="009B11E7"/>
    <w:rsid w:val="009B251D"/>
    <w:rsid w:val="009B3622"/>
    <w:rsid w:val="009B62E3"/>
    <w:rsid w:val="009B633D"/>
    <w:rsid w:val="009B63DE"/>
    <w:rsid w:val="009B6E19"/>
    <w:rsid w:val="009C155B"/>
    <w:rsid w:val="009C2F9C"/>
    <w:rsid w:val="009C4881"/>
    <w:rsid w:val="009C5BAD"/>
    <w:rsid w:val="009D01D7"/>
    <w:rsid w:val="009D0E33"/>
    <w:rsid w:val="009D1CD7"/>
    <w:rsid w:val="009D3078"/>
    <w:rsid w:val="009D3DBB"/>
    <w:rsid w:val="009D4574"/>
    <w:rsid w:val="009D6625"/>
    <w:rsid w:val="009D66D8"/>
    <w:rsid w:val="009E2CF8"/>
    <w:rsid w:val="009E5077"/>
    <w:rsid w:val="009E5280"/>
    <w:rsid w:val="009E7637"/>
    <w:rsid w:val="009F299E"/>
    <w:rsid w:val="009F3065"/>
    <w:rsid w:val="009F3596"/>
    <w:rsid w:val="009F39D0"/>
    <w:rsid w:val="009F43EA"/>
    <w:rsid w:val="009F4D9E"/>
    <w:rsid w:val="009F597D"/>
    <w:rsid w:val="009F747A"/>
    <w:rsid w:val="009F759A"/>
    <w:rsid w:val="00A00C1A"/>
    <w:rsid w:val="00A05450"/>
    <w:rsid w:val="00A06933"/>
    <w:rsid w:val="00A0693B"/>
    <w:rsid w:val="00A070AD"/>
    <w:rsid w:val="00A11010"/>
    <w:rsid w:val="00A11EF2"/>
    <w:rsid w:val="00A1314D"/>
    <w:rsid w:val="00A13D8D"/>
    <w:rsid w:val="00A15031"/>
    <w:rsid w:val="00A15D49"/>
    <w:rsid w:val="00A20E40"/>
    <w:rsid w:val="00A2235C"/>
    <w:rsid w:val="00A22B1E"/>
    <w:rsid w:val="00A231D7"/>
    <w:rsid w:val="00A23403"/>
    <w:rsid w:val="00A2719E"/>
    <w:rsid w:val="00A30D9A"/>
    <w:rsid w:val="00A30E18"/>
    <w:rsid w:val="00A337B8"/>
    <w:rsid w:val="00A36CDE"/>
    <w:rsid w:val="00A3766A"/>
    <w:rsid w:val="00A401EF"/>
    <w:rsid w:val="00A413DB"/>
    <w:rsid w:val="00A424F2"/>
    <w:rsid w:val="00A44855"/>
    <w:rsid w:val="00A4631C"/>
    <w:rsid w:val="00A4694A"/>
    <w:rsid w:val="00A46BD2"/>
    <w:rsid w:val="00A509C3"/>
    <w:rsid w:val="00A521BB"/>
    <w:rsid w:val="00A52B37"/>
    <w:rsid w:val="00A53D7C"/>
    <w:rsid w:val="00A57106"/>
    <w:rsid w:val="00A571F9"/>
    <w:rsid w:val="00A6155E"/>
    <w:rsid w:val="00A61BE8"/>
    <w:rsid w:val="00A648EB"/>
    <w:rsid w:val="00A64E80"/>
    <w:rsid w:val="00A65884"/>
    <w:rsid w:val="00A65AB2"/>
    <w:rsid w:val="00A67F3F"/>
    <w:rsid w:val="00A7414B"/>
    <w:rsid w:val="00A74E0A"/>
    <w:rsid w:val="00A76D94"/>
    <w:rsid w:val="00A777E1"/>
    <w:rsid w:val="00A77C20"/>
    <w:rsid w:val="00A817F5"/>
    <w:rsid w:val="00A835C4"/>
    <w:rsid w:val="00A835E4"/>
    <w:rsid w:val="00A86582"/>
    <w:rsid w:val="00A86979"/>
    <w:rsid w:val="00A905D8"/>
    <w:rsid w:val="00A924A0"/>
    <w:rsid w:val="00A93106"/>
    <w:rsid w:val="00A94219"/>
    <w:rsid w:val="00A9551D"/>
    <w:rsid w:val="00A96343"/>
    <w:rsid w:val="00A97658"/>
    <w:rsid w:val="00A97B93"/>
    <w:rsid w:val="00AA0B6B"/>
    <w:rsid w:val="00AA1DDC"/>
    <w:rsid w:val="00AA2478"/>
    <w:rsid w:val="00AA3F0B"/>
    <w:rsid w:val="00AA467C"/>
    <w:rsid w:val="00AA613D"/>
    <w:rsid w:val="00AA788A"/>
    <w:rsid w:val="00AB1EB8"/>
    <w:rsid w:val="00AB4A15"/>
    <w:rsid w:val="00AB6736"/>
    <w:rsid w:val="00AC12B7"/>
    <w:rsid w:val="00AC3479"/>
    <w:rsid w:val="00AC4AB7"/>
    <w:rsid w:val="00AC7F83"/>
    <w:rsid w:val="00AD3072"/>
    <w:rsid w:val="00AD4273"/>
    <w:rsid w:val="00AD45E0"/>
    <w:rsid w:val="00AD6516"/>
    <w:rsid w:val="00AD7052"/>
    <w:rsid w:val="00AD744C"/>
    <w:rsid w:val="00AD756E"/>
    <w:rsid w:val="00AD7BD6"/>
    <w:rsid w:val="00AE1020"/>
    <w:rsid w:val="00AE1382"/>
    <w:rsid w:val="00AE1436"/>
    <w:rsid w:val="00AE3C89"/>
    <w:rsid w:val="00AE439A"/>
    <w:rsid w:val="00AE4702"/>
    <w:rsid w:val="00AF0676"/>
    <w:rsid w:val="00AF1AEE"/>
    <w:rsid w:val="00AF29D1"/>
    <w:rsid w:val="00AF57A9"/>
    <w:rsid w:val="00AF646B"/>
    <w:rsid w:val="00AF67A9"/>
    <w:rsid w:val="00AF69B1"/>
    <w:rsid w:val="00AF77FB"/>
    <w:rsid w:val="00B00D81"/>
    <w:rsid w:val="00B02C75"/>
    <w:rsid w:val="00B04362"/>
    <w:rsid w:val="00B043FD"/>
    <w:rsid w:val="00B057C3"/>
    <w:rsid w:val="00B05DB2"/>
    <w:rsid w:val="00B06057"/>
    <w:rsid w:val="00B06BB5"/>
    <w:rsid w:val="00B105CD"/>
    <w:rsid w:val="00B105DD"/>
    <w:rsid w:val="00B138B2"/>
    <w:rsid w:val="00B150DE"/>
    <w:rsid w:val="00B1551F"/>
    <w:rsid w:val="00B17067"/>
    <w:rsid w:val="00B213CD"/>
    <w:rsid w:val="00B2166E"/>
    <w:rsid w:val="00B238AD"/>
    <w:rsid w:val="00B245D8"/>
    <w:rsid w:val="00B256CA"/>
    <w:rsid w:val="00B257FE"/>
    <w:rsid w:val="00B26450"/>
    <w:rsid w:val="00B27DEF"/>
    <w:rsid w:val="00B27F17"/>
    <w:rsid w:val="00B33973"/>
    <w:rsid w:val="00B340AE"/>
    <w:rsid w:val="00B34BBC"/>
    <w:rsid w:val="00B35AAA"/>
    <w:rsid w:val="00B36BAA"/>
    <w:rsid w:val="00B36FFA"/>
    <w:rsid w:val="00B40208"/>
    <w:rsid w:val="00B41B8A"/>
    <w:rsid w:val="00B4208B"/>
    <w:rsid w:val="00B45BEB"/>
    <w:rsid w:val="00B51378"/>
    <w:rsid w:val="00B51423"/>
    <w:rsid w:val="00B519B4"/>
    <w:rsid w:val="00B52533"/>
    <w:rsid w:val="00B530E1"/>
    <w:rsid w:val="00B5406C"/>
    <w:rsid w:val="00B54D39"/>
    <w:rsid w:val="00B60470"/>
    <w:rsid w:val="00B606B3"/>
    <w:rsid w:val="00B61FEB"/>
    <w:rsid w:val="00B63DDF"/>
    <w:rsid w:val="00B645ED"/>
    <w:rsid w:val="00B720EC"/>
    <w:rsid w:val="00B7365A"/>
    <w:rsid w:val="00B73C95"/>
    <w:rsid w:val="00B758CB"/>
    <w:rsid w:val="00B762E0"/>
    <w:rsid w:val="00B76712"/>
    <w:rsid w:val="00B76B66"/>
    <w:rsid w:val="00B80669"/>
    <w:rsid w:val="00B825D0"/>
    <w:rsid w:val="00B82E8F"/>
    <w:rsid w:val="00B83929"/>
    <w:rsid w:val="00B83ED3"/>
    <w:rsid w:val="00B83FE4"/>
    <w:rsid w:val="00B85753"/>
    <w:rsid w:val="00B8751A"/>
    <w:rsid w:val="00B90EE8"/>
    <w:rsid w:val="00B915F1"/>
    <w:rsid w:val="00B91641"/>
    <w:rsid w:val="00B91A59"/>
    <w:rsid w:val="00B92B52"/>
    <w:rsid w:val="00B94869"/>
    <w:rsid w:val="00B94FB7"/>
    <w:rsid w:val="00B95031"/>
    <w:rsid w:val="00B96560"/>
    <w:rsid w:val="00B97C70"/>
    <w:rsid w:val="00BA4001"/>
    <w:rsid w:val="00BA7DEC"/>
    <w:rsid w:val="00BB0E0F"/>
    <w:rsid w:val="00BB1AB5"/>
    <w:rsid w:val="00BB1C2F"/>
    <w:rsid w:val="00BB20EC"/>
    <w:rsid w:val="00BB2479"/>
    <w:rsid w:val="00BB29D2"/>
    <w:rsid w:val="00BB7136"/>
    <w:rsid w:val="00BB7B10"/>
    <w:rsid w:val="00BC1483"/>
    <w:rsid w:val="00BC1698"/>
    <w:rsid w:val="00BC2E2E"/>
    <w:rsid w:val="00BC3A4A"/>
    <w:rsid w:val="00BC4DC9"/>
    <w:rsid w:val="00BC4E98"/>
    <w:rsid w:val="00BC5EC6"/>
    <w:rsid w:val="00BC763B"/>
    <w:rsid w:val="00BD357C"/>
    <w:rsid w:val="00BD3C95"/>
    <w:rsid w:val="00BD50BB"/>
    <w:rsid w:val="00BD6053"/>
    <w:rsid w:val="00BD7FA4"/>
    <w:rsid w:val="00BE0430"/>
    <w:rsid w:val="00BE205A"/>
    <w:rsid w:val="00BE2979"/>
    <w:rsid w:val="00BE3934"/>
    <w:rsid w:val="00BE6F1C"/>
    <w:rsid w:val="00BE7011"/>
    <w:rsid w:val="00BE7034"/>
    <w:rsid w:val="00BE7864"/>
    <w:rsid w:val="00BE7BDC"/>
    <w:rsid w:val="00BF4F4F"/>
    <w:rsid w:val="00BF514B"/>
    <w:rsid w:val="00BF53CF"/>
    <w:rsid w:val="00BF735E"/>
    <w:rsid w:val="00C01459"/>
    <w:rsid w:val="00C0383F"/>
    <w:rsid w:val="00C04F25"/>
    <w:rsid w:val="00C05A77"/>
    <w:rsid w:val="00C061CE"/>
    <w:rsid w:val="00C06287"/>
    <w:rsid w:val="00C0644C"/>
    <w:rsid w:val="00C06876"/>
    <w:rsid w:val="00C07533"/>
    <w:rsid w:val="00C10655"/>
    <w:rsid w:val="00C10D69"/>
    <w:rsid w:val="00C12BF3"/>
    <w:rsid w:val="00C12CB0"/>
    <w:rsid w:val="00C14A17"/>
    <w:rsid w:val="00C14D37"/>
    <w:rsid w:val="00C15A39"/>
    <w:rsid w:val="00C163C6"/>
    <w:rsid w:val="00C205C8"/>
    <w:rsid w:val="00C218DB"/>
    <w:rsid w:val="00C23714"/>
    <w:rsid w:val="00C24784"/>
    <w:rsid w:val="00C252CA"/>
    <w:rsid w:val="00C25916"/>
    <w:rsid w:val="00C27833"/>
    <w:rsid w:val="00C27D2E"/>
    <w:rsid w:val="00C305C6"/>
    <w:rsid w:val="00C31634"/>
    <w:rsid w:val="00C3210A"/>
    <w:rsid w:val="00C34403"/>
    <w:rsid w:val="00C35AE7"/>
    <w:rsid w:val="00C4006D"/>
    <w:rsid w:val="00C404F4"/>
    <w:rsid w:val="00C4098D"/>
    <w:rsid w:val="00C41CAD"/>
    <w:rsid w:val="00C4209F"/>
    <w:rsid w:val="00C43216"/>
    <w:rsid w:val="00C454ED"/>
    <w:rsid w:val="00C46919"/>
    <w:rsid w:val="00C47BD7"/>
    <w:rsid w:val="00C53EF2"/>
    <w:rsid w:val="00C546F5"/>
    <w:rsid w:val="00C55529"/>
    <w:rsid w:val="00C613EF"/>
    <w:rsid w:val="00C62B27"/>
    <w:rsid w:val="00C64690"/>
    <w:rsid w:val="00C65B05"/>
    <w:rsid w:val="00C669E3"/>
    <w:rsid w:val="00C679CA"/>
    <w:rsid w:val="00C70AC2"/>
    <w:rsid w:val="00C72231"/>
    <w:rsid w:val="00C72A78"/>
    <w:rsid w:val="00C734CC"/>
    <w:rsid w:val="00C73F08"/>
    <w:rsid w:val="00C7455E"/>
    <w:rsid w:val="00C77433"/>
    <w:rsid w:val="00C8063C"/>
    <w:rsid w:val="00C8289D"/>
    <w:rsid w:val="00C82F21"/>
    <w:rsid w:val="00C84911"/>
    <w:rsid w:val="00C85887"/>
    <w:rsid w:val="00C85EB7"/>
    <w:rsid w:val="00C8638B"/>
    <w:rsid w:val="00C916BF"/>
    <w:rsid w:val="00C91A58"/>
    <w:rsid w:val="00C924F6"/>
    <w:rsid w:val="00C929D4"/>
    <w:rsid w:val="00C933ED"/>
    <w:rsid w:val="00C9364D"/>
    <w:rsid w:val="00C93CCC"/>
    <w:rsid w:val="00C93CFD"/>
    <w:rsid w:val="00C9495E"/>
    <w:rsid w:val="00C949C9"/>
    <w:rsid w:val="00C9633D"/>
    <w:rsid w:val="00C97F26"/>
    <w:rsid w:val="00CA059C"/>
    <w:rsid w:val="00CA0D09"/>
    <w:rsid w:val="00CA136B"/>
    <w:rsid w:val="00CA2876"/>
    <w:rsid w:val="00CA2CBE"/>
    <w:rsid w:val="00CA3EDC"/>
    <w:rsid w:val="00CA54BC"/>
    <w:rsid w:val="00CA5CDA"/>
    <w:rsid w:val="00CA7470"/>
    <w:rsid w:val="00CB1050"/>
    <w:rsid w:val="00CB1E2C"/>
    <w:rsid w:val="00CB4397"/>
    <w:rsid w:val="00CB4E18"/>
    <w:rsid w:val="00CB514D"/>
    <w:rsid w:val="00CB6D49"/>
    <w:rsid w:val="00CC2FEA"/>
    <w:rsid w:val="00CC5506"/>
    <w:rsid w:val="00CC7166"/>
    <w:rsid w:val="00CD38B0"/>
    <w:rsid w:val="00CD4963"/>
    <w:rsid w:val="00CD6234"/>
    <w:rsid w:val="00CD655B"/>
    <w:rsid w:val="00CD67BC"/>
    <w:rsid w:val="00CD6BFD"/>
    <w:rsid w:val="00CE01D2"/>
    <w:rsid w:val="00CE2557"/>
    <w:rsid w:val="00CE4E91"/>
    <w:rsid w:val="00CE54F9"/>
    <w:rsid w:val="00CE6533"/>
    <w:rsid w:val="00CE6B10"/>
    <w:rsid w:val="00CF2789"/>
    <w:rsid w:val="00CF3861"/>
    <w:rsid w:val="00CF6BB1"/>
    <w:rsid w:val="00CF7F4E"/>
    <w:rsid w:val="00D001F8"/>
    <w:rsid w:val="00D00419"/>
    <w:rsid w:val="00D024BC"/>
    <w:rsid w:val="00D04494"/>
    <w:rsid w:val="00D04EFA"/>
    <w:rsid w:val="00D0660C"/>
    <w:rsid w:val="00D068A0"/>
    <w:rsid w:val="00D10D99"/>
    <w:rsid w:val="00D11271"/>
    <w:rsid w:val="00D11487"/>
    <w:rsid w:val="00D1175F"/>
    <w:rsid w:val="00D12670"/>
    <w:rsid w:val="00D12E3E"/>
    <w:rsid w:val="00D13437"/>
    <w:rsid w:val="00D14641"/>
    <w:rsid w:val="00D147ED"/>
    <w:rsid w:val="00D150A9"/>
    <w:rsid w:val="00D1511B"/>
    <w:rsid w:val="00D15E18"/>
    <w:rsid w:val="00D163D9"/>
    <w:rsid w:val="00D17FB9"/>
    <w:rsid w:val="00D20A73"/>
    <w:rsid w:val="00D20C47"/>
    <w:rsid w:val="00D2521F"/>
    <w:rsid w:val="00D268F0"/>
    <w:rsid w:val="00D27096"/>
    <w:rsid w:val="00D277FE"/>
    <w:rsid w:val="00D27D52"/>
    <w:rsid w:val="00D31A3E"/>
    <w:rsid w:val="00D32392"/>
    <w:rsid w:val="00D33D18"/>
    <w:rsid w:val="00D352E9"/>
    <w:rsid w:val="00D35A15"/>
    <w:rsid w:val="00D40650"/>
    <w:rsid w:val="00D42D18"/>
    <w:rsid w:val="00D438AF"/>
    <w:rsid w:val="00D442F5"/>
    <w:rsid w:val="00D44D4E"/>
    <w:rsid w:val="00D45411"/>
    <w:rsid w:val="00D45544"/>
    <w:rsid w:val="00D474B5"/>
    <w:rsid w:val="00D519AC"/>
    <w:rsid w:val="00D52BB4"/>
    <w:rsid w:val="00D52BBC"/>
    <w:rsid w:val="00D53E90"/>
    <w:rsid w:val="00D543D5"/>
    <w:rsid w:val="00D5448A"/>
    <w:rsid w:val="00D549D2"/>
    <w:rsid w:val="00D57118"/>
    <w:rsid w:val="00D57BAF"/>
    <w:rsid w:val="00D607C4"/>
    <w:rsid w:val="00D60D88"/>
    <w:rsid w:val="00D6202A"/>
    <w:rsid w:val="00D62354"/>
    <w:rsid w:val="00D64287"/>
    <w:rsid w:val="00D65943"/>
    <w:rsid w:val="00D66462"/>
    <w:rsid w:val="00D66E74"/>
    <w:rsid w:val="00D67B75"/>
    <w:rsid w:val="00D71264"/>
    <w:rsid w:val="00D7175B"/>
    <w:rsid w:val="00D72090"/>
    <w:rsid w:val="00D72B8F"/>
    <w:rsid w:val="00D748BB"/>
    <w:rsid w:val="00D749E2"/>
    <w:rsid w:val="00D829BE"/>
    <w:rsid w:val="00D844CC"/>
    <w:rsid w:val="00D84723"/>
    <w:rsid w:val="00D85AE7"/>
    <w:rsid w:val="00D86687"/>
    <w:rsid w:val="00D877F3"/>
    <w:rsid w:val="00D87905"/>
    <w:rsid w:val="00D9045B"/>
    <w:rsid w:val="00D9297B"/>
    <w:rsid w:val="00D949B9"/>
    <w:rsid w:val="00D9680B"/>
    <w:rsid w:val="00DA097F"/>
    <w:rsid w:val="00DA1388"/>
    <w:rsid w:val="00DA2BE3"/>
    <w:rsid w:val="00DA3BCC"/>
    <w:rsid w:val="00DA3E7C"/>
    <w:rsid w:val="00DA4AE8"/>
    <w:rsid w:val="00DA4D25"/>
    <w:rsid w:val="00DA69BC"/>
    <w:rsid w:val="00DA73A3"/>
    <w:rsid w:val="00DA79B5"/>
    <w:rsid w:val="00DB0790"/>
    <w:rsid w:val="00DB1BBA"/>
    <w:rsid w:val="00DB263F"/>
    <w:rsid w:val="00DB3948"/>
    <w:rsid w:val="00DB49A0"/>
    <w:rsid w:val="00DB4C23"/>
    <w:rsid w:val="00DB4F81"/>
    <w:rsid w:val="00DB6FA2"/>
    <w:rsid w:val="00DC0C55"/>
    <w:rsid w:val="00DC10BD"/>
    <w:rsid w:val="00DC1D2C"/>
    <w:rsid w:val="00DC2D2B"/>
    <w:rsid w:val="00DC3288"/>
    <w:rsid w:val="00DC3859"/>
    <w:rsid w:val="00DC59AE"/>
    <w:rsid w:val="00DC728E"/>
    <w:rsid w:val="00DC76D4"/>
    <w:rsid w:val="00DD0A49"/>
    <w:rsid w:val="00DD0D2D"/>
    <w:rsid w:val="00DD40BF"/>
    <w:rsid w:val="00DD6219"/>
    <w:rsid w:val="00DD7082"/>
    <w:rsid w:val="00DD7169"/>
    <w:rsid w:val="00DD73D1"/>
    <w:rsid w:val="00DE028F"/>
    <w:rsid w:val="00DE08CB"/>
    <w:rsid w:val="00DE0A24"/>
    <w:rsid w:val="00DE1202"/>
    <w:rsid w:val="00DE2E04"/>
    <w:rsid w:val="00DE7687"/>
    <w:rsid w:val="00DF0D60"/>
    <w:rsid w:val="00DF42D2"/>
    <w:rsid w:val="00DF4A5E"/>
    <w:rsid w:val="00DF4F3C"/>
    <w:rsid w:val="00DF4F6F"/>
    <w:rsid w:val="00DF5547"/>
    <w:rsid w:val="00DF607F"/>
    <w:rsid w:val="00DF616B"/>
    <w:rsid w:val="00DF71F0"/>
    <w:rsid w:val="00E007FA"/>
    <w:rsid w:val="00E029C0"/>
    <w:rsid w:val="00E02F06"/>
    <w:rsid w:val="00E03AF5"/>
    <w:rsid w:val="00E05E80"/>
    <w:rsid w:val="00E06A23"/>
    <w:rsid w:val="00E06AA8"/>
    <w:rsid w:val="00E06C50"/>
    <w:rsid w:val="00E076A3"/>
    <w:rsid w:val="00E10878"/>
    <w:rsid w:val="00E13123"/>
    <w:rsid w:val="00E14381"/>
    <w:rsid w:val="00E14FC3"/>
    <w:rsid w:val="00E167EA"/>
    <w:rsid w:val="00E175C4"/>
    <w:rsid w:val="00E178F4"/>
    <w:rsid w:val="00E2018F"/>
    <w:rsid w:val="00E20E48"/>
    <w:rsid w:val="00E214BE"/>
    <w:rsid w:val="00E21ACB"/>
    <w:rsid w:val="00E234CC"/>
    <w:rsid w:val="00E24EA6"/>
    <w:rsid w:val="00E2592B"/>
    <w:rsid w:val="00E304A8"/>
    <w:rsid w:val="00E30599"/>
    <w:rsid w:val="00E3129A"/>
    <w:rsid w:val="00E32106"/>
    <w:rsid w:val="00E329EE"/>
    <w:rsid w:val="00E36BE4"/>
    <w:rsid w:val="00E40B1E"/>
    <w:rsid w:val="00E43581"/>
    <w:rsid w:val="00E43EBB"/>
    <w:rsid w:val="00E46EB0"/>
    <w:rsid w:val="00E46FE9"/>
    <w:rsid w:val="00E47851"/>
    <w:rsid w:val="00E50D7A"/>
    <w:rsid w:val="00E52235"/>
    <w:rsid w:val="00E53E17"/>
    <w:rsid w:val="00E5573F"/>
    <w:rsid w:val="00E56716"/>
    <w:rsid w:val="00E630A2"/>
    <w:rsid w:val="00E641F7"/>
    <w:rsid w:val="00E6604E"/>
    <w:rsid w:val="00E66D93"/>
    <w:rsid w:val="00E706B3"/>
    <w:rsid w:val="00E70711"/>
    <w:rsid w:val="00E715FD"/>
    <w:rsid w:val="00E738AF"/>
    <w:rsid w:val="00E73A00"/>
    <w:rsid w:val="00E7422B"/>
    <w:rsid w:val="00E771C3"/>
    <w:rsid w:val="00E77B70"/>
    <w:rsid w:val="00E80478"/>
    <w:rsid w:val="00E8401E"/>
    <w:rsid w:val="00E84EA4"/>
    <w:rsid w:val="00E90F16"/>
    <w:rsid w:val="00E90F1D"/>
    <w:rsid w:val="00E95001"/>
    <w:rsid w:val="00E950A2"/>
    <w:rsid w:val="00E958D4"/>
    <w:rsid w:val="00E95FAF"/>
    <w:rsid w:val="00E962DA"/>
    <w:rsid w:val="00E97584"/>
    <w:rsid w:val="00EA1377"/>
    <w:rsid w:val="00EA36FE"/>
    <w:rsid w:val="00EA3BED"/>
    <w:rsid w:val="00EA6041"/>
    <w:rsid w:val="00EA608F"/>
    <w:rsid w:val="00EA72BE"/>
    <w:rsid w:val="00EA730A"/>
    <w:rsid w:val="00EB229C"/>
    <w:rsid w:val="00EB2ADC"/>
    <w:rsid w:val="00EB2E35"/>
    <w:rsid w:val="00EB384F"/>
    <w:rsid w:val="00EB4214"/>
    <w:rsid w:val="00EB56B2"/>
    <w:rsid w:val="00EB58F3"/>
    <w:rsid w:val="00EB65BE"/>
    <w:rsid w:val="00EB7F0F"/>
    <w:rsid w:val="00EC1E61"/>
    <w:rsid w:val="00EC2346"/>
    <w:rsid w:val="00EC3197"/>
    <w:rsid w:val="00EC6C86"/>
    <w:rsid w:val="00EC6EAF"/>
    <w:rsid w:val="00EC7262"/>
    <w:rsid w:val="00EC7298"/>
    <w:rsid w:val="00ED0D35"/>
    <w:rsid w:val="00ED0EBB"/>
    <w:rsid w:val="00ED1100"/>
    <w:rsid w:val="00ED11A1"/>
    <w:rsid w:val="00ED2028"/>
    <w:rsid w:val="00ED3C36"/>
    <w:rsid w:val="00ED6AAE"/>
    <w:rsid w:val="00EE0BBD"/>
    <w:rsid w:val="00EE29DC"/>
    <w:rsid w:val="00EE4455"/>
    <w:rsid w:val="00EE4936"/>
    <w:rsid w:val="00EE746E"/>
    <w:rsid w:val="00EF1502"/>
    <w:rsid w:val="00EF4663"/>
    <w:rsid w:val="00EF72CB"/>
    <w:rsid w:val="00EF7BE8"/>
    <w:rsid w:val="00F00773"/>
    <w:rsid w:val="00F00EF3"/>
    <w:rsid w:val="00F04032"/>
    <w:rsid w:val="00F04055"/>
    <w:rsid w:val="00F05606"/>
    <w:rsid w:val="00F05AB2"/>
    <w:rsid w:val="00F06BCA"/>
    <w:rsid w:val="00F10AC7"/>
    <w:rsid w:val="00F11E1F"/>
    <w:rsid w:val="00F122B9"/>
    <w:rsid w:val="00F1324D"/>
    <w:rsid w:val="00F13CAA"/>
    <w:rsid w:val="00F155E5"/>
    <w:rsid w:val="00F161E2"/>
    <w:rsid w:val="00F16FD3"/>
    <w:rsid w:val="00F178B5"/>
    <w:rsid w:val="00F2110F"/>
    <w:rsid w:val="00F21168"/>
    <w:rsid w:val="00F21CD9"/>
    <w:rsid w:val="00F22750"/>
    <w:rsid w:val="00F22AFD"/>
    <w:rsid w:val="00F230DE"/>
    <w:rsid w:val="00F23EB2"/>
    <w:rsid w:val="00F26DA1"/>
    <w:rsid w:val="00F30508"/>
    <w:rsid w:val="00F30951"/>
    <w:rsid w:val="00F3207F"/>
    <w:rsid w:val="00F33D1F"/>
    <w:rsid w:val="00F35011"/>
    <w:rsid w:val="00F35343"/>
    <w:rsid w:val="00F3541A"/>
    <w:rsid w:val="00F374E6"/>
    <w:rsid w:val="00F37833"/>
    <w:rsid w:val="00F4022E"/>
    <w:rsid w:val="00F42089"/>
    <w:rsid w:val="00F429B4"/>
    <w:rsid w:val="00F43FE9"/>
    <w:rsid w:val="00F45DFC"/>
    <w:rsid w:val="00F46275"/>
    <w:rsid w:val="00F475B0"/>
    <w:rsid w:val="00F50865"/>
    <w:rsid w:val="00F526BC"/>
    <w:rsid w:val="00F5665F"/>
    <w:rsid w:val="00F603E3"/>
    <w:rsid w:val="00F60488"/>
    <w:rsid w:val="00F6137C"/>
    <w:rsid w:val="00F631B6"/>
    <w:rsid w:val="00F63BC0"/>
    <w:rsid w:val="00F640FB"/>
    <w:rsid w:val="00F67626"/>
    <w:rsid w:val="00F70715"/>
    <w:rsid w:val="00F70967"/>
    <w:rsid w:val="00F71926"/>
    <w:rsid w:val="00F719B8"/>
    <w:rsid w:val="00F734B8"/>
    <w:rsid w:val="00F735D5"/>
    <w:rsid w:val="00F7383A"/>
    <w:rsid w:val="00F739DB"/>
    <w:rsid w:val="00F76B68"/>
    <w:rsid w:val="00F7771A"/>
    <w:rsid w:val="00F820C2"/>
    <w:rsid w:val="00F822C5"/>
    <w:rsid w:val="00F83069"/>
    <w:rsid w:val="00F8316D"/>
    <w:rsid w:val="00F83204"/>
    <w:rsid w:val="00F83EE9"/>
    <w:rsid w:val="00F85709"/>
    <w:rsid w:val="00F86247"/>
    <w:rsid w:val="00F86805"/>
    <w:rsid w:val="00F92AAC"/>
    <w:rsid w:val="00F9475F"/>
    <w:rsid w:val="00F94B00"/>
    <w:rsid w:val="00F96324"/>
    <w:rsid w:val="00F9706B"/>
    <w:rsid w:val="00FA03AD"/>
    <w:rsid w:val="00FA2E89"/>
    <w:rsid w:val="00FA32F9"/>
    <w:rsid w:val="00FA4E42"/>
    <w:rsid w:val="00FA4E54"/>
    <w:rsid w:val="00FA59B8"/>
    <w:rsid w:val="00FA6388"/>
    <w:rsid w:val="00FA671A"/>
    <w:rsid w:val="00FA71CF"/>
    <w:rsid w:val="00FB03CA"/>
    <w:rsid w:val="00FB0826"/>
    <w:rsid w:val="00FB0CE9"/>
    <w:rsid w:val="00FB1488"/>
    <w:rsid w:val="00FB1E0C"/>
    <w:rsid w:val="00FB4BFF"/>
    <w:rsid w:val="00FB6500"/>
    <w:rsid w:val="00FB6986"/>
    <w:rsid w:val="00FC0790"/>
    <w:rsid w:val="00FC156D"/>
    <w:rsid w:val="00FC2D31"/>
    <w:rsid w:val="00FC31F0"/>
    <w:rsid w:val="00FC430C"/>
    <w:rsid w:val="00FC4F0D"/>
    <w:rsid w:val="00FC50B4"/>
    <w:rsid w:val="00FC63DE"/>
    <w:rsid w:val="00FC67D6"/>
    <w:rsid w:val="00FC7332"/>
    <w:rsid w:val="00FC785D"/>
    <w:rsid w:val="00FD0883"/>
    <w:rsid w:val="00FD1D9C"/>
    <w:rsid w:val="00FD1ED4"/>
    <w:rsid w:val="00FD4B35"/>
    <w:rsid w:val="00FD6CD5"/>
    <w:rsid w:val="00FD6E34"/>
    <w:rsid w:val="00FD7227"/>
    <w:rsid w:val="00FD77DA"/>
    <w:rsid w:val="00FD7B18"/>
    <w:rsid w:val="00FD7C1A"/>
    <w:rsid w:val="00FD7E09"/>
    <w:rsid w:val="00FE0D9B"/>
    <w:rsid w:val="00FE15FF"/>
    <w:rsid w:val="00FE2AC3"/>
    <w:rsid w:val="00FE5839"/>
    <w:rsid w:val="00FE6890"/>
    <w:rsid w:val="00FE75E3"/>
    <w:rsid w:val="00FF1A56"/>
    <w:rsid w:val="00FF2409"/>
    <w:rsid w:val="00FF42BD"/>
    <w:rsid w:val="00FF53CD"/>
    <w:rsid w:val="00FF56A7"/>
    <w:rsid w:val="00FF58C0"/>
    <w:rsid w:val="00FF7037"/>
    <w:rsid w:val="00FF7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6893C"/>
  <w15:chartTrackingRefBased/>
  <w15:docId w15:val="{53AC5301-0EFB-4A7B-B91D-93216E5E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paragraph" w:customStyle="1" w:styleId="NORCCoverTitle">
    <w:name w:val="NORC Cover Title"/>
    <w:qFormat/>
    <w:rsid w:val="00A424F2"/>
    <w:pPr>
      <w:spacing w:line="360" w:lineRule="auto"/>
    </w:pPr>
    <w:rPr>
      <w:rFonts w:ascii="Garamond" w:hAnsi="Garamond"/>
      <w:sz w:val="56"/>
      <w:szCs w:val="24"/>
    </w:rPr>
  </w:style>
  <w:style w:type="paragraph" w:styleId="ListBullet">
    <w:name w:val="List Bullet"/>
    <w:basedOn w:val="Normal"/>
    <w:rsid w:val="005955D0"/>
    <w:pPr>
      <w:numPr>
        <w:numId w:val="30"/>
      </w:numPr>
      <w:spacing w:after="40" w:line="360" w:lineRule="auto"/>
    </w:pPr>
    <w:rPr>
      <w:rFonts w:eastAsiaTheme="minorHAnsi"/>
      <w:sz w:val="22"/>
      <w:szCs w:val="22"/>
    </w:rPr>
  </w:style>
  <w:style w:type="paragraph" w:styleId="ListParagraph">
    <w:name w:val="List Paragraph"/>
    <w:basedOn w:val="Normal"/>
    <w:uiPriority w:val="34"/>
    <w:qFormat/>
    <w:rsid w:val="000C2841"/>
    <w:pPr>
      <w:ind w:left="720"/>
      <w:contextualSpacing/>
    </w:pPr>
  </w:style>
  <w:style w:type="paragraph" w:customStyle="1" w:styleId="TableHeadCenter">
    <w:name w:val="Table Head Center"/>
    <w:basedOn w:val="Normal"/>
    <w:qFormat/>
    <w:rsid w:val="00D53E90"/>
    <w:pPr>
      <w:keepNext/>
      <w:keepLines/>
      <w:jc w:val="center"/>
    </w:pPr>
    <w:rPr>
      <w:rFonts w:ascii="Arial Narrow" w:hAnsi="Arial Narrow"/>
      <w:b/>
      <w:color w:val="000000" w:themeColor="text1"/>
      <w:sz w:val="20"/>
      <w:szCs w:val="20"/>
    </w:rPr>
  </w:style>
  <w:style w:type="paragraph" w:customStyle="1" w:styleId="TableHeadLeft">
    <w:name w:val="Table Head Left"/>
    <w:basedOn w:val="TableHeadCenter"/>
    <w:qFormat/>
    <w:rsid w:val="00D53E90"/>
    <w:pPr>
      <w:keepNext w:val="0"/>
      <w:jc w:val="left"/>
    </w:pPr>
  </w:style>
  <w:style w:type="paragraph" w:styleId="NoSpacing">
    <w:name w:val="No Spacing"/>
    <w:uiPriority w:val="1"/>
    <w:qFormat/>
    <w:rsid w:val="00D53E90"/>
    <w:rPr>
      <w:rFonts w:asciiTheme="minorHAnsi" w:eastAsiaTheme="minorHAnsi" w:hAnsiTheme="minorHAnsi" w:cstheme="minorBidi"/>
      <w:sz w:val="22"/>
      <w:szCs w:val="22"/>
    </w:rPr>
  </w:style>
  <w:style w:type="table" w:customStyle="1" w:styleId="NORCTableVerticalHighlight">
    <w:name w:val="NORC Table Vertical Highlight"/>
    <w:basedOn w:val="TableNormal"/>
    <w:uiPriority w:val="99"/>
    <w:rsid w:val="00D53E90"/>
    <w:rPr>
      <w:rFonts w:asciiTheme="minorHAnsi" w:eastAsiaTheme="minorHAnsi" w:hAnsiTheme="minorHAnsi" w:cstheme="minorBidi"/>
      <w:sz w:val="22"/>
      <w:szCs w:val="22"/>
    </w:r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7E6E6" w:themeFill="background2"/>
      </w:tcPr>
    </w:tblStylePr>
  </w:style>
  <w:style w:type="paragraph" w:customStyle="1" w:styleId="NORCProposalBodyDouble-Garamond11pt">
    <w:name w:val="NORC Proposal Body Double - Garamond 11pt"/>
    <w:basedOn w:val="Normal"/>
    <w:qFormat/>
    <w:rsid w:val="00D53E90"/>
    <w:pPr>
      <w:tabs>
        <w:tab w:val="right" w:pos="9360"/>
      </w:tabs>
      <w:suppressAutoHyphens/>
      <w:spacing w:line="480" w:lineRule="auto"/>
      <w:ind w:firstLine="360"/>
    </w:pPr>
    <w:rPr>
      <w:rFonts w:cs="AGaramond-Regular"/>
      <w:szCs w:val="20"/>
    </w:rPr>
  </w:style>
  <w:style w:type="paragraph" w:customStyle="1" w:styleId="NORCProposalBody12ptGaramond">
    <w:name w:val="NORC Proposal Body 12pt Garamond"/>
    <w:basedOn w:val="Normal"/>
    <w:qFormat/>
    <w:rsid w:val="00D53E90"/>
    <w:pPr>
      <w:tabs>
        <w:tab w:val="right" w:pos="9360"/>
      </w:tabs>
      <w:spacing w:after="240"/>
    </w:pPr>
    <w:rPr>
      <w:rFonts w:cs="AGaramond-Regular"/>
      <w:szCs w:val="20"/>
    </w:rPr>
  </w:style>
  <w:style w:type="paragraph" w:customStyle="1" w:styleId="NormalDoubleSpaced">
    <w:name w:val="Normal Double Spaced"/>
    <w:basedOn w:val="Normal"/>
    <w:uiPriority w:val="99"/>
    <w:qFormat/>
    <w:rsid w:val="00D53E90"/>
    <w:pPr>
      <w:spacing w:line="480" w:lineRule="auto"/>
      <w:ind w:firstLine="288"/>
    </w:pPr>
    <w:rPr>
      <w:color w:val="000000" w:themeColor="text1"/>
      <w:sz w:val="22"/>
      <w:szCs w:val="20"/>
    </w:rPr>
  </w:style>
  <w:style w:type="paragraph" w:customStyle="1" w:styleId="TableNormalL">
    <w:name w:val="Table Normal L"/>
    <w:basedOn w:val="TableHeadCenter"/>
    <w:qFormat/>
    <w:rsid w:val="00D53E90"/>
    <w:pPr>
      <w:keepNext w:val="0"/>
      <w:keepLines w:val="0"/>
      <w:jc w:val="left"/>
    </w:pPr>
    <w:rPr>
      <w:b w:val="0"/>
      <w:color w:val="auto"/>
    </w:rPr>
  </w:style>
  <w:style w:type="character" w:customStyle="1" w:styleId="NORCCaption-Color">
    <w:name w:val="NORC Caption - Color"/>
    <w:qFormat/>
    <w:rsid w:val="009868FA"/>
    <w:rPr>
      <w:rFonts w:ascii="Arial Narrow" w:hAnsi="Arial Narrow"/>
      <w:b/>
      <w:color w:val="8AB3A4"/>
      <w:sz w:val="22"/>
    </w:rPr>
  </w:style>
  <w:style w:type="paragraph" w:customStyle="1" w:styleId="NORCTableBullet110ptNarrow">
    <w:name w:val="NORC Table Bullet 1 (10ptNarrow)"/>
    <w:basedOn w:val="Normal"/>
    <w:qFormat/>
    <w:rsid w:val="009868FA"/>
    <w:pPr>
      <w:framePr w:hSpace="180" w:wrap="around" w:vAnchor="text" w:hAnchor="margin" w:y="2375"/>
      <w:numPr>
        <w:numId w:val="41"/>
      </w:numPr>
      <w:tabs>
        <w:tab w:val="left" w:pos="144"/>
      </w:tabs>
      <w:suppressOverlap/>
    </w:pPr>
    <w:rPr>
      <w:rFonts w:ascii="Arial Narrow" w:hAnsi="Arial Narrow"/>
      <w:color w:val="000000"/>
      <w:sz w:val="20"/>
      <w:szCs w:val="20"/>
    </w:rPr>
  </w:style>
  <w:style w:type="paragraph" w:customStyle="1" w:styleId="NORCTableHeaderArial">
    <w:name w:val="NORC Table Header (Arial)"/>
    <w:basedOn w:val="Normal"/>
    <w:rsid w:val="009868FA"/>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9868FA"/>
    <w:pPr>
      <w:spacing w:before="40" w:after="40"/>
    </w:pPr>
    <w:rPr>
      <w:rFonts w:ascii="Arial" w:eastAsia="SimSun" w:hAnsi="Arial"/>
      <w:sz w:val="17"/>
      <w:szCs w:val="22"/>
    </w:rPr>
  </w:style>
  <w:style w:type="character" w:customStyle="1" w:styleId="FooterChar">
    <w:name w:val="Footer Char"/>
    <w:basedOn w:val="DefaultParagraphFont"/>
    <w:link w:val="Footer"/>
    <w:uiPriority w:val="99"/>
    <w:rsid w:val="00D86687"/>
    <w:rPr>
      <w:sz w:val="24"/>
      <w:szCs w:val="24"/>
    </w:rPr>
  </w:style>
  <w:style w:type="paragraph" w:styleId="Revision">
    <w:name w:val="Revision"/>
    <w:hidden/>
    <w:uiPriority w:val="99"/>
    <w:semiHidden/>
    <w:rsid w:val="00FC50B4"/>
    <w:rPr>
      <w:sz w:val="24"/>
      <w:szCs w:val="24"/>
    </w:rPr>
  </w:style>
  <w:style w:type="character" w:customStyle="1" w:styleId="Heading2Char">
    <w:name w:val="Heading 2 Char"/>
    <w:basedOn w:val="DefaultParagraphFont"/>
    <w:link w:val="Heading2"/>
    <w:rsid w:val="00D519A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1212">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13839433">
      <w:bodyDiv w:val="1"/>
      <w:marLeft w:val="0"/>
      <w:marRight w:val="0"/>
      <w:marTop w:val="0"/>
      <w:marBottom w:val="0"/>
      <w:divBdr>
        <w:top w:val="none" w:sz="0" w:space="0" w:color="auto"/>
        <w:left w:val="none" w:sz="0" w:space="0" w:color="auto"/>
        <w:bottom w:val="none" w:sz="0" w:space="0" w:color="auto"/>
        <w:right w:val="none" w:sz="0" w:space="0" w:color="auto"/>
      </w:divBdr>
    </w:div>
    <w:div w:id="131796139">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22569963">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14645724">
      <w:bodyDiv w:val="1"/>
      <w:marLeft w:val="0"/>
      <w:marRight w:val="0"/>
      <w:marTop w:val="0"/>
      <w:marBottom w:val="0"/>
      <w:divBdr>
        <w:top w:val="none" w:sz="0" w:space="0" w:color="auto"/>
        <w:left w:val="none" w:sz="0" w:space="0" w:color="auto"/>
        <w:bottom w:val="none" w:sz="0" w:space="0" w:color="auto"/>
        <w:right w:val="none" w:sz="0" w:space="0" w:color="auto"/>
      </w:divBdr>
    </w:div>
    <w:div w:id="435952807">
      <w:bodyDiv w:val="1"/>
      <w:marLeft w:val="0"/>
      <w:marRight w:val="0"/>
      <w:marTop w:val="0"/>
      <w:marBottom w:val="0"/>
      <w:divBdr>
        <w:top w:val="none" w:sz="0" w:space="0" w:color="auto"/>
        <w:left w:val="none" w:sz="0" w:space="0" w:color="auto"/>
        <w:bottom w:val="none" w:sz="0" w:space="0" w:color="auto"/>
        <w:right w:val="none" w:sz="0" w:space="0" w:color="auto"/>
      </w:divBdr>
    </w:div>
    <w:div w:id="471100637">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09065240">
      <w:bodyDiv w:val="1"/>
      <w:marLeft w:val="0"/>
      <w:marRight w:val="0"/>
      <w:marTop w:val="0"/>
      <w:marBottom w:val="0"/>
      <w:divBdr>
        <w:top w:val="none" w:sz="0" w:space="0" w:color="auto"/>
        <w:left w:val="none" w:sz="0" w:space="0" w:color="auto"/>
        <w:bottom w:val="none" w:sz="0" w:space="0" w:color="auto"/>
        <w:right w:val="none" w:sz="0" w:space="0" w:color="auto"/>
      </w:divBdr>
    </w:div>
    <w:div w:id="720176837">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90533984">
      <w:bodyDiv w:val="1"/>
      <w:marLeft w:val="0"/>
      <w:marRight w:val="0"/>
      <w:marTop w:val="0"/>
      <w:marBottom w:val="0"/>
      <w:divBdr>
        <w:top w:val="none" w:sz="0" w:space="0" w:color="auto"/>
        <w:left w:val="none" w:sz="0" w:space="0" w:color="auto"/>
        <w:bottom w:val="none" w:sz="0" w:space="0" w:color="auto"/>
        <w:right w:val="none" w:sz="0" w:space="0" w:color="auto"/>
      </w:divBdr>
    </w:div>
    <w:div w:id="900673397">
      <w:bodyDiv w:val="1"/>
      <w:marLeft w:val="0"/>
      <w:marRight w:val="0"/>
      <w:marTop w:val="0"/>
      <w:marBottom w:val="0"/>
      <w:divBdr>
        <w:top w:val="none" w:sz="0" w:space="0" w:color="auto"/>
        <w:left w:val="none" w:sz="0" w:space="0" w:color="auto"/>
        <w:bottom w:val="none" w:sz="0" w:space="0" w:color="auto"/>
        <w:right w:val="none" w:sz="0" w:space="0" w:color="auto"/>
      </w:divBdr>
    </w:div>
    <w:div w:id="970289711">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9478867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20574367">
      <w:bodyDiv w:val="1"/>
      <w:marLeft w:val="0"/>
      <w:marRight w:val="0"/>
      <w:marTop w:val="0"/>
      <w:marBottom w:val="0"/>
      <w:divBdr>
        <w:top w:val="none" w:sz="0" w:space="0" w:color="auto"/>
        <w:left w:val="none" w:sz="0" w:space="0" w:color="auto"/>
        <w:bottom w:val="none" w:sz="0" w:space="0" w:color="auto"/>
        <w:right w:val="none" w:sz="0" w:space="0" w:color="auto"/>
      </w:divBdr>
    </w:div>
    <w:div w:id="140302233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7891459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7764040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hrq.gov/hrqa99.pdf" TargetMode="Externa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831F-68BC-49C6-8ED9-75286CA386AE}">
  <ds:schemaRefs>
    <ds:schemaRef ds:uri="http://schemas.microsoft.com/sharepoint/v3/contenttype/forms"/>
  </ds:schemaRefs>
</ds:datastoreItem>
</file>

<file path=customXml/itemProps2.xml><?xml version="1.0" encoding="utf-8"?>
<ds:datastoreItem xmlns:ds="http://schemas.openxmlformats.org/officeDocument/2006/customXml" ds:itemID="{6E362C26-4BB0-40F2-AEE9-E8AFF731BDBA}">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5d14f105-b512-4c58-b648-3bdda2cf581d"/>
    <ds:schemaRef ds:uri="http://schemas.microsoft.com/office/2006/metadata/properties"/>
    <ds:schemaRef ds:uri="931aec66-2863-455c-9bb0-8c99df0ac3fd"/>
    <ds:schemaRef ds:uri="http://www.w3.org/XML/1998/namespace"/>
    <ds:schemaRef ds:uri="http://purl.org/dc/terms/"/>
  </ds:schemaRefs>
</ds:datastoreItem>
</file>

<file path=customXml/itemProps3.xml><?xml version="1.0" encoding="utf-8"?>
<ds:datastoreItem xmlns:ds="http://schemas.openxmlformats.org/officeDocument/2006/customXml" ds:itemID="{BF471953-7116-4BB1-846B-31C14704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C3193-901B-482A-99A1-1492A66A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6305</Words>
  <Characters>37244</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DHHS</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4</cp:revision>
  <cp:lastPrinted>2020-12-10T16:11:00Z</cp:lastPrinted>
  <dcterms:created xsi:type="dcterms:W3CDTF">2021-07-23T17:27:00Z</dcterms:created>
  <dcterms:modified xsi:type="dcterms:W3CDTF">2021-07-26T15:04:00Z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ies>
</file>