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33F40" w:rsidR="00AC1FF2" w:rsidP="00197D53" w:rsidRDefault="00AC1FF2" w14:paraId="490DCE65" w14:textId="14CF2BFA">
      <w:pPr>
        <w:jc w:val="center"/>
      </w:pPr>
      <w:r w:rsidRPr="00933F40">
        <w:t>Supporting Statement Part A</w:t>
      </w:r>
    </w:p>
    <w:p w:rsidRPr="00933F40" w:rsidR="00C224A2" w:rsidP="00197D53" w:rsidRDefault="00C224A2" w14:paraId="31B3DA66" w14:textId="77777777">
      <w:pPr>
        <w:jc w:val="center"/>
      </w:pPr>
      <w:r w:rsidRPr="00933F40">
        <w:t>Administrative Requirements for Section 6071 of the Deficit Reduction Act</w:t>
      </w:r>
    </w:p>
    <w:p w:rsidRPr="00933F40" w:rsidR="00C224A2" w:rsidP="00197D53" w:rsidRDefault="00F07059" w14:paraId="5BCE4F7F" w14:textId="77777777">
      <w:pPr>
        <w:jc w:val="center"/>
      </w:pPr>
      <w:r w:rsidRPr="00933F40">
        <w:t>CMS-10249, OMB 0938-1053</w:t>
      </w:r>
    </w:p>
    <w:p w:rsidRPr="00933F40" w:rsidR="00834C1D" w:rsidP="004C6E66" w:rsidRDefault="00834C1D" w14:paraId="14CCB02D" w14:textId="77777777"/>
    <w:p w:rsidRPr="00933F40" w:rsidR="00C224A2" w:rsidP="004C6E66" w:rsidRDefault="008E1165" w14:paraId="0B8F7D8D" w14:textId="77777777">
      <w:pPr>
        <w:outlineLvl w:val="0"/>
        <w:rPr>
          <w:b/>
        </w:rPr>
      </w:pPr>
      <w:r w:rsidRPr="00933F40">
        <w:rPr>
          <w:b/>
        </w:rPr>
        <w:t>Background</w:t>
      </w:r>
    </w:p>
    <w:p w:rsidRPr="00933F40" w:rsidR="00C224A2" w:rsidP="004C6E66" w:rsidRDefault="00C224A2" w14:paraId="1AD03D7A" w14:textId="77777777">
      <w:pPr>
        <w:outlineLvl w:val="0"/>
        <w:rPr>
          <w:b/>
          <w:u w:val="single"/>
        </w:rPr>
      </w:pPr>
    </w:p>
    <w:p w:rsidRPr="00933F40" w:rsidR="00C224A2" w:rsidP="004C6E66" w:rsidRDefault="000824BC" w14:paraId="41D32E16" w14:textId="39A36D8F">
      <w:pPr>
        <w:autoSpaceDE w:val="0"/>
        <w:autoSpaceDN w:val="0"/>
        <w:adjustRightInd w:val="0"/>
      </w:pPr>
      <w:r w:rsidRPr="00933F40">
        <w:t>Section 6071 or the Deficit Reduction Act of 2005 (P.L. 109-171) created the Money Follows the Person Rebalancing Demonstration (MFP) and provided $1.75 billion in funding through September 30, 2011. In 2007, t</w:t>
      </w:r>
      <w:r w:rsidRPr="00933F40" w:rsidR="00C224A2">
        <w:t xml:space="preserve">he Centers for Medicare &amp; Medicaid Services (CMS) awarded </w:t>
      </w:r>
      <w:r w:rsidRPr="00933F40">
        <w:t>31</w:t>
      </w:r>
      <w:r w:rsidRPr="00933F40" w:rsidR="00C224A2">
        <w:t xml:space="preserve"> grants to States to participate in the </w:t>
      </w:r>
      <w:r w:rsidRPr="00933F40">
        <w:t xml:space="preserve">MFP </w:t>
      </w:r>
      <w:r w:rsidRPr="00933F40" w:rsidR="00C224A2">
        <w:t>Demonstration from January 1, 2007 through September 30, 20</w:t>
      </w:r>
      <w:r w:rsidRPr="00933F40">
        <w:t>1</w:t>
      </w:r>
      <w:r w:rsidRPr="00933F40" w:rsidR="00C338CC">
        <w:t>6</w:t>
      </w:r>
      <w:r w:rsidRPr="00933F40" w:rsidR="00C224A2">
        <w:t>.</w:t>
      </w:r>
      <w:r w:rsidRPr="00933F40" w:rsidR="00C338CC">
        <w:t xml:space="preserve"> </w:t>
      </w:r>
      <w:r w:rsidRPr="00933F40" w:rsidR="00C224A2">
        <w:t>This demonstration</w:t>
      </w:r>
      <w:r w:rsidRPr="00933F40" w:rsidR="00C338CC">
        <w:t xml:space="preserve"> </w:t>
      </w:r>
      <w:r w:rsidRPr="00933F40" w:rsidR="00C224A2">
        <w:t xml:space="preserve">supports State efforts to “rebalance” their long-term support systems by offering competitive grants to States. Specifically, the demonstration </w:t>
      </w:r>
      <w:r w:rsidRPr="00933F40">
        <w:t>is</w:t>
      </w:r>
      <w:r w:rsidRPr="00933F40" w:rsidR="00C224A2">
        <w:t xml:space="preserve"> support</w:t>
      </w:r>
      <w:r w:rsidRPr="00933F40">
        <w:t>ing</w:t>
      </w:r>
      <w:r w:rsidRPr="00933F40" w:rsidR="00C224A2">
        <w:t xml:space="preserve"> State efforts to: a) Rebalance their long-term support system so that individuals have a choice of where they live and receive services; b) Transition individuals from institutions who want to live in the community; and c) Promote a strategic approach to implement a system that provides person centered, appropriate, needs based, quality of care and quality of life services and a quality management strategy that ensures the provision of, and improvement of such services in both home and community-based settings and institutions. The demonstration provides enhanced federal medical assistance percentage (FMAP) for </w:t>
      </w:r>
      <w:r w:rsidR="006F0B8D">
        <w:t xml:space="preserve">the initial </w:t>
      </w:r>
      <w:r w:rsidR="00E84399">
        <w:t>365 days</w:t>
      </w:r>
      <w:r w:rsidRPr="00933F40" w:rsidR="00C224A2">
        <w:t xml:space="preserve"> </w:t>
      </w:r>
      <w:r w:rsidR="006F0B8D">
        <w:t>of</w:t>
      </w:r>
      <w:r w:rsidRPr="00933F40" w:rsidR="006F0B8D">
        <w:t xml:space="preserve"> </w:t>
      </w:r>
      <w:r w:rsidRPr="00933F40" w:rsidR="00C224A2">
        <w:t>qualified home and community-based services for each person transitioned from an institution to the community during the demonstration period.</w:t>
      </w:r>
    </w:p>
    <w:p w:rsidRPr="00933F40" w:rsidR="000824BC" w:rsidP="004C6E66" w:rsidRDefault="000824BC" w14:paraId="5D9BE7BE" w14:textId="77777777">
      <w:pPr>
        <w:autoSpaceDE w:val="0"/>
        <w:autoSpaceDN w:val="0"/>
        <w:adjustRightInd w:val="0"/>
      </w:pPr>
    </w:p>
    <w:p w:rsidRPr="00933F40" w:rsidR="00B61A07" w:rsidP="00E0435A" w:rsidRDefault="006F0B8D" w14:paraId="26EBBF01" w14:textId="6599E8CE">
      <w:pPr>
        <w:pStyle w:val="NormalWeb"/>
        <w:spacing w:before="0" w:beforeAutospacing="0" w:after="0" w:afterAutospacing="0"/>
      </w:pPr>
      <w:r>
        <w:t>Section 2403 of t</w:t>
      </w:r>
      <w:r w:rsidRPr="00933F40" w:rsidR="000824BC">
        <w:t xml:space="preserve">he </w:t>
      </w:r>
      <w:r w:rsidRPr="00933F40">
        <w:t xml:space="preserve">Affordable </w:t>
      </w:r>
      <w:r w:rsidRPr="00933F40" w:rsidR="000824BC">
        <w:t>Care Act of 2010 expanded the MFP demonstration by providing an additional funding</w:t>
      </w:r>
      <w:r>
        <w:t xml:space="preserve"> and extended the program through September 30, 2016</w:t>
      </w:r>
      <w:r w:rsidRPr="00933F40" w:rsidR="000824BC">
        <w:t xml:space="preserve">. </w:t>
      </w:r>
      <w:r>
        <w:t xml:space="preserve">Since then, </w:t>
      </w:r>
      <w:r w:rsidRPr="00933F40" w:rsidR="00B61A07">
        <w:t xml:space="preserve">Congress enacted </w:t>
      </w:r>
      <w:r>
        <w:t>several additional pieces of legislation</w:t>
      </w:r>
      <w:r w:rsidRPr="00933F40">
        <w:t xml:space="preserve"> </w:t>
      </w:r>
      <w:r w:rsidRPr="00933F40" w:rsidR="00B61A07">
        <w:t xml:space="preserve">that provided additional funds to </w:t>
      </w:r>
      <w:r>
        <w:t xml:space="preserve">extend </w:t>
      </w:r>
      <w:r w:rsidRPr="00933F40" w:rsidR="00B61A07">
        <w:t>MFP program</w:t>
      </w:r>
      <w:r>
        <w:t xml:space="preserve"> implementation through September 30, 2023.</w:t>
      </w:r>
    </w:p>
    <w:p w:rsidRPr="00933F40" w:rsidR="00C224A2" w:rsidP="004C6E66" w:rsidRDefault="00C224A2" w14:paraId="3D0B3E43" w14:textId="77777777"/>
    <w:p w:rsidRPr="00933F40" w:rsidR="00C224A2" w:rsidP="004C6E66" w:rsidRDefault="000824BC" w14:paraId="73607351" w14:textId="36DE4A0C">
      <w:r w:rsidRPr="00933F40">
        <w:t xml:space="preserve">In earlier work, </w:t>
      </w:r>
      <w:r w:rsidRPr="00933F40" w:rsidR="00C224A2">
        <w:t>CMS issue</w:t>
      </w:r>
      <w:r w:rsidRPr="00933F40">
        <w:t>d</w:t>
      </w:r>
      <w:r w:rsidRPr="00933F40" w:rsidR="00C224A2">
        <w:t xml:space="preserve"> an Operational Protocol Instruction Guide</w:t>
      </w:r>
      <w:r w:rsidR="00082F3F">
        <w:rPr>
          <w:rStyle w:val="FootnoteReference"/>
        </w:rPr>
        <w:footnoteReference w:id="2"/>
      </w:r>
      <w:r w:rsidRPr="00933F40" w:rsidR="00C224A2">
        <w:t xml:space="preserve"> and template for the development of Operational Protocols for the States selected to participate in the MFP Rebalancing Demonstration.  The guide provide</w:t>
      </w:r>
      <w:r w:rsidRPr="00933F40">
        <w:t>s</w:t>
      </w:r>
      <w:r w:rsidRPr="00933F40" w:rsidR="00C224A2">
        <w:t xml:space="preserve"> instruction on the required elements of the State’s Operational Protocol which must be submitted and approved before a State may enroll individuals in the State’s demonstration program or begin to claim for service dollars.</w:t>
      </w:r>
    </w:p>
    <w:p w:rsidRPr="00933F40" w:rsidR="00C224A2" w:rsidP="004C6E66" w:rsidRDefault="00C224A2" w14:paraId="5634E89B" w14:textId="77777777"/>
    <w:p w:rsidRPr="00933F40" w:rsidR="008055F1" w:rsidP="004C6E66" w:rsidRDefault="00C224A2" w14:paraId="284B773D" w14:textId="012C23BC">
      <w:pPr>
        <w:tabs>
          <w:tab w:val="left" w:pos="1620"/>
          <w:tab w:val="left" w:pos="1800"/>
          <w:tab w:val="right" w:leader="dot" w:pos="9180"/>
        </w:tabs>
        <w:autoSpaceDE w:val="0"/>
        <w:autoSpaceDN w:val="0"/>
        <w:adjustRightInd w:val="0"/>
      </w:pPr>
      <w:r w:rsidRPr="00933F40">
        <w:rPr>
          <w:rFonts w:ascii="Times New (W1)" w:hAnsi="Times New (W1)"/>
        </w:rPr>
        <w:t xml:space="preserve">The Deficit Reduction Act of 2005 Section 6071(c)(9) requires the States to provide information and assurances that total expenditures under the State Medicaid program for home and community-based long-term care services will not be less for any fiscal year during the MFP demonstration project than for the greater of such expenditures for fiscal year 2005 or any succeeding fiscal year before the first of the year of the MFP demonstration project.  Accordingly, States are required to submit </w:t>
      </w:r>
      <w:r w:rsidRPr="00933F40">
        <w:t>Maintenance of Effort (MOE) form</w:t>
      </w:r>
      <w:r w:rsidRPr="00933F40" w:rsidR="0085794F">
        <w:rPr>
          <w:color w:val="1F497D"/>
        </w:rPr>
        <w:t xml:space="preserve"> </w:t>
      </w:r>
      <w:r w:rsidRPr="00933F40" w:rsidR="0085794F">
        <w:t>(MFP_MOE_Form)</w:t>
      </w:r>
      <w:r w:rsidRPr="00933F40">
        <w:t xml:space="preserve"> and MFP Budget </w:t>
      </w:r>
      <w:r w:rsidRPr="00933F40" w:rsidR="00FA7497">
        <w:t>Workbook (MFP</w:t>
      </w:r>
      <w:r w:rsidR="00000EFA">
        <w:t>_Budget_Workbook</w:t>
      </w:r>
      <w:r w:rsidRPr="00933F40" w:rsidR="00FA7497">
        <w:t xml:space="preserve">) </w:t>
      </w:r>
      <w:r w:rsidRPr="00933F40">
        <w:t>on an annual basis.  Additionally,</w:t>
      </w:r>
      <w:r w:rsidRPr="00933F40" w:rsidR="00F23C23">
        <w:t xml:space="preserve"> </w:t>
      </w:r>
      <w:r w:rsidRPr="00933F40" w:rsidR="008055F1">
        <w:t xml:space="preserve">States are required to submit the MFP Demonstration Financial Forms on a quarterly basis (CMS-64i </w:t>
      </w:r>
      <w:r w:rsidR="00000EFA">
        <w:t>Expenditure F</w:t>
      </w:r>
      <w:r w:rsidRPr="00933F40" w:rsidR="008055F1">
        <w:t xml:space="preserve">orms and </w:t>
      </w:r>
      <w:r w:rsidRPr="00000EFA" w:rsidR="00000EFA">
        <w:t>MFP_Financial_Reporting_FormsABCD</w:t>
      </w:r>
      <w:r w:rsidRPr="00933F40" w:rsidR="008055F1">
        <w:t>) and semiannually (SF-425).</w:t>
      </w:r>
    </w:p>
    <w:p w:rsidRPr="00933F40" w:rsidR="008055F1" w:rsidP="004C6E66" w:rsidRDefault="008055F1" w14:paraId="722A2344" w14:textId="77777777">
      <w:pPr>
        <w:tabs>
          <w:tab w:val="left" w:pos="1620"/>
          <w:tab w:val="left" w:pos="1800"/>
          <w:tab w:val="right" w:leader="dot" w:pos="9180"/>
        </w:tabs>
        <w:autoSpaceDE w:val="0"/>
        <w:autoSpaceDN w:val="0"/>
        <w:adjustRightInd w:val="0"/>
      </w:pPr>
    </w:p>
    <w:p w:rsidRPr="00933F40" w:rsidR="00C224A2" w:rsidP="004C6E66" w:rsidRDefault="00C224A2" w14:paraId="5597EC2D" w14:textId="32050475">
      <w:pPr>
        <w:tabs>
          <w:tab w:val="left" w:pos="1620"/>
          <w:tab w:val="left" w:pos="1800"/>
          <w:tab w:val="right" w:leader="dot" w:pos="9180"/>
        </w:tabs>
        <w:autoSpaceDE w:val="0"/>
        <w:autoSpaceDN w:val="0"/>
        <w:adjustRightInd w:val="0"/>
      </w:pPr>
      <w:r w:rsidRPr="00933F40">
        <w:t xml:space="preserve">States </w:t>
      </w:r>
      <w:r w:rsidRPr="00933F40" w:rsidR="00E8734F">
        <w:t xml:space="preserve">also </w:t>
      </w:r>
      <w:r w:rsidRPr="00933F40">
        <w:t>submit</w:t>
      </w:r>
      <w:r w:rsidRPr="00933F40" w:rsidR="0085794F">
        <w:t xml:space="preserve"> MFP</w:t>
      </w:r>
      <w:r w:rsidRPr="00933F40">
        <w:t xml:space="preserve"> </w:t>
      </w:r>
      <w:r w:rsidRPr="00933F40" w:rsidR="0085794F">
        <w:t>S</w:t>
      </w:r>
      <w:r w:rsidRPr="00933F40">
        <w:t>emi-</w:t>
      </w:r>
      <w:r w:rsidRPr="00933F40" w:rsidR="0085794F">
        <w:t>A</w:t>
      </w:r>
      <w:r w:rsidRPr="00933F40">
        <w:t>nnual progress reports</w:t>
      </w:r>
      <w:r w:rsidR="00000EFA">
        <w:t xml:space="preserve"> (MFP_SemiAnnual_Final)</w:t>
      </w:r>
      <w:r w:rsidRPr="00933F40">
        <w:t xml:space="preserve"> to help CMS monitor the progress of program implementation at the grantee level.</w:t>
      </w:r>
    </w:p>
    <w:p w:rsidRPr="00933F40" w:rsidR="00C224A2" w:rsidP="004C6E66" w:rsidRDefault="00C224A2" w14:paraId="404C5995" w14:textId="77777777"/>
    <w:p w:rsidRPr="00933F40" w:rsidR="001F663E" w:rsidP="004C6E66" w:rsidRDefault="001F663E" w14:paraId="4C157DCC" w14:textId="77777777">
      <w:r w:rsidRPr="00933F40">
        <w:t>This package aims to reduce the reporting burden on States by presenting a substantially revised and shorted version of the MFP Semi-Annual progress report.</w:t>
      </w:r>
      <w:r w:rsidRPr="00933F40" w:rsidR="00E8734F">
        <w:t xml:space="preserve"> The MFP Budget Workbook has also been revised to combine t</w:t>
      </w:r>
      <w:r w:rsidRPr="00933F40" w:rsidR="00E16A22">
        <w:t>w</w:t>
      </w:r>
      <w:r w:rsidRPr="00933F40" w:rsidR="00E8734F">
        <w:t>o earlier reporting forms: the MFP Worksheet for Proposed Budget (WFPB) and Budget Narrative.</w:t>
      </w:r>
    </w:p>
    <w:p w:rsidRPr="00933F40" w:rsidR="00E63C12" w:rsidP="004C6E66" w:rsidRDefault="00E63C12" w14:paraId="6F87DEB0" w14:textId="77777777"/>
    <w:p w:rsidRPr="00933F40" w:rsidR="00C224A2" w:rsidP="008E1165" w:rsidRDefault="008E1165" w14:paraId="4A76EF23" w14:textId="77777777">
      <w:pPr>
        <w:numPr>
          <w:ilvl w:val="0"/>
          <w:numId w:val="3"/>
        </w:numPr>
        <w:outlineLvl w:val="0"/>
        <w:rPr>
          <w:b/>
        </w:rPr>
      </w:pPr>
      <w:r w:rsidRPr="00933F40">
        <w:rPr>
          <w:b/>
        </w:rPr>
        <w:t>Justification</w:t>
      </w:r>
    </w:p>
    <w:p w:rsidRPr="00933F40" w:rsidR="00C224A2" w:rsidP="004C6E66" w:rsidRDefault="00C224A2" w14:paraId="4FC0EC74" w14:textId="77777777">
      <w:pPr>
        <w:rPr>
          <w:u w:val="single"/>
        </w:rPr>
      </w:pPr>
    </w:p>
    <w:p w:rsidRPr="00933F40" w:rsidR="00C224A2" w:rsidP="004C6E66" w:rsidRDefault="00C224A2" w14:paraId="373BF6B5" w14:textId="77777777">
      <w:pPr>
        <w:outlineLvl w:val="0"/>
        <w:rPr>
          <w:u w:val="single"/>
        </w:rPr>
      </w:pPr>
      <w:r w:rsidRPr="00933F40">
        <w:t>1.</w:t>
      </w:r>
      <w:r w:rsidRPr="00933F40">
        <w:tab/>
      </w:r>
      <w:r w:rsidRPr="00933F40">
        <w:rPr>
          <w:u w:val="single"/>
        </w:rPr>
        <w:t>Need and Legal Basis</w:t>
      </w:r>
    </w:p>
    <w:p w:rsidRPr="00933F40" w:rsidR="00C224A2" w:rsidP="004C6E66" w:rsidRDefault="00C224A2" w14:paraId="12744C0F" w14:textId="77777777">
      <w:pPr>
        <w:outlineLvl w:val="0"/>
        <w:rPr>
          <w:u w:val="single"/>
        </w:rPr>
      </w:pPr>
    </w:p>
    <w:p w:rsidRPr="00933F40" w:rsidR="00C224A2" w:rsidP="004C6E66" w:rsidRDefault="00C224A2" w14:paraId="129687CF" w14:textId="77777777">
      <w:r w:rsidRPr="00933F40">
        <w:t xml:space="preserve">Under section 6071 of the Deficit Reduction Act of 2005 (P.L. 109-171) subsection (c), the Secretary may require States to meet requirements and provide additional information, provisions, and assurances.  Through the Operational Protocol, States provide the requirements, information, provisions and assurances which, following CMS approval, States may enroll individuals in the State’s demonstration program or begin to claim for service dollars. </w:t>
      </w:r>
    </w:p>
    <w:p w:rsidRPr="00933F40" w:rsidR="00C224A2" w:rsidP="004C6E66" w:rsidRDefault="00C224A2" w14:paraId="33E4D80E" w14:textId="77777777">
      <w:pPr>
        <w:autoSpaceDE w:val="0"/>
        <w:autoSpaceDN w:val="0"/>
        <w:adjustRightInd w:val="0"/>
        <w:rPr>
          <w:bCs/>
        </w:rPr>
      </w:pPr>
    </w:p>
    <w:p w:rsidRPr="00933F40" w:rsidR="00C224A2" w:rsidP="004C6E66" w:rsidRDefault="00C224A2" w14:paraId="6D417257" w14:textId="77777777">
      <w:pPr>
        <w:autoSpaceDE w:val="0"/>
        <w:autoSpaceDN w:val="0"/>
        <w:adjustRightInd w:val="0"/>
        <w:outlineLvl w:val="0"/>
        <w:rPr>
          <w:u w:val="single"/>
        </w:rPr>
      </w:pPr>
      <w:r w:rsidRPr="00933F40">
        <w:t>2.</w:t>
      </w:r>
      <w:r w:rsidRPr="00933F40">
        <w:tab/>
      </w:r>
      <w:r w:rsidRPr="00933F40">
        <w:rPr>
          <w:u w:val="single"/>
        </w:rPr>
        <w:t>Information Users</w:t>
      </w:r>
    </w:p>
    <w:p w:rsidRPr="00933F40" w:rsidR="00C224A2" w:rsidP="004C6E66" w:rsidRDefault="00C224A2" w14:paraId="02CC6AF8" w14:textId="77777777">
      <w:pPr>
        <w:autoSpaceDE w:val="0"/>
        <w:autoSpaceDN w:val="0"/>
        <w:adjustRightInd w:val="0"/>
      </w:pPr>
    </w:p>
    <w:p w:rsidRPr="00933F40" w:rsidR="00C224A2" w:rsidP="004C6E66" w:rsidRDefault="00C224A2" w14:paraId="77306D34" w14:textId="77777777">
      <w:r w:rsidRPr="00933F40">
        <w:t xml:space="preserve">State Operational Protocols should provide enough information </w:t>
      </w:r>
      <w:r w:rsidRPr="00933F40" w:rsidR="00422957">
        <w:t xml:space="preserve">such </w:t>
      </w:r>
      <w:r w:rsidRPr="00933F40">
        <w:t>that</w:t>
      </w:r>
      <w:r w:rsidRPr="00933F40" w:rsidR="00422957">
        <w:t>:</w:t>
      </w:r>
      <w:r w:rsidRPr="00933F40">
        <w:t xml:space="preserve"> the CMS Project Officer and other federal officials may use it to understand the operation of the demonstration and/or prepare for potential site visits without needing additional information; the State Project Director can use it as the manual for program implementation; and external stakeholders may use it to understand the operation of the demonstration.</w:t>
      </w:r>
    </w:p>
    <w:p w:rsidRPr="00933F40" w:rsidR="00C224A2" w:rsidP="004C6E66" w:rsidRDefault="00C224A2" w14:paraId="17DA5E2E" w14:textId="77777777"/>
    <w:p w:rsidRPr="00933F40" w:rsidR="00C224A2" w:rsidP="004C6E66" w:rsidRDefault="00C224A2" w14:paraId="2F5BBFB0" w14:textId="15638B9C">
      <w:pPr>
        <w:autoSpaceDE w:val="0"/>
        <w:autoSpaceDN w:val="0"/>
        <w:adjustRightInd w:val="0"/>
      </w:pPr>
      <w:r w:rsidRPr="00933F40">
        <w:t>The financial information collection will be used in CMS</w:t>
      </w:r>
      <w:r w:rsidRPr="00933F40">
        <w:rPr>
          <w:b/>
        </w:rPr>
        <w:t xml:space="preserve"> </w:t>
      </w:r>
      <w:r w:rsidRPr="00933F40">
        <w:t xml:space="preserve">financial statements and shared with the auditors who validate CMS’ financial position.  The </w:t>
      </w:r>
      <w:r w:rsidR="00000EFA">
        <w:t xml:space="preserve">MFP </w:t>
      </w:r>
      <w:r w:rsidRPr="00933F40">
        <w:t xml:space="preserve">MOE </w:t>
      </w:r>
      <w:r w:rsidR="00000EFA">
        <w:t>F</w:t>
      </w:r>
      <w:r w:rsidRPr="00933F40">
        <w:t xml:space="preserve">orms as well as the MFP Budget </w:t>
      </w:r>
      <w:r w:rsidRPr="00933F40" w:rsidR="001F663E">
        <w:t xml:space="preserve">Workbook </w:t>
      </w:r>
      <w:r w:rsidRPr="00933F40">
        <w:t xml:space="preserve">are required each year.  Submissions of MFP Demonstration Financial Forms are </w:t>
      </w:r>
      <w:r w:rsidRPr="00933F40" w:rsidR="00686D62">
        <w:t>3</w:t>
      </w:r>
      <w:r w:rsidRPr="00933F40">
        <w:t>0 days after the end of each Federal fiscal quarter</w:t>
      </w:r>
      <w:r w:rsidRPr="00933F40" w:rsidR="001F663E">
        <w:t xml:space="preserve"> and semi-annually.</w:t>
      </w:r>
      <w:r w:rsidRPr="00933F40">
        <w:t xml:space="preserve">  </w:t>
      </w:r>
    </w:p>
    <w:p w:rsidRPr="00933F40" w:rsidR="00C224A2" w:rsidP="004C6E66" w:rsidRDefault="00C224A2" w14:paraId="6DD58685" w14:textId="77777777">
      <w:pPr>
        <w:autoSpaceDE w:val="0"/>
        <w:autoSpaceDN w:val="0"/>
        <w:adjustRightInd w:val="0"/>
      </w:pPr>
    </w:p>
    <w:p w:rsidRPr="00933F40" w:rsidR="00C224A2" w:rsidP="001F663E" w:rsidRDefault="00C224A2" w14:paraId="33969660" w14:textId="697F713E">
      <w:pPr>
        <w:autoSpaceDE w:val="0"/>
        <w:autoSpaceDN w:val="0"/>
        <w:adjustRightInd w:val="0"/>
      </w:pPr>
      <w:r w:rsidRPr="00933F40">
        <w:t xml:space="preserve">The </w:t>
      </w:r>
      <w:r w:rsidRPr="00933F40" w:rsidR="001F663E">
        <w:t>MFP S</w:t>
      </w:r>
      <w:r w:rsidRPr="00933F40">
        <w:t>emi-</w:t>
      </w:r>
      <w:r w:rsidRPr="00933F40" w:rsidR="001F663E">
        <w:t>A</w:t>
      </w:r>
      <w:r w:rsidRPr="00933F40">
        <w:t>nnual progress reports will be used by CMS to monitor program implementation at the grantee level</w:t>
      </w:r>
      <w:r w:rsidRPr="00933F40" w:rsidR="001F663E">
        <w:t xml:space="preserve"> and are submitted by States twice a year. The first period report is submitted in July/August of each year for progress made from January to June of t</w:t>
      </w:r>
      <w:r w:rsidRPr="00933F40" w:rsidR="002677CF">
        <w:t>he reporting</w:t>
      </w:r>
      <w:r w:rsidRPr="00933F40" w:rsidR="001F663E">
        <w:t xml:space="preserve"> year. The second period report is submitted January/February</w:t>
      </w:r>
      <w:r w:rsidRPr="00933F40" w:rsidR="002677CF">
        <w:t xml:space="preserve"> of the following year</w:t>
      </w:r>
      <w:r w:rsidRPr="00933F40" w:rsidR="001F663E">
        <w:t xml:space="preserve"> for progress made from July to December of th</w:t>
      </w:r>
      <w:r w:rsidRPr="00933F40" w:rsidR="002677CF">
        <w:t>e reporting</w:t>
      </w:r>
      <w:r w:rsidRPr="00933F40" w:rsidR="001F663E">
        <w:t xml:space="preserve"> year. </w:t>
      </w:r>
    </w:p>
    <w:p w:rsidRPr="00933F40" w:rsidR="00C224A2" w:rsidP="004C6E66" w:rsidRDefault="00C224A2" w14:paraId="3313B6AB" w14:textId="77777777">
      <w:pPr>
        <w:autoSpaceDE w:val="0"/>
        <w:autoSpaceDN w:val="0"/>
        <w:adjustRightInd w:val="0"/>
      </w:pPr>
    </w:p>
    <w:p w:rsidRPr="00933F40" w:rsidR="00C224A2" w:rsidP="004C6E66" w:rsidRDefault="00C224A2" w14:paraId="16539724" w14:textId="77777777">
      <w:pPr>
        <w:outlineLvl w:val="0"/>
        <w:rPr>
          <w:u w:val="single"/>
        </w:rPr>
      </w:pPr>
      <w:r w:rsidRPr="00933F40">
        <w:t>3.</w:t>
      </w:r>
      <w:r w:rsidRPr="00933F40">
        <w:tab/>
      </w:r>
      <w:r w:rsidRPr="00933F40">
        <w:rPr>
          <w:u w:val="single"/>
        </w:rPr>
        <w:t>Improved Information Technology</w:t>
      </w:r>
    </w:p>
    <w:p w:rsidRPr="00933F40" w:rsidR="00C224A2" w:rsidP="004C6E66" w:rsidRDefault="00C224A2" w14:paraId="1FD9EB77" w14:textId="77777777"/>
    <w:p w:rsidRPr="00933F40" w:rsidR="00C224A2" w:rsidP="001775F6" w:rsidRDefault="001775F6" w14:paraId="062AEE3B" w14:textId="54148620">
      <w:pPr>
        <w:outlineLvl w:val="0"/>
      </w:pPr>
      <w:r w:rsidRPr="00933F40">
        <w:t xml:space="preserve">The </w:t>
      </w:r>
      <w:bookmarkStart w:name="_Hlk77240378" w:id="0"/>
      <w:r w:rsidRPr="00933F40">
        <w:t>Operational Protocol template</w:t>
      </w:r>
      <w:bookmarkEnd w:id="0"/>
      <w:r w:rsidRPr="00933F40">
        <w:t xml:space="preserve"> is available in electronic format and has been </w:t>
      </w:r>
      <w:r w:rsidR="009143B3">
        <w:t>provided</w:t>
      </w:r>
      <w:r w:rsidRPr="00933F40" w:rsidR="009143B3">
        <w:t xml:space="preserve"> </w:t>
      </w:r>
      <w:r w:rsidR="009143B3">
        <w:t>to</w:t>
      </w:r>
      <w:r w:rsidRPr="00933F40">
        <w:t xml:space="preserve"> grantees</w:t>
      </w:r>
      <w:r w:rsidR="00000EFA">
        <w:t xml:space="preserve"> in the initial application process</w:t>
      </w:r>
      <w:r w:rsidRPr="00933F40">
        <w:t xml:space="preserve">.  </w:t>
      </w:r>
      <w:r w:rsidRPr="00933F40" w:rsidR="00C224A2">
        <w:t xml:space="preserve">States may submit the Operational Protocol and financial forms via email. </w:t>
      </w:r>
    </w:p>
    <w:p w:rsidRPr="00933F40" w:rsidR="00C224A2" w:rsidP="004C6E66" w:rsidRDefault="00C224A2" w14:paraId="3801F12D" w14:textId="77777777"/>
    <w:p w:rsidRPr="00933F40" w:rsidR="00C224A2" w:rsidP="004C6E66" w:rsidRDefault="00C224A2" w14:paraId="3D8E177A" w14:textId="77777777">
      <w:r w:rsidRPr="00933F40">
        <w:t xml:space="preserve">The </w:t>
      </w:r>
      <w:r w:rsidRPr="00933F40" w:rsidR="003D32D0">
        <w:t>MFP S</w:t>
      </w:r>
      <w:r w:rsidRPr="00933F40">
        <w:t>emi-</w:t>
      </w:r>
      <w:r w:rsidRPr="00933F40" w:rsidR="003D32D0">
        <w:t>A</w:t>
      </w:r>
      <w:r w:rsidRPr="00933F40">
        <w:t xml:space="preserve">nnual progress reports will </w:t>
      </w:r>
      <w:r w:rsidRPr="00933F40" w:rsidR="00324D1F">
        <w:t xml:space="preserve">be submitted to CMS via a fillable pdf.  </w:t>
      </w:r>
    </w:p>
    <w:p w:rsidRPr="00933F40" w:rsidR="001536DB" w:rsidP="004C6E66" w:rsidRDefault="001536DB" w14:paraId="0F276BC7" w14:textId="77777777"/>
    <w:p w:rsidRPr="00933F40" w:rsidR="001536DB" w:rsidP="001536DB" w:rsidRDefault="001536DB" w14:paraId="765E7D91" w14:textId="77777777">
      <w:r w:rsidRPr="00933F40">
        <w:lastRenderedPageBreak/>
        <w:t xml:space="preserve">The SF-425 Forms will be submitted through the Payment Management System (PMS). The </w:t>
      </w:r>
      <w:r w:rsidRPr="00933F40" w:rsidR="007F7889">
        <w:t xml:space="preserve">Quarterly </w:t>
      </w:r>
      <w:r w:rsidRPr="00933F40">
        <w:t xml:space="preserve">ABCD </w:t>
      </w:r>
      <w:r w:rsidRPr="00933F40" w:rsidR="007F7889">
        <w:t xml:space="preserve">Financial Forms </w:t>
      </w:r>
      <w:r w:rsidRPr="00933F40">
        <w:t>will be submitted quarterly as a Grant Note through GrantSolutions. The MFP Budget Workbook is sent to CMS and CMS 64i Forms are submitted through Medicaid Budget and Expenditure System (MBES).</w:t>
      </w:r>
    </w:p>
    <w:p w:rsidRPr="00933F40" w:rsidR="00C224A2" w:rsidP="004C6E66" w:rsidRDefault="00C224A2" w14:paraId="2204206F" w14:textId="77777777">
      <w:pPr>
        <w:rPr>
          <w:b/>
        </w:rPr>
      </w:pPr>
    </w:p>
    <w:p w:rsidRPr="00933F40" w:rsidR="00C224A2" w:rsidP="004C6E66" w:rsidRDefault="00C224A2" w14:paraId="135D0670" w14:textId="77777777">
      <w:pPr>
        <w:outlineLvl w:val="0"/>
        <w:rPr>
          <w:u w:val="single"/>
        </w:rPr>
      </w:pPr>
      <w:r w:rsidRPr="00933F40">
        <w:t>4.</w:t>
      </w:r>
      <w:r w:rsidRPr="00933F40">
        <w:tab/>
      </w:r>
      <w:r w:rsidRPr="00933F40">
        <w:rPr>
          <w:u w:val="single"/>
        </w:rPr>
        <w:t>Duplication/Similar Information</w:t>
      </w:r>
    </w:p>
    <w:p w:rsidRPr="00933F40" w:rsidR="00C224A2" w:rsidP="004C6E66" w:rsidRDefault="00C224A2" w14:paraId="72CCAE6E" w14:textId="77777777"/>
    <w:p w:rsidRPr="00933F40" w:rsidR="007579A1" w:rsidP="004C6E66" w:rsidRDefault="00C224A2" w14:paraId="314CB78F" w14:textId="77777777">
      <w:pPr>
        <w:outlineLvl w:val="0"/>
      </w:pPr>
      <w:r w:rsidRPr="00933F40">
        <w:t>This information collection does not duplicate any other effort and the information cannot be obtained from any other source.</w:t>
      </w:r>
    </w:p>
    <w:p w:rsidRPr="00933F40" w:rsidR="00C224A2" w:rsidP="004C6E66" w:rsidRDefault="00C224A2" w14:paraId="672ABDB1" w14:textId="77777777">
      <w:pPr>
        <w:outlineLvl w:val="0"/>
      </w:pPr>
    </w:p>
    <w:p w:rsidRPr="00933F40" w:rsidR="00C224A2" w:rsidP="004C6E66" w:rsidRDefault="00C224A2" w14:paraId="6DBC19D9" w14:textId="77777777">
      <w:pPr>
        <w:outlineLvl w:val="0"/>
        <w:rPr>
          <w:u w:val="single"/>
        </w:rPr>
      </w:pPr>
      <w:r w:rsidRPr="00933F40">
        <w:t>5.</w:t>
      </w:r>
      <w:r w:rsidRPr="00933F40">
        <w:tab/>
      </w:r>
      <w:r w:rsidRPr="00933F40">
        <w:rPr>
          <w:u w:val="single"/>
        </w:rPr>
        <w:t>Small Business</w:t>
      </w:r>
    </w:p>
    <w:p w:rsidRPr="00933F40" w:rsidR="00C224A2" w:rsidP="004C6E66" w:rsidRDefault="00C224A2" w14:paraId="64387EE9" w14:textId="77777777">
      <w:pPr>
        <w:rPr>
          <w:u w:val="single"/>
        </w:rPr>
      </w:pPr>
    </w:p>
    <w:p w:rsidRPr="00933F40" w:rsidR="00C224A2" w:rsidP="00503A36" w:rsidRDefault="00C224A2" w14:paraId="66698BD5" w14:textId="77777777">
      <w:pPr>
        <w:outlineLvl w:val="0"/>
      </w:pPr>
      <w:r w:rsidRPr="00933F40">
        <w:t>This request does not affect small businesses.</w:t>
      </w:r>
    </w:p>
    <w:p w:rsidRPr="00933F40" w:rsidR="00C224A2" w:rsidP="004C6E66" w:rsidRDefault="00C224A2" w14:paraId="7A264663" w14:textId="77777777"/>
    <w:p w:rsidRPr="00933F40" w:rsidR="00C224A2" w:rsidP="004C6E66" w:rsidRDefault="00C224A2" w14:paraId="29674644" w14:textId="77777777">
      <w:pPr>
        <w:outlineLvl w:val="0"/>
        <w:rPr>
          <w:u w:val="single"/>
        </w:rPr>
      </w:pPr>
      <w:r w:rsidRPr="00933F40">
        <w:t>6.</w:t>
      </w:r>
      <w:r w:rsidRPr="00933F40">
        <w:tab/>
      </w:r>
      <w:r w:rsidRPr="00933F40">
        <w:rPr>
          <w:u w:val="single"/>
        </w:rPr>
        <w:t>Less Frequent Collection</w:t>
      </w:r>
    </w:p>
    <w:p w:rsidRPr="00933F40" w:rsidR="00C224A2" w:rsidP="004C6E66" w:rsidRDefault="00C224A2" w14:paraId="79FF73BE" w14:textId="77777777">
      <w:pPr>
        <w:rPr>
          <w:b/>
          <w:u w:val="single"/>
        </w:rPr>
      </w:pPr>
    </w:p>
    <w:p w:rsidRPr="00933F40" w:rsidR="00C224A2" w:rsidP="004C6E66" w:rsidRDefault="00C224A2" w14:paraId="58084672" w14:textId="37A7349F">
      <w:pPr>
        <w:autoSpaceDE w:val="0"/>
        <w:autoSpaceDN w:val="0"/>
        <w:adjustRightInd w:val="0"/>
      </w:pPr>
      <w:r w:rsidRPr="00933F40">
        <w:t xml:space="preserve">The </w:t>
      </w:r>
      <w:r w:rsidR="00000EFA">
        <w:t>Operational Protocol (</w:t>
      </w:r>
      <w:r w:rsidRPr="00933F40">
        <w:t>OP</w:t>
      </w:r>
      <w:r w:rsidR="00000EFA">
        <w:t>)</w:t>
      </w:r>
      <w:r w:rsidRPr="00933F40">
        <w:t xml:space="preserve"> will be submitted to CMS no later than 60 days prior to the planned program implementation date or 12 months after the award date, whichever is earlier.  Once the OP is approved, there is no need to resubmit (unless changes are made to the program).  At the end of each demonstration grant year, States are required to produce the </w:t>
      </w:r>
      <w:r w:rsidR="00000EFA">
        <w:t xml:space="preserve">MFP </w:t>
      </w:r>
      <w:r w:rsidRPr="00933F40">
        <w:t>MOE</w:t>
      </w:r>
      <w:r w:rsidR="00000EFA">
        <w:t xml:space="preserve"> Form</w:t>
      </w:r>
      <w:r w:rsidRPr="00933F40">
        <w:t xml:space="preserve"> and MFP Budget </w:t>
      </w:r>
      <w:r w:rsidRPr="00933F40" w:rsidR="001536DB">
        <w:t xml:space="preserve">Workbooks </w:t>
      </w:r>
      <w:r w:rsidRPr="00933F40">
        <w:t>on an annual basis.  Additionally,</w:t>
      </w:r>
      <w:r w:rsidRPr="00933F40" w:rsidR="003D32D0">
        <w:t xml:space="preserve"> States are required to submit the SF-425 semi-annually, the </w:t>
      </w:r>
      <w:r w:rsidR="00000EFA">
        <w:t>q</w:t>
      </w:r>
      <w:r w:rsidRPr="00933F40" w:rsidR="007F7889">
        <w:t xml:space="preserve">uarterly </w:t>
      </w:r>
      <w:r w:rsidR="00000EFA">
        <w:t xml:space="preserve">MFP </w:t>
      </w:r>
      <w:r w:rsidRPr="00933F40" w:rsidR="007F7889">
        <w:t xml:space="preserve">Financial </w:t>
      </w:r>
      <w:r w:rsidR="00000EFA">
        <w:t xml:space="preserve">Reporting </w:t>
      </w:r>
      <w:r w:rsidRPr="00933F40" w:rsidR="007F7889">
        <w:t>Forms</w:t>
      </w:r>
      <w:r w:rsidRPr="00933F40" w:rsidR="003D32D0">
        <w:t xml:space="preserve"> </w:t>
      </w:r>
      <w:r w:rsidR="00000EFA">
        <w:t xml:space="preserve">ABCD </w:t>
      </w:r>
      <w:r w:rsidRPr="00933F40" w:rsidR="003D32D0">
        <w:t>and the CMS 64i forms quarterly</w:t>
      </w:r>
      <w:r w:rsidRPr="00933F40" w:rsidR="00E16A22">
        <w:t>.</w:t>
      </w:r>
    </w:p>
    <w:p w:rsidRPr="00933F40" w:rsidR="00C224A2" w:rsidP="004C6E66" w:rsidRDefault="00C224A2" w14:paraId="50835828" w14:textId="77777777">
      <w:pPr>
        <w:autoSpaceDE w:val="0"/>
        <w:autoSpaceDN w:val="0"/>
        <w:adjustRightInd w:val="0"/>
      </w:pPr>
    </w:p>
    <w:p w:rsidRPr="00933F40" w:rsidR="00C224A2" w:rsidP="004C6E66" w:rsidRDefault="00C224A2" w14:paraId="59D9E11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33F40">
        <w:t xml:space="preserve">Grantees will submit </w:t>
      </w:r>
      <w:r w:rsidRPr="00933F40" w:rsidR="003D32D0">
        <w:t xml:space="preserve">MFP Semi-Annual </w:t>
      </w:r>
      <w:r w:rsidRPr="00933F40">
        <w:t>progress reports on a semi-annual basis. If the collection of this information is not conducted or is conducted less frequently, the ability to effectively monitor the grant program may be compromised.  CMS feels that the semi-annual collection of reports from the MFP grantees represent the minimal collection effort required to achieve the basic monitoring elements of the programs.</w:t>
      </w:r>
    </w:p>
    <w:p w:rsidRPr="00933F40" w:rsidR="00C224A2" w:rsidP="004C6E66" w:rsidRDefault="00C224A2" w14:paraId="169CA159" w14:textId="77777777">
      <w:pPr>
        <w:outlineLvl w:val="0"/>
      </w:pPr>
    </w:p>
    <w:p w:rsidRPr="00933F40" w:rsidR="00C224A2" w:rsidP="004C6E66" w:rsidRDefault="00C224A2" w14:paraId="11E68816" w14:textId="77777777">
      <w:pPr>
        <w:outlineLvl w:val="0"/>
        <w:rPr>
          <w:u w:val="single"/>
        </w:rPr>
      </w:pPr>
      <w:r w:rsidRPr="00933F40">
        <w:t>7.</w:t>
      </w:r>
      <w:r w:rsidRPr="00933F40">
        <w:tab/>
      </w:r>
      <w:r w:rsidRPr="00933F40">
        <w:rPr>
          <w:u w:val="single"/>
        </w:rPr>
        <w:t>Special Circumstances</w:t>
      </w:r>
    </w:p>
    <w:p w:rsidRPr="00933F40" w:rsidR="00C224A2" w:rsidP="004C6E66" w:rsidRDefault="00C224A2" w14:paraId="53FF62AC" w14:textId="77777777"/>
    <w:p w:rsidRPr="00933F40" w:rsidR="0078484E" w:rsidP="0078484E" w:rsidRDefault="0078484E" w14:paraId="0779408C" w14:textId="77777777">
      <w:r w:rsidRPr="00933F40">
        <w:t>There are no special circumstances that would require an information collection to be conducted in a manner that requires respondents to:</w:t>
      </w:r>
    </w:p>
    <w:p w:rsidRPr="00933F40" w:rsidR="0078484E" w:rsidP="00F50767" w:rsidRDefault="0078484E" w14:paraId="51ADE917" w14:textId="77777777">
      <w:pPr>
        <w:numPr>
          <w:ilvl w:val="0"/>
          <w:numId w:val="6"/>
        </w:numPr>
      </w:pPr>
      <w:r w:rsidRPr="00933F40">
        <w:t>Report information to the agency more often than quarterly;</w:t>
      </w:r>
    </w:p>
    <w:p w:rsidRPr="00933F40" w:rsidR="0078484E" w:rsidP="00F50767" w:rsidRDefault="0078484E" w14:paraId="17D3F3F8" w14:textId="77777777">
      <w:pPr>
        <w:numPr>
          <w:ilvl w:val="0"/>
          <w:numId w:val="6"/>
        </w:numPr>
      </w:pPr>
      <w:r w:rsidRPr="00933F40">
        <w:t xml:space="preserve">Prepare a written response to a collection of information in fewer than 30 days after receipt of it; </w:t>
      </w:r>
    </w:p>
    <w:p w:rsidRPr="00933F40" w:rsidR="0078484E" w:rsidP="00F50767" w:rsidRDefault="0078484E" w14:paraId="3943380D" w14:textId="77777777">
      <w:pPr>
        <w:numPr>
          <w:ilvl w:val="0"/>
          <w:numId w:val="6"/>
        </w:numPr>
      </w:pPr>
      <w:r w:rsidRPr="00933F40">
        <w:t>Submit more than an original and two copies of any document;</w:t>
      </w:r>
    </w:p>
    <w:p w:rsidRPr="00933F40" w:rsidR="0078484E" w:rsidP="00F50767" w:rsidRDefault="0078484E" w14:paraId="62CA2516" w14:textId="77777777">
      <w:pPr>
        <w:numPr>
          <w:ilvl w:val="0"/>
          <w:numId w:val="6"/>
        </w:numPr>
      </w:pPr>
      <w:r w:rsidRPr="00933F40">
        <w:t>Retain records, other than health, medical, government contract, grant-in-aid, or tax records for more than three years;</w:t>
      </w:r>
    </w:p>
    <w:p w:rsidRPr="00933F40" w:rsidR="0078484E" w:rsidP="00F50767" w:rsidRDefault="0078484E" w14:paraId="7FFD9913" w14:textId="77777777">
      <w:pPr>
        <w:numPr>
          <w:ilvl w:val="0"/>
          <w:numId w:val="6"/>
        </w:numPr>
      </w:pPr>
      <w:r w:rsidRPr="00933F40">
        <w:t>Collect data in connection with a statistical survey that is not designed to produce valid and reliable results that can be generalized to the universe of study,</w:t>
      </w:r>
    </w:p>
    <w:p w:rsidRPr="00933F40" w:rsidR="0078484E" w:rsidP="00F50767" w:rsidRDefault="0078484E" w14:paraId="3EE6772C" w14:textId="77777777">
      <w:pPr>
        <w:numPr>
          <w:ilvl w:val="0"/>
          <w:numId w:val="6"/>
        </w:numPr>
      </w:pPr>
      <w:r w:rsidRPr="00933F40">
        <w:t>Use a statistical data classification that has not been reviewed and approved by OMB;</w:t>
      </w:r>
    </w:p>
    <w:p w:rsidRPr="00933F40" w:rsidR="0078484E" w:rsidP="00F50767" w:rsidRDefault="0078484E" w14:paraId="2A76A3D5" w14:textId="77777777">
      <w:pPr>
        <w:numPr>
          <w:ilvl w:val="0"/>
          <w:numId w:val="6"/>
        </w:numPr>
      </w:pPr>
      <w:r w:rsidRPr="00933F40">
        <w:t xml:space="preserve">Include a pledge of confidentiality that is not supported by authority established in statute or regulation that is not supported by disclosure and data security policies that are </w:t>
      </w:r>
      <w:r w:rsidRPr="00933F40">
        <w:lastRenderedPageBreak/>
        <w:t>consistent with the pledge, or which unnecessarily impedes sharing of data with other agencies for compatible confidential use; or</w:t>
      </w:r>
    </w:p>
    <w:p w:rsidRPr="00933F40" w:rsidR="0078484E" w:rsidP="00F50767" w:rsidRDefault="0078484E" w14:paraId="2477FBD8" w14:textId="77777777">
      <w:pPr>
        <w:numPr>
          <w:ilvl w:val="0"/>
          <w:numId w:val="6"/>
        </w:numPr>
      </w:pPr>
      <w:r w:rsidRPr="00933F40">
        <w:t>Submit proprietary trade secret, or other confidential information unless the agency can demonstrate that it has instituted procedures to protect the information's confidentiality to the extent permitted by law.</w:t>
      </w:r>
    </w:p>
    <w:p w:rsidRPr="00933F40" w:rsidR="0078484E" w:rsidP="004C6E66" w:rsidRDefault="0078484E" w14:paraId="2A0562AA" w14:textId="77777777"/>
    <w:p w:rsidRPr="00933F40" w:rsidR="00C224A2" w:rsidP="004C6E66" w:rsidRDefault="00C224A2" w14:paraId="2BA6DB64" w14:textId="77777777">
      <w:pPr>
        <w:outlineLvl w:val="0"/>
        <w:rPr>
          <w:u w:val="single"/>
        </w:rPr>
      </w:pPr>
      <w:r w:rsidRPr="00933F40">
        <w:t>8.</w:t>
      </w:r>
      <w:r w:rsidRPr="00933F40">
        <w:tab/>
      </w:r>
      <w:r w:rsidRPr="00933F40">
        <w:rPr>
          <w:u w:val="single"/>
        </w:rPr>
        <w:t>Federal Register Notice</w:t>
      </w:r>
      <w:r w:rsidRPr="00933F40" w:rsidR="00716ECD">
        <w:rPr>
          <w:u w:val="single"/>
        </w:rPr>
        <w:t>/Outside Consultations</w:t>
      </w:r>
    </w:p>
    <w:p w:rsidRPr="00933F40" w:rsidR="00C224A2" w:rsidP="004C6E66" w:rsidRDefault="00C224A2" w14:paraId="3B3B57AE" w14:textId="77777777"/>
    <w:p w:rsidRPr="00933F40" w:rsidR="008F25C0" w:rsidP="008F25C0" w:rsidRDefault="007F7B59" w14:paraId="59DD9C60" w14:textId="1FB1DE64">
      <w:pPr>
        <w:outlineLvl w:val="0"/>
      </w:pPr>
      <w:r w:rsidRPr="00933F40">
        <w:t xml:space="preserve">The </w:t>
      </w:r>
      <w:r w:rsidRPr="00933F40" w:rsidR="00C224A2">
        <w:t xml:space="preserve">60-day notice </w:t>
      </w:r>
      <w:r w:rsidRPr="00933F40">
        <w:t xml:space="preserve">published </w:t>
      </w:r>
      <w:r w:rsidRPr="00933F40" w:rsidR="002F55FC">
        <w:t xml:space="preserve">in the Federal Register </w:t>
      </w:r>
      <w:r w:rsidRPr="00933F40">
        <w:t xml:space="preserve">on </w:t>
      </w:r>
      <w:r w:rsidRPr="00933F40" w:rsidR="00DF27E5">
        <w:t>May 3, 2021 (86 FR 23384)</w:t>
      </w:r>
      <w:r w:rsidRPr="00933F40" w:rsidR="00716ECD">
        <w:t>.</w:t>
      </w:r>
      <w:r w:rsidRPr="00933F40" w:rsidR="003734D5">
        <w:t xml:space="preserve"> </w:t>
      </w:r>
      <w:r w:rsidRPr="00933F40" w:rsidR="008F25C0">
        <w:t>While comments were due July 2, 2021, none were received.</w:t>
      </w:r>
    </w:p>
    <w:p w:rsidRPr="00933F40" w:rsidR="008F25C0" w:rsidP="008F25C0" w:rsidRDefault="008F25C0" w14:paraId="25C4FB00" w14:textId="77777777"/>
    <w:p w:rsidRPr="00933F40" w:rsidR="008F25C0" w:rsidP="008F25C0" w:rsidRDefault="008F25C0" w14:paraId="10DDE69A" w14:textId="249A8850">
      <w:r w:rsidRPr="00933F40">
        <w:t>The 30-day notice published in the Federal Register on July 9, 2021 (86 FR 36281). Comments must be received by the OMB desk officer by August 9, 2021.</w:t>
      </w:r>
    </w:p>
    <w:p w:rsidRPr="00933F40" w:rsidR="00E44A48" w:rsidP="00DF27E5" w:rsidRDefault="00E44A48" w14:paraId="57BB8359" w14:textId="77777777">
      <w:pPr>
        <w:outlineLvl w:val="0"/>
      </w:pPr>
    </w:p>
    <w:p w:rsidRPr="00933F40" w:rsidR="00337302" w:rsidP="004C6E66" w:rsidRDefault="00337302" w14:paraId="79BA4650" w14:textId="77777777">
      <w:pPr>
        <w:ind w:firstLine="720"/>
        <w:outlineLvl w:val="0"/>
      </w:pPr>
    </w:p>
    <w:p w:rsidRPr="00933F40" w:rsidR="00C224A2" w:rsidP="004C6E66" w:rsidRDefault="00C224A2" w14:paraId="7A286904" w14:textId="77777777">
      <w:pPr>
        <w:outlineLvl w:val="0"/>
        <w:rPr>
          <w:u w:val="single"/>
        </w:rPr>
      </w:pPr>
      <w:r w:rsidRPr="00933F40">
        <w:t>9.</w:t>
      </w:r>
      <w:r w:rsidRPr="00933F40">
        <w:tab/>
      </w:r>
      <w:r w:rsidRPr="00933F40">
        <w:rPr>
          <w:u w:val="single"/>
        </w:rPr>
        <w:t>Payment/Gift to Respondent</w:t>
      </w:r>
    </w:p>
    <w:p w:rsidRPr="00933F40" w:rsidR="00503A36" w:rsidP="004C6E66" w:rsidRDefault="00503A36" w14:paraId="7B51A554" w14:textId="77777777">
      <w:pPr>
        <w:outlineLvl w:val="0"/>
        <w:rPr>
          <w:u w:val="single"/>
        </w:rPr>
      </w:pPr>
    </w:p>
    <w:p w:rsidRPr="00933F40" w:rsidR="00C224A2" w:rsidP="004C6E66" w:rsidRDefault="00C224A2" w14:paraId="0640707E" w14:textId="77777777">
      <w:pPr>
        <w:autoSpaceDE w:val="0"/>
        <w:autoSpaceDN w:val="0"/>
        <w:adjustRightInd w:val="0"/>
        <w:rPr>
          <w:sz w:val="20"/>
          <w:szCs w:val="20"/>
        </w:rPr>
      </w:pPr>
      <w:r w:rsidRPr="00933F40">
        <w:t>This collection of information does not provide for any additional payment or any gifts to the state</w:t>
      </w:r>
      <w:r w:rsidRPr="00933F40" w:rsidR="00324D1F">
        <w:t>.</w:t>
      </w:r>
      <w:r w:rsidRPr="00933F40">
        <w:t xml:space="preserve"> States are reimbursed for a portion of MFP administrative expenses and required to submit financial reports. </w:t>
      </w:r>
    </w:p>
    <w:p w:rsidRPr="00933F40" w:rsidR="00C224A2" w:rsidP="004C6E66" w:rsidRDefault="00C224A2" w14:paraId="712857AE" w14:textId="77777777"/>
    <w:p w:rsidRPr="00933F40" w:rsidR="00C224A2" w:rsidP="004C6E66" w:rsidRDefault="00C224A2" w14:paraId="33B89A1C" w14:textId="77777777">
      <w:pPr>
        <w:outlineLvl w:val="0"/>
        <w:rPr>
          <w:u w:val="single"/>
        </w:rPr>
      </w:pPr>
      <w:r w:rsidRPr="00933F40">
        <w:t>10.</w:t>
      </w:r>
      <w:r w:rsidRPr="00933F40">
        <w:tab/>
      </w:r>
      <w:r w:rsidRPr="00933F40">
        <w:rPr>
          <w:u w:val="single"/>
        </w:rPr>
        <w:t>Confidentiality</w:t>
      </w:r>
    </w:p>
    <w:p w:rsidRPr="00933F40" w:rsidR="00C224A2" w:rsidP="004C6E66" w:rsidRDefault="00C224A2" w14:paraId="4BFCED3A" w14:textId="77777777"/>
    <w:p w:rsidRPr="00933F40" w:rsidR="00C224A2" w:rsidP="004C6E66" w:rsidRDefault="00C224A2" w14:paraId="4125A7BB" w14:textId="77777777">
      <w:r w:rsidRPr="00933F40">
        <w:rPr>
          <w:bCs/>
        </w:rPr>
        <w:t>States</w:t>
      </w:r>
      <w:r w:rsidRPr="00933F40">
        <w:rPr>
          <w:b/>
          <w:bCs/>
        </w:rPr>
        <w:t xml:space="preserve"> </w:t>
      </w:r>
      <w:r w:rsidRPr="00933F40">
        <w:t xml:space="preserve">shall insure that all Federal and State laws that protect the confidentiality of medical information will be enforced. </w:t>
      </w:r>
    </w:p>
    <w:p w:rsidRPr="00933F40" w:rsidR="00C224A2" w:rsidP="004C6E66" w:rsidRDefault="00C224A2" w14:paraId="5CA08CB8" w14:textId="77777777"/>
    <w:p w:rsidRPr="00933F40" w:rsidR="00C224A2" w:rsidP="004C6E66" w:rsidRDefault="00C224A2" w14:paraId="16435C3E" w14:textId="77777777">
      <w:pPr>
        <w:outlineLvl w:val="0"/>
        <w:rPr>
          <w:u w:val="single"/>
        </w:rPr>
      </w:pPr>
      <w:r w:rsidRPr="00933F40">
        <w:t>11.</w:t>
      </w:r>
      <w:r w:rsidRPr="00933F40">
        <w:tab/>
      </w:r>
      <w:r w:rsidRPr="00933F40">
        <w:rPr>
          <w:u w:val="single"/>
        </w:rPr>
        <w:t>Sensitive Questions</w:t>
      </w:r>
    </w:p>
    <w:p w:rsidRPr="00933F40" w:rsidR="00C224A2" w:rsidP="004C6E66" w:rsidRDefault="00C224A2" w14:paraId="3136717E" w14:textId="77777777"/>
    <w:p w:rsidRPr="00933F40" w:rsidR="00834C1D" w:rsidP="00834C1D" w:rsidRDefault="00834C1D" w14:paraId="10ACC6BE" w14:textId="77777777">
      <w:r w:rsidRPr="00933F40">
        <w:t>There are no sensitive questions associated with this collection. Specifically, the collection does not solicit questions of a sensitive nature, such as sexual behavior and attitudes, religious beliefs, and other matters that are commonly considered private.</w:t>
      </w:r>
    </w:p>
    <w:p w:rsidRPr="00933F40" w:rsidR="002121F5" w:rsidP="004C6E66" w:rsidRDefault="002121F5" w14:paraId="4F5123F1" w14:textId="77777777">
      <w:pPr>
        <w:rPr>
          <w:b/>
        </w:rPr>
      </w:pPr>
    </w:p>
    <w:p w:rsidRPr="00933F40" w:rsidR="00C224A2" w:rsidP="004C6E66" w:rsidRDefault="00C224A2" w14:paraId="76DCA1E0" w14:textId="77777777">
      <w:pPr>
        <w:outlineLvl w:val="0"/>
      </w:pPr>
      <w:r w:rsidRPr="00933F40">
        <w:t>12.</w:t>
      </w:r>
      <w:r w:rsidRPr="00933F40">
        <w:tab/>
      </w:r>
      <w:r w:rsidRPr="00933F40">
        <w:rPr>
          <w:u w:val="single"/>
        </w:rPr>
        <w:t>Burden Estimates (Hours)</w:t>
      </w:r>
    </w:p>
    <w:p w:rsidRPr="00933F40" w:rsidR="00C224A2" w:rsidP="004C6E66" w:rsidRDefault="00C224A2" w14:paraId="093AF99A" w14:textId="77777777"/>
    <w:p w:rsidRPr="00933F40" w:rsidR="00090053" w:rsidP="004C6E66" w:rsidRDefault="006B0320" w14:paraId="368639B9" w14:textId="77777777">
      <w:pPr>
        <w:rPr>
          <w:i/>
        </w:rPr>
      </w:pPr>
      <w:r w:rsidRPr="00933F40">
        <w:rPr>
          <w:i/>
        </w:rPr>
        <w:t>Wage Estimates</w:t>
      </w:r>
    </w:p>
    <w:p w:rsidRPr="00933F40" w:rsidR="00090053" w:rsidP="004C6E66" w:rsidRDefault="00090053" w14:paraId="56615190" w14:textId="77777777"/>
    <w:p w:rsidRPr="00933F40" w:rsidR="00090053" w:rsidP="004C6E66" w:rsidRDefault="00090053" w14:paraId="6E82D59B" w14:textId="4A95F98A">
      <w:r w:rsidRPr="00933F40">
        <w:t>To derive average costs, we used data from the U.S. Bure</w:t>
      </w:r>
      <w:r w:rsidRPr="00933F40" w:rsidR="00D2354C">
        <w:t xml:space="preserve">au of Labor Statistics’ May </w:t>
      </w:r>
      <w:r w:rsidRPr="00933F40" w:rsidR="001446A1">
        <w:t>2020</w:t>
      </w:r>
      <w:r w:rsidRPr="00933F40">
        <w:t xml:space="preserve"> National Occupational Employment and Wage Estimates for all salary estimates </w:t>
      </w:r>
      <w:r w:rsidRPr="00933F40" w:rsidR="00B36944">
        <w:t>(</w:t>
      </w:r>
      <w:hyperlink w:history="1" r:id="rId11">
        <w:r w:rsidRPr="00933F40" w:rsidR="00B36944">
          <w:rPr>
            <w:rStyle w:val="Hyperlink"/>
          </w:rPr>
          <w:t>http://www.bls.gov/oes/current/oes_nat.htm</w:t>
        </w:r>
      </w:hyperlink>
      <w:r w:rsidRPr="00933F40" w:rsidR="00B36944">
        <w:t>)</w:t>
      </w:r>
      <w:r w:rsidRPr="00933F40">
        <w:t>. In this regard, the following table presents the me</w:t>
      </w:r>
      <w:r w:rsidRPr="00933F40" w:rsidR="00D074FC">
        <w:t>an</w:t>
      </w:r>
      <w:r w:rsidRPr="00933F40">
        <w:t xml:space="preserve"> hourly wage, the cost of fringe benefits </w:t>
      </w:r>
      <w:r w:rsidRPr="00933F40" w:rsidR="00A517F7">
        <w:t xml:space="preserve">and overhead </w:t>
      </w:r>
      <w:r w:rsidRPr="00933F40">
        <w:t>(calculated at 100 percent of salary), and the adjusted hourly wage.</w:t>
      </w:r>
    </w:p>
    <w:p w:rsidRPr="00933F40" w:rsidR="00090053" w:rsidP="00197D53" w:rsidRDefault="00090053" w14:paraId="2C498269" w14:textId="77777777">
      <w:pPr>
        <w:ind w:left="720"/>
      </w:pPr>
    </w:p>
    <w:tbl>
      <w:tblPr>
        <w:tblW w:w="0" w:type="auto"/>
        <w:tblInd w:w="4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68"/>
        <w:gridCol w:w="1530"/>
        <w:gridCol w:w="1553"/>
        <w:gridCol w:w="1237"/>
        <w:gridCol w:w="1620"/>
      </w:tblGrid>
      <w:tr w:rsidRPr="00933F40" w:rsidR="00090053" w:rsidTr="00D2354C" w14:paraId="6C45344B" w14:textId="77777777">
        <w:tc>
          <w:tcPr>
            <w:tcW w:w="2268" w:type="dxa"/>
            <w:shd w:val="clear" w:color="auto" w:fill="auto"/>
          </w:tcPr>
          <w:p w:rsidRPr="00933F40" w:rsidR="00090053" w:rsidP="00197D53" w:rsidRDefault="00090053" w14:paraId="1B1CCD97" w14:textId="77777777">
            <w:pPr>
              <w:rPr>
                <w:sz w:val="20"/>
                <w:szCs w:val="20"/>
              </w:rPr>
            </w:pPr>
            <w:r w:rsidRPr="00933F40">
              <w:rPr>
                <w:sz w:val="20"/>
                <w:szCs w:val="20"/>
              </w:rPr>
              <w:t>Occupation Title</w:t>
            </w:r>
          </w:p>
        </w:tc>
        <w:tc>
          <w:tcPr>
            <w:tcW w:w="1530" w:type="dxa"/>
            <w:shd w:val="clear" w:color="auto" w:fill="auto"/>
          </w:tcPr>
          <w:p w:rsidRPr="00933F40" w:rsidR="00090053" w:rsidP="00197D53" w:rsidRDefault="00090053" w14:paraId="3B07CC5C" w14:textId="77777777">
            <w:pPr>
              <w:rPr>
                <w:sz w:val="20"/>
                <w:szCs w:val="20"/>
              </w:rPr>
            </w:pPr>
            <w:r w:rsidRPr="00933F40">
              <w:rPr>
                <w:sz w:val="20"/>
                <w:szCs w:val="20"/>
              </w:rPr>
              <w:t>Occupation Code</w:t>
            </w:r>
          </w:p>
        </w:tc>
        <w:tc>
          <w:tcPr>
            <w:tcW w:w="1553" w:type="dxa"/>
            <w:shd w:val="clear" w:color="auto" w:fill="auto"/>
          </w:tcPr>
          <w:p w:rsidRPr="00933F40" w:rsidR="00090053" w:rsidP="00197D53" w:rsidRDefault="00090053" w14:paraId="3537A93C" w14:textId="77777777">
            <w:pPr>
              <w:rPr>
                <w:sz w:val="20"/>
                <w:szCs w:val="20"/>
              </w:rPr>
            </w:pPr>
            <w:r w:rsidRPr="00933F40">
              <w:rPr>
                <w:sz w:val="20"/>
                <w:szCs w:val="20"/>
              </w:rPr>
              <w:t>Mean Hourly Wage ($/hr)</w:t>
            </w:r>
          </w:p>
        </w:tc>
        <w:tc>
          <w:tcPr>
            <w:tcW w:w="1237" w:type="dxa"/>
            <w:shd w:val="clear" w:color="auto" w:fill="auto"/>
          </w:tcPr>
          <w:p w:rsidRPr="00933F40" w:rsidR="00090053" w:rsidP="00197D53" w:rsidRDefault="00090053" w14:paraId="33642509" w14:textId="77777777">
            <w:pPr>
              <w:rPr>
                <w:sz w:val="20"/>
                <w:szCs w:val="20"/>
              </w:rPr>
            </w:pPr>
            <w:r w:rsidRPr="00933F40">
              <w:rPr>
                <w:sz w:val="20"/>
                <w:szCs w:val="20"/>
              </w:rPr>
              <w:t>Fringe Benefit</w:t>
            </w:r>
            <w:r w:rsidRPr="00933F40" w:rsidR="00F95E24">
              <w:rPr>
                <w:sz w:val="20"/>
                <w:szCs w:val="20"/>
              </w:rPr>
              <w:t>s and Overhead</w:t>
            </w:r>
            <w:r w:rsidRPr="00933F40">
              <w:rPr>
                <w:sz w:val="20"/>
                <w:szCs w:val="20"/>
              </w:rPr>
              <w:t xml:space="preserve"> ($/hr)</w:t>
            </w:r>
          </w:p>
        </w:tc>
        <w:tc>
          <w:tcPr>
            <w:tcW w:w="1620" w:type="dxa"/>
            <w:shd w:val="clear" w:color="auto" w:fill="auto"/>
          </w:tcPr>
          <w:p w:rsidRPr="00933F40" w:rsidR="00090053" w:rsidP="00197D53" w:rsidRDefault="00090053" w14:paraId="23ED93A0" w14:textId="77777777">
            <w:pPr>
              <w:rPr>
                <w:sz w:val="20"/>
                <w:szCs w:val="20"/>
              </w:rPr>
            </w:pPr>
            <w:r w:rsidRPr="00933F40">
              <w:rPr>
                <w:sz w:val="20"/>
                <w:szCs w:val="20"/>
              </w:rPr>
              <w:t>Adjusted Hourly Wage ($/hr)</w:t>
            </w:r>
          </w:p>
        </w:tc>
      </w:tr>
      <w:tr w:rsidRPr="00933F40" w:rsidR="00090053" w:rsidTr="00D2354C" w14:paraId="313B83FE" w14:textId="77777777">
        <w:tc>
          <w:tcPr>
            <w:tcW w:w="2268" w:type="dxa"/>
            <w:shd w:val="clear" w:color="auto" w:fill="auto"/>
          </w:tcPr>
          <w:p w:rsidRPr="00933F40" w:rsidR="00090053" w:rsidP="00197D53" w:rsidRDefault="003C76E4" w14:paraId="35F412EA" w14:textId="77777777">
            <w:pPr>
              <w:rPr>
                <w:sz w:val="20"/>
                <w:szCs w:val="20"/>
              </w:rPr>
            </w:pPr>
            <w:r w:rsidRPr="00933F40">
              <w:rPr>
                <w:sz w:val="20"/>
                <w:szCs w:val="20"/>
              </w:rPr>
              <w:lastRenderedPageBreak/>
              <w:t>Executive Secretaries and Executive Administrative Assistants</w:t>
            </w:r>
          </w:p>
        </w:tc>
        <w:tc>
          <w:tcPr>
            <w:tcW w:w="1530" w:type="dxa"/>
            <w:shd w:val="clear" w:color="auto" w:fill="auto"/>
          </w:tcPr>
          <w:p w:rsidRPr="00933F40" w:rsidR="00090053" w:rsidP="00197D53" w:rsidRDefault="008C3F63" w14:paraId="6F86639C" w14:textId="77777777">
            <w:pPr>
              <w:rPr>
                <w:sz w:val="20"/>
                <w:szCs w:val="20"/>
              </w:rPr>
            </w:pPr>
            <w:r w:rsidRPr="00933F40">
              <w:rPr>
                <w:sz w:val="20"/>
                <w:szCs w:val="20"/>
              </w:rPr>
              <w:t>43-6011</w:t>
            </w:r>
          </w:p>
        </w:tc>
        <w:tc>
          <w:tcPr>
            <w:tcW w:w="1553" w:type="dxa"/>
            <w:shd w:val="clear" w:color="auto" w:fill="auto"/>
          </w:tcPr>
          <w:p w:rsidRPr="00933F40" w:rsidR="00090053" w:rsidP="00D95479" w:rsidRDefault="00EA128B" w14:paraId="11A85841" w14:textId="54C3E2B4">
            <w:pPr>
              <w:rPr>
                <w:sz w:val="20"/>
                <w:szCs w:val="20"/>
              </w:rPr>
            </w:pPr>
            <w:r w:rsidRPr="00933F40">
              <w:rPr>
                <w:sz w:val="20"/>
                <w:szCs w:val="20"/>
              </w:rPr>
              <w:t>31.36</w:t>
            </w:r>
          </w:p>
        </w:tc>
        <w:tc>
          <w:tcPr>
            <w:tcW w:w="1237" w:type="dxa"/>
            <w:shd w:val="clear" w:color="auto" w:fill="auto"/>
          </w:tcPr>
          <w:p w:rsidRPr="00933F40" w:rsidR="00090053" w:rsidP="00EA128B" w:rsidRDefault="00CE4876" w14:paraId="024E5D68" w14:textId="5647B88D">
            <w:pPr>
              <w:rPr>
                <w:sz w:val="20"/>
                <w:szCs w:val="20"/>
              </w:rPr>
            </w:pPr>
            <w:r w:rsidRPr="00933F40">
              <w:rPr>
                <w:sz w:val="20"/>
                <w:szCs w:val="20"/>
              </w:rPr>
              <w:t>3</w:t>
            </w:r>
            <w:r w:rsidRPr="00933F40" w:rsidR="00EA128B">
              <w:rPr>
                <w:sz w:val="20"/>
                <w:szCs w:val="20"/>
              </w:rPr>
              <w:t>1.36</w:t>
            </w:r>
          </w:p>
        </w:tc>
        <w:tc>
          <w:tcPr>
            <w:tcW w:w="1620" w:type="dxa"/>
            <w:shd w:val="clear" w:color="auto" w:fill="auto"/>
          </w:tcPr>
          <w:p w:rsidRPr="00933F40" w:rsidR="00090053" w:rsidP="00EA32F0" w:rsidRDefault="00EA128B" w14:paraId="1361FD35" w14:textId="02BC2CD7">
            <w:pPr>
              <w:rPr>
                <w:sz w:val="20"/>
                <w:szCs w:val="20"/>
              </w:rPr>
            </w:pPr>
            <w:r w:rsidRPr="00933F40">
              <w:rPr>
                <w:sz w:val="20"/>
                <w:szCs w:val="20"/>
              </w:rPr>
              <w:t>62.72</w:t>
            </w:r>
          </w:p>
        </w:tc>
      </w:tr>
    </w:tbl>
    <w:p w:rsidRPr="00933F40" w:rsidR="004C6E66" w:rsidP="00197D53" w:rsidRDefault="004C6E66" w14:paraId="5343786C" w14:textId="77777777">
      <w:pPr>
        <w:ind w:left="720"/>
      </w:pPr>
    </w:p>
    <w:p w:rsidRPr="00933F40" w:rsidR="00090053" w:rsidP="00CA46E0" w:rsidRDefault="00090053" w14:paraId="5E6F9635" w14:textId="77777777">
      <w:r w:rsidRPr="00933F40">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w:t>
      </w:r>
      <w:r w:rsidRPr="00933F40" w:rsidR="00F95E24">
        <w:t>W</w:t>
      </w:r>
      <w:r w:rsidRPr="00933F40">
        <w:t>e believe that doubling the hourly wage to estimate total cost is a reasonably accurate estimation method.</w:t>
      </w:r>
    </w:p>
    <w:p w:rsidRPr="00933F40" w:rsidR="00090053" w:rsidP="00CA46E0" w:rsidRDefault="00090053" w14:paraId="79E25A53" w14:textId="77777777"/>
    <w:p w:rsidRPr="00933F40" w:rsidR="006B0320" w:rsidP="00CA46E0" w:rsidRDefault="006B0320" w14:paraId="7BB011A4" w14:textId="77777777">
      <w:pPr>
        <w:rPr>
          <w:rFonts w:ascii="Times New (W1)" w:hAnsi="Times New (W1)"/>
          <w:i/>
        </w:rPr>
      </w:pPr>
      <w:r w:rsidRPr="00933F40">
        <w:rPr>
          <w:rFonts w:ascii="Times New (W1)" w:hAnsi="Times New (W1)"/>
          <w:i/>
        </w:rPr>
        <w:t xml:space="preserve">Information Collection Requirements and </w:t>
      </w:r>
      <w:r w:rsidRPr="00933F40" w:rsidR="00FE7249">
        <w:rPr>
          <w:rFonts w:ascii="Times New (W1)" w:hAnsi="Times New (W1)"/>
          <w:i/>
        </w:rPr>
        <w:t xml:space="preserve">Associated </w:t>
      </w:r>
      <w:r w:rsidRPr="00933F40">
        <w:rPr>
          <w:rFonts w:ascii="Times New (W1)" w:hAnsi="Times New (W1)"/>
          <w:i/>
        </w:rPr>
        <w:t>Burden</w:t>
      </w:r>
      <w:r w:rsidRPr="00933F40" w:rsidR="00FE7249">
        <w:rPr>
          <w:rFonts w:ascii="Times New (W1)" w:hAnsi="Times New (W1)"/>
          <w:i/>
        </w:rPr>
        <w:t xml:space="preserve"> Estimates</w:t>
      </w:r>
    </w:p>
    <w:p w:rsidRPr="00933F40" w:rsidR="006B0320" w:rsidP="00CA46E0" w:rsidRDefault="006B0320" w14:paraId="2CA1CB92" w14:textId="77777777">
      <w:pPr>
        <w:rPr>
          <w:rFonts w:ascii="Times New (W1)" w:hAnsi="Times New (W1)"/>
        </w:rPr>
      </w:pPr>
    </w:p>
    <w:p w:rsidRPr="00933F40" w:rsidR="00C37D5F" w:rsidP="00CA46E0" w:rsidRDefault="00C37D5F" w14:paraId="560B77C7" w14:textId="77777777">
      <w:pPr>
        <w:rPr>
          <w:rFonts w:ascii="Times New (W1)" w:hAnsi="Times New (W1)"/>
        </w:rPr>
      </w:pPr>
      <w:r w:rsidRPr="00933F40">
        <w:rPr>
          <w:rFonts w:ascii="Times New (W1)" w:hAnsi="Times New (W1)"/>
        </w:rPr>
        <w:t>As of</w:t>
      </w:r>
      <w:r w:rsidRPr="00933F40" w:rsidR="00192ED7">
        <w:rPr>
          <w:rFonts w:ascii="Times New (W1)" w:hAnsi="Times New (W1)"/>
        </w:rPr>
        <w:t xml:space="preserve"> </w:t>
      </w:r>
      <w:r w:rsidRPr="00933F40" w:rsidR="003E507D">
        <w:rPr>
          <w:rFonts w:ascii="Times New (W1)" w:hAnsi="Times New (W1)"/>
        </w:rPr>
        <w:t>September 2020</w:t>
      </w:r>
      <w:r w:rsidRPr="00933F40">
        <w:rPr>
          <w:rFonts w:ascii="Times New (W1)" w:hAnsi="Times New (W1)"/>
        </w:rPr>
        <w:t>, CMS had awarded 4</w:t>
      </w:r>
      <w:r w:rsidRPr="00933F40" w:rsidR="00D61C8A">
        <w:rPr>
          <w:rFonts w:ascii="Times New (W1)" w:hAnsi="Times New (W1)"/>
        </w:rPr>
        <w:t>4</w:t>
      </w:r>
      <w:r w:rsidRPr="00933F40">
        <w:rPr>
          <w:rFonts w:ascii="Times New (W1)" w:hAnsi="Times New (W1)"/>
        </w:rPr>
        <w:t xml:space="preserve"> MFP </w:t>
      </w:r>
      <w:r w:rsidRPr="00933F40" w:rsidR="00C95562">
        <w:rPr>
          <w:rFonts w:ascii="Times New (W1)" w:hAnsi="Times New (W1)"/>
        </w:rPr>
        <w:t xml:space="preserve">demonstration </w:t>
      </w:r>
      <w:r w:rsidRPr="00933F40">
        <w:rPr>
          <w:rFonts w:ascii="Times New (W1)" w:hAnsi="Times New (W1)"/>
        </w:rPr>
        <w:t>grants</w:t>
      </w:r>
      <w:r w:rsidRPr="00933F40" w:rsidR="00C95562">
        <w:rPr>
          <w:rFonts w:ascii="Times New (W1)" w:hAnsi="Times New (W1)"/>
        </w:rPr>
        <w:t xml:space="preserve"> consisting of </w:t>
      </w:r>
      <w:r w:rsidRPr="00933F40" w:rsidR="00337302">
        <w:rPr>
          <w:rFonts w:ascii="Times New (W1)" w:hAnsi="Times New (W1)"/>
        </w:rPr>
        <w:t>4</w:t>
      </w:r>
      <w:r w:rsidRPr="00933F40" w:rsidR="00D61C8A">
        <w:rPr>
          <w:rFonts w:ascii="Times New (W1)" w:hAnsi="Times New (W1)"/>
        </w:rPr>
        <w:t>3</w:t>
      </w:r>
      <w:r w:rsidRPr="00933F40">
        <w:rPr>
          <w:rFonts w:ascii="Times New (W1)" w:hAnsi="Times New (W1)"/>
        </w:rPr>
        <w:t xml:space="preserve"> states and the District of Columbia.</w:t>
      </w:r>
      <w:r w:rsidRPr="00933F40" w:rsidR="004D6508">
        <w:rPr>
          <w:rFonts w:ascii="Times New (W1)" w:hAnsi="Times New (W1)"/>
        </w:rPr>
        <w:t xml:space="preserve"> </w:t>
      </w:r>
      <w:r w:rsidRPr="00933F40" w:rsidR="00CE4876">
        <w:rPr>
          <w:rFonts w:ascii="Times New (W1)" w:hAnsi="Times New (W1)"/>
        </w:rPr>
        <w:t>Two States (Kansas and Michigan) have completed close-out activities, so we have budgeted for 42 MFP demonstration grants.</w:t>
      </w:r>
    </w:p>
    <w:p w:rsidRPr="00933F40" w:rsidR="00C224A2" w:rsidP="00CA46E0" w:rsidRDefault="00C224A2" w14:paraId="10FF0209" w14:textId="77777777">
      <w:pPr>
        <w:rPr>
          <w:i/>
          <w:u w:val="single"/>
        </w:rPr>
      </w:pPr>
    </w:p>
    <w:p w:rsidRPr="00933F40" w:rsidR="00C224A2" w:rsidP="00CA46E0" w:rsidRDefault="0062329E" w14:paraId="21FDC699" w14:textId="71540DF2">
      <w:r w:rsidRPr="00933F40">
        <w:rPr>
          <w:b/>
          <w:i/>
          <w:u w:val="single"/>
        </w:rPr>
        <w:t>Maintenance of Effort Form</w:t>
      </w:r>
      <w:r w:rsidRPr="00933F40">
        <w:t xml:space="preserve"> We estimate it would take </w:t>
      </w:r>
      <w:r w:rsidRPr="00933F40" w:rsidR="006D0C80">
        <w:t>8</w:t>
      </w:r>
      <w:r w:rsidRPr="00933F40">
        <w:t xml:space="preserve"> hours at $</w:t>
      </w:r>
      <w:r w:rsidRPr="00933F40" w:rsidR="008E2787">
        <w:t>62.72</w:t>
      </w:r>
      <w:r w:rsidRPr="00933F40">
        <w:t xml:space="preserve">/hr for an </w:t>
      </w:r>
      <w:r w:rsidRPr="00933F40" w:rsidR="002F725F">
        <w:t>executive administrative assistant</w:t>
      </w:r>
      <w:r w:rsidRPr="00933F40">
        <w:t xml:space="preserve"> to complete </w:t>
      </w:r>
      <w:r w:rsidRPr="00933F40" w:rsidR="00C224A2">
        <w:t>the Maintenance of Effort form</w:t>
      </w:r>
      <w:r w:rsidRPr="00933F40">
        <w:t xml:space="preserve">. In aggregate, we estimate an annual burden of </w:t>
      </w:r>
      <w:r w:rsidRPr="00933F40" w:rsidR="006D0C80">
        <w:t>336</w:t>
      </w:r>
      <w:r w:rsidRPr="00933F40">
        <w:t xml:space="preserve"> hours (4</w:t>
      </w:r>
      <w:r w:rsidRPr="00933F40" w:rsidR="006677D7">
        <w:t>2</w:t>
      </w:r>
      <w:r w:rsidRPr="00933F40">
        <w:t xml:space="preserve"> states x </w:t>
      </w:r>
      <w:r w:rsidRPr="00933F40" w:rsidR="006D0C80">
        <w:t xml:space="preserve">8 </w:t>
      </w:r>
      <w:r w:rsidRPr="00933F40" w:rsidR="00C224A2">
        <w:t>h</w:t>
      </w:r>
      <w:r w:rsidRPr="00933F40">
        <w:t xml:space="preserve">r) at a cost of </w:t>
      </w:r>
      <w:r w:rsidRPr="00933F40" w:rsidR="00C224A2">
        <w:t>$</w:t>
      </w:r>
      <w:r w:rsidRPr="00933F40" w:rsidR="00CE18D5">
        <w:t>21,074</w:t>
      </w:r>
      <w:r w:rsidRPr="00933F40" w:rsidR="00312A3B">
        <w:t xml:space="preserve"> </w:t>
      </w:r>
      <w:r w:rsidRPr="00933F40" w:rsidR="00C224A2">
        <w:t>(</w:t>
      </w:r>
      <w:r w:rsidRPr="00933F40" w:rsidR="006D0C80">
        <w:t>336</w:t>
      </w:r>
      <w:r w:rsidRPr="00933F40">
        <w:t xml:space="preserve"> </w:t>
      </w:r>
      <w:r w:rsidRPr="00933F40" w:rsidR="00C224A2">
        <w:t>h</w:t>
      </w:r>
      <w:r w:rsidRPr="00933F40">
        <w:t>r</w:t>
      </w:r>
      <w:r w:rsidRPr="00933F40" w:rsidR="00C224A2">
        <w:t xml:space="preserve"> </w:t>
      </w:r>
      <w:r w:rsidRPr="00933F40" w:rsidR="000D7C4D">
        <w:t xml:space="preserve">x </w:t>
      </w:r>
      <w:r w:rsidRPr="00933F40" w:rsidR="00C224A2">
        <w:t>$</w:t>
      </w:r>
      <w:r w:rsidRPr="00933F40" w:rsidR="008E2787">
        <w:t>62.72</w:t>
      </w:r>
      <w:r w:rsidRPr="00933F40" w:rsidR="000D7C4D">
        <w:t>/hr</w:t>
      </w:r>
      <w:r w:rsidRPr="00933F40" w:rsidR="00C224A2">
        <w:t>).</w:t>
      </w:r>
    </w:p>
    <w:p w:rsidRPr="00933F40" w:rsidR="00C224A2" w:rsidP="00CA46E0" w:rsidRDefault="00C224A2" w14:paraId="1FB89F52" w14:textId="77777777"/>
    <w:p w:rsidRPr="00933F40" w:rsidR="00A8381E" w:rsidP="00CA46E0" w:rsidRDefault="00A8381E" w14:paraId="003BB4EE" w14:textId="576C22A7">
      <w:r w:rsidRPr="00933F40">
        <w:t xml:space="preserve">Form(s) include: </w:t>
      </w:r>
      <w:r w:rsidRPr="00933F40" w:rsidR="00B61A07">
        <w:t>MFP__MOE_Form</w:t>
      </w:r>
    </w:p>
    <w:p w:rsidRPr="00933F40" w:rsidR="0063641F" w:rsidP="00CA46E0" w:rsidRDefault="0063641F" w14:paraId="0D98BAE6" w14:textId="77777777"/>
    <w:p w:rsidRPr="00933F40" w:rsidR="00D10480" w:rsidP="00CA46E0" w:rsidRDefault="00A6226F" w14:paraId="3746B205" w14:textId="6EF39149">
      <w:r w:rsidRPr="00933F40">
        <w:rPr>
          <w:rFonts w:ascii="Times New (W1)" w:hAnsi="Times New (W1)"/>
          <w:b/>
          <w:i/>
          <w:u w:val="single"/>
        </w:rPr>
        <w:t xml:space="preserve">Quarterly </w:t>
      </w:r>
      <w:r w:rsidRPr="00933F40" w:rsidR="0021254E">
        <w:rPr>
          <w:rFonts w:ascii="Times New (W1)" w:hAnsi="Times New (W1)"/>
          <w:b/>
          <w:i/>
          <w:u w:val="single"/>
        </w:rPr>
        <w:t xml:space="preserve">ABCD </w:t>
      </w:r>
      <w:r w:rsidRPr="00933F40">
        <w:rPr>
          <w:rFonts w:ascii="Times New (W1)" w:hAnsi="Times New (W1)"/>
          <w:b/>
          <w:i/>
          <w:u w:val="single"/>
        </w:rPr>
        <w:t xml:space="preserve">Financial Forms </w:t>
      </w:r>
      <w:r w:rsidRPr="00933F40" w:rsidR="00C60F7E">
        <w:t xml:space="preserve">We estimate it would take </w:t>
      </w:r>
      <w:r w:rsidRPr="00933F40" w:rsidR="006D0C80">
        <w:t xml:space="preserve">6 </w:t>
      </w:r>
      <w:r w:rsidRPr="00933F40" w:rsidR="00C60F7E">
        <w:t>hours at $</w:t>
      </w:r>
      <w:r w:rsidRPr="00933F40" w:rsidR="008E2787">
        <w:t>62.72</w:t>
      </w:r>
      <w:r w:rsidRPr="00933F40" w:rsidR="00C60F7E">
        <w:t xml:space="preserve">/hr for an </w:t>
      </w:r>
      <w:r w:rsidRPr="00933F40" w:rsidR="002F725F">
        <w:t xml:space="preserve">executive administrative assistant </w:t>
      </w:r>
      <w:r w:rsidRPr="00933F40" w:rsidR="00C60F7E">
        <w:t>to collect the quarterly financial information and have this information readily available</w:t>
      </w:r>
      <w:r w:rsidRPr="00933F40" w:rsidR="00833011">
        <w:t xml:space="preserve"> to complete the MFP </w:t>
      </w:r>
      <w:r w:rsidRPr="00933F40" w:rsidR="007F7889">
        <w:t>Quarterly ABCD Financial Forms</w:t>
      </w:r>
      <w:r w:rsidRPr="00933F40" w:rsidR="00C60F7E">
        <w:t xml:space="preserve">. In aggregate, we estimate an annual burden of </w:t>
      </w:r>
      <w:r w:rsidRPr="00933F40" w:rsidR="0021254E">
        <w:t>1,008</w:t>
      </w:r>
      <w:r w:rsidRPr="00933F40" w:rsidR="00C60F7E">
        <w:t xml:space="preserve"> hours (4</w:t>
      </w:r>
      <w:r w:rsidRPr="00933F40" w:rsidR="0021254E">
        <w:t>2</w:t>
      </w:r>
      <w:r w:rsidRPr="00933F40" w:rsidR="00C60F7E">
        <w:t xml:space="preserve"> states x 6 hr x 4 quarters) at a cost of $</w:t>
      </w:r>
      <w:r w:rsidRPr="00933F40" w:rsidR="00E315B1">
        <w:t>63,222</w:t>
      </w:r>
      <w:r w:rsidRPr="00933F40" w:rsidR="00C60F7E">
        <w:t xml:space="preserve"> (1,0</w:t>
      </w:r>
      <w:r w:rsidRPr="00933F40" w:rsidR="0021254E">
        <w:t>08</w:t>
      </w:r>
      <w:r w:rsidRPr="00933F40" w:rsidR="00C60F7E">
        <w:t xml:space="preserve"> hr x $</w:t>
      </w:r>
      <w:r w:rsidRPr="00933F40" w:rsidR="008E2787">
        <w:t>62.72</w:t>
      </w:r>
      <w:r w:rsidRPr="00933F40" w:rsidR="00C60F7E">
        <w:t>/hr).</w:t>
      </w:r>
      <w:r w:rsidRPr="00933F40" w:rsidR="00833011">
        <w:t xml:space="preserve">  </w:t>
      </w:r>
    </w:p>
    <w:p w:rsidRPr="00933F40" w:rsidR="00B61A07" w:rsidP="00CA46E0" w:rsidRDefault="00B61A07" w14:paraId="2E282EF5" w14:textId="079E9474"/>
    <w:p w:rsidRPr="00933F40" w:rsidR="0063641F" w:rsidP="0063641F" w:rsidRDefault="00C74A39" w14:paraId="569E4172" w14:textId="0043E116">
      <w:r w:rsidRPr="00933F40">
        <w:t xml:space="preserve">Form(s) include: </w:t>
      </w:r>
      <w:r w:rsidRPr="00933F40" w:rsidR="0063641F">
        <w:t>MFP_Financial_Reporting_FormsABCD</w:t>
      </w:r>
    </w:p>
    <w:p w:rsidRPr="00933F40" w:rsidR="0063641F" w:rsidP="00CA46E0" w:rsidRDefault="0063641F" w14:paraId="1041A775" w14:textId="77777777"/>
    <w:p w:rsidRPr="00933F40" w:rsidR="0063641F" w:rsidP="0063641F" w:rsidRDefault="0021254E" w14:paraId="41C1DC57" w14:textId="6A7A4658">
      <w:r w:rsidRPr="00933F40">
        <w:rPr>
          <w:b/>
          <w:bCs/>
          <w:i/>
          <w:iCs/>
          <w:u w:val="single"/>
        </w:rPr>
        <w:t>CMS 64i Forms</w:t>
      </w:r>
      <w:r w:rsidRPr="00933F40">
        <w:t xml:space="preserve"> </w:t>
      </w:r>
      <w:r w:rsidRPr="00933F40" w:rsidR="00833011">
        <w:t xml:space="preserve">Please note </w:t>
      </w:r>
      <w:r w:rsidRPr="00933F40" w:rsidR="00833011">
        <w:rPr>
          <w:bCs/>
        </w:rPr>
        <w:t>Appendix F forms (namely, CMS-64.9i, CMS-64.9pi, CMS-64.10i, and CMS-64.10pi) are required under this CMS-10249 information collection request but</w:t>
      </w:r>
      <w:r w:rsidRPr="00933F40" w:rsidR="00D10480">
        <w:rPr>
          <w:bCs/>
        </w:rPr>
        <w:t>, to avoid duplication, we</w:t>
      </w:r>
      <w:r w:rsidRPr="00933F40" w:rsidR="00833011">
        <w:rPr>
          <w:bCs/>
        </w:rPr>
        <w:t xml:space="preserve"> are not setting out such burden since it is a subset of the lines required under CMS-64 (as approved under CMS-10529 and OMB control number 0938-1265).</w:t>
      </w:r>
    </w:p>
    <w:p w:rsidRPr="00933F40" w:rsidR="0063641F" w:rsidP="0063641F" w:rsidRDefault="0063641F" w14:paraId="452ECF38" w14:textId="77777777"/>
    <w:p w:rsidRPr="00933F40" w:rsidR="0063641F" w:rsidP="0063641F" w:rsidRDefault="0063641F" w14:paraId="6BF759B5" w14:textId="6FE98A76">
      <w:r w:rsidRPr="00933F40">
        <w:t xml:space="preserve">Form(s) include: </w:t>
      </w:r>
      <w:r w:rsidRPr="00000EFA" w:rsidR="00000EFA">
        <w:t>CMS 64i Expenditure Forms</w:t>
      </w:r>
    </w:p>
    <w:p w:rsidRPr="00933F40" w:rsidR="0063641F" w:rsidP="0063641F" w:rsidRDefault="0063641F" w14:paraId="0B396839" w14:textId="77777777"/>
    <w:p w:rsidRPr="00933F40" w:rsidR="00D968EB" w:rsidP="00D968EB" w:rsidRDefault="00D21723" w14:paraId="346002BD" w14:textId="77777777">
      <w:pPr>
        <w:rPr>
          <w:bCs/>
        </w:rPr>
      </w:pPr>
      <w:r w:rsidRPr="00933F40">
        <w:rPr>
          <w:b/>
          <w:bCs/>
          <w:i/>
          <w:iCs/>
          <w:u w:val="single"/>
        </w:rPr>
        <w:t>Federal Financial Report (SF-425)</w:t>
      </w:r>
      <w:r w:rsidRPr="00933F40" w:rsidR="003612EB">
        <w:rPr>
          <w:b/>
          <w:bCs/>
          <w:i/>
          <w:iCs/>
          <w:u w:val="single"/>
        </w:rPr>
        <w:t xml:space="preserve"> </w:t>
      </w:r>
      <w:r w:rsidRPr="00933F40" w:rsidR="00D968EB">
        <w:t xml:space="preserve">Please note </w:t>
      </w:r>
      <w:r w:rsidRPr="00933F40" w:rsidR="00D968EB">
        <w:rPr>
          <w:bCs/>
        </w:rPr>
        <w:t xml:space="preserve">SF-425 forms are required under this CMS-10249 information collection request but, to avoid duplication, we are not setting out such burden since </w:t>
      </w:r>
      <w:r w:rsidRPr="00933F40">
        <w:rPr>
          <w:bCs/>
        </w:rPr>
        <w:t xml:space="preserve">has been </w:t>
      </w:r>
      <w:r w:rsidRPr="00933F40" w:rsidR="00D968EB">
        <w:rPr>
          <w:bCs/>
        </w:rPr>
        <w:t xml:space="preserve">approved under OMB control number </w:t>
      </w:r>
      <w:r w:rsidRPr="00933F40">
        <w:rPr>
          <w:bCs/>
        </w:rPr>
        <w:t>4040-0014.</w:t>
      </w:r>
    </w:p>
    <w:p w:rsidRPr="00933F40" w:rsidR="0063641F" w:rsidP="0063641F" w:rsidRDefault="0063641F" w14:paraId="6255D0B1" w14:textId="77777777"/>
    <w:p w:rsidRPr="00933F40" w:rsidR="003612EB" w:rsidP="0063641F" w:rsidRDefault="0063641F" w14:paraId="15E8A932" w14:textId="0050E35C">
      <w:r w:rsidRPr="00933F40">
        <w:t>Form(s) include: SF-425</w:t>
      </w:r>
    </w:p>
    <w:p w:rsidRPr="00933F40" w:rsidR="003612EB" w:rsidP="003612EB" w:rsidRDefault="003612EB" w14:paraId="19AF9119" w14:textId="77777777">
      <w:pPr>
        <w:rPr>
          <w:b/>
          <w:bCs/>
          <w:i/>
          <w:iCs/>
          <w:u w:val="single"/>
        </w:rPr>
      </w:pPr>
    </w:p>
    <w:p w:rsidRPr="00933F40" w:rsidR="003612EB" w:rsidP="003612EB" w:rsidRDefault="003612EB" w14:paraId="7F5E2CD1" w14:textId="5AD083DC">
      <w:pPr>
        <w:rPr>
          <w:b/>
          <w:bCs/>
          <w:i/>
          <w:iCs/>
          <w:u w:val="single"/>
        </w:rPr>
      </w:pPr>
      <w:r w:rsidRPr="00933F40">
        <w:rPr>
          <w:b/>
          <w:bCs/>
          <w:i/>
          <w:iCs/>
          <w:u w:val="single"/>
        </w:rPr>
        <w:t xml:space="preserve">The MFP Budget Workbook </w:t>
      </w:r>
      <w:r w:rsidRPr="00933F40" w:rsidR="00D90C1A">
        <w:t xml:space="preserve">We estimate it would take </w:t>
      </w:r>
      <w:r w:rsidRPr="00933F40" w:rsidR="006D0C80">
        <w:t>24</w:t>
      </w:r>
      <w:r w:rsidRPr="00933F40" w:rsidR="00D90C1A">
        <w:t xml:space="preserve"> hours at $</w:t>
      </w:r>
      <w:r w:rsidRPr="00933F40" w:rsidR="008E2787">
        <w:t>62.72</w:t>
      </w:r>
      <w:r w:rsidRPr="00933F40" w:rsidR="00D90C1A">
        <w:t xml:space="preserve"> for an executive administrative assistant to collect the information for the MFP Budget Workbook form and </w:t>
      </w:r>
      <w:r w:rsidRPr="00933F40" w:rsidR="00D90C1A">
        <w:lastRenderedPageBreak/>
        <w:t xml:space="preserve">complete the form. In aggregate, we estimate an annual burden of </w:t>
      </w:r>
      <w:r w:rsidRPr="00933F40" w:rsidR="006D0C80">
        <w:t>1008</w:t>
      </w:r>
      <w:r w:rsidRPr="00933F40" w:rsidR="00D90C1A">
        <w:t xml:space="preserve"> hours (42 states x</w:t>
      </w:r>
      <w:r w:rsidRPr="00933F40" w:rsidR="006D0C80">
        <w:t xml:space="preserve"> 24</w:t>
      </w:r>
      <w:r w:rsidRPr="00933F40" w:rsidR="00D90C1A">
        <w:t xml:space="preserve"> hr x 1 reports/year) at a cost of $</w:t>
      </w:r>
      <w:r w:rsidRPr="00933F40" w:rsidR="007F3E2E">
        <w:t>63,222</w:t>
      </w:r>
      <w:r w:rsidRPr="00933F40" w:rsidR="00D90C1A">
        <w:t xml:space="preserve"> (</w:t>
      </w:r>
      <w:r w:rsidRPr="00933F40" w:rsidR="006D0C80">
        <w:t>1</w:t>
      </w:r>
      <w:r w:rsidRPr="00933F40" w:rsidR="007F3E2E">
        <w:t>,</w:t>
      </w:r>
      <w:r w:rsidRPr="00933F40" w:rsidR="006D0C80">
        <w:t xml:space="preserve">008 </w:t>
      </w:r>
      <w:r w:rsidRPr="00933F40" w:rsidR="00D90C1A">
        <w:t>hr x $</w:t>
      </w:r>
      <w:r w:rsidRPr="00933F40" w:rsidR="008E2787">
        <w:t>62.72</w:t>
      </w:r>
      <w:r w:rsidRPr="00933F40" w:rsidR="00D90C1A">
        <w:t>/hr).</w:t>
      </w:r>
    </w:p>
    <w:p w:rsidRPr="00933F40" w:rsidR="00DB3584" w:rsidP="00CA46E0" w:rsidRDefault="00DB3584" w14:paraId="5AEA4BBB" w14:textId="77777777"/>
    <w:p w:rsidRPr="00933F40" w:rsidR="00ED1989" w:rsidP="00A8381E" w:rsidRDefault="00A8381E" w14:paraId="5A4EE527" w14:textId="3A2EEA02">
      <w:r w:rsidRPr="00933F40">
        <w:t xml:space="preserve">Form(s) include: </w:t>
      </w:r>
      <w:r w:rsidRPr="00933F40" w:rsidR="00ED1989">
        <w:t>MFP_Budget_Workbook</w:t>
      </w:r>
    </w:p>
    <w:p w:rsidRPr="00933F40" w:rsidR="00A8381E" w:rsidP="00CA46E0" w:rsidRDefault="00A8381E" w14:paraId="1FB9EDA6" w14:textId="77777777"/>
    <w:p w:rsidRPr="00933F40" w:rsidR="00E51D4D" w:rsidP="00611568" w:rsidRDefault="00E2288A" w14:paraId="3ADEC309" w14:textId="5D3D9092">
      <w:r w:rsidRPr="00933F40">
        <w:rPr>
          <w:rFonts w:ascii="Times New (W1)" w:hAnsi="Times New (W1)"/>
          <w:b/>
          <w:i/>
          <w:u w:val="single"/>
        </w:rPr>
        <w:t xml:space="preserve">MFP </w:t>
      </w:r>
      <w:r w:rsidRPr="00933F40" w:rsidR="00C224A2">
        <w:rPr>
          <w:rFonts w:ascii="Times New (W1)" w:hAnsi="Times New (W1)"/>
          <w:b/>
          <w:i/>
          <w:u w:val="single"/>
        </w:rPr>
        <w:t>Semi-Annual Progress Report</w:t>
      </w:r>
      <w:r w:rsidRPr="00933F40" w:rsidR="002F725F">
        <w:t xml:space="preserve"> </w:t>
      </w:r>
      <w:r w:rsidRPr="00933F40" w:rsidR="00C60F7E">
        <w:t>G</w:t>
      </w:r>
      <w:r w:rsidRPr="00933F40" w:rsidR="00C224A2">
        <w:t xml:space="preserve">rantees will submit progress reports on a semi-annual basis.  We expect that it will take each grantee, </w:t>
      </w:r>
      <w:r w:rsidRPr="00933F40" w:rsidR="003E507D">
        <w:t>3</w:t>
      </w:r>
      <w:r w:rsidRPr="00933F40" w:rsidR="00C224A2">
        <w:t xml:space="preserve"> hours </w:t>
      </w:r>
      <w:r w:rsidRPr="00933F40" w:rsidR="008B5B4B">
        <w:t>at $</w:t>
      </w:r>
      <w:r w:rsidRPr="00933F40" w:rsidR="008E2787">
        <w:t>62.72</w:t>
      </w:r>
      <w:r w:rsidRPr="00933F40" w:rsidR="008B5B4B">
        <w:t xml:space="preserve">/hr </w:t>
      </w:r>
      <w:r w:rsidRPr="00933F40" w:rsidR="0068083C">
        <w:t>for an</w:t>
      </w:r>
      <w:r w:rsidRPr="00933F40" w:rsidR="001F564C">
        <w:t xml:space="preserve"> executive administrative assistant</w:t>
      </w:r>
      <w:r w:rsidRPr="00933F40" w:rsidR="0068083C">
        <w:t xml:space="preserve"> </w:t>
      </w:r>
      <w:r w:rsidRPr="00933F40" w:rsidR="00C224A2">
        <w:t xml:space="preserve">to complete </w:t>
      </w:r>
      <w:r w:rsidRPr="00933F40" w:rsidR="003E507D">
        <w:t>each period’s report.</w:t>
      </w:r>
    </w:p>
    <w:p w:rsidRPr="00933F40" w:rsidR="00611568" w:rsidP="00CA46E0" w:rsidRDefault="00611568" w14:paraId="0EECFFE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933F40" w:rsidR="00A6226F" w:rsidP="00CA46E0" w:rsidRDefault="003E507D" w14:paraId="3522B76F" w14:textId="2E1E06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33F40">
        <w:t>W</w:t>
      </w:r>
      <w:r w:rsidRPr="00933F40" w:rsidR="008B5B4B">
        <w:t xml:space="preserve">e estimate an annual burden of </w:t>
      </w:r>
      <w:r w:rsidRPr="00933F40" w:rsidR="003612EB">
        <w:t>252</w:t>
      </w:r>
      <w:r w:rsidRPr="00933F40" w:rsidR="008B5B4B">
        <w:t xml:space="preserve"> hours (4</w:t>
      </w:r>
      <w:r w:rsidRPr="00933F40" w:rsidR="0021254E">
        <w:t>2</w:t>
      </w:r>
      <w:r w:rsidRPr="00933F40" w:rsidR="008B5B4B">
        <w:t xml:space="preserve"> states x </w:t>
      </w:r>
      <w:r w:rsidRPr="00933F40">
        <w:t>3</w:t>
      </w:r>
      <w:r w:rsidRPr="00933F40" w:rsidR="008B5B4B">
        <w:t xml:space="preserve"> hr</w:t>
      </w:r>
      <w:r w:rsidRPr="00933F40" w:rsidR="00AD5C9D">
        <w:t>/report</w:t>
      </w:r>
      <w:r w:rsidRPr="00933F40" w:rsidR="008B5B4B">
        <w:t xml:space="preserve"> x 2 reports/year) at a cost of $</w:t>
      </w:r>
      <w:r w:rsidRPr="00933F40" w:rsidR="005C2248">
        <w:t>15,805</w:t>
      </w:r>
      <w:r w:rsidRPr="00933F40" w:rsidR="003612EB">
        <w:t xml:space="preserve"> </w:t>
      </w:r>
      <w:r w:rsidRPr="00933F40" w:rsidR="008B5B4B">
        <w:t>(</w:t>
      </w:r>
      <w:r w:rsidRPr="00933F40" w:rsidR="001E5A89">
        <w:t>2</w:t>
      </w:r>
      <w:r w:rsidRPr="00933F40" w:rsidR="003612EB">
        <w:t>52</w:t>
      </w:r>
      <w:r w:rsidRPr="00933F40" w:rsidR="008B5B4B">
        <w:t xml:space="preserve"> hr x $</w:t>
      </w:r>
      <w:r w:rsidRPr="00933F40" w:rsidR="008E2787">
        <w:t>62.72</w:t>
      </w:r>
      <w:r w:rsidRPr="00933F40" w:rsidR="008B5B4B">
        <w:t xml:space="preserve">/hr). </w:t>
      </w:r>
    </w:p>
    <w:p w:rsidRPr="00933F40" w:rsidR="00A6226F" w:rsidP="00CA46E0" w:rsidRDefault="00A6226F" w14:paraId="0FE3E7B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933F40" w:rsidR="00B8103C" w:rsidP="00A8381E" w:rsidRDefault="00A8381E" w14:paraId="353DB292" w14:textId="77777777">
      <w:r w:rsidRPr="00933F40">
        <w:t>Form(s) include:</w:t>
      </w:r>
    </w:p>
    <w:p w:rsidRPr="00933F40" w:rsidR="00B8103C" w:rsidP="00CA46E0" w:rsidRDefault="00B8103C" w14:paraId="1AF86960" w14:textId="77777777">
      <w:r w:rsidRPr="00933F40">
        <w:t>MFP_</w:t>
      </w:r>
      <w:r w:rsidRPr="00933F40" w:rsidR="00844355">
        <w:t xml:space="preserve"> SemiAnnual_Final</w:t>
      </w:r>
    </w:p>
    <w:p w:rsidRPr="00933F40" w:rsidR="007D00A7" w:rsidP="00A8381E" w:rsidRDefault="007D00A7" w14:paraId="46EF55A7" w14:textId="3F768FFE">
      <w:r w:rsidRPr="00933F40">
        <w:t>MFP_Semi</w:t>
      </w:r>
      <w:r w:rsidR="00D772E2">
        <w:t>-</w:t>
      </w:r>
      <w:r w:rsidRPr="00933F40">
        <w:t>Annual_Help_File</w:t>
      </w:r>
    </w:p>
    <w:p w:rsidRPr="00933F40" w:rsidR="00B8103C" w:rsidP="00A8381E" w:rsidRDefault="007D00A7" w14:paraId="66B5AFF9" w14:textId="1ADD8651">
      <w:r w:rsidRPr="00933F40">
        <w:t>Updated_</w:t>
      </w:r>
      <w:r w:rsidRPr="00933F40" w:rsidR="00B8103C">
        <w:t>Additional_Benchmark</w:t>
      </w:r>
      <w:r w:rsidR="00D772E2">
        <w:t>s</w:t>
      </w:r>
      <w:r w:rsidRPr="00933F40" w:rsidR="00B8103C">
        <w:t>_Addend</w:t>
      </w:r>
      <w:r w:rsidRPr="00933F40">
        <w:t>um</w:t>
      </w:r>
    </w:p>
    <w:p w:rsidRPr="00933F40" w:rsidR="00A8381E" w:rsidP="00CA46E0" w:rsidRDefault="00A8381E" w14:paraId="632CC829" w14:textId="77777777"/>
    <w:p w:rsidRPr="00933F40" w:rsidR="00E9636C" w:rsidP="00CA46E0" w:rsidRDefault="00E9636C" w14:paraId="04469A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933F40">
        <w:rPr>
          <w:i/>
        </w:rPr>
        <w:t>Summary of Annual Recordkeeping and Reporting Requirements</w:t>
      </w:r>
    </w:p>
    <w:p w:rsidRPr="00933F40" w:rsidR="008D5F8E" w:rsidP="00197D53" w:rsidRDefault="008D5F8E" w14:paraId="23B0E7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p>
    <w:tbl>
      <w:tblPr>
        <w:tblW w:w="9298" w:type="dxa"/>
        <w:tblInd w:w="98" w:type="dxa"/>
        <w:tblLook w:val="04A0" w:firstRow="1" w:lastRow="0" w:firstColumn="1" w:lastColumn="0" w:noHBand="0" w:noVBand="1"/>
      </w:tblPr>
      <w:tblGrid>
        <w:gridCol w:w="1406"/>
        <w:gridCol w:w="1197"/>
        <w:gridCol w:w="1187"/>
        <w:gridCol w:w="1007"/>
        <w:gridCol w:w="937"/>
        <w:gridCol w:w="1197"/>
        <w:gridCol w:w="1026"/>
        <w:gridCol w:w="1341"/>
      </w:tblGrid>
      <w:tr w:rsidRPr="00933F40" w:rsidR="00B57EAA" w:rsidTr="00B57EAA" w14:paraId="026149C4" w14:textId="77777777">
        <w:trPr>
          <w:trHeight w:val="1596"/>
        </w:trPr>
        <w:tc>
          <w:tcPr>
            <w:tcW w:w="1406" w:type="dxa"/>
            <w:tcBorders>
              <w:top w:val="single" w:color="auto" w:sz="8" w:space="0"/>
              <w:left w:val="single" w:color="auto" w:sz="8" w:space="0"/>
              <w:bottom w:val="single" w:color="000000" w:sz="8" w:space="0"/>
              <w:right w:val="single" w:color="auto" w:sz="8" w:space="0"/>
            </w:tcBorders>
            <w:shd w:val="clear" w:color="auto" w:fill="auto"/>
            <w:vAlign w:val="center"/>
            <w:hideMark/>
          </w:tcPr>
          <w:p w:rsidRPr="00933F40" w:rsidR="00B57EAA" w:rsidP="00197D53" w:rsidRDefault="00B57EAA" w14:paraId="54BD8945" w14:textId="77777777">
            <w:pPr>
              <w:jc w:val="center"/>
              <w:rPr>
                <w:b/>
                <w:bCs/>
                <w:color w:val="000000"/>
                <w:sz w:val="18"/>
                <w:szCs w:val="18"/>
              </w:rPr>
            </w:pPr>
            <w:r w:rsidRPr="00933F40">
              <w:rPr>
                <w:b/>
                <w:bCs/>
                <w:color w:val="000000"/>
                <w:sz w:val="18"/>
                <w:szCs w:val="18"/>
              </w:rPr>
              <w:t>Reporting</w:t>
            </w:r>
          </w:p>
        </w:tc>
        <w:tc>
          <w:tcPr>
            <w:tcW w:w="1197" w:type="dxa"/>
            <w:tcBorders>
              <w:top w:val="single" w:color="auto" w:sz="8" w:space="0"/>
              <w:left w:val="single" w:color="auto" w:sz="8" w:space="0"/>
              <w:bottom w:val="single" w:color="000000" w:sz="8" w:space="0"/>
              <w:right w:val="single" w:color="auto" w:sz="8" w:space="0"/>
            </w:tcBorders>
            <w:shd w:val="clear" w:color="auto" w:fill="auto"/>
            <w:vAlign w:val="center"/>
            <w:hideMark/>
          </w:tcPr>
          <w:p w:rsidRPr="00933F40" w:rsidR="00B57EAA" w:rsidP="00197D53" w:rsidRDefault="00B57EAA" w14:paraId="0647FBAE" w14:textId="77777777">
            <w:pPr>
              <w:jc w:val="center"/>
              <w:rPr>
                <w:b/>
                <w:bCs/>
                <w:color w:val="000000"/>
                <w:sz w:val="18"/>
                <w:szCs w:val="18"/>
              </w:rPr>
            </w:pPr>
            <w:r w:rsidRPr="00933F40">
              <w:rPr>
                <w:b/>
                <w:bCs/>
                <w:color w:val="000000"/>
                <w:sz w:val="18"/>
                <w:szCs w:val="18"/>
              </w:rPr>
              <w:t>Respondents</w:t>
            </w:r>
          </w:p>
        </w:tc>
        <w:tc>
          <w:tcPr>
            <w:tcW w:w="1187" w:type="dxa"/>
            <w:tcBorders>
              <w:top w:val="single" w:color="auto" w:sz="8" w:space="0"/>
              <w:left w:val="single" w:color="auto" w:sz="8" w:space="0"/>
              <w:bottom w:val="single" w:color="000000" w:sz="8" w:space="0"/>
              <w:right w:val="single" w:color="auto" w:sz="8" w:space="0"/>
            </w:tcBorders>
            <w:shd w:val="clear" w:color="auto" w:fill="auto"/>
            <w:vAlign w:val="center"/>
            <w:hideMark/>
          </w:tcPr>
          <w:p w:rsidRPr="00933F40" w:rsidR="00B57EAA" w:rsidP="00197D53" w:rsidRDefault="00B57EAA" w14:paraId="128EED00" w14:textId="77777777">
            <w:pPr>
              <w:jc w:val="center"/>
              <w:rPr>
                <w:b/>
                <w:bCs/>
                <w:color w:val="000000"/>
                <w:sz w:val="18"/>
                <w:szCs w:val="18"/>
              </w:rPr>
            </w:pPr>
            <w:r w:rsidRPr="00933F40">
              <w:rPr>
                <w:b/>
                <w:bCs/>
                <w:color w:val="000000"/>
                <w:sz w:val="18"/>
                <w:szCs w:val="18"/>
              </w:rPr>
              <w:t>Responses (per Respondent)</w:t>
            </w:r>
          </w:p>
        </w:tc>
        <w:tc>
          <w:tcPr>
            <w:tcW w:w="1007" w:type="dxa"/>
            <w:tcBorders>
              <w:top w:val="single" w:color="auto" w:sz="8" w:space="0"/>
              <w:left w:val="single" w:color="auto" w:sz="8" w:space="0"/>
              <w:bottom w:val="single" w:color="000000" w:sz="8" w:space="0"/>
              <w:right w:val="single" w:color="auto" w:sz="8" w:space="0"/>
            </w:tcBorders>
            <w:shd w:val="clear" w:color="auto" w:fill="auto"/>
            <w:vAlign w:val="center"/>
            <w:hideMark/>
          </w:tcPr>
          <w:p w:rsidRPr="00933F40" w:rsidR="00B57EAA" w:rsidP="00197D53" w:rsidRDefault="00B57EAA" w14:paraId="1026C19D" w14:textId="77777777">
            <w:pPr>
              <w:jc w:val="center"/>
              <w:rPr>
                <w:b/>
                <w:bCs/>
                <w:color w:val="000000"/>
                <w:sz w:val="18"/>
                <w:szCs w:val="18"/>
              </w:rPr>
            </w:pPr>
            <w:r w:rsidRPr="00933F40">
              <w:rPr>
                <w:b/>
                <w:bCs/>
                <w:color w:val="000000"/>
                <w:sz w:val="18"/>
                <w:szCs w:val="18"/>
              </w:rPr>
              <w:t>Total Responses</w:t>
            </w:r>
          </w:p>
        </w:tc>
        <w:tc>
          <w:tcPr>
            <w:tcW w:w="937" w:type="dxa"/>
            <w:tcBorders>
              <w:top w:val="single" w:color="auto" w:sz="8" w:space="0"/>
              <w:left w:val="single" w:color="auto" w:sz="8" w:space="0"/>
              <w:bottom w:val="single" w:color="000000" w:sz="8" w:space="0"/>
              <w:right w:val="single" w:color="auto" w:sz="8" w:space="0"/>
            </w:tcBorders>
            <w:shd w:val="clear" w:color="auto" w:fill="auto"/>
            <w:vAlign w:val="center"/>
            <w:hideMark/>
          </w:tcPr>
          <w:p w:rsidRPr="00933F40" w:rsidR="00B57EAA" w:rsidP="00197D53" w:rsidRDefault="00B57EAA" w14:paraId="39DE68BF" w14:textId="77777777">
            <w:pPr>
              <w:jc w:val="center"/>
              <w:rPr>
                <w:b/>
                <w:bCs/>
                <w:color w:val="000000"/>
                <w:sz w:val="18"/>
                <w:szCs w:val="18"/>
              </w:rPr>
            </w:pPr>
            <w:r w:rsidRPr="00933F40">
              <w:rPr>
                <w:b/>
                <w:bCs/>
                <w:color w:val="000000"/>
                <w:sz w:val="18"/>
                <w:szCs w:val="18"/>
              </w:rPr>
              <w:t>Burden per Response (hours)</w:t>
            </w:r>
          </w:p>
        </w:tc>
        <w:tc>
          <w:tcPr>
            <w:tcW w:w="1197" w:type="dxa"/>
            <w:tcBorders>
              <w:top w:val="single" w:color="auto" w:sz="8" w:space="0"/>
              <w:left w:val="single" w:color="auto" w:sz="8" w:space="0"/>
              <w:bottom w:val="single" w:color="000000" w:sz="8" w:space="0"/>
              <w:right w:val="single" w:color="auto" w:sz="8" w:space="0"/>
            </w:tcBorders>
            <w:shd w:val="clear" w:color="auto" w:fill="auto"/>
            <w:vAlign w:val="center"/>
            <w:hideMark/>
          </w:tcPr>
          <w:p w:rsidRPr="00933F40" w:rsidR="00B57EAA" w:rsidP="00951BFF" w:rsidRDefault="00B57EAA" w14:paraId="24653085" w14:textId="77777777">
            <w:pPr>
              <w:jc w:val="center"/>
              <w:rPr>
                <w:b/>
                <w:bCs/>
                <w:color w:val="000000"/>
                <w:sz w:val="18"/>
                <w:szCs w:val="18"/>
              </w:rPr>
            </w:pPr>
            <w:r w:rsidRPr="00933F40">
              <w:rPr>
                <w:b/>
                <w:bCs/>
                <w:color w:val="000000"/>
                <w:sz w:val="18"/>
                <w:szCs w:val="18"/>
              </w:rPr>
              <w:t>Total Annual Time (hours)</w:t>
            </w:r>
          </w:p>
        </w:tc>
        <w:tc>
          <w:tcPr>
            <w:tcW w:w="1026" w:type="dxa"/>
            <w:tcBorders>
              <w:top w:val="single" w:color="auto" w:sz="8" w:space="0"/>
              <w:left w:val="nil"/>
              <w:bottom w:val="single" w:color="auto" w:sz="4" w:space="0"/>
              <w:right w:val="single" w:color="auto" w:sz="8" w:space="0"/>
            </w:tcBorders>
            <w:shd w:val="clear" w:color="auto" w:fill="auto"/>
            <w:vAlign w:val="center"/>
            <w:hideMark/>
          </w:tcPr>
          <w:p w:rsidRPr="00933F40" w:rsidR="00B57EAA" w:rsidP="00197D53" w:rsidRDefault="00B57EAA" w14:paraId="59031C95" w14:textId="77777777">
            <w:pPr>
              <w:jc w:val="center"/>
              <w:rPr>
                <w:b/>
                <w:bCs/>
                <w:color w:val="000000"/>
                <w:sz w:val="18"/>
                <w:szCs w:val="18"/>
              </w:rPr>
            </w:pPr>
            <w:r w:rsidRPr="00933F40">
              <w:rPr>
                <w:b/>
                <w:bCs/>
                <w:color w:val="000000"/>
                <w:sz w:val="18"/>
                <w:szCs w:val="18"/>
              </w:rPr>
              <w:t>Labor</w:t>
            </w:r>
            <w:r w:rsidRPr="00933F40">
              <w:rPr>
                <w:b/>
                <w:bCs/>
                <w:color w:val="000000"/>
                <w:sz w:val="18"/>
                <w:szCs w:val="18"/>
              </w:rPr>
              <w:br/>
              <w:t>Cost</w:t>
            </w:r>
            <w:r w:rsidRPr="00933F40">
              <w:rPr>
                <w:b/>
                <w:bCs/>
                <w:color w:val="000000"/>
                <w:sz w:val="18"/>
                <w:szCs w:val="18"/>
              </w:rPr>
              <w:br/>
              <w:t>($/hr)</w:t>
            </w:r>
          </w:p>
        </w:tc>
        <w:tc>
          <w:tcPr>
            <w:tcW w:w="1341" w:type="dxa"/>
            <w:tcBorders>
              <w:top w:val="single" w:color="auto" w:sz="8" w:space="0"/>
              <w:left w:val="nil"/>
              <w:bottom w:val="single" w:color="auto" w:sz="4" w:space="0"/>
              <w:right w:val="single" w:color="auto" w:sz="4" w:space="0"/>
            </w:tcBorders>
            <w:shd w:val="clear" w:color="auto" w:fill="auto"/>
            <w:vAlign w:val="center"/>
            <w:hideMark/>
          </w:tcPr>
          <w:p w:rsidRPr="00933F40" w:rsidR="00B57EAA" w:rsidP="00197D53" w:rsidRDefault="00B57EAA" w14:paraId="676C57CB" w14:textId="77777777">
            <w:pPr>
              <w:jc w:val="center"/>
              <w:rPr>
                <w:b/>
                <w:bCs/>
                <w:color w:val="000000"/>
                <w:sz w:val="18"/>
                <w:szCs w:val="18"/>
              </w:rPr>
            </w:pPr>
            <w:r w:rsidRPr="00933F40">
              <w:rPr>
                <w:b/>
                <w:bCs/>
                <w:color w:val="000000"/>
                <w:sz w:val="18"/>
                <w:szCs w:val="18"/>
              </w:rPr>
              <w:t>Total Labor Cost</w:t>
            </w:r>
          </w:p>
          <w:p w:rsidRPr="00933F40" w:rsidR="00B57EAA" w:rsidP="00197D53" w:rsidRDefault="00B57EAA" w14:paraId="4270F484" w14:textId="77777777">
            <w:pPr>
              <w:jc w:val="center"/>
              <w:rPr>
                <w:b/>
                <w:bCs/>
                <w:color w:val="000000"/>
                <w:sz w:val="18"/>
                <w:szCs w:val="18"/>
              </w:rPr>
            </w:pPr>
            <w:r w:rsidRPr="00933F40">
              <w:rPr>
                <w:b/>
                <w:bCs/>
                <w:color w:val="000000"/>
                <w:sz w:val="18"/>
                <w:szCs w:val="18"/>
              </w:rPr>
              <w:t>($)</w:t>
            </w:r>
          </w:p>
        </w:tc>
      </w:tr>
      <w:tr w:rsidRPr="00933F40" w:rsidR="003A4FE3" w:rsidTr="00B57EAA" w14:paraId="2A6AB57D" w14:textId="77777777">
        <w:trPr>
          <w:trHeight w:val="735"/>
        </w:trPr>
        <w:tc>
          <w:tcPr>
            <w:tcW w:w="1406" w:type="dxa"/>
            <w:tcBorders>
              <w:top w:val="nil"/>
              <w:left w:val="single" w:color="auto" w:sz="8" w:space="0"/>
              <w:bottom w:val="single" w:color="auto" w:sz="8" w:space="0"/>
              <w:right w:val="single" w:color="auto" w:sz="8" w:space="0"/>
            </w:tcBorders>
            <w:shd w:val="clear" w:color="auto" w:fill="auto"/>
            <w:vAlign w:val="center"/>
            <w:hideMark/>
          </w:tcPr>
          <w:p w:rsidRPr="00933F40" w:rsidR="003A4FE3" w:rsidP="003A4FE3" w:rsidRDefault="000C26CD" w14:paraId="6957A790" w14:textId="6D71D1AB">
            <w:pPr>
              <w:rPr>
                <w:color w:val="000000"/>
                <w:sz w:val="18"/>
                <w:szCs w:val="18"/>
              </w:rPr>
            </w:pPr>
            <w:r>
              <w:rPr>
                <w:color w:val="000000"/>
                <w:sz w:val="18"/>
                <w:szCs w:val="18"/>
              </w:rPr>
              <w:t>MFP MOE Form</w:t>
            </w:r>
            <w:r w:rsidRPr="00933F40" w:rsidR="003A4FE3">
              <w:rPr>
                <w:color w:val="000000"/>
                <w:sz w:val="18"/>
                <w:szCs w:val="18"/>
              </w:rPr>
              <w:t xml:space="preserve"> (annual)</w:t>
            </w:r>
          </w:p>
        </w:tc>
        <w:tc>
          <w:tcPr>
            <w:tcW w:w="1197" w:type="dxa"/>
            <w:tcBorders>
              <w:top w:val="nil"/>
              <w:left w:val="nil"/>
              <w:bottom w:val="single" w:color="auto" w:sz="8" w:space="0"/>
              <w:right w:val="single" w:color="auto" w:sz="8" w:space="0"/>
            </w:tcBorders>
            <w:shd w:val="clear" w:color="auto" w:fill="auto"/>
            <w:vAlign w:val="center"/>
            <w:hideMark/>
          </w:tcPr>
          <w:p w:rsidRPr="00933F40" w:rsidR="003A4FE3" w:rsidP="003A4FE3" w:rsidRDefault="003A4FE3" w14:paraId="62C42477" w14:textId="77777777">
            <w:pPr>
              <w:jc w:val="center"/>
              <w:rPr>
                <w:color w:val="000000"/>
                <w:sz w:val="18"/>
                <w:szCs w:val="18"/>
              </w:rPr>
            </w:pPr>
            <w:r w:rsidRPr="00933F40">
              <w:rPr>
                <w:color w:val="000000"/>
                <w:sz w:val="18"/>
                <w:szCs w:val="18"/>
              </w:rPr>
              <w:t>42</w:t>
            </w:r>
          </w:p>
        </w:tc>
        <w:tc>
          <w:tcPr>
            <w:tcW w:w="1187" w:type="dxa"/>
            <w:tcBorders>
              <w:top w:val="nil"/>
              <w:left w:val="nil"/>
              <w:bottom w:val="single" w:color="auto" w:sz="8" w:space="0"/>
              <w:right w:val="single" w:color="auto" w:sz="8" w:space="0"/>
            </w:tcBorders>
            <w:shd w:val="clear" w:color="auto" w:fill="auto"/>
            <w:vAlign w:val="center"/>
            <w:hideMark/>
          </w:tcPr>
          <w:p w:rsidRPr="00933F40" w:rsidR="003A4FE3" w:rsidP="003A4FE3" w:rsidRDefault="003A4FE3" w14:paraId="19B7E251" w14:textId="77777777">
            <w:pPr>
              <w:jc w:val="center"/>
              <w:rPr>
                <w:color w:val="000000"/>
                <w:sz w:val="18"/>
                <w:szCs w:val="18"/>
              </w:rPr>
            </w:pPr>
            <w:r w:rsidRPr="00933F40">
              <w:rPr>
                <w:color w:val="000000"/>
                <w:sz w:val="18"/>
                <w:szCs w:val="18"/>
              </w:rPr>
              <w:t>1</w:t>
            </w:r>
          </w:p>
        </w:tc>
        <w:tc>
          <w:tcPr>
            <w:tcW w:w="1007" w:type="dxa"/>
            <w:tcBorders>
              <w:top w:val="nil"/>
              <w:left w:val="nil"/>
              <w:bottom w:val="single" w:color="auto" w:sz="8" w:space="0"/>
              <w:right w:val="single" w:color="auto" w:sz="8" w:space="0"/>
            </w:tcBorders>
            <w:shd w:val="clear" w:color="auto" w:fill="auto"/>
            <w:vAlign w:val="center"/>
            <w:hideMark/>
          </w:tcPr>
          <w:p w:rsidRPr="00933F40" w:rsidR="003A4FE3" w:rsidP="003A4FE3" w:rsidRDefault="003A4FE3" w14:paraId="3E720548" w14:textId="77777777">
            <w:pPr>
              <w:jc w:val="center"/>
              <w:rPr>
                <w:color w:val="000000"/>
                <w:sz w:val="18"/>
                <w:szCs w:val="18"/>
              </w:rPr>
            </w:pPr>
            <w:r w:rsidRPr="00933F40">
              <w:rPr>
                <w:color w:val="000000"/>
                <w:sz w:val="18"/>
                <w:szCs w:val="18"/>
              </w:rPr>
              <w:t>42</w:t>
            </w:r>
          </w:p>
        </w:tc>
        <w:tc>
          <w:tcPr>
            <w:tcW w:w="937" w:type="dxa"/>
            <w:tcBorders>
              <w:top w:val="nil"/>
              <w:left w:val="nil"/>
              <w:bottom w:val="single" w:color="auto" w:sz="8" w:space="0"/>
              <w:right w:val="single" w:color="auto" w:sz="8" w:space="0"/>
            </w:tcBorders>
            <w:shd w:val="clear" w:color="auto" w:fill="auto"/>
            <w:vAlign w:val="center"/>
            <w:hideMark/>
          </w:tcPr>
          <w:p w:rsidRPr="00933F40" w:rsidR="003A4FE3" w:rsidP="003A4FE3" w:rsidRDefault="00443892" w14:paraId="37417C6A" w14:textId="77777777">
            <w:pPr>
              <w:jc w:val="center"/>
              <w:rPr>
                <w:color w:val="000000"/>
                <w:sz w:val="18"/>
                <w:szCs w:val="18"/>
              </w:rPr>
            </w:pPr>
            <w:r w:rsidRPr="00933F40">
              <w:rPr>
                <w:color w:val="000000"/>
                <w:sz w:val="18"/>
                <w:szCs w:val="18"/>
              </w:rPr>
              <w:t>8</w:t>
            </w:r>
          </w:p>
        </w:tc>
        <w:tc>
          <w:tcPr>
            <w:tcW w:w="1197" w:type="dxa"/>
            <w:tcBorders>
              <w:top w:val="nil"/>
              <w:left w:val="nil"/>
              <w:bottom w:val="single" w:color="auto" w:sz="8" w:space="0"/>
              <w:right w:val="single" w:color="auto" w:sz="8" w:space="0"/>
            </w:tcBorders>
            <w:shd w:val="clear" w:color="auto" w:fill="auto"/>
            <w:vAlign w:val="center"/>
            <w:hideMark/>
          </w:tcPr>
          <w:p w:rsidRPr="00933F40" w:rsidR="003A4FE3" w:rsidP="003A4FE3" w:rsidRDefault="00443892" w14:paraId="664EBF81" w14:textId="77777777">
            <w:pPr>
              <w:jc w:val="center"/>
              <w:rPr>
                <w:color w:val="000000"/>
                <w:sz w:val="18"/>
                <w:szCs w:val="18"/>
              </w:rPr>
            </w:pPr>
            <w:r w:rsidRPr="00933F40">
              <w:rPr>
                <w:color w:val="000000"/>
                <w:sz w:val="18"/>
                <w:szCs w:val="18"/>
              </w:rPr>
              <w:t>336</w:t>
            </w:r>
          </w:p>
        </w:tc>
        <w:tc>
          <w:tcPr>
            <w:tcW w:w="1026" w:type="dxa"/>
            <w:tcBorders>
              <w:top w:val="single" w:color="auto" w:sz="4" w:space="0"/>
              <w:left w:val="nil"/>
              <w:bottom w:val="single" w:color="auto" w:sz="8" w:space="0"/>
              <w:right w:val="single" w:color="auto" w:sz="8" w:space="0"/>
            </w:tcBorders>
            <w:shd w:val="clear" w:color="auto" w:fill="auto"/>
            <w:vAlign w:val="center"/>
            <w:hideMark/>
          </w:tcPr>
          <w:p w:rsidRPr="00933F40" w:rsidR="003A4FE3" w:rsidP="003A4FE3" w:rsidRDefault="008E2787" w14:paraId="76159F43" w14:textId="2A9AE754">
            <w:pPr>
              <w:jc w:val="center"/>
              <w:rPr>
                <w:color w:val="000000"/>
                <w:sz w:val="18"/>
                <w:szCs w:val="18"/>
              </w:rPr>
            </w:pPr>
            <w:r w:rsidRPr="00933F40">
              <w:rPr>
                <w:color w:val="000000"/>
                <w:sz w:val="18"/>
                <w:szCs w:val="18"/>
              </w:rPr>
              <w:t>62.72</w:t>
            </w:r>
          </w:p>
        </w:tc>
        <w:tc>
          <w:tcPr>
            <w:tcW w:w="1341" w:type="dxa"/>
            <w:tcBorders>
              <w:top w:val="single" w:color="auto" w:sz="4" w:space="0"/>
              <w:left w:val="nil"/>
              <w:bottom w:val="single" w:color="auto" w:sz="8" w:space="0"/>
              <w:right w:val="single" w:color="auto" w:sz="4" w:space="0"/>
            </w:tcBorders>
            <w:shd w:val="clear" w:color="auto" w:fill="auto"/>
            <w:vAlign w:val="center"/>
            <w:hideMark/>
          </w:tcPr>
          <w:p w:rsidRPr="00B361D7" w:rsidR="003A4FE3" w:rsidP="003A4FE3" w:rsidRDefault="00253C3B" w14:paraId="368BC0A8" w14:textId="56E2D9C2">
            <w:pPr>
              <w:jc w:val="center"/>
              <w:rPr>
                <w:color w:val="000000"/>
                <w:sz w:val="18"/>
                <w:szCs w:val="18"/>
              </w:rPr>
            </w:pPr>
            <w:r w:rsidRPr="00B361D7">
              <w:rPr>
                <w:sz w:val="18"/>
                <w:szCs w:val="18"/>
              </w:rPr>
              <w:t>21,074</w:t>
            </w:r>
          </w:p>
        </w:tc>
      </w:tr>
      <w:tr w:rsidRPr="00933F40" w:rsidR="003A4FE3" w:rsidTr="00B57EAA" w14:paraId="2B9A60A3" w14:textId="77777777">
        <w:trPr>
          <w:trHeight w:val="1215"/>
        </w:trPr>
        <w:tc>
          <w:tcPr>
            <w:tcW w:w="1406" w:type="dxa"/>
            <w:tcBorders>
              <w:top w:val="nil"/>
              <w:left w:val="single" w:color="auto" w:sz="8" w:space="0"/>
              <w:bottom w:val="single" w:color="auto" w:sz="8" w:space="0"/>
              <w:right w:val="single" w:color="auto" w:sz="8" w:space="0"/>
            </w:tcBorders>
            <w:shd w:val="clear" w:color="auto" w:fill="auto"/>
            <w:vAlign w:val="center"/>
            <w:hideMark/>
          </w:tcPr>
          <w:p w:rsidRPr="00933F40" w:rsidR="003A4FE3" w:rsidP="003A4FE3" w:rsidRDefault="00B361D7" w14:paraId="5AC148B0" w14:textId="173E2C57">
            <w:pPr>
              <w:rPr>
                <w:color w:val="000000"/>
                <w:sz w:val="18"/>
                <w:szCs w:val="18"/>
              </w:rPr>
            </w:pPr>
            <w:r w:rsidRPr="0051513D">
              <w:rPr>
                <w:color w:val="000000"/>
                <w:sz w:val="18"/>
                <w:szCs w:val="18"/>
              </w:rPr>
              <w:t>MFP</w:t>
            </w:r>
            <w:r>
              <w:rPr>
                <w:color w:val="000000"/>
                <w:sz w:val="18"/>
                <w:szCs w:val="18"/>
              </w:rPr>
              <w:t xml:space="preserve"> </w:t>
            </w:r>
            <w:r w:rsidRPr="0051513D">
              <w:rPr>
                <w:color w:val="000000"/>
                <w:sz w:val="18"/>
                <w:szCs w:val="18"/>
              </w:rPr>
              <w:t>Financial</w:t>
            </w:r>
            <w:r>
              <w:rPr>
                <w:color w:val="000000"/>
                <w:sz w:val="18"/>
                <w:szCs w:val="18"/>
              </w:rPr>
              <w:t xml:space="preserve"> </w:t>
            </w:r>
            <w:r w:rsidRPr="0051513D">
              <w:rPr>
                <w:color w:val="000000"/>
                <w:sz w:val="18"/>
                <w:szCs w:val="18"/>
              </w:rPr>
              <w:t>Reporting</w:t>
            </w:r>
            <w:r>
              <w:rPr>
                <w:color w:val="000000"/>
                <w:sz w:val="18"/>
                <w:szCs w:val="18"/>
              </w:rPr>
              <w:t xml:space="preserve"> </w:t>
            </w:r>
            <w:r w:rsidRPr="0051513D">
              <w:rPr>
                <w:color w:val="000000"/>
                <w:sz w:val="18"/>
                <w:szCs w:val="18"/>
              </w:rPr>
              <w:t>FormsABCD</w:t>
            </w:r>
            <w:r>
              <w:rPr>
                <w:color w:val="000000"/>
                <w:sz w:val="18"/>
                <w:szCs w:val="18"/>
              </w:rPr>
              <w:t xml:space="preserve"> (quarterly)</w:t>
            </w:r>
          </w:p>
        </w:tc>
        <w:tc>
          <w:tcPr>
            <w:tcW w:w="1197" w:type="dxa"/>
            <w:tcBorders>
              <w:top w:val="nil"/>
              <w:left w:val="nil"/>
              <w:bottom w:val="single" w:color="auto" w:sz="8" w:space="0"/>
              <w:right w:val="single" w:color="auto" w:sz="8" w:space="0"/>
            </w:tcBorders>
            <w:shd w:val="clear" w:color="auto" w:fill="auto"/>
            <w:vAlign w:val="center"/>
            <w:hideMark/>
          </w:tcPr>
          <w:p w:rsidRPr="00933F40" w:rsidR="003A4FE3" w:rsidP="003A4FE3" w:rsidRDefault="003A4FE3" w14:paraId="440E5E54" w14:textId="77777777">
            <w:pPr>
              <w:jc w:val="center"/>
              <w:rPr>
                <w:color w:val="000000"/>
                <w:sz w:val="18"/>
                <w:szCs w:val="18"/>
              </w:rPr>
            </w:pPr>
            <w:r w:rsidRPr="00933F40">
              <w:rPr>
                <w:color w:val="000000"/>
                <w:sz w:val="18"/>
                <w:szCs w:val="18"/>
              </w:rPr>
              <w:t>42</w:t>
            </w:r>
          </w:p>
        </w:tc>
        <w:tc>
          <w:tcPr>
            <w:tcW w:w="1187" w:type="dxa"/>
            <w:tcBorders>
              <w:top w:val="nil"/>
              <w:left w:val="nil"/>
              <w:bottom w:val="single" w:color="auto" w:sz="8" w:space="0"/>
              <w:right w:val="single" w:color="auto" w:sz="8" w:space="0"/>
            </w:tcBorders>
            <w:shd w:val="clear" w:color="auto" w:fill="auto"/>
            <w:vAlign w:val="center"/>
            <w:hideMark/>
          </w:tcPr>
          <w:p w:rsidRPr="00933F40" w:rsidR="003A4FE3" w:rsidP="003A4FE3" w:rsidRDefault="003A4FE3" w14:paraId="7645A6E9" w14:textId="77777777">
            <w:pPr>
              <w:jc w:val="center"/>
              <w:rPr>
                <w:color w:val="000000"/>
                <w:sz w:val="18"/>
                <w:szCs w:val="18"/>
              </w:rPr>
            </w:pPr>
            <w:r w:rsidRPr="00933F40">
              <w:rPr>
                <w:color w:val="000000"/>
                <w:sz w:val="18"/>
                <w:szCs w:val="18"/>
              </w:rPr>
              <w:t>4</w:t>
            </w:r>
          </w:p>
        </w:tc>
        <w:tc>
          <w:tcPr>
            <w:tcW w:w="1007" w:type="dxa"/>
            <w:tcBorders>
              <w:top w:val="nil"/>
              <w:left w:val="nil"/>
              <w:bottom w:val="single" w:color="auto" w:sz="8" w:space="0"/>
              <w:right w:val="single" w:color="auto" w:sz="8" w:space="0"/>
            </w:tcBorders>
            <w:shd w:val="clear" w:color="auto" w:fill="auto"/>
            <w:vAlign w:val="center"/>
            <w:hideMark/>
          </w:tcPr>
          <w:p w:rsidRPr="00933F40" w:rsidR="003A4FE3" w:rsidP="003A4FE3" w:rsidRDefault="003A4FE3" w14:paraId="69213626" w14:textId="77777777">
            <w:pPr>
              <w:jc w:val="center"/>
              <w:rPr>
                <w:color w:val="000000"/>
                <w:sz w:val="18"/>
                <w:szCs w:val="18"/>
              </w:rPr>
            </w:pPr>
            <w:r w:rsidRPr="00933F40">
              <w:rPr>
                <w:color w:val="000000"/>
                <w:sz w:val="18"/>
                <w:szCs w:val="18"/>
              </w:rPr>
              <w:t>168</w:t>
            </w:r>
          </w:p>
        </w:tc>
        <w:tc>
          <w:tcPr>
            <w:tcW w:w="937" w:type="dxa"/>
            <w:tcBorders>
              <w:top w:val="nil"/>
              <w:left w:val="nil"/>
              <w:bottom w:val="single" w:color="auto" w:sz="8" w:space="0"/>
              <w:right w:val="single" w:color="auto" w:sz="8" w:space="0"/>
            </w:tcBorders>
            <w:shd w:val="clear" w:color="auto" w:fill="auto"/>
            <w:vAlign w:val="center"/>
            <w:hideMark/>
          </w:tcPr>
          <w:p w:rsidRPr="00933F40" w:rsidR="003A4FE3" w:rsidP="003A4FE3" w:rsidRDefault="003A4FE3" w14:paraId="3A27333C" w14:textId="77777777">
            <w:pPr>
              <w:jc w:val="center"/>
              <w:rPr>
                <w:color w:val="000000"/>
                <w:sz w:val="18"/>
                <w:szCs w:val="18"/>
              </w:rPr>
            </w:pPr>
            <w:r w:rsidRPr="00933F40">
              <w:rPr>
                <w:color w:val="000000"/>
                <w:sz w:val="18"/>
                <w:szCs w:val="18"/>
              </w:rPr>
              <w:t>6</w:t>
            </w:r>
          </w:p>
        </w:tc>
        <w:tc>
          <w:tcPr>
            <w:tcW w:w="1197" w:type="dxa"/>
            <w:tcBorders>
              <w:top w:val="nil"/>
              <w:left w:val="nil"/>
              <w:bottom w:val="single" w:color="auto" w:sz="8" w:space="0"/>
              <w:right w:val="single" w:color="auto" w:sz="8" w:space="0"/>
            </w:tcBorders>
            <w:shd w:val="clear" w:color="auto" w:fill="auto"/>
            <w:vAlign w:val="center"/>
            <w:hideMark/>
          </w:tcPr>
          <w:p w:rsidRPr="00933F40" w:rsidR="003A4FE3" w:rsidP="003A4FE3" w:rsidRDefault="003A4FE3" w14:paraId="0CE56010" w14:textId="77777777">
            <w:pPr>
              <w:jc w:val="center"/>
              <w:rPr>
                <w:color w:val="000000"/>
                <w:sz w:val="18"/>
                <w:szCs w:val="18"/>
              </w:rPr>
            </w:pPr>
            <w:r w:rsidRPr="00933F40">
              <w:rPr>
                <w:color w:val="000000"/>
                <w:sz w:val="18"/>
                <w:szCs w:val="18"/>
              </w:rPr>
              <w:t>1,008</w:t>
            </w:r>
          </w:p>
        </w:tc>
        <w:tc>
          <w:tcPr>
            <w:tcW w:w="1026" w:type="dxa"/>
            <w:tcBorders>
              <w:top w:val="nil"/>
              <w:left w:val="nil"/>
              <w:bottom w:val="single" w:color="auto" w:sz="8" w:space="0"/>
              <w:right w:val="single" w:color="auto" w:sz="8" w:space="0"/>
            </w:tcBorders>
            <w:shd w:val="clear" w:color="auto" w:fill="auto"/>
            <w:vAlign w:val="center"/>
            <w:hideMark/>
          </w:tcPr>
          <w:p w:rsidRPr="00933F40" w:rsidR="003A4FE3" w:rsidP="003A4FE3" w:rsidRDefault="008E2787" w14:paraId="56A3026E" w14:textId="3463C724">
            <w:pPr>
              <w:jc w:val="center"/>
              <w:rPr>
                <w:color w:val="000000"/>
                <w:sz w:val="18"/>
                <w:szCs w:val="18"/>
              </w:rPr>
            </w:pPr>
            <w:r w:rsidRPr="00933F40">
              <w:rPr>
                <w:color w:val="000000"/>
                <w:sz w:val="18"/>
                <w:szCs w:val="18"/>
              </w:rPr>
              <w:t>62.72</w:t>
            </w:r>
          </w:p>
        </w:tc>
        <w:tc>
          <w:tcPr>
            <w:tcW w:w="1341" w:type="dxa"/>
            <w:tcBorders>
              <w:top w:val="nil"/>
              <w:left w:val="nil"/>
              <w:bottom w:val="single" w:color="auto" w:sz="8" w:space="0"/>
              <w:right w:val="single" w:color="auto" w:sz="4" w:space="0"/>
            </w:tcBorders>
            <w:shd w:val="clear" w:color="auto" w:fill="auto"/>
            <w:vAlign w:val="center"/>
            <w:hideMark/>
          </w:tcPr>
          <w:p w:rsidRPr="00B361D7" w:rsidR="003A4FE3" w:rsidP="003A4FE3" w:rsidRDefault="00253C3B" w14:paraId="46A10DC7" w14:textId="5700EAD8">
            <w:pPr>
              <w:jc w:val="center"/>
              <w:rPr>
                <w:color w:val="000000"/>
                <w:sz w:val="18"/>
                <w:szCs w:val="18"/>
              </w:rPr>
            </w:pPr>
            <w:r w:rsidRPr="00B361D7">
              <w:rPr>
                <w:sz w:val="18"/>
                <w:szCs w:val="18"/>
              </w:rPr>
              <w:t>63,222</w:t>
            </w:r>
          </w:p>
        </w:tc>
      </w:tr>
      <w:tr w:rsidRPr="00933F40" w:rsidR="003A4FE3" w:rsidTr="00E0435A" w14:paraId="07A0D120" w14:textId="77777777">
        <w:trPr>
          <w:trHeight w:val="1230"/>
        </w:trPr>
        <w:tc>
          <w:tcPr>
            <w:tcW w:w="1406" w:type="dxa"/>
            <w:tcBorders>
              <w:top w:val="nil"/>
              <w:left w:val="single" w:color="auto" w:sz="8" w:space="0"/>
              <w:bottom w:val="single" w:color="auto" w:sz="8" w:space="0"/>
              <w:right w:val="single" w:color="auto" w:sz="8" w:space="0"/>
            </w:tcBorders>
            <w:shd w:val="clear" w:color="auto" w:fill="auto"/>
            <w:vAlign w:val="center"/>
          </w:tcPr>
          <w:p w:rsidRPr="00933F40" w:rsidR="003A4FE3" w:rsidP="003A4FE3" w:rsidRDefault="003A4FE3" w14:paraId="5C7A22C8" w14:textId="4B2ABEE9">
            <w:pPr>
              <w:rPr>
                <w:iCs/>
                <w:color w:val="000000"/>
                <w:sz w:val="18"/>
                <w:szCs w:val="18"/>
              </w:rPr>
            </w:pPr>
            <w:r w:rsidRPr="00933F40">
              <w:rPr>
                <w:color w:val="000000"/>
                <w:sz w:val="18"/>
                <w:szCs w:val="18"/>
              </w:rPr>
              <w:t xml:space="preserve">MFP Budget </w:t>
            </w:r>
            <w:r w:rsidRPr="00933F40" w:rsidR="00A664EC">
              <w:rPr>
                <w:color w:val="000000"/>
                <w:sz w:val="18"/>
                <w:szCs w:val="18"/>
              </w:rPr>
              <w:t>W</w:t>
            </w:r>
            <w:r w:rsidRPr="00933F40">
              <w:rPr>
                <w:color w:val="000000"/>
                <w:sz w:val="18"/>
                <w:szCs w:val="18"/>
              </w:rPr>
              <w:t>orkbook</w:t>
            </w:r>
            <w:r w:rsidR="00B361D7">
              <w:rPr>
                <w:color w:val="000000"/>
                <w:sz w:val="18"/>
                <w:szCs w:val="18"/>
              </w:rPr>
              <w:t xml:space="preserve"> (annual)</w:t>
            </w:r>
          </w:p>
        </w:tc>
        <w:tc>
          <w:tcPr>
            <w:tcW w:w="1197" w:type="dxa"/>
            <w:tcBorders>
              <w:top w:val="nil"/>
              <w:left w:val="single" w:color="auto" w:sz="8" w:space="0"/>
              <w:bottom w:val="single" w:color="000000" w:sz="8" w:space="0"/>
              <w:right w:val="single" w:color="auto" w:sz="8" w:space="0"/>
            </w:tcBorders>
            <w:shd w:val="clear" w:color="auto" w:fill="auto"/>
            <w:vAlign w:val="center"/>
          </w:tcPr>
          <w:p w:rsidRPr="00933F40" w:rsidR="003A4FE3" w:rsidP="003A4FE3" w:rsidRDefault="003A4FE3" w14:paraId="54953D21" w14:textId="77777777">
            <w:pPr>
              <w:jc w:val="center"/>
              <w:rPr>
                <w:color w:val="000000"/>
                <w:sz w:val="18"/>
                <w:szCs w:val="18"/>
              </w:rPr>
            </w:pPr>
            <w:r w:rsidRPr="00933F40">
              <w:rPr>
                <w:color w:val="000000"/>
                <w:sz w:val="18"/>
                <w:szCs w:val="18"/>
              </w:rPr>
              <w:t>42</w:t>
            </w:r>
          </w:p>
        </w:tc>
        <w:tc>
          <w:tcPr>
            <w:tcW w:w="1187" w:type="dxa"/>
            <w:tcBorders>
              <w:top w:val="nil"/>
              <w:left w:val="nil"/>
              <w:bottom w:val="single" w:color="auto" w:sz="8" w:space="0"/>
              <w:right w:val="single" w:color="auto" w:sz="8" w:space="0"/>
            </w:tcBorders>
            <w:shd w:val="clear" w:color="auto" w:fill="auto"/>
            <w:vAlign w:val="center"/>
          </w:tcPr>
          <w:p w:rsidRPr="00933F40" w:rsidR="003A4FE3" w:rsidP="003A4FE3" w:rsidRDefault="003A4FE3" w14:paraId="7C56F918" w14:textId="77777777">
            <w:pPr>
              <w:jc w:val="center"/>
              <w:rPr>
                <w:iCs/>
                <w:color w:val="000000"/>
                <w:sz w:val="18"/>
                <w:szCs w:val="18"/>
              </w:rPr>
            </w:pPr>
            <w:r w:rsidRPr="00933F40">
              <w:rPr>
                <w:color w:val="000000"/>
                <w:sz w:val="18"/>
                <w:szCs w:val="18"/>
              </w:rPr>
              <w:t>1</w:t>
            </w:r>
          </w:p>
        </w:tc>
        <w:tc>
          <w:tcPr>
            <w:tcW w:w="1007" w:type="dxa"/>
            <w:tcBorders>
              <w:top w:val="nil"/>
              <w:left w:val="nil"/>
              <w:bottom w:val="single" w:color="auto" w:sz="8" w:space="0"/>
              <w:right w:val="single" w:color="auto" w:sz="8" w:space="0"/>
            </w:tcBorders>
            <w:shd w:val="clear" w:color="auto" w:fill="auto"/>
            <w:vAlign w:val="center"/>
          </w:tcPr>
          <w:p w:rsidRPr="00933F40" w:rsidR="003A4FE3" w:rsidP="003A4FE3" w:rsidRDefault="003A4FE3" w14:paraId="2F9F1351" w14:textId="77777777">
            <w:pPr>
              <w:jc w:val="center"/>
              <w:rPr>
                <w:iCs/>
                <w:color w:val="000000"/>
                <w:sz w:val="18"/>
                <w:szCs w:val="18"/>
              </w:rPr>
            </w:pPr>
            <w:r w:rsidRPr="00933F40">
              <w:rPr>
                <w:color w:val="000000"/>
                <w:sz w:val="18"/>
                <w:szCs w:val="18"/>
              </w:rPr>
              <w:t>42</w:t>
            </w:r>
          </w:p>
        </w:tc>
        <w:tc>
          <w:tcPr>
            <w:tcW w:w="937" w:type="dxa"/>
            <w:tcBorders>
              <w:top w:val="nil"/>
              <w:left w:val="nil"/>
              <w:bottom w:val="single" w:color="auto" w:sz="8" w:space="0"/>
              <w:right w:val="single" w:color="auto" w:sz="8" w:space="0"/>
            </w:tcBorders>
            <w:shd w:val="clear" w:color="auto" w:fill="auto"/>
            <w:vAlign w:val="center"/>
          </w:tcPr>
          <w:p w:rsidRPr="00933F40" w:rsidR="003A4FE3" w:rsidP="003A4FE3" w:rsidRDefault="00443892" w14:paraId="04B4DF2C" w14:textId="77777777">
            <w:pPr>
              <w:jc w:val="center"/>
              <w:rPr>
                <w:iCs/>
                <w:color w:val="000000"/>
                <w:sz w:val="18"/>
                <w:szCs w:val="18"/>
              </w:rPr>
            </w:pPr>
            <w:r w:rsidRPr="00933F40">
              <w:rPr>
                <w:color w:val="000000"/>
                <w:sz w:val="18"/>
                <w:szCs w:val="18"/>
              </w:rPr>
              <w:t>24</w:t>
            </w:r>
          </w:p>
        </w:tc>
        <w:tc>
          <w:tcPr>
            <w:tcW w:w="1197" w:type="dxa"/>
            <w:tcBorders>
              <w:top w:val="nil"/>
              <w:left w:val="nil"/>
              <w:bottom w:val="single" w:color="auto" w:sz="8" w:space="0"/>
              <w:right w:val="single" w:color="auto" w:sz="8" w:space="0"/>
            </w:tcBorders>
            <w:shd w:val="clear" w:color="auto" w:fill="auto"/>
            <w:vAlign w:val="center"/>
          </w:tcPr>
          <w:p w:rsidRPr="00933F40" w:rsidR="003A4FE3" w:rsidP="003A4FE3" w:rsidRDefault="00443892" w14:paraId="29E25F2C" w14:textId="77777777">
            <w:pPr>
              <w:jc w:val="center"/>
              <w:rPr>
                <w:iCs/>
                <w:color w:val="000000"/>
                <w:sz w:val="18"/>
                <w:szCs w:val="18"/>
              </w:rPr>
            </w:pPr>
            <w:r w:rsidRPr="00933F40">
              <w:rPr>
                <w:color w:val="000000"/>
                <w:sz w:val="18"/>
                <w:szCs w:val="18"/>
              </w:rPr>
              <w:t>1,008</w:t>
            </w:r>
          </w:p>
        </w:tc>
        <w:tc>
          <w:tcPr>
            <w:tcW w:w="1026" w:type="dxa"/>
            <w:tcBorders>
              <w:top w:val="single" w:color="auto" w:sz="8" w:space="0"/>
              <w:left w:val="nil"/>
              <w:bottom w:val="single" w:color="auto" w:sz="8" w:space="0"/>
              <w:right w:val="single" w:color="auto" w:sz="8" w:space="0"/>
            </w:tcBorders>
            <w:shd w:val="clear" w:color="auto" w:fill="auto"/>
            <w:vAlign w:val="center"/>
          </w:tcPr>
          <w:p w:rsidRPr="00933F40" w:rsidR="003A4FE3" w:rsidP="003A4FE3" w:rsidRDefault="008E2787" w14:paraId="6C69D9B2" w14:textId="51555EC1">
            <w:pPr>
              <w:jc w:val="center"/>
              <w:rPr>
                <w:color w:val="000000"/>
                <w:sz w:val="18"/>
                <w:szCs w:val="18"/>
              </w:rPr>
            </w:pPr>
            <w:r w:rsidRPr="00933F40">
              <w:rPr>
                <w:color w:val="000000"/>
                <w:sz w:val="18"/>
                <w:szCs w:val="18"/>
              </w:rPr>
              <w:t>62.72</w:t>
            </w:r>
          </w:p>
        </w:tc>
        <w:tc>
          <w:tcPr>
            <w:tcW w:w="1341" w:type="dxa"/>
            <w:tcBorders>
              <w:top w:val="nil"/>
              <w:left w:val="nil"/>
              <w:bottom w:val="single" w:color="auto" w:sz="8" w:space="0"/>
              <w:right w:val="single" w:color="auto" w:sz="4" w:space="0"/>
            </w:tcBorders>
            <w:shd w:val="clear" w:color="auto" w:fill="auto"/>
            <w:vAlign w:val="center"/>
          </w:tcPr>
          <w:p w:rsidRPr="00B361D7" w:rsidR="003A4FE3" w:rsidP="003A4FE3" w:rsidRDefault="00253C3B" w14:paraId="33D18324" w14:textId="027FBB9E">
            <w:pPr>
              <w:jc w:val="center"/>
              <w:rPr>
                <w:iCs/>
                <w:color w:val="000000"/>
                <w:sz w:val="18"/>
                <w:szCs w:val="18"/>
              </w:rPr>
            </w:pPr>
            <w:r w:rsidRPr="00B361D7">
              <w:rPr>
                <w:sz w:val="18"/>
                <w:szCs w:val="18"/>
              </w:rPr>
              <w:t>63,222</w:t>
            </w:r>
          </w:p>
        </w:tc>
      </w:tr>
      <w:tr w:rsidRPr="00933F40" w:rsidR="00443892" w:rsidTr="00E0435A" w14:paraId="65C7FE35" w14:textId="77777777">
        <w:trPr>
          <w:trHeight w:val="1230"/>
        </w:trPr>
        <w:tc>
          <w:tcPr>
            <w:tcW w:w="1406" w:type="dxa"/>
            <w:tcBorders>
              <w:top w:val="nil"/>
              <w:left w:val="single" w:color="auto" w:sz="8" w:space="0"/>
              <w:bottom w:val="single" w:color="auto" w:sz="8" w:space="0"/>
              <w:right w:val="single" w:color="auto" w:sz="8" w:space="0"/>
            </w:tcBorders>
            <w:shd w:val="clear" w:color="auto" w:fill="auto"/>
            <w:vAlign w:val="center"/>
          </w:tcPr>
          <w:p w:rsidRPr="00933F40" w:rsidR="00443892" w:rsidP="003A4FE3" w:rsidRDefault="00443892" w14:paraId="3F837252" w14:textId="4737B170">
            <w:pPr>
              <w:rPr>
                <w:color w:val="000000"/>
                <w:sz w:val="18"/>
                <w:szCs w:val="18"/>
              </w:rPr>
            </w:pPr>
            <w:r w:rsidRPr="00933F40">
              <w:rPr>
                <w:iCs/>
                <w:color w:val="000000"/>
                <w:sz w:val="18"/>
                <w:szCs w:val="18"/>
              </w:rPr>
              <w:t>MFP Semi-Annual Report</w:t>
            </w:r>
          </w:p>
        </w:tc>
        <w:tc>
          <w:tcPr>
            <w:tcW w:w="1197" w:type="dxa"/>
            <w:tcBorders>
              <w:top w:val="nil"/>
              <w:left w:val="single" w:color="auto" w:sz="8" w:space="0"/>
              <w:bottom w:val="single" w:color="000000" w:sz="8" w:space="0"/>
              <w:right w:val="single" w:color="auto" w:sz="8" w:space="0"/>
            </w:tcBorders>
            <w:shd w:val="clear" w:color="auto" w:fill="auto"/>
            <w:vAlign w:val="center"/>
          </w:tcPr>
          <w:p w:rsidRPr="00933F40" w:rsidR="00443892" w:rsidP="003A4FE3" w:rsidRDefault="00443892" w14:paraId="30C58862" w14:textId="77777777">
            <w:pPr>
              <w:jc w:val="center"/>
              <w:rPr>
                <w:color w:val="000000"/>
                <w:sz w:val="18"/>
                <w:szCs w:val="18"/>
              </w:rPr>
            </w:pPr>
            <w:r w:rsidRPr="00933F40">
              <w:rPr>
                <w:color w:val="000000"/>
                <w:sz w:val="18"/>
                <w:szCs w:val="18"/>
              </w:rPr>
              <w:t>42</w:t>
            </w:r>
          </w:p>
        </w:tc>
        <w:tc>
          <w:tcPr>
            <w:tcW w:w="1187" w:type="dxa"/>
            <w:tcBorders>
              <w:top w:val="nil"/>
              <w:left w:val="nil"/>
              <w:bottom w:val="single" w:color="auto" w:sz="8" w:space="0"/>
              <w:right w:val="single" w:color="auto" w:sz="8" w:space="0"/>
            </w:tcBorders>
            <w:shd w:val="clear" w:color="auto" w:fill="auto"/>
            <w:vAlign w:val="center"/>
          </w:tcPr>
          <w:p w:rsidRPr="00933F40" w:rsidR="00443892" w:rsidP="003A4FE3" w:rsidRDefault="00443892" w14:paraId="250DF437" w14:textId="77777777">
            <w:pPr>
              <w:jc w:val="center"/>
              <w:rPr>
                <w:color w:val="000000"/>
                <w:sz w:val="18"/>
                <w:szCs w:val="18"/>
              </w:rPr>
            </w:pPr>
            <w:r w:rsidRPr="00933F40">
              <w:rPr>
                <w:color w:val="000000"/>
                <w:sz w:val="18"/>
                <w:szCs w:val="18"/>
              </w:rPr>
              <w:t>2</w:t>
            </w:r>
          </w:p>
        </w:tc>
        <w:tc>
          <w:tcPr>
            <w:tcW w:w="1007" w:type="dxa"/>
            <w:tcBorders>
              <w:top w:val="nil"/>
              <w:left w:val="nil"/>
              <w:bottom w:val="single" w:color="auto" w:sz="8" w:space="0"/>
              <w:right w:val="single" w:color="auto" w:sz="8" w:space="0"/>
            </w:tcBorders>
            <w:shd w:val="clear" w:color="auto" w:fill="auto"/>
            <w:vAlign w:val="center"/>
          </w:tcPr>
          <w:p w:rsidRPr="00933F40" w:rsidR="00443892" w:rsidP="003A4FE3" w:rsidRDefault="00443892" w14:paraId="235EA8F1" w14:textId="77777777">
            <w:pPr>
              <w:jc w:val="center"/>
              <w:rPr>
                <w:color w:val="000000"/>
                <w:sz w:val="18"/>
                <w:szCs w:val="18"/>
              </w:rPr>
            </w:pPr>
            <w:r w:rsidRPr="00933F40">
              <w:rPr>
                <w:color w:val="000000"/>
                <w:sz w:val="18"/>
                <w:szCs w:val="18"/>
              </w:rPr>
              <w:t>84</w:t>
            </w:r>
          </w:p>
        </w:tc>
        <w:tc>
          <w:tcPr>
            <w:tcW w:w="937" w:type="dxa"/>
            <w:tcBorders>
              <w:top w:val="nil"/>
              <w:left w:val="nil"/>
              <w:bottom w:val="single" w:color="auto" w:sz="8" w:space="0"/>
              <w:right w:val="single" w:color="auto" w:sz="8" w:space="0"/>
            </w:tcBorders>
            <w:shd w:val="clear" w:color="auto" w:fill="auto"/>
            <w:vAlign w:val="center"/>
          </w:tcPr>
          <w:p w:rsidRPr="00933F40" w:rsidR="00443892" w:rsidP="003A4FE3" w:rsidRDefault="00443892" w14:paraId="0183D98E" w14:textId="77777777">
            <w:pPr>
              <w:jc w:val="center"/>
              <w:rPr>
                <w:color w:val="000000"/>
                <w:sz w:val="18"/>
                <w:szCs w:val="18"/>
              </w:rPr>
            </w:pPr>
            <w:r w:rsidRPr="00933F40">
              <w:rPr>
                <w:color w:val="000000"/>
                <w:sz w:val="18"/>
                <w:szCs w:val="18"/>
              </w:rPr>
              <w:t>3</w:t>
            </w:r>
          </w:p>
        </w:tc>
        <w:tc>
          <w:tcPr>
            <w:tcW w:w="1197" w:type="dxa"/>
            <w:tcBorders>
              <w:top w:val="nil"/>
              <w:left w:val="nil"/>
              <w:bottom w:val="single" w:color="auto" w:sz="8" w:space="0"/>
              <w:right w:val="single" w:color="auto" w:sz="8" w:space="0"/>
            </w:tcBorders>
            <w:shd w:val="clear" w:color="auto" w:fill="auto"/>
            <w:vAlign w:val="center"/>
          </w:tcPr>
          <w:p w:rsidRPr="00933F40" w:rsidR="00443892" w:rsidP="003A4FE3" w:rsidRDefault="00443892" w14:paraId="3A3DD24F" w14:textId="77777777">
            <w:pPr>
              <w:jc w:val="center"/>
              <w:rPr>
                <w:color w:val="000000"/>
                <w:sz w:val="18"/>
                <w:szCs w:val="18"/>
              </w:rPr>
            </w:pPr>
            <w:r w:rsidRPr="00933F40">
              <w:rPr>
                <w:color w:val="000000"/>
                <w:sz w:val="18"/>
                <w:szCs w:val="18"/>
              </w:rPr>
              <w:t>252</w:t>
            </w:r>
          </w:p>
        </w:tc>
        <w:tc>
          <w:tcPr>
            <w:tcW w:w="1026" w:type="dxa"/>
            <w:tcBorders>
              <w:top w:val="single" w:color="auto" w:sz="8" w:space="0"/>
              <w:left w:val="nil"/>
              <w:bottom w:val="single" w:color="auto" w:sz="8" w:space="0"/>
              <w:right w:val="single" w:color="auto" w:sz="4" w:space="0"/>
            </w:tcBorders>
            <w:shd w:val="clear" w:color="auto" w:fill="auto"/>
            <w:vAlign w:val="center"/>
          </w:tcPr>
          <w:p w:rsidRPr="00933F40" w:rsidR="00443892" w:rsidP="003A4FE3" w:rsidRDefault="008E2787" w14:paraId="70BA039A" w14:textId="118B1E50">
            <w:pPr>
              <w:jc w:val="center"/>
              <w:rPr>
                <w:color w:val="000000"/>
                <w:sz w:val="18"/>
                <w:szCs w:val="18"/>
              </w:rPr>
            </w:pPr>
            <w:r w:rsidRPr="00933F40">
              <w:rPr>
                <w:color w:val="000000"/>
                <w:sz w:val="18"/>
                <w:szCs w:val="18"/>
              </w:rPr>
              <w:t>62.72</w:t>
            </w:r>
          </w:p>
        </w:tc>
        <w:tc>
          <w:tcPr>
            <w:tcW w:w="1341" w:type="dxa"/>
            <w:tcBorders>
              <w:top w:val="nil"/>
              <w:left w:val="single" w:color="auto" w:sz="4" w:space="0"/>
              <w:bottom w:val="single" w:color="auto" w:sz="8" w:space="0"/>
              <w:right w:val="single" w:color="auto" w:sz="4" w:space="0"/>
            </w:tcBorders>
            <w:shd w:val="clear" w:color="auto" w:fill="auto"/>
            <w:vAlign w:val="center"/>
          </w:tcPr>
          <w:p w:rsidRPr="00B361D7" w:rsidR="00443892" w:rsidP="003A4FE3" w:rsidRDefault="00253C3B" w14:paraId="2B292D9F" w14:textId="631B7905">
            <w:pPr>
              <w:jc w:val="center"/>
              <w:rPr>
                <w:color w:val="000000"/>
                <w:sz w:val="18"/>
                <w:szCs w:val="18"/>
              </w:rPr>
            </w:pPr>
            <w:r w:rsidRPr="00B361D7">
              <w:rPr>
                <w:sz w:val="18"/>
                <w:szCs w:val="18"/>
              </w:rPr>
              <w:t>15,805</w:t>
            </w:r>
          </w:p>
        </w:tc>
      </w:tr>
      <w:tr w:rsidRPr="00933F40" w:rsidR="004951BA" w:rsidTr="00E0435A" w14:paraId="7AA9889F" w14:textId="77777777">
        <w:trPr>
          <w:trHeight w:val="315"/>
        </w:trPr>
        <w:tc>
          <w:tcPr>
            <w:tcW w:w="1406" w:type="dxa"/>
            <w:tcBorders>
              <w:top w:val="nil"/>
              <w:left w:val="single" w:color="auto" w:sz="8" w:space="0"/>
              <w:bottom w:val="single" w:color="auto" w:sz="8" w:space="0"/>
              <w:right w:val="single" w:color="auto" w:sz="8" w:space="0"/>
            </w:tcBorders>
            <w:shd w:val="clear" w:color="auto" w:fill="D9D9D9"/>
            <w:vAlign w:val="center"/>
            <w:hideMark/>
          </w:tcPr>
          <w:p w:rsidRPr="00933F40" w:rsidR="004951BA" w:rsidP="00197D53" w:rsidRDefault="004951BA" w14:paraId="4470221A" w14:textId="77777777">
            <w:pPr>
              <w:rPr>
                <w:b/>
                <w:bCs/>
                <w:color w:val="000000"/>
                <w:sz w:val="18"/>
                <w:szCs w:val="18"/>
              </w:rPr>
            </w:pPr>
            <w:r w:rsidRPr="00933F40">
              <w:rPr>
                <w:b/>
                <w:bCs/>
                <w:color w:val="000000"/>
                <w:sz w:val="18"/>
                <w:szCs w:val="18"/>
              </w:rPr>
              <w:t>TOTAL</w:t>
            </w:r>
          </w:p>
        </w:tc>
        <w:tc>
          <w:tcPr>
            <w:tcW w:w="1197" w:type="dxa"/>
            <w:tcBorders>
              <w:top w:val="nil"/>
              <w:left w:val="nil"/>
              <w:bottom w:val="single" w:color="auto" w:sz="8" w:space="0"/>
              <w:right w:val="single" w:color="auto" w:sz="8" w:space="0"/>
            </w:tcBorders>
            <w:shd w:val="clear" w:color="auto" w:fill="D9D9D9"/>
            <w:vAlign w:val="center"/>
            <w:hideMark/>
          </w:tcPr>
          <w:p w:rsidRPr="00933F40" w:rsidR="004951BA" w:rsidP="001E46BD" w:rsidRDefault="004951BA" w14:paraId="1CD91A09" w14:textId="77777777">
            <w:pPr>
              <w:jc w:val="center"/>
              <w:rPr>
                <w:b/>
                <w:bCs/>
                <w:color w:val="000000"/>
                <w:sz w:val="18"/>
                <w:szCs w:val="18"/>
              </w:rPr>
            </w:pPr>
            <w:r w:rsidRPr="00933F40">
              <w:rPr>
                <w:b/>
                <w:bCs/>
                <w:color w:val="000000"/>
                <w:sz w:val="18"/>
                <w:szCs w:val="18"/>
              </w:rPr>
              <w:t>4</w:t>
            </w:r>
            <w:r w:rsidRPr="00933F40" w:rsidR="00685DD2">
              <w:rPr>
                <w:b/>
                <w:bCs/>
                <w:color w:val="000000"/>
                <w:sz w:val="18"/>
                <w:szCs w:val="18"/>
              </w:rPr>
              <w:t>2</w:t>
            </w:r>
          </w:p>
        </w:tc>
        <w:tc>
          <w:tcPr>
            <w:tcW w:w="1187" w:type="dxa"/>
            <w:tcBorders>
              <w:top w:val="nil"/>
              <w:left w:val="nil"/>
              <w:bottom w:val="single" w:color="auto" w:sz="8" w:space="0"/>
              <w:right w:val="single" w:color="auto" w:sz="8" w:space="0"/>
            </w:tcBorders>
            <w:shd w:val="clear" w:color="auto" w:fill="D9D9D9"/>
            <w:vAlign w:val="center"/>
            <w:hideMark/>
          </w:tcPr>
          <w:p w:rsidRPr="00933F40" w:rsidR="004951BA" w:rsidP="00197D53" w:rsidRDefault="00443892" w14:paraId="4FC895E6" w14:textId="77777777">
            <w:pPr>
              <w:jc w:val="center"/>
              <w:rPr>
                <w:b/>
                <w:bCs/>
                <w:color w:val="000000"/>
                <w:sz w:val="18"/>
                <w:szCs w:val="18"/>
              </w:rPr>
            </w:pPr>
            <w:r w:rsidRPr="00933F40">
              <w:rPr>
                <w:b/>
                <w:bCs/>
                <w:color w:val="000000"/>
                <w:sz w:val="18"/>
                <w:szCs w:val="18"/>
              </w:rPr>
              <w:t>8</w:t>
            </w:r>
          </w:p>
        </w:tc>
        <w:tc>
          <w:tcPr>
            <w:tcW w:w="1007" w:type="dxa"/>
            <w:tcBorders>
              <w:top w:val="nil"/>
              <w:left w:val="nil"/>
              <w:bottom w:val="single" w:color="auto" w:sz="8" w:space="0"/>
              <w:right w:val="single" w:color="auto" w:sz="8" w:space="0"/>
            </w:tcBorders>
            <w:shd w:val="clear" w:color="auto" w:fill="D9D9D9"/>
            <w:vAlign w:val="center"/>
            <w:hideMark/>
          </w:tcPr>
          <w:p w:rsidRPr="00933F40" w:rsidR="004951BA" w:rsidP="00197D53" w:rsidRDefault="00443892" w14:paraId="5D2B6F18" w14:textId="77777777">
            <w:pPr>
              <w:jc w:val="center"/>
              <w:rPr>
                <w:b/>
                <w:bCs/>
                <w:color w:val="000000"/>
                <w:sz w:val="18"/>
                <w:szCs w:val="18"/>
              </w:rPr>
            </w:pPr>
            <w:r w:rsidRPr="00933F40">
              <w:rPr>
                <w:b/>
                <w:bCs/>
                <w:color w:val="000000"/>
                <w:sz w:val="18"/>
                <w:szCs w:val="18"/>
              </w:rPr>
              <w:t>336</w:t>
            </w:r>
          </w:p>
        </w:tc>
        <w:tc>
          <w:tcPr>
            <w:tcW w:w="937" w:type="dxa"/>
            <w:tcBorders>
              <w:top w:val="nil"/>
              <w:left w:val="nil"/>
              <w:bottom w:val="single" w:color="auto" w:sz="8" w:space="0"/>
              <w:right w:val="single" w:color="auto" w:sz="8" w:space="0"/>
            </w:tcBorders>
            <w:shd w:val="clear" w:color="auto" w:fill="D9D9D9"/>
            <w:vAlign w:val="center"/>
            <w:hideMark/>
          </w:tcPr>
          <w:p w:rsidRPr="00933F40" w:rsidR="004951BA" w:rsidP="00197D53" w:rsidRDefault="00AD5C9D" w14:paraId="6651E40D" w14:textId="77777777">
            <w:pPr>
              <w:jc w:val="center"/>
              <w:rPr>
                <w:b/>
                <w:bCs/>
                <w:color w:val="000000"/>
                <w:sz w:val="18"/>
                <w:szCs w:val="18"/>
              </w:rPr>
            </w:pPr>
            <w:r w:rsidRPr="00933F40">
              <w:rPr>
                <w:b/>
                <w:bCs/>
                <w:color w:val="000000"/>
                <w:sz w:val="18"/>
                <w:szCs w:val="18"/>
              </w:rPr>
              <w:t>varies</w:t>
            </w:r>
          </w:p>
        </w:tc>
        <w:tc>
          <w:tcPr>
            <w:tcW w:w="1197" w:type="dxa"/>
            <w:tcBorders>
              <w:top w:val="nil"/>
              <w:left w:val="nil"/>
              <w:bottom w:val="single" w:color="auto" w:sz="8" w:space="0"/>
              <w:right w:val="single" w:color="auto" w:sz="8" w:space="0"/>
            </w:tcBorders>
            <w:shd w:val="clear" w:color="auto" w:fill="D9D9D9"/>
            <w:vAlign w:val="center"/>
            <w:hideMark/>
          </w:tcPr>
          <w:p w:rsidRPr="00933F40" w:rsidR="004951BA" w:rsidP="00197D53" w:rsidRDefault="00443892" w14:paraId="6EA6BBFC" w14:textId="77777777">
            <w:pPr>
              <w:jc w:val="center"/>
              <w:rPr>
                <w:b/>
                <w:bCs/>
                <w:color w:val="000000"/>
                <w:sz w:val="18"/>
                <w:szCs w:val="18"/>
              </w:rPr>
            </w:pPr>
            <w:r w:rsidRPr="00933F40">
              <w:rPr>
                <w:b/>
                <w:bCs/>
                <w:color w:val="000000"/>
                <w:sz w:val="18"/>
                <w:szCs w:val="18"/>
              </w:rPr>
              <w:t>2</w:t>
            </w:r>
            <w:r w:rsidRPr="00933F40" w:rsidR="0063641F">
              <w:rPr>
                <w:b/>
                <w:bCs/>
                <w:color w:val="000000"/>
                <w:sz w:val="18"/>
                <w:szCs w:val="18"/>
              </w:rPr>
              <w:t>,</w:t>
            </w:r>
            <w:r w:rsidRPr="00933F40">
              <w:rPr>
                <w:b/>
                <w:bCs/>
                <w:color w:val="000000"/>
                <w:sz w:val="18"/>
                <w:szCs w:val="18"/>
              </w:rPr>
              <w:t>604</w:t>
            </w:r>
          </w:p>
        </w:tc>
        <w:tc>
          <w:tcPr>
            <w:tcW w:w="1026" w:type="dxa"/>
            <w:tcBorders>
              <w:top w:val="single" w:color="auto" w:sz="8" w:space="0"/>
              <w:left w:val="nil"/>
              <w:bottom w:val="single" w:color="auto" w:sz="8" w:space="0"/>
              <w:right w:val="single" w:color="auto" w:sz="8" w:space="0"/>
            </w:tcBorders>
            <w:shd w:val="clear" w:color="auto" w:fill="D9D9D9"/>
            <w:vAlign w:val="center"/>
            <w:hideMark/>
          </w:tcPr>
          <w:p w:rsidRPr="00933F40" w:rsidR="004951BA" w:rsidP="00197D53" w:rsidRDefault="0068050A" w14:paraId="0D8696A8" w14:textId="77C9109A">
            <w:pPr>
              <w:jc w:val="center"/>
              <w:rPr>
                <w:b/>
                <w:bCs/>
                <w:color w:val="000000"/>
                <w:sz w:val="18"/>
                <w:szCs w:val="18"/>
              </w:rPr>
            </w:pPr>
            <w:r w:rsidRPr="00933F40">
              <w:rPr>
                <w:b/>
                <w:bCs/>
                <w:color w:val="000000"/>
                <w:sz w:val="18"/>
                <w:szCs w:val="18"/>
              </w:rPr>
              <w:t>62.72</w:t>
            </w:r>
          </w:p>
        </w:tc>
        <w:tc>
          <w:tcPr>
            <w:tcW w:w="1341" w:type="dxa"/>
            <w:tcBorders>
              <w:top w:val="nil"/>
              <w:left w:val="nil"/>
              <w:bottom w:val="single" w:color="auto" w:sz="8" w:space="0"/>
              <w:right w:val="single" w:color="auto" w:sz="4" w:space="0"/>
            </w:tcBorders>
            <w:shd w:val="clear" w:color="auto" w:fill="D9D9D9"/>
            <w:vAlign w:val="center"/>
            <w:hideMark/>
          </w:tcPr>
          <w:p w:rsidRPr="00933F40" w:rsidR="004951BA" w:rsidP="00197D53" w:rsidRDefault="003F07C4" w14:paraId="7F4E51EA" w14:textId="310529F3">
            <w:pPr>
              <w:jc w:val="center"/>
              <w:rPr>
                <w:b/>
                <w:bCs/>
                <w:color w:val="000000"/>
                <w:sz w:val="18"/>
                <w:szCs w:val="18"/>
              </w:rPr>
            </w:pPr>
            <w:r w:rsidRPr="00933F40">
              <w:rPr>
                <w:b/>
                <w:bCs/>
                <w:color w:val="000000"/>
                <w:sz w:val="18"/>
                <w:szCs w:val="18"/>
              </w:rPr>
              <w:t>163,323</w:t>
            </w:r>
          </w:p>
        </w:tc>
      </w:tr>
    </w:tbl>
    <w:p w:rsidRPr="00933F40" w:rsidR="009033E7" w:rsidP="008E1165" w:rsidRDefault="009033E7" w14:paraId="09DF7123" w14:textId="77777777">
      <w:pPr>
        <w:outlineLvl w:val="0"/>
      </w:pPr>
    </w:p>
    <w:p w:rsidRPr="005E5A10" w:rsidR="009033E7" w:rsidP="009033E7" w:rsidRDefault="009033E7" w14:paraId="30664022"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5E5A10">
        <w:rPr>
          <w:i/>
        </w:rPr>
        <w:t>Information Collection Instruments and Instruction/Guidance Documents</w:t>
      </w:r>
    </w:p>
    <w:p w:rsidRPr="005E5A10" w:rsidR="00606994" w:rsidP="009033E7" w:rsidRDefault="00606994" w14:paraId="4F423806" w14:textId="5B340EC3"/>
    <w:p w:rsidRPr="005E5A10" w:rsidR="00A728CD" w:rsidP="009033E7" w:rsidRDefault="00A728CD" w14:paraId="77274692" w14:textId="0091EBBC">
      <w:r w:rsidRPr="005E5A10">
        <w:t>In no special order:</w:t>
      </w:r>
    </w:p>
    <w:p w:rsidRPr="005E5A10" w:rsidR="00A728CD" w:rsidP="009033E7" w:rsidRDefault="00A728CD" w14:paraId="6C2CFDF0" w14:textId="77777777"/>
    <w:p w:rsidRPr="005E5A10" w:rsidR="00177F82" w:rsidP="009033E7" w:rsidRDefault="00177F82" w14:paraId="5A8F99B5" w14:textId="475D62E3">
      <w:r w:rsidRPr="005E5A10">
        <w:t>Annual Financial Forms for Existing Grantees</w:t>
      </w:r>
      <w:r w:rsidRPr="005E5A10" w:rsidR="004A39A9">
        <w:t xml:space="preserve"> (</w:t>
      </w:r>
      <w:r w:rsidRPr="005E5A10" w:rsidR="00A728CD">
        <w:t>as indicated below in section 15</w:t>
      </w:r>
      <w:r w:rsidRPr="005E5A10" w:rsidR="005125E1">
        <w:t>:</w:t>
      </w:r>
      <w:r w:rsidRPr="005E5A10" w:rsidR="00A728CD">
        <w:t xml:space="preserve"> r</w:t>
      </w:r>
      <w:r w:rsidRPr="005E5A10" w:rsidR="004A39A9">
        <w:t xml:space="preserve">emoved and replaced by </w:t>
      </w:r>
      <w:r w:rsidRPr="005E5A10" w:rsidR="004A39A9">
        <w:t>MFP_Budget_Workbook</w:t>
      </w:r>
      <w:r w:rsidRPr="005E5A10" w:rsidR="004A39A9">
        <w:t xml:space="preserve"> and </w:t>
      </w:r>
      <w:r w:rsidRPr="005E5A10" w:rsidR="00A728CD">
        <w:t xml:space="preserve">the </w:t>
      </w:r>
      <w:r w:rsidRPr="005E5A10" w:rsidR="00A728CD">
        <w:t>MFP MOE Form</w:t>
      </w:r>
      <w:r w:rsidRPr="005E5A10" w:rsidR="004A39A9">
        <w:t>)</w:t>
      </w:r>
    </w:p>
    <w:p w:rsidRPr="005E5A10" w:rsidR="004A39A9" w:rsidP="009033E7" w:rsidRDefault="004A39A9" w14:paraId="77045ADE" w14:textId="69787F44"/>
    <w:p w:rsidRPr="005E5A10" w:rsidR="00A728CD" w:rsidP="00A728CD" w:rsidRDefault="00A728CD" w14:paraId="77DE9C3E" w14:textId="29237D62">
      <w:r w:rsidRPr="005E5A10">
        <w:t>MFP_Budget_Workbook (Revised</w:t>
      </w:r>
      <w:r w:rsidRPr="005E5A10">
        <w:t xml:space="preserve">, see Crosswalk and </w:t>
      </w:r>
      <w:r w:rsidRPr="005E5A10">
        <w:t>section 15</w:t>
      </w:r>
      <w:r w:rsidRPr="005E5A10">
        <w:t xml:space="preserve"> of this Supporting Statement for details</w:t>
      </w:r>
      <w:r w:rsidRPr="005E5A10">
        <w:t>)</w:t>
      </w:r>
    </w:p>
    <w:p w:rsidRPr="005E5A10" w:rsidR="004A39A9" w:rsidP="009033E7" w:rsidRDefault="004A39A9" w14:paraId="266FAC46" w14:textId="77777777"/>
    <w:p w:rsidRPr="005E5A10" w:rsidR="00BE6DE7" w:rsidP="00BE6DE7" w:rsidRDefault="00BE6DE7" w14:paraId="6702E7F1" w14:textId="0CDB7C16">
      <w:r w:rsidRPr="005E5A10">
        <w:t xml:space="preserve">MFP MOE Form </w:t>
      </w:r>
      <w:r w:rsidRPr="005E5A10" w:rsidR="00A728CD">
        <w:t>(Revised, see Crosswalk and section 15 of this Supporting Statement for details)</w:t>
      </w:r>
    </w:p>
    <w:p w:rsidRPr="005E5A10" w:rsidR="00543B09" w:rsidP="009033E7" w:rsidRDefault="00543B09" w14:paraId="520BBC03" w14:textId="015B9136"/>
    <w:p w:rsidRPr="005E5A10" w:rsidR="00A728CD" w:rsidP="00A728CD" w:rsidRDefault="00A728CD" w14:paraId="29E79CF0" w14:textId="7E32714F">
      <w:r w:rsidRPr="005E5A10">
        <w:t xml:space="preserve">MFP_SemiAnnual Report </w:t>
      </w:r>
      <w:r w:rsidRPr="005E5A10" w:rsidR="00A4582A">
        <w:t>(Revised, see Crosswalk and section 15 of this Supporting Statement for details)</w:t>
      </w:r>
    </w:p>
    <w:p w:rsidRPr="005E5A10" w:rsidR="00A728CD" w:rsidP="00A728CD" w:rsidRDefault="00A728CD" w14:paraId="040BE4C3" w14:textId="77777777"/>
    <w:p w:rsidRPr="005E5A10" w:rsidR="00A728CD" w:rsidP="00A728CD" w:rsidRDefault="00A728CD" w14:paraId="5753BE4B" w14:textId="470EEF13">
      <w:r w:rsidRPr="005E5A10">
        <w:t xml:space="preserve">MFP_Semi-Annual_Help_File </w:t>
      </w:r>
      <w:r w:rsidRPr="005E5A10" w:rsidR="00A4582A">
        <w:t>(Revised, see Crosswalk and section 15 of this Supporting Statement for details)</w:t>
      </w:r>
    </w:p>
    <w:p w:rsidRPr="005E5A10" w:rsidR="00A728CD" w:rsidP="009033E7" w:rsidRDefault="00A728CD" w14:paraId="30DE6D14" w14:textId="790D3F12"/>
    <w:p w:rsidRPr="005E5A10" w:rsidR="00840DA5" w:rsidP="00A4582A" w:rsidRDefault="00FA3E92" w14:paraId="53BD39D7" w14:textId="162020CD">
      <w:r w:rsidRPr="005E5A10">
        <w:t>Additional Benchmarks – Addendum to the MFP Semi-Annual</w:t>
      </w:r>
      <w:r w:rsidRPr="005E5A10" w:rsidR="00840DA5">
        <w:t xml:space="preserve"> </w:t>
      </w:r>
      <w:r w:rsidRPr="005E5A10">
        <w:t>Progress Report</w:t>
      </w:r>
      <w:r w:rsidRPr="005E5A10" w:rsidR="00A4582A">
        <w:t xml:space="preserve"> </w:t>
      </w:r>
      <w:r w:rsidRPr="005E5A10" w:rsidR="00840DA5">
        <w:t>(Revised, see Crosswalk and section 15 of this Supporting Statement for details)</w:t>
      </w:r>
    </w:p>
    <w:p w:rsidRPr="005E5A10" w:rsidR="00A728CD" w:rsidP="009033E7" w:rsidRDefault="00A728CD" w14:paraId="28216555" w14:textId="77777777"/>
    <w:p w:rsidRPr="005E5A10" w:rsidR="00543B09" w:rsidP="00543B09" w:rsidRDefault="00543B09" w14:paraId="1D6C068E" w14:textId="77777777">
      <w:r w:rsidRPr="005E5A10">
        <w:t>MFP_Financial_Reporting_FormsABCD (No Changes)</w:t>
      </w:r>
    </w:p>
    <w:p w:rsidRPr="005E5A10" w:rsidR="00146891" w:rsidP="008E1165" w:rsidRDefault="00146891" w14:paraId="7377A768" w14:textId="63D8456C">
      <w:pPr>
        <w:outlineLvl w:val="0"/>
      </w:pPr>
    </w:p>
    <w:p w:rsidRPr="005E5A10" w:rsidR="00D22CFF" w:rsidP="00D22CFF" w:rsidRDefault="00840D1D" w14:paraId="44C50800" w14:textId="63D74C75">
      <w:r w:rsidRPr="005E5A10">
        <w:t>CMS 64i Expenditure Forms</w:t>
      </w:r>
      <w:r w:rsidRPr="005E5A10" w:rsidR="00D22CFF">
        <w:t xml:space="preserve"> (CMS-64.9i, CMS-64.9pi, CMS-64.10i, and CMS-64.10pi are a subset of the lines required under CMS-64 as approved under OMB control number 0938-1265 [CMS-10529])</w:t>
      </w:r>
    </w:p>
    <w:p w:rsidRPr="005E5A10" w:rsidR="00D22CFF" w:rsidP="00D22CFF" w:rsidRDefault="00D22CFF" w14:paraId="55D0B480" w14:textId="77777777"/>
    <w:p w:rsidRPr="00933F40" w:rsidR="00D22CFF" w:rsidP="00D22CFF" w:rsidRDefault="00D22CFF" w14:paraId="42A97DCC" w14:textId="6FA0F0C9">
      <w:r w:rsidRPr="005E5A10">
        <w:t>SF-425 (</w:t>
      </w:r>
      <w:r w:rsidRPr="005E5A10" w:rsidR="0037717A">
        <w:t>The standard form d</w:t>
      </w:r>
      <w:r w:rsidRPr="005E5A10">
        <w:t xml:space="preserve">oes not belong to CMS. </w:t>
      </w:r>
      <w:r w:rsidRPr="005E5A10" w:rsidR="005508FE">
        <w:t xml:space="preserve">Rather, it is a federal financial report that is owned by the USDA. </w:t>
      </w:r>
      <w:r w:rsidRPr="005E5A10">
        <w:t xml:space="preserve">See OMB </w:t>
      </w:r>
      <w:r w:rsidRPr="005E5A10" w:rsidR="0037717A">
        <w:t>c</w:t>
      </w:r>
      <w:r w:rsidRPr="005E5A10">
        <w:t xml:space="preserve">ontrol </w:t>
      </w:r>
      <w:r w:rsidRPr="005E5A10" w:rsidR="0037717A">
        <w:t>n</w:t>
      </w:r>
      <w:r w:rsidRPr="005E5A10">
        <w:t>umber: 4040-0014)</w:t>
      </w:r>
    </w:p>
    <w:p w:rsidRPr="00933F40" w:rsidR="00D22CFF" w:rsidP="008E1165" w:rsidRDefault="00D22CFF" w14:paraId="4FD8A1D3" w14:textId="77777777">
      <w:pPr>
        <w:outlineLvl w:val="0"/>
      </w:pPr>
    </w:p>
    <w:p w:rsidRPr="00933F40" w:rsidR="00C224A2" w:rsidP="008E1165" w:rsidRDefault="00C224A2" w14:paraId="5FA1C1E4" w14:textId="01E41E7F">
      <w:pPr>
        <w:outlineLvl w:val="0"/>
        <w:rPr>
          <w:u w:val="single"/>
        </w:rPr>
      </w:pPr>
      <w:r w:rsidRPr="00933F40">
        <w:t>13.</w:t>
      </w:r>
      <w:r w:rsidRPr="00933F40">
        <w:tab/>
      </w:r>
      <w:r w:rsidRPr="00933F40">
        <w:rPr>
          <w:u w:val="single"/>
        </w:rPr>
        <w:t>Capital Costs</w:t>
      </w:r>
    </w:p>
    <w:p w:rsidRPr="00933F40" w:rsidR="00C224A2" w:rsidP="008E1165" w:rsidRDefault="00C224A2" w14:paraId="5B98227D" w14:textId="77777777">
      <w:pPr>
        <w:outlineLvl w:val="0"/>
        <w:rPr>
          <w:u w:val="single"/>
        </w:rPr>
      </w:pPr>
    </w:p>
    <w:p w:rsidRPr="00933F40" w:rsidR="00C224A2" w:rsidP="008E1165" w:rsidRDefault="00C224A2" w14:paraId="76700D5E" w14:textId="77777777">
      <w:pPr>
        <w:outlineLvl w:val="0"/>
      </w:pPr>
      <w:r w:rsidRPr="00933F40">
        <w:t>There are no capital costs.</w:t>
      </w:r>
    </w:p>
    <w:p w:rsidRPr="00933F40" w:rsidR="00C224A2" w:rsidP="008E1165" w:rsidRDefault="00C224A2" w14:paraId="43BDC7EF" w14:textId="77777777">
      <w:pPr>
        <w:rPr>
          <w:b/>
        </w:rPr>
      </w:pPr>
    </w:p>
    <w:p w:rsidRPr="00933F40" w:rsidR="00C224A2" w:rsidP="008E1165" w:rsidRDefault="00C224A2" w14:paraId="62ABEE2B" w14:textId="77777777">
      <w:pPr>
        <w:outlineLvl w:val="0"/>
        <w:rPr>
          <w:u w:val="single"/>
        </w:rPr>
      </w:pPr>
      <w:r w:rsidRPr="00933F40">
        <w:t>14.</w:t>
      </w:r>
      <w:r w:rsidRPr="00933F40">
        <w:tab/>
      </w:r>
      <w:r w:rsidRPr="00933F40">
        <w:rPr>
          <w:u w:val="single"/>
        </w:rPr>
        <w:t>Cost to Federal Government</w:t>
      </w:r>
    </w:p>
    <w:p w:rsidRPr="00933F40" w:rsidR="00C224A2" w:rsidP="008E1165" w:rsidRDefault="00C224A2" w14:paraId="78DCD95C" w14:textId="77777777">
      <w:pPr>
        <w:rPr>
          <w:b/>
        </w:rPr>
      </w:pPr>
    </w:p>
    <w:p w:rsidRPr="00933F40" w:rsidR="00891570" w:rsidP="008E1165" w:rsidRDefault="00C224A2" w14:paraId="41FE0375" w14:textId="618D726A">
      <w:r w:rsidRPr="00933F40">
        <w:t>The Federal cost is based on the efforts expended by CMS staff</w:t>
      </w:r>
      <w:r w:rsidRPr="00933F40" w:rsidR="00495D6D">
        <w:t>,</w:t>
      </w:r>
      <w:r w:rsidRPr="00933F40">
        <w:t xml:space="preserve"> </w:t>
      </w:r>
      <w:r w:rsidRPr="00933F40" w:rsidR="00495D6D">
        <w:t xml:space="preserve">using </w:t>
      </w:r>
      <w:r w:rsidRPr="00933F40" w:rsidR="00891570">
        <w:t xml:space="preserve">the </w:t>
      </w:r>
      <w:r w:rsidRPr="00933F40" w:rsidR="00685DD2">
        <w:t xml:space="preserve">2020 </w:t>
      </w:r>
      <w:r w:rsidRPr="00933F40" w:rsidR="00891570">
        <w:t>General Schedule (</w:t>
      </w:r>
      <w:r w:rsidRPr="00933F40" w:rsidR="00D66230">
        <w:t>Base</w:t>
      </w:r>
      <w:r w:rsidRPr="00933F40" w:rsidR="00891570">
        <w:t xml:space="preserve">) Pay </w:t>
      </w:r>
      <w:r w:rsidRPr="00933F40" w:rsidR="004B6C09">
        <w:t>(</w:t>
      </w:r>
      <w:r w:rsidRPr="00933F40" w:rsidR="00F44B71">
        <w:t>https://www.opm.gov/policy-data-oversight/pay-leave/salaries-wages/salary-tables/pdf/2020/GS_h.pdf</w:t>
      </w:r>
      <w:r w:rsidRPr="00933F40" w:rsidR="004B6C09">
        <w:t xml:space="preserve">) </w:t>
      </w:r>
      <w:r w:rsidRPr="00933F40">
        <w:t xml:space="preserve">to review the data submitted by the respondents.  </w:t>
      </w:r>
      <w:r w:rsidRPr="00933F40" w:rsidR="00287E75">
        <w:t>While the 201</w:t>
      </w:r>
      <w:r w:rsidRPr="00933F40" w:rsidR="00DC5979">
        <w:t>8</w:t>
      </w:r>
      <w:r w:rsidRPr="00933F40" w:rsidR="00287E75">
        <w:t xml:space="preserve"> base rate for GS-13 Step 4 is $</w:t>
      </w:r>
      <w:r w:rsidRPr="00933F40" w:rsidR="00F44B71">
        <w:t>41.47</w:t>
      </w:r>
      <w:r w:rsidRPr="00933F40" w:rsidR="00287E75">
        <w:t>/hr, we are doubling that figure to $</w:t>
      </w:r>
      <w:r w:rsidRPr="00933F40" w:rsidR="00284F5E">
        <w:t>82.94</w:t>
      </w:r>
      <w:r w:rsidRPr="00933F40" w:rsidR="00287E75">
        <w:t>/hr to account for fringe benefits.</w:t>
      </w:r>
    </w:p>
    <w:p w:rsidRPr="00933F40" w:rsidR="00287E75" w:rsidP="008E1165" w:rsidRDefault="00287E75" w14:paraId="48D782A2" w14:textId="77777777"/>
    <w:p w:rsidRPr="00933F40" w:rsidR="00D13979" w:rsidP="008E1165" w:rsidRDefault="00C224A2" w14:paraId="23E7AB8F" w14:textId="77777777">
      <w:r w:rsidRPr="00933F40">
        <w:t>For review of the MFP Operational Protocol</w:t>
      </w:r>
      <w:r w:rsidRPr="00933F40" w:rsidR="00E47F63">
        <w:t>,</w:t>
      </w:r>
      <w:r w:rsidRPr="00933F40">
        <w:t xml:space="preserve"> we estimate $</w:t>
      </w:r>
      <w:r w:rsidRPr="00933F40" w:rsidR="00284F5E">
        <w:t>55,736</w:t>
      </w:r>
      <w:r w:rsidRPr="00933F40" w:rsidR="00192ED7">
        <w:t xml:space="preserve"> </w:t>
      </w:r>
      <w:r w:rsidRPr="00933F40">
        <w:t>for the Federal cost (</w:t>
      </w:r>
      <w:r w:rsidRPr="00933F40" w:rsidR="007A230A">
        <w:t>4</w:t>
      </w:r>
      <w:r w:rsidRPr="00933F40" w:rsidR="00284F5E">
        <w:t>2</w:t>
      </w:r>
      <w:r w:rsidRPr="00933F40">
        <w:t xml:space="preserve"> respondents x 16 hours review per OP x hourly rate of a </w:t>
      </w:r>
      <w:r w:rsidRPr="00933F40" w:rsidR="00D66230">
        <w:t xml:space="preserve">GS-13 Step 4 </w:t>
      </w:r>
      <w:r w:rsidRPr="00933F40" w:rsidR="00495D6D">
        <w:t xml:space="preserve">@ </w:t>
      </w:r>
      <w:r w:rsidRPr="00933F40" w:rsidR="00284F5E">
        <w:t>82.94</w:t>
      </w:r>
      <w:r w:rsidRPr="00933F40" w:rsidR="00192ED7">
        <w:t>/hr</w:t>
      </w:r>
      <w:r w:rsidRPr="00933F40" w:rsidR="00E47F63">
        <w:t xml:space="preserve">). </w:t>
      </w:r>
      <w:r w:rsidRPr="00933F40">
        <w:t xml:space="preserve"> </w:t>
      </w:r>
    </w:p>
    <w:p w:rsidRPr="00933F40" w:rsidR="00D13979" w:rsidP="008E1165" w:rsidRDefault="00D13979" w14:paraId="5BFF888C" w14:textId="77777777"/>
    <w:p w:rsidRPr="00933F40" w:rsidR="00C224A2" w:rsidP="008E1165" w:rsidRDefault="00E47F63" w14:paraId="0EBB669C" w14:textId="359BF4A5">
      <w:r w:rsidRPr="00933F40">
        <w:t>Annually, CMS staff financ</w:t>
      </w:r>
      <w:r w:rsidRPr="00933F40" w:rsidR="00495D6D">
        <w:t>ial reports, we estimate $</w:t>
      </w:r>
      <w:r w:rsidRPr="00933F40" w:rsidR="0095120D">
        <w:t>17,417</w:t>
      </w:r>
      <w:r w:rsidRPr="00933F40" w:rsidR="009216D2">
        <w:t xml:space="preserve"> </w:t>
      </w:r>
      <w:r w:rsidRPr="00933F40">
        <w:t>for the Federal Cost</w:t>
      </w:r>
      <w:r w:rsidRPr="00933F40" w:rsidR="005266B7">
        <w:t xml:space="preserve"> </w:t>
      </w:r>
      <w:r w:rsidRPr="00933F40">
        <w:t>(</w:t>
      </w:r>
      <w:r w:rsidRPr="00933F40" w:rsidR="007A230A">
        <w:t>4</w:t>
      </w:r>
      <w:r w:rsidRPr="00933F40" w:rsidR="00284F5E">
        <w:t>2</w:t>
      </w:r>
      <w:r w:rsidRPr="00933F40" w:rsidR="00C224A2">
        <w:t xml:space="preserve"> respondents x </w:t>
      </w:r>
      <w:r w:rsidRPr="00933F40" w:rsidR="0095120D">
        <w:t>5</w:t>
      </w:r>
      <w:r w:rsidRPr="00933F40" w:rsidR="00C224A2">
        <w:t xml:space="preserve"> financial reports per year x </w:t>
      </w:r>
      <w:r w:rsidRPr="00933F40" w:rsidR="008B2FB4">
        <w:t>1-hour</w:t>
      </w:r>
      <w:r w:rsidRPr="00933F40" w:rsidR="00C224A2">
        <w:t xml:space="preserve">, hourly rate of a GS-13 </w:t>
      </w:r>
      <w:r w:rsidRPr="00933F40" w:rsidR="00495D6D">
        <w:t>Step 4</w:t>
      </w:r>
      <w:r w:rsidRPr="00933F40" w:rsidR="00192ED7">
        <w:t xml:space="preserve"> </w:t>
      </w:r>
      <w:r w:rsidRPr="00933F40" w:rsidR="00C224A2">
        <w:t>@ $</w:t>
      </w:r>
      <w:r w:rsidRPr="00933F40" w:rsidR="00284F5E">
        <w:t>82.94</w:t>
      </w:r>
      <w:r w:rsidRPr="00933F40" w:rsidR="00192ED7">
        <w:t>/hr</w:t>
      </w:r>
      <w:r w:rsidRPr="00933F40">
        <w:t>)</w:t>
      </w:r>
      <w:r w:rsidRPr="00933F40" w:rsidR="00284F5E">
        <w:t xml:space="preserve">. The </w:t>
      </w:r>
      <w:r w:rsidRPr="00933F40" w:rsidR="0095120D">
        <w:t xml:space="preserve">five </w:t>
      </w:r>
      <w:r w:rsidRPr="00933F40" w:rsidR="00284F5E">
        <w:lastRenderedPageBreak/>
        <w:t>financial reports include four Quarterly ABCD Financial Forms, and one MFP Budget Workbook.</w:t>
      </w:r>
    </w:p>
    <w:p w:rsidRPr="00933F40" w:rsidR="0037474B" w:rsidP="008E1165" w:rsidRDefault="0037474B" w14:paraId="465C1569" w14:textId="77777777"/>
    <w:p w:rsidRPr="00933F40" w:rsidR="0037474B" w:rsidP="008E1165" w:rsidRDefault="0037474B" w14:paraId="55AE3376" w14:textId="0A6B2D78">
      <w:r w:rsidRPr="00933F40">
        <w:t>For review of the MFP Semi-Annual Progress report, we estimate $</w:t>
      </w:r>
      <w:r w:rsidRPr="00933F40" w:rsidR="00B55506">
        <w:t>13,933</w:t>
      </w:r>
      <w:r w:rsidRPr="00933F40">
        <w:t xml:space="preserve"> for the Federal cost (42 respondents x 2 hours to review per report x 2 reports/year, hourly rate of a GS-13 Step 4 @ $82.94/hr). </w:t>
      </w:r>
    </w:p>
    <w:p w:rsidRPr="00933F40" w:rsidR="00C224A2" w:rsidP="008E1165" w:rsidRDefault="00C224A2" w14:paraId="16F9194D" w14:textId="01002C2B"/>
    <w:p w:rsidRPr="00933F40" w:rsidR="00034E6A" w:rsidP="00034E6A" w:rsidRDefault="00034E6A" w14:paraId="16E8A681" w14:textId="30AC596E">
      <w:pPr>
        <w:rPr>
          <w:rFonts w:ascii="Times New (W1)" w:hAnsi="Times New (W1)"/>
          <w:bCs/>
        </w:rPr>
      </w:pPr>
      <w:r w:rsidRPr="00933F40">
        <w:t xml:space="preserve">A total Federal cost for review of all reports is estimated to be $87,086 ($55,736 + </w:t>
      </w:r>
      <w:r w:rsidRPr="00933F40" w:rsidR="00D070BC">
        <w:t xml:space="preserve">$17,417 + </w:t>
      </w:r>
      <w:r w:rsidRPr="00933F40">
        <w:t xml:space="preserve">$13,933) annually. </w:t>
      </w:r>
      <w:r w:rsidRPr="00933F40">
        <w:rPr>
          <w:rFonts w:ascii="Times New (W1)" w:hAnsi="Times New (W1)"/>
          <w:bCs/>
        </w:rPr>
        <w:t xml:space="preserve"> </w:t>
      </w:r>
    </w:p>
    <w:p w:rsidRPr="00933F40" w:rsidR="00034E6A" w:rsidP="008E1165" w:rsidRDefault="00034E6A" w14:paraId="63AA4A13" w14:textId="77777777"/>
    <w:p w:rsidRPr="002D54CA" w:rsidR="00C224A2" w:rsidP="008E1165" w:rsidRDefault="00C224A2" w14:paraId="6D4C53DF" w14:textId="1D62F035">
      <w:pPr>
        <w:outlineLvl w:val="0"/>
        <w:rPr>
          <w:u w:val="single"/>
        </w:rPr>
      </w:pPr>
      <w:r w:rsidRPr="002D54CA">
        <w:t>15.</w:t>
      </w:r>
      <w:r w:rsidRPr="002D54CA">
        <w:tab/>
      </w:r>
      <w:r w:rsidRPr="002D54CA">
        <w:rPr>
          <w:u w:val="single"/>
        </w:rPr>
        <w:t>Program/Burden Changes</w:t>
      </w:r>
    </w:p>
    <w:p w:rsidRPr="002D54CA" w:rsidR="00276BE4" w:rsidP="008E1165" w:rsidRDefault="00276BE4" w14:paraId="77A5F279" w14:textId="34540844">
      <w:pPr>
        <w:outlineLvl w:val="0"/>
        <w:rPr>
          <w:u w:val="single"/>
        </w:rPr>
      </w:pPr>
    </w:p>
    <w:p w:rsidRPr="002D54CA" w:rsidR="00276BE4" w:rsidP="00276BE4" w:rsidRDefault="00276BE4" w14:paraId="20FB3CC5" w14:textId="77777777">
      <w:r w:rsidRPr="002D54CA">
        <w:t>This package aims to reduce the reporting burden on States by presenting a substantially revised and shorted version of the MFP Semi-Annual progress report. The MFP Budget Workbook has also been revised to combine two earlier reporting forms: the MFP Worksheet for Proposed Budget (WFPB) and Budget Narrative.</w:t>
      </w:r>
    </w:p>
    <w:p w:rsidRPr="002D54CA" w:rsidR="008B3694" w:rsidP="001755B7" w:rsidRDefault="008B3694" w14:paraId="71A70C29" w14:textId="71D5AA1E"/>
    <w:tbl>
      <w:tblPr>
        <w:tblW w:w="0" w:type="auto"/>
        <w:tblLayout w:type="fixed"/>
        <w:tblLook w:val="04A0" w:firstRow="1" w:lastRow="0" w:firstColumn="1" w:lastColumn="0" w:noHBand="0" w:noVBand="1"/>
      </w:tblPr>
      <w:tblGrid>
        <w:gridCol w:w="2425"/>
        <w:gridCol w:w="2250"/>
        <w:gridCol w:w="1608"/>
        <w:gridCol w:w="749"/>
        <w:gridCol w:w="2318"/>
      </w:tblGrid>
      <w:tr w:rsidRPr="002D54CA" w:rsidR="00D772E2" w:rsidTr="008B2FB4" w14:paraId="1D1C6EE5" w14:textId="77777777">
        <w:trPr>
          <w:trHeight w:val="255"/>
          <w:tblHeader/>
        </w:trPr>
        <w:tc>
          <w:tcPr>
            <w:tcW w:w="2425" w:type="dxa"/>
            <w:tcBorders>
              <w:top w:val="single" w:color="auto" w:sz="4" w:space="0"/>
              <w:left w:val="single" w:color="auto" w:sz="4" w:space="0"/>
              <w:bottom w:val="single" w:color="auto" w:sz="4" w:space="0"/>
              <w:right w:val="single" w:color="auto" w:sz="4" w:space="0"/>
            </w:tcBorders>
            <w:shd w:val="clear" w:color="000000" w:fill="F2F2F2"/>
            <w:hideMark/>
          </w:tcPr>
          <w:p w:rsidRPr="002D54CA" w:rsidR="0005065A" w:rsidRDefault="0005065A" w14:paraId="7F6D8588" w14:textId="77777777">
            <w:pPr>
              <w:jc w:val="center"/>
              <w:rPr>
                <w:rFonts w:ascii="Arial" w:hAnsi="Arial" w:cs="Arial"/>
                <w:b/>
                <w:bCs/>
                <w:color w:val="000000"/>
                <w:sz w:val="18"/>
                <w:szCs w:val="18"/>
              </w:rPr>
            </w:pPr>
            <w:r w:rsidRPr="002D54CA">
              <w:rPr>
                <w:rFonts w:ascii="Arial" w:hAnsi="Arial" w:cs="Arial"/>
                <w:b/>
                <w:bCs/>
                <w:color w:val="000000"/>
                <w:sz w:val="18"/>
                <w:szCs w:val="18"/>
              </w:rPr>
              <w:t>2018 Instruments</w:t>
            </w:r>
          </w:p>
        </w:tc>
        <w:tc>
          <w:tcPr>
            <w:tcW w:w="2250" w:type="dxa"/>
            <w:tcBorders>
              <w:top w:val="single" w:color="auto" w:sz="4" w:space="0"/>
              <w:left w:val="nil"/>
              <w:bottom w:val="single" w:color="auto" w:sz="4" w:space="0"/>
              <w:right w:val="single" w:color="auto" w:sz="4" w:space="0"/>
            </w:tcBorders>
            <w:shd w:val="clear" w:color="000000" w:fill="F2F2F2"/>
            <w:hideMark/>
          </w:tcPr>
          <w:p w:rsidRPr="002D54CA" w:rsidR="0005065A" w:rsidRDefault="0005065A" w14:paraId="27A8BF93" w14:textId="05D59393">
            <w:pPr>
              <w:jc w:val="center"/>
              <w:rPr>
                <w:rFonts w:ascii="Arial" w:hAnsi="Arial" w:cs="Arial"/>
                <w:b/>
                <w:bCs/>
                <w:color w:val="000000"/>
                <w:sz w:val="18"/>
                <w:szCs w:val="18"/>
              </w:rPr>
            </w:pPr>
            <w:r w:rsidRPr="002D54CA">
              <w:rPr>
                <w:rFonts w:ascii="Arial" w:hAnsi="Arial" w:cs="Arial"/>
                <w:b/>
                <w:bCs/>
                <w:color w:val="000000"/>
                <w:sz w:val="18"/>
                <w:szCs w:val="18"/>
              </w:rPr>
              <w:t>2021 Instruments</w:t>
            </w:r>
          </w:p>
        </w:tc>
        <w:tc>
          <w:tcPr>
            <w:tcW w:w="1608" w:type="dxa"/>
            <w:tcBorders>
              <w:top w:val="single" w:color="auto" w:sz="4" w:space="0"/>
              <w:left w:val="nil"/>
              <w:bottom w:val="single" w:color="auto" w:sz="4" w:space="0"/>
              <w:right w:val="single" w:color="auto" w:sz="4" w:space="0"/>
            </w:tcBorders>
            <w:shd w:val="clear" w:color="000000" w:fill="F2F2F2"/>
            <w:hideMark/>
          </w:tcPr>
          <w:p w:rsidRPr="002D54CA" w:rsidR="0005065A" w:rsidRDefault="0005065A" w14:paraId="0FCA25F9" w14:textId="77777777">
            <w:pPr>
              <w:jc w:val="center"/>
              <w:rPr>
                <w:rFonts w:ascii="Arial" w:hAnsi="Arial" w:cs="Arial"/>
                <w:b/>
                <w:bCs/>
                <w:color w:val="000000"/>
                <w:sz w:val="18"/>
                <w:szCs w:val="18"/>
              </w:rPr>
            </w:pPr>
            <w:r w:rsidRPr="002D54CA">
              <w:rPr>
                <w:rFonts w:ascii="Arial" w:hAnsi="Arial" w:cs="Arial"/>
                <w:b/>
                <w:bCs/>
                <w:color w:val="000000"/>
                <w:sz w:val="18"/>
                <w:szCs w:val="18"/>
              </w:rPr>
              <w:t>Summary of Changes</w:t>
            </w:r>
          </w:p>
        </w:tc>
        <w:tc>
          <w:tcPr>
            <w:tcW w:w="749" w:type="dxa"/>
            <w:tcBorders>
              <w:top w:val="single" w:color="auto" w:sz="4" w:space="0"/>
              <w:left w:val="nil"/>
              <w:bottom w:val="single" w:color="auto" w:sz="4" w:space="0"/>
              <w:right w:val="single" w:color="auto" w:sz="4" w:space="0"/>
            </w:tcBorders>
            <w:shd w:val="clear" w:color="000000" w:fill="F2F2F2"/>
            <w:hideMark/>
          </w:tcPr>
          <w:p w:rsidRPr="002D54CA" w:rsidR="0005065A" w:rsidRDefault="0005065A" w14:paraId="591F8471" w14:textId="77777777">
            <w:pPr>
              <w:jc w:val="center"/>
              <w:rPr>
                <w:rFonts w:ascii="Arial" w:hAnsi="Arial" w:cs="Arial"/>
                <w:b/>
                <w:bCs/>
                <w:color w:val="000000"/>
                <w:sz w:val="18"/>
                <w:szCs w:val="18"/>
              </w:rPr>
            </w:pPr>
            <w:r w:rsidRPr="002D54CA">
              <w:rPr>
                <w:rFonts w:ascii="Arial" w:hAnsi="Arial" w:cs="Arial"/>
                <w:b/>
                <w:bCs/>
                <w:color w:val="000000"/>
                <w:sz w:val="18"/>
                <w:szCs w:val="18"/>
              </w:rPr>
              <w:t>Crosswalk (Y/N)</w:t>
            </w:r>
          </w:p>
        </w:tc>
        <w:tc>
          <w:tcPr>
            <w:tcW w:w="2318" w:type="dxa"/>
            <w:tcBorders>
              <w:top w:val="single" w:color="auto" w:sz="4" w:space="0"/>
              <w:left w:val="nil"/>
              <w:bottom w:val="single" w:color="auto" w:sz="4" w:space="0"/>
              <w:right w:val="single" w:color="auto" w:sz="4" w:space="0"/>
            </w:tcBorders>
            <w:shd w:val="clear" w:color="000000" w:fill="F2F2F2"/>
            <w:hideMark/>
          </w:tcPr>
          <w:p w:rsidRPr="002D54CA" w:rsidR="0005065A" w:rsidRDefault="0005065A" w14:paraId="2928CBBA" w14:textId="77777777">
            <w:pPr>
              <w:jc w:val="center"/>
              <w:rPr>
                <w:rFonts w:ascii="Arial" w:hAnsi="Arial" w:cs="Arial"/>
                <w:b/>
                <w:bCs/>
                <w:color w:val="000000"/>
                <w:sz w:val="18"/>
                <w:szCs w:val="18"/>
              </w:rPr>
            </w:pPr>
            <w:r w:rsidRPr="002D54CA">
              <w:rPr>
                <w:rFonts w:ascii="Arial" w:hAnsi="Arial" w:cs="Arial"/>
                <w:b/>
                <w:bCs/>
                <w:color w:val="000000"/>
                <w:sz w:val="18"/>
                <w:szCs w:val="18"/>
              </w:rPr>
              <w:t>File</w:t>
            </w:r>
          </w:p>
        </w:tc>
      </w:tr>
      <w:tr w:rsidRPr="002D54CA" w:rsidR="00B475C8" w:rsidTr="00771ACF" w14:paraId="50B1C6E2" w14:textId="77777777">
        <w:trPr>
          <w:trHeight w:val="255"/>
        </w:trPr>
        <w:tc>
          <w:tcPr>
            <w:tcW w:w="2425" w:type="dxa"/>
            <w:tcBorders>
              <w:top w:val="nil"/>
              <w:left w:val="single" w:color="auto" w:sz="4" w:space="0"/>
              <w:bottom w:val="single" w:color="auto" w:sz="4" w:space="0"/>
              <w:right w:val="single" w:color="auto" w:sz="4" w:space="0"/>
            </w:tcBorders>
            <w:shd w:val="clear" w:color="auto" w:fill="auto"/>
            <w:noWrap/>
            <w:hideMark/>
          </w:tcPr>
          <w:p w:rsidRPr="002D54CA" w:rsidR="0005065A" w:rsidRDefault="0005065A" w14:paraId="66D7163D" w14:textId="77777777">
            <w:pPr>
              <w:rPr>
                <w:rFonts w:ascii="Arial" w:hAnsi="Arial" w:cs="Arial"/>
                <w:color w:val="000000"/>
                <w:sz w:val="18"/>
                <w:szCs w:val="18"/>
              </w:rPr>
            </w:pPr>
            <w:r w:rsidRPr="002D54CA">
              <w:rPr>
                <w:rFonts w:ascii="Arial" w:hAnsi="Arial" w:cs="Arial"/>
                <w:color w:val="000000"/>
                <w:sz w:val="18"/>
                <w:szCs w:val="18"/>
              </w:rPr>
              <w:t>Semi-Annual Progress Report</w:t>
            </w:r>
          </w:p>
        </w:tc>
        <w:tc>
          <w:tcPr>
            <w:tcW w:w="2250" w:type="dxa"/>
            <w:tcBorders>
              <w:top w:val="nil"/>
              <w:left w:val="nil"/>
              <w:bottom w:val="single" w:color="auto" w:sz="4" w:space="0"/>
              <w:right w:val="single" w:color="auto" w:sz="4" w:space="0"/>
            </w:tcBorders>
            <w:shd w:val="clear" w:color="auto" w:fill="auto"/>
            <w:noWrap/>
            <w:hideMark/>
          </w:tcPr>
          <w:p w:rsidRPr="002D54CA" w:rsidR="0005065A" w:rsidRDefault="0005065A" w14:paraId="647D1433" w14:textId="77777777">
            <w:pPr>
              <w:rPr>
                <w:rFonts w:ascii="Arial" w:hAnsi="Arial" w:cs="Arial"/>
                <w:color w:val="000000"/>
                <w:sz w:val="18"/>
                <w:szCs w:val="18"/>
              </w:rPr>
            </w:pPr>
            <w:r w:rsidRPr="002D54CA">
              <w:rPr>
                <w:rFonts w:ascii="Arial" w:hAnsi="Arial" w:cs="Arial"/>
                <w:color w:val="000000"/>
                <w:sz w:val="18"/>
                <w:szCs w:val="18"/>
              </w:rPr>
              <w:t>Semi-Annual Progress Report</w:t>
            </w:r>
          </w:p>
        </w:tc>
        <w:tc>
          <w:tcPr>
            <w:tcW w:w="1608" w:type="dxa"/>
            <w:tcBorders>
              <w:top w:val="nil"/>
              <w:left w:val="nil"/>
              <w:bottom w:val="single" w:color="auto" w:sz="4" w:space="0"/>
              <w:right w:val="single" w:color="auto" w:sz="4" w:space="0"/>
            </w:tcBorders>
            <w:shd w:val="clear" w:color="auto" w:fill="auto"/>
            <w:hideMark/>
          </w:tcPr>
          <w:p w:rsidRPr="002D54CA" w:rsidR="0005065A" w:rsidRDefault="00D772E2" w14:paraId="2D7CD3E7" w14:textId="7F4D9F2E">
            <w:pPr>
              <w:rPr>
                <w:rFonts w:ascii="Arial" w:hAnsi="Arial" w:cs="Arial"/>
                <w:color w:val="000000"/>
                <w:sz w:val="18"/>
                <w:szCs w:val="18"/>
              </w:rPr>
            </w:pPr>
            <w:r w:rsidRPr="002D54CA">
              <w:rPr>
                <w:rFonts w:ascii="Arial" w:hAnsi="Arial" w:cs="Arial"/>
                <w:color w:val="000000"/>
                <w:sz w:val="18"/>
                <w:szCs w:val="18"/>
              </w:rPr>
              <w:t>Substantially revised and shortened version</w:t>
            </w:r>
          </w:p>
        </w:tc>
        <w:tc>
          <w:tcPr>
            <w:tcW w:w="749" w:type="dxa"/>
            <w:tcBorders>
              <w:top w:val="nil"/>
              <w:left w:val="nil"/>
              <w:bottom w:val="single" w:color="auto" w:sz="4" w:space="0"/>
              <w:right w:val="single" w:color="auto" w:sz="4" w:space="0"/>
            </w:tcBorders>
            <w:shd w:val="clear" w:color="auto" w:fill="auto"/>
            <w:hideMark/>
          </w:tcPr>
          <w:p w:rsidRPr="002D54CA" w:rsidR="0005065A" w:rsidRDefault="00492D57" w14:paraId="28DA038F" w14:textId="62504BBB">
            <w:pPr>
              <w:jc w:val="center"/>
              <w:rPr>
                <w:rFonts w:ascii="Arial" w:hAnsi="Arial" w:cs="Arial"/>
                <w:color w:val="000000"/>
                <w:sz w:val="18"/>
                <w:szCs w:val="18"/>
              </w:rPr>
            </w:pPr>
            <w:r w:rsidRPr="002D54CA">
              <w:rPr>
                <w:rFonts w:ascii="Arial" w:hAnsi="Arial" w:cs="Arial"/>
                <w:color w:val="000000"/>
                <w:sz w:val="18"/>
                <w:szCs w:val="18"/>
              </w:rPr>
              <w:t>Y</w:t>
            </w:r>
          </w:p>
        </w:tc>
        <w:tc>
          <w:tcPr>
            <w:tcW w:w="2318" w:type="dxa"/>
            <w:tcBorders>
              <w:top w:val="nil"/>
              <w:left w:val="nil"/>
              <w:bottom w:val="single" w:color="auto" w:sz="4" w:space="0"/>
              <w:right w:val="single" w:color="auto" w:sz="4" w:space="0"/>
            </w:tcBorders>
            <w:shd w:val="clear" w:color="auto" w:fill="auto"/>
            <w:hideMark/>
          </w:tcPr>
          <w:p w:rsidRPr="002D54CA" w:rsidR="0005065A" w:rsidRDefault="00D772E2" w14:paraId="4EC75918" w14:textId="1979C0E9">
            <w:pPr>
              <w:rPr>
                <w:rFonts w:ascii="Arial" w:hAnsi="Arial" w:cs="Arial"/>
                <w:color w:val="000000"/>
                <w:sz w:val="18"/>
                <w:szCs w:val="18"/>
              </w:rPr>
            </w:pPr>
            <w:r w:rsidRPr="002D54CA">
              <w:rPr>
                <w:rFonts w:ascii="Arial" w:hAnsi="Arial" w:cs="Arial"/>
                <w:color w:val="000000"/>
                <w:sz w:val="18"/>
                <w:szCs w:val="18"/>
              </w:rPr>
              <w:t>MFP_SemiAnnual_Final</w:t>
            </w:r>
          </w:p>
        </w:tc>
      </w:tr>
      <w:tr w:rsidRPr="002D54CA" w:rsidR="008B2FB4" w:rsidTr="008B2FB4" w14:paraId="3062A939" w14:textId="77777777">
        <w:trPr>
          <w:trHeight w:val="255"/>
        </w:trPr>
        <w:tc>
          <w:tcPr>
            <w:tcW w:w="2425" w:type="dxa"/>
            <w:tcBorders>
              <w:top w:val="nil"/>
              <w:left w:val="single" w:color="auto" w:sz="4" w:space="0"/>
              <w:bottom w:val="single" w:color="auto" w:sz="4" w:space="0"/>
              <w:right w:val="single" w:color="auto" w:sz="4" w:space="0"/>
            </w:tcBorders>
            <w:shd w:val="clear" w:color="auto" w:fill="auto"/>
            <w:noWrap/>
          </w:tcPr>
          <w:p w:rsidRPr="002D54CA" w:rsidR="00D772E2" w:rsidP="00D772E2" w:rsidRDefault="00D772E2" w14:paraId="79700CD9" w14:textId="1283E428">
            <w:pPr>
              <w:rPr>
                <w:rFonts w:ascii="Arial" w:hAnsi="Arial" w:cs="Arial"/>
                <w:color w:val="000000"/>
                <w:sz w:val="18"/>
                <w:szCs w:val="18"/>
              </w:rPr>
            </w:pPr>
            <w:r w:rsidRPr="002D54CA">
              <w:rPr>
                <w:rFonts w:ascii="Arial" w:hAnsi="Arial" w:cs="Arial"/>
                <w:color w:val="000000"/>
                <w:sz w:val="18"/>
                <w:szCs w:val="18"/>
              </w:rPr>
              <w:t>Semi-Annual Progress Report User Guide and Help File</w:t>
            </w:r>
          </w:p>
        </w:tc>
        <w:tc>
          <w:tcPr>
            <w:tcW w:w="2250" w:type="dxa"/>
            <w:tcBorders>
              <w:top w:val="nil"/>
              <w:left w:val="nil"/>
              <w:bottom w:val="single" w:color="auto" w:sz="4" w:space="0"/>
              <w:right w:val="single" w:color="auto" w:sz="4" w:space="0"/>
            </w:tcBorders>
            <w:shd w:val="clear" w:color="auto" w:fill="auto"/>
            <w:noWrap/>
          </w:tcPr>
          <w:p w:rsidRPr="002D54CA" w:rsidR="00D772E2" w:rsidP="00D772E2" w:rsidRDefault="00D772E2" w14:paraId="5AA9E47B" w14:textId="68D48628">
            <w:pPr>
              <w:rPr>
                <w:rFonts w:ascii="Arial" w:hAnsi="Arial" w:cs="Arial"/>
                <w:color w:val="000000"/>
                <w:sz w:val="18"/>
                <w:szCs w:val="18"/>
              </w:rPr>
            </w:pPr>
            <w:r w:rsidRPr="002D54CA">
              <w:rPr>
                <w:rFonts w:ascii="Arial" w:hAnsi="Arial" w:cs="Arial"/>
                <w:color w:val="000000"/>
                <w:sz w:val="18"/>
                <w:szCs w:val="18"/>
              </w:rPr>
              <w:t>Semi-Annual Progress Report User Guide and Help File</w:t>
            </w:r>
          </w:p>
        </w:tc>
        <w:tc>
          <w:tcPr>
            <w:tcW w:w="1608" w:type="dxa"/>
            <w:tcBorders>
              <w:top w:val="nil"/>
              <w:left w:val="nil"/>
              <w:bottom w:val="single" w:color="auto" w:sz="4" w:space="0"/>
              <w:right w:val="single" w:color="auto" w:sz="4" w:space="0"/>
            </w:tcBorders>
            <w:shd w:val="clear" w:color="auto" w:fill="auto"/>
          </w:tcPr>
          <w:p w:rsidRPr="002D54CA" w:rsidR="00D772E2" w:rsidP="00D772E2" w:rsidRDefault="00B475C8" w14:paraId="42AF2211" w14:textId="3DB587F5">
            <w:pPr>
              <w:rPr>
                <w:rFonts w:ascii="Arial" w:hAnsi="Arial" w:cs="Arial"/>
                <w:color w:val="000000"/>
                <w:sz w:val="18"/>
                <w:szCs w:val="18"/>
              </w:rPr>
            </w:pPr>
            <w:r w:rsidRPr="002D54CA">
              <w:rPr>
                <w:rFonts w:ascii="Arial" w:hAnsi="Arial" w:cs="Arial"/>
                <w:color w:val="000000"/>
                <w:sz w:val="18"/>
                <w:szCs w:val="18"/>
              </w:rPr>
              <w:t>Updated to correspond with revisions to the Semi-Annual Progress Report</w:t>
            </w:r>
          </w:p>
        </w:tc>
        <w:tc>
          <w:tcPr>
            <w:tcW w:w="749" w:type="dxa"/>
            <w:tcBorders>
              <w:top w:val="nil"/>
              <w:left w:val="nil"/>
              <w:bottom w:val="single" w:color="auto" w:sz="4" w:space="0"/>
              <w:right w:val="single" w:color="auto" w:sz="4" w:space="0"/>
            </w:tcBorders>
            <w:shd w:val="clear" w:color="auto" w:fill="auto"/>
          </w:tcPr>
          <w:p w:rsidRPr="002D54CA" w:rsidR="00D772E2" w:rsidP="00D772E2" w:rsidRDefault="00D772E2" w14:paraId="53BAC8C8" w14:textId="3C2B8C24">
            <w:pPr>
              <w:jc w:val="center"/>
              <w:rPr>
                <w:rFonts w:ascii="Arial" w:hAnsi="Arial" w:cs="Arial"/>
                <w:color w:val="000000"/>
                <w:sz w:val="18"/>
                <w:szCs w:val="18"/>
              </w:rPr>
            </w:pPr>
            <w:r w:rsidRPr="002D54CA">
              <w:rPr>
                <w:rFonts w:ascii="Arial" w:hAnsi="Arial" w:cs="Arial"/>
                <w:color w:val="000000"/>
                <w:sz w:val="18"/>
                <w:szCs w:val="18"/>
              </w:rPr>
              <w:t>Y</w:t>
            </w:r>
          </w:p>
        </w:tc>
        <w:tc>
          <w:tcPr>
            <w:tcW w:w="2318" w:type="dxa"/>
            <w:tcBorders>
              <w:top w:val="nil"/>
              <w:left w:val="nil"/>
              <w:bottom w:val="single" w:color="auto" w:sz="4" w:space="0"/>
              <w:right w:val="single" w:color="auto" w:sz="4" w:space="0"/>
            </w:tcBorders>
            <w:shd w:val="clear" w:color="auto" w:fill="auto"/>
          </w:tcPr>
          <w:p w:rsidRPr="002D54CA" w:rsidR="00D772E2" w:rsidP="00D772E2" w:rsidRDefault="00D772E2" w14:paraId="3FB57BFF" w14:textId="590A9C29">
            <w:pPr>
              <w:rPr>
                <w:rFonts w:ascii="Arial" w:hAnsi="Arial" w:cs="Arial"/>
                <w:color w:val="000000"/>
                <w:sz w:val="18"/>
                <w:szCs w:val="18"/>
              </w:rPr>
            </w:pPr>
            <w:r w:rsidRPr="002D54CA">
              <w:rPr>
                <w:rFonts w:ascii="Arial" w:hAnsi="Arial" w:cs="Arial"/>
                <w:color w:val="000000"/>
                <w:sz w:val="18"/>
                <w:szCs w:val="18"/>
              </w:rPr>
              <w:t>MFP_Semi-Annual_Help_File</w:t>
            </w:r>
          </w:p>
        </w:tc>
      </w:tr>
      <w:tr w:rsidRPr="002D54CA" w:rsidR="008B2FB4" w:rsidTr="008B2FB4" w14:paraId="26491E14" w14:textId="77777777">
        <w:trPr>
          <w:trHeight w:val="255"/>
        </w:trPr>
        <w:tc>
          <w:tcPr>
            <w:tcW w:w="2425" w:type="dxa"/>
            <w:tcBorders>
              <w:top w:val="nil"/>
              <w:left w:val="single" w:color="auto" w:sz="4" w:space="0"/>
              <w:bottom w:val="single" w:color="auto" w:sz="4" w:space="0"/>
              <w:right w:val="single" w:color="auto" w:sz="4" w:space="0"/>
            </w:tcBorders>
            <w:shd w:val="clear" w:color="auto" w:fill="auto"/>
            <w:noWrap/>
          </w:tcPr>
          <w:p w:rsidRPr="002D54CA" w:rsidR="00D772E2" w:rsidP="00D772E2" w:rsidRDefault="00D772E2" w14:paraId="7F03A690" w14:textId="31C7EC4D">
            <w:pPr>
              <w:rPr>
                <w:rFonts w:ascii="Arial" w:hAnsi="Arial" w:cs="Arial"/>
                <w:color w:val="000000"/>
                <w:sz w:val="18"/>
                <w:szCs w:val="18"/>
              </w:rPr>
            </w:pPr>
            <w:r w:rsidRPr="002D54CA">
              <w:rPr>
                <w:rFonts w:ascii="Arial" w:hAnsi="Arial" w:cs="Arial"/>
                <w:color w:val="000000"/>
                <w:sz w:val="18"/>
                <w:szCs w:val="18"/>
              </w:rPr>
              <w:t>Additional Benchmarks – Addendum to the MFP Semi-AnnualProgress Report</w:t>
            </w:r>
          </w:p>
        </w:tc>
        <w:tc>
          <w:tcPr>
            <w:tcW w:w="2250" w:type="dxa"/>
            <w:tcBorders>
              <w:top w:val="nil"/>
              <w:left w:val="nil"/>
              <w:bottom w:val="single" w:color="auto" w:sz="4" w:space="0"/>
              <w:right w:val="single" w:color="auto" w:sz="4" w:space="0"/>
            </w:tcBorders>
            <w:shd w:val="clear" w:color="auto" w:fill="auto"/>
            <w:noWrap/>
          </w:tcPr>
          <w:p w:rsidRPr="002D54CA" w:rsidR="00D772E2" w:rsidP="00D772E2" w:rsidRDefault="00D772E2" w14:paraId="4A19DA46" w14:textId="5DC118EB">
            <w:pPr>
              <w:rPr>
                <w:rFonts w:ascii="Arial" w:hAnsi="Arial" w:cs="Arial"/>
                <w:color w:val="000000"/>
                <w:sz w:val="18"/>
                <w:szCs w:val="18"/>
              </w:rPr>
            </w:pPr>
            <w:r w:rsidRPr="002D54CA">
              <w:rPr>
                <w:rFonts w:ascii="Arial" w:hAnsi="Arial" w:cs="Arial"/>
                <w:color w:val="000000"/>
                <w:sz w:val="18"/>
                <w:szCs w:val="18"/>
              </w:rPr>
              <w:t>Additional Benchmarks – Addendum to the MFP Semi-AnnualPro</w:t>
            </w:r>
            <w:bookmarkStart w:name="_GoBack" w:id="1"/>
            <w:bookmarkEnd w:id="1"/>
            <w:r w:rsidRPr="002D54CA">
              <w:rPr>
                <w:rFonts w:ascii="Arial" w:hAnsi="Arial" w:cs="Arial"/>
                <w:color w:val="000000"/>
                <w:sz w:val="18"/>
                <w:szCs w:val="18"/>
              </w:rPr>
              <w:t>gress Report</w:t>
            </w:r>
          </w:p>
        </w:tc>
        <w:tc>
          <w:tcPr>
            <w:tcW w:w="1608" w:type="dxa"/>
            <w:tcBorders>
              <w:top w:val="nil"/>
              <w:left w:val="nil"/>
              <w:bottom w:val="single" w:color="auto" w:sz="4" w:space="0"/>
              <w:right w:val="single" w:color="auto" w:sz="4" w:space="0"/>
            </w:tcBorders>
            <w:shd w:val="clear" w:color="auto" w:fill="auto"/>
          </w:tcPr>
          <w:p w:rsidRPr="002D54CA" w:rsidR="00D772E2" w:rsidP="00D772E2" w:rsidRDefault="00B475C8" w14:paraId="5CD781ED" w14:textId="782D9E9D">
            <w:pPr>
              <w:rPr>
                <w:rFonts w:ascii="Arial" w:hAnsi="Arial" w:cs="Arial"/>
                <w:color w:val="000000"/>
                <w:sz w:val="18"/>
                <w:szCs w:val="18"/>
              </w:rPr>
            </w:pPr>
            <w:r w:rsidRPr="002D54CA">
              <w:rPr>
                <w:rFonts w:ascii="Arial" w:hAnsi="Arial" w:cs="Arial"/>
                <w:color w:val="000000"/>
                <w:sz w:val="18"/>
                <w:szCs w:val="18"/>
              </w:rPr>
              <w:t>Updated to correspond with revisions to the Semi-Annual Progress Report</w:t>
            </w:r>
          </w:p>
        </w:tc>
        <w:tc>
          <w:tcPr>
            <w:tcW w:w="749" w:type="dxa"/>
            <w:tcBorders>
              <w:top w:val="nil"/>
              <w:left w:val="nil"/>
              <w:bottom w:val="single" w:color="auto" w:sz="4" w:space="0"/>
              <w:right w:val="single" w:color="auto" w:sz="4" w:space="0"/>
            </w:tcBorders>
            <w:shd w:val="clear" w:color="auto" w:fill="auto"/>
          </w:tcPr>
          <w:p w:rsidRPr="002D54CA" w:rsidR="00D772E2" w:rsidP="00D772E2" w:rsidRDefault="00D772E2" w14:paraId="52A03A69" w14:textId="31D5093F">
            <w:pPr>
              <w:jc w:val="center"/>
              <w:rPr>
                <w:rFonts w:ascii="Arial" w:hAnsi="Arial" w:cs="Arial"/>
                <w:color w:val="000000"/>
                <w:sz w:val="18"/>
                <w:szCs w:val="18"/>
              </w:rPr>
            </w:pPr>
            <w:r w:rsidRPr="002D54CA">
              <w:rPr>
                <w:rFonts w:ascii="Arial" w:hAnsi="Arial" w:cs="Arial"/>
                <w:color w:val="000000"/>
                <w:sz w:val="18"/>
                <w:szCs w:val="18"/>
              </w:rPr>
              <w:t>Y</w:t>
            </w:r>
          </w:p>
        </w:tc>
        <w:tc>
          <w:tcPr>
            <w:tcW w:w="2318" w:type="dxa"/>
            <w:tcBorders>
              <w:top w:val="nil"/>
              <w:left w:val="nil"/>
              <w:bottom w:val="single" w:color="auto" w:sz="4" w:space="0"/>
              <w:right w:val="single" w:color="auto" w:sz="4" w:space="0"/>
            </w:tcBorders>
            <w:shd w:val="clear" w:color="auto" w:fill="auto"/>
          </w:tcPr>
          <w:p w:rsidRPr="002D54CA" w:rsidR="00D772E2" w:rsidP="00D772E2" w:rsidRDefault="00D772E2" w14:paraId="67EDBBC3" w14:textId="125207DF">
            <w:pPr>
              <w:rPr>
                <w:rFonts w:ascii="Arial" w:hAnsi="Arial" w:cs="Arial"/>
                <w:color w:val="000000"/>
                <w:sz w:val="18"/>
                <w:szCs w:val="18"/>
              </w:rPr>
            </w:pPr>
            <w:r w:rsidRPr="002D54CA">
              <w:rPr>
                <w:rFonts w:ascii="Arial" w:hAnsi="Arial" w:cs="Arial"/>
                <w:color w:val="000000"/>
                <w:sz w:val="18"/>
                <w:szCs w:val="18"/>
              </w:rPr>
              <w:t>Updated_Additional_Benchmarks_Addendum</w:t>
            </w:r>
          </w:p>
        </w:tc>
      </w:tr>
      <w:tr w:rsidRPr="002D54CA" w:rsidR="000237F9" w:rsidTr="000237F9" w14:paraId="4CE3F3E5" w14:textId="77777777">
        <w:trPr>
          <w:trHeight w:val="480"/>
        </w:trPr>
        <w:tc>
          <w:tcPr>
            <w:tcW w:w="2425" w:type="dxa"/>
            <w:tcBorders>
              <w:top w:val="nil"/>
              <w:left w:val="single" w:color="auto" w:sz="4" w:space="0"/>
              <w:bottom w:val="single" w:color="auto" w:sz="4" w:space="0"/>
              <w:right w:val="single" w:color="auto" w:sz="4" w:space="0"/>
            </w:tcBorders>
            <w:shd w:val="clear" w:color="auto" w:fill="auto"/>
            <w:hideMark/>
          </w:tcPr>
          <w:p w:rsidRPr="000237F9" w:rsidR="000237F9" w:rsidRDefault="000237F9" w14:paraId="4F27ABC9" w14:textId="2C696CE8">
            <w:pPr>
              <w:rPr>
                <w:rFonts w:ascii="Arial" w:hAnsi="Arial" w:cs="Arial"/>
                <w:color w:val="000000"/>
                <w:sz w:val="18"/>
                <w:szCs w:val="18"/>
              </w:rPr>
            </w:pPr>
            <w:r w:rsidRPr="000237F9">
              <w:rPr>
                <w:rFonts w:ascii="Arial" w:hAnsi="Arial" w:cs="Arial"/>
                <w:color w:val="000000"/>
                <w:sz w:val="18"/>
                <w:szCs w:val="18"/>
              </w:rPr>
              <w:t>Financial_Forms_for_Existing_Grantees_12-8-14 (Protocol for Submitting Annual Financial Forms-Existing Grantees)</w:t>
            </w:r>
          </w:p>
        </w:tc>
        <w:tc>
          <w:tcPr>
            <w:tcW w:w="6925" w:type="dxa"/>
            <w:gridSpan w:val="4"/>
            <w:tcBorders>
              <w:top w:val="nil"/>
              <w:left w:val="nil"/>
              <w:bottom w:val="single" w:color="auto" w:sz="4" w:space="0"/>
              <w:right w:val="single" w:color="auto" w:sz="4" w:space="0"/>
            </w:tcBorders>
            <w:shd w:val="clear" w:color="auto" w:fill="auto"/>
            <w:hideMark/>
          </w:tcPr>
          <w:p w:rsidRPr="002D54CA" w:rsidR="000237F9" w:rsidRDefault="000237F9" w14:paraId="07185E3D" w14:textId="21DFC90E">
            <w:pPr>
              <w:rPr>
                <w:rFonts w:ascii="Arial" w:hAnsi="Arial" w:cs="Arial"/>
                <w:color w:val="000000"/>
                <w:sz w:val="18"/>
                <w:szCs w:val="18"/>
              </w:rPr>
            </w:pPr>
            <w:r w:rsidRPr="000237F9">
              <w:rPr>
                <w:rFonts w:ascii="Arial" w:hAnsi="Arial" w:cs="Arial"/>
                <w:color w:val="000000"/>
                <w:sz w:val="18"/>
                <w:szCs w:val="18"/>
              </w:rPr>
              <w:t>See 1, 2, and 3 (below)</w:t>
            </w:r>
          </w:p>
        </w:tc>
      </w:tr>
      <w:tr w:rsidRPr="002D54CA" w:rsidR="00B475C8" w:rsidTr="008B2FB4" w14:paraId="71E05CBC" w14:textId="77777777">
        <w:trPr>
          <w:trHeight w:val="255"/>
        </w:trPr>
        <w:tc>
          <w:tcPr>
            <w:tcW w:w="2425" w:type="dxa"/>
            <w:tcBorders>
              <w:top w:val="nil"/>
              <w:left w:val="single" w:color="auto" w:sz="4" w:space="0"/>
              <w:bottom w:val="single" w:color="auto" w:sz="4" w:space="0"/>
              <w:right w:val="single" w:color="auto" w:sz="4" w:space="0"/>
            </w:tcBorders>
            <w:shd w:val="clear" w:color="auto" w:fill="auto"/>
            <w:hideMark/>
          </w:tcPr>
          <w:p w:rsidRPr="002D54CA" w:rsidR="0005065A" w:rsidRDefault="0005065A" w14:paraId="601078B3" w14:textId="77777777">
            <w:pPr>
              <w:jc w:val="right"/>
              <w:rPr>
                <w:rFonts w:ascii="Arial" w:hAnsi="Arial" w:cs="Arial"/>
                <w:color w:val="000000"/>
                <w:sz w:val="18"/>
                <w:szCs w:val="18"/>
              </w:rPr>
            </w:pPr>
            <w:r w:rsidRPr="002D54CA">
              <w:rPr>
                <w:rFonts w:ascii="Arial" w:hAnsi="Arial" w:cs="Arial"/>
                <w:color w:val="000000"/>
                <w:sz w:val="18"/>
                <w:szCs w:val="18"/>
              </w:rPr>
              <w:t>1-MFP Supplemental Budget Request</w:t>
            </w:r>
          </w:p>
        </w:tc>
        <w:tc>
          <w:tcPr>
            <w:tcW w:w="2250" w:type="dxa"/>
            <w:tcBorders>
              <w:top w:val="nil"/>
              <w:left w:val="nil"/>
              <w:bottom w:val="single" w:color="auto" w:sz="4" w:space="0"/>
              <w:right w:val="single" w:color="auto" w:sz="4" w:space="0"/>
            </w:tcBorders>
            <w:shd w:val="clear" w:color="auto" w:fill="auto"/>
            <w:hideMark/>
          </w:tcPr>
          <w:p w:rsidRPr="002D54CA" w:rsidR="0005065A" w:rsidP="002B2BE8" w:rsidRDefault="002B2BE8" w14:paraId="72F34311" w14:textId="707B4E04">
            <w:pPr>
              <w:rPr>
                <w:rFonts w:ascii="Arial" w:hAnsi="Arial" w:cs="Arial"/>
                <w:color w:val="000000"/>
                <w:sz w:val="18"/>
                <w:szCs w:val="18"/>
              </w:rPr>
            </w:pPr>
            <w:r w:rsidRPr="002D54CA">
              <w:rPr>
                <w:rFonts w:ascii="Arial" w:hAnsi="Arial" w:cs="Arial"/>
                <w:color w:val="000000"/>
                <w:sz w:val="18"/>
                <w:szCs w:val="18"/>
              </w:rPr>
              <w:t>MFP_Budget_Workbook (Pp 16-37)</w:t>
            </w:r>
          </w:p>
        </w:tc>
        <w:tc>
          <w:tcPr>
            <w:tcW w:w="1608" w:type="dxa"/>
            <w:tcBorders>
              <w:top w:val="nil"/>
              <w:left w:val="nil"/>
              <w:bottom w:val="single" w:color="auto" w:sz="4" w:space="0"/>
              <w:right w:val="single" w:color="auto" w:sz="4" w:space="0"/>
            </w:tcBorders>
            <w:shd w:val="clear" w:color="auto" w:fill="auto"/>
            <w:hideMark/>
          </w:tcPr>
          <w:p w:rsidRPr="002D54CA" w:rsidR="0005065A" w:rsidRDefault="00B475C8" w14:paraId="7960CD6C" w14:textId="754B0654">
            <w:pPr>
              <w:rPr>
                <w:rFonts w:ascii="Arial" w:hAnsi="Arial" w:cs="Arial"/>
                <w:color w:val="000000"/>
                <w:sz w:val="18"/>
                <w:szCs w:val="18"/>
              </w:rPr>
            </w:pPr>
            <w:r w:rsidRPr="002D54CA">
              <w:rPr>
                <w:rFonts w:ascii="Arial" w:hAnsi="Arial" w:cs="Arial"/>
                <w:color w:val="000000"/>
                <w:sz w:val="18"/>
                <w:szCs w:val="18"/>
              </w:rPr>
              <w:t>Combined with the Worksheet for Proposed budget into a single Excel workbook</w:t>
            </w:r>
          </w:p>
        </w:tc>
        <w:tc>
          <w:tcPr>
            <w:tcW w:w="749" w:type="dxa"/>
            <w:tcBorders>
              <w:top w:val="nil"/>
              <w:left w:val="nil"/>
              <w:bottom w:val="single" w:color="auto" w:sz="4" w:space="0"/>
              <w:right w:val="single" w:color="auto" w:sz="4" w:space="0"/>
            </w:tcBorders>
            <w:shd w:val="clear" w:color="auto" w:fill="auto"/>
            <w:hideMark/>
          </w:tcPr>
          <w:p w:rsidRPr="002D54CA" w:rsidR="0005065A" w:rsidRDefault="002B2BE8" w14:paraId="11B597F5" w14:textId="2B8561AD">
            <w:pPr>
              <w:jc w:val="center"/>
              <w:rPr>
                <w:rFonts w:ascii="Arial" w:hAnsi="Arial" w:cs="Arial"/>
                <w:color w:val="000000"/>
                <w:sz w:val="18"/>
                <w:szCs w:val="18"/>
              </w:rPr>
            </w:pPr>
            <w:r w:rsidRPr="002D54CA">
              <w:rPr>
                <w:rFonts w:ascii="Arial" w:hAnsi="Arial" w:cs="Arial"/>
                <w:color w:val="000000"/>
                <w:sz w:val="18"/>
                <w:szCs w:val="18"/>
              </w:rPr>
              <w:t>Y</w:t>
            </w:r>
          </w:p>
        </w:tc>
        <w:tc>
          <w:tcPr>
            <w:tcW w:w="2318" w:type="dxa"/>
            <w:tcBorders>
              <w:top w:val="nil"/>
              <w:left w:val="nil"/>
              <w:bottom w:val="single" w:color="auto" w:sz="4" w:space="0"/>
              <w:right w:val="single" w:color="auto" w:sz="4" w:space="0"/>
            </w:tcBorders>
            <w:shd w:val="clear" w:color="auto" w:fill="auto"/>
            <w:hideMark/>
          </w:tcPr>
          <w:p w:rsidRPr="002D54CA" w:rsidR="0005065A" w:rsidRDefault="002B2BE8" w14:paraId="7E933EE2" w14:textId="0FA17B48">
            <w:pPr>
              <w:rPr>
                <w:rFonts w:ascii="Arial" w:hAnsi="Arial" w:cs="Arial"/>
                <w:color w:val="000000"/>
                <w:sz w:val="18"/>
                <w:szCs w:val="18"/>
              </w:rPr>
            </w:pPr>
            <w:r w:rsidRPr="002D54CA">
              <w:rPr>
                <w:rFonts w:ascii="Arial" w:hAnsi="Arial" w:cs="Arial"/>
                <w:color w:val="000000"/>
                <w:sz w:val="18"/>
                <w:szCs w:val="18"/>
              </w:rPr>
              <w:t>MFP_Budget_Workbook</w:t>
            </w:r>
          </w:p>
        </w:tc>
      </w:tr>
      <w:tr w:rsidRPr="002D54CA" w:rsidR="00B475C8" w:rsidTr="008B2FB4" w14:paraId="68FFC171" w14:textId="77777777">
        <w:trPr>
          <w:trHeight w:val="255"/>
        </w:trPr>
        <w:tc>
          <w:tcPr>
            <w:tcW w:w="2425" w:type="dxa"/>
            <w:tcBorders>
              <w:top w:val="nil"/>
              <w:left w:val="single" w:color="auto" w:sz="4" w:space="0"/>
              <w:bottom w:val="single" w:color="auto" w:sz="4" w:space="0"/>
              <w:right w:val="single" w:color="auto" w:sz="4" w:space="0"/>
            </w:tcBorders>
            <w:shd w:val="clear" w:color="auto" w:fill="auto"/>
            <w:hideMark/>
          </w:tcPr>
          <w:p w:rsidRPr="002D54CA" w:rsidR="0005065A" w:rsidRDefault="0005065A" w14:paraId="47528338" w14:textId="77777777">
            <w:pPr>
              <w:jc w:val="right"/>
              <w:rPr>
                <w:rFonts w:ascii="Arial" w:hAnsi="Arial" w:cs="Arial"/>
                <w:color w:val="000000"/>
                <w:sz w:val="18"/>
                <w:szCs w:val="18"/>
              </w:rPr>
            </w:pPr>
            <w:r w:rsidRPr="002D54CA">
              <w:rPr>
                <w:rFonts w:ascii="Arial" w:hAnsi="Arial" w:cs="Arial"/>
                <w:color w:val="000000"/>
                <w:sz w:val="18"/>
                <w:szCs w:val="18"/>
              </w:rPr>
              <w:t>2-Worksheet for Proposed Budget</w:t>
            </w:r>
          </w:p>
        </w:tc>
        <w:tc>
          <w:tcPr>
            <w:tcW w:w="2250" w:type="dxa"/>
            <w:tcBorders>
              <w:top w:val="nil"/>
              <w:left w:val="nil"/>
              <w:bottom w:val="single" w:color="auto" w:sz="4" w:space="0"/>
              <w:right w:val="single" w:color="auto" w:sz="4" w:space="0"/>
            </w:tcBorders>
            <w:shd w:val="clear" w:color="auto" w:fill="auto"/>
            <w:hideMark/>
          </w:tcPr>
          <w:p w:rsidRPr="002D54CA" w:rsidR="0005065A" w:rsidP="002B2BE8" w:rsidRDefault="002B2BE8" w14:paraId="4380DCFA" w14:textId="099FC7D9">
            <w:pPr>
              <w:rPr>
                <w:rFonts w:ascii="Arial" w:hAnsi="Arial" w:cs="Arial"/>
                <w:color w:val="000000"/>
                <w:sz w:val="18"/>
                <w:szCs w:val="18"/>
              </w:rPr>
            </w:pPr>
            <w:r w:rsidRPr="002D54CA">
              <w:rPr>
                <w:rFonts w:ascii="Arial" w:hAnsi="Arial" w:cs="Arial"/>
                <w:color w:val="000000"/>
                <w:sz w:val="18"/>
                <w:szCs w:val="18"/>
              </w:rPr>
              <w:t>MFP_Budget_Workbook (pp 1-15)</w:t>
            </w:r>
          </w:p>
        </w:tc>
        <w:tc>
          <w:tcPr>
            <w:tcW w:w="1608" w:type="dxa"/>
            <w:tcBorders>
              <w:top w:val="nil"/>
              <w:left w:val="nil"/>
              <w:bottom w:val="single" w:color="auto" w:sz="4" w:space="0"/>
              <w:right w:val="single" w:color="auto" w:sz="4" w:space="0"/>
            </w:tcBorders>
            <w:shd w:val="clear" w:color="auto" w:fill="auto"/>
            <w:hideMark/>
          </w:tcPr>
          <w:p w:rsidRPr="002D54CA" w:rsidR="0005065A" w:rsidRDefault="00B475C8" w14:paraId="41AA304C" w14:textId="3FC6F71A">
            <w:pPr>
              <w:rPr>
                <w:rFonts w:ascii="Arial" w:hAnsi="Arial" w:cs="Arial"/>
                <w:color w:val="000000"/>
                <w:sz w:val="18"/>
                <w:szCs w:val="18"/>
              </w:rPr>
            </w:pPr>
            <w:r w:rsidRPr="002D54CA">
              <w:rPr>
                <w:rFonts w:ascii="Arial" w:hAnsi="Arial" w:cs="Arial"/>
                <w:color w:val="000000"/>
                <w:sz w:val="18"/>
                <w:szCs w:val="18"/>
              </w:rPr>
              <w:t>Separated into multiple tabs for ease of completion</w:t>
            </w:r>
          </w:p>
        </w:tc>
        <w:tc>
          <w:tcPr>
            <w:tcW w:w="749" w:type="dxa"/>
            <w:tcBorders>
              <w:top w:val="nil"/>
              <w:left w:val="nil"/>
              <w:bottom w:val="single" w:color="auto" w:sz="4" w:space="0"/>
              <w:right w:val="single" w:color="auto" w:sz="4" w:space="0"/>
            </w:tcBorders>
            <w:shd w:val="clear" w:color="auto" w:fill="auto"/>
            <w:hideMark/>
          </w:tcPr>
          <w:p w:rsidRPr="002D54CA" w:rsidR="0005065A" w:rsidRDefault="002B2BE8" w14:paraId="390BA668" w14:textId="4AA9E1F7">
            <w:pPr>
              <w:jc w:val="center"/>
              <w:rPr>
                <w:rFonts w:ascii="Arial" w:hAnsi="Arial" w:cs="Arial"/>
                <w:color w:val="000000"/>
                <w:sz w:val="18"/>
                <w:szCs w:val="18"/>
              </w:rPr>
            </w:pPr>
            <w:r w:rsidRPr="002D54CA">
              <w:rPr>
                <w:rFonts w:ascii="Arial" w:hAnsi="Arial" w:cs="Arial"/>
                <w:color w:val="000000"/>
                <w:sz w:val="18"/>
                <w:szCs w:val="18"/>
              </w:rPr>
              <w:t>Y</w:t>
            </w:r>
          </w:p>
        </w:tc>
        <w:tc>
          <w:tcPr>
            <w:tcW w:w="2318" w:type="dxa"/>
            <w:tcBorders>
              <w:top w:val="nil"/>
              <w:left w:val="nil"/>
              <w:bottom w:val="single" w:color="auto" w:sz="4" w:space="0"/>
              <w:right w:val="single" w:color="auto" w:sz="4" w:space="0"/>
            </w:tcBorders>
            <w:shd w:val="clear" w:color="auto" w:fill="auto"/>
            <w:hideMark/>
          </w:tcPr>
          <w:p w:rsidRPr="002D54CA" w:rsidR="0005065A" w:rsidRDefault="002B2BE8" w14:paraId="0EFBB29C" w14:textId="04077B02">
            <w:pPr>
              <w:rPr>
                <w:rFonts w:ascii="Arial" w:hAnsi="Arial" w:cs="Arial"/>
                <w:color w:val="000000"/>
                <w:sz w:val="18"/>
                <w:szCs w:val="18"/>
              </w:rPr>
            </w:pPr>
            <w:r w:rsidRPr="002D54CA">
              <w:rPr>
                <w:rFonts w:ascii="Arial" w:hAnsi="Arial" w:cs="Arial"/>
                <w:color w:val="000000"/>
                <w:sz w:val="18"/>
                <w:szCs w:val="18"/>
              </w:rPr>
              <w:t>MFP_Budget_Workbook</w:t>
            </w:r>
          </w:p>
        </w:tc>
      </w:tr>
      <w:tr w:rsidRPr="002D54CA" w:rsidR="00B475C8" w:rsidTr="008B2FB4" w14:paraId="709A80C0" w14:textId="77777777">
        <w:trPr>
          <w:trHeight w:val="255"/>
        </w:trPr>
        <w:tc>
          <w:tcPr>
            <w:tcW w:w="2425" w:type="dxa"/>
            <w:tcBorders>
              <w:top w:val="nil"/>
              <w:left w:val="single" w:color="auto" w:sz="4" w:space="0"/>
              <w:bottom w:val="single" w:color="auto" w:sz="4" w:space="0"/>
              <w:right w:val="single" w:color="auto" w:sz="4" w:space="0"/>
            </w:tcBorders>
            <w:shd w:val="clear" w:color="auto" w:fill="auto"/>
            <w:hideMark/>
          </w:tcPr>
          <w:p w:rsidRPr="002D54CA" w:rsidR="0005065A" w:rsidRDefault="0005065A" w14:paraId="36AD03C9" w14:textId="77777777">
            <w:pPr>
              <w:jc w:val="right"/>
              <w:rPr>
                <w:rFonts w:ascii="Arial" w:hAnsi="Arial" w:cs="Arial"/>
                <w:color w:val="000000"/>
                <w:sz w:val="18"/>
                <w:szCs w:val="18"/>
              </w:rPr>
            </w:pPr>
            <w:r w:rsidRPr="002D54CA">
              <w:rPr>
                <w:rFonts w:ascii="Arial" w:hAnsi="Arial" w:cs="Arial"/>
                <w:color w:val="000000"/>
                <w:sz w:val="18"/>
                <w:szCs w:val="18"/>
              </w:rPr>
              <w:t>3-Maintenance of Effort Form</w:t>
            </w:r>
          </w:p>
        </w:tc>
        <w:tc>
          <w:tcPr>
            <w:tcW w:w="2250" w:type="dxa"/>
            <w:tcBorders>
              <w:top w:val="nil"/>
              <w:left w:val="nil"/>
              <w:bottom w:val="single" w:color="auto" w:sz="4" w:space="0"/>
              <w:right w:val="single" w:color="auto" w:sz="4" w:space="0"/>
            </w:tcBorders>
            <w:shd w:val="clear" w:color="auto" w:fill="auto"/>
            <w:hideMark/>
          </w:tcPr>
          <w:p w:rsidRPr="002D54CA" w:rsidR="0005065A" w:rsidRDefault="002B2BE8" w14:paraId="267719E7" w14:textId="2B9791C8">
            <w:pPr>
              <w:rPr>
                <w:rFonts w:ascii="Arial" w:hAnsi="Arial" w:cs="Arial"/>
                <w:color w:val="000000"/>
                <w:sz w:val="18"/>
                <w:szCs w:val="18"/>
              </w:rPr>
            </w:pPr>
            <w:r w:rsidRPr="002D54CA">
              <w:rPr>
                <w:rFonts w:ascii="Arial" w:hAnsi="Arial" w:cs="Arial"/>
                <w:color w:val="000000"/>
                <w:sz w:val="18"/>
                <w:szCs w:val="18"/>
              </w:rPr>
              <w:t>MFP_MOE_Form</w:t>
            </w:r>
          </w:p>
        </w:tc>
        <w:tc>
          <w:tcPr>
            <w:tcW w:w="1608" w:type="dxa"/>
            <w:tcBorders>
              <w:top w:val="nil"/>
              <w:left w:val="nil"/>
              <w:bottom w:val="single" w:color="auto" w:sz="4" w:space="0"/>
              <w:right w:val="single" w:color="auto" w:sz="4" w:space="0"/>
            </w:tcBorders>
            <w:shd w:val="clear" w:color="auto" w:fill="auto"/>
            <w:hideMark/>
          </w:tcPr>
          <w:p w:rsidRPr="002D54CA" w:rsidR="0005065A" w:rsidRDefault="002B2BE8" w14:paraId="42296B44" w14:textId="7B175DB1">
            <w:pPr>
              <w:rPr>
                <w:rFonts w:ascii="Arial" w:hAnsi="Arial" w:cs="Arial"/>
                <w:color w:val="000000"/>
                <w:sz w:val="18"/>
                <w:szCs w:val="18"/>
              </w:rPr>
            </w:pPr>
            <w:r w:rsidRPr="002D54CA">
              <w:rPr>
                <w:rFonts w:ascii="Arial" w:hAnsi="Arial" w:cs="Arial"/>
                <w:color w:val="000000"/>
                <w:sz w:val="18"/>
                <w:szCs w:val="18"/>
              </w:rPr>
              <w:t xml:space="preserve">Updated </w:t>
            </w:r>
            <w:r w:rsidRPr="002D54CA" w:rsidR="00B475C8">
              <w:rPr>
                <w:rFonts w:ascii="Arial" w:hAnsi="Arial" w:cs="Arial"/>
                <w:color w:val="000000"/>
                <w:sz w:val="18"/>
                <w:szCs w:val="18"/>
              </w:rPr>
              <w:t xml:space="preserve">dates </w:t>
            </w:r>
            <w:r w:rsidRPr="002D54CA">
              <w:rPr>
                <w:rFonts w:ascii="Arial" w:hAnsi="Arial" w:cs="Arial"/>
                <w:color w:val="000000"/>
                <w:sz w:val="18"/>
                <w:szCs w:val="18"/>
              </w:rPr>
              <w:t>for</w:t>
            </w:r>
            <w:r w:rsidRPr="002D54CA" w:rsidR="00B475C8">
              <w:rPr>
                <w:rFonts w:ascii="Arial" w:hAnsi="Arial" w:cs="Arial"/>
                <w:color w:val="000000"/>
                <w:sz w:val="18"/>
                <w:szCs w:val="18"/>
              </w:rPr>
              <w:t xml:space="preserve"> continued</w:t>
            </w:r>
            <w:r w:rsidRPr="002D54CA">
              <w:rPr>
                <w:rFonts w:ascii="Arial" w:hAnsi="Arial" w:cs="Arial"/>
                <w:color w:val="000000"/>
                <w:sz w:val="18"/>
                <w:szCs w:val="18"/>
              </w:rPr>
              <w:t xml:space="preserve"> </w:t>
            </w:r>
            <w:r w:rsidRPr="002D54CA" w:rsidR="00B475C8">
              <w:rPr>
                <w:rFonts w:ascii="Arial" w:hAnsi="Arial" w:cs="Arial"/>
                <w:color w:val="000000"/>
                <w:sz w:val="18"/>
                <w:szCs w:val="18"/>
              </w:rPr>
              <w:t>use</w:t>
            </w:r>
          </w:p>
        </w:tc>
        <w:tc>
          <w:tcPr>
            <w:tcW w:w="749" w:type="dxa"/>
            <w:tcBorders>
              <w:top w:val="nil"/>
              <w:left w:val="nil"/>
              <w:bottom w:val="single" w:color="auto" w:sz="4" w:space="0"/>
              <w:right w:val="single" w:color="auto" w:sz="4" w:space="0"/>
            </w:tcBorders>
            <w:shd w:val="clear" w:color="auto" w:fill="auto"/>
            <w:hideMark/>
          </w:tcPr>
          <w:p w:rsidRPr="002D54CA" w:rsidR="0005065A" w:rsidRDefault="0005065A" w14:paraId="4A04D9F5" w14:textId="77777777">
            <w:pPr>
              <w:jc w:val="center"/>
              <w:rPr>
                <w:rFonts w:ascii="Arial" w:hAnsi="Arial" w:cs="Arial"/>
                <w:color w:val="000000"/>
                <w:sz w:val="18"/>
                <w:szCs w:val="18"/>
              </w:rPr>
            </w:pPr>
            <w:r w:rsidRPr="002D54CA">
              <w:rPr>
                <w:rFonts w:ascii="Arial" w:hAnsi="Arial" w:cs="Arial"/>
                <w:color w:val="000000"/>
                <w:sz w:val="18"/>
                <w:szCs w:val="18"/>
              </w:rPr>
              <w:t>Y</w:t>
            </w:r>
          </w:p>
        </w:tc>
        <w:tc>
          <w:tcPr>
            <w:tcW w:w="2318" w:type="dxa"/>
            <w:tcBorders>
              <w:top w:val="nil"/>
              <w:left w:val="nil"/>
              <w:bottom w:val="single" w:color="auto" w:sz="4" w:space="0"/>
              <w:right w:val="single" w:color="auto" w:sz="4" w:space="0"/>
            </w:tcBorders>
            <w:shd w:val="clear" w:color="auto" w:fill="auto"/>
            <w:hideMark/>
          </w:tcPr>
          <w:p w:rsidRPr="002D54CA" w:rsidR="0005065A" w:rsidRDefault="0005065A" w14:paraId="372A6612" w14:textId="3CF7DD90">
            <w:pPr>
              <w:rPr>
                <w:rFonts w:ascii="Arial" w:hAnsi="Arial" w:cs="Arial"/>
                <w:color w:val="000000"/>
                <w:sz w:val="18"/>
                <w:szCs w:val="18"/>
              </w:rPr>
            </w:pPr>
            <w:r w:rsidRPr="002D54CA">
              <w:rPr>
                <w:rFonts w:ascii="Arial" w:hAnsi="Arial" w:cs="Arial"/>
                <w:color w:val="000000"/>
                <w:sz w:val="18"/>
                <w:szCs w:val="18"/>
              </w:rPr>
              <w:t>MFP</w:t>
            </w:r>
            <w:r w:rsidRPr="002D54CA" w:rsidR="002B2BE8">
              <w:rPr>
                <w:rFonts w:ascii="Arial" w:hAnsi="Arial" w:cs="Arial"/>
                <w:color w:val="000000"/>
                <w:sz w:val="18"/>
                <w:szCs w:val="18"/>
              </w:rPr>
              <w:t>_</w:t>
            </w:r>
            <w:r w:rsidRPr="002D54CA">
              <w:rPr>
                <w:rFonts w:ascii="Arial" w:hAnsi="Arial" w:cs="Arial"/>
                <w:color w:val="000000"/>
                <w:sz w:val="18"/>
                <w:szCs w:val="18"/>
              </w:rPr>
              <w:t>MOE</w:t>
            </w:r>
            <w:r w:rsidRPr="002D54CA" w:rsidR="002B2BE8">
              <w:rPr>
                <w:rFonts w:ascii="Arial" w:hAnsi="Arial" w:cs="Arial"/>
                <w:color w:val="000000"/>
                <w:sz w:val="18"/>
                <w:szCs w:val="18"/>
              </w:rPr>
              <w:t>_</w:t>
            </w:r>
            <w:r w:rsidRPr="002D54CA">
              <w:rPr>
                <w:rFonts w:ascii="Arial" w:hAnsi="Arial" w:cs="Arial"/>
                <w:color w:val="000000"/>
                <w:sz w:val="18"/>
                <w:szCs w:val="18"/>
              </w:rPr>
              <w:t>Form</w:t>
            </w:r>
          </w:p>
        </w:tc>
      </w:tr>
      <w:tr w:rsidRPr="002D54CA" w:rsidR="0037717A" w:rsidTr="008B2FB4" w14:paraId="5E53872C" w14:textId="77777777">
        <w:trPr>
          <w:trHeight w:val="480"/>
        </w:trPr>
        <w:tc>
          <w:tcPr>
            <w:tcW w:w="2425" w:type="dxa"/>
            <w:tcBorders>
              <w:top w:val="nil"/>
              <w:left w:val="single" w:color="auto" w:sz="4" w:space="0"/>
              <w:bottom w:val="single" w:color="auto" w:sz="4" w:space="0"/>
              <w:right w:val="single" w:color="auto" w:sz="4" w:space="0"/>
            </w:tcBorders>
            <w:shd w:val="clear" w:color="auto" w:fill="auto"/>
            <w:hideMark/>
          </w:tcPr>
          <w:p w:rsidRPr="002D54CA" w:rsidR="0037717A" w:rsidP="0037717A" w:rsidRDefault="0037717A" w14:paraId="724A3923" w14:textId="77777777">
            <w:pPr>
              <w:rPr>
                <w:rFonts w:ascii="Arial" w:hAnsi="Arial" w:cs="Arial"/>
                <w:color w:val="000000"/>
                <w:sz w:val="18"/>
                <w:szCs w:val="18"/>
              </w:rPr>
            </w:pPr>
            <w:r w:rsidRPr="002D54CA">
              <w:rPr>
                <w:rFonts w:ascii="Arial" w:hAnsi="Arial" w:cs="Arial"/>
                <w:color w:val="000000"/>
                <w:sz w:val="18"/>
                <w:szCs w:val="18"/>
              </w:rPr>
              <w:t>Financial Reporting Forms ABCD (Narrative)</w:t>
            </w:r>
          </w:p>
        </w:tc>
        <w:tc>
          <w:tcPr>
            <w:tcW w:w="2250" w:type="dxa"/>
            <w:tcBorders>
              <w:top w:val="nil"/>
              <w:left w:val="nil"/>
              <w:bottom w:val="single" w:color="auto" w:sz="4" w:space="0"/>
              <w:right w:val="single" w:color="auto" w:sz="4" w:space="0"/>
            </w:tcBorders>
            <w:shd w:val="clear" w:color="auto" w:fill="auto"/>
            <w:hideMark/>
          </w:tcPr>
          <w:p w:rsidRPr="002D54CA" w:rsidR="0037717A" w:rsidP="0037717A" w:rsidRDefault="0037717A" w14:paraId="247EE96E" w14:textId="77777777">
            <w:pPr>
              <w:rPr>
                <w:rFonts w:ascii="Arial" w:hAnsi="Arial" w:cs="Arial"/>
                <w:color w:val="000000"/>
                <w:sz w:val="18"/>
                <w:szCs w:val="18"/>
              </w:rPr>
            </w:pPr>
            <w:r w:rsidRPr="002D54CA">
              <w:rPr>
                <w:rFonts w:ascii="Arial" w:hAnsi="Arial" w:cs="Arial"/>
                <w:color w:val="000000"/>
                <w:sz w:val="18"/>
                <w:szCs w:val="18"/>
              </w:rPr>
              <w:t>Financial Reporting Forms ABCD (Narrative)</w:t>
            </w:r>
          </w:p>
        </w:tc>
        <w:tc>
          <w:tcPr>
            <w:tcW w:w="1608" w:type="dxa"/>
            <w:tcBorders>
              <w:top w:val="nil"/>
              <w:left w:val="nil"/>
              <w:bottom w:val="single" w:color="auto" w:sz="4" w:space="0"/>
              <w:right w:val="single" w:color="auto" w:sz="4" w:space="0"/>
            </w:tcBorders>
            <w:shd w:val="clear" w:color="auto" w:fill="auto"/>
            <w:hideMark/>
          </w:tcPr>
          <w:p w:rsidRPr="002D54CA" w:rsidR="0037717A" w:rsidP="0037717A" w:rsidRDefault="0037717A" w14:paraId="33CDE239" w14:textId="4A724CBB">
            <w:pPr>
              <w:rPr>
                <w:rFonts w:ascii="Arial" w:hAnsi="Arial" w:cs="Arial"/>
                <w:color w:val="000000"/>
                <w:sz w:val="18"/>
                <w:szCs w:val="18"/>
              </w:rPr>
            </w:pPr>
            <w:r w:rsidRPr="002D54CA">
              <w:rPr>
                <w:rFonts w:ascii="Arial" w:hAnsi="Arial" w:cs="Arial"/>
                <w:color w:val="000000"/>
                <w:sz w:val="18"/>
                <w:szCs w:val="18"/>
              </w:rPr>
              <w:t>No changes</w:t>
            </w:r>
          </w:p>
        </w:tc>
        <w:tc>
          <w:tcPr>
            <w:tcW w:w="749" w:type="dxa"/>
            <w:tcBorders>
              <w:top w:val="nil"/>
              <w:left w:val="nil"/>
              <w:bottom w:val="single" w:color="auto" w:sz="4" w:space="0"/>
              <w:right w:val="single" w:color="auto" w:sz="4" w:space="0"/>
            </w:tcBorders>
            <w:shd w:val="clear" w:color="auto" w:fill="auto"/>
            <w:hideMark/>
          </w:tcPr>
          <w:p w:rsidRPr="002D54CA" w:rsidR="0037717A" w:rsidP="0037717A" w:rsidRDefault="0037717A" w14:paraId="7C6C868F" w14:textId="3CE60963">
            <w:pPr>
              <w:jc w:val="center"/>
              <w:rPr>
                <w:rFonts w:ascii="Arial" w:hAnsi="Arial" w:cs="Arial"/>
                <w:color w:val="000000"/>
                <w:sz w:val="18"/>
                <w:szCs w:val="18"/>
              </w:rPr>
            </w:pPr>
            <w:r w:rsidRPr="002D54CA">
              <w:rPr>
                <w:rFonts w:ascii="Arial" w:hAnsi="Arial" w:cs="Arial"/>
                <w:color w:val="000000"/>
                <w:sz w:val="18"/>
                <w:szCs w:val="18"/>
              </w:rPr>
              <w:t>Y</w:t>
            </w:r>
          </w:p>
        </w:tc>
        <w:tc>
          <w:tcPr>
            <w:tcW w:w="2318" w:type="dxa"/>
            <w:tcBorders>
              <w:top w:val="nil"/>
              <w:left w:val="nil"/>
              <w:bottom w:val="single" w:color="auto" w:sz="4" w:space="0"/>
              <w:right w:val="single" w:color="auto" w:sz="4" w:space="0"/>
            </w:tcBorders>
            <w:shd w:val="clear" w:color="auto" w:fill="auto"/>
            <w:hideMark/>
          </w:tcPr>
          <w:p w:rsidRPr="002D54CA" w:rsidR="0037717A" w:rsidP="0037717A" w:rsidRDefault="0037717A" w14:paraId="6A7324B1" w14:textId="77777777">
            <w:pPr>
              <w:rPr>
                <w:rFonts w:ascii="Arial" w:hAnsi="Arial" w:cs="Arial"/>
                <w:color w:val="000000"/>
                <w:sz w:val="18"/>
                <w:szCs w:val="18"/>
              </w:rPr>
            </w:pPr>
            <w:r w:rsidRPr="002D54CA">
              <w:rPr>
                <w:rFonts w:ascii="Arial" w:hAnsi="Arial" w:cs="Arial"/>
                <w:color w:val="000000"/>
                <w:sz w:val="18"/>
                <w:szCs w:val="18"/>
              </w:rPr>
              <w:t>MFP_Financial_Reporting_FormsABCD</w:t>
            </w:r>
          </w:p>
        </w:tc>
      </w:tr>
      <w:tr w:rsidRPr="002D54CA" w:rsidR="0037717A" w:rsidTr="008B2FB4" w14:paraId="44F315C9" w14:textId="77777777">
        <w:trPr>
          <w:trHeight w:val="480"/>
        </w:trPr>
        <w:tc>
          <w:tcPr>
            <w:tcW w:w="2425" w:type="dxa"/>
            <w:tcBorders>
              <w:top w:val="nil"/>
              <w:left w:val="single" w:color="auto" w:sz="4" w:space="0"/>
              <w:bottom w:val="single" w:color="auto" w:sz="4" w:space="0"/>
              <w:right w:val="single" w:color="auto" w:sz="4" w:space="0"/>
            </w:tcBorders>
            <w:shd w:val="clear" w:color="auto" w:fill="auto"/>
            <w:hideMark/>
          </w:tcPr>
          <w:p w:rsidRPr="002D54CA" w:rsidR="0037717A" w:rsidP="0037717A" w:rsidRDefault="0037717A" w14:paraId="06E24119" w14:textId="77777777">
            <w:pPr>
              <w:rPr>
                <w:rFonts w:ascii="Arial" w:hAnsi="Arial" w:cs="Arial"/>
                <w:color w:val="000000"/>
                <w:sz w:val="18"/>
                <w:szCs w:val="18"/>
              </w:rPr>
            </w:pPr>
            <w:r w:rsidRPr="002D54CA">
              <w:rPr>
                <w:rFonts w:ascii="Arial" w:hAnsi="Arial" w:cs="Arial"/>
                <w:color w:val="000000"/>
                <w:sz w:val="18"/>
                <w:szCs w:val="18"/>
              </w:rPr>
              <w:t xml:space="preserve">Appendix F forms (namely, CMS-64.9i, CMS-64.9pi, </w:t>
            </w:r>
            <w:r w:rsidRPr="002D54CA">
              <w:rPr>
                <w:rFonts w:ascii="Arial" w:hAnsi="Arial" w:cs="Arial"/>
                <w:color w:val="000000"/>
                <w:sz w:val="18"/>
                <w:szCs w:val="18"/>
              </w:rPr>
              <w:lastRenderedPageBreak/>
              <w:t xml:space="preserve">CMS-64.10i, and CMS-64.10pi) </w:t>
            </w:r>
          </w:p>
        </w:tc>
        <w:tc>
          <w:tcPr>
            <w:tcW w:w="2250" w:type="dxa"/>
            <w:tcBorders>
              <w:top w:val="nil"/>
              <w:left w:val="nil"/>
              <w:bottom w:val="single" w:color="auto" w:sz="4" w:space="0"/>
              <w:right w:val="single" w:color="auto" w:sz="4" w:space="0"/>
            </w:tcBorders>
            <w:shd w:val="clear" w:color="auto" w:fill="auto"/>
            <w:hideMark/>
          </w:tcPr>
          <w:p w:rsidRPr="002D54CA" w:rsidR="0037717A" w:rsidP="0037717A" w:rsidRDefault="0037717A" w14:paraId="30E81315" w14:textId="073C0D82">
            <w:pPr>
              <w:rPr>
                <w:rFonts w:ascii="Arial" w:hAnsi="Arial" w:cs="Arial"/>
                <w:color w:val="000000"/>
                <w:sz w:val="18"/>
                <w:szCs w:val="18"/>
              </w:rPr>
            </w:pPr>
            <w:r w:rsidRPr="002D54CA">
              <w:rPr>
                <w:rFonts w:ascii="Arial" w:hAnsi="Arial" w:cs="Arial"/>
                <w:color w:val="000000"/>
                <w:sz w:val="18"/>
                <w:szCs w:val="18"/>
              </w:rPr>
              <w:lastRenderedPageBreak/>
              <w:t>CMS 64i Expenditure Forms</w:t>
            </w:r>
          </w:p>
        </w:tc>
        <w:tc>
          <w:tcPr>
            <w:tcW w:w="1608" w:type="dxa"/>
            <w:tcBorders>
              <w:top w:val="nil"/>
              <w:left w:val="nil"/>
              <w:bottom w:val="single" w:color="auto" w:sz="4" w:space="0"/>
              <w:right w:val="single" w:color="auto" w:sz="4" w:space="0"/>
            </w:tcBorders>
            <w:shd w:val="clear" w:color="auto" w:fill="auto"/>
            <w:hideMark/>
          </w:tcPr>
          <w:p w:rsidRPr="002D54CA" w:rsidR="0037717A" w:rsidP="0037717A" w:rsidRDefault="0037717A" w14:paraId="5230CC8B" w14:textId="1DF67E79">
            <w:pPr>
              <w:rPr>
                <w:rFonts w:ascii="Arial" w:hAnsi="Arial" w:cs="Arial"/>
                <w:color w:val="000000"/>
                <w:sz w:val="18"/>
                <w:szCs w:val="18"/>
              </w:rPr>
            </w:pPr>
            <w:r w:rsidRPr="002D54CA">
              <w:rPr>
                <w:rFonts w:ascii="Arial" w:hAnsi="Arial" w:cs="Arial"/>
                <w:color w:val="000000"/>
                <w:sz w:val="18"/>
                <w:szCs w:val="18"/>
              </w:rPr>
              <w:t>No changes</w:t>
            </w:r>
          </w:p>
        </w:tc>
        <w:tc>
          <w:tcPr>
            <w:tcW w:w="749" w:type="dxa"/>
            <w:tcBorders>
              <w:top w:val="nil"/>
              <w:left w:val="nil"/>
              <w:bottom w:val="single" w:color="auto" w:sz="4" w:space="0"/>
              <w:right w:val="single" w:color="auto" w:sz="4" w:space="0"/>
            </w:tcBorders>
            <w:shd w:val="clear" w:color="auto" w:fill="auto"/>
            <w:hideMark/>
          </w:tcPr>
          <w:p w:rsidRPr="002D54CA" w:rsidR="0037717A" w:rsidP="0037717A" w:rsidRDefault="0037717A" w14:paraId="3523C803" w14:textId="145EA7F3">
            <w:pPr>
              <w:jc w:val="center"/>
              <w:rPr>
                <w:rFonts w:ascii="Arial" w:hAnsi="Arial" w:cs="Arial"/>
                <w:color w:val="000000"/>
                <w:sz w:val="18"/>
                <w:szCs w:val="18"/>
              </w:rPr>
            </w:pPr>
            <w:r w:rsidRPr="002D54CA">
              <w:rPr>
                <w:rFonts w:ascii="Arial" w:hAnsi="Arial" w:cs="Arial"/>
                <w:color w:val="000000"/>
                <w:sz w:val="18"/>
                <w:szCs w:val="18"/>
              </w:rPr>
              <w:t>N</w:t>
            </w:r>
          </w:p>
        </w:tc>
        <w:tc>
          <w:tcPr>
            <w:tcW w:w="2318" w:type="dxa"/>
            <w:tcBorders>
              <w:top w:val="nil"/>
              <w:left w:val="nil"/>
              <w:bottom w:val="single" w:color="auto" w:sz="4" w:space="0"/>
              <w:right w:val="single" w:color="auto" w:sz="4" w:space="0"/>
            </w:tcBorders>
            <w:shd w:val="clear" w:color="auto" w:fill="auto"/>
            <w:hideMark/>
          </w:tcPr>
          <w:p w:rsidRPr="002D54CA" w:rsidR="0037717A" w:rsidP="0037717A" w:rsidRDefault="0037717A" w14:paraId="38BCFAED" w14:textId="0E5DCD67">
            <w:pPr>
              <w:rPr>
                <w:rFonts w:ascii="Arial" w:hAnsi="Arial" w:cs="Arial"/>
                <w:color w:val="000000"/>
                <w:sz w:val="18"/>
                <w:szCs w:val="18"/>
              </w:rPr>
            </w:pPr>
            <w:r w:rsidRPr="002D54CA">
              <w:rPr>
                <w:rFonts w:ascii="Arial" w:hAnsi="Arial" w:cs="Arial"/>
                <w:color w:val="000000"/>
                <w:sz w:val="18"/>
                <w:szCs w:val="18"/>
              </w:rPr>
              <w:t>CMS 64i Expenditure Forms</w:t>
            </w:r>
          </w:p>
        </w:tc>
      </w:tr>
    </w:tbl>
    <w:p w:rsidRPr="002D54CA" w:rsidR="0005065A" w:rsidP="001755B7" w:rsidRDefault="0005065A" w14:paraId="47C9F001" w14:textId="290941F6"/>
    <w:p w:rsidRPr="00933F40" w:rsidR="00637C84" w:rsidP="00637C84" w:rsidRDefault="00637C84" w14:paraId="308A8392" w14:textId="77777777">
      <w:pPr>
        <w:outlineLvl w:val="0"/>
        <w:rPr>
          <w:rFonts w:ascii="Times New (W1)" w:hAnsi="Times New (W1)"/>
        </w:rPr>
      </w:pPr>
      <w:r w:rsidRPr="002D54CA">
        <w:rPr>
          <w:rFonts w:ascii="Times New (W1)" w:hAnsi="Times New (W1)"/>
          <w:u w:val="single"/>
        </w:rPr>
        <w:t>Burden Adjustment</w:t>
      </w:r>
      <w:r w:rsidRPr="002D54CA">
        <w:rPr>
          <w:rFonts w:ascii="Times New (W1)" w:hAnsi="Times New (W1)"/>
        </w:rPr>
        <w:t xml:space="preserve"> As of March 2018, CMS had awarded 44 MFP grants.</w:t>
      </w:r>
      <w:r w:rsidRPr="002D54CA" w:rsidR="00284F5E">
        <w:rPr>
          <w:rFonts w:ascii="Times New (W1)" w:hAnsi="Times New (W1)"/>
        </w:rPr>
        <w:t xml:space="preserve"> As of September 2020, two grantees</w:t>
      </w:r>
      <w:r w:rsidRPr="002D54CA">
        <w:rPr>
          <w:rFonts w:ascii="Times New (W1)" w:hAnsi="Times New (W1)"/>
        </w:rPr>
        <w:t xml:space="preserve"> withdrew from the MFP Program. Thus, burden estimates are for 4</w:t>
      </w:r>
      <w:r w:rsidRPr="002D54CA" w:rsidR="00284F5E">
        <w:rPr>
          <w:rFonts w:ascii="Times New (W1)" w:hAnsi="Times New (W1)"/>
        </w:rPr>
        <w:t>1</w:t>
      </w:r>
      <w:r w:rsidRPr="002D54CA">
        <w:rPr>
          <w:rFonts w:ascii="Times New (W1)" w:hAnsi="Times New (W1)"/>
        </w:rPr>
        <w:t xml:space="preserve"> states and the District of Columbia instead of 4</w:t>
      </w:r>
      <w:r w:rsidRPr="002D54CA" w:rsidR="00284F5E">
        <w:rPr>
          <w:rFonts w:ascii="Times New (W1)" w:hAnsi="Times New (W1)"/>
        </w:rPr>
        <w:t>4</w:t>
      </w:r>
      <w:r w:rsidRPr="002D54CA">
        <w:rPr>
          <w:rFonts w:ascii="Times New (W1)" w:hAnsi="Times New (W1)"/>
        </w:rPr>
        <w:t xml:space="preserve"> states used in the last submission.</w:t>
      </w:r>
    </w:p>
    <w:p w:rsidRPr="00933F40" w:rsidR="0095120D" w:rsidP="00637C84" w:rsidRDefault="0095120D" w14:paraId="4CE6497C" w14:textId="77777777">
      <w:pPr>
        <w:outlineLvl w:val="0"/>
        <w:rPr>
          <w:rFonts w:ascii="Times New (W1)" w:hAnsi="Times New (W1)"/>
        </w:rPr>
      </w:pPr>
    </w:p>
    <w:tbl>
      <w:tblPr>
        <w:tblW w:w="8219" w:type="dxa"/>
        <w:tblInd w:w="113" w:type="dxa"/>
        <w:tblLook w:val="04A0" w:firstRow="1" w:lastRow="0" w:firstColumn="1" w:lastColumn="0" w:noHBand="0" w:noVBand="1"/>
      </w:tblPr>
      <w:tblGrid>
        <w:gridCol w:w="1506"/>
        <w:gridCol w:w="1197"/>
        <w:gridCol w:w="1007"/>
        <w:gridCol w:w="937"/>
        <w:gridCol w:w="797"/>
        <w:gridCol w:w="1197"/>
        <w:gridCol w:w="797"/>
        <w:gridCol w:w="1016"/>
      </w:tblGrid>
      <w:tr w:rsidRPr="00933F40" w:rsidR="00F67B23" w:rsidTr="00E0435A" w14:paraId="4DE7B8C9" w14:textId="77777777">
        <w:trPr>
          <w:trHeight w:val="300"/>
        </w:trPr>
        <w:tc>
          <w:tcPr>
            <w:tcW w:w="1146" w:type="dxa"/>
            <w:tcBorders>
              <w:top w:val="single" w:color="auto" w:sz="4" w:space="0"/>
              <w:left w:val="single" w:color="auto" w:sz="4" w:space="0"/>
              <w:right w:val="single" w:color="auto" w:sz="4" w:space="0"/>
            </w:tcBorders>
            <w:shd w:val="clear" w:color="auto" w:fill="auto"/>
            <w:vAlign w:val="center"/>
            <w:hideMark/>
          </w:tcPr>
          <w:p w:rsidRPr="00933F40" w:rsidR="00F67B23" w:rsidRDefault="00F67B23" w14:paraId="399E04E5" w14:textId="77777777">
            <w:pPr>
              <w:jc w:val="center"/>
              <w:rPr>
                <w:b/>
                <w:bCs/>
                <w:color w:val="000000"/>
                <w:sz w:val="18"/>
                <w:szCs w:val="18"/>
              </w:rPr>
            </w:pPr>
          </w:p>
        </w:tc>
        <w:tc>
          <w:tcPr>
            <w:tcW w:w="4063" w:type="dxa"/>
            <w:gridSpan w:val="4"/>
            <w:tcBorders>
              <w:top w:val="single" w:color="auto" w:sz="4" w:space="0"/>
              <w:left w:val="nil"/>
              <w:bottom w:val="single" w:color="auto" w:sz="4" w:space="0"/>
              <w:right w:val="single" w:color="auto" w:sz="4" w:space="0"/>
            </w:tcBorders>
            <w:shd w:val="clear" w:color="auto" w:fill="auto"/>
            <w:vAlign w:val="center"/>
            <w:hideMark/>
          </w:tcPr>
          <w:p w:rsidRPr="00933F40" w:rsidR="00F67B23" w:rsidRDefault="00F67B23" w14:paraId="7E2E9FC7" w14:textId="77777777">
            <w:pPr>
              <w:jc w:val="center"/>
              <w:rPr>
                <w:b/>
                <w:bCs/>
                <w:color w:val="000000"/>
                <w:sz w:val="18"/>
                <w:szCs w:val="18"/>
              </w:rPr>
            </w:pPr>
            <w:r w:rsidRPr="00933F40">
              <w:rPr>
                <w:b/>
                <w:bCs/>
                <w:color w:val="000000"/>
                <w:sz w:val="18"/>
                <w:szCs w:val="18"/>
              </w:rPr>
              <w:t>2018 Iteration</w:t>
            </w:r>
          </w:p>
        </w:tc>
        <w:tc>
          <w:tcPr>
            <w:tcW w:w="1994" w:type="dxa"/>
            <w:gridSpan w:val="2"/>
            <w:tcBorders>
              <w:top w:val="single" w:color="auto" w:sz="4" w:space="0"/>
              <w:left w:val="nil"/>
              <w:bottom w:val="single" w:color="auto" w:sz="4" w:space="0"/>
              <w:right w:val="single" w:color="auto" w:sz="4" w:space="0"/>
            </w:tcBorders>
            <w:shd w:val="clear" w:color="auto" w:fill="auto"/>
            <w:vAlign w:val="center"/>
            <w:hideMark/>
          </w:tcPr>
          <w:p w:rsidRPr="00933F40" w:rsidR="00F67B23" w:rsidRDefault="00F67B23" w14:paraId="5DB48649" w14:textId="77777777">
            <w:pPr>
              <w:jc w:val="center"/>
              <w:rPr>
                <w:b/>
                <w:bCs/>
                <w:color w:val="000000"/>
                <w:sz w:val="18"/>
                <w:szCs w:val="18"/>
              </w:rPr>
            </w:pPr>
            <w:r w:rsidRPr="00933F40">
              <w:rPr>
                <w:b/>
                <w:bCs/>
                <w:color w:val="000000"/>
                <w:sz w:val="18"/>
                <w:szCs w:val="18"/>
              </w:rPr>
              <w:t>2020 Iteration</w:t>
            </w:r>
          </w:p>
        </w:tc>
        <w:tc>
          <w:tcPr>
            <w:tcW w:w="1016" w:type="dxa"/>
            <w:tcBorders>
              <w:top w:val="single" w:color="auto" w:sz="4" w:space="0"/>
              <w:left w:val="nil"/>
              <w:bottom w:val="single" w:color="auto" w:sz="4" w:space="0"/>
              <w:right w:val="single" w:color="auto" w:sz="4" w:space="0"/>
            </w:tcBorders>
            <w:shd w:val="clear" w:color="auto" w:fill="auto"/>
            <w:vAlign w:val="center"/>
            <w:hideMark/>
          </w:tcPr>
          <w:p w:rsidRPr="00933F40" w:rsidR="00F67B23" w:rsidRDefault="00F67B23" w14:paraId="7190750F" w14:textId="77777777">
            <w:pPr>
              <w:rPr>
                <w:b/>
                <w:bCs/>
                <w:color w:val="000000"/>
                <w:sz w:val="18"/>
                <w:szCs w:val="18"/>
              </w:rPr>
            </w:pPr>
            <w:r w:rsidRPr="00933F40">
              <w:rPr>
                <w:b/>
                <w:bCs/>
                <w:color w:val="000000"/>
                <w:sz w:val="18"/>
                <w:szCs w:val="18"/>
              </w:rPr>
              <w:t>Difference</w:t>
            </w:r>
          </w:p>
        </w:tc>
      </w:tr>
      <w:tr w:rsidRPr="00933F40" w:rsidR="0095120D" w:rsidTr="00E0435A" w14:paraId="41AA7BE6" w14:textId="77777777">
        <w:trPr>
          <w:trHeight w:val="1990"/>
        </w:trPr>
        <w:tc>
          <w:tcPr>
            <w:tcW w:w="1146" w:type="dxa"/>
            <w:tcBorders>
              <w:left w:val="single" w:color="auto" w:sz="4" w:space="0"/>
              <w:bottom w:val="single" w:color="auto" w:sz="4" w:space="0"/>
              <w:right w:val="single" w:color="auto" w:sz="4" w:space="0"/>
            </w:tcBorders>
            <w:shd w:val="clear" w:color="auto" w:fill="auto"/>
            <w:vAlign w:val="center"/>
            <w:hideMark/>
          </w:tcPr>
          <w:p w:rsidRPr="00933F40" w:rsidR="0095120D" w:rsidRDefault="00E0435A" w14:paraId="4DA8C612" w14:textId="77777777">
            <w:pPr>
              <w:rPr>
                <w:b/>
                <w:bCs/>
                <w:color w:val="000000"/>
                <w:sz w:val="18"/>
                <w:szCs w:val="18"/>
              </w:rPr>
            </w:pPr>
            <w:r w:rsidRPr="00933F40">
              <w:rPr>
                <w:b/>
                <w:bCs/>
                <w:color w:val="000000"/>
                <w:sz w:val="18"/>
                <w:szCs w:val="18"/>
              </w:rPr>
              <w:t>Reporting</w:t>
            </w:r>
          </w:p>
        </w:tc>
        <w:tc>
          <w:tcPr>
            <w:tcW w:w="1198" w:type="dxa"/>
            <w:tcBorders>
              <w:top w:val="nil"/>
              <w:left w:val="single" w:color="auto" w:sz="4" w:space="0"/>
              <w:bottom w:val="single" w:color="auto" w:sz="4" w:space="0"/>
              <w:right w:val="single" w:color="auto" w:sz="4" w:space="0"/>
            </w:tcBorders>
            <w:shd w:val="clear" w:color="auto" w:fill="auto"/>
            <w:vAlign w:val="center"/>
            <w:hideMark/>
          </w:tcPr>
          <w:p w:rsidRPr="00933F40" w:rsidR="0095120D" w:rsidRDefault="0095120D" w14:paraId="5EC36C37" w14:textId="77777777">
            <w:pPr>
              <w:jc w:val="center"/>
              <w:rPr>
                <w:b/>
                <w:bCs/>
                <w:color w:val="000000"/>
                <w:sz w:val="18"/>
                <w:szCs w:val="18"/>
              </w:rPr>
            </w:pPr>
            <w:r w:rsidRPr="00933F40">
              <w:rPr>
                <w:b/>
                <w:bCs/>
                <w:color w:val="000000"/>
                <w:sz w:val="18"/>
                <w:szCs w:val="18"/>
              </w:rPr>
              <w:t>Respondents</w:t>
            </w:r>
          </w:p>
        </w:tc>
        <w:tc>
          <w:tcPr>
            <w:tcW w:w="1055" w:type="dxa"/>
            <w:tcBorders>
              <w:top w:val="nil"/>
              <w:left w:val="single" w:color="auto" w:sz="4" w:space="0"/>
              <w:bottom w:val="single" w:color="auto" w:sz="4" w:space="0"/>
              <w:right w:val="single" w:color="auto" w:sz="4" w:space="0"/>
            </w:tcBorders>
            <w:shd w:val="clear" w:color="auto" w:fill="auto"/>
            <w:vAlign w:val="center"/>
            <w:hideMark/>
          </w:tcPr>
          <w:p w:rsidRPr="00933F40" w:rsidR="0095120D" w:rsidRDefault="0095120D" w14:paraId="0A1B655B" w14:textId="77777777">
            <w:pPr>
              <w:jc w:val="center"/>
              <w:rPr>
                <w:b/>
                <w:bCs/>
                <w:color w:val="000000"/>
                <w:sz w:val="18"/>
                <w:szCs w:val="18"/>
              </w:rPr>
            </w:pPr>
            <w:r w:rsidRPr="00933F40">
              <w:rPr>
                <w:b/>
                <w:bCs/>
                <w:color w:val="000000"/>
                <w:sz w:val="18"/>
                <w:szCs w:val="18"/>
              </w:rPr>
              <w:t>Total Responses</w:t>
            </w:r>
          </w:p>
        </w:tc>
        <w:tc>
          <w:tcPr>
            <w:tcW w:w="1013" w:type="dxa"/>
            <w:tcBorders>
              <w:top w:val="nil"/>
              <w:left w:val="single" w:color="auto" w:sz="4" w:space="0"/>
              <w:bottom w:val="single" w:color="auto" w:sz="4" w:space="0"/>
              <w:right w:val="single" w:color="auto" w:sz="4" w:space="0"/>
            </w:tcBorders>
            <w:shd w:val="clear" w:color="auto" w:fill="auto"/>
            <w:vAlign w:val="center"/>
            <w:hideMark/>
          </w:tcPr>
          <w:p w:rsidRPr="00933F40" w:rsidR="0095120D" w:rsidRDefault="0095120D" w14:paraId="580C12B3" w14:textId="77777777">
            <w:pPr>
              <w:jc w:val="center"/>
              <w:rPr>
                <w:b/>
                <w:bCs/>
                <w:color w:val="000000"/>
                <w:sz w:val="18"/>
                <w:szCs w:val="18"/>
              </w:rPr>
            </w:pPr>
            <w:r w:rsidRPr="00933F40">
              <w:rPr>
                <w:b/>
                <w:bCs/>
                <w:color w:val="000000"/>
                <w:sz w:val="18"/>
                <w:szCs w:val="18"/>
              </w:rPr>
              <w:t>Burden per Response (hours)</w:t>
            </w:r>
          </w:p>
        </w:tc>
        <w:tc>
          <w:tcPr>
            <w:tcW w:w="797" w:type="dxa"/>
            <w:tcBorders>
              <w:top w:val="nil"/>
              <w:left w:val="single" w:color="auto" w:sz="4" w:space="0"/>
              <w:bottom w:val="single" w:color="auto" w:sz="4" w:space="0"/>
              <w:right w:val="single" w:color="auto" w:sz="4" w:space="0"/>
            </w:tcBorders>
            <w:shd w:val="clear" w:color="auto" w:fill="auto"/>
            <w:vAlign w:val="center"/>
            <w:hideMark/>
          </w:tcPr>
          <w:p w:rsidRPr="00933F40" w:rsidR="0095120D" w:rsidRDefault="0095120D" w14:paraId="6236312C" w14:textId="77777777">
            <w:pPr>
              <w:jc w:val="center"/>
              <w:rPr>
                <w:b/>
                <w:bCs/>
                <w:color w:val="000000"/>
                <w:sz w:val="18"/>
                <w:szCs w:val="18"/>
              </w:rPr>
            </w:pPr>
            <w:r w:rsidRPr="00933F40">
              <w:rPr>
                <w:b/>
                <w:bCs/>
                <w:color w:val="000000"/>
                <w:sz w:val="18"/>
                <w:szCs w:val="18"/>
              </w:rPr>
              <w:t>Total Annual Burden (hours)</w:t>
            </w:r>
          </w:p>
        </w:tc>
        <w:tc>
          <w:tcPr>
            <w:tcW w:w="1197" w:type="dxa"/>
            <w:tcBorders>
              <w:top w:val="nil"/>
              <w:left w:val="single" w:color="auto" w:sz="4" w:space="0"/>
              <w:bottom w:val="single" w:color="auto" w:sz="4" w:space="0"/>
              <w:right w:val="single" w:color="auto" w:sz="4" w:space="0"/>
            </w:tcBorders>
            <w:shd w:val="clear" w:color="auto" w:fill="auto"/>
            <w:vAlign w:val="center"/>
            <w:hideMark/>
          </w:tcPr>
          <w:p w:rsidRPr="00933F40" w:rsidR="0095120D" w:rsidRDefault="0095120D" w14:paraId="54093E26" w14:textId="77777777">
            <w:pPr>
              <w:jc w:val="center"/>
              <w:rPr>
                <w:b/>
                <w:bCs/>
                <w:color w:val="000000"/>
                <w:sz w:val="18"/>
                <w:szCs w:val="18"/>
              </w:rPr>
            </w:pPr>
            <w:r w:rsidRPr="00933F40">
              <w:rPr>
                <w:b/>
                <w:bCs/>
                <w:color w:val="000000"/>
                <w:sz w:val="18"/>
                <w:szCs w:val="18"/>
              </w:rPr>
              <w:t>Respondents</w:t>
            </w:r>
          </w:p>
        </w:tc>
        <w:tc>
          <w:tcPr>
            <w:tcW w:w="797" w:type="dxa"/>
            <w:tcBorders>
              <w:top w:val="nil"/>
              <w:left w:val="single" w:color="auto" w:sz="4" w:space="0"/>
              <w:bottom w:val="single" w:color="auto" w:sz="4" w:space="0"/>
              <w:right w:val="single" w:color="auto" w:sz="4" w:space="0"/>
            </w:tcBorders>
            <w:shd w:val="clear" w:color="auto" w:fill="auto"/>
            <w:vAlign w:val="center"/>
            <w:hideMark/>
          </w:tcPr>
          <w:p w:rsidRPr="00933F40" w:rsidR="0095120D" w:rsidRDefault="0095120D" w14:paraId="01A2177E" w14:textId="77777777">
            <w:pPr>
              <w:jc w:val="center"/>
              <w:rPr>
                <w:b/>
                <w:bCs/>
                <w:color w:val="000000"/>
                <w:sz w:val="18"/>
                <w:szCs w:val="18"/>
              </w:rPr>
            </w:pPr>
            <w:r w:rsidRPr="00933F40">
              <w:rPr>
                <w:b/>
                <w:bCs/>
                <w:color w:val="000000"/>
                <w:sz w:val="18"/>
                <w:szCs w:val="18"/>
              </w:rPr>
              <w:t>Total Annual Burden (hours)</w:t>
            </w:r>
          </w:p>
        </w:tc>
        <w:tc>
          <w:tcPr>
            <w:tcW w:w="1016" w:type="dxa"/>
            <w:tcBorders>
              <w:top w:val="single" w:color="auto" w:sz="4" w:space="0"/>
              <w:left w:val="nil"/>
              <w:bottom w:val="single" w:color="auto" w:sz="4" w:space="0"/>
              <w:right w:val="single" w:color="auto" w:sz="4" w:space="0"/>
            </w:tcBorders>
            <w:shd w:val="clear" w:color="auto" w:fill="auto"/>
            <w:vAlign w:val="center"/>
            <w:hideMark/>
          </w:tcPr>
          <w:p w:rsidRPr="00933F40" w:rsidR="0095120D" w:rsidP="00B57EAA" w:rsidRDefault="0095120D" w14:paraId="426BEE87" w14:textId="77777777">
            <w:pPr>
              <w:jc w:val="center"/>
              <w:rPr>
                <w:b/>
                <w:bCs/>
                <w:color w:val="000000"/>
                <w:sz w:val="18"/>
                <w:szCs w:val="18"/>
              </w:rPr>
            </w:pPr>
            <w:r w:rsidRPr="00933F40">
              <w:rPr>
                <w:b/>
                <w:bCs/>
                <w:color w:val="000000"/>
                <w:sz w:val="18"/>
                <w:szCs w:val="18"/>
              </w:rPr>
              <w:t>Total Annual Burden (hours)</w:t>
            </w:r>
          </w:p>
        </w:tc>
      </w:tr>
      <w:tr w:rsidRPr="00933F40" w:rsidR="00F67B23" w:rsidTr="0095120D" w14:paraId="7FDE0416" w14:textId="77777777">
        <w:trPr>
          <w:trHeight w:val="920"/>
        </w:trPr>
        <w:tc>
          <w:tcPr>
            <w:tcW w:w="1146" w:type="dxa"/>
            <w:tcBorders>
              <w:top w:val="nil"/>
              <w:left w:val="single" w:color="auto" w:sz="4" w:space="0"/>
              <w:bottom w:val="single" w:color="auto" w:sz="4" w:space="0"/>
              <w:right w:val="single" w:color="auto" w:sz="4" w:space="0"/>
            </w:tcBorders>
            <w:shd w:val="clear" w:color="auto" w:fill="auto"/>
            <w:vAlign w:val="center"/>
            <w:hideMark/>
          </w:tcPr>
          <w:p w:rsidRPr="00933F40" w:rsidR="00F67B23" w:rsidRDefault="0051513D" w14:paraId="445FF71A" w14:textId="1CBA4EA2">
            <w:pPr>
              <w:rPr>
                <w:color w:val="000000"/>
                <w:sz w:val="18"/>
                <w:szCs w:val="18"/>
              </w:rPr>
            </w:pPr>
            <w:r>
              <w:rPr>
                <w:color w:val="000000"/>
                <w:sz w:val="18"/>
                <w:szCs w:val="18"/>
              </w:rPr>
              <w:t>MFP MOE Form</w:t>
            </w:r>
            <w:r w:rsidRPr="00933F40" w:rsidR="00F67B23">
              <w:rPr>
                <w:color w:val="000000"/>
                <w:sz w:val="18"/>
                <w:szCs w:val="18"/>
              </w:rPr>
              <w:t xml:space="preserve"> (annual)</w:t>
            </w:r>
          </w:p>
        </w:tc>
        <w:tc>
          <w:tcPr>
            <w:tcW w:w="1198" w:type="dxa"/>
            <w:tcBorders>
              <w:top w:val="nil"/>
              <w:left w:val="nil"/>
              <w:bottom w:val="single" w:color="auto" w:sz="4" w:space="0"/>
              <w:right w:val="single" w:color="auto" w:sz="4" w:space="0"/>
            </w:tcBorders>
            <w:shd w:val="clear" w:color="auto" w:fill="auto"/>
            <w:vAlign w:val="center"/>
            <w:hideMark/>
          </w:tcPr>
          <w:p w:rsidRPr="00933F40" w:rsidR="00F67B23" w:rsidRDefault="00F67B23" w14:paraId="30978467" w14:textId="77777777">
            <w:pPr>
              <w:jc w:val="center"/>
              <w:rPr>
                <w:color w:val="000000"/>
                <w:sz w:val="18"/>
                <w:szCs w:val="18"/>
              </w:rPr>
            </w:pPr>
            <w:r w:rsidRPr="00933F40">
              <w:rPr>
                <w:color w:val="000000"/>
                <w:sz w:val="18"/>
                <w:szCs w:val="18"/>
              </w:rPr>
              <w:t>44</w:t>
            </w:r>
          </w:p>
        </w:tc>
        <w:tc>
          <w:tcPr>
            <w:tcW w:w="1055" w:type="dxa"/>
            <w:tcBorders>
              <w:top w:val="nil"/>
              <w:left w:val="nil"/>
              <w:bottom w:val="single" w:color="auto" w:sz="4" w:space="0"/>
              <w:right w:val="single" w:color="auto" w:sz="4" w:space="0"/>
            </w:tcBorders>
            <w:shd w:val="clear" w:color="auto" w:fill="auto"/>
            <w:vAlign w:val="center"/>
            <w:hideMark/>
          </w:tcPr>
          <w:p w:rsidRPr="00933F40" w:rsidR="00F67B23" w:rsidRDefault="00F67B23" w14:paraId="3FBF22BC" w14:textId="77777777">
            <w:pPr>
              <w:jc w:val="center"/>
              <w:rPr>
                <w:color w:val="000000"/>
                <w:sz w:val="18"/>
                <w:szCs w:val="18"/>
              </w:rPr>
            </w:pPr>
            <w:r w:rsidRPr="00933F40">
              <w:rPr>
                <w:color w:val="000000"/>
                <w:sz w:val="18"/>
                <w:szCs w:val="18"/>
              </w:rPr>
              <w:t>44</w:t>
            </w:r>
          </w:p>
        </w:tc>
        <w:tc>
          <w:tcPr>
            <w:tcW w:w="1013" w:type="dxa"/>
            <w:tcBorders>
              <w:top w:val="single" w:color="auto" w:sz="4" w:space="0"/>
              <w:left w:val="nil"/>
              <w:bottom w:val="single" w:color="auto" w:sz="4" w:space="0"/>
              <w:right w:val="single" w:color="auto" w:sz="4" w:space="0"/>
            </w:tcBorders>
            <w:shd w:val="clear" w:color="auto" w:fill="auto"/>
            <w:vAlign w:val="center"/>
            <w:hideMark/>
          </w:tcPr>
          <w:p w:rsidRPr="00933F40" w:rsidR="00F67B23" w:rsidRDefault="00F67B23" w14:paraId="22A44C6F" w14:textId="77777777">
            <w:pPr>
              <w:jc w:val="center"/>
              <w:rPr>
                <w:color w:val="000000"/>
                <w:sz w:val="18"/>
                <w:szCs w:val="18"/>
              </w:rPr>
            </w:pPr>
            <w:r w:rsidRPr="00933F40">
              <w:rPr>
                <w:color w:val="000000"/>
                <w:sz w:val="18"/>
                <w:szCs w:val="18"/>
              </w:rPr>
              <w:t>32</w:t>
            </w:r>
          </w:p>
        </w:tc>
        <w:tc>
          <w:tcPr>
            <w:tcW w:w="797" w:type="dxa"/>
            <w:tcBorders>
              <w:top w:val="single" w:color="auto" w:sz="4" w:space="0"/>
              <w:left w:val="nil"/>
              <w:bottom w:val="single" w:color="auto" w:sz="4" w:space="0"/>
              <w:right w:val="single" w:color="auto" w:sz="4" w:space="0"/>
            </w:tcBorders>
            <w:shd w:val="clear" w:color="auto" w:fill="auto"/>
            <w:vAlign w:val="center"/>
            <w:hideMark/>
          </w:tcPr>
          <w:p w:rsidRPr="00933F40" w:rsidR="00F67B23" w:rsidRDefault="00F67B23" w14:paraId="1414F267" w14:textId="32675BF1">
            <w:pPr>
              <w:jc w:val="center"/>
              <w:rPr>
                <w:color w:val="000000"/>
                <w:sz w:val="18"/>
                <w:szCs w:val="18"/>
              </w:rPr>
            </w:pPr>
            <w:r w:rsidRPr="00933F40">
              <w:rPr>
                <w:color w:val="000000"/>
                <w:sz w:val="18"/>
                <w:szCs w:val="18"/>
              </w:rPr>
              <w:t>1</w:t>
            </w:r>
            <w:r w:rsidRPr="00933F40" w:rsidR="0095085C">
              <w:rPr>
                <w:color w:val="000000"/>
                <w:sz w:val="18"/>
                <w:szCs w:val="18"/>
              </w:rPr>
              <w:t>,</w:t>
            </w:r>
            <w:r w:rsidRPr="00933F40">
              <w:rPr>
                <w:color w:val="000000"/>
                <w:sz w:val="18"/>
                <w:szCs w:val="18"/>
              </w:rPr>
              <w:t>408</w:t>
            </w:r>
          </w:p>
        </w:tc>
        <w:tc>
          <w:tcPr>
            <w:tcW w:w="1197" w:type="dxa"/>
            <w:tcBorders>
              <w:top w:val="single" w:color="auto" w:sz="4" w:space="0"/>
              <w:left w:val="nil"/>
              <w:bottom w:val="single" w:color="auto" w:sz="4" w:space="0"/>
              <w:right w:val="single" w:color="auto" w:sz="4" w:space="0"/>
            </w:tcBorders>
            <w:shd w:val="clear" w:color="auto" w:fill="auto"/>
            <w:vAlign w:val="center"/>
            <w:hideMark/>
          </w:tcPr>
          <w:p w:rsidRPr="00933F40" w:rsidR="00F67B23" w:rsidRDefault="00F67B23" w14:paraId="02A4161D" w14:textId="77777777">
            <w:pPr>
              <w:jc w:val="center"/>
              <w:rPr>
                <w:color w:val="000000"/>
                <w:sz w:val="18"/>
                <w:szCs w:val="18"/>
              </w:rPr>
            </w:pPr>
            <w:r w:rsidRPr="00933F40">
              <w:rPr>
                <w:color w:val="000000"/>
                <w:sz w:val="18"/>
                <w:szCs w:val="18"/>
              </w:rPr>
              <w:t>42</w:t>
            </w:r>
          </w:p>
        </w:tc>
        <w:tc>
          <w:tcPr>
            <w:tcW w:w="797" w:type="dxa"/>
            <w:tcBorders>
              <w:top w:val="single" w:color="auto" w:sz="4" w:space="0"/>
              <w:left w:val="nil"/>
              <w:bottom w:val="single" w:color="auto" w:sz="4" w:space="0"/>
              <w:right w:val="single" w:color="auto" w:sz="4" w:space="0"/>
            </w:tcBorders>
            <w:shd w:val="clear" w:color="auto" w:fill="auto"/>
            <w:vAlign w:val="center"/>
            <w:hideMark/>
          </w:tcPr>
          <w:p w:rsidRPr="00933F40" w:rsidR="00F67B23" w:rsidRDefault="00F67B23" w14:paraId="6BF10EF4" w14:textId="77777777">
            <w:pPr>
              <w:jc w:val="center"/>
              <w:rPr>
                <w:color w:val="000000"/>
                <w:sz w:val="18"/>
                <w:szCs w:val="18"/>
              </w:rPr>
            </w:pPr>
            <w:r w:rsidRPr="00933F40">
              <w:rPr>
                <w:color w:val="000000"/>
                <w:sz w:val="18"/>
                <w:szCs w:val="18"/>
              </w:rPr>
              <w:t>336</w:t>
            </w:r>
          </w:p>
        </w:tc>
        <w:tc>
          <w:tcPr>
            <w:tcW w:w="1016" w:type="dxa"/>
            <w:tcBorders>
              <w:top w:val="single" w:color="auto" w:sz="4" w:space="0"/>
              <w:left w:val="nil"/>
              <w:bottom w:val="single" w:color="auto" w:sz="4" w:space="0"/>
              <w:right w:val="single" w:color="auto" w:sz="4" w:space="0"/>
            </w:tcBorders>
            <w:shd w:val="clear" w:color="auto" w:fill="auto"/>
            <w:vAlign w:val="center"/>
            <w:hideMark/>
          </w:tcPr>
          <w:p w:rsidRPr="00933F40" w:rsidR="00F67B23" w:rsidRDefault="00F67B23" w14:paraId="19D79E3B" w14:textId="423F0424">
            <w:pPr>
              <w:jc w:val="center"/>
              <w:rPr>
                <w:color w:val="000000"/>
                <w:sz w:val="18"/>
                <w:szCs w:val="18"/>
              </w:rPr>
            </w:pPr>
            <w:r w:rsidRPr="00933F40">
              <w:rPr>
                <w:color w:val="000000"/>
                <w:sz w:val="18"/>
                <w:szCs w:val="18"/>
              </w:rPr>
              <w:t>-1</w:t>
            </w:r>
            <w:r w:rsidRPr="00933F40" w:rsidR="0095085C">
              <w:rPr>
                <w:color w:val="000000"/>
                <w:sz w:val="18"/>
                <w:szCs w:val="18"/>
              </w:rPr>
              <w:t>,</w:t>
            </w:r>
            <w:r w:rsidRPr="00933F40">
              <w:rPr>
                <w:color w:val="000000"/>
                <w:sz w:val="18"/>
                <w:szCs w:val="18"/>
              </w:rPr>
              <w:t>072</w:t>
            </w:r>
          </w:p>
        </w:tc>
      </w:tr>
      <w:tr w:rsidRPr="00933F40" w:rsidR="00F67B23" w:rsidTr="0095120D" w14:paraId="075C8C87" w14:textId="77777777">
        <w:trPr>
          <w:trHeight w:val="690"/>
        </w:trPr>
        <w:tc>
          <w:tcPr>
            <w:tcW w:w="1146" w:type="dxa"/>
            <w:tcBorders>
              <w:top w:val="nil"/>
              <w:left w:val="single" w:color="auto" w:sz="4" w:space="0"/>
              <w:bottom w:val="single" w:color="auto" w:sz="4" w:space="0"/>
              <w:right w:val="single" w:color="auto" w:sz="4" w:space="0"/>
            </w:tcBorders>
            <w:shd w:val="clear" w:color="auto" w:fill="auto"/>
            <w:vAlign w:val="center"/>
            <w:hideMark/>
          </w:tcPr>
          <w:p w:rsidRPr="00933F40" w:rsidR="00F67B23" w:rsidRDefault="00F67B23" w14:paraId="034FCB37" w14:textId="2D63FCAC">
            <w:pPr>
              <w:rPr>
                <w:color w:val="000000"/>
                <w:sz w:val="18"/>
                <w:szCs w:val="18"/>
              </w:rPr>
            </w:pPr>
            <w:r w:rsidRPr="00933F40">
              <w:rPr>
                <w:color w:val="000000"/>
                <w:sz w:val="18"/>
                <w:szCs w:val="18"/>
              </w:rPr>
              <w:t>MFP</w:t>
            </w:r>
            <w:r w:rsidR="0051513D">
              <w:rPr>
                <w:color w:val="000000"/>
                <w:sz w:val="18"/>
                <w:szCs w:val="18"/>
              </w:rPr>
              <w:t xml:space="preserve"> </w:t>
            </w:r>
            <w:r w:rsidRPr="00933F40">
              <w:rPr>
                <w:color w:val="000000"/>
                <w:sz w:val="18"/>
                <w:szCs w:val="18"/>
              </w:rPr>
              <w:t>BudgetWorkbook</w:t>
            </w:r>
            <w:r w:rsidR="0051513D">
              <w:rPr>
                <w:color w:val="000000"/>
                <w:sz w:val="18"/>
                <w:szCs w:val="18"/>
              </w:rPr>
              <w:t xml:space="preserve"> (annual)</w:t>
            </w:r>
          </w:p>
        </w:tc>
        <w:tc>
          <w:tcPr>
            <w:tcW w:w="1198" w:type="dxa"/>
            <w:tcBorders>
              <w:top w:val="nil"/>
              <w:left w:val="nil"/>
              <w:bottom w:val="single" w:color="auto" w:sz="4" w:space="0"/>
              <w:right w:val="single" w:color="auto" w:sz="4" w:space="0"/>
            </w:tcBorders>
            <w:shd w:val="clear" w:color="auto" w:fill="auto"/>
            <w:vAlign w:val="center"/>
            <w:hideMark/>
          </w:tcPr>
          <w:p w:rsidRPr="00933F40" w:rsidR="00F67B23" w:rsidRDefault="00F67B23" w14:paraId="27339CFA" w14:textId="77777777">
            <w:pPr>
              <w:jc w:val="center"/>
              <w:rPr>
                <w:color w:val="000000"/>
                <w:sz w:val="18"/>
                <w:szCs w:val="18"/>
              </w:rPr>
            </w:pPr>
            <w:r w:rsidRPr="00933F40">
              <w:rPr>
                <w:color w:val="000000"/>
                <w:sz w:val="18"/>
                <w:szCs w:val="18"/>
              </w:rPr>
              <w:t>44</w:t>
            </w:r>
          </w:p>
        </w:tc>
        <w:tc>
          <w:tcPr>
            <w:tcW w:w="1055" w:type="dxa"/>
            <w:tcBorders>
              <w:top w:val="nil"/>
              <w:left w:val="nil"/>
              <w:bottom w:val="single" w:color="auto" w:sz="4" w:space="0"/>
              <w:right w:val="single" w:color="auto" w:sz="4" w:space="0"/>
            </w:tcBorders>
            <w:shd w:val="clear" w:color="auto" w:fill="auto"/>
            <w:vAlign w:val="center"/>
            <w:hideMark/>
          </w:tcPr>
          <w:p w:rsidRPr="00933F40" w:rsidR="00F67B23" w:rsidRDefault="00F67B23" w14:paraId="0219EBCF" w14:textId="77777777">
            <w:pPr>
              <w:jc w:val="center"/>
              <w:rPr>
                <w:color w:val="000000"/>
                <w:sz w:val="18"/>
                <w:szCs w:val="18"/>
              </w:rPr>
            </w:pPr>
            <w:r w:rsidRPr="00933F40">
              <w:rPr>
                <w:color w:val="000000"/>
                <w:sz w:val="18"/>
                <w:szCs w:val="18"/>
              </w:rPr>
              <w:t>44</w:t>
            </w:r>
          </w:p>
        </w:tc>
        <w:tc>
          <w:tcPr>
            <w:tcW w:w="1013" w:type="dxa"/>
            <w:tcBorders>
              <w:top w:val="nil"/>
              <w:left w:val="nil"/>
              <w:bottom w:val="single" w:color="auto" w:sz="4" w:space="0"/>
              <w:right w:val="single" w:color="auto" w:sz="4" w:space="0"/>
            </w:tcBorders>
            <w:shd w:val="clear" w:color="auto" w:fill="auto"/>
            <w:vAlign w:val="center"/>
            <w:hideMark/>
          </w:tcPr>
          <w:p w:rsidRPr="00933F40" w:rsidR="00F67B23" w:rsidRDefault="00F67B23" w14:paraId="3778052B" w14:textId="77777777">
            <w:pPr>
              <w:jc w:val="center"/>
              <w:rPr>
                <w:color w:val="000000"/>
                <w:sz w:val="18"/>
                <w:szCs w:val="18"/>
              </w:rPr>
            </w:pPr>
            <w:r w:rsidRPr="00933F40">
              <w:rPr>
                <w:color w:val="000000"/>
                <w:sz w:val="18"/>
                <w:szCs w:val="18"/>
              </w:rPr>
              <w:t>*</w:t>
            </w:r>
          </w:p>
        </w:tc>
        <w:tc>
          <w:tcPr>
            <w:tcW w:w="797" w:type="dxa"/>
            <w:tcBorders>
              <w:top w:val="nil"/>
              <w:left w:val="nil"/>
              <w:bottom w:val="single" w:color="auto" w:sz="4" w:space="0"/>
              <w:right w:val="single" w:color="auto" w:sz="4" w:space="0"/>
            </w:tcBorders>
            <w:shd w:val="clear" w:color="auto" w:fill="auto"/>
            <w:vAlign w:val="center"/>
            <w:hideMark/>
          </w:tcPr>
          <w:p w:rsidRPr="00933F40" w:rsidR="00F67B23" w:rsidRDefault="00F67B23" w14:paraId="126B1978" w14:textId="77777777">
            <w:pPr>
              <w:jc w:val="center"/>
              <w:rPr>
                <w:color w:val="000000"/>
                <w:sz w:val="18"/>
                <w:szCs w:val="18"/>
              </w:rPr>
            </w:pPr>
            <w:r w:rsidRPr="00933F40">
              <w:rPr>
                <w:color w:val="000000"/>
                <w:sz w:val="18"/>
                <w:szCs w:val="18"/>
              </w:rPr>
              <w:t>*</w:t>
            </w:r>
          </w:p>
        </w:tc>
        <w:tc>
          <w:tcPr>
            <w:tcW w:w="1197" w:type="dxa"/>
            <w:tcBorders>
              <w:top w:val="nil"/>
              <w:left w:val="nil"/>
              <w:bottom w:val="single" w:color="auto" w:sz="4" w:space="0"/>
              <w:right w:val="single" w:color="auto" w:sz="4" w:space="0"/>
            </w:tcBorders>
            <w:shd w:val="clear" w:color="auto" w:fill="auto"/>
            <w:vAlign w:val="center"/>
            <w:hideMark/>
          </w:tcPr>
          <w:p w:rsidRPr="00933F40" w:rsidR="00F67B23" w:rsidRDefault="00F67B23" w14:paraId="31BCC8B7" w14:textId="77777777">
            <w:pPr>
              <w:jc w:val="center"/>
              <w:rPr>
                <w:color w:val="000000"/>
                <w:sz w:val="18"/>
                <w:szCs w:val="18"/>
              </w:rPr>
            </w:pPr>
            <w:r w:rsidRPr="00933F40">
              <w:rPr>
                <w:color w:val="000000"/>
                <w:sz w:val="18"/>
                <w:szCs w:val="18"/>
              </w:rPr>
              <w:t>42</w:t>
            </w:r>
          </w:p>
        </w:tc>
        <w:tc>
          <w:tcPr>
            <w:tcW w:w="797" w:type="dxa"/>
            <w:tcBorders>
              <w:top w:val="nil"/>
              <w:left w:val="nil"/>
              <w:bottom w:val="single" w:color="auto" w:sz="4" w:space="0"/>
              <w:right w:val="single" w:color="auto" w:sz="4" w:space="0"/>
            </w:tcBorders>
            <w:shd w:val="clear" w:color="auto" w:fill="auto"/>
            <w:vAlign w:val="center"/>
            <w:hideMark/>
          </w:tcPr>
          <w:p w:rsidRPr="00933F40" w:rsidR="00F67B23" w:rsidRDefault="00F67B23" w14:paraId="326CF032" w14:textId="6FE11578">
            <w:pPr>
              <w:jc w:val="center"/>
              <w:rPr>
                <w:color w:val="000000"/>
                <w:sz w:val="18"/>
                <w:szCs w:val="18"/>
              </w:rPr>
            </w:pPr>
            <w:r w:rsidRPr="00933F40">
              <w:rPr>
                <w:color w:val="000000"/>
                <w:sz w:val="18"/>
                <w:szCs w:val="18"/>
              </w:rPr>
              <w:t>1</w:t>
            </w:r>
            <w:r w:rsidRPr="00933F40" w:rsidR="0095085C">
              <w:rPr>
                <w:color w:val="000000"/>
                <w:sz w:val="18"/>
                <w:szCs w:val="18"/>
              </w:rPr>
              <w:t>,</w:t>
            </w:r>
            <w:r w:rsidRPr="00933F40">
              <w:rPr>
                <w:color w:val="000000"/>
                <w:sz w:val="18"/>
                <w:szCs w:val="18"/>
              </w:rPr>
              <w:t>008</w:t>
            </w:r>
          </w:p>
        </w:tc>
        <w:tc>
          <w:tcPr>
            <w:tcW w:w="1016" w:type="dxa"/>
            <w:tcBorders>
              <w:top w:val="nil"/>
              <w:left w:val="nil"/>
              <w:bottom w:val="single" w:color="auto" w:sz="4" w:space="0"/>
              <w:right w:val="single" w:color="auto" w:sz="4" w:space="0"/>
            </w:tcBorders>
            <w:shd w:val="clear" w:color="auto" w:fill="auto"/>
            <w:vAlign w:val="center"/>
            <w:hideMark/>
          </w:tcPr>
          <w:p w:rsidRPr="00933F40" w:rsidR="00F67B23" w:rsidRDefault="00301679" w14:paraId="18476E3B" w14:textId="508D157F">
            <w:pPr>
              <w:jc w:val="center"/>
              <w:rPr>
                <w:color w:val="000000"/>
                <w:sz w:val="18"/>
                <w:szCs w:val="18"/>
              </w:rPr>
            </w:pPr>
            <w:r>
              <w:rPr>
                <w:color w:val="000000"/>
                <w:sz w:val="18"/>
                <w:szCs w:val="18"/>
              </w:rPr>
              <w:t>+1,008</w:t>
            </w:r>
          </w:p>
        </w:tc>
      </w:tr>
      <w:tr w:rsidRPr="00933F40" w:rsidR="00F67B23" w:rsidTr="0095120D" w14:paraId="0FED1AE0" w14:textId="77777777">
        <w:trPr>
          <w:trHeight w:val="920"/>
        </w:trPr>
        <w:tc>
          <w:tcPr>
            <w:tcW w:w="1146" w:type="dxa"/>
            <w:tcBorders>
              <w:top w:val="nil"/>
              <w:left w:val="single" w:color="auto" w:sz="4" w:space="0"/>
              <w:bottom w:val="single" w:color="auto" w:sz="4" w:space="0"/>
              <w:right w:val="single" w:color="auto" w:sz="4" w:space="0"/>
            </w:tcBorders>
            <w:shd w:val="clear" w:color="auto" w:fill="auto"/>
            <w:vAlign w:val="center"/>
            <w:hideMark/>
          </w:tcPr>
          <w:p w:rsidRPr="00933F40" w:rsidR="00F67B23" w:rsidRDefault="0051513D" w14:paraId="0487C846" w14:textId="29018545">
            <w:pPr>
              <w:rPr>
                <w:color w:val="000000"/>
                <w:sz w:val="18"/>
                <w:szCs w:val="18"/>
              </w:rPr>
            </w:pPr>
            <w:r w:rsidRPr="0051513D">
              <w:rPr>
                <w:color w:val="000000"/>
                <w:sz w:val="18"/>
                <w:szCs w:val="18"/>
              </w:rPr>
              <w:t>MFP</w:t>
            </w:r>
            <w:r>
              <w:rPr>
                <w:color w:val="000000"/>
                <w:sz w:val="18"/>
                <w:szCs w:val="18"/>
              </w:rPr>
              <w:t xml:space="preserve"> </w:t>
            </w:r>
            <w:r w:rsidRPr="0051513D">
              <w:rPr>
                <w:color w:val="000000"/>
                <w:sz w:val="18"/>
                <w:szCs w:val="18"/>
              </w:rPr>
              <w:t>Financial</w:t>
            </w:r>
            <w:r>
              <w:rPr>
                <w:color w:val="000000"/>
                <w:sz w:val="18"/>
                <w:szCs w:val="18"/>
              </w:rPr>
              <w:t xml:space="preserve"> </w:t>
            </w:r>
            <w:r w:rsidRPr="0051513D">
              <w:rPr>
                <w:color w:val="000000"/>
                <w:sz w:val="18"/>
                <w:szCs w:val="18"/>
              </w:rPr>
              <w:t>Reporting</w:t>
            </w:r>
            <w:r>
              <w:rPr>
                <w:color w:val="000000"/>
                <w:sz w:val="18"/>
                <w:szCs w:val="18"/>
              </w:rPr>
              <w:t xml:space="preserve"> </w:t>
            </w:r>
            <w:r w:rsidRPr="0051513D">
              <w:rPr>
                <w:color w:val="000000"/>
                <w:sz w:val="18"/>
                <w:szCs w:val="18"/>
              </w:rPr>
              <w:t>FormsABCD</w:t>
            </w:r>
            <w:r>
              <w:rPr>
                <w:color w:val="000000"/>
                <w:sz w:val="18"/>
                <w:szCs w:val="18"/>
              </w:rPr>
              <w:t xml:space="preserve"> (quarterly)</w:t>
            </w:r>
          </w:p>
        </w:tc>
        <w:tc>
          <w:tcPr>
            <w:tcW w:w="1198" w:type="dxa"/>
            <w:tcBorders>
              <w:top w:val="nil"/>
              <w:left w:val="nil"/>
              <w:bottom w:val="single" w:color="auto" w:sz="4" w:space="0"/>
              <w:right w:val="single" w:color="auto" w:sz="4" w:space="0"/>
            </w:tcBorders>
            <w:shd w:val="clear" w:color="auto" w:fill="auto"/>
            <w:vAlign w:val="center"/>
            <w:hideMark/>
          </w:tcPr>
          <w:p w:rsidRPr="00933F40" w:rsidR="00F67B23" w:rsidRDefault="00F67B23" w14:paraId="681AE5DE" w14:textId="77777777">
            <w:pPr>
              <w:jc w:val="center"/>
              <w:rPr>
                <w:color w:val="000000"/>
                <w:sz w:val="18"/>
                <w:szCs w:val="18"/>
              </w:rPr>
            </w:pPr>
            <w:r w:rsidRPr="00933F40">
              <w:rPr>
                <w:color w:val="000000"/>
                <w:sz w:val="18"/>
                <w:szCs w:val="18"/>
              </w:rPr>
              <w:t>44</w:t>
            </w:r>
          </w:p>
        </w:tc>
        <w:tc>
          <w:tcPr>
            <w:tcW w:w="1055" w:type="dxa"/>
            <w:tcBorders>
              <w:top w:val="nil"/>
              <w:left w:val="nil"/>
              <w:bottom w:val="single" w:color="auto" w:sz="4" w:space="0"/>
              <w:right w:val="single" w:color="auto" w:sz="4" w:space="0"/>
            </w:tcBorders>
            <w:shd w:val="clear" w:color="auto" w:fill="auto"/>
            <w:vAlign w:val="center"/>
            <w:hideMark/>
          </w:tcPr>
          <w:p w:rsidRPr="00933F40" w:rsidR="00F67B23" w:rsidRDefault="00F67B23" w14:paraId="6AF15794" w14:textId="77777777">
            <w:pPr>
              <w:jc w:val="center"/>
              <w:rPr>
                <w:color w:val="000000"/>
                <w:sz w:val="18"/>
                <w:szCs w:val="18"/>
              </w:rPr>
            </w:pPr>
            <w:r w:rsidRPr="00933F40">
              <w:rPr>
                <w:color w:val="000000"/>
                <w:sz w:val="18"/>
                <w:szCs w:val="18"/>
              </w:rPr>
              <w:t>176</w:t>
            </w:r>
          </w:p>
        </w:tc>
        <w:tc>
          <w:tcPr>
            <w:tcW w:w="1013" w:type="dxa"/>
            <w:tcBorders>
              <w:top w:val="nil"/>
              <w:left w:val="nil"/>
              <w:bottom w:val="single" w:color="auto" w:sz="4" w:space="0"/>
              <w:right w:val="single" w:color="auto" w:sz="4" w:space="0"/>
            </w:tcBorders>
            <w:shd w:val="clear" w:color="auto" w:fill="auto"/>
            <w:vAlign w:val="center"/>
            <w:hideMark/>
          </w:tcPr>
          <w:p w:rsidRPr="00933F40" w:rsidR="00F67B23" w:rsidRDefault="00F67B23" w14:paraId="47B9B21D" w14:textId="77777777">
            <w:pPr>
              <w:jc w:val="center"/>
              <w:rPr>
                <w:color w:val="000000"/>
                <w:sz w:val="18"/>
                <w:szCs w:val="18"/>
              </w:rPr>
            </w:pPr>
            <w:r w:rsidRPr="00933F40">
              <w:rPr>
                <w:color w:val="000000"/>
                <w:sz w:val="18"/>
                <w:szCs w:val="18"/>
              </w:rPr>
              <w:t>6</w:t>
            </w:r>
          </w:p>
        </w:tc>
        <w:tc>
          <w:tcPr>
            <w:tcW w:w="797" w:type="dxa"/>
            <w:tcBorders>
              <w:top w:val="nil"/>
              <w:left w:val="nil"/>
              <w:bottom w:val="single" w:color="auto" w:sz="4" w:space="0"/>
              <w:right w:val="single" w:color="auto" w:sz="4" w:space="0"/>
            </w:tcBorders>
            <w:shd w:val="clear" w:color="auto" w:fill="auto"/>
            <w:vAlign w:val="center"/>
            <w:hideMark/>
          </w:tcPr>
          <w:p w:rsidRPr="00933F40" w:rsidR="00F67B23" w:rsidRDefault="00F67B23" w14:paraId="39F2EB5C" w14:textId="3A627877">
            <w:pPr>
              <w:jc w:val="center"/>
              <w:rPr>
                <w:color w:val="000000"/>
                <w:sz w:val="18"/>
                <w:szCs w:val="18"/>
              </w:rPr>
            </w:pPr>
            <w:r w:rsidRPr="00933F40">
              <w:rPr>
                <w:color w:val="000000"/>
                <w:sz w:val="18"/>
                <w:szCs w:val="18"/>
              </w:rPr>
              <w:t>1</w:t>
            </w:r>
            <w:r w:rsidRPr="00933F40" w:rsidR="0095085C">
              <w:rPr>
                <w:color w:val="000000"/>
                <w:sz w:val="18"/>
                <w:szCs w:val="18"/>
              </w:rPr>
              <w:t>,</w:t>
            </w:r>
            <w:r w:rsidRPr="00933F40">
              <w:rPr>
                <w:color w:val="000000"/>
                <w:sz w:val="18"/>
                <w:szCs w:val="18"/>
              </w:rPr>
              <w:t>056</w:t>
            </w:r>
          </w:p>
        </w:tc>
        <w:tc>
          <w:tcPr>
            <w:tcW w:w="1197" w:type="dxa"/>
            <w:tcBorders>
              <w:top w:val="nil"/>
              <w:left w:val="nil"/>
              <w:bottom w:val="single" w:color="auto" w:sz="4" w:space="0"/>
              <w:right w:val="single" w:color="auto" w:sz="4" w:space="0"/>
            </w:tcBorders>
            <w:shd w:val="clear" w:color="auto" w:fill="auto"/>
            <w:vAlign w:val="center"/>
            <w:hideMark/>
          </w:tcPr>
          <w:p w:rsidRPr="00933F40" w:rsidR="00F67B23" w:rsidRDefault="00F67B23" w14:paraId="373C06AF" w14:textId="77777777">
            <w:pPr>
              <w:jc w:val="center"/>
              <w:rPr>
                <w:color w:val="000000"/>
                <w:sz w:val="18"/>
                <w:szCs w:val="18"/>
              </w:rPr>
            </w:pPr>
            <w:r w:rsidRPr="00933F40">
              <w:rPr>
                <w:color w:val="000000"/>
                <w:sz w:val="18"/>
                <w:szCs w:val="18"/>
              </w:rPr>
              <w:t>42</w:t>
            </w:r>
          </w:p>
        </w:tc>
        <w:tc>
          <w:tcPr>
            <w:tcW w:w="797" w:type="dxa"/>
            <w:tcBorders>
              <w:top w:val="nil"/>
              <w:left w:val="nil"/>
              <w:bottom w:val="single" w:color="auto" w:sz="4" w:space="0"/>
              <w:right w:val="single" w:color="auto" w:sz="4" w:space="0"/>
            </w:tcBorders>
            <w:shd w:val="clear" w:color="auto" w:fill="auto"/>
            <w:vAlign w:val="center"/>
            <w:hideMark/>
          </w:tcPr>
          <w:p w:rsidRPr="00933F40" w:rsidR="00F67B23" w:rsidRDefault="00F67B23" w14:paraId="14D92E62" w14:textId="6EB4433F">
            <w:pPr>
              <w:jc w:val="center"/>
              <w:rPr>
                <w:color w:val="000000"/>
                <w:sz w:val="18"/>
                <w:szCs w:val="18"/>
              </w:rPr>
            </w:pPr>
            <w:r w:rsidRPr="00933F40">
              <w:rPr>
                <w:color w:val="000000"/>
                <w:sz w:val="18"/>
                <w:szCs w:val="18"/>
              </w:rPr>
              <w:t>1</w:t>
            </w:r>
            <w:r w:rsidRPr="00933F40" w:rsidR="0095085C">
              <w:rPr>
                <w:color w:val="000000"/>
                <w:sz w:val="18"/>
                <w:szCs w:val="18"/>
              </w:rPr>
              <w:t>,</w:t>
            </w:r>
            <w:r w:rsidRPr="00933F40">
              <w:rPr>
                <w:color w:val="000000"/>
                <w:sz w:val="18"/>
                <w:szCs w:val="18"/>
              </w:rPr>
              <w:t>008</w:t>
            </w:r>
          </w:p>
        </w:tc>
        <w:tc>
          <w:tcPr>
            <w:tcW w:w="1016" w:type="dxa"/>
            <w:tcBorders>
              <w:top w:val="nil"/>
              <w:left w:val="nil"/>
              <w:bottom w:val="single" w:color="auto" w:sz="4" w:space="0"/>
              <w:right w:val="single" w:color="auto" w:sz="4" w:space="0"/>
            </w:tcBorders>
            <w:shd w:val="clear" w:color="auto" w:fill="auto"/>
            <w:vAlign w:val="center"/>
            <w:hideMark/>
          </w:tcPr>
          <w:p w:rsidRPr="00933F40" w:rsidR="00F67B23" w:rsidRDefault="00F67B23" w14:paraId="6AD53207" w14:textId="77777777">
            <w:pPr>
              <w:jc w:val="center"/>
              <w:rPr>
                <w:color w:val="000000"/>
                <w:sz w:val="18"/>
                <w:szCs w:val="18"/>
              </w:rPr>
            </w:pPr>
            <w:r w:rsidRPr="00933F40">
              <w:rPr>
                <w:color w:val="000000"/>
                <w:sz w:val="18"/>
                <w:szCs w:val="18"/>
              </w:rPr>
              <w:t>-48</w:t>
            </w:r>
          </w:p>
        </w:tc>
      </w:tr>
      <w:tr w:rsidRPr="00933F40" w:rsidR="00F67B23" w:rsidTr="0095120D" w14:paraId="3AE03CE2" w14:textId="77777777">
        <w:trPr>
          <w:trHeight w:val="920"/>
        </w:trPr>
        <w:tc>
          <w:tcPr>
            <w:tcW w:w="1146" w:type="dxa"/>
            <w:tcBorders>
              <w:top w:val="nil"/>
              <w:left w:val="single" w:color="auto" w:sz="4" w:space="0"/>
              <w:bottom w:val="single" w:color="auto" w:sz="4" w:space="0"/>
              <w:right w:val="single" w:color="auto" w:sz="4" w:space="0"/>
            </w:tcBorders>
            <w:shd w:val="clear" w:color="auto" w:fill="auto"/>
            <w:vAlign w:val="center"/>
            <w:hideMark/>
          </w:tcPr>
          <w:p w:rsidRPr="00933F40" w:rsidR="00F67B23" w:rsidRDefault="00F67B23" w14:paraId="162CBF3F" w14:textId="1484B5CF">
            <w:pPr>
              <w:rPr>
                <w:color w:val="000000"/>
                <w:sz w:val="18"/>
                <w:szCs w:val="18"/>
              </w:rPr>
            </w:pPr>
            <w:r w:rsidRPr="00933F40">
              <w:rPr>
                <w:color w:val="000000"/>
                <w:sz w:val="18"/>
                <w:szCs w:val="18"/>
              </w:rPr>
              <w:t>MFP Semi-Annual Report</w:t>
            </w:r>
          </w:p>
        </w:tc>
        <w:tc>
          <w:tcPr>
            <w:tcW w:w="1198" w:type="dxa"/>
            <w:tcBorders>
              <w:top w:val="nil"/>
              <w:left w:val="nil"/>
              <w:bottom w:val="single" w:color="auto" w:sz="4" w:space="0"/>
              <w:right w:val="single" w:color="auto" w:sz="4" w:space="0"/>
            </w:tcBorders>
            <w:shd w:val="clear" w:color="auto" w:fill="auto"/>
            <w:vAlign w:val="center"/>
            <w:hideMark/>
          </w:tcPr>
          <w:p w:rsidRPr="00933F40" w:rsidR="00F67B23" w:rsidRDefault="00F67B23" w14:paraId="4DB18C62" w14:textId="77777777">
            <w:pPr>
              <w:jc w:val="center"/>
              <w:rPr>
                <w:color w:val="000000"/>
                <w:sz w:val="18"/>
                <w:szCs w:val="18"/>
              </w:rPr>
            </w:pPr>
            <w:r w:rsidRPr="00933F40">
              <w:rPr>
                <w:color w:val="000000"/>
                <w:sz w:val="18"/>
                <w:szCs w:val="18"/>
              </w:rPr>
              <w:t>44</w:t>
            </w:r>
          </w:p>
        </w:tc>
        <w:tc>
          <w:tcPr>
            <w:tcW w:w="1055" w:type="dxa"/>
            <w:tcBorders>
              <w:top w:val="nil"/>
              <w:left w:val="nil"/>
              <w:bottom w:val="single" w:color="auto" w:sz="4" w:space="0"/>
              <w:right w:val="single" w:color="auto" w:sz="4" w:space="0"/>
            </w:tcBorders>
            <w:shd w:val="clear" w:color="auto" w:fill="auto"/>
            <w:vAlign w:val="center"/>
            <w:hideMark/>
          </w:tcPr>
          <w:p w:rsidRPr="00933F40" w:rsidR="00F67B23" w:rsidRDefault="00F67B23" w14:paraId="2F6363CB" w14:textId="77777777">
            <w:pPr>
              <w:jc w:val="center"/>
              <w:rPr>
                <w:color w:val="000000"/>
                <w:sz w:val="18"/>
                <w:szCs w:val="18"/>
              </w:rPr>
            </w:pPr>
            <w:r w:rsidRPr="00933F40">
              <w:rPr>
                <w:color w:val="000000"/>
                <w:sz w:val="18"/>
                <w:szCs w:val="18"/>
              </w:rPr>
              <w:t>88</w:t>
            </w:r>
          </w:p>
        </w:tc>
        <w:tc>
          <w:tcPr>
            <w:tcW w:w="1013" w:type="dxa"/>
            <w:tcBorders>
              <w:top w:val="nil"/>
              <w:left w:val="nil"/>
              <w:bottom w:val="single" w:color="auto" w:sz="4" w:space="0"/>
              <w:right w:val="single" w:color="auto" w:sz="4" w:space="0"/>
            </w:tcBorders>
            <w:shd w:val="clear" w:color="auto" w:fill="auto"/>
            <w:vAlign w:val="center"/>
            <w:hideMark/>
          </w:tcPr>
          <w:p w:rsidRPr="00933F40" w:rsidR="00F67B23" w:rsidRDefault="00F67B23" w14:paraId="12F83492" w14:textId="77777777">
            <w:pPr>
              <w:jc w:val="center"/>
              <w:rPr>
                <w:color w:val="000000"/>
                <w:sz w:val="18"/>
                <w:szCs w:val="18"/>
              </w:rPr>
            </w:pPr>
            <w:r w:rsidRPr="00933F40">
              <w:rPr>
                <w:color w:val="000000"/>
                <w:sz w:val="18"/>
                <w:szCs w:val="18"/>
              </w:rPr>
              <w:t>3</w:t>
            </w:r>
          </w:p>
        </w:tc>
        <w:tc>
          <w:tcPr>
            <w:tcW w:w="797" w:type="dxa"/>
            <w:tcBorders>
              <w:top w:val="nil"/>
              <w:left w:val="nil"/>
              <w:bottom w:val="single" w:color="auto" w:sz="4" w:space="0"/>
              <w:right w:val="single" w:color="auto" w:sz="4" w:space="0"/>
            </w:tcBorders>
            <w:shd w:val="clear" w:color="auto" w:fill="auto"/>
            <w:vAlign w:val="center"/>
            <w:hideMark/>
          </w:tcPr>
          <w:p w:rsidRPr="00933F40" w:rsidR="00F67B23" w:rsidRDefault="00F67B23" w14:paraId="57058600" w14:textId="77777777">
            <w:pPr>
              <w:jc w:val="center"/>
              <w:rPr>
                <w:color w:val="000000"/>
                <w:sz w:val="18"/>
                <w:szCs w:val="18"/>
              </w:rPr>
            </w:pPr>
            <w:r w:rsidRPr="00933F40">
              <w:rPr>
                <w:iCs/>
                <w:color w:val="000000"/>
                <w:sz w:val="18"/>
                <w:szCs w:val="18"/>
              </w:rPr>
              <w:t>704</w:t>
            </w:r>
          </w:p>
        </w:tc>
        <w:tc>
          <w:tcPr>
            <w:tcW w:w="1197" w:type="dxa"/>
            <w:tcBorders>
              <w:top w:val="nil"/>
              <w:left w:val="nil"/>
              <w:bottom w:val="single" w:color="auto" w:sz="4" w:space="0"/>
              <w:right w:val="single" w:color="auto" w:sz="4" w:space="0"/>
            </w:tcBorders>
            <w:shd w:val="clear" w:color="auto" w:fill="auto"/>
            <w:vAlign w:val="center"/>
            <w:hideMark/>
          </w:tcPr>
          <w:p w:rsidRPr="00933F40" w:rsidR="00F67B23" w:rsidRDefault="00F67B23" w14:paraId="09F29A5A" w14:textId="77777777">
            <w:pPr>
              <w:jc w:val="center"/>
              <w:rPr>
                <w:color w:val="000000"/>
                <w:sz w:val="18"/>
                <w:szCs w:val="18"/>
              </w:rPr>
            </w:pPr>
            <w:r w:rsidRPr="00933F40">
              <w:rPr>
                <w:color w:val="000000"/>
                <w:sz w:val="18"/>
                <w:szCs w:val="18"/>
              </w:rPr>
              <w:t>42</w:t>
            </w:r>
          </w:p>
        </w:tc>
        <w:tc>
          <w:tcPr>
            <w:tcW w:w="797" w:type="dxa"/>
            <w:tcBorders>
              <w:top w:val="nil"/>
              <w:left w:val="nil"/>
              <w:bottom w:val="single" w:color="auto" w:sz="4" w:space="0"/>
              <w:right w:val="single" w:color="auto" w:sz="4" w:space="0"/>
            </w:tcBorders>
            <w:shd w:val="clear" w:color="auto" w:fill="auto"/>
            <w:vAlign w:val="center"/>
            <w:hideMark/>
          </w:tcPr>
          <w:p w:rsidRPr="00933F40" w:rsidR="00F67B23" w:rsidRDefault="00F67B23" w14:paraId="3B1814D6" w14:textId="77777777">
            <w:pPr>
              <w:jc w:val="center"/>
              <w:rPr>
                <w:color w:val="000000"/>
                <w:sz w:val="18"/>
                <w:szCs w:val="18"/>
              </w:rPr>
            </w:pPr>
            <w:r w:rsidRPr="00933F40">
              <w:rPr>
                <w:color w:val="000000"/>
                <w:sz w:val="18"/>
                <w:szCs w:val="18"/>
              </w:rPr>
              <w:t>252</w:t>
            </w:r>
          </w:p>
        </w:tc>
        <w:tc>
          <w:tcPr>
            <w:tcW w:w="1016" w:type="dxa"/>
            <w:tcBorders>
              <w:top w:val="nil"/>
              <w:left w:val="nil"/>
              <w:bottom w:val="single" w:color="auto" w:sz="4" w:space="0"/>
              <w:right w:val="single" w:color="auto" w:sz="4" w:space="0"/>
            </w:tcBorders>
            <w:shd w:val="clear" w:color="auto" w:fill="auto"/>
            <w:vAlign w:val="center"/>
            <w:hideMark/>
          </w:tcPr>
          <w:p w:rsidRPr="00933F40" w:rsidR="00F67B23" w:rsidRDefault="00F67B23" w14:paraId="25E41AAE" w14:textId="77777777">
            <w:pPr>
              <w:jc w:val="center"/>
              <w:rPr>
                <w:color w:val="000000"/>
                <w:sz w:val="18"/>
                <w:szCs w:val="18"/>
              </w:rPr>
            </w:pPr>
            <w:r w:rsidRPr="00933F40">
              <w:rPr>
                <w:color w:val="000000"/>
                <w:sz w:val="18"/>
                <w:szCs w:val="18"/>
              </w:rPr>
              <w:t>-452</w:t>
            </w:r>
          </w:p>
        </w:tc>
      </w:tr>
      <w:tr w:rsidRPr="00933F40" w:rsidR="00F67B23" w:rsidTr="0095120D" w14:paraId="0AE73D3D" w14:textId="77777777">
        <w:trPr>
          <w:trHeight w:val="290"/>
        </w:trPr>
        <w:tc>
          <w:tcPr>
            <w:tcW w:w="1146" w:type="dxa"/>
            <w:tcBorders>
              <w:top w:val="nil"/>
              <w:left w:val="single" w:color="auto" w:sz="4" w:space="0"/>
              <w:bottom w:val="single" w:color="auto" w:sz="4" w:space="0"/>
              <w:right w:val="single" w:color="auto" w:sz="4" w:space="0"/>
            </w:tcBorders>
            <w:shd w:val="clear" w:color="000000" w:fill="E7E6E6"/>
            <w:vAlign w:val="center"/>
            <w:hideMark/>
          </w:tcPr>
          <w:p w:rsidRPr="00933F40" w:rsidR="00F67B23" w:rsidRDefault="00F67B23" w14:paraId="478C825E" w14:textId="77777777">
            <w:pPr>
              <w:rPr>
                <w:b/>
                <w:bCs/>
                <w:color w:val="000000"/>
                <w:sz w:val="18"/>
                <w:szCs w:val="18"/>
              </w:rPr>
            </w:pPr>
            <w:r w:rsidRPr="00933F40">
              <w:rPr>
                <w:b/>
                <w:bCs/>
                <w:color w:val="000000"/>
                <w:sz w:val="18"/>
                <w:szCs w:val="18"/>
              </w:rPr>
              <w:t>TOTAL</w:t>
            </w:r>
          </w:p>
        </w:tc>
        <w:tc>
          <w:tcPr>
            <w:tcW w:w="1198" w:type="dxa"/>
            <w:tcBorders>
              <w:top w:val="nil"/>
              <w:left w:val="nil"/>
              <w:bottom w:val="single" w:color="auto" w:sz="4" w:space="0"/>
              <w:right w:val="single" w:color="auto" w:sz="4" w:space="0"/>
            </w:tcBorders>
            <w:shd w:val="clear" w:color="000000" w:fill="E7E6E6"/>
            <w:vAlign w:val="center"/>
            <w:hideMark/>
          </w:tcPr>
          <w:p w:rsidRPr="00933F40" w:rsidR="00F67B23" w:rsidRDefault="00F67B23" w14:paraId="747228F0" w14:textId="77777777">
            <w:pPr>
              <w:jc w:val="center"/>
              <w:rPr>
                <w:b/>
                <w:bCs/>
                <w:color w:val="000000"/>
                <w:sz w:val="18"/>
                <w:szCs w:val="18"/>
              </w:rPr>
            </w:pPr>
            <w:r w:rsidRPr="00933F40">
              <w:rPr>
                <w:b/>
                <w:bCs/>
                <w:color w:val="000000"/>
                <w:sz w:val="18"/>
                <w:szCs w:val="18"/>
              </w:rPr>
              <w:t>44</w:t>
            </w:r>
          </w:p>
        </w:tc>
        <w:tc>
          <w:tcPr>
            <w:tcW w:w="1055" w:type="dxa"/>
            <w:tcBorders>
              <w:top w:val="nil"/>
              <w:left w:val="nil"/>
              <w:bottom w:val="single" w:color="auto" w:sz="4" w:space="0"/>
              <w:right w:val="single" w:color="auto" w:sz="4" w:space="0"/>
            </w:tcBorders>
            <w:shd w:val="clear" w:color="000000" w:fill="E7E6E6"/>
            <w:vAlign w:val="center"/>
            <w:hideMark/>
          </w:tcPr>
          <w:p w:rsidRPr="00933F40" w:rsidR="00F67B23" w:rsidRDefault="00F67B23" w14:paraId="5A996264" w14:textId="77777777">
            <w:pPr>
              <w:jc w:val="center"/>
              <w:rPr>
                <w:b/>
                <w:bCs/>
                <w:color w:val="000000"/>
                <w:sz w:val="18"/>
                <w:szCs w:val="18"/>
              </w:rPr>
            </w:pPr>
            <w:r w:rsidRPr="00933F40">
              <w:rPr>
                <w:b/>
                <w:bCs/>
                <w:color w:val="000000"/>
                <w:sz w:val="18"/>
                <w:szCs w:val="18"/>
              </w:rPr>
              <w:t>varies</w:t>
            </w:r>
          </w:p>
        </w:tc>
        <w:tc>
          <w:tcPr>
            <w:tcW w:w="1013" w:type="dxa"/>
            <w:tcBorders>
              <w:top w:val="nil"/>
              <w:left w:val="nil"/>
              <w:bottom w:val="single" w:color="auto" w:sz="4" w:space="0"/>
              <w:right w:val="single" w:color="auto" w:sz="4" w:space="0"/>
            </w:tcBorders>
            <w:shd w:val="clear" w:color="000000" w:fill="E7E6E6"/>
            <w:vAlign w:val="center"/>
            <w:hideMark/>
          </w:tcPr>
          <w:p w:rsidRPr="00933F40" w:rsidR="00F67B23" w:rsidRDefault="00F67B23" w14:paraId="4960830C" w14:textId="77777777">
            <w:pPr>
              <w:jc w:val="center"/>
              <w:rPr>
                <w:b/>
                <w:bCs/>
                <w:color w:val="000000"/>
                <w:sz w:val="18"/>
                <w:szCs w:val="18"/>
              </w:rPr>
            </w:pPr>
            <w:r w:rsidRPr="00933F40">
              <w:rPr>
                <w:b/>
                <w:bCs/>
                <w:color w:val="000000"/>
                <w:sz w:val="18"/>
                <w:szCs w:val="18"/>
              </w:rPr>
              <w:t>41</w:t>
            </w:r>
          </w:p>
        </w:tc>
        <w:tc>
          <w:tcPr>
            <w:tcW w:w="797" w:type="dxa"/>
            <w:tcBorders>
              <w:top w:val="nil"/>
              <w:left w:val="nil"/>
              <w:bottom w:val="single" w:color="auto" w:sz="4" w:space="0"/>
              <w:right w:val="single" w:color="auto" w:sz="4" w:space="0"/>
            </w:tcBorders>
            <w:shd w:val="clear" w:color="000000" w:fill="E7E6E6"/>
            <w:vAlign w:val="center"/>
            <w:hideMark/>
          </w:tcPr>
          <w:p w:rsidRPr="00933F40" w:rsidR="00F67B23" w:rsidRDefault="00F67B23" w14:paraId="169052B5" w14:textId="77777777">
            <w:pPr>
              <w:jc w:val="center"/>
              <w:rPr>
                <w:b/>
                <w:bCs/>
                <w:color w:val="000000"/>
                <w:sz w:val="18"/>
                <w:szCs w:val="18"/>
              </w:rPr>
            </w:pPr>
            <w:r w:rsidRPr="00933F40">
              <w:rPr>
                <w:b/>
                <w:bCs/>
                <w:color w:val="000000"/>
                <w:sz w:val="18"/>
                <w:szCs w:val="18"/>
              </w:rPr>
              <w:t>3,168</w:t>
            </w:r>
          </w:p>
        </w:tc>
        <w:tc>
          <w:tcPr>
            <w:tcW w:w="1197" w:type="dxa"/>
            <w:tcBorders>
              <w:top w:val="nil"/>
              <w:left w:val="nil"/>
              <w:bottom w:val="single" w:color="auto" w:sz="4" w:space="0"/>
              <w:right w:val="single" w:color="auto" w:sz="4" w:space="0"/>
            </w:tcBorders>
            <w:shd w:val="clear" w:color="000000" w:fill="E7E6E6"/>
            <w:vAlign w:val="center"/>
            <w:hideMark/>
          </w:tcPr>
          <w:p w:rsidRPr="00933F40" w:rsidR="00F67B23" w:rsidRDefault="00F67B23" w14:paraId="39C19A15" w14:textId="77777777">
            <w:pPr>
              <w:jc w:val="right"/>
              <w:rPr>
                <w:b/>
                <w:bCs/>
                <w:color w:val="000000"/>
                <w:sz w:val="20"/>
                <w:szCs w:val="20"/>
              </w:rPr>
            </w:pPr>
            <w:r w:rsidRPr="00933F40">
              <w:rPr>
                <w:b/>
                <w:bCs/>
                <w:color w:val="000000"/>
                <w:sz w:val="20"/>
                <w:szCs w:val="20"/>
              </w:rPr>
              <w:t>42</w:t>
            </w:r>
          </w:p>
        </w:tc>
        <w:tc>
          <w:tcPr>
            <w:tcW w:w="797" w:type="dxa"/>
            <w:tcBorders>
              <w:top w:val="nil"/>
              <w:left w:val="nil"/>
              <w:bottom w:val="single" w:color="auto" w:sz="4" w:space="0"/>
              <w:right w:val="single" w:color="auto" w:sz="4" w:space="0"/>
            </w:tcBorders>
            <w:shd w:val="clear" w:color="000000" w:fill="E7E6E6"/>
            <w:vAlign w:val="center"/>
            <w:hideMark/>
          </w:tcPr>
          <w:p w:rsidRPr="00933F40" w:rsidR="00F67B23" w:rsidRDefault="00F67B23" w14:paraId="5340F789" w14:textId="423F8BA8">
            <w:pPr>
              <w:jc w:val="center"/>
              <w:rPr>
                <w:b/>
                <w:bCs/>
                <w:color w:val="000000"/>
                <w:sz w:val="18"/>
                <w:szCs w:val="18"/>
              </w:rPr>
            </w:pPr>
            <w:r w:rsidRPr="00933F40">
              <w:rPr>
                <w:b/>
                <w:bCs/>
                <w:color w:val="000000"/>
                <w:sz w:val="18"/>
                <w:szCs w:val="18"/>
              </w:rPr>
              <w:t>2</w:t>
            </w:r>
            <w:r w:rsidRPr="00933F40" w:rsidR="0095085C">
              <w:rPr>
                <w:b/>
                <w:bCs/>
                <w:color w:val="000000"/>
                <w:sz w:val="18"/>
                <w:szCs w:val="18"/>
              </w:rPr>
              <w:t>,</w:t>
            </w:r>
            <w:r w:rsidRPr="00933F40">
              <w:rPr>
                <w:b/>
                <w:bCs/>
                <w:color w:val="000000"/>
                <w:sz w:val="18"/>
                <w:szCs w:val="18"/>
              </w:rPr>
              <w:t>604</w:t>
            </w:r>
          </w:p>
        </w:tc>
        <w:tc>
          <w:tcPr>
            <w:tcW w:w="1016" w:type="dxa"/>
            <w:tcBorders>
              <w:top w:val="nil"/>
              <w:left w:val="nil"/>
              <w:bottom w:val="single" w:color="auto" w:sz="4" w:space="0"/>
              <w:right w:val="single" w:color="auto" w:sz="4" w:space="0"/>
            </w:tcBorders>
            <w:shd w:val="clear" w:color="000000" w:fill="E7E6E6"/>
            <w:vAlign w:val="center"/>
            <w:hideMark/>
          </w:tcPr>
          <w:p w:rsidRPr="00933F40" w:rsidR="00F67B23" w:rsidRDefault="00F67B23" w14:paraId="7E652FC9" w14:textId="4A58E9F9">
            <w:pPr>
              <w:jc w:val="center"/>
              <w:rPr>
                <w:b/>
                <w:bCs/>
                <w:color w:val="000000"/>
                <w:sz w:val="18"/>
                <w:szCs w:val="18"/>
              </w:rPr>
            </w:pPr>
            <w:r w:rsidRPr="00933F40">
              <w:rPr>
                <w:b/>
                <w:bCs/>
                <w:color w:val="000000"/>
                <w:sz w:val="18"/>
                <w:szCs w:val="18"/>
              </w:rPr>
              <w:t>-5</w:t>
            </w:r>
            <w:r w:rsidR="00301679">
              <w:rPr>
                <w:b/>
                <w:bCs/>
                <w:color w:val="000000"/>
                <w:sz w:val="18"/>
                <w:szCs w:val="18"/>
              </w:rPr>
              <w:t>64</w:t>
            </w:r>
          </w:p>
        </w:tc>
      </w:tr>
    </w:tbl>
    <w:p w:rsidRPr="00933F40" w:rsidR="0095120D" w:rsidP="001755B7" w:rsidRDefault="0095120D" w14:paraId="7E47A04C" w14:textId="77777777"/>
    <w:p w:rsidRPr="00933F40" w:rsidR="00C224A2" w:rsidP="008E1165" w:rsidRDefault="00C224A2" w14:paraId="68A9B721" w14:textId="77777777">
      <w:pPr>
        <w:outlineLvl w:val="0"/>
        <w:rPr>
          <w:u w:val="single"/>
        </w:rPr>
      </w:pPr>
      <w:r w:rsidRPr="00933F40">
        <w:t>16.</w:t>
      </w:r>
      <w:r w:rsidRPr="00933F40">
        <w:tab/>
      </w:r>
      <w:r w:rsidRPr="00933F40">
        <w:rPr>
          <w:u w:val="single"/>
        </w:rPr>
        <w:t>Publication and Tabulation Dates</w:t>
      </w:r>
    </w:p>
    <w:p w:rsidRPr="00933F40" w:rsidR="00C224A2" w:rsidP="008E1165" w:rsidRDefault="00C224A2" w14:paraId="51E35151" w14:textId="77777777"/>
    <w:p w:rsidRPr="00933F40" w:rsidR="001C4D5F" w:rsidP="008E1165" w:rsidRDefault="001C4D5F" w14:paraId="18B37296" w14:textId="77777777">
      <w:pPr>
        <w:outlineLvl w:val="0"/>
      </w:pPr>
      <w:r w:rsidRPr="00933F40">
        <w:t>N/A</w:t>
      </w:r>
    </w:p>
    <w:p w:rsidRPr="00933F40" w:rsidR="00C224A2" w:rsidP="008E1165" w:rsidRDefault="00C224A2" w14:paraId="373F9605" w14:textId="77777777"/>
    <w:p w:rsidRPr="00933F40" w:rsidR="00C224A2" w:rsidP="008E1165" w:rsidRDefault="00C224A2" w14:paraId="1D6B1A21" w14:textId="77777777">
      <w:pPr>
        <w:outlineLvl w:val="0"/>
      </w:pPr>
      <w:r w:rsidRPr="00933F40">
        <w:t>17.</w:t>
      </w:r>
      <w:r w:rsidRPr="00933F40">
        <w:tab/>
      </w:r>
      <w:r w:rsidRPr="00933F40">
        <w:rPr>
          <w:u w:val="single"/>
        </w:rPr>
        <w:t>Expiration Date</w:t>
      </w:r>
    </w:p>
    <w:p w:rsidRPr="00933F40" w:rsidR="00C224A2" w:rsidP="008E1165" w:rsidRDefault="00C224A2" w14:paraId="30D63570" w14:textId="77777777"/>
    <w:p w:rsidRPr="00933F40" w:rsidR="00C224A2" w:rsidP="008E1165" w:rsidRDefault="00C224A2" w14:paraId="24CCCE2D" w14:textId="77777777">
      <w:r w:rsidRPr="00933F40">
        <w:t>CMS does not oppose the display of the expiration date.</w:t>
      </w:r>
    </w:p>
    <w:p w:rsidRPr="00933F40" w:rsidR="00C224A2" w:rsidP="008E1165" w:rsidRDefault="00C224A2" w14:paraId="600E4892" w14:textId="77777777"/>
    <w:p w:rsidRPr="00933F40" w:rsidR="00C224A2" w:rsidP="008E1165" w:rsidRDefault="00C224A2" w14:paraId="1F02FA09" w14:textId="77777777">
      <w:pPr>
        <w:outlineLvl w:val="0"/>
        <w:rPr>
          <w:u w:val="single"/>
        </w:rPr>
      </w:pPr>
      <w:r w:rsidRPr="00933F40">
        <w:t>18.</w:t>
      </w:r>
      <w:r w:rsidRPr="00933F40">
        <w:tab/>
      </w:r>
      <w:r w:rsidRPr="00933F40">
        <w:rPr>
          <w:u w:val="single"/>
        </w:rPr>
        <w:t>Certification Statement</w:t>
      </w:r>
    </w:p>
    <w:p w:rsidRPr="00933F40" w:rsidR="00C224A2" w:rsidP="008E1165" w:rsidRDefault="00C224A2" w14:paraId="503EDB73" w14:textId="77777777"/>
    <w:p w:rsidRPr="00933F40" w:rsidR="00C224A2" w:rsidP="008E1165" w:rsidRDefault="00C224A2" w14:paraId="16759CC0" w14:textId="77777777">
      <w:pPr>
        <w:outlineLvl w:val="0"/>
      </w:pPr>
      <w:r w:rsidRPr="00933F40">
        <w:t>There are no exceptions to the certification statement.</w:t>
      </w:r>
    </w:p>
    <w:p w:rsidRPr="00933F40" w:rsidR="00C224A2" w:rsidP="008E1165" w:rsidRDefault="00C224A2" w14:paraId="390B40A6" w14:textId="77777777"/>
    <w:p w:rsidRPr="00933F40" w:rsidR="00C224A2" w:rsidP="008E1165" w:rsidRDefault="00B6024B" w14:paraId="7FBC0468" w14:textId="77777777">
      <w:pPr>
        <w:outlineLvl w:val="0"/>
        <w:rPr>
          <w:b/>
        </w:rPr>
      </w:pPr>
      <w:r w:rsidRPr="00933F40">
        <w:rPr>
          <w:b/>
        </w:rPr>
        <w:t>B</w:t>
      </w:r>
      <w:r w:rsidRPr="00933F40" w:rsidR="0090099A">
        <w:rPr>
          <w:b/>
        </w:rPr>
        <w:t>.</w:t>
      </w:r>
      <w:r w:rsidRPr="00933F40" w:rsidR="00C224A2">
        <w:rPr>
          <w:b/>
        </w:rPr>
        <w:tab/>
      </w:r>
      <w:r w:rsidRPr="00933F40" w:rsidR="0090099A">
        <w:rPr>
          <w:b/>
        </w:rPr>
        <w:t>Collections of Information Employing Statistical Methods</w:t>
      </w:r>
    </w:p>
    <w:p w:rsidRPr="00933F40" w:rsidR="00C224A2" w:rsidP="008E1165" w:rsidRDefault="00C224A2" w14:paraId="6B01FD65" w14:textId="77777777">
      <w:pPr>
        <w:rPr>
          <w:u w:val="single"/>
        </w:rPr>
      </w:pPr>
    </w:p>
    <w:p w:rsidR="00C224A2" w:rsidP="008E1165" w:rsidRDefault="00883B1D" w14:paraId="4662F005" w14:textId="77777777">
      <w:r w:rsidRPr="00933F40">
        <w:lastRenderedPageBreak/>
        <w:t>This question is no longer applicable as the survey is no longer needed.</w:t>
      </w:r>
    </w:p>
    <w:p w:rsidR="0090099A" w:rsidP="008E1165" w:rsidRDefault="0090099A" w14:paraId="5C9ED20C" w14:textId="77777777"/>
    <w:sectPr w:rsidR="0090099A" w:rsidSect="007F661F">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19AED" w14:textId="77777777" w:rsidR="00637B3D" w:rsidRDefault="00637B3D">
      <w:r>
        <w:separator/>
      </w:r>
    </w:p>
  </w:endnote>
  <w:endnote w:type="continuationSeparator" w:id="0">
    <w:p w14:paraId="4FEA26CC" w14:textId="77777777" w:rsidR="00637B3D" w:rsidRDefault="00637B3D">
      <w:r>
        <w:continuationSeparator/>
      </w:r>
    </w:p>
  </w:endnote>
  <w:endnote w:type="continuationNotice" w:id="1">
    <w:p w14:paraId="6D3FF95D" w14:textId="77777777" w:rsidR="00637B3D" w:rsidRDefault="00637B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5696F" w14:textId="77777777" w:rsidR="00E9636C" w:rsidRDefault="00E963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68A842B" w14:textId="77777777" w:rsidR="00E9636C" w:rsidRDefault="00E963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D052A" w14:textId="4975FBBD" w:rsidR="00E9636C" w:rsidRDefault="00E963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38F4">
      <w:rPr>
        <w:rStyle w:val="PageNumber"/>
        <w:noProof/>
      </w:rPr>
      <w:t>9</w:t>
    </w:r>
    <w:r>
      <w:rPr>
        <w:rStyle w:val="PageNumber"/>
      </w:rPr>
      <w:fldChar w:fldCharType="end"/>
    </w:r>
  </w:p>
  <w:p w14:paraId="160BF2F4" w14:textId="77777777" w:rsidR="00E9636C" w:rsidRDefault="00E963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D7D4B" w14:textId="77777777" w:rsidR="00637B3D" w:rsidRDefault="00637B3D">
      <w:r>
        <w:separator/>
      </w:r>
    </w:p>
  </w:footnote>
  <w:footnote w:type="continuationSeparator" w:id="0">
    <w:p w14:paraId="1DDCD166" w14:textId="77777777" w:rsidR="00637B3D" w:rsidRDefault="00637B3D">
      <w:r>
        <w:continuationSeparator/>
      </w:r>
    </w:p>
  </w:footnote>
  <w:footnote w:type="continuationNotice" w:id="1">
    <w:p w14:paraId="324088C4" w14:textId="77777777" w:rsidR="00637B3D" w:rsidRDefault="00637B3D"/>
  </w:footnote>
  <w:footnote w:id="2">
    <w:p w14:paraId="08CB7C4A" w14:textId="412F2956" w:rsidR="00082F3F" w:rsidRDefault="00082F3F">
      <w:pPr>
        <w:pStyle w:val="FootnoteText"/>
      </w:pPr>
      <w:r>
        <w:rPr>
          <w:rStyle w:val="FootnoteReference"/>
        </w:rPr>
        <w:footnoteRef/>
      </w:r>
      <w:r>
        <w:t xml:space="preserve"> </w:t>
      </w:r>
      <w:r w:rsidRPr="00082F3F">
        <w:t xml:space="preserve">There is no longer a technical assistance website for grantees, as the contract </w:t>
      </w:r>
      <w:r w:rsidR="00AB5B04">
        <w:t xml:space="preserve">has </w:t>
      </w:r>
      <w:r w:rsidRPr="00082F3F">
        <w:t>since ended. All MFP grantees were required to submit an Operational Protocol as a part of their grant application.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21A6F"/>
    <w:multiLevelType w:val="hybridMultilevel"/>
    <w:tmpl w:val="611C0AE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4F5895"/>
    <w:multiLevelType w:val="hybridMultilevel"/>
    <w:tmpl w:val="4D7A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081FB1"/>
    <w:multiLevelType w:val="hybridMultilevel"/>
    <w:tmpl w:val="E18C6D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68DD36F3"/>
    <w:multiLevelType w:val="hybridMultilevel"/>
    <w:tmpl w:val="9F7031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346A89"/>
    <w:multiLevelType w:val="hybridMultilevel"/>
    <w:tmpl w:val="7B1A0C4A"/>
    <w:lvl w:ilvl="0" w:tplc="98FEF54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00638F"/>
    <w:multiLevelType w:val="hybridMultilevel"/>
    <w:tmpl w:val="6080A6FC"/>
    <w:lvl w:ilvl="0" w:tplc="98FEF542">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123"/>
    <w:rsid w:val="00000D4C"/>
    <w:rsid w:val="00000EFA"/>
    <w:rsid w:val="00006F9D"/>
    <w:rsid w:val="000072AD"/>
    <w:rsid w:val="00017E77"/>
    <w:rsid w:val="00020537"/>
    <w:rsid w:val="000237F9"/>
    <w:rsid w:val="00024A6A"/>
    <w:rsid w:val="00034E6A"/>
    <w:rsid w:val="0004190E"/>
    <w:rsid w:val="00045F77"/>
    <w:rsid w:val="0005065A"/>
    <w:rsid w:val="00062E94"/>
    <w:rsid w:val="000635B4"/>
    <w:rsid w:val="0006600A"/>
    <w:rsid w:val="00066862"/>
    <w:rsid w:val="00067C0A"/>
    <w:rsid w:val="00073ADB"/>
    <w:rsid w:val="000824BC"/>
    <w:rsid w:val="00082F3F"/>
    <w:rsid w:val="00090053"/>
    <w:rsid w:val="000A29A2"/>
    <w:rsid w:val="000A31CF"/>
    <w:rsid w:val="000C102A"/>
    <w:rsid w:val="000C1252"/>
    <w:rsid w:val="000C26CD"/>
    <w:rsid w:val="000C5643"/>
    <w:rsid w:val="000D76EE"/>
    <w:rsid w:val="000D7C4D"/>
    <w:rsid w:val="000E070F"/>
    <w:rsid w:val="000E0811"/>
    <w:rsid w:val="000E2F82"/>
    <w:rsid w:val="000F3D47"/>
    <w:rsid w:val="000F6CE6"/>
    <w:rsid w:val="00100C56"/>
    <w:rsid w:val="0010768D"/>
    <w:rsid w:val="00125169"/>
    <w:rsid w:val="00127A87"/>
    <w:rsid w:val="00137047"/>
    <w:rsid w:val="00143AE1"/>
    <w:rsid w:val="001446A1"/>
    <w:rsid w:val="00146891"/>
    <w:rsid w:val="0015060A"/>
    <w:rsid w:val="00150D9D"/>
    <w:rsid w:val="001536DB"/>
    <w:rsid w:val="001538F4"/>
    <w:rsid w:val="00154086"/>
    <w:rsid w:val="001575DF"/>
    <w:rsid w:val="00171558"/>
    <w:rsid w:val="00172C29"/>
    <w:rsid w:val="00173B17"/>
    <w:rsid w:val="001755B7"/>
    <w:rsid w:val="001775F6"/>
    <w:rsid w:val="00177F82"/>
    <w:rsid w:val="00190059"/>
    <w:rsid w:val="00191E50"/>
    <w:rsid w:val="00192ED7"/>
    <w:rsid w:val="00197D53"/>
    <w:rsid w:val="001A04FA"/>
    <w:rsid w:val="001C4D5F"/>
    <w:rsid w:val="001C5D8C"/>
    <w:rsid w:val="001C6FEF"/>
    <w:rsid w:val="001D0123"/>
    <w:rsid w:val="001D1297"/>
    <w:rsid w:val="001E46BD"/>
    <w:rsid w:val="001E5A89"/>
    <w:rsid w:val="001F564C"/>
    <w:rsid w:val="001F663E"/>
    <w:rsid w:val="001F7E2F"/>
    <w:rsid w:val="00205061"/>
    <w:rsid w:val="00205C60"/>
    <w:rsid w:val="002107A2"/>
    <w:rsid w:val="002121F5"/>
    <w:rsid w:val="0021254E"/>
    <w:rsid w:val="00220FA8"/>
    <w:rsid w:val="00230B29"/>
    <w:rsid w:val="00246612"/>
    <w:rsid w:val="00253C3B"/>
    <w:rsid w:val="0026387C"/>
    <w:rsid w:val="002673CF"/>
    <w:rsid w:val="002677CF"/>
    <w:rsid w:val="00275A90"/>
    <w:rsid w:val="002762FD"/>
    <w:rsid w:val="00276BE4"/>
    <w:rsid w:val="00284F5E"/>
    <w:rsid w:val="0028565A"/>
    <w:rsid w:val="0028697B"/>
    <w:rsid w:val="00287E75"/>
    <w:rsid w:val="00293ACD"/>
    <w:rsid w:val="0029609F"/>
    <w:rsid w:val="0029708D"/>
    <w:rsid w:val="002A05D9"/>
    <w:rsid w:val="002A1CB8"/>
    <w:rsid w:val="002A38A1"/>
    <w:rsid w:val="002A5CB1"/>
    <w:rsid w:val="002A5EDE"/>
    <w:rsid w:val="002B2BE8"/>
    <w:rsid w:val="002B41CE"/>
    <w:rsid w:val="002C1B51"/>
    <w:rsid w:val="002C31C1"/>
    <w:rsid w:val="002D54CA"/>
    <w:rsid w:val="002D6A80"/>
    <w:rsid w:val="002E6EA2"/>
    <w:rsid w:val="002E72AA"/>
    <w:rsid w:val="002F55FC"/>
    <w:rsid w:val="002F725F"/>
    <w:rsid w:val="003006CD"/>
    <w:rsid w:val="00301679"/>
    <w:rsid w:val="0030794E"/>
    <w:rsid w:val="00312A3B"/>
    <w:rsid w:val="00314DF5"/>
    <w:rsid w:val="00324D1F"/>
    <w:rsid w:val="0032774B"/>
    <w:rsid w:val="00331114"/>
    <w:rsid w:val="00335E21"/>
    <w:rsid w:val="00337302"/>
    <w:rsid w:val="003424CA"/>
    <w:rsid w:val="00345CCB"/>
    <w:rsid w:val="003543CF"/>
    <w:rsid w:val="003572A0"/>
    <w:rsid w:val="003612EB"/>
    <w:rsid w:val="00363064"/>
    <w:rsid w:val="003635AB"/>
    <w:rsid w:val="00372B9B"/>
    <w:rsid w:val="003734D5"/>
    <w:rsid w:val="003745D4"/>
    <w:rsid w:val="0037474B"/>
    <w:rsid w:val="00374946"/>
    <w:rsid w:val="0037717A"/>
    <w:rsid w:val="003848D6"/>
    <w:rsid w:val="003863B3"/>
    <w:rsid w:val="0039145E"/>
    <w:rsid w:val="003946CD"/>
    <w:rsid w:val="003A30AF"/>
    <w:rsid w:val="003A4FE3"/>
    <w:rsid w:val="003A5414"/>
    <w:rsid w:val="003B161E"/>
    <w:rsid w:val="003B4467"/>
    <w:rsid w:val="003C32E5"/>
    <w:rsid w:val="003C610B"/>
    <w:rsid w:val="003C75F8"/>
    <w:rsid w:val="003C76E4"/>
    <w:rsid w:val="003D0167"/>
    <w:rsid w:val="003D0F08"/>
    <w:rsid w:val="003D32D0"/>
    <w:rsid w:val="003E2B58"/>
    <w:rsid w:val="003E507D"/>
    <w:rsid w:val="003F07C4"/>
    <w:rsid w:val="003F33CA"/>
    <w:rsid w:val="003F6757"/>
    <w:rsid w:val="0040210F"/>
    <w:rsid w:val="00403F8A"/>
    <w:rsid w:val="004078B8"/>
    <w:rsid w:val="0041058F"/>
    <w:rsid w:val="00422957"/>
    <w:rsid w:val="00422A59"/>
    <w:rsid w:val="00436A6B"/>
    <w:rsid w:val="00442968"/>
    <w:rsid w:val="00443892"/>
    <w:rsid w:val="0044544A"/>
    <w:rsid w:val="0045171B"/>
    <w:rsid w:val="004528E5"/>
    <w:rsid w:val="00461A05"/>
    <w:rsid w:val="0047427D"/>
    <w:rsid w:val="00483427"/>
    <w:rsid w:val="00491E06"/>
    <w:rsid w:val="00492884"/>
    <w:rsid w:val="00492D57"/>
    <w:rsid w:val="004930C3"/>
    <w:rsid w:val="004934CF"/>
    <w:rsid w:val="004951BA"/>
    <w:rsid w:val="00495D6D"/>
    <w:rsid w:val="00495FCB"/>
    <w:rsid w:val="004A06E3"/>
    <w:rsid w:val="004A39A9"/>
    <w:rsid w:val="004B4778"/>
    <w:rsid w:val="004B54E5"/>
    <w:rsid w:val="004B6C09"/>
    <w:rsid w:val="004B7609"/>
    <w:rsid w:val="004C1B91"/>
    <w:rsid w:val="004C6E66"/>
    <w:rsid w:val="004D2D78"/>
    <w:rsid w:val="004D6508"/>
    <w:rsid w:val="004E3E11"/>
    <w:rsid w:val="004E63C5"/>
    <w:rsid w:val="004E6CCA"/>
    <w:rsid w:val="004E7170"/>
    <w:rsid w:val="004E7ADE"/>
    <w:rsid w:val="005029A4"/>
    <w:rsid w:val="005029DB"/>
    <w:rsid w:val="00503A36"/>
    <w:rsid w:val="00505782"/>
    <w:rsid w:val="00506DB8"/>
    <w:rsid w:val="00512400"/>
    <w:rsid w:val="005125E1"/>
    <w:rsid w:val="0051513D"/>
    <w:rsid w:val="005266B7"/>
    <w:rsid w:val="00530252"/>
    <w:rsid w:val="00530810"/>
    <w:rsid w:val="00532ED8"/>
    <w:rsid w:val="00536392"/>
    <w:rsid w:val="00543B09"/>
    <w:rsid w:val="00543B8B"/>
    <w:rsid w:val="005508FE"/>
    <w:rsid w:val="005521BA"/>
    <w:rsid w:val="005527C9"/>
    <w:rsid w:val="00553667"/>
    <w:rsid w:val="00556AA0"/>
    <w:rsid w:val="00557151"/>
    <w:rsid w:val="005616B4"/>
    <w:rsid w:val="00566ABF"/>
    <w:rsid w:val="00566CDA"/>
    <w:rsid w:val="005722B4"/>
    <w:rsid w:val="005B62C6"/>
    <w:rsid w:val="005C0BAA"/>
    <w:rsid w:val="005C1DD0"/>
    <w:rsid w:val="005C2248"/>
    <w:rsid w:val="005C2A9F"/>
    <w:rsid w:val="005D0DB8"/>
    <w:rsid w:val="005D2086"/>
    <w:rsid w:val="005D27A2"/>
    <w:rsid w:val="005D4561"/>
    <w:rsid w:val="005E2854"/>
    <w:rsid w:val="005E2EA0"/>
    <w:rsid w:val="005E39C2"/>
    <w:rsid w:val="005E5A10"/>
    <w:rsid w:val="005F599E"/>
    <w:rsid w:val="00606994"/>
    <w:rsid w:val="006074ED"/>
    <w:rsid w:val="00607E37"/>
    <w:rsid w:val="00611155"/>
    <w:rsid w:val="00611448"/>
    <w:rsid w:val="00611568"/>
    <w:rsid w:val="00614692"/>
    <w:rsid w:val="00622D27"/>
    <w:rsid w:val="0062329E"/>
    <w:rsid w:val="0062485B"/>
    <w:rsid w:val="006320DA"/>
    <w:rsid w:val="00633054"/>
    <w:rsid w:val="006347BC"/>
    <w:rsid w:val="0063641F"/>
    <w:rsid w:val="00637B3D"/>
    <w:rsid w:val="00637C84"/>
    <w:rsid w:val="00640141"/>
    <w:rsid w:val="006449A1"/>
    <w:rsid w:val="00652E05"/>
    <w:rsid w:val="00652F43"/>
    <w:rsid w:val="00663868"/>
    <w:rsid w:val="006664BF"/>
    <w:rsid w:val="006677D7"/>
    <w:rsid w:val="00667FB5"/>
    <w:rsid w:val="00672914"/>
    <w:rsid w:val="00673312"/>
    <w:rsid w:val="00677DD4"/>
    <w:rsid w:val="0068050A"/>
    <w:rsid w:val="0068083C"/>
    <w:rsid w:val="0068090D"/>
    <w:rsid w:val="00681BBB"/>
    <w:rsid w:val="006851B9"/>
    <w:rsid w:val="00685DD2"/>
    <w:rsid w:val="0068623A"/>
    <w:rsid w:val="00686D62"/>
    <w:rsid w:val="00695E72"/>
    <w:rsid w:val="00696846"/>
    <w:rsid w:val="006B0320"/>
    <w:rsid w:val="006B1505"/>
    <w:rsid w:val="006D0C80"/>
    <w:rsid w:val="006D2FC4"/>
    <w:rsid w:val="006D3A4C"/>
    <w:rsid w:val="006D67D5"/>
    <w:rsid w:val="006E6AF5"/>
    <w:rsid w:val="006E7606"/>
    <w:rsid w:val="006F0B8D"/>
    <w:rsid w:val="006F3FBE"/>
    <w:rsid w:val="006F4FED"/>
    <w:rsid w:val="00700ACC"/>
    <w:rsid w:val="0070160E"/>
    <w:rsid w:val="007020D4"/>
    <w:rsid w:val="007024FE"/>
    <w:rsid w:val="00707E2E"/>
    <w:rsid w:val="0071018A"/>
    <w:rsid w:val="00710468"/>
    <w:rsid w:val="00715A97"/>
    <w:rsid w:val="00716ECD"/>
    <w:rsid w:val="00720CFD"/>
    <w:rsid w:val="0072194F"/>
    <w:rsid w:val="0072226D"/>
    <w:rsid w:val="00724CDD"/>
    <w:rsid w:val="00727676"/>
    <w:rsid w:val="00730976"/>
    <w:rsid w:val="00741E6D"/>
    <w:rsid w:val="007579A1"/>
    <w:rsid w:val="0076017B"/>
    <w:rsid w:val="00763253"/>
    <w:rsid w:val="00766660"/>
    <w:rsid w:val="007711AE"/>
    <w:rsid w:val="00771ACF"/>
    <w:rsid w:val="0077241D"/>
    <w:rsid w:val="00774298"/>
    <w:rsid w:val="0078484E"/>
    <w:rsid w:val="007A230A"/>
    <w:rsid w:val="007A334A"/>
    <w:rsid w:val="007A425B"/>
    <w:rsid w:val="007A58B9"/>
    <w:rsid w:val="007B0B5B"/>
    <w:rsid w:val="007B11AA"/>
    <w:rsid w:val="007B4A5F"/>
    <w:rsid w:val="007B66CC"/>
    <w:rsid w:val="007C2E14"/>
    <w:rsid w:val="007D00A7"/>
    <w:rsid w:val="007F217D"/>
    <w:rsid w:val="007F3E2E"/>
    <w:rsid w:val="007F5F66"/>
    <w:rsid w:val="007F61BC"/>
    <w:rsid w:val="007F661F"/>
    <w:rsid w:val="007F7889"/>
    <w:rsid w:val="007F7B59"/>
    <w:rsid w:val="00802070"/>
    <w:rsid w:val="008055F1"/>
    <w:rsid w:val="0080792A"/>
    <w:rsid w:val="00823340"/>
    <w:rsid w:val="00833011"/>
    <w:rsid w:val="00834C1D"/>
    <w:rsid w:val="00835C57"/>
    <w:rsid w:val="00840D1D"/>
    <w:rsid w:val="00840DA5"/>
    <w:rsid w:val="00841165"/>
    <w:rsid w:val="008437FD"/>
    <w:rsid w:val="00844355"/>
    <w:rsid w:val="00846D79"/>
    <w:rsid w:val="00852EBB"/>
    <w:rsid w:val="0085794F"/>
    <w:rsid w:val="0086092E"/>
    <w:rsid w:val="0086558F"/>
    <w:rsid w:val="00867F14"/>
    <w:rsid w:val="00871EEA"/>
    <w:rsid w:val="008725EE"/>
    <w:rsid w:val="00883B1D"/>
    <w:rsid w:val="00885E8C"/>
    <w:rsid w:val="00891570"/>
    <w:rsid w:val="00894D89"/>
    <w:rsid w:val="0089584D"/>
    <w:rsid w:val="00896371"/>
    <w:rsid w:val="008A5474"/>
    <w:rsid w:val="008A6F4C"/>
    <w:rsid w:val="008A7C94"/>
    <w:rsid w:val="008B2288"/>
    <w:rsid w:val="008B2FB4"/>
    <w:rsid w:val="008B3694"/>
    <w:rsid w:val="008B52E2"/>
    <w:rsid w:val="008B5B4B"/>
    <w:rsid w:val="008C0BAA"/>
    <w:rsid w:val="008C3487"/>
    <w:rsid w:val="008C3F63"/>
    <w:rsid w:val="008D3065"/>
    <w:rsid w:val="008D5F8E"/>
    <w:rsid w:val="008D6FB6"/>
    <w:rsid w:val="008E1165"/>
    <w:rsid w:val="008E2787"/>
    <w:rsid w:val="008F169D"/>
    <w:rsid w:val="008F25C0"/>
    <w:rsid w:val="0090099A"/>
    <w:rsid w:val="009033E7"/>
    <w:rsid w:val="00905BAB"/>
    <w:rsid w:val="00906827"/>
    <w:rsid w:val="009069CD"/>
    <w:rsid w:val="009077CD"/>
    <w:rsid w:val="00912206"/>
    <w:rsid w:val="00913940"/>
    <w:rsid w:val="009143B3"/>
    <w:rsid w:val="00915D00"/>
    <w:rsid w:val="00916F57"/>
    <w:rsid w:val="0091719E"/>
    <w:rsid w:val="00917C69"/>
    <w:rsid w:val="009216D2"/>
    <w:rsid w:val="00933F40"/>
    <w:rsid w:val="009365CA"/>
    <w:rsid w:val="0093676F"/>
    <w:rsid w:val="00940CD0"/>
    <w:rsid w:val="00944A57"/>
    <w:rsid w:val="0095085C"/>
    <w:rsid w:val="0095120D"/>
    <w:rsid w:val="00951BFF"/>
    <w:rsid w:val="00957E3D"/>
    <w:rsid w:val="00970FEA"/>
    <w:rsid w:val="009773A6"/>
    <w:rsid w:val="009800FB"/>
    <w:rsid w:val="00993D2D"/>
    <w:rsid w:val="009A1A18"/>
    <w:rsid w:val="009A728B"/>
    <w:rsid w:val="009A7CFF"/>
    <w:rsid w:val="009B096F"/>
    <w:rsid w:val="009B351D"/>
    <w:rsid w:val="009C33A9"/>
    <w:rsid w:val="009C37FE"/>
    <w:rsid w:val="009E0AD6"/>
    <w:rsid w:val="009E3332"/>
    <w:rsid w:val="009E6B17"/>
    <w:rsid w:val="00A00A77"/>
    <w:rsid w:val="00A04361"/>
    <w:rsid w:val="00A062E6"/>
    <w:rsid w:val="00A14130"/>
    <w:rsid w:val="00A221CA"/>
    <w:rsid w:val="00A44998"/>
    <w:rsid w:val="00A4582A"/>
    <w:rsid w:val="00A45EBA"/>
    <w:rsid w:val="00A517F7"/>
    <w:rsid w:val="00A54526"/>
    <w:rsid w:val="00A56D63"/>
    <w:rsid w:val="00A60A27"/>
    <w:rsid w:val="00A6226F"/>
    <w:rsid w:val="00A63509"/>
    <w:rsid w:val="00A664EC"/>
    <w:rsid w:val="00A669FC"/>
    <w:rsid w:val="00A728CD"/>
    <w:rsid w:val="00A75D67"/>
    <w:rsid w:val="00A8381E"/>
    <w:rsid w:val="00A8527B"/>
    <w:rsid w:val="00A951FE"/>
    <w:rsid w:val="00AA6D42"/>
    <w:rsid w:val="00AB1F3F"/>
    <w:rsid w:val="00AB5B04"/>
    <w:rsid w:val="00AC1FF2"/>
    <w:rsid w:val="00AC3B97"/>
    <w:rsid w:val="00AD4C2F"/>
    <w:rsid w:val="00AD5C9D"/>
    <w:rsid w:val="00AD6C03"/>
    <w:rsid w:val="00AE2AE3"/>
    <w:rsid w:val="00AE4DBE"/>
    <w:rsid w:val="00AF03F4"/>
    <w:rsid w:val="00AF6683"/>
    <w:rsid w:val="00B02EC4"/>
    <w:rsid w:val="00B135D4"/>
    <w:rsid w:val="00B22A0C"/>
    <w:rsid w:val="00B26BF9"/>
    <w:rsid w:val="00B361D7"/>
    <w:rsid w:val="00B36944"/>
    <w:rsid w:val="00B475C8"/>
    <w:rsid w:val="00B55506"/>
    <w:rsid w:val="00B568E0"/>
    <w:rsid w:val="00B57380"/>
    <w:rsid w:val="00B57EAA"/>
    <w:rsid w:val="00B6024B"/>
    <w:rsid w:val="00B61A07"/>
    <w:rsid w:val="00B62D4E"/>
    <w:rsid w:val="00B728B3"/>
    <w:rsid w:val="00B8103C"/>
    <w:rsid w:val="00B844DC"/>
    <w:rsid w:val="00B8772E"/>
    <w:rsid w:val="00B922D1"/>
    <w:rsid w:val="00B93BC8"/>
    <w:rsid w:val="00B944F2"/>
    <w:rsid w:val="00B965C6"/>
    <w:rsid w:val="00BB52FC"/>
    <w:rsid w:val="00BB59E6"/>
    <w:rsid w:val="00BC4B8E"/>
    <w:rsid w:val="00BD50E8"/>
    <w:rsid w:val="00BD5C64"/>
    <w:rsid w:val="00BE159F"/>
    <w:rsid w:val="00BE4111"/>
    <w:rsid w:val="00BE6DE7"/>
    <w:rsid w:val="00BF1F04"/>
    <w:rsid w:val="00C06742"/>
    <w:rsid w:val="00C10F57"/>
    <w:rsid w:val="00C14AA9"/>
    <w:rsid w:val="00C163EE"/>
    <w:rsid w:val="00C224A2"/>
    <w:rsid w:val="00C24F40"/>
    <w:rsid w:val="00C27ED8"/>
    <w:rsid w:val="00C338CC"/>
    <w:rsid w:val="00C37D5F"/>
    <w:rsid w:val="00C546D3"/>
    <w:rsid w:val="00C60F7E"/>
    <w:rsid w:val="00C639E6"/>
    <w:rsid w:val="00C646DA"/>
    <w:rsid w:val="00C67052"/>
    <w:rsid w:val="00C70767"/>
    <w:rsid w:val="00C716FD"/>
    <w:rsid w:val="00C732BB"/>
    <w:rsid w:val="00C74045"/>
    <w:rsid w:val="00C74A39"/>
    <w:rsid w:val="00C76CC7"/>
    <w:rsid w:val="00C86045"/>
    <w:rsid w:val="00C95562"/>
    <w:rsid w:val="00C961A3"/>
    <w:rsid w:val="00CA46E0"/>
    <w:rsid w:val="00CB0506"/>
    <w:rsid w:val="00CB335D"/>
    <w:rsid w:val="00CB394B"/>
    <w:rsid w:val="00CB6738"/>
    <w:rsid w:val="00CC0167"/>
    <w:rsid w:val="00CC1583"/>
    <w:rsid w:val="00CD4275"/>
    <w:rsid w:val="00CE18D5"/>
    <w:rsid w:val="00CE3D8C"/>
    <w:rsid w:val="00CE4876"/>
    <w:rsid w:val="00CF6A05"/>
    <w:rsid w:val="00CF726C"/>
    <w:rsid w:val="00CF76CE"/>
    <w:rsid w:val="00D000B8"/>
    <w:rsid w:val="00D008B3"/>
    <w:rsid w:val="00D05641"/>
    <w:rsid w:val="00D070BC"/>
    <w:rsid w:val="00D074FC"/>
    <w:rsid w:val="00D10480"/>
    <w:rsid w:val="00D12A9C"/>
    <w:rsid w:val="00D13979"/>
    <w:rsid w:val="00D21723"/>
    <w:rsid w:val="00D22CFF"/>
    <w:rsid w:val="00D2354C"/>
    <w:rsid w:val="00D413E0"/>
    <w:rsid w:val="00D5071C"/>
    <w:rsid w:val="00D52AD3"/>
    <w:rsid w:val="00D53B86"/>
    <w:rsid w:val="00D54D29"/>
    <w:rsid w:val="00D61C8A"/>
    <w:rsid w:val="00D66230"/>
    <w:rsid w:val="00D71C1D"/>
    <w:rsid w:val="00D7484C"/>
    <w:rsid w:val="00D75816"/>
    <w:rsid w:val="00D772E2"/>
    <w:rsid w:val="00D82972"/>
    <w:rsid w:val="00D830AD"/>
    <w:rsid w:val="00D83A9C"/>
    <w:rsid w:val="00D86523"/>
    <w:rsid w:val="00D90C1A"/>
    <w:rsid w:val="00D92A2E"/>
    <w:rsid w:val="00D94631"/>
    <w:rsid w:val="00D95479"/>
    <w:rsid w:val="00D95E6C"/>
    <w:rsid w:val="00D968EB"/>
    <w:rsid w:val="00DA0B2F"/>
    <w:rsid w:val="00DB3584"/>
    <w:rsid w:val="00DB36A5"/>
    <w:rsid w:val="00DC5979"/>
    <w:rsid w:val="00DC5B84"/>
    <w:rsid w:val="00DC6C56"/>
    <w:rsid w:val="00DD6681"/>
    <w:rsid w:val="00DE2F9E"/>
    <w:rsid w:val="00DF27E5"/>
    <w:rsid w:val="00E00FD5"/>
    <w:rsid w:val="00E0435A"/>
    <w:rsid w:val="00E045D6"/>
    <w:rsid w:val="00E0657C"/>
    <w:rsid w:val="00E15884"/>
    <w:rsid w:val="00E16A22"/>
    <w:rsid w:val="00E20AB7"/>
    <w:rsid w:val="00E22808"/>
    <w:rsid w:val="00E2288A"/>
    <w:rsid w:val="00E315B1"/>
    <w:rsid w:val="00E352DC"/>
    <w:rsid w:val="00E37F14"/>
    <w:rsid w:val="00E40D24"/>
    <w:rsid w:val="00E41475"/>
    <w:rsid w:val="00E44A48"/>
    <w:rsid w:val="00E46669"/>
    <w:rsid w:val="00E47F63"/>
    <w:rsid w:val="00E50D90"/>
    <w:rsid w:val="00E51D4D"/>
    <w:rsid w:val="00E57B24"/>
    <w:rsid w:val="00E6038C"/>
    <w:rsid w:val="00E63C12"/>
    <w:rsid w:val="00E64EFB"/>
    <w:rsid w:val="00E65A26"/>
    <w:rsid w:val="00E671EE"/>
    <w:rsid w:val="00E73BC2"/>
    <w:rsid w:val="00E84399"/>
    <w:rsid w:val="00E8734F"/>
    <w:rsid w:val="00E92390"/>
    <w:rsid w:val="00E923A8"/>
    <w:rsid w:val="00E9636C"/>
    <w:rsid w:val="00E96BC1"/>
    <w:rsid w:val="00EA128B"/>
    <w:rsid w:val="00EA32F0"/>
    <w:rsid w:val="00EA4EE9"/>
    <w:rsid w:val="00EA5051"/>
    <w:rsid w:val="00EA5BAD"/>
    <w:rsid w:val="00EB00BC"/>
    <w:rsid w:val="00EB23D1"/>
    <w:rsid w:val="00EB7141"/>
    <w:rsid w:val="00EC0B79"/>
    <w:rsid w:val="00EC1FE3"/>
    <w:rsid w:val="00EC3BC9"/>
    <w:rsid w:val="00EC5846"/>
    <w:rsid w:val="00EC620B"/>
    <w:rsid w:val="00EC79CB"/>
    <w:rsid w:val="00ED06F2"/>
    <w:rsid w:val="00ED1989"/>
    <w:rsid w:val="00ED34BC"/>
    <w:rsid w:val="00ED3C26"/>
    <w:rsid w:val="00EE0598"/>
    <w:rsid w:val="00EE0F63"/>
    <w:rsid w:val="00EE37B0"/>
    <w:rsid w:val="00EE7E1C"/>
    <w:rsid w:val="00EF45CF"/>
    <w:rsid w:val="00F06B63"/>
    <w:rsid w:val="00F07059"/>
    <w:rsid w:val="00F073A0"/>
    <w:rsid w:val="00F128BD"/>
    <w:rsid w:val="00F215A7"/>
    <w:rsid w:val="00F23C23"/>
    <w:rsid w:val="00F252D7"/>
    <w:rsid w:val="00F30BCD"/>
    <w:rsid w:val="00F44B71"/>
    <w:rsid w:val="00F50767"/>
    <w:rsid w:val="00F5267F"/>
    <w:rsid w:val="00F65786"/>
    <w:rsid w:val="00F659ED"/>
    <w:rsid w:val="00F67B23"/>
    <w:rsid w:val="00F81479"/>
    <w:rsid w:val="00F83610"/>
    <w:rsid w:val="00F859D6"/>
    <w:rsid w:val="00F85A98"/>
    <w:rsid w:val="00F90B9C"/>
    <w:rsid w:val="00F95E24"/>
    <w:rsid w:val="00F9601E"/>
    <w:rsid w:val="00F96D58"/>
    <w:rsid w:val="00FA2CEE"/>
    <w:rsid w:val="00FA3E92"/>
    <w:rsid w:val="00FA7497"/>
    <w:rsid w:val="00FC22B2"/>
    <w:rsid w:val="00FC493A"/>
    <w:rsid w:val="00FC766A"/>
    <w:rsid w:val="00FD231E"/>
    <w:rsid w:val="00FD3B56"/>
    <w:rsid w:val="00FE34A6"/>
    <w:rsid w:val="00FE7249"/>
    <w:rsid w:val="00FF24BE"/>
    <w:rsid w:val="00FF6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58F2C4"/>
  <w15:chartTrackingRefBased/>
  <w15:docId w15:val="{75E96E9C-2E86-4898-9094-DC02B0861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72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semiHidden/>
    <w:rPr>
      <w:rFonts w:ascii="Tahoma" w:hAnsi="Tahoma" w:cs="Tahoma"/>
      <w:sz w:val="16"/>
      <w:szCs w:val="16"/>
    </w:rPr>
  </w:style>
  <w:style w:type="paragraph" w:customStyle="1" w:styleId="c1">
    <w:name w:val="c1"/>
    <w:basedOn w:val="Normal"/>
    <w:pPr>
      <w:spacing w:before="100" w:beforeAutospacing="1" w:after="100" w:afterAutospacing="1"/>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style>
  <w:style w:type="paragraph" w:customStyle="1" w:styleId="NormalSS">
    <w:name w:val="NormalSS"/>
    <w:basedOn w:val="Normal"/>
    <w:pPr>
      <w:tabs>
        <w:tab w:val="left" w:pos="432"/>
      </w:tabs>
      <w:ind w:firstLine="432"/>
      <w:jc w:val="both"/>
    </w:pPr>
    <w:rPr>
      <w:szCs w:val="20"/>
    </w:rPr>
  </w:style>
  <w:style w:type="paragraph" w:customStyle="1" w:styleId="ParagraphLAST">
    <w:name w:val="Paragraph (LAST)"/>
    <w:basedOn w:val="Normal"/>
    <w:next w:val="Normal"/>
    <w:pPr>
      <w:tabs>
        <w:tab w:val="left" w:pos="432"/>
      </w:tabs>
      <w:spacing w:after="240" w:line="480" w:lineRule="auto"/>
      <w:ind w:firstLine="432"/>
      <w:jc w:val="both"/>
    </w:pPr>
    <w:rPr>
      <w:szCs w:val="20"/>
    </w:rPr>
  </w:style>
  <w:style w:type="paragraph" w:styleId="BodyTextIndent2">
    <w:name w:val="Body Text Indent 2"/>
    <w:basedOn w:val="Normal"/>
    <w:pPr>
      <w:ind w:left="720"/>
      <w:jc w:val="both"/>
    </w:pPr>
  </w:style>
  <w:style w:type="character" w:customStyle="1" w:styleId="MTEquationSection">
    <w:name w:val="MTEquationSection"/>
    <w:rPr>
      <w:vanish/>
      <w:color w:val="FF0000"/>
    </w:rPr>
  </w:style>
  <w:style w:type="character" w:styleId="FootnoteReference">
    <w:name w:val="footnote reference"/>
    <w:semiHidden/>
    <w:rPr>
      <w:spacing w:val="0"/>
      <w:position w:val="0"/>
      <w:u w:color="000080"/>
      <w:effect w:val="none"/>
      <w:vertAlign w:val="superscript"/>
    </w:rPr>
  </w:style>
  <w:style w:type="paragraph" w:styleId="BodyText">
    <w:name w:val="Body Text"/>
    <w:basedOn w:val="Normal"/>
    <w:pPr>
      <w:tabs>
        <w:tab w:val="left" w:pos="432"/>
      </w:tabs>
      <w:spacing w:line="480" w:lineRule="auto"/>
      <w:jc w:val="both"/>
    </w:pPr>
    <w:rPr>
      <w:szCs w:val="20"/>
    </w:rPr>
  </w:style>
  <w:style w:type="paragraph" w:customStyle="1" w:styleId="MarkforTable">
    <w:name w:val="Mark for Table"/>
    <w:next w:val="Normal"/>
    <w:pPr>
      <w:spacing w:line="480" w:lineRule="auto"/>
      <w:jc w:val="center"/>
    </w:pPr>
    <w:rPr>
      <w:caps/>
      <w:sz w:val="24"/>
    </w:rPr>
  </w:style>
  <w:style w:type="paragraph" w:styleId="FootnoteText">
    <w:name w:val="footnote text"/>
    <w:basedOn w:val="Normal"/>
    <w:semiHidden/>
    <w:pPr>
      <w:tabs>
        <w:tab w:val="left" w:pos="432"/>
      </w:tabs>
      <w:spacing w:after="240"/>
      <w:ind w:firstLine="432"/>
      <w:jc w:val="both"/>
    </w:pPr>
    <w:rPr>
      <w:sz w:val="20"/>
      <w:szCs w:val="20"/>
    </w:rPr>
  </w:style>
  <w:style w:type="character" w:styleId="CommentReference">
    <w:name w:val="annotation reference"/>
    <w:uiPriority w:val="99"/>
    <w:rsid w:val="00C338CC"/>
    <w:rPr>
      <w:sz w:val="16"/>
      <w:szCs w:val="16"/>
    </w:rPr>
  </w:style>
  <w:style w:type="paragraph" w:styleId="CommentText">
    <w:name w:val="annotation text"/>
    <w:aliases w:val="t,Times New Roman"/>
    <w:basedOn w:val="Normal"/>
    <w:link w:val="CommentTextChar"/>
    <w:uiPriority w:val="99"/>
    <w:qFormat/>
    <w:rsid w:val="00C338CC"/>
    <w:rPr>
      <w:sz w:val="20"/>
      <w:szCs w:val="20"/>
    </w:rPr>
  </w:style>
  <w:style w:type="character" w:customStyle="1" w:styleId="CommentTextChar">
    <w:name w:val="Comment Text Char"/>
    <w:aliases w:val="t Char,Times New Roman Char"/>
    <w:basedOn w:val="DefaultParagraphFont"/>
    <w:link w:val="CommentText"/>
    <w:uiPriority w:val="99"/>
    <w:rsid w:val="00C338CC"/>
  </w:style>
  <w:style w:type="paragraph" w:styleId="CommentSubject">
    <w:name w:val="annotation subject"/>
    <w:basedOn w:val="CommentText"/>
    <w:next w:val="CommentText"/>
    <w:link w:val="CommentSubjectChar"/>
    <w:rsid w:val="00C338CC"/>
    <w:rPr>
      <w:b/>
      <w:bCs/>
    </w:rPr>
  </w:style>
  <w:style w:type="character" w:customStyle="1" w:styleId="CommentSubjectChar">
    <w:name w:val="Comment Subject Char"/>
    <w:link w:val="CommentSubject"/>
    <w:rsid w:val="00C338CC"/>
    <w:rPr>
      <w:b/>
      <w:bCs/>
    </w:rPr>
  </w:style>
  <w:style w:type="paragraph" w:styleId="Header">
    <w:name w:val="header"/>
    <w:basedOn w:val="Normal"/>
    <w:link w:val="HeaderChar"/>
    <w:rsid w:val="005029DB"/>
    <w:pPr>
      <w:tabs>
        <w:tab w:val="center" w:pos="4680"/>
        <w:tab w:val="right" w:pos="9360"/>
      </w:tabs>
    </w:pPr>
  </w:style>
  <w:style w:type="character" w:customStyle="1" w:styleId="HeaderChar">
    <w:name w:val="Header Char"/>
    <w:link w:val="Header"/>
    <w:rsid w:val="005029DB"/>
    <w:rPr>
      <w:sz w:val="24"/>
      <w:szCs w:val="24"/>
    </w:rPr>
  </w:style>
  <w:style w:type="character" w:styleId="Hyperlink">
    <w:name w:val="Hyperlink"/>
    <w:rsid w:val="00A44998"/>
    <w:rPr>
      <w:color w:val="0000FF"/>
      <w:u w:val="single"/>
    </w:rPr>
  </w:style>
  <w:style w:type="character" w:styleId="FollowedHyperlink">
    <w:name w:val="FollowedHyperlink"/>
    <w:rsid w:val="00A44998"/>
    <w:rPr>
      <w:color w:val="800080"/>
      <w:u w:val="single"/>
    </w:rPr>
  </w:style>
  <w:style w:type="paragraph" w:styleId="Revision">
    <w:name w:val="Revision"/>
    <w:hidden/>
    <w:uiPriority w:val="99"/>
    <w:semiHidden/>
    <w:rsid w:val="00A8381E"/>
    <w:rPr>
      <w:sz w:val="24"/>
      <w:szCs w:val="24"/>
    </w:rPr>
  </w:style>
  <w:style w:type="character" w:customStyle="1" w:styleId="UnresolvedMention1">
    <w:name w:val="Unresolved Mention1"/>
    <w:uiPriority w:val="99"/>
    <w:semiHidden/>
    <w:unhideWhenUsed/>
    <w:rsid w:val="006D0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52665">
      <w:bodyDiv w:val="1"/>
      <w:marLeft w:val="0"/>
      <w:marRight w:val="0"/>
      <w:marTop w:val="0"/>
      <w:marBottom w:val="0"/>
      <w:divBdr>
        <w:top w:val="none" w:sz="0" w:space="0" w:color="auto"/>
        <w:left w:val="none" w:sz="0" w:space="0" w:color="auto"/>
        <w:bottom w:val="none" w:sz="0" w:space="0" w:color="auto"/>
        <w:right w:val="none" w:sz="0" w:space="0" w:color="auto"/>
      </w:divBdr>
    </w:div>
    <w:div w:id="208763999">
      <w:bodyDiv w:val="1"/>
      <w:marLeft w:val="0"/>
      <w:marRight w:val="0"/>
      <w:marTop w:val="0"/>
      <w:marBottom w:val="0"/>
      <w:divBdr>
        <w:top w:val="none" w:sz="0" w:space="0" w:color="auto"/>
        <w:left w:val="none" w:sz="0" w:space="0" w:color="auto"/>
        <w:bottom w:val="none" w:sz="0" w:space="0" w:color="auto"/>
        <w:right w:val="none" w:sz="0" w:space="0" w:color="auto"/>
      </w:divBdr>
    </w:div>
    <w:div w:id="720862995">
      <w:bodyDiv w:val="1"/>
      <w:marLeft w:val="0"/>
      <w:marRight w:val="0"/>
      <w:marTop w:val="0"/>
      <w:marBottom w:val="0"/>
      <w:divBdr>
        <w:top w:val="none" w:sz="0" w:space="0" w:color="auto"/>
        <w:left w:val="none" w:sz="0" w:space="0" w:color="auto"/>
        <w:bottom w:val="none" w:sz="0" w:space="0" w:color="auto"/>
        <w:right w:val="none" w:sz="0" w:space="0" w:color="auto"/>
      </w:divBdr>
    </w:div>
    <w:div w:id="854345692">
      <w:bodyDiv w:val="1"/>
      <w:marLeft w:val="0"/>
      <w:marRight w:val="0"/>
      <w:marTop w:val="0"/>
      <w:marBottom w:val="0"/>
      <w:divBdr>
        <w:top w:val="none" w:sz="0" w:space="0" w:color="auto"/>
        <w:left w:val="none" w:sz="0" w:space="0" w:color="auto"/>
        <w:bottom w:val="none" w:sz="0" w:space="0" w:color="auto"/>
        <w:right w:val="none" w:sz="0" w:space="0" w:color="auto"/>
      </w:divBdr>
    </w:div>
    <w:div w:id="879898006">
      <w:bodyDiv w:val="1"/>
      <w:marLeft w:val="0"/>
      <w:marRight w:val="0"/>
      <w:marTop w:val="0"/>
      <w:marBottom w:val="0"/>
      <w:divBdr>
        <w:top w:val="none" w:sz="0" w:space="0" w:color="auto"/>
        <w:left w:val="none" w:sz="0" w:space="0" w:color="auto"/>
        <w:bottom w:val="none" w:sz="0" w:space="0" w:color="auto"/>
        <w:right w:val="none" w:sz="0" w:space="0" w:color="auto"/>
      </w:divBdr>
    </w:div>
    <w:div w:id="1345521405">
      <w:bodyDiv w:val="1"/>
      <w:marLeft w:val="0"/>
      <w:marRight w:val="0"/>
      <w:marTop w:val="0"/>
      <w:marBottom w:val="0"/>
      <w:divBdr>
        <w:top w:val="none" w:sz="0" w:space="0" w:color="auto"/>
        <w:left w:val="none" w:sz="0" w:space="0" w:color="auto"/>
        <w:bottom w:val="none" w:sz="0" w:space="0" w:color="auto"/>
        <w:right w:val="none" w:sz="0" w:space="0" w:color="auto"/>
      </w:divBdr>
      <w:divsChild>
        <w:div w:id="1166045757">
          <w:marLeft w:val="1080"/>
          <w:marRight w:val="0"/>
          <w:marTop w:val="100"/>
          <w:marBottom w:val="0"/>
          <w:divBdr>
            <w:top w:val="none" w:sz="0" w:space="0" w:color="auto"/>
            <w:left w:val="none" w:sz="0" w:space="0" w:color="auto"/>
            <w:bottom w:val="none" w:sz="0" w:space="0" w:color="auto"/>
            <w:right w:val="none" w:sz="0" w:space="0" w:color="auto"/>
          </w:divBdr>
        </w:div>
        <w:div w:id="1928883226">
          <w:marLeft w:val="1080"/>
          <w:marRight w:val="0"/>
          <w:marTop w:val="100"/>
          <w:marBottom w:val="0"/>
          <w:divBdr>
            <w:top w:val="none" w:sz="0" w:space="0" w:color="auto"/>
            <w:left w:val="none" w:sz="0" w:space="0" w:color="auto"/>
            <w:bottom w:val="none" w:sz="0" w:space="0" w:color="auto"/>
            <w:right w:val="none" w:sz="0" w:space="0" w:color="auto"/>
          </w:divBdr>
        </w:div>
      </w:divsChild>
    </w:div>
    <w:div w:id="1643655250">
      <w:bodyDiv w:val="1"/>
      <w:marLeft w:val="0"/>
      <w:marRight w:val="0"/>
      <w:marTop w:val="0"/>
      <w:marBottom w:val="0"/>
      <w:divBdr>
        <w:top w:val="none" w:sz="0" w:space="0" w:color="auto"/>
        <w:left w:val="none" w:sz="0" w:space="0" w:color="auto"/>
        <w:bottom w:val="none" w:sz="0" w:space="0" w:color="auto"/>
        <w:right w:val="none" w:sz="0" w:space="0" w:color="auto"/>
      </w:divBdr>
    </w:div>
    <w:div w:id="1651711428">
      <w:bodyDiv w:val="1"/>
      <w:marLeft w:val="0"/>
      <w:marRight w:val="0"/>
      <w:marTop w:val="0"/>
      <w:marBottom w:val="0"/>
      <w:divBdr>
        <w:top w:val="none" w:sz="0" w:space="0" w:color="auto"/>
        <w:left w:val="none" w:sz="0" w:space="0" w:color="auto"/>
        <w:bottom w:val="none" w:sz="0" w:space="0" w:color="auto"/>
        <w:right w:val="none" w:sz="0" w:space="0" w:color="auto"/>
      </w:divBdr>
    </w:div>
    <w:div w:id="2059890848">
      <w:bodyDiv w:val="1"/>
      <w:marLeft w:val="0"/>
      <w:marRight w:val="0"/>
      <w:marTop w:val="0"/>
      <w:marBottom w:val="0"/>
      <w:divBdr>
        <w:top w:val="none" w:sz="0" w:space="0" w:color="auto"/>
        <w:left w:val="none" w:sz="0" w:space="0" w:color="auto"/>
        <w:bottom w:val="none" w:sz="0" w:space="0" w:color="auto"/>
        <w:right w:val="none" w:sz="0" w:space="0" w:color="auto"/>
      </w:divBdr>
      <w:divsChild>
        <w:div w:id="884752929">
          <w:marLeft w:val="806"/>
          <w:marRight w:val="0"/>
          <w:marTop w:val="200"/>
          <w:marBottom w:val="0"/>
          <w:divBdr>
            <w:top w:val="none" w:sz="0" w:space="0" w:color="auto"/>
            <w:left w:val="none" w:sz="0" w:space="0" w:color="auto"/>
            <w:bottom w:val="none" w:sz="0" w:space="0" w:color="auto"/>
            <w:right w:val="none" w:sz="0" w:space="0" w:color="auto"/>
          </w:divBdr>
        </w:div>
      </w:divsChild>
    </w:div>
    <w:div w:id="2128086399">
      <w:bodyDiv w:val="1"/>
      <w:marLeft w:val="0"/>
      <w:marRight w:val="0"/>
      <w:marTop w:val="0"/>
      <w:marBottom w:val="0"/>
      <w:divBdr>
        <w:top w:val="none" w:sz="0" w:space="0" w:color="auto"/>
        <w:left w:val="none" w:sz="0" w:space="0" w:color="auto"/>
        <w:bottom w:val="none" w:sz="0" w:space="0" w:color="auto"/>
        <w:right w:val="none" w:sz="0" w:space="0" w:color="auto"/>
      </w:divBdr>
      <w:divsChild>
        <w:div w:id="146559989">
          <w:marLeft w:val="1987"/>
          <w:marRight w:val="0"/>
          <w:marTop w:val="100"/>
          <w:marBottom w:val="0"/>
          <w:divBdr>
            <w:top w:val="none" w:sz="0" w:space="0" w:color="auto"/>
            <w:left w:val="none" w:sz="0" w:space="0" w:color="auto"/>
            <w:bottom w:val="none" w:sz="0" w:space="0" w:color="auto"/>
            <w:right w:val="none" w:sz="0" w:space="0" w:color="auto"/>
          </w:divBdr>
        </w:div>
        <w:div w:id="1695956585">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D49064331CBE478EC772F8FFBD7291" ma:contentTypeVersion="10" ma:contentTypeDescription="Create a new document." ma:contentTypeScope="" ma:versionID="6722eb567c39f11d43a4c3ad410c20bc">
  <xsd:schema xmlns:xsd="http://www.w3.org/2001/XMLSchema" xmlns:xs="http://www.w3.org/2001/XMLSchema" xmlns:p="http://schemas.microsoft.com/office/2006/metadata/properties" xmlns:ns3="281bc357-2ae0-428b-96ae-be059fb7da22" targetNamespace="http://schemas.microsoft.com/office/2006/metadata/properties" ma:root="true" ma:fieldsID="8a54382d475bba337efa3bcba55a6602" ns3:_="">
    <xsd:import namespace="281bc357-2ae0-428b-96ae-be059fb7da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bc357-2ae0-428b-96ae-be059fb7d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E809D-FF91-4C20-AB80-D3C11C922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bc357-2ae0-428b-96ae-be059fb7d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10C04B-05BD-411A-8E71-AE2ED061D1B3}">
  <ds:schemaRefs>
    <ds:schemaRef ds:uri="http://schemas.microsoft.com/sharepoint/v3/contenttype/forms"/>
  </ds:schemaRefs>
</ds:datastoreItem>
</file>

<file path=customXml/itemProps3.xml><?xml version="1.0" encoding="utf-8"?>
<ds:datastoreItem xmlns:ds="http://schemas.openxmlformats.org/officeDocument/2006/customXml" ds:itemID="{3A139E1A-4A05-447D-8D3C-68DB958F20D3}">
  <ds:schemaRefs>
    <ds:schemaRef ds:uri="http://purl.org/dc/terms/"/>
    <ds:schemaRef ds:uri="http://schemas.openxmlformats.org/package/2006/metadata/core-properties"/>
    <ds:schemaRef ds:uri="281bc357-2ae0-428b-96ae-be059fb7da2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D3B84E5-0311-4D0D-AAB1-3238612AD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10</Pages>
  <Words>2802</Words>
  <Characters>16197</Characters>
  <Application>Microsoft Office Word</Application>
  <DocSecurity>0</DocSecurity>
  <Lines>578</Lines>
  <Paragraphs>316</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CMS</Company>
  <LinksUpToDate>false</LinksUpToDate>
  <CharactersWithSpaces>18683</CharactersWithSpaces>
  <SharedDoc>false</SharedDoc>
  <HLinks>
    <vt:vector size="6" baseType="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subject>Supporting Statement A for Money Follows the Person Reports</dc:subject>
  <dc:creator>Mathematica</dc:creator>
  <cp:keywords>Money Follows the Person, PRA, OMB</cp:keywords>
  <cp:lastModifiedBy>Mitch Bryman</cp:lastModifiedBy>
  <cp:revision>12</cp:revision>
  <cp:lastPrinted>2012-04-30T16:54:00Z</cp:lastPrinted>
  <dcterms:created xsi:type="dcterms:W3CDTF">2021-07-22T13:59:00Z</dcterms:created>
  <dcterms:modified xsi:type="dcterms:W3CDTF">2021-07-22T15:05:00Z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0x01010003D49064331CBE478EC772F8FFBD7291</vt:lpwstr>
  </property>
</Properties>
</file>