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7B27" w:rsidR="000C4B5F" w:rsidP="00C33DAA" w:rsidRDefault="000C4B5F" w14:paraId="294869F9" w14:textId="6438E86D">
      <w:pPr>
        <w:pStyle w:val="BodyText"/>
        <w:rPr>
          <w:b/>
        </w:rPr>
      </w:pPr>
      <w:bookmarkStart w:name="_GoBack" w:id="0"/>
      <w:bookmarkEnd w:id="0"/>
      <w:r w:rsidRPr="006F7B27">
        <w:t>Supporting Statement – Part A</w:t>
      </w:r>
    </w:p>
    <w:p w:rsidRPr="006F7B27" w:rsidR="0092438B" w:rsidP="004305FE" w:rsidRDefault="0092438B" w14:paraId="5D17F3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eastAsiaTheme="majorEastAsia" w:cstheme="majorBidi"/>
          <w:b/>
          <w:spacing w:val="-10"/>
          <w:kern w:val="28"/>
        </w:rPr>
      </w:pPr>
      <w:r w:rsidRPr="006F7B27">
        <w:rPr>
          <w:rFonts w:eastAsiaTheme="majorEastAsia" w:cstheme="majorBidi"/>
          <w:b/>
          <w:spacing w:val="-10"/>
          <w:kern w:val="28"/>
        </w:rPr>
        <w:t>Quality Payment Program/Merit-Based Incentive Payment System (MIPS)</w:t>
      </w:r>
    </w:p>
    <w:p w:rsidRPr="006F7B27" w:rsidR="00D26EEF" w:rsidP="0092438B" w:rsidRDefault="0092438B" w14:paraId="1BFF0392" w14:textId="0A8E1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F7B27">
        <w:rPr>
          <w:rFonts w:eastAsiaTheme="majorEastAsia" w:cstheme="majorBidi"/>
          <w:b/>
          <w:spacing w:val="-10"/>
          <w:kern w:val="28"/>
        </w:rPr>
        <w:t>CMS-10621, O</w:t>
      </w:r>
      <w:r w:rsidRPr="006F7B27" w:rsidR="004305FE">
        <w:rPr>
          <w:rFonts w:eastAsiaTheme="majorEastAsia" w:cstheme="majorBidi"/>
          <w:b/>
          <w:spacing w:val="-10"/>
          <w:kern w:val="28"/>
        </w:rPr>
        <w:t>MB</w:t>
      </w:r>
      <w:r w:rsidRPr="006F7B27">
        <w:rPr>
          <w:rFonts w:eastAsiaTheme="majorEastAsia" w:cstheme="majorBidi"/>
          <w:b/>
          <w:spacing w:val="-10"/>
          <w:kern w:val="28"/>
        </w:rPr>
        <w:t xml:space="preserve"> 0938-1314</w:t>
      </w:r>
    </w:p>
    <w:p w:rsidRPr="00DA3D8C" w:rsidR="00D26EEF" w:rsidP="00DA4FD4" w:rsidRDefault="00D26EEF" w14:paraId="2138BB2D" w14:textId="409F1DE3">
      <w:pPr>
        <w:pStyle w:val="Heading1"/>
        <w:numPr>
          <w:ilvl w:val="0"/>
          <w:numId w:val="9"/>
        </w:numPr>
      </w:pPr>
      <w:r w:rsidRPr="00DA3D8C">
        <w:t>Background</w:t>
      </w:r>
    </w:p>
    <w:p w:rsidR="00092C2E" w:rsidP="00730BEF" w:rsidRDefault="00092C2E" w14:paraId="591B3C55" w14:textId="791C0C9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Merit-based Incentive Payment System (MIPS) is a program for certain eligible clinicians that makes Medicare payment adjustments based on performance on quality, cost and other measures and activities. MIPS and Advanced Alternative Payment Models (AAPMs) are the two paths for clinicians available through the Quality Payment Program authorized by the Medicare Access and CHIP Reauthorization Act of 2015 (MACRA). As prescribed by MACRA, MIPS focuses on the following: </w:t>
      </w:r>
      <w:r w:rsidR="00E83C37">
        <w:t xml:space="preserve"> </w:t>
      </w:r>
      <w:r>
        <w:t>quality – both a set of evidence-based, specialty-specific standards</w:t>
      </w:r>
      <w:r w:rsidR="000E0A28">
        <w:t>;</w:t>
      </w:r>
      <w:r>
        <w:t xml:space="preserve"> practice-based improvement activities; cost; and use of Certified Electronic Health Record Technology (CEHRT) to support interoperability and advanced quality objectives in a single, cohesive program that avoids redundancies. </w:t>
      </w:r>
    </w:p>
    <w:p w:rsidR="00092C2E" w:rsidP="00730BEF" w:rsidRDefault="00092C2E" w14:paraId="16CA6E7B" w14:textId="4849CE8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Under the AAPM path, eligible clinicians may become Qualifying APM Participants (QPs) and are excluded from MIPS. Partial Qualifying APM Participants (Partial QPs) may opt to report and be scored under MIPS.  </w:t>
      </w:r>
      <w:r w:rsidRPr="00092C2E">
        <w:t xml:space="preserve">Where Partial QP status is earned at the APM Entity level the burden of Partial QP election would be incurred by a representative of the participating APM Entity.  For Advanced APMs where Partial QP status is earned at the eligible clinician level, the burden of Partial QP election would be incurred by the eligible clinician.  </w:t>
      </w:r>
      <w:r w:rsidRPr="00222D1B" w:rsidR="00222D1B">
        <w:t xml:space="preserve">APM Entities </w:t>
      </w:r>
      <w:r w:rsidR="005030FD">
        <w:t>and</w:t>
      </w:r>
      <w:r w:rsidRPr="00222D1B" w:rsidR="00222D1B">
        <w:t xml:space="preserve"> eligible clinicians must </w:t>
      </w:r>
      <w:r w:rsidR="004B5C34">
        <w:t xml:space="preserve">also </w:t>
      </w:r>
      <w:r w:rsidRPr="00222D1B" w:rsidR="00222D1B">
        <w:t>submit all of the required information about the Other Payer Advanced APMs in which they participate, including those for which there is a pending request for an Other Payer Advanced APM determination, as well as the payment amount and patient count information sufficient for us to make QP determinations by December 1 of the calendar year that is 2 years to prior to the payment year</w:t>
      </w:r>
      <w:r w:rsidR="00222D1B">
        <w:t xml:space="preserve">, </w:t>
      </w:r>
      <w:r w:rsidRPr="00C47150" w:rsidR="00222D1B">
        <w:t xml:space="preserve">which we refer to as the QP Determination Submission Deadline (82 FR 53886).  </w:t>
      </w:r>
    </w:p>
    <w:p w:rsidR="00092C2E" w:rsidP="00730BEF" w:rsidRDefault="00092C2E" w14:paraId="026BC257" w14:textId="0D74C3C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t xml:space="preserve">The implementation of MIPS requires the collection of quality, </w:t>
      </w:r>
      <w:r w:rsidR="00222D1B">
        <w:t>Promoting Interoperability</w:t>
      </w:r>
      <w:r>
        <w:t>, and improvement activities performance category data.</w:t>
      </w:r>
      <w:r w:rsidR="00F049CC">
        <w:rPr>
          <w:rStyle w:val="FootnoteReference"/>
        </w:rPr>
        <w:footnoteReference w:id="2"/>
      </w:r>
      <w:r>
        <w:t xml:space="preserve">  For the quality performance category, MIPS</w:t>
      </w:r>
      <w:r w:rsidR="00AF0D67">
        <w:t xml:space="preserve"> eligible clinicians</w:t>
      </w:r>
      <w:r w:rsidR="001964ED">
        <w:t xml:space="preserve"> and</w:t>
      </w:r>
      <w:r w:rsidR="00AF0D67">
        <w:t xml:space="preserve"> groups</w:t>
      </w:r>
      <w:r w:rsidR="00E3061C">
        <w:t xml:space="preserve"> </w:t>
      </w:r>
      <w:r>
        <w:t xml:space="preserve">will have the option to submit data using various </w:t>
      </w:r>
      <w:r w:rsidR="00222D1B">
        <w:t>submission types</w:t>
      </w:r>
      <w:r>
        <w:t xml:space="preserve">, including Medicare claims, </w:t>
      </w:r>
      <w:r w:rsidR="00222D1B">
        <w:t>direct, log in and</w:t>
      </w:r>
      <w:r w:rsidR="00F049CC">
        <w:t xml:space="preserve"> upload, </w:t>
      </w:r>
      <w:r w:rsidR="00AB04F5">
        <w:t xml:space="preserve">CMS Web Interface </w:t>
      </w:r>
      <w:r w:rsidR="00F049CC">
        <w:t xml:space="preserve">and </w:t>
      </w:r>
      <w:r w:rsidRPr="00D06FBB" w:rsidR="00F049CC">
        <w:t>CMS-approved survey vendors</w:t>
      </w:r>
      <w:r w:rsidR="00222D1B">
        <w:t>.</w:t>
      </w:r>
      <w:r w:rsidR="00F049CC">
        <w:rPr>
          <w:rStyle w:val="FootnoteReference"/>
        </w:rPr>
        <w:footnoteReference w:id="3"/>
      </w:r>
      <w:r>
        <w:t xml:space="preserve"> </w:t>
      </w:r>
      <w:r w:rsidR="00222D1B">
        <w:t xml:space="preserve"> </w:t>
      </w:r>
      <w:r w:rsidR="001964ED">
        <w:t>Virtual groups are subject to the same requirements as groups, therefore</w:t>
      </w:r>
      <w:r w:rsidR="003C5709">
        <w:t>,</w:t>
      </w:r>
      <w:r w:rsidR="001964ED">
        <w:t xml:space="preserve"> we will refer only to groups as an inclusive term for both</w:t>
      </w:r>
      <w:r w:rsidR="00FD3EC2">
        <w:t xml:space="preserve"> unless otherwise noted</w:t>
      </w:r>
      <w:r w:rsidR="001964ED">
        <w:t xml:space="preserve">.  </w:t>
      </w:r>
      <w:r>
        <w:t xml:space="preserve">For the improvement activities and </w:t>
      </w:r>
      <w:r w:rsidR="00E3061C">
        <w:t>Promoting Interoperability</w:t>
      </w:r>
      <w:r>
        <w:t>, clinicians</w:t>
      </w:r>
      <w:r w:rsidR="001964ED">
        <w:t xml:space="preserve"> and </w:t>
      </w:r>
      <w:r w:rsidR="00E3061C">
        <w:t>groups</w:t>
      </w:r>
      <w:r>
        <w:t xml:space="preserve"> can submit data </w:t>
      </w:r>
      <w:r w:rsidRPr="00C47150" w:rsidR="00E3061C">
        <w:t>through direct, log</w:t>
      </w:r>
      <w:r w:rsidR="00E3061C">
        <w:t xml:space="preserve"> </w:t>
      </w:r>
      <w:r w:rsidRPr="00C47150" w:rsidR="00E3061C">
        <w:t>in and upload, or log</w:t>
      </w:r>
      <w:r w:rsidR="00E3061C">
        <w:t xml:space="preserve"> </w:t>
      </w:r>
      <w:r w:rsidRPr="00C47150" w:rsidR="00E3061C">
        <w:t xml:space="preserve">in and attest submission types.  </w:t>
      </w:r>
      <w:r w:rsidR="004277EC">
        <w:t>As finalized in the CY 2021 PFS final rule</w:t>
      </w:r>
      <w:r w:rsidR="00362371">
        <w:t xml:space="preserve"> (85 FR 84860)</w:t>
      </w:r>
      <w:r w:rsidR="004277EC">
        <w:t xml:space="preserve">, </w:t>
      </w:r>
      <w:r w:rsidRPr="004D3864" w:rsidR="009F3A58">
        <w:rPr>
          <w:rFonts w:eastAsia="Calibri"/>
        </w:rPr>
        <w:t xml:space="preserve">for clinicians in APM Entities, the APM Performance Pathway </w:t>
      </w:r>
      <w:r w:rsidR="004277EC">
        <w:rPr>
          <w:rFonts w:eastAsia="Calibri"/>
        </w:rPr>
        <w:t xml:space="preserve">will be available </w:t>
      </w:r>
      <w:r w:rsidRPr="004D3864" w:rsidR="009F3A58">
        <w:rPr>
          <w:rFonts w:eastAsia="Calibri"/>
        </w:rPr>
        <w:t>for both ACO</w:t>
      </w:r>
      <w:r w:rsidR="003D0BD2">
        <w:rPr>
          <w:rFonts w:eastAsia="Calibri"/>
        </w:rPr>
        <w:t>s</w:t>
      </w:r>
      <w:r w:rsidRPr="004D3864" w:rsidR="009F3A58">
        <w:rPr>
          <w:rFonts w:eastAsia="Calibri"/>
        </w:rPr>
        <w:t xml:space="preserve"> and non ACOs</w:t>
      </w:r>
      <w:r w:rsidR="009F3A58">
        <w:rPr>
          <w:rFonts w:eastAsia="Calibri"/>
        </w:rPr>
        <w:t xml:space="preserve"> to submit quality data.  D</w:t>
      </w:r>
      <w:r w:rsidRPr="00457777" w:rsidR="009F3A58">
        <w:rPr>
          <w:rFonts w:eastAsia="Calibri"/>
        </w:rPr>
        <w:t xml:space="preserve">ue to data limitations and our inability to determine who would use the APM Performance Pathway versus the traditional MIPS submission </w:t>
      </w:r>
      <w:r w:rsidR="009F3A58">
        <w:rPr>
          <w:rFonts w:eastAsia="Calibri"/>
        </w:rPr>
        <w:t xml:space="preserve">mechanism for the </w:t>
      </w:r>
      <w:r w:rsidR="000C7754">
        <w:rPr>
          <w:rFonts w:eastAsia="Calibri"/>
        </w:rPr>
        <w:t xml:space="preserve">CY </w:t>
      </w:r>
      <w:r w:rsidR="009F3A58">
        <w:rPr>
          <w:rFonts w:eastAsia="Calibri"/>
        </w:rPr>
        <w:t>202</w:t>
      </w:r>
      <w:r w:rsidR="000C7754">
        <w:rPr>
          <w:rFonts w:eastAsia="Calibri"/>
        </w:rPr>
        <w:t>2</w:t>
      </w:r>
      <w:r w:rsidR="009F3A58">
        <w:rPr>
          <w:rFonts w:eastAsia="Calibri"/>
        </w:rPr>
        <w:t xml:space="preserve"> MIPS performance period</w:t>
      </w:r>
      <w:r w:rsidR="000C7754">
        <w:rPr>
          <w:rFonts w:eastAsia="Calibri"/>
        </w:rPr>
        <w:t>/</w:t>
      </w:r>
      <w:r w:rsidR="00EC3380">
        <w:rPr>
          <w:rFonts w:eastAsia="Calibri"/>
        </w:rPr>
        <w:t>2024 MIPS payment year</w:t>
      </w:r>
      <w:r w:rsidRPr="00457777" w:rsidR="009F3A58">
        <w:rPr>
          <w:rFonts w:eastAsia="Calibri"/>
        </w:rPr>
        <w:t xml:space="preserve">, we assume ACO APM Entities will submit data through the APM </w:t>
      </w:r>
      <w:r w:rsidRPr="00457777" w:rsidR="009F3A58">
        <w:rPr>
          <w:rFonts w:eastAsia="Calibri"/>
        </w:rPr>
        <w:lastRenderedPageBreak/>
        <w:t>Performance Pathway</w:t>
      </w:r>
      <w:r w:rsidR="004277EC">
        <w:rPr>
          <w:rFonts w:eastAsia="Calibri"/>
        </w:rPr>
        <w:t>, using the CMS Web Interface option,</w:t>
      </w:r>
      <w:r w:rsidR="009F3A58">
        <w:rPr>
          <w:rFonts w:eastAsia="Calibri"/>
        </w:rPr>
        <w:t xml:space="preserve"> and</w:t>
      </w:r>
      <w:r w:rsidRPr="00457777" w:rsidR="009F3A58">
        <w:rPr>
          <w:rFonts w:eastAsia="Calibri"/>
        </w:rPr>
        <w:t xml:space="preserve"> non-ACO APM Entities would participate through traditional MIPS</w:t>
      </w:r>
      <w:r w:rsidR="009F3A58">
        <w:rPr>
          <w:rFonts w:eastAsia="Calibri"/>
        </w:rPr>
        <w:t xml:space="preserve">, thereby </w:t>
      </w:r>
      <w:r w:rsidRPr="00457777" w:rsidR="009F3A58">
        <w:rPr>
          <w:rFonts w:eastAsia="Calibri"/>
        </w:rPr>
        <w:t>submit</w:t>
      </w:r>
      <w:r w:rsidR="009F3A58">
        <w:rPr>
          <w:rFonts w:eastAsia="Calibri"/>
        </w:rPr>
        <w:t>ting</w:t>
      </w:r>
      <w:r w:rsidRPr="00457777" w:rsidR="009F3A58">
        <w:rPr>
          <w:rFonts w:eastAsia="Calibri"/>
        </w:rPr>
        <w:t xml:space="preserve"> as an individual or group rather than as an entity</w:t>
      </w:r>
      <w:r w:rsidR="009F3A58">
        <w:rPr>
          <w:rFonts w:eastAsia="Calibri"/>
        </w:rPr>
        <w:t xml:space="preserve">.  We are </w:t>
      </w:r>
      <w:r w:rsidR="00AB04F5">
        <w:rPr>
          <w:rFonts w:eastAsia="Calibri"/>
        </w:rPr>
        <w:t>proposing</w:t>
      </w:r>
      <w:r w:rsidRPr="00DD484C" w:rsidR="00AB04F5">
        <w:rPr>
          <w:rFonts w:eastAsia="Calibri"/>
        </w:rPr>
        <w:t xml:space="preserve"> </w:t>
      </w:r>
      <w:r w:rsidR="00272E69">
        <w:rPr>
          <w:rFonts w:eastAsia="Calibri"/>
        </w:rPr>
        <w:t>in the CY 2022 PFS proposed rule</w:t>
      </w:r>
      <w:r w:rsidRPr="00DD484C" w:rsidR="00AB04F5">
        <w:rPr>
          <w:rFonts w:eastAsia="Calibri"/>
        </w:rPr>
        <w:t xml:space="preserve"> </w:t>
      </w:r>
      <w:r w:rsidRPr="00DD484C" w:rsidR="009F3A58">
        <w:rPr>
          <w:rFonts w:eastAsia="Calibri"/>
        </w:rPr>
        <w:t xml:space="preserve">to </w:t>
      </w:r>
      <w:r w:rsidR="00320B4C">
        <w:rPr>
          <w:rFonts w:eastAsia="Calibri"/>
        </w:rPr>
        <w:t>extend</w:t>
      </w:r>
      <w:r w:rsidRPr="00DD484C" w:rsidR="00320B4C">
        <w:rPr>
          <w:rFonts w:eastAsia="Calibri"/>
        </w:rPr>
        <w:t xml:space="preserve"> </w:t>
      </w:r>
      <w:r w:rsidRPr="00DD484C" w:rsidR="009F3A58">
        <w:rPr>
          <w:rFonts w:eastAsia="Calibri"/>
        </w:rPr>
        <w:t xml:space="preserve">the CMS </w:t>
      </w:r>
      <w:r w:rsidR="009F3A58">
        <w:rPr>
          <w:rFonts w:eastAsia="Calibri"/>
        </w:rPr>
        <w:t>W</w:t>
      </w:r>
      <w:r w:rsidRPr="00DD484C" w:rsidR="009F3A58">
        <w:rPr>
          <w:rFonts w:eastAsia="Calibri"/>
        </w:rPr>
        <w:t xml:space="preserve">eb </w:t>
      </w:r>
      <w:r w:rsidR="009F3A58">
        <w:rPr>
          <w:rFonts w:eastAsia="Calibri"/>
        </w:rPr>
        <w:t>I</w:t>
      </w:r>
      <w:r w:rsidRPr="00DD484C" w:rsidR="009F3A58">
        <w:rPr>
          <w:rFonts w:eastAsia="Calibri"/>
        </w:rPr>
        <w:t xml:space="preserve">nterface </w:t>
      </w:r>
      <w:r w:rsidR="009F3A58">
        <w:rPr>
          <w:rFonts w:eastAsia="Calibri"/>
        </w:rPr>
        <w:t xml:space="preserve">measures as a </w:t>
      </w:r>
      <w:r w:rsidR="00C41EDD">
        <w:rPr>
          <w:rFonts w:eastAsia="Calibri"/>
        </w:rPr>
        <w:t xml:space="preserve">quality performance category </w:t>
      </w:r>
      <w:r w:rsidRPr="00DD484C" w:rsidR="009F3A58">
        <w:rPr>
          <w:rFonts w:eastAsia="Calibri"/>
        </w:rPr>
        <w:t>collection type</w:t>
      </w:r>
      <w:r w:rsidR="009F3A58">
        <w:rPr>
          <w:rFonts w:eastAsia="Calibri"/>
        </w:rPr>
        <w:t>/submission type</w:t>
      </w:r>
      <w:r w:rsidRPr="00DD484C" w:rsidR="009F3A58">
        <w:rPr>
          <w:rFonts w:eastAsia="Calibri"/>
        </w:rPr>
        <w:t xml:space="preserve"> </w:t>
      </w:r>
      <w:r w:rsidR="00320B4C">
        <w:rPr>
          <w:rFonts w:eastAsia="Calibri"/>
        </w:rPr>
        <w:t>for</w:t>
      </w:r>
      <w:r w:rsidR="009F3A58">
        <w:rPr>
          <w:rFonts w:eastAsia="Calibri"/>
        </w:rPr>
        <w:t xml:space="preserve"> the </w:t>
      </w:r>
      <w:r w:rsidR="005F1380">
        <w:rPr>
          <w:rFonts w:eastAsia="Calibri"/>
        </w:rPr>
        <w:t xml:space="preserve">CY </w:t>
      </w:r>
      <w:r w:rsidR="009F3A58">
        <w:rPr>
          <w:rFonts w:eastAsia="Calibri"/>
        </w:rPr>
        <w:t>202</w:t>
      </w:r>
      <w:r w:rsidR="004277EC">
        <w:rPr>
          <w:rFonts w:eastAsia="Calibri"/>
        </w:rPr>
        <w:t>2</w:t>
      </w:r>
      <w:r w:rsidR="009F3A58">
        <w:rPr>
          <w:rFonts w:eastAsia="Calibri"/>
        </w:rPr>
        <w:t xml:space="preserve"> </w:t>
      </w:r>
      <w:r w:rsidR="004277EC">
        <w:rPr>
          <w:rFonts w:eastAsia="Calibri"/>
        </w:rPr>
        <w:t xml:space="preserve">MIPS </w:t>
      </w:r>
      <w:r w:rsidR="009F3A58">
        <w:rPr>
          <w:rFonts w:eastAsia="Calibri"/>
        </w:rPr>
        <w:t>performance period</w:t>
      </w:r>
      <w:r w:rsidR="005F1380">
        <w:rPr>
          <w:rFonts w:eastAsia="Calibri"/>
        </w:rPr>
        <w:t>/2024 MIPS payment year</w:t>
      </w:r>
      <w:r w:rsidR="009F3A58">
        <w:rPr>
          <w:rFonts w:eastAsia="Calibri"/>
        </w:rPr>
        <w:t xml:space="preserve">. </w:t>
      </w:r>
      <w:r w:rsidR="00D40F41">
        <w:rPr>
          <w:rFonts w:eastAsia="Calibri"/>
        </w:rPr>
        <w:t xml:space="preserve">We are also proposing to sunset the CMS Web interface measures as a quality performance category collection type/submission type starting with the </w:t>
      </w:r>
      <w:r w:rsidR="00807F1F">
        <w:rPr>
          <w:rFonts w:eastAsia="Calibri"/>
        </w:rPr>
        <w:t>CY 2023 MIPS performance period/2025 MIPS payment year.</w:t>
      </w:r>
      <w:r w:rsidR="00733908">
        <w:rPr>
          <w:rFonts w:eastAsia="Calibri"/>
        </w:rPr>
        <w:t xml:space="preserve"> </w:t>
      </w:r>
      <w:r w:rsidR="00F518B5">
        <w:rPr>
          <w:rFonts w:eastAsia="Calibri"/>
        </w:rPr>
        <w:t>If this proposal is finalized</w:t>
      </w:r>
      <w:r w:rsidR="004277EC">
        <w:rPr>
          <w:rFonts w:eastAsia="Calibri"/>
        </w:rPr>
        <w:t xml:space="preserve">, beginning with </w:t>
      </w:r>
      <w:r w:rsidR="00191039">
        <w:rPr>
          <w:rFonts w:eastAsia="Calibri"/>
        </w:rPr>
        <w:t>January 1</w:t>
      </w:r>
      <w:r w:rsidR="006A4656">
        <w:rPr>
          <w:rFonts w:eastAsia="Calibri"/>
        </w:rPr>
        <w:t>,</w:t>
      </w:r>
      <w:r w:rsidR="002F5006">
        <w:rPr>
          <w:rFonts w:eastAsia="Calibri"/>
        </w:rPr>
        <w:t xml:space="preserve"> </w:t>
      </w:r>
      <w:r w:rsidR="004277EC">
        <w:rPr>
          <w:rFonts w:eastAsia="Calibri"/>
        </w:rPr>
        <w:t>202</w:t>
      </w:r>
      <w:r w:rsidR="000A48DD">
        <w:rPr>
          <w:rFonts w:eastAsia="Calibri"/>
        </w:rPr>
        <w:t>3</w:t>
      </w:r>
      <w:r w:rsidR="00395505">
        <w:rPr>
          <w:rFonts w:eastAsia="Calibri"/>
        </w:rPr>
        <w:t xml:space="preserve"> (which is the start of the </w:t>
      </w:r>
      <w:r w:rsidR="000D6FA7">
        <w:rPr>
          <w:rFonts w:eastAsia="Calibri"/>
        </w:rPr>
        <w:t xml:space="preserve">CY </w:t>
      </w:r>
      <w:r w:rsidR="004277EC">
        <w:rPr>
          <w:rFonts w:eastAsia="Calibri"/>
        </w:rPr>
        <w:t>202</w:t>
      </w:r>
      <w:r w:rsidR="000A48DD">
        <w:rPr>
          <w:rFonts w:eastAsia="Calibri"/>
        </w:rPr>
        <w:t>3</w:t>
      </w:r>
      <w:r w:rsidR="004277EC">
        <w:rPr>
          <w:rFonts w:eastAsia="Calibri"/>
        </w:rPr>
        <w:t xml:space="preserve"> MIPS performance period</w:t>
      </w:r>
      <w:r w:rsidR="00395505">
        <w:rPr>
          <w:rFonts w:eastAsia="Calibri"/>
        </w:rPr>
        <w:t>)</w:t>
      </w:r>
      <w:r w:rsidR="004277EC">
        <w:rPr>
          <w:rFonts w:eastAsia="Calibri"/>
        </w:rPr>
        <w:t>,</w:t>
      </w:r>
      <w:r w:rsidRPr="00DD484C" w:rsidR="009F3A58">
        <w:rPr>
          <w:rFonts w:eastAsia="Calibri"/>
        </w:rPr>
        <w:t xml:space="preserve"> </w:t>
      </w:r>
      <w:r w:rsidR="009F3A58">
        <w:rPr>
          <w:rFonts w:eastAsia="Calibri"/>
        </w:rPr>
        <w:t xml:space="preserve">groups of 25 or more clinicians that previously submitted quality performance data via the CMS Web Interface </w:t>
      </w:r>
      <w:r w:rsidR="006F056B">
        <w:rPr>
          <w:rFonts w:eastAsia="Calibri"/>
        </w:rPr>
        <w:t xml:space="preserve">will be </w:t>
      </w:r>
      <w:r w:rsidR="009F3A58">
        <w:rPr>
          <w:rFonts w:eastAsia="Calibri"/>
        </w:rPr>
        <w:t xml:space="preserve">required to use an alternate collection type, which will have to be either the MIPS </w:t>
      </w:r>
      <w:r w:rsidR="003F3558">
        <w:rPr>
          <w:rFonts w:eastAsia="Calibri"/>
        </w:rPr>
        <w:t>Clinical Quality Measures (</w:t>
      </w:r>
      <w:r w:rsidR="009F3A58">
        <w:rPr>
          <w:rFonts w:eastAsia="Calibri"/>
        </w:rPr>
        <w:t>CQM</w:t>
      </w:r>
      <w:r w:rsidR="003F3558">
        <w:rPr>
          <w:rFonts w:eastAsia="Calibri"/>
        </w:rPr>
        <w:t>)</w:t>
      </w:r>
      <w:r w:rsidR="009F3A58">
        <w:rPr>
          <w:rFonts w:eastAsia="Calibri"/>
        </w:rPr>
        <w:t xml:space="preserve"> and </w:t>
      </w:r>
      <w:r w:rsidR="003F3558">
        <w:rPr>
          <w:rFonts w:eastAsia="Calibri"/>
        </w:rPr>
        <w:t>Qualified Clinical Data Registry (</w:t>
      </w:r>
      <w:r w:rsidR="009F3A58">
        <w:rPr>
          <w:rFonts w:eastAsia="Calibri"/>
        </w:rPr>
        <w:t>QCDR</w:t>
      </w:r>
      <w:r w:rsidR="003F3558">
        <w:rPr>
          <w:rFonts w:eastAsia="Calibri"/>
        </w:rPr>
        <w:t>)</w:t>
      </w:r>
      <w:r w:rsidR="009F3A58">
        <w:rPr>
          <w:rFonts w:eastAsia="Calibri"/>
        </w:rPr>
        <w:t xml:space="preserve"> or </w:t>
      </w:r>
      <w:r w:rsidR="007E1DE6">
        <w:rPr>
          <w:rFonts w:eastAsia="Calibri"/>
        </w:rPr>
        <w:t>Electronic Clinical Quality Measures (</w:t>
      </w:r>
      <w:r w:rsidR="009F3A58">
        <w:rPr>
          <w:rFonts w:eastAsia="Calibri"/>
        </w:rPr>
        <w:t>eCQM</w:t>
      </w:r>
      <w:r w:rsidR="007E1DE6">
        <w:rPr>
          <w:rFonts w:eastAsia="Calibri"/>
        </w:rPr>
        <w:t>)</w:t>
      </w:r>
      <w:r w:rsidR="009F3A58">
        <w:rPr>
          <w:rFonts w:eastAsia="Calibri"/>
        </w:rPr>
        <w:t xml:space="preserve"> collection type.  </w:t>
      </w:r>
    </w:p>
    <w:p w:rsidR="00053F1B" w:rsidP="00730BEF" w:rsidRDefault="004B66B8" w14:paraId="59758923" w14:textId="2F7A0AB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eastAsia="Calibri"/>
        </w:rPr>
        <w:t xml:space="preserve">In the CY </w:t>
      </w:r>
      <w:r w:rsidR="004B103F">
        <w:rPr>
          <w:rFonts w:eastAsia="Calibri"/>
        </w:rPr>
        <w:t xml:space="preserve">2022 </w:t>
      </w:r>
      <w:r>
        <w:rPr>
          <w:rFonts w:eastAsia="Calibri"/>
        </w:rPr>
        <w:t>PFS proposed rule</w:t>
      </w:r>
      <w:r w:rsidR="00A72777">
        <w:rPr>
          <w:rFonts w:eastAsia="Calibri"/>
        </w:rPr>
        <w:t xml:space="preserve"> (86 FR 39356</w:t>
      </w:r>
      <w:r w:rsidR="005240E0">
        <w:rPr>
          <w:rFonts w:eastAsia="Calibri"/>
        </w:rPr>
        <w:t xml:space="preserve"> through 39357</w:t>
      </w:r>
      <w:r w:rsidR="00A72777">
        <w:rPr>
          <w:rFonts w:eastAsia="Calibri"/>
        </w:rPr>
        <w:t>)</w:t>
      </w:r>
      <w:r>
        <w:rPr>
          <w:rFonts w:eastAsia="Calibri"/>
        </w:rPr>
        <w:t>, w</w:t>
      </w:r>
      <w:r w:rsidR="00053F1B">
        <w:rPr>
          <w:rFonts w:eastAsia="Calibri"/>
        </w:rPr>
        <w:t xml:space="preserve">e </w:t>
      </w:r>
      <w:r>
        <w:rPr>
          <w:rFonts w:eastAsia="Calibri"/>
        </w:rPr>
        <w:t xml:space="preserve">propose to implement </w:t>
      </w:r>
      <w:r w:rsidR="00D715BE">
        <w:rPr>
          <w:rFonts w:eastAsia="Calibri"/>
        </w:rPr>
        <w:t xml:space="preserve">voluntary </w:t>
      </w:r>
      <w:r w:rsidR="000719C7">
        <w:rPr>
          <w:rFonts w:eastAsia="Calibri"/>
        </w:rPr>
        <w:t>MIPS Value Pathways (</w:t>
      </w:r>
      <w:r>
        <w:rPr>
          <w:rFonts w:eastAsia="Calibri"/>
        </w:rPr>
        <w:t>MVP</w:t>
      </w:r>
      <w:r w:rsidR="000719C7">
        <w:rPr>
          <w:rFonts w:eastAsia="Calibri"/>
        </w:rPr>
        <w:t>)</w:t>
      </w:r>
      <w:r w:rsidR="00D715BE">
        <w:rPr>
          <w:rFonts w:eastAsia="Calibri"/>
        </w:rPr>
        <w:t xml:space="preserve"> reporting </w:t>
      </w:r>
      <w:r w:rsidR="00FE2004">
        <w:rPr>
          <w:rFonts w:eastAsia="Calibri"/>
        </w:rPr>
        <w:t xml:space="preserve">for eligible clinicians </w:t>
      </w:r>
      <w:r w:rsidR="00D715BE">
        <w:rPr>
          <w:rFonts w:eastAsia="Calibri"/>
        </w:rPr>
        <w:t xml:space="preserve">beginning with </w:t>
      </w:r>
      <w:r w:rsidR="000B2A23">
        <w:rPr>
          <w:rFonts w:eastAsia="Calibri"/>
        </w:rPr>
        <w:t>Jan</w:t>
      </w:r>
      <w:r w:rsidR="005523E8">
        <w:rPr>
          <w:rFonts w:eastAsia="Calibri"/>
        </w:rPr>
        <w:t xml:space="preserve">uary 1 of </w:t>
      </w:r>
      <w:r w:rsidR="00D715BE">
        <w:rPr>
          <w:rFonts w:eastAsia="Calibri"/>
        </w:rPr>
        <w:t xml:space="preserve">the CY 2023 MIPS performance period/2025 MIPS payment year. </w:t>
      </w:r>
      <w:r w:rsidR="009F488E">
        <w:rPr>
          <w:rFonts w:eastAsia="Calibri"/>
        </w:rPr>
        <w:t>Beg</w:t>
      </w:r>
      <w:r w:rsidR="002F4823">
        <w:rPr>
          <w:rFonts w:eastAsia="Calibri"/>
        </w:rPr>
        <w:t>inning with the CY 2023 MIPS performance period/2025 MIPS payment year, w</w:t>
      </w:r>
      <w:r w:rsidR="00872BC4">
        <w:rPr>
          <w:rFonts w:eastAsia="Calibri"/>
        </w:rPr>
        <w:t xml:space="preserve">e are also proposing voluntary subgroup reporting </w:t>
      </w:r>
      <w:r w:rsidR="000F0505">
        <w:rPr>
          <w:rFonts w:eastAsia="Calibri"/>
        </w:rPr>
        <w:t xml:space="preserve">within MIPS </w:t>
      </w:r>
      <w:r w:rsidR="000719C7">
        <w:rPr>
          <w:rFonts w:eastAsia="Calibri"/>
        </w:rPr>
        <w:t>limited to eligible clinicians reporting through the MVPs or the APP</w:t>
      </w:r>
      <w:r w:rsidR="009601AE">
        <w:rPr>
          <w:rFonts w:eastAsia="Calibri"/>
        </w:rPr>
        <w:t xml:space="preserve"> </w:t>
      </w:r>
      <w:r w:rsidR="005240E0">
        <w:rPr>
          <w:rFonts w:eastAsia="Calibri"/>
        </w:rPr>
        <w:t>(86 FR 39357 through 3</w:t>
      </w:r>
      <w:r w:rsidR="009601AE">
        <w:rPr>
          <w:rFonts w:eastAsia="Calibri"/>
        </w:rPr>
        <w:t>9358</w:t>
      </w:r>
      <w:r w:rsidR="005240E0">
        <w:rPr>
          <w:rFonts w:eastAsia="Calibri"/>
        </w:rPr>
        <w:t>)</w:t>
      </w:r>
      <w:r w:rsidR="000719C7">
        <w:rPr>
          <w:rFonts w:eastAsia="Calibri"/>
        </w:rPr>
        <w:t xml:space="preserve">. </w:t>
      </w:r>
    </w:p>
    <w:p w:rsidR="00680B4B" w:rsidP="00730BEF" w:rsidRDefault="0071510C" w14:paraId="65B842DF" w14:textId="16D994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AA5555">
        <w:t xml:space="preserve">For the Promoting Interoperability performance category, </w:t>
      </w:r>
      <w:r w:rsidR="00B329CD">
        <w:rPr>
          <w:rFonts w:eastAsia="Calibri"/>
        </w:rPr>
        <w:t>in the CY 202</w:t>
      </w:r>
      <w:r w:rsidR="004F7EB8">
        <w:rPr>
          <w:rFonts w:eastAsia="Calibri"/>
        </w:rPr>
        <w:t>2</w:t>
      </w:r>
      <w:r w:rsidR="00B329CD">
        <w:rPr>
          <w:rFonts w:eastAsia="Calibri"/>
        </w:rPr>
        <w:t xml:space="preserve"> </w:t>
      </w:r>
      <w:r w:rsidR="004F7EB8">
        <w:rPr>
          <w:rFonts w:eastAsia="Calibri"/>
        </w:rPr>
        <w:t>PFS proposed</w:t>
      </w:r>
      <w:r w:rsidR="00D44F13">
        <w:rPr>
          <w:rFonts w:eastAsia="Calibri"/>
        </w:rPr>
        <w:t xml:space="preserve"> </w:t>
      </w:r>
      <w:r w:rsidR="00B329CD">
        <w:rPr>
          <w:rFonts w:eastAsia="Calibri"/>
        </w:rPr>
        <w:t>rule</w:t>
      </w:r>
      <w:r w:rsidR="00081807">
        <w:rPr>
          <w:rFonts w:eastAsia="Calibri"/>
        </w:rPr>
        <w:t>,</w:t>
      </w:r>
      <w:r w:rsidR="00810A5D">
        <w:rPr>
          <w:rFonts w:eastAsia="Calibri"/>
        </w:rPr>
        <w:t xml:space="preserve"> </w:t>
      </w:r>
      <w:r w:rsidR="00B329CD">
        <w:rPr>
          <w:rFonts w:eastAsia="Calibri"/>
        </w:rPr>
        <w:t xml:space="preserve">we </w:t>
      </w:r>
      <w:r w:rsidR="00D22B19">
        <w:rPr>
          <w:rFonts w:eastAsia="Calibri"/>
        </w:rPr>
        <w:t xml:space="preserve">propose </w:t>
      </w:r>
      <w:r w:rsidR="00B329CD">
        <w:rPr>
          <w:rFonts w:eastAsia="Calibri"/>
        </w:rPr>
        <w:t>that</w:t>
      </w:r>
      <w:r w:rsidRPr="005E7F7B" w:rsidR="00B329CD">
        <w:rPr>
          <w:rFonts w:eastAsia="Calibri"/>
        </w:rPr>
        <w:t xml:space="preserve">, beginning </w:t>
      </w:r>
      <w:r w:rsidR="00B329CD">
        <w:rPr>
          <w:rFonts w:eastAsia="Calibri"/>
        </w:rPr>
        <w:t>with</w:t>
      </w:r>
      <w:r w:rsidRPr="005E7F7B" w:rsidR="00B329CD">
        <w:rPr>
          <w:rFonts w:eastAsia="Calibri"/>
        </w:rPr>
        <w:t xml:space="preserve"> the </w:t>
      </w:r>
      <w:r w:rsidR="005B50CE">
        <w:rPr>
          <w:rFonts w:eastAsia="Calibri"/>
        </w:rPr>
        <w:t xml:space="preserve">CY </w:t>
      </w:r>
      <w:r w:rsidRPr="005E7F7B" w:rsidR="00B329CD">
        <w:rPr>
          <w:rFonts w:eastAsia="Calibri"/>
        </w:rPr>
        <w:t>2022</w:t>
      </w:r>
      <w:r w:rsidR="005B50CE">
        <w:rPr>
          <w:rFonts w:eastAsia="Calibri"/>
        </w:rPr>
        <w:t xml:space="preserve"> MIPS performance period/2024</w:t>
      </w:r>
      <w:r w:rsidRPr="005E7F7B" w:rsidR="00B329CD">
        <w:rPr>
          <w:rFonts w:eastAsia="Calibri"/>
        </w:rPr>
        <w:t xml:space="preserve"> MIPS payment </w:t>
      </w:r>
      <w:r w:rsidRPr="005E7F7B" w:rsidR="00E53E05">
        <w:rPr>
          <w:rFonts w:eastAsia="Calibri"/>
        </w:rPr>
        <w:t>year</w:t>
      </w:r>
      <w:r w:rsidR="00E53E05">
        <w:rPr>
          <w:rFonts w:eastAsia="Calibri"/>
        </w:rPr>
        <w:t>,</w:t>
      </w:r>
      <w:r w:rsidRPr="005E7F7B" w:rsidR="00E53E05">
        <w:rPr>
          <w:rFonts w:eastAsia="Calibri"/>
        </w:rPr>
        <w:t xml:space="preserve"> </w:t>
      </w:r>
      <w:r w:rsidR="00E53E05">
        <w:rPr>
          <w:rFonts w:eastAsia="Calibri"/>
        </w:rPr>
        <w:t>eligible</w:t>
      </w:r>
      <w:r w:rsidR="00CD11E3">
        <w:rPr>
          <w:rFonts w:eastAsia="Calibri"/>
        </w:rPr>
        <w:t xml:space="preserve"> clinicians </w:t>
      </w:r>
      <w:r w:rsidR="004A1AE7">
        <w:rPr>
          <w:rFonts w:eastAsia="Calibri"/>
        </w:rPr>
        <w:t xml:space="preserve">must attest to conducting an </w:t>
      </w:r>
      <w:r w:rsidR="00151F15">
        <w:rPr>
          <w:rFonts w:eastAsia="Calibri"/>
        </w:rPr>
        <w:t xml:space="preserve">annual assessment of </w:t>
      </w:r>
      <w:r w:rsidR="00635610">
        <w:rPr>
          <w:rFonts w:eastAsia="Calibri"/>
        </w:rPr>
        <w:t xml:space="preserve">the High Priority Guides </w:t>
      </w:r>
      <w:r w:rsidR="002918D0">
        <w:rPr>
          <w:rFonts w:eastAsia="Calibri"/>
        </w:rPr>
        <w:t>of the SAFER Guides</w:t>
      </w:r>
      <w:r w:rsidR="00196712">
        <w:rPr>
          <w:rFonts w:eastAsia="Calibri"/>
        </w:rPr>
        <w:t xml:space="preserve"> </w:t>
      </w:r>
      <w:r w:rsidR="00D44F13">
        <w:rPr>
          <w:rFonts w:eastAsia="Calibri"/>
        </w:rPr>
        <w:t>beginning January 1 of CY 2022</w:t>
      </w:r>
      <w:r w:rsidR="00045FB9">
        <w:rPr>
          <w:rFonts w:eastAsia="Calibri"/>
        </w:rPr>
        <w:t xml:space="preserve"> (86 FR 39415)</w:t>
      </w:r>
      <w:r w:rsidR="00D44F13">
        <w:rPr>
          <w:rFonts w:eastAsia="Calibri"/>
        </w:rPr>
        <w:t>.</w:t>
      </w:r>
      <w:r w:rsidR="000E4776">
        <w:rPr>
          <w:rFonts w:eastAsia="Calibri"/>
        </w:rPr>
        <w:t xml:space="preserve"> We also propose </w:t>
      </w:r>
      <w:r w:rsidR="00B85904">
        <w:rPr>
          <w:rFonts w:eastAsia="Calibri"/>
        </w:rPr>
        <w:t xml:space="preserve">to automatically reweight </w:t>
      </w:r>
      <w:r w:rsidR="0040081B">
        <w:rPr>
          <w:rFonts w:eastAsia="Calibri"/>
        </w:rPr>
        <w:t xml:space="preserve">the Promoting </w:t>
      </w:r>
      <w:r w:rsidR="00A05B77">
        <w:rPr>
          <w:rFonts w:eastAsia="Calibri"/>
        </w:rPr>
        <w:t xml:space="preserve">Interoperability </w:t>
      </w:r>
      <w:r w:rsidR="00313CD5">
        <w:rPr>
          <w:rFonts w:eastAsia="Calibri"/>
        </w:rPr>
        <w:t xml:space="preserve">for small practices who </w:t>
      </w:r>
      <w:r w:rsidR="001608B1">
        <w:rPr>
          <w:rFonts w:eastAsia="Calibri"/>
        </w:rPr>
        <w:t>had to apply for reweighting of this performance category in previous years</w:t>
      </w:r>
      <w:r w:rsidR="004919BA">
        <w:rPr>
          <w:rFonts w:eastAsia="Calibri"/>
        </w:rPr>
        <w:t xml:space="preserve"> (86 FR 39448 through 39449)</w:t>
      </w:r>
      <w:r w:rsidR="001608B1">
        <w:rPr>
          <w:rFonts w:eastAsia="Calibri"/>
        </w:rPr>
        <w:t>.</w:t>
      </w:r>
    </w:p>
    <w:p w:rsidR="00092C2E" w:rsidP="00730BEF" w:rsidRDefault="00680B4B" w14:paraId="79BCE1BF" w14:textId="704D64F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eastAsia="Calibri"/>
        </w:rPr>
        <w:t xml:space="preserve">For the improvement activities performance category, </w:t>
      </w:r>
      <w:r w:rsidR="009F3A58">
        <w:rPr>
          <w:rFonts w:eastAsia="Calibri"/>
        </w:rPr>
        <w:t xml:space="preserve">we are </w:t>
      </w:r>
      <w:r w:rsidR="00E253C0">
        <w:rPr>
          <w:rFonts w:eastAsia="Calibri"/>
        </w:rPr>
        <w:t xml:space="preserve">proposing </w:t>
      </w:r>
      <w:r w:rsidR="00AF7797">
        <w:rPr>
          <w:rFonts w:eastAsia="Calibri"/>
        </w:rPr>
        <w:t xml:space="preserve">two </w:t>
      </w:r>
      <w:r w:rsidR="009F3A58">
        <w:rPr>
          <w:rFonts w:eastAsia="Calibri"/>
        </w:rPr>
        <w:t xml:space="preserve">new </w:t>
      </w:r>
      <w:r w:rsidR="00253937">
        <w:rPr>
          <w:rFonts w:eastAsia="Calibri"/>
        </w:rPr>
        <w:t xml:space="preserve">criteria </w:t>
      </w:r>
      <w:r w:rsidR="00F85E7E">
        <w:rPr>
          <w:rFonts w:eastAsia="Calibri"/>
        </w:rPr>
        <w:t>for nomination of improvement activities</w:t>
      </w:r>
      <w:r w:rsidR="00717270">
        <w:rPr>
          <w:rFonts w:eastAsia="Calibri"/>
        </w:rPr>
        <w:t>, that</w:t>
      </w:r>
      <w:r w:rsidR="00F85E7E">
        <w:rPr>
          <w:rFonts w:eastAsia="Calibri"/>
        </w:rPr>
        <w:t xml:space="preserve"> beginning with </w:t>
      </w:r>
      <w:r w:rsidR="00A006F3">
        <w:rPr>
          <w:rFonts w:eastAsia="Calibri"/>
        </w:rPr>
        <w:t>the CY 2022 Ann</w:t>
      </w:r>
      <w:r w:rsidR="008C71C2">
        <w:rPr>
          <w:rFonts w:eastAsia="Calibri"/>
        </w:rPr>
        <w:t xml:space="preserve">ual Call for </w:t>
      </w:r>
      <w:r w:rsidR="00D115E5">
        <w:rPr>
          <w:rFonts w:eastAsia="Calibri"/>
        </w:rPr>
        <w:t>MIPS im</w:t>
      </w:r>
      <w:r w:rsidR="005E280C">
        <w:rPr>
          <w:rFonts w:eastAsia="Calibri"/>
        </w:rPr>
        <w:t xml:space="preserve">provement activities: </w:t>
      </w:r>
      <w:r w:rsidRPr="00231090" w:rsidR="00231090">
        <w:rPr>
          <w:rFonts w:eastAsia="Calibri"/>
        </w:rPr>
        <w:t>(1) should not duplicate other improvement activities in the Inventory; and (2) should drive improvements that go beyond purely common clinical practices.</w:t>
      </w:r>
      <w:r w:rsidR="008577C2">
        <w:rPr>
          <w:rFonts w:eastAsia="Calibri"/>
        </w:rPr>
        <w:t xml:space="preserve"> We are also proposing </w:t>
      </w:r>
      <w:r w:rsidR="00E52CF6">
        <w:rPr>
          <w:rFonts w:eastAsia="Calibri"/>
        </w:rPr>
        <w:t xml:space="preserve">to increase the </w:t>
      </w:r>
      <w:r w:rsidR="00D32148">
        <w:rPr>
          <w:rFonts w:eastAsia="Calibri"/>
        </w:rPr>
        <w:t>number of</w:t>
      </w:r>
      <w:r w:rsidR="003E4510">
        <w:rPr>
          <w:rFonts w:eastAsia="Calibri"/>
        </w:rPr>
        <w:t xml:space="preserve"> required</w:t>
      </w:r>
      <w:r w:rsidR="00D32148">
        <w:rPr>
          <w:rFonts w:eastAsia="Calibri"/>
        </w:rPr>
        <w:t xml:space="preserve"> criteria </w:t>
      </w:r>
      <w:r w:rsidR="003E4510">
        <w:rPr>
          <w:rFonts w:eastAsia="Calibri"/>
        </w:rPr>
        <w:t xml:space="preserve">for </w:t>
      </w:r>
      <w:r w:rsidR="00D32148">
        <w:rPr>
          <w:rFonts w:eastAsia="Calibri"/>
        </w:rPr>
        <w:t>stakeholders</w:t>
      </w:r>
      <w:r w:rsidR="003E4510">
        <w:rPr>
          <w:rFonts w:eastAsia="Calibri"/>
        </w:rPr>
        <w:t xml:space="preserve"> to submit an </w:t>
      </w:r>
      <w:r w:rsidR="007A2514">
        <w:rPr>
          <w:rFonts w:eastAsia="Calibri"/>
        </w:rPr>
        <w:t>activity proposal from</w:t>
      </w:r>
      <w:r w:rsidR="005A6761">
        <w:rPr>
          <w:rFonts w:eastAsia="Calibri"/>
        </w:rPr>
        <w:t xml:space="preserve"> a minimum of</w:t>
      </w:r>
      <w:r w:rsidR="007A2514">
        <w:rPr>
          <w:rFonts w:eastAsia="Calibri"/>
        </w:rPr>
        <w:t xml:space="preserve"> 1 to </w:t>
      </w:r>
      <w:r w:rsidR="005A6761">
        <w:rPr>
          <w:rFonts w:eastAsia="Calibri"/>
        </w:rPr>
        <w:t xml:space="preserve">all </w:t>
      </w:r>
      <w:r w:rsidR="007A2514">
        <w:rPr>
          <w:rFonts w:eastAsia="Calibri"/>
        </w:rPr>
        <w:t xml:space="preserve">8 </w:t>
      </w:r>
      <w:r w:rsidR="00926AEC">
        <w:rPr>
          <w:rFonts w:eastAsia="Calibri"/>
        </w:rPr>
        <w:t xml:space="preserve">criteria, which includes </w:t>
      </w:r>
      <w:r w:rsidR="00D606DB">
        <w:rPr>
          <w:rFonts w:eastAsia="Calibri"/>
        </w:rPr>
        <w:t xml:space="preserve">the </w:t>
      </w:r>
      <w:r w:rsidR="00E619C9">
        <w:rPr>
          <w:rFonts w:eastAsia="Calibri"/>
        </w:rPr>
        <w:t xml:space="preserve">above </w:t>
      </w:r>
      <w:r w:rsidR="00D606DB">
        <w:rPr>
          <w:rFonts w:eastAsia="Calibri"/>
        </w:rPr>
        <w:t>two new proposed criteria</w:t>
      </w:r>
      <w:r w:rsidR="00C26AF1">
        <w:rPr>
          <w:rFonts w:eastAsia="Calibri"/>
        </w:rPr>
        <w:t xml:space="preserve"> (86 FR 39406 through 39408)</w:t>
      </w:r>
      <w:r w:rsidR="00FE31C7">
        <w:rPr>
          <w:rFonts w:eastAsia="Calibri"/>
        </w:rPr>
        <w:t>.</w:t>
      </w:r>
      <w:r w:rsidR="00D32148">
        <w:rPr>
          <w:rFonts w:eastAsia="Calibri"/>
        </w:rPr>
        <w:t xml:space="preserve"> </w:t>
      </w:r>
      <w:r w:rsidR="009F3A58">
        <w:rPr>
          <w:rFonts w:eastAsia="Calibri"/>
        </w:rPr>
        <w:t xml:space="preserve"> </w:t>
      </w:r>
    </w:p>
    <w:p w:rsidR="00092C2E" w:rsidP="00730BEF" w:rsidRDefault="00092C2E" w14:paraId="0C5A2936" w14:textId="08065B3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implementation of MIPS requires the collection of additional data beyond performance category data submission. Qualified registries and QCDRs must </w:t>
      </w:r>
      <w:r w:rsidR="00D831EF">
        <w:t>complete</w:t>
      </w:r>
      <w:r>
        <w:t xml:space="preserve"> </w:t>
      </w:r>
      <w:r w:rsidR="00A93DD0">
        <w:t>a self-nominat</w:t>
      </w:r>
      <w:r w:rsidR="00D831EF">
        <w:t>ion form submitted electronically using a web-based tool</w:t>
      </w:r>
      <w:r>
        <w:t xml:space="preserve"> to CMS before they can submit data on behalf of eligible clinicians. Virtual group representatives must make an election on behalf of the members of their virtual group, regarding the formation of the virtual group prior to the start of the MIPS performance period. </w:t>
      </w:r>
      <w:r w:rsidR="00E83C37">
        <w:t xml:space="preserve"> </w:t>
      </w:r>
      <w:r w:rsidR="00083787">
        <w:t xml:space="preserve">In order to use either the log in and upload or log in and attest submission types or to access feedback reports, clinicians, groups, virtual groups, or </w:t>
      </w:r>
      <w:r w:rsidR="00E619C9">
        <w:t>third parties</w:t>
      </w:r>
      <w:r w:rsidR="00083787">
        <w:t xml:space="preserve"> who do not already have CMS Enterprise Portal user accounts must register for one.  </w:t>
      </w:r>
      <w:r>
        <w:t>Clinicians, groups, and other relevant stakeholders may nominate new improvement activities</w:t>
      </w:r>
      <w:r w:rsidR="00083787">
        <w:t>, Promoting Interoperability measures, quality measures</w:t>
      </w:r>
      <w:r w:rsidR="009F3A58">
        <w:t>, and MIPS Value Pathways (MVPs)</w:t>
      </w:r>
      <w:r w:rsidR="00083787">
        <w:t xml:space="preserve"> using </w:t>
      </w:r>
      <w:r>
        <w:t>nomination form</w:t>
      </w:r>
      <w:r w:rsidR="00083787">
        <w:t>s</w:t>
      </w:r>
      <w:r>
        <w:t xml:space="preserve"> provided on the Quality Payment Program website at qpp.cms.gov, and </w:t>
      </w:r>
      <w:r w:rsidR="00083787">
        <w:t>in the case of quality measures must also submit a completed Peer Review Journal Article form also provided on the Quality Payment Program website.</w:t>
      </w:r>
    </w:p>
    <w:p w:rsidRPr="007B37C1" w:rsidR="006104BA" w:rsidP="00730BEF" w:rsidRDefault="00F24A7F" w14:paraId="45E11F45" w14:textId="276A972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We are requesting approval of </w:t>
      </w:r>
      <w:r w:rsidR="004277EC">
        <w:t>2</w:t>
      </w:r>
      <w:r w:rsidR="00844BC8">
        <w:t>6</w:t>
      </w:r>
      <w:r w:rsidR="00092C2E">
        <w:t xml:space="preserve"> information collect</w:t>
      </w:r>
      <w:r>
        <w:t>ions associated with the CY 20</w:t>
      </w:r>
      <w:r w:rsidR="00FA3435">
        <w:t>2</w:t>
      </w:r>
      <w:r w:rsidR="00427705">
        <w:t>2</w:t>
      </w:r>
      <w:r w:rsidR="00092C2E">
        <w:t xml:space="preserve"> </w:t>
      </w:r>
      <w:r w:rsidR="00AB7DAC">
        <w:t xml:space="preserve">PFS </w:t>
      </w:r>
      <w:r w:rsidR="00427705">
        <w:t>proposed</w:t>
      </w:r>
      <w:r>
        <w:t xml:space="preserve"> rule</w:t>
      </w:r>
      <w:r w:rsidR="00092C2E">
        <w:t xml:space="preserve"> as a </w:t>
      </w:r>
      <w:r w:rsidR="00427705">
        <w:t xml:space="preserve">proposed </w:t>
      </w:r>
      <w:r w:rsidR="00092C2E">
        <w:t xml:space="preserve">revision to </w:t>
      </w:r>
      <w:r w:rsidR="005D6106">
        <w:t xml:space="preserve">our </w:t>
      </w:r>
      <w:r w:rsidR="00092C2E">
        <w:t xml:space="preserve">currently approved </w:t>
      </w:r>
      <w:r w:rsidR="005D6106">
        <w:t xml:space="preserve">(or active) </w:t>
      </w:r>
      <w:r w:rsidR="00092C2E">
        <w:t xml:space="preserve">information requests submitted under </w:t>
      </w:r>
      <w:r w:rsidR="005D6106">
        <w:t xml:space="preserve">this package’s </w:t>
      </w:r>
      <w:r w:rsidR="00092C2E">
        <w:t xml:space="preserve">control number </w:t>
      </w:r>
      <w:r w:rsidR="005D6106">
        <w:t xml:space="preserve">(OMB </w:t>
      </w:r>
      <w:r w:rsidR="00092C2E">
        <w:t>0938-1314</w:t>
      </w:r>
      <w:r w:rsidR="005D6106">
        <w:t xml:space="preserve">, </w:t>
      </w:r>
      <w:r w:rsidR="001E1C42">
        <w:t>CMS-10621)</w:t>
      </w:r>
      <w:r w:rsidR="00092C2E">
        <w:t xml:space="preserve">. </w:t>
      </w:r>
      <w:r w:rsidR="00E83C37">
        <w:t xml:space="preserve"> </w:t>
      </w:r>
      <w:r w:rsidR="00092C2E">
        <w:t xml:space="preserve">CMS </w:t>
      </w:r>
      <w:r w:rsidR="002B6CEF">
        <w:t>has already received</w:t>
      </w:r>
      <w:r w:rsidR="00092C2E">
        <w:t xml:space="preserve"> approval </w:t>
      </w:r>
      <w:r>
        <w:t xml:space="preserve">for </w:t>
      </w:r>
      <w:r w:rsidR="002B6CEF">
        <w:t>collection of information associated with the</w:t>
      </w:r>
      <w:r w:rsidR="00092C2E">
        <w:t xml:space="preserve"> CAHPS for MIPS </w:t>
      </w:r>
      <w:r w:rsidR="00FA3435">
        <w:t>s</w:t>
      </w:r>
      <w:r w:rsidR="00FA08D5">
        <w:t xml:space="preserve">urvey under OMB control number </w:t>
      </w:r>
      <w:r w:rsidR="00092C2E">
        <w:t>0938-1222</w:t>
      </w:r>
      <w:r w:rsidR="00415939">
        <w:t xml:space="preserve"> </w:t>
      </w:r>
      <w:r w:rsidRPr="00415939" w:rsidR="00415939">
        <w:t>(CMS-10450)</w:t>
      </w:r>
      <w:r w:rsidR="00092C2E">
        <w:t xml:space="preserve">. </w:t>
      </w:r>
      <w:r w:rsidR="00E83C37">
        <w:t xml:space="preserve"> </w:t>
      </w:r>
      <w:r w:rsidR="00092C2E">
        <w:t xml:space="preserve">CMS has already received approval for collection of information associated with the virtual group election process under OMB </w:t>
      </w:r>
      <w:r w:rsidRPr="007B37C1" w:rsidR="00092C2E">
        <w:t>control number 0938-1343</w:t>
      </w:r>
      <w:r w:rsidRPr="007B37C1" w:rsidR="00415939">
        <w:t xml:space="preserve"> (CMS-10652)</w:t>
      </w:r>
      <w:r w:rsidRPr="007B37C1" w:rsidR="00092C2E">
        <w:t>.</w:t>
      </w:r>
    </w:p>
    <w:p w:rsidRPr="007B37C1" w:rsidR="00DE618E" w:rsidP="00730BEF" w:rsidRDefault="00DE618E" w14:paraId="5044EF2B" w14:textId="1599F1B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728A1">
        <w:t xml:space="preserve">The </w:t>
      </w:r>
      <w:r w:rsidRPr="00C728A1" w:rsidR="005E24E9">
        <w:t>proposed</w:t>
      </w:r>
      <w:r w:rsidRPr="00C728A1">
        <w:t xml:space="preserve"> changes in this </w:t>
      </w:r>
      <w:r w:rsidRPr="00C728A1" w:rsidR="005E24E9">
        <w:t xml:space="preserve">CY </w:t>
      </w:r>
      <w:r w:rsidRPr="00C728A1">
        <w:t>202</w:t>
      </w:r>
      <w:r w:rsidRPr="00C728A1" w:rsidR="005E24E9">
        <w:t>2</w:t>
      </w:r>
      <w:r w:rsidRPr="00C728A1">
        <w:t xml:space="preserve"> collection of information request </w:t>
      </w:r>
      <w:r w:rsidRPr="00C728A1" w:rsidR="001103DB">
        <w:t xml:space="preserve">are </w:t>
      </w:r>
      <w:r w:rsidRPr="00C728A1">
        <w:t xml:space="preserve">associated with our </w:t>
      </w:r>
      <w:r w:rsidRPr="00C728A1" w:rsidR="005E24E9">
        <w:t xml:space="preserve">July </w:t>
      </w:r>
      <w:r w:rsidRPr="00C728A1" w:rsidR="00C728A1">
        <w:t>23</w:t>
      </w:r>
      <w:r w:rsidRPr="00C728A1" w:rsidR="00A148A2">
        <w:t>, 202</w:t>
      </w:r>
      <w:r w:rsidRPr="00C728A1" w:rsidR="005E24E9">
        <w:t>1</w:t>
      </w:r>
      <w:r w:rsidRPr="00C728A1">
        <w:t xml:space="preserve"> (8</w:t>
      </w:r>
      <w:r w:rsidRPr="00C728A1" w:rsidR="002862A2">
        <w:t>6</w:t>
      </w:r>
      <w:r w:rsidRPr="00C728A1">
        <w:t xml:space="preserve"> FR </w:t>
      </w:r>
      <w:r w:rsidRPr="008B625E" w:rsidR="008B625E">
        <w:t>39104</w:t>
      </w:r>
      <w:r w:rsidRPr="00C728A1">
        <w:t xml:space="preserve">) </w:t>
      </w:r>
      <w:r w:rsidRPr="00C728A1" w:rsidR="005E24E9">
        <w:t xml:space="preserve">proposed </w:t>
      </w:r>
      <w:r w:rsidRPr="00C728A1">
        <w:t>rule (CMS-1734-</w:t>
      </w:r>
      <w:r w:rsidRPr="00C728A1" w:rsidR="007B37C1">
        <w:t>F</w:t>
      </w:r>
      <w:r w:rsidRPr="00C728A1">
        <w:t xml:space="preserve">, RIN </w:t>
      </w:r>
      <w:r w:rsidRPr="00C728A1" w:rsidR="00C728A1">
        <w:t>0938-AU42</w:t>
      </w:r>
      <w:r w:rsidRPr="00C728A1">
        <w:t>).</w:t>
      </w:r>
      <w:r w:rsidRPr="007B37C1">
        <w:t xml:space="preserve"> </w:t>
      </w:r>
    </w:p>
    <w:p w:rsidR="00541438" w:rsidP="5FE474A5" w:rsidRDefault="59033EB0" w14:paraId="5AB2409C" w14:textId="64FC2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Where updated data and assumptions </w:t>
      </w:r>
      <w:r w:rsidR="6D45C891">
        <w:t>was available for the</w:t>
      </w:r>
      <w:r>
        <w:t xml:space="preserve"> CY 202</w:t>
      </w:r>
      <w:r w:rsidR="00D66416">
        <w:t>2</w:t>
      </w:r>
      <w:r>
        <w:t xml:space="preserve"> </w:t>
      </w:r>
      <w:r w:rsidR="00D66416">
        <w:t>PFS proposed</w:t>
      </w:r>
      <w:r>
        <w:t xml:space="preserve"> rule, we have </w:t>
      </w:r>
      <w:proofErr w:type="gramStart"/>
      <w:r>
        <w:t>made adjustments to</w:t>
      </w:r>
      <w:proofErr w:type="gramEnd"/>
      <w:r>
        <w:t xml:space="preserve"> applicable ICRs.  </w:t>
      </w:r>
      <w:r w:rsidR="008D24BB">
        <w:rPr>
          <w:rFonts w:eastAsia="Calibri"/>
        </w:rPr>
        <w:t>Ten</w:t>
      </w:r>
      <w:r w:rsidRPr="5FE474A5" w:rsidR="008D24BB">
        <w:rPr>
          <w:rFonts w:eastAsia="Calibri"/>
        </w:rPr>
        <w:t xml:space="preserve"> </w:t>
      </w:r>
      <w:r w:rsidRPr="5FE474A5" w:rsidR="6D45C891">
        <w:rPr>
          <w:rFonts w:eastAsia="Calibri"/>
        </w:rPr>
        <w:t>MIPS ICRs [(1) QCDR self-nomination applications, (2) Qualified Registry self-nomination applications, (3)</w:t>
      </w:r>
      <w:r w:rsidR="008E4F20">
        <w:rPr>
          <w:rFonts w:eastAsia="Calibri"/>
        </w:rPr>
        <w:t xml:space="preserve"> quality performance category data submission by </w:t>
      </w:r>
      <w:r w:rsidR="0076796E">
        <w:rPr>
          <w:rFonts w:eastAsia="Calibri"/>
        </w:rPr>
        <w:t xml:space="preserve">Medicare Part B </w:t>
      </w:r>
      <w:r w:rsidR="00146832">
        <w:rPr>
          <w:rFonts w:eastAsia="Calibri"/>
        </w:rPr>
        <w:t>Claims collection type, (4)</w:t>
      </w:r>
      <w:r w:rsidRPr="5FE474A5" w:rsidR="6D45C891">
        <w:rPr>
          <w:rFonts w:eastAsia="Calibri"/>
        </w:rPr>
        <w:t xml:space="preserve"> quality performance category data submission by QCDR and MIPS CQM collection type, (</w:t>
      </w:r>
      <w:r w:rsidR="00146832">
        <w:rPr>
          <w:rFonts w:eastAsia="Calibri"/>
        </w:rPr>
        <w:t>5</w:t>
      </w:r>
      <w:r w:rsidRPr="5FE474A5" w:rsidR="6D45C891">
        <w:rPr>
          <w:rFonts w:eastAsia="Calibri"/>
        </w:rPr>
        <w:t>) quality performance category data submission by eCQM collection type, (</w:t>
      </w:r>
      <w:r w:rsidR="00146832">
        <w:rPr>
          <w:rFonts w:eastAsia="Calibri"/>
        </w:rPr>
        <w:t>6</w:t>
      </w:r>
      <w:r w:rsidRPr="5FE474A5" w:rsidR="6D45C891">
        <w:rPr>
          <w:rFonts w:eastAsia="Calibri"/>
        </w:rPr>
        <w:t>) quality performance category data submission by CMS Web Interface collection type, (</w:t>
      </w:r>
      <w:r w:rsidR="00146832">
        <w:rPr>
          <w:rFonts w:eastAsia="Calibri"/>
        </w:rPr>
        <w:t>7</w:t>
      </w:r>
      <w:r w:rsidRPr="5FE474A5" w:rsidR="6D45C891">
        <w:rPr>
          <w:rFonts w:eastAsia="Calibri"/>
        </w:rPr>
        <w:t>) group registration for the CMS Web Interface, (</w:t>
      </w:r>
      <w:r w:rsidR="00146832">
        <w:rPr>
          <w:rFonts w:eastAsia="Calibri"/>
        </w:rPr>
        <w:t>8</w:t>
      </w:r>
      <w:r w:rsidRPr="5FE474A5" w:rsidR="6D45C891">
        <w:rPr>
          <w:rFonts w:eastAsia="Calibri"/>
        </w:rPr>
        <w:t>) nomination of improvement activities, (</w:t>
      </w:r>
      <w:r w:rsidR="00146832">
        <w:rPr>
          <w:rFonts w:eastAsia="Calibri"/>
        </w:rPr>
        <w:t>9</w:t>
      </w:r>
      <w:r w:rsidRPr="5FE474A5" w:rsidR="6D45C891">
        <w:rPr>
          <w:rFonts w:eastAsia="Calibri"/>
        </w:rPr>
        <w:t>) reweighting applications for Promoting Interoperability and other performance categories</w:t>
      </w:r>
      <w:r w:rsidR="00876F11">
        <w:rPr>
          <w:rFonts w:eastAsia="Calibri"/>
        </w:rPr>
        <w:t xml:space="preserve">, and (10) </w:t>
      </w:r>
      <w:r w:rsidR="007A541F">
        <w:rPr>
          <w:rFonts w:eastAsia="Calibri"/>
        </w:rPr>
        <w:t>Promoti</w:t>
      </w:r>
      <w:r w:rsidR="000B0F60">
        <w:rPr>
          <w:rFonts w:eastAsia="Calibri"/>
        </w:rPr>
        <w:t>ng Interoperability perform</w:t>
      </w:r>
      <w:r w:rsidR="00953FE8">
        <w:rPr>
          <w:rFonts w:eastAsia="Calibri"/>
        </w:rPr>
        <w:t>ance category data submission</w:t>
      </w:r>
      <w:r w:rsidRPr="5FE474A5" w:rsidR="6D45C891">
        <w:rPr>
          <w:rFonts w:eastAsia="Calibri"/>
        </w:rPr>
        <w:t>]</w:t>
      </w:r>
      <w:r w:rsidR="6CE663F3">
        <w:t xml:space="preserve"> </w:t>
      </w:r>
      <w:r w:rsidR="37DDB647">
        <w:t>reflect</w:t>
      </w:r>
      <w:r w:rsidR="6CE663F3">
        <w:t xml:space="preserve"> changes in burden due to </w:t>
      </w:r>
      <w:r w:rsidR="004073FB">
        <w:t xml:space="preserve">proposed </w:t>
      </w:r>
      <w:r w:rsidR="6CE663F3">
        <w:t xml:space="preserve">policies in the CY </w:t>
      </w:r>
      <w:r w:rsidR="00397859">
        <w:t xml:space="preserve">2022 </w:t>
      </w:r>
      <w:r w:rsidR="00C6843A">
        <w:t xml:space="preserve">PFS </w:t>
      </w:r>
      <w:r w:rsidR="004073FB">
        <w:t>proposed</w:t>
      </w:r>
      <w:r w:rsidR="6CE663F3">
        <w:t xml:space="preserve"> rule.  </w:t>
      </w:r>
      <w:r w:rsidRPr="5FE474A5" w:rsidR="00C6843A">
        <w:rPr>
          <w:rFonts w:eastAsia="Calibri"/>
        </w:rPr>
        <w:t xml:space="preserve">In aggregate, we estimate </w:t>
      </w:r>
      <w:r w:rsidR="000731E6">
        <w:rPr>
          <w:rFonts w:eastAsia="Calibri"/>
        </w:rPr>
        <w:t xml:space="preserve">that </w:t>
      </w:r>
      <w:r w:rsidRPr="5FE474A5" w:rsidR="00C6843A">
        <w:rPr>
          <w:rFonts w:eastAsia="Calibri"/>
        </w:rPr>
        <w:t xml:space="preserve">the </w:t>
      </w:r>
      <w:r w:rsidR="000731E6">
        <w:rPr>
          <w:rFonts w:eastAsia="Calibri"/>
        </w:rPr>
        <w:t xml:space="preserve">proposed </w:t>
      </w:r>
      <w:r w:rsidRPr="5FE474A5" w:rsidR="00C6843A">
        <w:rPr>
          <w:rFonts w:eastAsia="Calibri"/>
        </w:rPr>
        <w:t xml:space="preserve">policies will result in a net </w:t>
      </w:r>
      <w:r w:rsidRPr="5FE474A5" w:rsidDel="004073FB" w:rsidR="00C6843A">
        <w:rPr>
          <w:rFonts w:eastAsia="Calibri"/>
        </w:rPr>
        <w:t>in</w:t>
      </w:r>
      <w:r w:rsidRPr="5FE474A5" w:rsidR="00C6843A">
        <w:rPr>
          <w:rFonts w:eastAsia="Calibri"/>
        </w:rPr>
        <w:t xml:space="preserve">crease in burden of </w:t>
      </w:r>
      <w:r w:rsidR="001101A9">
        <w:rPr>
          <w:rFonts w:eastAsia="Calibri"/>
        </w:rPr>
        <w:t>3,</w:t>
      </w:r>
      <w:r w:rsidR="00EA1E7E">
        <w:rPr>
          <w:rFonts w:eastAsia="Calibri"/>
        </w:rPr>
        <w:t>62</w:t>
      </w:r>
      <w:r w:rsidR="00997AF7">
        <w:rPr>
          <w:rFonts w:eastAsia="Calibri"/>
        </w:rPr>
        <w:t>0</w:t>
      </w:r>
      <w:r w:rsidRPr="5FE474A5" w:rsidR="00C6843A">
        <w:rPr>
          <w:rFonts w:eastAsia="Calibri"/>
        </w:rPr>
        <w:t xml:space="preserve"> hours and $</w:t>
      </w:r>
      <w:r w:rsidR="001101A9">
        <w:rPr>
          <w:rFonts w:eastAsia="Calibri"/>
        </w:rPr>
        <w:t>3</w:t>
      </w:r>
      <w:r w:rsidR="00985BCC">
        <w:rPr>
          <w:rFonts w:eastAsia="Calibri"/>
        </w:rPr>
        <w:t>40,778</w:t>
      </w:r>
      <w:r w:rsidRPr="5FE474A5" w:rsidR="00C6843A">
        <w:rPr>
          <w:rFonts w:eastAsia="Calibri"/>
        </w:rPr>
        <w:t xml:space="preserve"> for the </w:t>
      </w:r>
      <w:r w:rsidR="00C52330">
        <w:rPr>
          <w:rFonts w:eastAsia="Calibri"/>
        </w:rPr>
        <w:t xml:space="preserve">CY </w:t>
      </w:r>
      <w:r w:rsidRPr="5FE474A5" w:rsidR="00C6843A">
        <w:rPr>
          <w:rFonts w:eastAsia="Calibri"/>
        </w:rPr>
        <w:t>202</w:t>
      </w:r>
      <w:r w:rsidR="00C52330">
        <w:rPr>
          <w:rFonts w:eastAsia="Calibri"/>
        </w:rPr>
        <w:t>2</w:t>
      </w:r>
      <w:r w:rsidRPr="5FE474A5" w:rsidR="00C6843A">
        <w:rPr>
          <w:rFonts w:eastAsia="Calibri"/>
        </w:rPr>
        <w:t xml:space="preserve"> MIPS performance period</w:t>
      </w:r>
      <w:r w:rsidR="00C52330">
        <w:rPr>
          <w:rFonts w:eastAsia="Calibri"/>
        </w:rPr>
        <w:t>/2024 MIPS payment year</w:t>
      </w:r>
      <w:proofErr w:type="gramStart"/>
      <w:r w:rsidR="001F6D0A">
        <w:rPr>
          <w:rFonts w:eastAsia="Calibri"/>
        </w:rPr>
        <w:t xml:space="preserve">. </w:t>
      </w:r>
      <w:r w:rsidR="6CE663F3">
        <w:t>.</w:t>
      </w:r>
      <w:proofErr w:type="gramEnd"/>
      <w:r w:rsidR="6CE663F3">
        <w:t xml:space="preserve">  </w:t>
      </w:r>
      <w:r w:rsidR="47908E26">
        <w:t>In total, we estimate a</w:t>
      </w:r>
      <w:r w:rsidR="00C6843A">
        <w:t xml:space="preserve"> de</w:t>
      </w:r>
      <w:r w:rsidR="47908E26">
        <w:t>crease in burden of</w:t>
      </w:r>
      <w:r w:rsidR="00B7342D">
        <w:t xml:space="preserve"> </w:t>
      </w:r>
      <w:r w:rsidRPr="00E53E05" w:rsidR="009619C2">
        <w:t>39,</w:t>
      </w:r>
      <w:r w:rsidR="00713DC0">
        <w:t>76</w:t>
      </w:r>
      <w:r w:rsidR="00B7342D">
        <w:t>3</w:t>
      </w:r>
      <w:r w:rsidR="47908E26">
        <w:t xml:space="preserve"> hours and </w:t>
      </w:r>
      <w:r w:rsidRPr="00E53E05" w:rsidR="47908E26">
        <w:t>$</w:t>
      </w:r>
      <w:r w:rsidR="00D22F1F">
        <w:t>3,827,868</w:t>
      </w:r>
      <w:r w:rsidR="00C6843A">
        <w:t xml:space="preserve">for the </w:t>
      </w:r>
      <w:r w:rsidR="005F0063">
        <w:t xml:space="preserve">CY </w:t>
      </w:r>
      <w:r w:rsidR="00C6843A">
        <w:t>202</w:t>
      </w:r>
      <w:r w:rsidR="005F0063">
        <w:t>2</w:t>
      </w:r>
      <w:r w:rsidR="00C6843A">
        <w:t xml:space="preserve"> MIPS performance period</w:t>
      </w:r>
      <w:r w:rsidR="005F0063">
        <w:t>/2024 MIPS payment year</w:t>
      </w:r>
      <w:r w:rsidR="00B61BE5">
        <w:t xml:space="preserve"> due to updated data and assumptions as well as proposed policies.</w:t>
      </w:r>
      <w:r w:rsidR="00BE2903">
        <w:t xml:space="preserve">. </w:t>
      </w:r>
      <w:r w:rsidR="001F6D0A">
        <w:t xml:space="preserve">We are </w:t>
      </w:r>
      <w:r w:rsidR="00814967">
        <w:t xml:space="preserve">setting forth our proposed burden for the CY 2023 MIPS performance period/2025 MIPS payment year </w:t>
      </w:r>
      <w:r w:rsidR="00A31340">
        <w:t>as new burden</w:t>
      </w:r>
      <w:r w:rsidR="002C54E1">
        <w:t xml:space="preserve">. The total proposed burden for the CY 2023 MIPS performance period/2025 MIPS payment year is </w:t>
      </w:r>
      <w:r w:rsidR="0037351A">
        <w:t xml:space="preserve">1,390,404 hours and </w:t>
      </w:r>
      <w:r w:rsidR="00B61BE5">
        <w:t>$140,284,742.</w:t>
      </w:r>
      <w:r w:rsidRPr="5FE474A5" w:rsidR="00C6843A">
        <w:rPr>
          <w:rFonts w:eastAsia="Calibri"/>
        </w:rPr>
        <w:t xml:space="preserve">The </w:t>
      </w:r>
      <w:r w:rsidR="00D17D3C">
        <w:rPr>
          <w:rFonts w:eastAsia="Calibri"/>
        </w:rPr>
        <w:t>proposed</w:t>
      </w:r>
      <w:r w:rsidRPr="5FE474A5" w:rsidR="00C6843A">
        <w:rPr>
          <w:rFonts w:eastAsia="Calibri"/>
        </w:rPr>
        <w:t xml:space="preserve"> policy to require </w:t>
      </w:r>
      <w:r w:rsidR="00A6591F">
        <w:rPr>
          <w:rFonts w:eastAsia="Calibri"/>
        </w:rPr>
        <w:t xml:space="preserve">approved </w:t>
      </w:r>
      <w:r w:rsidRPr="5FE474A5" w:rsidR="00C6843A">
        <w:rPr>
          <w:rFonts w:eastAsia="Calibri"/>
        </w:rPr>
        <w:t xml:space="preserve">QCDRs and qualified registries to </w:t>
      </w:r>
      <w:r w:rsidR="003A5886">
        <w:rPr>
          <w:rFonts w:eastAsia="Calibri"/>
        </w:rPr>
        <w:t xml:space="preserve">submit </w:t>
      </w:r>
      <w:r w:rsidR="00E2122F">
        <w:rPr>
          <w:rFonts w:eastAsia="Calibri"/>
        </w:rPr>
        <w:t xml:space="preserve">participation </w:t>
      </w:r>
      <w:r w:rsidR="00E53E05">
        <w:rPr>
          <w:rFonts w:eastAsia="Calibri"/>
        </w:rPr>
        <w:t xml:space="preserve">plans </w:t>
      </w:r>
      <w:r w:rsidRPr="5FE474A5" w:rsidR="00E53E05">
        <w:rPr>
          <w:rFonts w:eastAsia="Calibri"/>
        </w:rPr>
        <w:t>if</w:t>
      </w:r>
      <w:r w:rsidRPr="5FE474A5" w:rsidR="00C6843A">
        <w:rPr>
          <w:rFonts w:eastAsia="Calibri"/>
        </w:rPr>
        <w:t xml:space="preserve"> </w:t>
      </w:r>
      <w:r w:rsidR="00BF2F1B">
        <w:rPr>
          <w:rFonts w:eastAsia="Calibri"/>
        </w:rPr>
        <w:t xml:space="preserve">they did not submit </w:t>
      </w:r>
      <w:r w:rsidR="006268A1">
        <w:rPr>
          <w:rFonts w:eastAsia="Calibri"/>
        </w:rPr>
        <w:t xml:space="preserve">any MIPS data </w:t>
      </w:r>
      <w:r w:rsidR="004D3AF0">
        <w:rPr>
          <w:rFonts w:eastAsia="Calibri"/>
        </w:rPr>
        <w:t xml:space="preserve">for either of the </w:t>
      </w:r>
      <w:r w:rsidR="002660FE">
        <w:rPr>
          <w:rFonts w:eastAsia="Calibri"/>
        </w:rPr>
        <w:t xml:space="preserve">2 years preceding the </w:t>
      </w:r>
      <w:r w:rsidR="00B625E8">
        <w:rPr>
          <w:rFonts w:eastAsia="Calibri"/>
        </w:rPr>
        <w:t xml:space="preserve">applicable self-nomination period </w:t>
      </w:r>
      <w:r w:rsidRPr="5FE474A5" w:rsidR="00C6843A">
        <w:rPr>
          <w:rFonts w:eastAsia="Calibri"/>
        </w:rPr>
        <w:t xml:space="preserve">will increase the annual burden hours for both QCDRs and qualified registries by </w:t>
      </w:r>
      <w:r w:rsidR="00B625E8">
        <w:rPr>
          <w:rFonts w:eastAsia="Calibri"/>
        </w:rPr>
        <w:t>3</w:t>
      </w:r>
      <w:r w:rsidRPr="5FE474A5" w:rsidR="00C6843A">
        <w:rPr>
          <w:rFonts w:eastAsia="Calibri"/>
        </w:rPr>
        <w:t xml:space="preserve"> hours per </w:t>
      </w:r>
      <w:r w:rsidR="00B625E8">
        <w:rPr>
          <w:rFonts w:eastAsia="Calibri"/>
        </w:rPr>
        <w:t>participation plan</w:t>
      </w:r>
      <w:r w:rsidRPr="5FE474A5" w:rsidR="00C6843A">
        <w:rPr>
          <w:rFonts w:eastAsia="Calibri"/>
        </w:rPr>
        <w:t xml:space="preserve">.  </w:t>
      </w:r>
      <w:r w:rsidR="6CE663F3">
        <w:t xml:space="preserve">The </w:t>
      </w:r>
      <w:r w:rsidR="005150E1">
        <w:t>proposed</w:t>
      </w:r>
      <w:r w:rsidR="00C6843A">
        <w:t xml:space="preserve"> policy</w:t>
      </w:r>
      <w:r w:rsidR="6CE663F3">
        <w:t xml:space="preserve"> to sunset the CMS Web Interface measures as a collection type/submission type starting with the </w:t>
      </w:r>
      <w:r w:rsidR="005150E1">
        <w:t xml:space="preserve">CY </w:t>
      </w:r>
      <w:r w:rsidR="6CE663F3">
        <w:t>202</w:t>
      </w:r>
      <w:r w:rsidR="005150E1">
        <w:t>3 MIPS</w:t>
      </w:r>
      <w:r w:rsidR="6CE663F3">
        <w:t xml:space="preserve"> performance period</w:t>
      </w:r>
      <w:r w:rsidR="005150E1">
        <w:t>/2025 MIPS payment year</w:t>
      </w:r>
      <w:r w:rsidR="6CE663F3">
        <w:t xml:space="preserve"> will increase the number of respondents for the MIPS CQM QCDR</w:t>
      </w:r>
      <w:r w:rsidR="009D71BA">
        <w:t>,</w:t>
      </w:r>
      <w:r w:rsidR="6CE663F3">
        <w:t xml:space="preserve"> and eCQM collection types for the quality performance category </w:t>
      </w:r>
      <w:r w:rsidR="3B7562A5">
        <w:t xml:space="preserve">by </w:t>
      </w:r>
      <w:r w:rsidR="00827BB8">
        <w:t>50</w:t>
      </w:r>
      <w:r w:rsidR="3B7562A5">
        <w:t xml:space="preserve"> and 6</w:t>
      </w:r>
      <w:r w:rsidR="00827BB8">
        <w:t>4</w:t>
      </w:r>
      <w:r w:rsidR="3B7562A5">
        <w:t xml:space="preserve"> respondents, respectively, </w:t>
      </w:r>
      <w:r w:rsidR="6CE663F3">
        <w:t>as we assume respondents who previously submitted via the CMS Web Interface collection type w</w:t>
      </w:r>
      <w:r w:rsidR="00F15DC2">
        <w:t>ould</w:t>
      </w:r>
      <w:r w:rsidR="00771657">
        <w:t xml:space="preserve"> </w:t>
      </w:r>
      <w:r w:rsidR="6CE663F3">
        <w:t xml:space="preserve">alternatively utilize one of these collection types to submit quality data. </w:t>
      </w:r>
      <w:r w:rsidR="00A4279A">
        <w:t xml:space="preserve">The proposed policy </w:t>
      </w:r>
      <w:r w:rsidR="00F812F1">
        <w:t xml:space="preserve">for annual assessment of SAFER </w:t>
      </w:r>
      <w:r w:rsidR="00600BF5">
        <w:t xml:space="preserve">Guides </w:t>
      </w:r>
      <w:r w:rsidR="00FD7FA0">
        <w:t xml:space="preserve">requirement beginning with the CY 2023 MIPS performance period/2025 MIPS payment year will result </w:t>
      </w:r>
      <w:r w:rsidR="00A83C80">
        <w:t xml:space="preserve">in an increase of 0.02 hours per respondent. </w:t>
      </w:r>
      <w:r w:rsidR="002D1908">
        <w:t xml:space="preserve">The proposed policy to automatically reweight the Promoting Interoperability performance category for small practices who had to </w:t>
      </w:r>
      <w:r w:rsidR="007C0775">
        <w:t xml:space="preserve">previously apply for reweighting </w:t>
      </w:r>
      <w:r w:rsidR="001A111A">
        <w:t xml:space="preserve">would result in a decrease of </w:t>
      </w:r>
      <w:r w:rsidRPr="00E53E05" w:rsidR="00EB06FE">
        <w:t>13,894</w:t>
      </w:r>
      <w:r w:rsidR="00EB06FE">
        <w:t xml:space="preserve"> </w:t>
      </w:r>
      <w:r w:rsidR="0077175E">
        <w:t>re</w:t>
      </w:r>
      <w:r w:rsidR="0074116F">
        <w:t>s</w:t>
      </w:r>
      <w:r w:rsidR="0077175E">
        <w:t>pondents.</w:t>
      </w:r>
      <w:r w:rsidR="6CE663F3">
        <w:t xml:space="preserve"> The </w:t>
      </w:r>
      <w:r w:rsidR="00892EC1">
        <w:t>proposed</w:t>
      </w:r>
      <w:r w:rsidR="31A38A03">
        <w:t xml:space="preserve"> policy</w:t>
      </w:r>
      <w:r w:rsidR="6CE663F3">
        <w:t xml:space="preserve"> to require </w:t>
      </w:r>
      <w:r w:rsidR="00C7662D">
        <w:t>all 8 criteria</w:t>
      </w:r>
      <w:r w:rsidR="00D942EB">
        <w:t>, including two new criteria</w:t>
      </w:r>
      <w:r w:rsidR="005D4D35">
        <w:t>,</w:t>
      </w:r>
      <w:r w:rsidR="00C7662D">
        <w:t xml:space="preserve"> </w:t>
      </w:r>
      <w:r w:rsidR="007A31A4">
        <w:t xml:space="preserve">to be met </w:t>
      </w:r>
      <w:r w:rsidR="00C7662D">
        <w:t xml:space="preserve">for </w:t>
      </w:r>
      <w:r w:rsidR="0034731D">
        <w:t xml:space="preserve">submitting </w:t>
      </w:r>
      <w:r w:rsidR="001C553C">
        <w:t>an improvement</w:t>
      </w:r>
      <w:r w:rsidR="00205021">
        <w:t xml:space="preserve"> activity</w:t>
      </w:r>
      <w:r w:rsidR="00D942EB">
        <w:t xml:space="preserve"> for consideration </w:t>
      </w:r>
      <w:r w:rsidR="6CE663F3">
        <w:t>will increase the time by 1</w:t>
      </w:r>
      <w:r w:rsidR="000C70A0">
        <w:t>.4</w:t>
      </w:r>
      <w:r w:rsidR="6CE663F3">
        <w:t xml:space="preserve"> hour</w:t>
      </w:r>
      <w:r w:rsidR="000C70A0">
        <w:t>s</w:t>
      </w:r>
      <w:r w:rsidR="6CE663F3">
        <w:t xml:space="preserve"> per improvement activity.</w:t>
      </w:r>
      <w:r w:rsidR="00CA1DCF">
        <w:t xml:space="preserve">  </w:t>
      </w:r>
      <w:r w:rsidR="6CE663F3">
        <w:t xml:space="preserve">The remaining changes to our currently approved burden estimates are adjustments due to the use of updated data sources.   </w:t>
      </w:r>
    </w:p>
    <w:p w:rsidR="00541438" w:rsidP="00541438" w:rsidRDefault="00541438" w14:paraId="3A097E81" w14:textId="7733346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We </w:t>
      </w:r>
      <w:r w:rsidR="000146DA">
        <w:t xml:space="preserve">are also proposing to </w:t>
      </w:r>
      <w:r w:rsidR="00626871">
        <w:t>add</w:t>
      </w:r>
      <w:r>
        <w:t xml:space="preserve"> t</w:t>
      </w:r>
      <w:r w:rsidR="000146DA">
        <w:t>hree</w:t>
      </w:r>
      <w:r>
        <w:t xml:space="preserve"> new ICRs</w:t>
      </w:r>
      <w:r w:rsidR="00B26E80">
        <w:t>:</w:t>
      </w:r>
      <w:r w:rsidR="002D5486">
        <w:t xml:space="preserve"> </w:t>
      </w:r>
      <w:r w:rsidR="003D4ED3">
        <w:t xml:space="preserve">MVP registration, </w:t>
      </w:r>
      <w:r w:rsidR="00412798">
        <w:t xml:space="preserve">MVP quality submissions, and </w:t>
      </w:r>
      <w:r w:rsidR="002D5486">
        <w:t xml:space="preserve">Subgroup registration. The MVP registration reflects the burden associated </w:t>
      </w:r>
      <w:r w:rsidR="00E33CC4">
        <w:t xml:space="preserve">with </w:t>
      </w:r>
      <w:r w:rsidR="006F4474">
        <w:t xml:space="preserve">the proposed registration process for clinicians reporting </w:t>
      </w:r>
      <w:r w:rsidR="00E33CC4">
        <w:t xml:space="preserve">MVPs beginning </w:t>
      </w:r>
      <w:r w:rsidR="006F4474">
        <w:t>with the CY 2023 MIPS performance period/2025 MIPS payment year.</w:t>
      </w:r>
      <w:r w:rsidR="00FB4F94">
        <w:t xml:space="preserve"> </w:t>
      </w:r>
      <w:r w:rsidR="002C4C0D">
        <w:t>S</w:t>
      </w:r>
      <w:r w:rsidR="00FB4F94">
        <w:t xml:space="preserve">ubgroup registration reflects the burden associated with the proposed registration process for subgroups </w:t>
      </w:r>
      <w:r w:rsidR="005070BE">
        <w:t xml:space="preserve">reporting the MVPs. The MVP quality submission reflects the </w:t>
      </w:r>
      <w:r w:rsidR="005B7E74">
        <w:t xml:space="preserve">decrease in burden associated with the </w:t>
      </w:r>
      <w:r w:rsidR="00EF5B3B">
        <w:t xml:space="preserve">proposed </w:t>
      </w:r>
      <w:r w:rsidR="00414016">
        <w:t xml:space="preserve">MVP </w:t>
      </w:r>
      <w:r w:rsidR="00E361CB">
        <w:t xml:space="preserve">Inventory </w:t>
      </w:r>
      <w:r w:rsidR="00414016">
        <w:t xml:space="preserve">available </w:t>
      </w:r>
      <w:r w:rsidR="00E361CB">
        <w:t>for MIPS eligible clinicians.</w:t>
      </w:r>
      <w:r w:rsidR="00E33CC4">
        <w:t xml:space="preserve"> </w:t>
      </w:r>
      <w:r>
        <w:t xml:space="preserve">  </w:t>
      </w:r>
    </w:p>
    <w:p w:rsidRPr="00041A6A" w:rsidR="00965426" w:rsidP="00891FD8" w:rsidRDefault="009D65FD" w14:paraId="43B59C69" w14:textId="3E8BE901">
      <w:pPr>
        <w:pStyle w:val="Heading2"/>
      </w:pPr>
      <w:r w:rsidRPr="00041A6A">
        <w:t>Data Collection for MIPS</w:t>
      </w:r>
    </w:p>
    <w:p w:rsidRPr="00041A6A" w:rsidR="003429D4" w:rsidP="002B0C82" w:rsidRDefault="009D65FD" w14:paraId="60BFDEDB" w14:textId="5A97B31B">
      <w:pPr>
        <w:pStyle w:val="Heading3"/>
      </w:pPr>
      <w:r w:rsidRPr="00041A6A">
        <w:t>Quality Performance Category</w:t>
      </w:r>
    </w:p>
    <w:p w:rsidR="009A6433" w:rsidP="00730BEF" w:rsidRDefault="00E52B3E" w14:paraId="275C9239" w14:textId="29D26724">
      <w:pPr>
        <w:rPr>
          <w:rFonts w:eastAsia="Calibri"/>
        </w:rPr>
      </w:pPr>
      <w:r>
        <w:t>T</w:t>
      </w:r>
      <w:r w:rsidRPr="00D652C4" w:rsidR="00D9432D">
        <w:t>he</w:t>
      </w:r>
      <w:r w:rsidR="007D4AF3">
        <w:t xml:space="preserve"> proposed</w:t>
      </w:r>
      <w:r w:rsidR="00D9432D">
        <w:t xml:space="preserve"> processes </w:t>
      </w:r>
      <w:r>
        <w:t xml:space="preserve">for </w:t>
      </w:r>
      <w:r w:rsidR="00FC794D">
        <w:t xml:space="preserve">reporting quality performance category data </w:t>
      </w:r>
      <w:r w:rsidR="005E3E65">
        <w:t>will be</w:t>
      </w:r>
      <w:r w:rsidR="00D9432D">
        <w:t xml:space="preserve"> generally the same </w:t>
      </w:r>
      <w:r w:rsidR="00FC794D">
        <w:t xml:space="preserve">for the </w:t>
      </w:r>
      <w:r w:rsidR="00D52F35">
        <w:t xml:space="preserve">CY </w:t>
      </w:r>
      <w:r w:rsidR="005E3E65">
        <w:t>202</w:t>
      </w:r>
      <w:r w:rsidR="00D52F35">
        <w:t>2</w:t>
      </w:r>
      <w:r w:rsidR="005E3E65">
        <w:t xml:space="preserve"> MIPS performance period</w:t>
      </w:r>
      <w:r w:rsidR="00D52F35">
        <w:t>/2024 MIPS payment year</w:t>
      </w:r>
      <w:r w:rsidR="005E3E65">
        <w:t xml:space="preserve"> </w:t>
      </w:r>
      <w:r w:rsidR="00D9432D">
        <w:t>as the</w:t>
      </w:r>
      <w:r w:rsidR="005E3E65">
        <w:t xml:space="preserve">y were in the </w:t>
      </w:r>
      <w:r w:rsidR="00D52F35">
        <w:t xml:space="preserve">CY </w:t>
      </w:r>
      <w:r w:rsidR="00915FEC">
        <w:t>20</w:t>
      </w:r>
      <w:r w:rsidR="00613C3E">
        <w:t>2</w:t>
      </w:r>
      <w:r w:rsidR="00D52F35">
        <w:t>1</w:t>
      </w:r>
      <w:r w:rsidR="00915FEC">
        <w:t xml:space="preserve"> MIPS performance period</w:t>
      </w:r>
      <w:r w:rsidR="00D52F35">
        <w:t>/2023 MIPS payment year</w:t>
      </w:r>
      <w:r w:rsidRPr="0007426C" w:rsidR="009D65FD">
        <w:t>.</w:t>
      </w:r>
      <w:r w:rsidR="009D65FD">
        <w:t xml:space="preserve"> </w:t>
      </w:r>
      <w:r w:rsidR="00A31F2F">
        <w:t xml:space="preserve"> </w:t>
      </w:r>
      <w:r w:rsidR="009D65FD">
        <w:t xml:space="preserve">Under MIPS, the quality performance category performance requirements </w:t>
      </w:r>
      <w:r w:rsidR="00D148F7">
        <w:t xml:space="preserve">for clinicians participating in traditional MIPS </w:t>
      </w:r>
      <w:r w:rsidR="009D65FD">
        <w:t xml:space="preserve">are as follows: </w:t>
      </w:r>
      <w:r w:rsidRPr="00E649AA" w:rsidR="009D65FD">
        <w:rPr>
          <w:rFonts w:eastAsia="Calibri"/>
        </w:rPr>
        <w:t xml:space="preserve">the MIPS eligible clinician or group will report at least </w:t>
      </w:r>
      <w:r w:rsidR="009D65FD">
        <w:rPr>
          <w:rFonts w:eastAsia="Calibri"/>
        </w:rPr>
        <w:t>6</w:t>
      </w:r>
      <w:r w:rsidRPr="00E649AA" w:rsidR="009D65FD">
        <w:rPr>
          <w:rFonts w:eastAsia="Calibri"/>
        </w:rPr>
        <w:t xml:space="preserve"> measures including at least </w:t>
      </w:r>
      <w:r w:rsidR="009D65FD">
        <w:rPr>
          <w:rFonts w:eastAsia="Calibri"/>
        </w:rPr>
        <w:t>1</w:t>
      </w:r>
      <w:r w:rsidRPr="00E649AA" w:rsidR="009D65FD">
        <w:rPr>
          <w:rFonts w:eastAsia="Calibri"/>
        </w:rPr>
        <w:t xml:space="preserve"> outcome measure if available; </w:t>
      </w:r>
      <w:r w:rsidR="00974CEB">
        <w:rPr>
          <w:rFonts w:eastAsia="Calibri"/>
        </w:rPr>
        <w:t>and</w:t>
      </w:r>
      <w:r w:rsidRPr="00E649AA" w:rsidR="009D65FD">
        <w:rPr>
          <w:rFonts w:eastAsia="Calibri"/>
        </w:rPr>
        <w:t xml:space="preserve"> if an applicable outcome measure is not available, then the MIPS eligible clinician or group will report </w:t>
      </w:r>
      <w:r w:rsidR="009D65FD">
        <w:rPr>
          <w:rFonts w:eastAsia="Calibri"/>
        </w:rPr>
        <w:t>a</w:t>
      </w:r>
      <w:r w:rsidRPr="00E649AA" w:rsidR="009D65FD">
        <w:rPr>
          <w:rFonts w:eastAsia="Calibri"/>
        </w:rPr>
        <w:t xml:space="preserve"> high priority measure (appropriate use, patient safety, efficiency, p</w:t>
      </w:r>
      <w:r w:rsidR="00D00DDB">
        <w:rPr>
          <w:rFonts w:eastAsia="Calibri"/>
        </w:rPr>
        <w:t>atient experience,</w:t>
      </w:r>
      <w:r w:rsidRPr="00E649AA" w:rsidR="009D65FD">
        <w:rPr>
          <w:rFonts w:eastAsia="Calibri"/>
        </w:rPr>
        <w:t xml:space="preserve"> care coordination</w:t>
      </w:r>
      <w:r w:rsidR="00D00DDB">
        <w:rPr>
          <w:rFonts w:eastAsia="Calibri"/>
        </w:rPr>
        <w:t>, or opioid-related</w:t>
      </w:r>
      <w:r w:rsidRPr="00E649AA" w:rsidR="009D65FD">
        <w:rPr>
          <w:rFonts w:eastAsia="Calibri"/>
        </w:rPr>
        <w:t xml:space="preserve"> measures) in lieu of an outcome measure.</w:t>
      </w:r>
      <w:r w:rsidR="009D65FD">
        <w:rPr>
          <w:rFonts w:eastAsia="Calibri"/>
        </w:rPr>
        <w:t xml:space="preserve"> </w:t>
      </w:r>
      <w:r w:rsidR="00E83C37">
        <w:rPr>
          <w:rFonts w:eastAsia="Calibri"/>
        </w:rPr>
        <w:t xml:space="preserve"> </w:t>
      </w:r>
      <w:r w:rsidRPr="007976E8" w:rsidR="009D65FD">
        <w:rPr>
          <w:rFonts w:eastAsia="Calibri"/>
        </w:rPr>
        <w:t xml:space="preserve">If fewer than </w:t>
      </w:r>
      <w:r w:rsidR="009D65FD">
        <w:rPr>
          <w:rFonts w:eastAsia="Calibri"/>
        </w:rPr>
        <w:t>6</w:t>
      </w:r>
      <w:r w:rsidRPr="007976E8" w:rsidR="009D65FD">
        <w:rPr>
          <w:rFonts w:eastAsia="Calibri"/>
        </w:rPr>
        <w:t xml:space="preserve"> measures apply to the individual MIPS eligible clinician</w:t>
      </w:r>
      <w:r w:rsidR="001964ED">
        <w:rPr>
          <w:rFonts w:eastAsia="Calibri"/>
        </w:rPr>
        <w:t xml:space="preserve"> or</w:t>
      </w:r>
      <w:r w:rsidDel="005111D9" w:rsidR="009D65FD">
        <w:rPr>
          <w:rFonts w:eastAsia="Calibri"/>
        </w:rPr>
        <w:t xml:space="preserve"> </w:t>
      </w:r>
      <w:r w:rsidRPr="007976E8" w:rsidR="009D65FD">
        <w:rPr>
          <w:rFonts w:eastAsia="Calibri"/>
        </w:rPr>
        <w:t>group, then the MIPS eligible clinician</w:t>
      </w:r>
      <w:r w:rsidR="001964ED">
        <w:rPr>
          <w:rFonts w:eastAsia="Calibri"/>
        </w:rPr>
        <w:t xml:space="preserve"> or</w:t>
      </w:r>
      <w:r w:rsidR="009D65FD">
        <w:rPr>
          <w:rFonts w:eastAsia="Calibri"/>
        </w:rPr>
        <w:t xml:space="preserve"> </w:t>
      </w:r>
      <w:r w:rsidRPr="007976E8" w:rsidR="009D65FD">
        <w:rPr>
          <w:rFonts w:eastAsia="Calibri"/>
        </w:rPr>
        <w:t>group will be required to report on each measure that is applicable.</w:t>
      </w:r>
      <w:r w:rsidR="009D65FD">
        <w:rPr>
          <w:rFonts w:eastAsia="Calibri"/>
        </w:rPr>
        <w:t xml:space="preserve"> </w:t>
      </w:r>
    </w:p>
    <w:p w:rsidR="00D82514" w:rsidP="00730BEF" w:rsidRDefault="009A6433" w14:paraId="31C5D708" w14:textId="685AABC0">
      <w:r>
        <w:rPr>
          <w:rFonts w:eastAsia="Calibri"/>
        </w:rPr>
        <w:t>For the CY 2023 MIPS performance period/2025 MIPS payment year, w</w:t>
      </w:r>
      <w:r w:rsidR="00A41E20">
        <w:rPr>
          <w:rFonts w:eastAsia="Calibri"/>
        </w:rPr>
        <w:t>e propose in the CY 202</w:t>
      </w:r>
      <w:r w:rsidR="009B2C5F">
        <w:rPr>
          <w:rFonts w:eastAsia="Calibri"/>
        </w:rPr>
        <w:t>2</w:t>
      </w:r>
      <w:r w:rsidR="00A41E20">
        <w:rPr>
          <w:rFonts w:eastAsia="Calibri"/>
        </w:rPr>
        <w:t xml:space="preserve"> PFS proposed rule that f</w:t>
      </w:r>
      <w:r w:rsidR="00D82514">
        <w:rPr>
          <w:rFonts w:eastAsia="Calibri"/>
        </w:rPr>
        <w:t xml:space="preserve">or clinicians </w:t>
      </w:r>
      <w:r w:rsidR="00C1240F">
        <w:rPr>
          <w:rFonts w:eastAsia="Calibri"/>
        </w:rPr>
        <w:t xml:space="preserve">participating in MIPS </w:t>
      </w:r>
      <w:r w:rsidR="00D028C8">
        <w:rPr>
          <w:rFonts w:eastAsia="Calibri"/>
        </w:rPr>
        <w:t xml:space="preserve">through MVPs, </w:t>
      </w:r>
      <w:r w:rsidR="00821795">
        <w:rPr>
          <w:rFonts w:eastAsia="Calibri"/>
        </w:rPr>
        <w:t>an</w:t>
      </w:r>
      <w:r w:rsidR="00F24536">
        <w:rPr>
          <w:rFonts w:eastAsia="Calibri"/>
        </w:rPr>
        <w:t xml:space="preserve"> individual, group, subgroup, or an APM Entity </w:t>
      </w:r>
      <w:r w:rsidRPr="00830A11" w:rsidR="00830A11">
        <w:rPr>
          <w:rFonts w:eastAsia="Calibri"/>
        </w:rPr>
        <w:t>must select and report 4 quality measures, including 1 outcome measure (or, if an outcome measure is not available, 1 high priority measure, included in the MVP</w:t>
      </w:r>
      <w:r w:rsidR="006045A2">
        <w:rPr>
          <w:rFonts w:eastAsia="Calibri"/>
        </w:rPr>
        <w:t xml:space="preserve"> (</w:t>
      </w:r>
      <w:r w:rsidR="003124C9">
        <w:rPr>
          <w:rFonts w:eastAsia="Calibri"/>
        </w:rPr>
        <w:t>86 FR 39370</w:t>
      </w:r>
      <w:r w:rsidR="00CE2086">
        <w:rPr>
          <w:rFonts w:eastAsia="Calibri"/>
        </w:rPr>
        <w:t xml:space="preserve"> through 39371</w:t>
      </w:r>
      <w:r w:rsidR="006045A2">
        <w:rPr>
          <w:rFonts w:eastAsia="Calibri"/>
        </w:rPr>
        <w:t>)</w:t>
      </w:r>
      <w:r w:rsidRPr="00830A11" w:rsidR="00830A11">
        <w:rPr>
          <w:rFonts w:eastAsia="Calibri"/>
        </w:rPr>
        <w:t xml:space="preserve">.  </w:t>
      </w:r>
      <w:r w:rsidR="004D2590">
        <w:rPr>
          <w:rFonts w:eastAsia="Calibri"/>
        </w:rPr>
        <w:t>In the CY 2022 PFS proposed rule</w:t>
      </w:r>
      <w:r w:rsidR="009D0CFB">
        <w:rPr>
          <w:rFonts w:eastAsia="Calibri"/>
        </w:rPr>
        <w:t xml:space="preserve"> (86 FR 39357 through 39358)</w:t>
      </w:r>
      <w:r w:rsidR="004D2590">
        <w:rPr>
          <w:rFonts w:eastAsia="Calibri"/>
        </w:rPr>
        <w:t xml:space="preserve">, we </w:t>
      </w:r>
      <w:r w:rsidR="00B74F81">
        <w:rPr>
          <w:rFonts w:eastAsia="Calibri"/>
        </w:rPr>
        <w:t xml:space="preserve">also </w:t>
      </w:r>
      <w:r w:rsidR="0082378D">
        <w:rPr>
          <w:rFonts w:eastAsia="Calibri"/>
        </w:rPr>
        <w:t>propos</w:t>
      </w:r>
      <w:r w:rsidR="00E45701">
        <w:rPr>
          <w:rFonts w:eastAsia="Calibri"/>
        </w:rPr>
        <w:t>e</w:t>
      </w:r>
      <w:r w:rsidR="0082378D">
        <w:rPr>
          <w:rFonts w:eastAsia="Calibri"/>
        </w:rPr>
        <w:t xml:space="preserve"> the introduction of </w:t>
      </w:r>
      <w:r w:rsidR="004D2590">
        <w:rPr>
          <w:rFonts w:eastAsia="Calibri"/>
        </w:rPr>
        <w:t xml:space="preserve">voluntary </w:t>
      </w:r>
      <w:r w:rsidR="0082378D">
        <w:rPr>
          <w:rFonts w:eastAsia="Calibri"/>
        </w:rPr>
        <w:t>subgroup reporting</w:t>
      </w:r>
      <w:r w:rsidR="00E45701">
        <w:rPr>
          <w:rFonts w:eastAsia="Calibri"/>
        </w:rPr>
        <w:t xml:space="preserve"> beginning with the CY 2023 MIPS performance period/2025 MIPS payment year</w:t>
      </w:r>
      <w:r w:rsidR="0082378D">
        <w:rPr>
          <w:rFonts w:eastAsia="Calibri"/>
        </w:rPr>
        <w:t xml:space="preserve">, which allows a portion of the clinicians in a TIN to voluntarily report </w:t>
      </w:r>
      <w:r w:rsidR="0096343C">
        <w:rPr>
          <w:rFonts w:eastAsia="Calibri"/>
        </w:rPr>
        <w:t xml:space="preserve">on the measures and activities in an </w:t>
      </w:r>
      <w:r w:rsidR="0082378D">
        <w:rPr>
          <w:rFonts w:eastAsia="Calibri"/>
        </w:rPr>
        <w:t xml:space="preserve">MVP and receive their own </w:t>
      </w:r>
      <w:r w:rsidR="003B571B">
        <w:rPr>
          <w:rFonts w:eastAsia="Calibri"/>
        </w:rPr>
        <w:t>performance feedback</w:t>
      </w:r>
      <w:r w:rsidR="0082378D">
        <w:rPr>
          <w:rFonts w:eastAsia="Calibri"/>
        </w:rPr>
        <w:t xml:space="preserve">. </w:t>
      </w:r>
    </w:p>
    <w:p w:rsidR="00640856" w:rsidP="00730BEF" w:rsidRDefault="00640856" w14:paraId="1D2462AC" w14:textId="7F671966">
      <w:pPr>
        <w:pStyle w:val="NormalWeb"/>
      </w:pPr>
      <w:r>
        <w:t xml:space="preserve">As established in the CY 2018 Quality Payment Program final rule, we allow MIPS eligible clinicians to apply for a redistribution of the weights for the quality, cost, and improvement activities performance categories </w:t>
      </w:r>
      <w:r w:rsidR="00B527AC">
        <w:t xml:space="preserve">due to </w:t>
      </w:r>
      <w:r>
        <w:rPr>
          <w:rFonts w:eastAsia="Calibri"/>
        </w:rPr>
        <w:t xml:space="preserve">hardship exceptions such as a natural disaster </w:t>
      </w:r>
      <w:r>
        <w:t xml:space="preserve">(82 FR 53783 through 53785).  </w:t>
      </w:r>
      <w:r w:rsidRPr="00FD1808">
        <w:t>We rely on section 1848(</w:t>
      </w:r>
      <w:r w:rsidR="00FB17B9">
        <w:t>q</w:t>
      </w:r>
      <w:r w:rsidRPr="00FD1808">
        <w:t>)(</w:t>
      </w:r>
      <w:r w:rsidR="00FB17B9">
        <w:t>5</w:t>
      </w:r>
      <w:r w:rsidRPr="00FD1808">
        <w:t>)(</w:t>
      </w:r>
      <w:r w:rsidR="00FB17B9">
        <w:t>F</w:t>
      </w:r>
      <w:r w:rsidRPr="00FD1808">
        <w:t xml:space="preserve">) of the </w:t>
      </w:r>
      <w:r w:rsidR="009A18F9">
        <w:t xml:space="preserve">Social Security </w:t>
      </w:r>
      <w:r w:rsidRPr="00FD1808">
        <w:t>Act, as amended by section 4002(b)(1)(B) of the 21st Century Cure</w:t>
      </w:r>
      <w:r>
        <w:t xml:space="preserve">s Act, as our authority for these </w:t>
      </w:r>
      <w:r w:rsidRPr="00FD1808">
        <w:t>exemptions</w:t>
      </w:r>
      <w:r>
        <w:t>.</w:t>
      </w:r>
    </w:p>
    <w:p w:rsidRPr="00041A6A" w:rsidR="00D00DDB" w:rsidP="00D11F3C" w:rsidRDefault="00D00DDB" w14:paraId="2C2880F7" w14:textId="5DB40E57">
      <w:pPr>
        <w:pStyle w:val="Heading3"/>
      </w:pPr>
      <w:r w:rsidRPr="00041A6A">
        <w:lastRenderedPageBreak/>
        <w:t>Promoting Interoperability Performance Category</w:t>
      </w:r>
    </w:p>
    <w:p w:rsidRPr="00C92E4B" w:rsidR="00D00DDB" w:rsidP="00D11F3C" w:rsidRDefault="00CB70D9" w14:paraId="0E798D1B" w14:textId="29553DB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B70D9">
        <w:t xml:space="preserve">Section 1848(q)(2)(A) of the Act includes the meaningful use of CEHRT as a performance category under the MIPS. </w:t>
      </w:r>
      <w:r w:rsidRPr="00C92E4B" w:rsidR="00D00DDB">
        <w:t xml:space="preserve"> </w:t>
      </w:r>
    </w:p>
    <w:p w:rsidR="00EC4B03" w:rsidP="00D11F3C" w:rsidRDefault="00942AAC" w14:paraId="696A722D" w14:textId="3A133305">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w:t>
      </w:r>
      <w:r w:rsidRPr="00C92E4B" w:rsidR="00336783">
        <w:t xml:space="preserve"> the </w:t>
      </w:r>
      <w:r w:rsidR="003C37F0">
        <w:t xml:space="preserve">CY </w:t>
      </w:r>
      <w:r w:rsidRPr="00C92E4B" w:rsidR="00336783">
        <w:t>20</w:t>
      </w:r>
      <w:r>
        <w:t>2</w:t>
      </w:r>
      <w:r w:rsidR="00477117">
        <w:t>2</w:t>
      </w:r>
      <w:r>
        <w:t xml:space="preserve"> MIPS</w:t>
      </w:r>
      <w:r w:rsidRPr="00C92E4B" w:rsidR="00336783">
        <w:t xml:space="preserve"> performance period, w</w:t>
      </w:r>
      <w:r w:rsidRPr="00C92E4B" w:rsidR="00EC4B03">
        <w:t>e</w:t>
      </w:r>
      <w:r w:rsidR="000D4E6B">
        <w:t xml:space="preserve"> </w:t>
      </w:r>
      <w:r w:rsidRPr="00F6616C" w:rsidR="00F83E98">
        <w:t xml:space="preserve">are proposing to add a new SAFER Guides measure to the Protect Patient Health Information objective, beginning with the CY 2022 </w:t>
      </w:r>
      <w:r w:rsidR="00696C26">
        <w:t xml:space="preserve">MIPS </w:t>
      </w:r>
      <w:r w:rsidRPr="00F6616C" w:rsidR="00F83E98">
        <w:t xml:space="preserve">performance period/2024 </w:t>
      </w:r>
      <w:r w:rsidR="00696C26">
        <w:t xml:space="preserve">MIPS </w:t>
      </w:r>
      <w:r w:rsidRPr="00F6616C" w:rsidR="00F83E98">
        <w:t xml:space="preserve">payment year.  For this measure, we are proposing that a MIPS eligible clinician or group must attest to having conducted an annual self-assessment using the High Priority Practices Guide (available at </w:t>
      </w:r>
      <w:hyperlink w:history="1" r:id="rId11">
        <w:r w:rsidRPr="00F6616C" w:rsidR="00F83E98">
          <w:rPr>
            <w:color w:val="0000FF"/>
            <w:u w:val="single"/>
          </w:rPr>
          <w:t>https://www.healthit.gov/topic/safety/safer-guides</w:t>
        </w:r>
      </w:hyperlink>
      <w:r w:rsidRPr="00F6616C" w:rsidR="00F83E98">
        <w:t xml:space="preserve">), at any point during the calendar year in which the performance period occurs, with one “yes/no” attestation statement accounting for the complete self-assessment using the guide.  We propose that this measure would be required, but it would not be scored, and that reporting “yes” or “no” would not affect the total number of points earned for the Promoting Interoperability performance category.  </w:t>
      </w:r>
    </w:p>
    <w:p w:rsidR="00D00DDB" w:rsidP="00730BEF" w:rsidRDefault="00E73CD3" w14:paraId="000D0752" w14:textId="5DB413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73CD3">
        <w:t xml:space="preserve">As established in the CY 2017 and CY 2018 Quality Payment Program final rules, MIPS eligible clinicians who meet the criteria for a significant hardship or other type of exception may </w:t>
      </w:r>
      <w:proofErr w:type="gramStart"/>
      <w:r w:rsidRPr="00E73CD3">
        <w:t>submit an application</w:t>
      </w:r>
      <w:proofErr w:type="gramEnd"/>
      <w:r w:rsidRPr="00E73CD3">
        <w:t xml:space="preserve"> requesting a zero percent weighting for the Promoting Interoperability, quality, cost, and/or improvement activities performance categories under specific circumstances (81 FR 77240 through 77243, 82 FR 53680 through 53686, and 82 FR 53783 through 53785). </w:t>
      </w:r>
      <w:r w:rsidR="00E36AF9">
        <w:t>In the CY 202</w:t>
      </w:r>
      <w:r w:rsidR="00C14713">
        <w:t>2</w:t>
      </w:r>
      <w:r w:rsidR="00B37820">
        <w:t xml:space="preserve"> PFS proposed rule</w:t>
      </w:r>
      <w:r w:rsidR="00A06748">
        <w:t xml:space="preserve"> (86 FR 39448 through 39449)</w:t>
      </w:r>
      <w:r w:rsidR="00B37820">
        <w:t xml:space="preserve">, </w:t>
      </w:r>
      <w:r w:rsidRPr="006D3AB8" w:rsidR="006D3AB8">
        <w:t xml:space="preserve">we are proposing to no longer require an application for clinicians and small practices seeking to qualify for the small practice hardship exception and reweighting.  We are proposing instead to assign a weight of zero percent to the Promoting Interoperability performance category and redistribute its weight to another performance category or categories in the event no data is submitted for any of the measures for the Promoting Interoperability performance category by or on behalf of a MIPS eligible clinician in a small practice. </w:t>
      </w:r>
      <w:r w:rsidR="00A829E5">
        <w:rPr>
          <w:rFonts w:eastAsia="Calibri"/>
        </w:rPr>
        <w:t>In the CY 2022 PFS proposed rule</w:t>
      </w:r>
      <w:r w:rsidR="00560F0A">
        <w:rPr>
          <w:rFonts w:eastAsia="Calibri"/>
        </w:rPr>
        <w:t xml:space="preserve"> (86 FR 39426)</w:t>
      </w:r>
      <w:r w:rsidR="00A829E5">
        <w:rPr>
          <w:rFonts w:eastAsia="Calibri"/>
        </w:rPr>
        <w:t xml:space="preserve">, we propose to apply the automatic reweighting of the Promoting Interoperability performance category to clinical social workers. </w:t>
      </w:r>
      <w:r w:rsidRPr="00E73CD3">
        <w:t xml:space="preserve"> </w:t>
      </w:r>
      <w:r w:rsidRPr="00FD1808" w:rsidR="00D00DDB">
        <w:t xml:space="preserve">We rely on </w:t>
      </w:r>
      <w:r w:rsidRPr="007B2A70" w:rsidR="007B2A70">
        <w:t xml:space="preserve">section 1848(q)(5)(F) </w:t>
      </w:r>
      <w:r w:rsidR="007B2A70">
        <w:t xml:space="preserve">and </w:t>
      </w:r>
      <w:r w:rsidRPr="00FD1808" w:rsidR="00D00DDB">
        <w:t>section 1848(o)(2)(D) of the Act, as amended by section 4002(b)(1)(B) of the 21st Century Cure</w:t>
      </w:r>
      <w:r w:rsidR="00D00DDB">
        <w:t xml:space="preserve">s Act, as our authority for these </w:t>
      </w:r>
      <w:r w:rsidRPr="00FD1808" w:rsidR="00D00DDB">
        <w:t>exemptions</w:t>
      </w:r>
      <w:r w:rsidR="00D00DDB">
        <w:t>.</w:t>
      </w:r>
      <w:r w:rsidR="00C72B1F">
        <w:t xml:space="preserve">  </w:t>
      </w:r>
    </w:p>
    <w:p w:rsidRPr="00041A6A" w:rsidR="00115849" w:rsidP="00891FD8" w:rsidRDefault="00115849" w14:paraId="5D0D4F42" w14:textId="4131D1B1">
      <w:pPr>
        <w:pStyle w:val="Heading3"/>
      </w:pPr>
      <w:r w:rsidRPr="00041A6A">
        <w:t>Improvement Activities Performance Category</w:t>
      </w:r>
    </w:p>
    <w:p w:rsidR="00115849" w:rsidP="00730BEF" w:rsidRDefault="00115849" w14:paraId="63F17340" w14:textId="5EF71240">
      <w:r>
        <w:t xml:space="preserve">Under MIPS, clinical practice improvement activities are referred to as improvement activities. We are encouraging, but not requiring, a </w:t>
      </w:r>
      <w:r w:rsidRPr="0007426C">
        <w:t xml:space="preserve">minimum </w:t>
      </w:r>
      <w:r>
        <w:t>number of improvement activities</w:t>
      </w:r>
      <w:r w:rsidRPr="0007426C">
        <w:t>, conducted at the group or the individual level</w:t>
      </w:r>
      <w:r>
        <w:t xml:space="preserve">. MIPS eligible clinicians and groups can submit data </w:t>
      </w:r>
      <w:r w:rsidRPr="00C47150">
        <w:t>through direct, log</w:t>
      </w:r>
      <w:r>
        <w:t xml:space="preserve"> </w:t>
      </w:r>
      <w:r w:rsidRPr="00C47150">
        <w:t>in and upload, or log</w:t>
      </w:r>
      <w:r>
        <w:t xml:space="preserve"> </w:t>
      </w:r>
      <w:r w:rsidRPr="00C47150">
        <w:t>in and attest submission types.</w:t>
      </w:r>
      <w:r w:rsidR="008D2858">
        <w:t xml:space="preserve">  </w:t>
      </w:r>
      <w:r w:rsidR="000C51E8">
        <w:t xml:space="preserve">We are not </w:t>
      </w:r>
      <w:r w:rsidR="00C84BB8">
        <w:t>proposing</w:t>
      </w:r>
      <w:r w:rsidR="000C51E8">
        <w:t xml:space="preserve"> any changes to the scoring methodology for the </w:t>
      </w:r>
      <w:r w:rsidR="00F06DC3">
        <w:t xml:space="preserve">CY </w:t>
      </w:r>
      <w:r w:rsidR="000C51E8">
        <w:t>202</w:t>
      </w:r>
      <w:r w:rsidR="001306F6">
        <w:t>2</w:t>
      </w:r>
      <w:r w:rsidR="000C51E8">
        <w:t xml:space="preserve"> MIPS performance period</w:t>
      </w:r>
      <w:r w:rsidR="00F06DC3">
        <w:t>/202</w:t>
      </w:r>
      <w:r w:rsidR="00C84BB8">
        <w:t>4</w:t>
      </w:r>
      <w:r w:rsidR="00F06DC3">
        <w:t xml:space="preserve"> MIPS payment year</w:t>
      </w:r>
      <w:r w:rsidR="000C51E8">
        <w:t>.</w:t>
      </w:r>
      <w:r w:rsidR="00915BAA">
        <w:rPr>
          <w:rFonts w:eastAsia="Calibri"/>
        </w:rPr>
        <w:t xml:space="preserve">  </w:t>
      </w:r>
    </w:p>
    <w:p w:rsidRPr="00041A6A" w:rsidR="00115849" w:rsidP="00891FD8" w:rsidRDefault="00115849" w14:paraId="26D0D42A" w14:textId="3C24AB21">
      <w:pPr>
        <w:pStyle w:val="Heading3"/>
      </w:pPr>
      <w:r w:rsidRPr="00041A6A">
        <w:t>Cost Performance Category</w:t>
      </w:r>
    </w:p>
    <w:p w:rsidR="00115849" w:rsidP="00730BEF" w:rsidRDefault="00115849" w14:paraId="19DE02B0" w14:textId="126778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Under MIPS, we refer to the resource use performance category as “cost.” The cost performance category </w:t>
      </w:r>
      <w:r w:rsidRPr="0007426C">
        <w:t>measures are derived from the Medicare Parts A and B claims submission process.</w:t>
      </w:r>
      <w:r>
        <w:t xml:space="preserve"> Cost performance category measures do not result in any submission burden because i</w:t>
      </w:r>
      <w:r w:rsidRPr="0007426C">
        <w:t xml:space="preserve">ndividual </w:t>
      </w:r>
      <w:r>
        <w:t xml:space="preserve">MIPS </w:t>
      </w:r>
      <w:r w:rsidRPr="00AC495C">
        <w:t>eligible clinicia</w:t>
      </w:r>
      <w:r>
        <w:t>ns</w:t>
      </w:r>
      <w:r w:rsidRPr="0007426C">
        <w:t xml:space="preserve"> are not asked to provide </w:t>
      </w:r>
      <w:r>
        <w:t xml:space="preserve">any documentation beyond the claims submission process. </w:t>
      </w:r>
    </w:p>
    <w:p w:rsidRPr="00041A6A" w:rsidR="00115849" w:rsidP="00891FD8" w:rsidRDefault="00115849" w14:paraId="7E1D3CCF" w14:textId="65C5F4A4">
      <w:pPr>
        <w:pStyle w:val="Heading3"/>
      </w:pPr>
      <w:r w:rsidRPr="00041A6A">
        <w:lastRenderedPageBreak/>
        <w:t>Additional Data Collection</w:t>
      </w:r>
    </w:p>
    <w:p w:rsidR="00115849" w:rsidP="00730BEF" w:rsidRDefault="00115849" w14:paraId="60043A94" w14:textId="022FAB32">
      <w:pPr>
        <w:pStyle w:val="NormalWeb"/>
        <w:spacing w:before="0" w:beforeAutospacing="0" w:after="0" w:afterAutospacing="0"/>
        <w:rPr>
          <w:bCs/>
        </w:rPr>
      </w:pPr>
      <w:r>
        <w:t>Under MIP</w:t>
      </w:r>
      <w:r>
        <w:rPr>
          <w:bCs/>
        </w:rPr>
        <w:t>S, there are information collections beyond performance category data submission. Other data submitted on behalf of MIPS eligible clinician</w:t>
      </w:r>
      <w:r w:rsidR="00C65260">
        <w:rPr>
          <w:bCs/>
        </w:rPr>
        <w:t>s</w:t>
      </w:r>
      <w:r>
        <w:rPr>
          <w:bCs/>
        </w:rPr>
        <w:t xml:space="preserve"> include virtual group election</w:t>
      </w:r>
      <w:r w:rsidR="00151E3B">
        <w:rPr>
          <w:bCs/>
        </w:rPr>
        <w:t>s</w:t>
      </w:r>
      <w:r w:rsidR="000C51E8">
        <w:rPr>
          <w:bCs/>
        </w:rPr>
        <w:t>,</w:t>
      </w:r>
      <w:r>
        <w:rPr>
          <w:bCs/>
        </w:rPr>
        <w:t xml:space="preserve"> CAHPS for MIPS registration</w:t>
      </w:r>
      <w:r w:rsidR="00151E3B">
        <w:rPr>
          <w:bCs/>
        </w:rPr>
        <w:t>s,</w:t>
      </w:r>
      <w:r>
        <w:rPr>
          <w:bCs/>
        </w:rPr>
        <w:t xml:space="preserve"> and reweighting application</w:t>
      </w:r>
      <w:r w:rsidR="00151E3B">
        <w:rPr>
          <w:bCs/>
        </w:rPr>
        <w:t>s</w:t>
      </w:r>
      <w:r>
        <w:rPr>
          <w:bCs/>
        </w:rPr>
        <w:t xml:space="preserve">. </w:t>
      </w:r>
    </w:p>
    <w:p w:rsidR="00C76275" w:rsidP="00730BEF" w:rsidRDefault="00C76275" w14:paraId="14057475" w14:textId="77777777">
      <w:pPr>
        <w:pStyle w:val="NormalWeb"/>
        <w:spacing w:before="0" w:beforeAutospacing="0" w:after="0" w:afterAutospacing="0"/>
        <w:rPr>
          <w:bCs/>
        </w:rPr>
      </w:pPr>
    </w:p>
    <w:p w:rsidRPr="004B3AFB" w:rsidR="00115849" w:rsidP="004B3AFB" w:rsidRDefault="00C65260" w14:paraId="74D12109" w14:textId="66F8BDB6">
      <w:pPr>
        <w:tabs>
          <w:tab w:val="left" w:pos="720"/>
        </w:tabs>
      </w:pPr>
      <w:r w:rsidRPr="004E01D7">
        <w:t xml:space="preserve">The </w:t>
      </w:r>
      <w:r w:rsidR="00077526">
        <w:t xml:space="preserve">adjustments to </w:t>
      </w:r>
      <w:r w:rsidR="007C4296">
        <w:t xml:space="preserve">the </w:t>
      </w:r>
      <w:r w:rsidRPr="004E01D7">
        <w:t xml:space="preserve">policies finalized in Quality Payment Program </w:t>
      </w:r>
      <w:r w:rsidR="000C51E8">
        <w:t xml:space="preserve">and PFS </w:t>
      </w:r>
      <w:r w:rsidRPr="004E01D7">
        <w:t xml:space="preserve">final rules </w:t>
      </w:r>
      <w:r w:rsidR="000C51E8">
        <w:t>from CY 2017 through CY 202</w:t>
      </w:r>
      <w:r w:rsidR="00722855">
        <w:t>1</w:t>
      </w:r>
      <w:r w:rsidR="000C51E8">
        <w:t xml:space="preserve"> </w:t>
      </w:r>
      <w:r w:rsidR="00401A45">
        <w:t xml:space="preserve">and the proposed policies in the CY 2022 PFS proposed rule </w:t>
      </w:r>
      <w:r w:rsidRPr="004E01D7">
        <w:t xml:space="preserve">create some additional data collection requirements not listed in Table </w:t>
      </w:r>
      <w:r>
        <w:t xml:space="preserve">2.  </w:t>
      </w:r>
      <w:r w:rsidRPr="00561F87" w:rsidR="00115849">
        <w:rPr>
          <w:rFonts w:eastAsia="Calibri"/>
        </w:rPr>
        <w:t>The additional data collections</w:t>
      </w:r>
      <w:r w:rsidR="00115849">
        <w:rPr>
          <w:rFonts w:eastAsia="Calibri"/>
        </w:rPr>
        <w:t xml:space="preserve"> </w:t>
      </w:r>
      <w:r w:rsidR="00E03ABD">
        <w:t>consist of</w:t>
      </w:r>
      <w:r w:rsidRPr="00085955" w:rsidR="00115849">
        <w:t xml:space="preserve">: </w:t>
      </w:r>
    </w:p>
    <w:p w:rsidR="00C65260" w:rsidP="00A56476" w:rsidRDefault="00115849" w14:paraId="7C260233" w14:textId="388B5A37">
      <w:pPr>
        <w:pStyle w:val="ListParagraph"/>
        <w:numPr>
          <w:ilvl w:val="0"/>
          <w:numId w:val="3"/>
        </w:numPr>
        <w:spacing w:after="200"/>
      </w:pPr>
      <w:r w:rsidRPr="00DB082D">
        <w:t xml:space="preserve">Self-nomination </w:t>
      </w:r>
      <w:r w:rsidR="00772026">
        <w:t xml:space="preserve">and </w:t>
      </w:r>
      <w:r w:rsidR="00D05DFB">
        <w:t>o</w:t>
      </w:r>
      <w:r w:rsidR="00772026">
        <w:t>ther requirements for</w:t>
      </w:r>
      <w:r w:rsidRPr="00DB082D">
        <w:t xml:space="preserve"> new and returning QCDRs </w:t>
      </w:r>
    </w:p>
    <w:p w:rsidR="00115849" w:rsidP="00A56476" w:rsidRDefault="00C65260" w14:paraId="15ED4192" w14:textId="05486706">
      <w:pPr>
        <w:pStyle w:val="ListParagraph"/>
        <w:numPr>
          <w:ilvl w:val="0"/>
          <w:numId w:val="3"/>
        </w:numPr>
        <w:spacing w:after="200"/>
      </w:pPr>
      <w:r>
        <w:t xml:space="preserve">Self-nomination </w:t>
      </w:r>
      <w:r w:rsidR="00772026">
        <w:t>and other requirements for</w:t>
      </w:r>
      <w:r>
        <w:t xml:space="preserve"> new and returning qualified</w:t>
      </w:r>
      <w:r w:rsidRPr="00DB082D" w:rsidR="00115849">
        <w:t xml:space="preserve"> registries </w:t>
      </w:r>
    </w:p>
    <w:p w:rsidR="00772026" w:rsidP="00A56476" w:rsidRDefault="00772026" w14:paraId="2F28DD09" w14:textId="4C7EA9F3">
      <w:pPr>
        <w:pStyle w:val="ListParagraph"/>
        <w:numPr>
          <w:ilvl w:val="0"/>
          <w:numId w:val="3"/>
        </w:numPr>
        <w:spacing w:after="200"/>
      </w:pPr>
      <w:r>
        <w:t xml:space="preserve">Open Authorization Credentialing and Token Request Process </w:t>
      </w:r>
    </w:p>
    <w:p w:rsidR="00C65260" w:rsidP="00A56476" w:rsidRDefault="001B7D13" w14:paraId="12C8C09D" w14:textId="66219B06">
      <w:pPr>
        <w:pStyle w:val="ListParagraph"/>
        <w:numPr>
          <w:ilvl w:val="0"/>
          <w:numId w:val="3"/>
        </w:numPr>
        <w:spacing w:after="200"/>
      </w:pPr>
      <w:r>
        <w:t xml:space="preserve">QPP </w:t>
      </w:r>
      <w:r w:rsidR="006B7949">
        <w:t>Identity Management Application Process</w:t>
      </w:r>
    </w:p>
    <w:p w:rsidRPr="00DB082D" w:rsidR="00115849" w:rsidP="00A56476" w:rsidRDefault="00640856" w14:paraId="49F935B6" w14:textId="0A7063A8">
      <w:pPr>
        <w:pStyle w:val="ListParagraph"/>
        <w:numPr>
          <w:ilvl w:val="0"/>
          <w:numId w:val="3"/>
        </w:numPr>
        <w:spacing w:after="200"/>
      </w:pPr>
      <w:r>
        <w:t xml:space="preserve">Reweighting </w:t>
      </w:r>
      <w:r w:rsidR="00115849">
        <w:t>Application</w:t>
      </w:r>
      <w:r>
        <w:t>s</w:t>
      </w:r>
      <w:r w:rsidR="00115849">
        <w:t xml:space="preserve"> for </w:t>
      </w:r>
      <w:r w:rsidR="00C65260">
        <w:t xml:space="preserve">Promoting Interoperability </w:t>
      </w:r>
      <w:r>
        <w:t>and Other Performance Categories</w:t>
      </w:r>
    </w:p>
    <w:p w:rsidR="00115849" w:rsidP="00A56476" w:rsidRDefault="00115849" w14:paraId="788E5F61" w14:textId="77777777">
      <w:pPr>
        <w:pStyle w:val="ListParagraph"/>
        <w:numPr>
          <w:ilvl w:val="0"/>
          <w:numId w:val="3"/>
        </w:numPr>
        <w:spacing w:after="200"/>
      </w:pPr>
      <w:r>
        <w:t>Call for quality measures</w:t>
      </w:r>
    </w:p>
    <w:p w:rsidR="00115849" w:rsidP="00A56476" w:rsidRDefault="00861B04" w14:paraId="08EE0B65" w14:textId="267E4224">
      <w:pPr>
        <w:pStyle w:val="ListParagraph"/>
        <w:numPr>
          <w:ilvl w:val="0"/>
          <w:numId w:val="3"/>
        </w:numPr>
        <w:spacing w:after="200"/>
      </w:pPr>
      <w:r>
        <w:t>Nomination of</w:t>
      </w:r>
      <w:r w:rsidRPr="00DB082D" w:rsidR="00115849">
        <w:t xml:space="preserve"> new improvement activities</w:t>
      </w:r>
    </w:p>
    <w:p w:rsidR="00115849" w:rsidP="00A56476" w:rsidRDefault="00115849" w14:paraId="2F37DE9C" w14:textId="324ABDB9">
      <w:pPr>
        <w:pStyle w:val="ListParagraph"/>
        <w:numPr>
          <w:ilvl w:val="0"/>
          <w:numId w:val="3"/>
        </w:numPr>
        <w:spacing w:after="200"/>
      </w:pPr>
      <w:r>
        <w:t xml:space="preserve">Call for </w:t>
      </w:r>
      <w:r w:rsidR="00B32CB8">
        <w:t>Promoting Interoperability measures</w:t>
      </w:r>
    </w:p>
    <w:p w:rsidR="00772026" w:rsidP="00A56476" w:rsidRDefault="00772026" w14:paraId="785D3201" w14:textId="66F39E6E">
      <w:pPr>
        <w:pStyle w:val="ListParagraph"/>
        <w:numPr>
          <w:ilvl w:val="0"/>
          <w:numId w:val="3"/>
        </w:numPr>
        <w:spacing w:after="200"/>
      </w:pPr>
      <w:r>
        <w:t>Nomination of MVPs</w:t>
      </w:r>
    </w:p>
    <w:p w:rsidRPr="00DB082D" w:rsidR="00115849" w:rsidP="00A56476" w:rsidRDefault="00115849" w14:paraId="0D63D400" w14:textId="621B015F">
      <w:pPr>
        <w:pStyle w:val="ListParagraph"/>
        <w:numPr>
          <w:ilvl w:val="0"/>
          <w:numId w:val="3"/>
        </w:numPr>
        <w:spacing w:after="200"/>
      </w:pPr>
      <w:r w:rsidRPr="00DB082D">
        <w:t>Opt out of performance data display on Physician Compare for</w:t>
      </w:r>
      <w:r w:rsidR="00B32CB8">
        <w:t xml:space="preserve"> voluntary reporters under MIPS</w:t>
      </w:r>
    </w:p>
    <w:p w:rsidRPr="001306B6" w:rsidR="006803A2" w:rsidP="00891FD8" w:rsidRDefault="00185824" w14:paraId="05FE0CC3" w14:textId="245DBDAD">
      <w:pPr>
        <w:pStyle w:val="Heading2"/>
      </w:pPr>
      <w:r w:rsidRPr="001306B6">
        <w:t>Data Collection related to Advanced APMs</w:t>
      </w:r>
    </w:p>
    <w:p w:rsidR="00185824" w:rsidP="00730BEF" w:rsidRDefault="00185824" w14:paraId="323C2C9A" w14:textId="5FE8760A">
      <w:r>
        <w:rPr>
          <w:color w:val="000000"/>
        </w:rPr>
        <w:t xml:space="preserve">This information request includes four information collections related to Advanced APMs. </w:t>
      </w:r>
      <w:r w:rsidR="00775E2E">
        <w:rPr>
          <w:color w:val="000000"/>
        </w:rPr>
        <w:t xml:space="preserve"> </w:t>
      </w:r>
      <w:r w:rsidRPr="00561F87">
        <w:rPr>
          <w:rFonts w:eastAsia="Calibri"/>
        </w:rPr>
        <w:t xml:space="preserve">These </w:t>
      </w:r>
      <w:r>
        <w:rPr>
          <w:rFonts w:eastAsia="Calibri"/>
        </w:rPr>
        <w:t xml:space="preserve">four </w:t>
      </w:r>
      <w:r w:rsidRPr="00561F87">
        <w:rPr>
          <w:rFonts w:eastAsia="Calibri"/>
        </w:rPr>
        <w:t>additional data collections</w:t>
      </w:r>
      <w:r>
        <w:rPr>
          <w:rFonts w:eastAsia="Calibri"/>
        </w:rPr>
        <w:t xml:space="preserve"> </w:t>
      </w:r>
      <w:r w:rsidRPr="00085955">
        <w:t>are as follows:</w:t>
      </w:r>
    </w:p>
    <w:p w:rsidRPr="00DB082D" w:rsidR="00185824" w:rsidP="00A56476" w:rsidRDefault="00185824" w14:paraId="4987EA75" w14:textId="77777777">
      <w:pPr>
        <w:pStyle w:val="ListParagraph"/>
        <w:numPr>
          <w:ilvl w:val="0"/>
          <w:numId w:val="3"/>
        </w:numPr>
        <w:spacing w:after="200"/>
      </w:pPr>
      <w:r>
        <w:t>Partial Qualifying APM Participant (Partial QP) election</w:t>
      </w:r>
      <w:r w:rsidRPr="00DB082D">
        <w:t xml:space="preserve"> </w:t>
      </w:r>
    </w:p>
    <w:p w:rsidR="00185824" w:rsidP="00A56476" w:rsidRDefault="00185824" w14:paraId="7E3A7486" w14:textId="77777777">
      <w:pPr>
        <w:pStyle w:val="ListParagraph"/>
        <w:numPr>
          <w:ilvl w:val="0"/>
          <w:numId w:val="3"/>
        </w:numPr>
        <w:spacing w:after="200"/>
      </w:pPr>
      <w:r w:rsidRPr="00DB082D">
        <w:t xml:space="preserve">Other Payer Advanced APM </w:t>
      </w:r>
      <w:r>
        <w:t>determinations</w:t>
      </w:r>
      <w:r w:rsidRPr="00DB082D">
        <w:t xml:space="preserve">: </w:t>
      </w:r>
      <w:r>
        <w:t>P</w:t>
      </w:r>
      <w:r w:rsidRPr="00DB082D">
        <w:t xml:space="preserve">ayer </w:t>
      </w:r>
      <w:r>
        <w:t>I</w:t>
      </w:r>
      <w:r w:rsidRPr="00DB082D">
        <w:t xml:space="preserve">nitiated </w:t>
      </w:r>
      <w:r>
        <w:t>P</w:t>
      </w:r>
      <w:r w:rsidRPr="00DB082D">
        <w:t>rocess</w:t>
      </w:r>
    </w:p>
    <w:p w:rsidR="00185824" w:rsidP="00A56476" w:rsidRDefault="00185824" w14:paraId="239539B5" w14:textId="444FF72A">
      <w:pPr>
        <w:pStyle w:val="ListParagraph"/>
        <w:numPr>
          <w:ilvl w:val="0"/>
          <w:numId w:val="3"/>
        </w:numPr>
        <w:spacing w:after="200"/>
      </w:pPr>
      <w:r>
        <w:t xml:space="preserve">Other Payer Advanced APM determinations: </w:t>
      </w:r>
      <w:r w:rsidR="00915FEC">
        <w:t>Eligible</w:t>
      </w:r>
      <w:r w:rsidR="00861B04">
        <w:t xml:space="preserve"> </w:t>
      </w:r>
      <w:r>
        <w:t xml:space="preserve">Clinician Initiated Process </w:t>
      </w:r>
    </w:p>
    <w:p w:rsidRPr="00DB082D" w:rsidR="00185824" w:rsidP="00A56476" w:rsidRDefault="00185824" w14:paraId="5E6ADD61" w14:textId="79740873">
      <w:pPr>
        <w:pStyle w:val="ListParagraph"/>
        <w:numPr>
          <w:ilvl w:val="0"/>
          <w:numId w:val="3"/>
        </w:numPr>
        <w:spacing w:after="200"/>
      </w:pPr>
      <w:r w:rsidRPr="004E01D7">
        <w:t>Submission of Data for All-Payer QP Determinations</w:t>
      </w:r>
    </w:p>
    <w:p w:rsidRPr="00185824" w:rsidR="00185824" w:rsidP="00730BEF" w:rsidRDefault="00185824" w14:paraId="08A75CDD" w14:textId="6050596C">
      <w:pPr>
        <w:rPr>
          <w:color w:val="000000"/>
        </w:rPr>
      </w:pPr>
      <w:r w:rsidRPr="004B6D15">
        <w:rPr>
          <w:color w:val="000000"/>
        </w:rPr>
        <w:t xml:space="preserve">APM Entities </w:t>
      </w:r>
      <w:r w:rsidR="00296620">
        <w:rPr>
          <w:color w:val="000000"/>
        </w:rPr>
        <w:t>may</w:t>
      </w:r>
      <w:r w:rsidRPr="004B6D15">
        <w:rPr>
          <w:color w:val="000000"/>
        </w:rPr>
        <w:t xml:space="preserve"> face a </w:t>
      </w:r>
      <w:r>
        <w:rPr>
          <w:color w:val="000000"/>
        </w:rPr>
        <w:t xml:space="preserve">data </w:t>
      </w:r>
      <w:r w:rsidRPr="004B6D15">
        <w:rPr>
          <w:color w:val="000000"/>
        </w:rPr>
        <w:t>submission burden under MIPS related to Partial QP elections.</w:t>
      </w:r>
      <w:r>
        <w:rPr>
          <w:color w:val="000000"/>
        </w:rPr>
        <w:t xml:space="preserve"> </w:t>
      </w:r>
      <w:r w:rsidRPr="00155C20">
        <w:rPr>
          <w:rFonts w:eastAsia="Calibri"/>
        </w:rPr>
        <w:t xml:space="preserve">Partial QPs will have the option to elect whether to report under MIPS, which determines whether they will be subject to MIPS scoring and payment adjustments. </w:t>
      </w:r>
      <w:r w:rsidR="00775E2E">
        <w:rPr>
          <w:rFonts w:eastAsia="Calibri"/>
        </w:rPr>
        <w:t xml:space="preserve"> </w:t>
      </w:r>
      <w:r w:rsidR="00915484">
        <w:rPr>
          <w:rFonts w:eastAsia="Calibri"/>
        </w:rPr>
        <w:t>For</w:t>
      </w:r>
      <w:r w:rsidRPr="00155C20">
        <w:rPr>
          <w:color w:val="000000"/>
        </w:rPr>
        <w:t xml:space="preserve"> the 20</w:t>
      </w:r>
      <w:r w:rsidR="00915484">
        <w:rPr>
          <w:color w:val="000000"/>
        </w:rPr>
        <w:t>2</w:t>
      </w:r>
      <w:r w:rsidR="00864646">
        <w:rPr>
          <w:color w:val="000000"/>
        </w:rPr>
        <w:t>2</w:t>
      </w:r>
      <w:r w:rsidRPr="00155C20">
        <w:rPr>
          <w:color w:val="000000"/>
        </w:rPr>
        <w:t xml:space="preserve"> </w:t>
      </w:r>
      <w:r w:rsidR="006B7949">
        <w:rPr>
          <w:color w:val="000000"/>
        </w:rPr>
        <w:t>QP</w:t>
      </w:r>
      <w:r w:rsidRPr="00155C20">
        <w:rPr>
          <w:color w:val="000000"/>
        </w:rPr>
        <w:t xml:space="preserve"> </w:t>
      </w:r>
      <w:r w:rsidR="00214CE5">
        <w:rPr>
          <w:color w:val="000000"/>
        </w:rPr>
        <w:t>P</w:t>
      </w:r>
      <w:r w:rsidRPr="00155C20">
        <w:rPr>
          <w:color w:val="000000"/>
        </w:rPr>
        <w:t xml:space="preserve">erformance </w:t>
      </w:r>
      <w:r w:rsidR="00214CE5">
        <w:rPr>
          <w:color w:val="000000"/>
        </w:rPr>
        <w:t>P</w:t>
      </w:r>
      <w:r w:rsidRPr="00155C20">
        <w:rPr>
          <w:color w:val="000000"/>
        </w:rPr>
        <w:t xml:space="preserve">eriod, we define Partial QPs to be </w:t>
      </w:r>
      <w:r w:rsidR="006B7949">
        <w:rPr>
          <w:color w:val="000000"/>
        </w:rPr>
        <w:t xml:space="preserve">eligible clinicians in </w:t>
      </w:r>
      <w:r w:rsidRPr="00155C20">
        <w:rPr>
          <w:color w:val="000000"/>
        </w:rPr>
        <w:t xml:space="preserve">Advanced APMs </w:t>
      </w:r>
      <w:r w:rsidR="006B7949">
        <w:rPr>
          <w:color w:val="000000"/>
        </w:rPr>
        <w:t>who</w:t>
      </w:r>
      <w:r w:rsidRPr="00155C20">
        <w:rPr>
          <w:color w:val="000000"/>
        </w:rPr>
        <w:t xml:space="preserve"> </w:t>
      </w:r>
      <w:r w:rsidR="009C69C0">
        <w:rPr>
          <w:color w:val="000000"/>
        </w:rPr>
        <w:t xml:space="preserve">collectively </w:t>
      </w:r>
      <w:r w:rsidRPr="00155C20">
        <w:rPr>
          <w:color w:val="000000"/>
        </w:rPr>
        <w:t xml:space="preserve">have at least </w:t>
      </w:r>
      <w:r w:rsidR="001827DF">
        <w:rPr>
          <w:color w:val="000000"/>
        </w:rPr>
        <w:t>40</w:t>
      </w:r>
      <w:r w:rsidRPr="00155C20">
        <w:rPr>
          <w:color w:val="000000"/>
        </w:rPr>
        <w:t xml:space="preserve"> percent, but less than </w:t>
      </w:r>
      <w:r w:rsidR="00214CE5">
        <w:rPr>
          <w:color w:val="000000"/>
        </w:rPr>
        <w:t>75</w:t>
      </w:r>
      <w:r w:rsidRPr="00155C20">
        <w:rPr>
          <w:color w:val="000000"/>
        </w:rPr>
        <w:t xml:space="preserve"> percent, of their </w:t>
      </w:r>
      <w:r w:rsidR="006B7949">
        <w:rPr>
          <w:color w:val="000000"/>
        </w:rPr>
        <w:t>payments for</w:t>
      </w:r>
      <w:r w:rsidRPr="00155C20">
        <w:rPr>
          <w:color w:val="000000"/>
        </w:rPr>
        <w:t xml:space="preserve"> Part B covered professional services</w:t>
      </w:r>
      <w:r w:rsidR="00915FEC">
        <w:rPr>
          <w:color w:val="000000"/>
        </w:rPr>
        <w:t xml:space="preserve"> through an APM Entity</w:t>
      </w:r>
      <w:r w:rsidRPr="00155C20">
        <w:rPr>
          <w:color w:val="000000"/>
        </w:rPr>
        <w:t xml:space="preserve"> </w:t>
      </w:r>
      <w:r w:rsidR="006B7949">
        <w:rPr>
          <w:color w:val="000000"/>
        </w:rPr>
        <w:t>or furnish Part B covered professional services to</w:t>
      </w:r>
      <w:r w:rsidRPr="00155C20">
        <w:rPr>
          <w:color w:val="000000"/>
        </w:rPr>
        <w:t xml:space="preserve"> at least </w:t>
      </w:r>
      <w:r w:rsidR="00864646">
        <w:rPr>
          <w:color w:val="000000"/>
        </w:rPr>
        <w:t>25</w:t>
      </w:r>
      <w:r w:rsidRPr="00155C20">
        <w:rPr>
          <w:color w:val="000000"/>
        </w:rPr>
        <w:t xml:space="preserve"> percent, but less than </w:t>
      </w:r>
      <w:r w:rsidR="00214CE5">
        <w:rPr>
          <w:color w:val="000000"/>
        </w:rPr>
        <w:t>50</w:t>
      </w:r>
      <w:r w:rsidRPr="00155C20">
        <w:rPr>
          <w:color w:val="000000"/>
        </w:rPr>
        <w:t xml:space="preserve"> percent, of their Medicare </w:t>
      </w:r>
      <w:r w:rsidR="006B7949">
        <w:rPr>
          <w:color w:val="000000"/>
        </w:rPr>
        <w:t>beneficiaries</w:t>
      </w:r>
      <w:r w:rsidRPr="00155C20">
        <w:rPr>
          <w:color w:val="000000"/>
        </w:rPr>
        <w:t xml:space="preserve"> through an APM Entity. </w:t>
      </w:r>
      <w:r w:rsidR="00775E2E">
        <w:rPr>
          <w:color w:val="000000"/>
        </w:rPr>
        <w:t xml:space="preserve"> </w:t>
      </w:r>
      <w:r w:rsidRPr="00155C20">
        <w:t xml:space="preserve">If an Advanced APM Entity is notified that they </w:t>
      </w:r>
      <w:r w:rsidR="00A146C9">
        <w:t>attain</w:t>
      </w:r>
      <w:r w:rsidRPr="00155C20">
        <w:t xml:space="preserve"> Partial QP </w:t>
      </w:r>
      <w:r w:rsidR="00A146C9">
        <w:t>status</w:t>
      </w:r>
      <w:r w:rsidRPr="00155C20">
        <w:t>, a representative from the APM Entity will log into the MIPS portal to indicate whether all eligible clinicians participating in the APM Entity meeting the Partial QP threshold wish to participate in MIPS.</w:t>
      </w:r>
      <w:r>
        <w:t xml:space="preserve"> </w:t>
      </w:r>
      <w:r w:rsidRPr="00372186" w:rsidR="00725D71">
        <w:rPr>
          <w:rFonts w:eastAsia="Calibri"/>
          <w:snapToGrid w:val="0"/>
        </w:rPr>
        <w:t>If the Partial QP elects to be scored under MIPS, they would be subject to all MIPS requirements</w:t>
      </w:r>
      <w:r w:rsidR="00A146C9">
        <w:rPr>
          <w:rFonts w:eastAsia="Calibri"/>
          <w:snapToGrid w:val="0"/>
        </w:rPr>
        <w:t xml:space="preserve"> and would receive a MIPS payment adjustment</w:t>
      </w:r>
      <w:r w:rsidRPr="00372186" w:rsidR="00725D71">
        <w:rPr>
          <w:rFonts w:eastAsia="Calibri"/>
          <w:snapToGrid w:val="0"/>
        </w:rPr>
        <w:t xml:space="preserve">.  If an eligible clinician does not </w:t>
      </w:r>
      <w:r w:rsidR="00A146C9">
        <w:rPr>
          <w:rFonts w:eastAsia="Calibri"/>
          <w:snapToGrid w:val="0"/>
        </w:rPr>
        <w:t>attain</w:t>
      </w:r>
      <w:r w:rsidRPr="00372186" w:rsidR="00725D71">
        <w:rPr>
          <w:rFonts w:eastAsia="Calibri"/>
          <w:snapToGrid w:val="0"/>
        </w:rPr>
        <w:t xml:space="preserve"> either QP or Partial QP </w:t>
      </w:r>
      <w:r w:rsidR="00A146C9">
        <w:rPr>
          <w:rFonts w:eastAsia="Calibri"/>
          <w:snapToGrid w:val="0"/>
        </w:rPr>
        <w:t>status</w:t>
      </w:r>
      <w:r w:rsidRPr="00372186" w:rsidR="00725D71">
        <w:rPr>
          <w:rFonts w:eastAsia="Calibri"/>
          <w:snapToGrid w:val="0"/>
        </w:rPr>
        <w:t xml:space="preserve">, and does not meet any another exemption category, the </w:t>
      </w:r>
      <w:r w:rsidRPr="00372186" w:rsidR="00725D71">
        <w:rPr>
          <w:rFonts w:eastAsia="Calibri"/>
          <w:snapToGrid w:val="0"/>
        </w:rPr>
        <w:lastRenderedPageBreak/>
        <w:t>eligible clinician would be subject to MIPS</w:t>
      </w:r>
      <w:r w:rsidR="00A146C9">
        <w:rPr>
          <w:rFonts w:eastAsia="Calibri"/>
          <w:snapToGrid w:val="0"/>
        </w:rPr>
        <w:t>,</w:t>
      </w:r>
      <w:r w:rsidRPr="00372186" w:rsidR="00725D71">
        <w:rPr>
          <w:rFonts w:eastAsia="Calibri"/>
          <w:snapToGrid w:val="0"/>
        </w:rPr>
        <w:t xml:space="preserve"> would report to MIPS</w:t>
      </w:r>
      <w:r w:rsidR="00A146C9">
        <w:rPr>
          <w:rFonts w:eastAsia="Calibri"/>
          <w:snapToGrid w:val="0"/>
        </w:rPr>
        <w:t>, and would receive the corresponding MIPS payment adjustment</w:t>
      </w:r>
      <w:r w:rsidR="005C5584">
        <w:rPr>
          <w:rFonts w:eastAsia="Calibri"/>
          <w:snapToGrid w:val="0"/>
        </w:rPr>
        <w:t>.</w:t>
      </w:r>
    </w:p>
    <w:p w:rsidR="00185824" w:rsidP="00730BEF" w:rsidRDefault="00972800" w14:paraId="43CC8EAC" w14:textId="733F28B0">
      <w:r>
        <w:t xml:space="preserve">As detailed in CMS 5522-FC, </w:t>
      </w:r>
      <w:r w:rsidR="00185824">
        <w:t xml:space="preserve">the All-Payer Combination Option </w:t>
      </w:r>
      <w:r>
        <w:t>is</w:t>
      </w:r>
      <w:r w:rsidR="00185824">
        <w:t xml:space="preserve"> an available pathway to QP </w:t>
      </w:r>
      <w:r w:rsidR="000F6D3B">
        <w:t xml:space="preserve">or Partial QP </w:t>
      </w:r>
      <w:r w:rsidR="00185824">
        <w:t>status for eligible clinicians participating sufficiently in Advanced APMs and Other Payer Advanced APMs.  Th</w:t>
      </w:r>
      <w:r w:rsidR="009149C9">
        <w:t xml:space="preserve">is </w:t>
      </w:r>
      <w:r w:rsidR="00185824">
        <w:t>Option allows for eligible clinicians to achieve QP status through their participation in both Advanced APMs and Other Payer Advanced APMs.  To provide eligible clinicians with advanced notice prior to the start of a given performance period</w:t>
      </w:r>
      <w:r w:rsidR="005F44F3">
        <w:t>/payment year</w:t>
      </w:r>
      <w:r w:rsidR="00185824">
        <w:t>, and to allow other payers to be involved prospectively</w:t>
      </w:r>
      <w:r w:rsidR="00852674">
        <w:t xml:space="preserve"> in the process,</w:t>
      </w:r>
      <w:r w:rsidR="00185824">
        <w:t xml:space="preserve"> </w:t>
      </w:r>
      <w:r w:rsidR="0019795C">
        <w:t xml:space="preserve">we provided </w:t>
      </w:r>
      <w:r w:rsidR="000167FE">
        <w:t xml:space="preserve">in </w:t>
      </w:r>
      <w:r w:rsidR="00185824">
        <w:t xml:space="preserve">the CY </w:t>
      </w:r>
      <w:r w:rsidR="0063487A">
        <w:t>2018 Quality Payment Program</w:t>
      </w:r>
      <w:r w:rsidR="00185824">
        <w:t xml:space="preserve"> final rule</w:t>
      </w:r>
      <w:r w:rsidR="004905BE">
        <w:t xml:space="preserve"> </w:t>
      </w:r>
      <w:r w:rsidR="0063487A">
        <w:t>a payer-initiated</w:t>
      </w:r>
      <w:r w:rsidR="00185824">
        <w:t xml:space="preserve"> process for identifying payment arrangements that qualify as Other Payer Advanced APMs (82 F</w:t>
      </w:r>
      <w:r w:rsidR="0063487A">
        <w:t xml:space="preserve">R 53844).  The </w:t>
      </w:r>
      <w:r w:rsidR="00CB323A">
        <w:t>P</w:t>
      </w:r>
      <w:r w:rsidR="0063487A">
        <w:t>ayer-</w:t>
      </w:r>
      <w:r w:rsidR="00CB323A">
        <w:t>I</w:t>
      </w:r>
      <w:r w:rsidR="0063487A">
        <w:t xml:space="preserve">nitiated </w:t>
      </w:r>
      <w:r w:rsidR="00CB323A">
        <w:t>P</w:t>
      </w:r>
      <w:r w:rsidR="0063487A">
        <w:t xml:space="preserve">rocess for </w:t>
      </w:r>
      <w:r w:rsidR="00185824">
        <w:t>Other Paye</w:t>
      </w:r>
      <w:r w:rsidR="0063487A">
        <w:t xml:space="preserve">r Advanced APM determinations </w:t>
      </w:r>
      <w:r w:rsidR="00185824">
        <w:t>began in CY 2018 for Medicaid, Medicare Health Plans, and payers participating</w:t>
      </w:r>
      <w:r w:rsidR="0063487A">
        <w:t xml:space="preserve"> in CMS </w:t>
      </w:r>
      <w:r w:rsidR="003C380B">
        <w:t>M</w:t>
      </w:r>
      <w:r w:rsidR="0063487A">
        <w:t>ulti-</w:t>
      </w:r>
      <w:r w:rsidR="003C380B">
        <w:t>P</w:t>
      </w:r>
      <w:r w:rsidR="0063487A">
        <w:t xml:space="preserve">ayer </w:t>
      </w:r>
      <w:r w:rsidR="003C380B">
        <w:t>M</w:t>
      </w:r>
      <w:r w:rsidR="0063487A">
        <w:t xml:space="preserve">odels. </w:t>
      </w:r>
      <w:r w:rsidR="00DB7B73">
        <w:t xml:space="preserve"> </w:t>
      </w:r>
      <w:r w:rsidR="004905BE">
        <w:t>Also</w:t>
      </w:r>
      <w:r w:rsidR="00005A1D">
        <w:t>,</w:t>
      </w:r>
      <w:r w:rsidR="008946C8">
        <w:t xml:space="preserve"> in </w:t>
      </w:r>
      <w:r w:rsidR="0057238E">
        <w:t>the CY 2018 Quality Payment Program final rule we established that</w:t>
      </w:r>
      <w:r w:rsidRPr="0063487A" w:rsidR="0063487A">
        <w:t xml:space="preserve"> remaining other payers, including commercial and other private payers, may </w:t>
      </w:r>
      <w:r w:rsidR="003C380B">
        <w:t xml:space="preserve">also </w:t>
      </w:r>
      <w:r w:rsidRPr="0063487A" w:rsidR="0063487A">
        <w:t>request that we determine whether other payer arrangements are Other Payer Advanced APMs</w:t>
      </w:r>
      <w:r w:rsidR="002F0971">
        <w:t xml:space="preserve"> (82 FR 53867)</w:t>
      </w:r>
      <w:r w:rsidR="003C380B">
        <w:t>.</w:t>
      </w:r>
      <w:r w:rsidR="00214CE5">
        <w:t xml:space="preserve">  </w:t>
      </w:r>
      <w:r w:rsidR="002F0971">
        <w:rPr>
          <w:rFonts w:eastAsia="Calibri"/>
        </w:rPr>
        <w:t>I</w:t>
      </w:r>
      <w:r w:rsidR="00364EEC">
        <w:rPr>
          <w:rFonts w:eastAsia="Calibri"/>
        </w:rPr>
        <w:t xml:space="preserve">n the CY 2019 PFS final rule, we </w:t>
      </w:r>
      <w:r w:rsidR="0057238E">
        <w:rPr>
          <w:rFonts w:eastAsia="Calibri"/>
        </w:rPr>
        <w:t>eliminate</w:t>
      </w:r>
      <w:r w:rsidR="0087321B">
        <w:rPr>
          <w:rFonts w:eastAsia="Calibri"/>
        </w:rPr>
        <w:t>d</w:t>
      </w:r>
      <w:r w:rsidR="0057238E">
        <w:rPr>
          <w:rFonts w:eastAsia="Calibri"/>
        </w:rPr>
        <w:t xml:space="preserve"> the Payer Initiated Process that is specifically for CMS Multi-Payer Models.  </w:t>
      </w:r>
    </w:p>
    <w:p w:rsidR="008521EA" w:rsidP="00730BEF" w:rsidRDefault="002F0971" w14:paraId="32D4D570" w14:textId="0583674B">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finalized in the CY 2018 Quality Payment Program, </w:t>
      </w:r>
      <w:r w:rsidRPr="0063487A" w:rsidR="0063487A">
        <w:t xml:space="preserve">APM Entities and eligible clinicians participating in other payer arrangements have an opportunity to request that we determine for the year whether those other payer arrangements are Other Payer Advanced APMs (82 FR 53857 </w:t>
      </w:r>
      <w:r w:rsidR="002623DD">
        <w:t>through</w:t>
      </w:r>
      <w:r w:rsidRPr="0063487A" w:rsidR="0063487A">
        <w:t xml:space="preserve"> 53858).  </w:t>
      </w:r>
      <w:r>
        <w:t xml:space="preserve">As finalized in the CY 2018 Quality Payment Program final rule, </w:t>
      </w:r>
      <w:r w:rsidRPr="0063487A" w:rsidR="0063487A">
        <w:t>APM Entities and eligible clinicians may request determinations for any Medicaid payment arrangements in which they are participating at an earlier point, prior to the start of a given QP performance period (82 FR 53858)</w:t>
      </w:r>
      <w:r w:rsidR="003C380B">
        <w:t xml:space="preserve"> via the</w:t>
      </w:r>
      <w:r w:rsidRPr="0063487A" w:rsidR="0063487A">
        <w:t xml:space="preserve"> eligible clinician-initiated determination process for Other Payer Advanced APMs</w:t>
      </w:r>
      <w:r w:rsidR="008E547D">
        <w:t>.</w:t>
      </w:r>
    </w:p>
    <w:p w:rsidR="003C380B" w:rsidP="00730BEF" w:rsidRDefault="002F0971" w14:paraId="2EADF0A9" w14:textId="3D91F95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finalized in the </w:t>
      </w:r>
      <w:r w:rsidR="0063487A">
        <w:t>CY 2017 Qual</w:t>
      </w:r>
      <w:r w:rsidR="004905BE">
        <w:t xml:space="preserve">ity Payment Program final rule </w:t>
      </w:r>
      <w:r>
        <w:t xml:space="preserve">that </w:t>
      </w:r>
      <w:r w:rsidR="0063487A">
        <w:t>APM Entities or individual eligible clinicians must submit by a date and in a manner determined by us: (1) payment arrangement information necessary to assess whether each other payer arrangement is an Other Payer Advanced APM, including information on financial risk arrangements, use of CEHRT, and payment tied to quality measures; (2) for each payment arrangement, the amounts of payments for services furnished through the arrangement, the total payments from the payer, the numbers of patients furnished any service through the arrangement (that is, patients for whom the eligible clinician is at risk if actual expenditures exceed expected expenditures)</w:t>
      </w:r>
      <w:r w:rsidR="00775E2E">
        <w:t>;</w:t>
      </w:r>
      <w:r w:rsidR="0063487A">
        <w:t xml:space="preserve"> and (3) the total number of patients furnished any service through the arrangement (81 FR 77480).  </w:t>
      </w:r>
      <w:r w:rsidR="003C380B">
        <w:t>I</w:t>
      </w:r>
      <w:r w:rsidR="0063487A">
        <w:t xml:space="preserve">f we do not receive sufficient information to complete our evaluation of another payer arrangement and to make QP determinations for an eligible clinician using the All-Payer Combination Option, we </w:t>
      </w:r>
      <w:r w:rsidR="003C380B">
        <w:t>can</w:t>
      </w:r>
      <w:r w:rsidR="0063487A">
        <w:t>not assess the eligible clinicians under the All-Payer Combination Option</w:t>
      </w:r>
      <w:r w:rsidR="003C380B">
        <w:t>.</w:t>
      </w:r>
      <w:r w:rsidR="0063487A">
        <w:t xml:space="preserve"> </w:t>
      </w:r>
      <w:r w:rsidR="003C380B">
        <w:t xml:space="preserve"> </w:t>
      </w:r>
    </w:p>
    <w:p w:rsidR="0063487A" w:rsidRDefault="002F0971" w14:paraId="25FE3812" w14:textId="71E4CD7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As explained i</w:t>
      </w:r>
      <w:r w:rsidR="0063487A">
        <w:t>n the CY 201</w:t>
      </w:r>
      <w:r w:rsidR="004905BE">
        <w:t>8 Quality Payment Program final</w:t>
      </w:r>
      <w:r w:rsidR="0063487A">
        <w:t xml:space="preserve"> rule, in order for us to make QP determinations under the All-Payer Combination Option using either the payment amount or patient count method, we need to receive all of the payment amount and patient count information:  (1) attributable to the eligible clinician or APM Entity through every Other Payer Advanced APM; and (2) for all other payments or patients, except from excluded payers, made or attributed to the eligible clinician during the QP performance period (82 FR 53885).</w:t>
      </w:r>
      <w:r w:rsidR="006F7E82">
        <w:t xml:space="preserve">  </w:t>
      </w:r>
      <w:r>
        <w:t xml:space="preserve">In the same rule, we finalized that </w:t>
      </w:r>
      <w:r w:rsidR="0063487A">
        <w:t xml:space="preserve">APM Entities or eligible clinicians must submit all of the required information about the Other Payer Advanced APMs in which they participate, including those </w:t>
      </w:r>
      <w:r w:rsidR="0063487A">
        <w:lastRenderedPageBreak/>
        <w:t xml:space="preserve">for which there is a pending request for </w:t>
      </w:r>
      <w:proofErr w:type="gramStart"/>
      <w:r w:rsidR="0063487A">
        <w:t>an Other</w:t>
      </w:r>
      <w:proofErr w:type="gramEnd"/>
      <w:r w:rsidR="0063487A">
        <w:t xml:space="preserve"> Payer Advanced APM determination, as well as the payment amount and patient count information sufficient by </w:t>
      </w:r>
      <w:r w:rsidR="006F7E82">
        <w:t xml:space="preserve">the </w:t>
      </w:r>
      <w:r w:rsidR="0063487A">
        <w:t xml:space="preserve">QP Determination Submission Deadline (82 FR 53886).  </w:t>
      </w:r>
    </w:p>
    <w:p w:rsidR="007B757D" w:rsidP="00730BEF" w:rsidRDefault="00140F8F" w14:paraId="60DCFB1C" w14:textId="0CE85D3B">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In the</w:t>
      </w:r>
      <w:r w:rsidR="00390730">
        <w:t xml:space="preserve"> CY 2019 </w:t>
      </w:r>
      <w:r w:rsidR="00EF5CC3">
        <w:t xml:space="preserve">PFS final </w:t>
      </w:r>
      <w:r>
        <w:t>rule, w</w:t>
      </w:r>
      <w:r w:rsidR="0063487A">
        <w:t xml:space="preserve">e </w:t>
      </w:r>
      <w:r w:rsidR="00092107">
        <w:t>added</w:t>
      </w:r>
      <w:r w:rsidR="0063487A">
        <w:t xml:space="preserve"> a third alternative to allow QP determinations at the TIN level in instances where all clinicians who have reassigned billing rights to the TIN participate in a single APM Entity</w:t>
      </w:r>
      <w:r w:rsidR="00423207">
        <w:t xml:space="preserve"> (83 FR 59936)</w:t>
      </w:r>
      <w:r w:rsidR="0063487A">
        <w:t xml:space="preserve">.  This option </w:t>
      </w:r>
      <w:r w:rsidR="006F7E82">
        <w:t>is</w:t>
      </w:r>
      <w:r w:rsidR="0063487A">
        <w:t xml:space="preserve"> available to all TINs participating in Full TIN APMs, such as the Medicare Shared Savings Program.  To make QP determinations under the All-Payer Combination Option at the TIN level using either the payment amount or patient count method, we w</w:t>
      </w:r>
      <w:r w:rsidR="0057238E">
        <w:t>ill</w:t>
      </w:r>
      <w:r w:rsidR="0063487A">
        <w:t xml:space="preserve"> need to receive, by December 1 of the calendar year that is 2 years to prior to the payment year, all of the payment amount and patient count information:  (1) attributable to the eligible clinician, TIN, or APM Entity through every Other Payer Advanced APM; and (2) for all other payments or patients, except from excluded payers, made or attributed to the eligible clinician(s) during the QP performance period for the periods January 1 through March 31, January 1 through June 30, and January 1 through August 31 sufficient for us to make QP determinations.</w:t>
      </w:r>
    </w:p>
    <w:p w:rsidRPr="00C56C33" w:rsidR="00D26EEF" w:rsidP="00A56476" w:rsidRDefault="00D26EEF" w14:paraId="44BAFCF7" w14:textId="184819FF">
      <w:pPr>
        <w:pStyle w:val="Heading1"/>
        <w:numPr>
          <w:ilvl w:val="0"/>
          <w:numId w:val="9"/>
        </w:numPr>
      </w:pPr>
      <w:r w:rsidRPr="00C56C33">
        <w:t>Justification</w:t>
      </w:r>
    </w:p>
    <w:p w:rsidRPr="00567823" w:rsidR="006803A2" w:rsidP="00891FD8" w:rsidRDefault="00D26EEF" w14:paraId="39204A0F" w14:textId="1BAFF907">
      <w:pPr>
        <w:pStyle w:val="Heading2"/>
        <w:numPr>
          <w:ilvl w:val="1"/>
          <w:numId w:val="6"/>
        </w:numPr>
      </w:pPr>
      <w:r w:rsidRPr="00567823">
        <w:t>Need and Legal Basis</w:t>
      </w:r>
    </w:p>
    <w:p w:rsidRPr="00155C20" w:rsidR="00155C20" w:rsidP="00D4299B" w:rsidRDefault="00EE0F11" w14:paraId="0180353A" w14:textId="54359543">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Our a</w:t>
      </w:r>
      <w:r w:rsidRPr="00155C20" w:rsidR="00155C20">
        <w:rPr>
          <w:szCs w:val="20"/>
        </w:rPr>
        <w:t>uthority for collect</w:t>
      </w:r>
      <w:r>
        <w:rPr>
          <w:szCs w:val="20"/>
        </w:rPr>
        <w:t>ing</w:t>
      </w:r>
      <w:r w:rsidRPr="00155C20" w:rsidR="00155C20">
        <w:rPr>
          <w:szCs w:val="20"/>
        </w:rPr>
        <w:t xml:space="preserve"> this information is provided </w:t>
      </w:r>
      <w:r w:rsidR="0012498F">
        <w:rPr>
          <w:szCs w:val="20"/>
        </w:rPr>
        <w:t xml:space="preserve">by </w:t>
      </w:r>
      <w:r w:rsidRPr="00DD223D" w:rsidR="00DD223D">
        <w:rPr>
          <w:szCs w:val="20"/>
        </w:rPr>
        <w:t>Medicare Access and CHIP Reauthorization Act of 2015 (MACRA) (Pub. L. 114-10,</w:t>
      </w:r>
      <w:r w:rsidR="00E32485">
        <w:rPr>
          <w:szCs w:val="20"/>
        </w:rPr>
        <w:t xml:space="preserve"> </w:t>
      </w:r>
      <w:r w:rsidRPr="00DD223D" w:rsidR="00DD223D">
        <w:rPr>
          <w:szCs w:val="20"/>
        </w:rPr>
        <w:t>April 16, 2015)</w:t>
      </w:r>
      <w:r w:rsidR="0012498F">
        <w:rPr>
          <w:szCs w:val="20"/>
        </w:rPr>
        <w:t xml:space="preserve"> which further amended </w:t>
      </w:r>
      <w:r w:rsidRPr="00155C20" w:rsidR="00155C20">
        <w:rPr>
          <w:szCs w:val="20"/>
        </w:rPr>
        <w:t>section 1848</w:t>
      </w:r>
      <w:r w:rsidR="0012498F">
        <w:rPr>
          <w:szCs w:val="20"/>
        </w:rPr>
        <w:t xml:space="preserve"> </w:t>
      </w:r>
      <w:r w:rsidRPr="00155C20" w:rsidR="00155C20">
        <w:rPr>
          <w:szCs w:val="20"/>
        </w:rPr>
        <w:t>and 1833 of the Act</w:t>
      </w:r>
      <w:r w:rsidR="0012498F">
        <w:rPr>
          <w:szCs w:val="20"/>
        </w:rPr>
        <w:t>, respectively</w:t>
      </w:r>
      <w:r w:rsidR="00155C20">
        <w:rPr>
          <w:szCs w:val="20"/>
        </w:rPr>
        <w:t xml:space="preserve">. </w:t>
      </w:r>
    </w:p>
    <w:p w:rsidR="00627DDE" w:rsidP="00D4299B" w:rsidRDefault="00155C20" w14:paraId="3B966655" w14:textId="26AC04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155C20">
        <w:rPr>
          <w:szCs w:val="20"/>
        </w:rPr>
        <w:t>Section 1848(q) of the Act requires the establishment of the MIPS beginning with payments for items and services furnished on or after January 1, 20</w:t>
      </w:r>
      <w:r w:rsidR="00FD77E4">
        <w:rPr>
          <w:szCs w:val="20"/>
        </w:rPr>
        <w:t>19</w:t>
      </w:r>
      <w:r w:rsidRPr="00155C20">
        <w:rPr>
          <w:szCs w:val="20"/>
        </w:rPr>
        <w:t xml:space="preserve">, under which the Secretary is required to: (1) develop a methodology for assessing the total performance of each MIPS eligible clinician according to performance standards for a performance period; (2) using the methodology, provide a final score for each MIPS eligible clinician for each performance period; and (3) use the final score of the MIPS eligible clinician for a performance period to determine and apply a MIPS adjustment factor (and, as applicable, an additional MIPS adjustment factor for exceptional performance) to the MIPS eligible clinician for a performance period. Under section 1848(q)(2)(A) of the Act, a MIPS eligible clinician’s final score is determined using four performance categories: (1) quality; (2) cost; (3) improvement activities, and (4) </w:t>
      </w:r>
      <w:r>
        <w:rPr>
          <w:szCs w:val="20"/>
        </w:rPr>
        <w:t>Promoting Interoperability</w:t>
      </w:r>
      <w:r w:rsidRPr="00155C20">
        <w:rPr>
          <w:szCs w:val="20"/>
        </w:rPr>
        <w:t>.</w:t>
      </w:r>
      <w:r w:rsidR="00E45035">
        <w:rPr>
          <w:szCs w:val="20"/>
        </w:rPr>
        <w:t xml:space="preserve">  Section 1833(z) of the Act </w:t>
      </w:r>
      <w:r w:rsidRPr="00E45035" w:rsidR="00E45035">
        <w:rPr>
          <w:szCs w:val="20"/>
        </w:rPr>
        <w:t>establishes incentive payments for clinicians who are qualifying participants in</w:t>
      </w:r>
      <w:r w:rsidR="00E45035">
        <w:rPr>
          <w:szCs w:val="20"/>
        </w:rPr>
        <w:t xml:space="preserve"> </w:t>
      </w:r>
      <w:r w:rsidRPr="00E45035" w:rsidR="00E45035">
        <w:rPr>
          <w:szCs w:val="20"/>
        </w:rPr>
        <w:t>advanced APMs</w:t>
      </w:r>
      <w:r w:rsidR="00E45035">
        <w:rPr>
          <w:szCs w:val="20"/>
        </w:rPr>
        <w:t>.</w:t>
      </w:r>
    </w:p>
    <w:p w:rsidRPr="00B11641" w:rsidR="006803A2" w:rsidP="00891FD8" w:rsidRDefault="00D26EEF" w14:paraId="1FB2AB01" w14:textId="3885BD88">
      <w:pPr>
        <w:pStyle w:val="Heading2"/>
        <w:numPr>
          <w:ilvl w:val="1"/>
          <w:numId w:val="8"/>
        </w:numPr>
      </w:pPr>
      <w:r w:rsidRPr="00B11641">
        <w:t>Information Users</w:t>
      </w:r>
    </w:p>
    <w:p w:rsidR="00855847" w:rsidP="00D4299B" w:rsidRDefault="00155C20" w14:paraId="12E3B30D" w14:textId="71AAE575">
      <w:pPr>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155C20">
        <w:rPr>
          <w:szCs w:val="20"/>
        </w:rPr>
        <w:t xml:space="preserve">CMS will use data </w:t>
      </w:r>
      <w:r w:rsidR="004306D9">
        <w:rPr>
          <w:szCs w:val="20"/>
        </w:rPr>
        <w:t xml:space="preserve">reported </w:t>
      </w:r>
      <w:r w:rsidR="00F42ABA">
        <w:rPr>
          <w:szCs w:val="20"/>
        </w:rPr>
        <w:t xml:space="preserve">or submitted </w:t>
      </w:r>
      <w:r w:rsidR="004306D9">
        <w:rPr>
          <w:szCs w:val="20"/>
        </w:rPr>
        <w:t xml:space="preserve">by MIPS eligible clinicians </w:t>
      </w:r>
      <w:r w:rsidR="00F42ABA">
        <w:rPr>
          <w:szCs w:val="20"/>
        </w:rPr>
        <w:t>as individual clinicians</w:t>
      </w:r>
      <w:r w:rsidR="00125452">
        <w:rPr>
          <w:szCs w:val="20"/>
        </w:rPr>
        <w:t xml:space="preserve"> (both required and voluntary)</w:t>
      </w:r>
      <w:r w:rsidR="007C52B7">
        <w:rPr>
          <w:szCs w:val="20"/>
        </w:rPr>
        <w:t xml:space="preserve"> or as part of groups</w:t>
      </w:r>
      <w:r w:rsidR="00125452">
        <w:rPr>
          <w:szCs w:val="20"/>
        </w:rPr>
        <w:t xml:space="preserve">, </w:t>
      </w:r>
      <w:r w:rsidR="002C174A">
        <w:rPr>
          <w:szCs w:val="20"/>
        </w:rPr>
        <w:t xml:space="preserve">subgroups, </w:t>
      </w:r>
      <w:r w:rsidR="00125452">
        <w:rPr>
          <w:szCs w:val="20"/>
        </w:rPr>
        <w:t xml:space="preserve">virtual groups, </w:t>
      </w:r>
      <w:r w:rsidR="00DF1CA2">
        <w:rPr>
          <w:szCs w:val="20"/>
        </w:rPr>
        <w:t xml:space="preserve">or APM entities.  CMS will use this data </w:t>
      </w:r>
      <w:r w:rsidRPr="00155C20">
        <w:rPr>
          <w:szCs w:val="20"/>
        </w:rPr>
        <w:t xml:space="preserve">to assess MIPS eligible clinician performance in the MIPS performance categories, calculate the final score (including whether or not requirements for certain performance categories can be waived), and calculate positive and negative payment adjustments based on the final score, and to provide feedback to the clinicians.  </w:t>
      </w:r>
      <w:r w:rsidR="004306D9">
        <w:rPr>
          <w:szCs w:val="20"/>
        </w:rPr>
        <w:t>Information provided by third party intermediaries</w:t>
      </w:r>
      <w:r w:rsidRPr="00155C20">
        <w:rPr>
          <w:szCs w:val="20"/>
        </w:rPr>
        <w:t xml:space="preserve"> may also be used for administrative purposes such as determining third party </w:t>
      </w:r>
      <w:r w:rsidR="0070637E">
        <w:rPr>
          <w:szCs w:val="20"/>
        </w:rPr>
        <w:t>intermediaries</w:t>
      </w:r>
      <w:r w:rsidRPr="00155C20" w:rsidR="0070637E">
        <w:rPr>
          <w:szCs w:val="20"/>
        </w:rPr>
        <w:t xml:space="preserve"> </w:t>
      </w:r>
      <w:r w:rsidRPr="00155C20">
        <w:rPr>
          <w:szCs w:val="20"/>
        </w:rPr>
        <w:t xml:space="preserve">and </w:t>
      </w:r>
      <w:r w:rsidR="00855847">
        <w:rPr>
          <w:szCs w:val="20"/>
        </w:rPr>
        <w:t xml:space="preserve">QCDR </w:t>
      </w:r>
      <w:r w:rsidRPr="00155C20">
        <w:rPr>
          <w:szCs w:val="20"/>
        </w:rPr>
        <w:t>measures appropriate for the MIPS program</w:t>
      </w:r>
      <w:r w:rsidR="00855847">
        <w:rPr>
          <w:szCs w:val="20"/>
        </w:rPr>
        <w:t xml:space="preserve">.  Information </w:t>
      </w:r>
      <w:r w:rsidR="00855847">
        <w:rPr>
          <w:szCs w:val="20"/>
        </w:rPr>
        <w:lastRenderedPageBreak/>
        <w:t>provided by clinicians, professional societies, and other respondents will be used to consider quality and Promoting Interoperability measures, improvement activities, and MVPs for inclusion in the MIPS program.  Information provided by payers, APM Entities, and eligible clinicians will be used to determine</w:t>
      </w:r>
      <w:r w:rsidRPr="00155C20">
        <w:rPr>
          <w:szCs w:val="20"/>
        </w:rPr>
        <w:t xml:space="preserve"> which additional payment arrangements qualify as Other Payer Advanced APM models.  In order to administer the Q</w:t>
      </w:r>
      <w:r w:rsidR="006B7949">
        <w:rPr>
          <w:szCs w:val="20"/>
        </w:rPr>
        <w:t xml:space="preserve">uality </w:t>
      </w:r>
      <w:r w:rsidRPr="00155C20">
        <w:rPr>
          <w:szCs w:val="20"/>
        </w:rPr>
        <w:t>P</w:t>
      </w:r>
      <w:r w:rsidR="006B7949">
        <w:rPr>
          <w:szCs w:val="20"/>
        </w:rPr>
        <w:t xml:space="preserve">ayment </w:t>
      </w:r>
      <w:r w:rsidRPr="00155C20">
        <w:rPr>
          <w:szCs w:val="20"/>
        </w:rPr>
        <w:t>P</w:t>
      </w:r>
      <w:r w:rsidR="006B7949">
        <w:rPr>
          <w:szCs w:val="20"/>
        </w:rPr>
        <w:t>rogram</w:t>
      </w:r>
      <w:r w:rsidRPr="00155C20">
        <w:rPr>
          <w:szCs w:val="20"/>
        </w:rPr>
        <w:t>, the data will be used by agency contractors and consultants and may be used by othe</w:t>
      </w:r>
      <w:r>
        <w:rPr>
          <w:szCs w:val="20"/>
        </w:rPr>
        <w:t xml:space="preserve">r federal and state agencies.  </w:t>
      </w:r>
    </w:p>
    <w:p w:rsidR="00855847" w:rsidP="00D4299B" w:rsidRDefault="00155C20" w14:paraId="0AA4F140" w14:textId="2F718552">
      <w:pPr>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C824D4">
        <w:rPr>
          <w:szCs w:val="20"/>
        </w:rPr>
        <w:t xml:space="preserve">We also use this information to provide performance feedback to MIPS eligible clinicians and eligible entities. </w:t>
      </w:r>
      <w:r w:rsidR="00775E2E">
        <w:rPr>
          <w:szCs w:val="20"/>
        </w:rPr>
        <w:t xml:space="preserve"> </w:t>
      </w:r>
      <w:r w:rsidR="00235F2B">
        <w:rPr>
          <w:szCs w:val="20"/>
        </w:rPr>
        <w:t>Clinicians and beneficiaries can view</w:t>
      </w:r>
      <w:r w:rsidRPr="00C824D4" w:rsidR="000638C0">
        <w:rPr>
          <w:szCs w:val="20"/>
        </w:rPr>
        <w:t xml:space="preserve"> </w:t>
      </w:r>
      <w:r w:rsidR="00252258">
        <w:rPr>
          <w:szCs w:val="20"/>
        </w:rPr>
        <w:t>performance category data</w:t>
      </w:r>
      <w:r w:rsidR="00A22A8B">
        <w:rPr>
          <w:szCs w:val="20"/>
        </w:rPr>
        <w:t xml:space="preserve"> </w:t>
      </w:r>
      <w:r w:rsidRPr="00A22A8B" w:rsidR="00A22A8B">
        <w:rPr>
          <w:szCs w:val="20"/>
        </w:rPr>
        <w:t>and final scores</w:t>
      </w:r>
      <w:r w:rsidR="00252258">
        <w:rPr>
          <w:szCs w:val="20"/>
        </w:rPr>
        <w:t xml:space="preserve"> for a </w:t>
      </w:r>
      <w:r w:rsidRPr="00C824D4" w:rsidR="000638C0">
        <w:rPr>
          <w:szCs w:val="20"/>
        </w:rPr>
        <w:t>MIPS performance period</w:t>
      </w:r>
      <w:r w:rsidR="00252258">
        <w:rPr>
          <w:szCs w:val="20"/>
        </w:rPr>
        <w:t>/MIPS payment year</w:t>
      </w:r>
      <w:r w:rsidRPr="00C824D4" w:rsidR="000638C0">
        <w:rPr>
          <w:szCs w:val="20"/>
        </w:rPr>
        <w:t xml:space="preserve"> on </w:t>
      </w:r>
      <w:r w:rsidR="00F77EF4">
        <w:rPr>
          <w:szCs w:val="20"/>
        </w:rPr>
        <w:t>c</w:t>
      </w:r>
      <w:r w:rsidRPr="00C824D4" w:rsidR="000638C0">
        <w:rPr>
          <w:szCs w:val="20"/>
        </w:rPr>
        <w:t>ompare</w:t>
      </w:r>
      <w:r w:rsidR="00F77EF4">
        <w:rPr>
          <w:szCs w:val="20"/>
        </w:rPr>
        <w:t xml:space="preserve"> tools hosted by the </w:t>
      </w:r>
      <w:r w:rsidR="00411E92">
        <w:rPr>
          <w:szCs w:val="20"/>
        </w:rPr>
        <w:t>U.S. Department of Health and Human Services</w:t>
      </w:r>
      <w:r w:rsidR="00235F2B">
        <w:rPr>
          <w:szCs w:val="20"/>
        </w:rPr>
        <w:t xml:space="preserve">.  </w:t>
      </w:r>
      <w:r w:rsidRPr="00C824D4">
        <w:rPr>
          <w:szCs w:val="20"/>
        </w:rPr>
        <w:t xml:space="preserve">The data also may be used by CMS authorized entities participating in health care transparency projects.  </w:t>
      </w:r>
      <w:r w:rsidRPr="00D96BB3" w:rsidR="002A5F37">
        <w:rPr>
          <w:szCs w:val="20"/>
        </w:rPr>
        <w:t>T</w:t>
      </w:r>
      <w:r w:rsidRPr="00D96BB3">
        <w:rPr>
          <w:szCs w:val="20"/>
        </w:rPr>
        <w:t xml:space="preserve">he data </w:t>
      </w:r>
      <w:r w:rsidRPr="00D96BB3" w:rsidR="002A5F37">
        <w:rPr>
          <w:szCs w:val="20"/>
        </w:rPr>
        <w:t>is</w:t>
      </w:r>
      <w:r w:rsidRPr="00D96BB3">
        <w:rPr>
          <w:szCs w:val="20"/>
        </w:rPr>
        <w:t xml:space="preserve"> used to produce </w:t>
      </w:r>
      <w:r w:rsidRPr="00D96BB3" w:rsidR="002A5F37">
        <w:rPr>
          <w:szCs w:val="20"/>
        </w:rPr>
        <w:t xml:space="preserve">the </w:t>
      </w:r>
      <w:r w:rsidRPr="00D96BB3">
        <w:rPr>
          <w:szCs w:val="20"/>
        </w:rPr>
        <w:t xml:space="preserve">annual </w:t>
      </w:r>
      <w:r w:rsidRPr="00D96BB3" w:rsidR="002A5F37">
        <w:rPr>
          <w:szCs w:val="20"/>
        </w:rPr>
        <w:t>Quality Payment Program Experience Report</w:t>
      </w:r>
      <w:r w:rsidRPr="00D96BB3">
        <w:rPr>
          <w:szCs w:val="20"/>
        </w:rPr>
        <w:t xml:space="preserve"> </w:t>
      </w:r>
      <w:r w:rsidRPr="00D96BB3" w:rsidR="00EA4257">
        <w:rPr>
          <w:szCs w:val="20"/>
        </w:rPr>
        <w:t xml:space="preserve">which provides a comprehensive representation of the overall </w:t>
      </w:r>
      <w:r w:rsidRPr="00D96BB3">
        <w:rPr>
          <w:szCs w:val="20"/>
        </w:rPr>
        <w:t xml:space="preserve">experience of MIPS eligible clinicians and subgroups of MIPS eligible clinicians. </w:t>
      </w:r>
    </w:p>
    <w:p w:rsidRPr="00155C20" w:rsidR="0002497D" w:rsidP="00D4299B" w:rsidRDefault="00155C20" w14:paraId="7A39A250" w14:textId="77968460">
      <w:pPr>
        <w:keepNext/>
        <w:keepLines/>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155C20">
        <w:rPr>
          <w:szCs w:val="20"/>
        </w:rPr>
        <w:t xml:space="preserve">Relevant data will be provided to federal and state agencies, Quality Improvement Networks, the Small, Underserved, and Rural Support (SURS) technical assistance contractors, and parties assisting consumers, for use in administering or conducting </w:t>
      </w:r>
      <w:r w:rsidRPr="00155C20" w:rsidR="001D5307">
        <w:rPr>
          <w:szCs w:val="20"/>
        </w:rPr>
        <w:t>federally funded</w:t>
      </w:r>
      <w:r w:rsidRPr="00155C20">
        <w:rPr>
          <w:szCs w:val="20"/>
        </w:rPr>
        <w:t xml:space="preserve"> health benefit programs, payment and claims processes, quality improvement outreach and reviews, and transparency projects.</w:t>
      </w:r>
      <w:r w:rsidR="00CE72EE">
        <w:rPr>
          <w:szCs w:val="20"/>
        </w:rPr>
        <w:t xml:space="preserve">  </w:t>
      </w:r>
      <w:r w:rsidRPr="00155C20">
        <w:rPr>
          <w:szCs w:val="20"/>
        </w:rPr>
        <w:t>In addition, this data may be used by the Department of Justice, a court, or adjudicatory body, another federal agency investigating fraud, waste, and abuse, appropriate agencies in the case of a system breach, or the U.S. Department of Homeland Security in the event of a cybersecurity incident.</w:t>
      </w:r>
      <w:r w:rsidR="00023BCB">
        <w:rPr>
          <w:szCs w:val="20"/>
        </w:rPr>
        <w:t xml:space="preserve">  Lastly, CMS </w:t>
      </w:r>
      <w:r w:rsidR="0026206B">
        <w:rPr>
          <w:szCs w:val="20"/>
        </w:rPr>
        <w:t xml:space="preserve">has </w:t>
      </w:r>
      <w:r w:rsidR="00023BCB">
        <w:rPr>
          <w:szCs w:val="20"/>
        </w:rPr>
        <w:t>ma</w:t>
      </w:r>
      <w:r w:rsidR="0026206B">
        <w:rPr>
          <w:szCs w:val="20"/>
        </w:rPr>
        <w:t>d</w:t>
      </w:r>
      <w:r w:rsidR="00023BCB">
        <w:rPr>
          <w:szCs w:val="20"/>
        </w:rPr>
        <w:t>e available a Public Use File present</w:t>
      </w:r>
      <w:r w:rsidR="0026206B">
        <w:rPr>
          <w:szCs w:val="20"/>
        </w:rPr>
        <w:t>ing</w:t>
      </w:r>
      <w:r w:rsidR="00023BCB">
        <w:rPr>
          <w:szCs w:val="20"/>
        </w:rPr>
        <w:t xml:space="preserve"> a comprehensive </w:t>
      </w:r>
      <w:r w:rsidRPr="00023BCB" w:rsidR="00023BCB">
        <w:rPr>
          <w:szCs w:val="20"/>
        </w:rPr>
        <w:t>data set on performance of all clinicians across all categories, measures</w:t>
      </w:r>
      <w:r w:rsidR="00023BCB">
        <w:rPr>
          <w:szCs w:val="20"/>
        </w:rPr>
        <w:t>,</w:t>
      </w:r>
      <w:r w:rsidRPr="00023BCB" w:rsidR="00023BCB">
        <w:rPr>
          <w:szCs w:val="20"/>
        </w:rPr>
        <w:t xml:space="preserve"> and activities for MIPS</w:t>
      </w:r>
      <w:r w:rsidR="0026206B">
        <w:rPr>
          <w:szCs w:val="20"/>
        </w:rPr>
        <w:t xml:space="preserve"> which will be updated annually</w:t>
      </w:r>
      <w:r w:rsidR="00023BCB">
        <w:rPr>
          <w:szCs w:val="20"/>
        </w:rPr>
        <w:t>.</w:t>
      </w:r>
    </w:p>
    <w:p w:rsidRPr="00041A6A" w:rsidR="00855847" w:rsidP="00891FD8" w:rsidRDefault="000A1BC2" w14:paraId="408DC725" w14:textId="0FDBFC7C">
      <w:pPr>
        <w:pStyle w:val="Heading2"/>
      </w:pPr>
      <w:r w:rsidRPr="00041A6A">
        <w:t xml:space="preserve">Use of </w:t>
      </w:r>
      <w:r w:rsidRPr="000E7E06">
        <w:t>Information Technology</w:t>
      </w:r>
    </w:p>
    <w:p w:rsidRPr="00155C20" w:rsidR="00932A5A" w:rsidP="00730BEF" w:rsidRDefault="00155C20" w14:paraId="3B4E4A21" w14:textId="094435B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426C">
        <w:t xml:space="preserve">All the information collection described in this form is to be </w:t>
      </w:r>
      <w:r>
        <w:t>conducted</w:t>
      </w:r>
      <w:r w:rsidRPr="0007426C">
        <w:t xml:space="preserve"> electronically.</w:t>
      </w:r>
    </w:p>
    <w:p w:rsidRPr="00041A6A" w:rsidR="000A1BC2" w:rsidP="00891FD8" w:rsidRDefault="000A1BC2" w14:paraId="4A5F4C47" w14:textId="79C4AD95">
      <w:pPr>
        <w:pStyle w:val="Heading2"/>
      </w:pPr>
      <w:r w:rsidRPr="00041A6A">
        <w:t>Duplication of Efforts</w:t>
      </w:r>
    </w:p>
    <w:p w:rsidR="00155C20" w:rsidP="00730BEF" w:rsidRDefault="00155C20" w14:paraId="70479869" w14:textId="17451DC4">
      <w:pPr>
        <w:keepNext/>
        <w:keepLines/>
        <w:rPr>
          <w:szCs w:val="20"/>
        </w:rPr>
      </w:pPr>
      <w:r>
        <w:t>T</w:t>
      </w:r>
      <w:r w:rsidRPr="0007426C">
        <w:t xml:space="preserve">he information to be collected is not duplicative of similar information collected by the </w:t>
      </w:r>
      <w:r>
        <w:t>CMS</w:t>
      </w:r>
      <w:r w:rsidR="004B3AFB">
        <w:t xml:space="preserve"> external to MIPS</w:t>
      </w:r>
      <w:r w:rsidRPr="0007426C">
        <w:t>.</w:t>
      </w:r>
      <w:r w:rsidRPr="001103ED">
        <w:rPr>
          <w:szCs w:val="20"/>
        </w:rPr>
        <w:t xml:space="preserve"> </w:t>
      </w:r>
    </w:p>
    <w:p w:rsidRPr="0059049C" w:rsidR="00155C20" w:rsidP="00730BEF" w:rsidRDefault="00155C20" w14:paraId="05AEF03B" w14:textId="44319F55">
      <w:pPr>
        <w:rPr>
          <w:szCs w:val="20"/>
        </w:rPr>
      </w:pPr>
      <w:r w:rsidRPr="0059049C">
        <w:rPr>
          <w:szCs w:val="20"/>
        </w:rPr>
        <w:t>With respect to participating in MIPS for MIPS APM</w:t>
      </w:r>
      <w:r w:rsidR="00416041">
        <w:rPr>
          <w:szCs w:val="20"/>
        </w:rPr>
        <w:t xml:space="preserve"> participant</w:t>
      </w:r>
      <w:r>
        <w:rPr>
          <w:szCs w:val="20"/>
        </w:rPr>
        <w:t>s</w:t>
      </w:r>
      <w:r w:rsidRPr="0059049C">
        <w:rPr>
          <w:szCs w:val="20"/>
        </w:rPr>
        <w:t>, CMS has set forth requirements that</w:t>
      </w:r>
      <w:r w:rsidR="005E6AFC">
        <w:rPr>
          <w:szCs w:val="20"/>
        </w:rPr>
        <w:t xml:space="preserve"> encourage </w:t>
      </w:r>
      <w:r w:rsidRPr="0059049C">
        <w:rPr>
          <w:szCs w:val="20"/>
        </w:rPr>
        <w:t>limit</w:t>
      </w:r>
      <w:r w:rsidR="005E6AFC">
        <w:rPr>
          <w:szCs w:val="20"/>
        </w:rPr>
        <w:t>ing</w:t>
      </w:r>
      <w:r w:rsidRPr="0059049C">
        <w:rPr>
          <w:szCs w:val="20"/>
        </w:rPr>
        <w:t xml:space="preserve"> duplication of effort</w:t>
      </w:r>
      <w:r w:rsidR="005E6AFC">
        <w:rPr>
          <w:szCs w:val="20"/>
        </w:rPr>
        <w:t>, but in the interest of providing flexibility in reporting, we cannot ensure that duplication does not occur</w:t>
      </w:r>
      <w:r w:rsidRPr="0059049C">
        <w:rPr>
          <w:szCs w:val="20"/>
        </w:rPr>
        <w:t xml:space="preserve">. </w:t>
      </w:r>
      <w:r>
        <w:rPr>
          <w:szCs w:val="20"/>
        </w:rPr>
        <w:t xml:space="preserve"> In addition, as discussed in later sections, many APM Entities will not need to submit improvement activities </w:t>
      </w:r>
      <w:r w:rsidRPr="00B27B2B">
        <w:rPr>
          <w:szCs w:val="20"/>
        </w:rPr>
        <w:t>because</w:t>
      </w:r>
      <w:r w:rsidR="00771FF3">
        <w:rPr>
          <w:szCs w:val="20"/>
        </w:rPr>
        <w:t xml:space="preserve"> they will be reporting through the APM Performance Pathway (APP)</w:t>
      </w:r>
      <w:r>
        <w:rPr>
          <w:szCs w:val="20"/>
        </w:rPr>
        <w:t xml:space="preserve">. </w:t>
      </w:r>
      <w:r w:rsidR="00775E2E">
        <w:rPr>
          <w:szCs w:val="20"/>
        </w:rPr>
        <w:t xml:space="preserve"> </w:t>
      </w:r>
      <w:r>
        <w:rPr>
          <w:szCs w:val="20"/>
        </w:rPr>
        <w:t xml:space="preserve">For </w:t>
      </w:r>
      <w:r w:rsidR="005F4066">
        <w:rPr>
          <w:szCs w:val="20"/>
        </w:rPr>
        <w:t>CY 20</w:t>
      </w:r>
      <w:r w:rsidR="00667773">
        <w:rPr>
          <w:szCs w:val="20"/>
        </w:rPr>
        <w:t>2</w:t>
      </w:r>
      <w:r w:rsidR="0032182B">
        <w:rPr>
          <w:szCs w:val="20"/>
        </w:rPr>
        <w:t>2</w:t>
      </w:r>
      <w:r>
        <w:rPr>
          <w:szCs w:val="20"/>
        </w:rPr>
        <w:t xml:space="preserve"> MIPS performance period</w:t>
      </w:r>
      <w:r w:rsidR="0032182B">
        <w:rPr>
          <w:szCs w:val="20"/>
        </w:rPr>
        <w:t>/2024 MIPS payment year</w:t>
      </w:r>
      <w:r>
        <w:rPr>
          <w:szCs w:val="20"/>
        </w:rPr>
        <w:t xml:space="preserve">, </w:t>
      </w:r>
      <w:r w:rsidR="000C77D6">
        <w:rPr>
          <w:szCs w:val="20"/>
        </w:rPr>
        <w:t xml:space="preserve">we </w:t>
      </w:r>
      <w:r w:rsidRPr="009C4D33" w:rsidR="00592D6D">
        <w:rPr>
          <w:rFonts w:eastAsia="Calibri"/>
        </w:rPr>
        <w:t xml:space="preserve">assume that </w:t>
      </w:r>
      <w:r w:rsidR="00660171">
        <w:rPr>
          <w:rFonts w:eastAsia="Calibri"/>
        </w:rPr>
        <w:t xml:space="preserve">all </w:t>
      </w:r>
      <w:r w:rsidRPr="009C4D33" w:rsidR="00592D6D">
        <w:rPr>
          <w:rFonts w:eastAsia="Calibri"/>
        </w:rPr>
        <w:t xml:space="preserve">MIPS APM models will qualify for the maximum improvement activities performance category score and the APM Entities </w:t>
      </w:r>
      <w:r w:rsidR="001E6389">
        <w:rPr>
          <w:rFonts w:eastAsia="Calibri"/>
        </w:rPr>
        <w:t xml:space="preserve">reporting the APP </w:t>
      </w:r>
      <w:r w:rsidRPr="009C4D33" w:rsidR="00592D6D">
        <w:rPr>
          <w:rFonts w:eastAsia="Calibri"/>
        </w:rPr>
        <w:t>will not need to submit any additional improvement activities.</w:t>
      </w:r>
      <w:r w:rsidRPr="005E6AFC" w:rsidR="005E6AFC">
        <w:rPr>
          <w:rFonts w:eastAsia="Calibri"/>
        </w:rPr>
        <w:t xml:space="preserve">  </w:t>
      </w:r>
      <w:r w:rsidR="005E6AFC">
        <w:rPr>
          <w:rFonts w:eastAsia="Calibri"/>
        </w:rPr>
        <w:t>W</w:t>
      </w:r>
      <w:r w:rsidRPr="005E6AFC" w:rsidR="005E6AFC">
        <w:rPr>
          <w:rFonts w:eastAsia="Calibri"/>
        </w:rPr>
        <w:t>e assume ACO APM Entities will submit data through the APM Performance Pathway and non-ACO APM Entities would participate through traditional MIPS, thereby submitting as an individual or group rather than as an</w:t>
      </w:r>
      <w:r w:rsidR="009872DE">
        <w:rPr>
          <w:rFonts w:eastAsia="Calibri"/>
        </w:rPr>
        <w:t xml:space="preserve"> APM</w:t>
      </w:r>
      <w:r w:rsidRPr="005E6AFC" w:rsidR="005E6AFC">
        <w:rPr>
          <w:rFonts w:eastAsia="Calibri"/>
        </w:rPr>
        <w:t xml:space="preserve"> entity</w:t>
      </w:r>
      <w:r w:rsidR="005E6AFC">
        <w:rPr>
          <w:rFonts w:eastAsia="Calibri"/>
        </w:rPr>
        <w:t xml:space="preserve">.  </w:t>
      </w:r>
    </w:p>
    <w:p w:rsidRPr="00041A6A" w:rsidR="000C0D05" w:rsidP="00891FD8" w:rsidRDefault="000A1BC2" w14:paraId="541D13C1" w14:textId="1EB18D9E">
      <w:pPr>
        <w:pStyle w:val="Heading2"/>
      </w:pPr>
      <w:r w:rsidRPr="00041A6A">
        <w:lastRenderedPageBreak/>
        <w:t>Small Businesses</w:t>
      </w:r>
    </w:p>
    <w:p w:rsidRPr="00530F7F" w:rsidR="005F4066" w:rsidP="00730BEF" w:rsidRDefault="005F4066" w14:paraId="519CD1A7" w14:textId="48D396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0"/>
        </w:rPr>
        <w:t>Because t</w:t>
      </w:r>
      <w:r w:rsidRPr="00732DAA">
        <w:rPr>
          <w:szCs w:val="20"/>
        </w:rPr>
        <w:t xml:space="preserve">he </w:t>
      </w:r>
      <w:r w:rsidRPr="0007426C">
        <w:rPr>
          <w:szCs w:val="20"/>
        </w:rPr>
        <w:t xml:space="preserve">vast majority of Medicare </w:t>
      </w:r>
      <w:r w:rsidR="00A57196">
        <w:rPr>
          <w:szCs w:val="20"/>
        </w:rPr>
        <w:t>clinicians</w:t>
      </w:r>
      <w:r w:rsidRPr="0007426C" w:rsidR="00A57196">
        <w:rPr>
          <w:szCs w:val="20"/>
        </w:rPr>
        <w:t xml:space="preserve"> </w:t>
      </w:r>
      <w:r w:rsidRPr="00A57196" w:rsidR="00A57196">
        <w:rPr>
          <w:szCs w:val="20"/>
        </w:rPr>
        <w:t xml:space="preserve">that receive Medicare payment under the PFS </w:t>
      </w:r>
      <w:r w:rsidRPr="0007426C">
        <w:rPr>
          <w:szCs w:val="20"/>
        </w:rPr>
        <w:t>(</w:t>
      </w:r>
      <w:r w:rsidR="00A57196">
        <w:rPr>
          <w:szCs w:val="20"/>
        </w:rPr>
        <w:t>approximately</w:t>
      </w:r>
      <w:r w:rsidRPr="006739FD">
        <w:rPr>
          <w:szCs w:val="20"/>
        </w:rPr>
        <w:t xml:space="preserve"> 9</w:t>
      </w:r>
      <w:r w:rsidR="002279F5">
        <w:rPr>
          <w:szCs w:val="20"/>
        </w:rPr>
        <w:t>5</w:t>
      </w:r>
      <w:r w:rsidRPr="006739FD">
        <w:rPr>
          <w:szCs w:val="20"/>
        </w:rPr>
        <w:t xml:space="preserve"> percent)</w:t>
      </w:r>
      <w:r w:rsidRPr="0007426C">
        <w:rPr>
          <w:szCs w:val="20"/>
        </w:rPr>
        <w:t xml:space="preserve"> are small entities within the definition in the Regulatory Flexibility Act (RFA), </w:t>
      </w:r>
      <w:r>
        <w:rPr>
          <w:szCs w:val="20"/>
        </w:rPr>
        <w:t>HHS’s</w:t>
      </w:r>
      <w:r w:rsidRPr="0007426C">
        <w:rPr>
          <w:szCs w:val="20"/>
        </w:rPr>
        <w:t xml:space="preserve"> normal practice </w:t>
      </w:r>
      <w:r>
        <w:rPr>
          <w:szCs w:val="20"/>
        </w:rPr>
        <w:t xml:space="preserve">is </w:t>
      </w:r>
      <w:r w:rsidRPr="0007426C">
        <w:rPr>
          <w:szCs w:val="20"/>
        </w:rPr>
        <w:t xml:space="preserve">to assume that all </w:t>
      </w:r>
      <w:r w:rsidRPr="006A2C63">
        <w:rPr>
          <w:szCs w:val="20"/>
        </w:rPr>
        <w:t>affected clinicians are "small" under the RFA.</w:t>
      </w:r>
      <w:r>
        <w:rPr>
          <w:szCs w:val="20"/>
        </w:rPr>
        <w:t xml:space="preserve"> </w:t>
      </w:r>
      <w:r w:rsidRPr="006A2C63">
        <w:rPr>
          <w:szCs w:val="20"/>
        </w:rPr>
        <w:t xml:space="preserve">In this case, most Medicare and Medicaid </w:t>
      </w:r>
      <w:r w:rsidRPr="006A2C63">
        <w:t>eligible clinicia</w:t>
      </w:r>
      <w:r w:rsidRPr="006A2C63">
        <w:rPr>
          <w:szCs w:val="20"/>
        </w:rPr>
        <w:t xml:space="preserve">ns are either non-profit </w:t>
      </w:r>
      <w:r w:rsidRPr="00D614E0">
        <w:rPr>
          <w:szCs w:val="20"/>
        </w:rPr>
        <w:t xml:space="preserve">entities or meet the Small Business Administration’s size standard for small </w:t>
      </w:r>
      <w:r w:rsidRPr="00530F7F">
        <w:rPr>
          <w:szCs w:val="20"/>
        </w:rPr>
        <w:t xml:space="preserve">business. The </w:t>
      </w:r>
      <w:r w:rsidRPr="00530F7F" w:rsidR="006A076B">
        <w:rPr>
          <w:color w:val="000000"/>
        </w:rPr>
        <w:t>CY 20</w:t>
      </w:r>
      <w:r w:rsidRPr="00530F7F" w:rsidR="00241BDE">
        <w:rPr>
          <w:color w:val="000000"/>
        </w:rPr>
        <w:t>2</w:t>
      </w:r>
      <w:r w:rsidR="0081588E">
        <w:rPr>
          <w:color w:val="000000"/>
        </w:rPr>
        <w:t>2</w:t>
      </w:r>
      <w:r w:rsidRPr="00530F7F">
        <w:rPr>
          <w:color w:val="000000"/>
        </w:rPr>
        <w:t xml:space="preserve"> </w:t>
      </w:r>
      <w:r w:rsidRPr="00530F7F" w:rsidR="00D8477B">
        <w:rPr>
          <w:color w:val="000000"/>
        </w:rPr>
        <w:t xml:space="preserve">PFS </w:t>
      </w:r>
      <w:r w:rsidR="0081588E">
        <w:rPr>
          <w:color w:val="000000"/>
        </w:rPr>
        <w:t>proposed</w:t>
      </w:r>
      <w:r w:rsidRPr="00530F7F" w:rsidR="006A076B">
        <w:rPr>
          <w:color w:val="000000"/>
        </w:rPr>
        <w:t xml:space="preserve"> rule</w:t>
      </w:r>
      <w:r w:rsidRPr="00530F7F">
        <w:rPr>
          <w:color w:val="000000"/>
        </w:rPr>
        <w:t xml:space="preserve">’s </w:t>
      </w:r>
      <w:r w:rsidRPr="00530F7F">
        <w:rPr>
          <w:szCs w:val="20"/>
        </w:rPr>
        <w:t xml:space="preserve">Regulatory Impact Analysis estimates that </w:t>
      </w:r>
      <w:r w:rsidRPr="00530F7F">
        <w:t xml:space="preserve">approximately </w:t>
      </w:r>
      <w:r w:rsidRPr="00DB6184" w:rsidR="00DB6184">
        <w:t>809,625</w:t>
      </w:r>
      <w:r w:rsidR="00570CD5">
        <w:t xml:space="preserve"> </w:t>
      </w:r>
      <w:r w:rsidRPr="00530F7F">
        <w:t>MIPS eligible clinicians will be subject to MIPS performance requirements.</w:t>
      </w:r>
      <w:r w:rsidRPr="00530F7F">
        <w:rPr>
          <w:rStyle w:val="FootnoteReference"/>
        </w:rPr>
        <w:footnoteReference w:id="4"/>
      </w:r>
      <w:r w:rsidRPr="00530F7F">
        <w:t xml:space="preserve"> </w:t>
      </w:r>
      <w:r w:rsidRPr="00530F7F" w:rsidR="00775E2E">
        <w:t xml:space="preserve"> </w:t>
      </w:r>
      <w:r w:rsidRPr="00530F7F">
        <w:t xml:space="preserve">The low-volume threshold is designed to limit burden to eligible clinicians who do not have a substantive business relationship with Medicare. </w:t>
      </w:r>
      <w:r w:rsidRPr="00530F7F" w:rsidR="00775E2E">
        <w:t xml:space="preserve"> </w:t>
      </w:r>
      <w:r w:rsidRPr="00530F7F">
        <w:t xml:space="preserve">We estimate that approximately </w:t>
      </w:r>
      <w:r w:rsidR="00AD1357">
        <w:rPr>
          <w:rFonts w:eastAsia="Calibri"/>
        </w:rPr>
        <w:t>100,501</w:t>
      </w:r>
      <w:r w:rsidRPr="00530F7F">
        <w:t xml:space="preserve"> clinicians in eligible specialties will be excluded from MIPS data submission requirements</w:t>
      </w:r>
      <w:r w:rsidRPr="00530F7F" w:rsidR="004B588A">
        <w:t xml:space="preserve"> because they </w:t>
      </w:r>
      <w:r w:rsidR="00533543">
        <w:t xml:space="preserve">do not have sufficient </w:t>
      </w:r>
      <w:r w:rsidRPr="00530F7F" w:rsidR="004B588A">
        <w:t>charges</w:t>
      </w:r>
      <w:r w:rsidR="0002637C">
        <w:t>, services or benefici</w:t>
      </w:r>
      <w:r w:rsidR="00D53C6A">
        <w:t>a</w:t>
      </w:r>
      <w:r w:rsidR="0002637C">
        <w:t>ries</w:t>
      </w:r>
      <w:r w:rsidRPr="00530F7F" w:rsidR="004B588A">
        <w:t xml:space="preserve"> under the </w:t>
      </w:r>
      <w:r w:rsidRPr="00530F7F" w:rsidR="009A1A8C">
        <w:t xml:space="preserve">PFS </w:t>
      </w:r>
      <w:r w:rsidRPr="00530F7F" w:rsidR="004B588A">
        <w:t>and thus</w:t>
      </w:r>
      <w:r w:rsidRPr="00530F7F" w:rsidR="00480DD5">
        <w:t xml:space="preserve"> </w:t>
      </w:r>
      <w:r w:rsidRPr="00530F7F" w:rsidR="004B588A">
        <w:t>do not meet opt-in volume criteria</w:t>
      </w:r>
      <w:r w:rsidR="00913A9B">
        <w:t xml:space="preserve"> as either a group or individual</w:t>
      </w:r>
      <w:r w:rsidRPr="00530F7F">
        <w:t>.</w:t>
      </w:r>
      <w:r w:rsidR="00913A9B">
        <w:t xml:space="preserve"> Additionally, we exclude 411,872 clinicians who are not MIPS eligible as individual clinicians and did not participate as a </w:t>
      </w:r>
      <w:r w:rsidR="00E141F5">
        <w:t>group</w:t>
      </w:r>
      <w:r w:rsidR="00CB51E0">
        <w:t>,</w:t>
      </w:r>
      <w:r w:rsidR="00E141F5">
        <w:t xml:space="preserve"> but</w:t>
      </w:r>
      <w:r w:rsidR="00913A9B">
        <w:t xml:space="preserve"> could elect to</w:t>
      </w:r>
      <w:r w:rsidR="006232CD">
        <w:t xml:space="preserve"> participate</w:t>
      </w:r>
      <w:r w:rsidR="00913A9B">
        <w:t xml:space="preserve"> in MIPS through opting in or participating as a group.</w:t>
      </w:r>
      <w:r w:rsidRPr="00530F7F">
        <w:t xml:space="preserve"> </w:t>
      </w:r>
      <w:r w:rsidRPr="00530F7F" w:rsidR="004B588A">
        <w:t xml:space="preserve"> </w:t>
      </w:r>
      <w:r w:rsidRPr="00530F7F">
        <w:t>Further, we exclude</w:t>
      </w:r>
      <w:r w:rsidRPr="00530F7F" w:rsidR="00667814">
        <w:t xml:space="preserve"> an additional </w:t>
      </w:r>
      <w:r w:rsidR="00AD1357">
        <w:t>303,873</w:t>
      </w:r>
      <w:r w:rsidRPr="00530F7F" w:rsidR="004B588A">
        <w:t xml:space="preserve"> clinicians who are either QPs, </w:t>
      </w:r>
      <w:r w:rsidRPr="00530F7F">
        <w:t xml:space="preserve">newly enrolled Medicare professionals </w:t>
      </w:r>
      <w:r w:rsidRPr="00530F7F" w:rsidR="004B588A">
        <w:t>(</w:t>
      </w:r>
      <w:r w:rsidRPr="00530F7F">
        <w:t>to reduce data submission</w:t>
      </w:r>
      <w:r w:rsidRPr="00530F7F" w:rsidR="00405E2C">
        <w:t xml:space="preserve"> burden to those professionals</w:t>
      </w:r>
      <w:r w:rsidRPr="00530F7F" w:rsidR="004B588A">
        <w:t>),</w:t>
      </w:r>
      <w:r w:rsidRPr="00530F7F" w:rsidR="00405E2C">
        <w:t xml:space="preserve"> </w:t>
      </w:r>
      <w:r w:rsidRPr="00530F7F" w:rsidR="004B588A">
        <w:t>or</w:t>
      </w:r>
      <w:r w:rsidRPr="00530F7F" w:rsidR="00405E2C">
        <w:t xml:space="preserve"> </w:t>
      </w:r>
      <w:r w:rsidRPr="00530F7F" w:rsidR="004B588A">
        <w:t>practice</w:t>
      </w:r>
      <w:r w:rsidRPr="00530F7F" w:rsidR="00405E2C">
        <w:t xml:space="preserve"> non-eligible specialtie</w:t>
      </w:r>
      <w:r w:rsidRPr="00530F7F" w:rsidR="004B588A">
        <w:t>s</w:t>
      </w:r>
      <w:r w:rsidRPr="00530F7F">
        <w:t>. Clinicians who</w:t>
      </w:r>
      <w:r w:rsidR="00727337">
        <w:t xml:space="preserve"> </w:t>
      </w:r>
      <w:r w:rsidR="006C2725">
        <w:t>do not</w:t>
      </w:r>
      <w:r w:rsidRPr="00530F7F">
        <w:t xml:space="preserve"> meet</w:t>
      </w:r>
      <w:r w:rsidR="00CA3BCF">
        <w:t xml:space="preserve"> </w:t>
      </w:r>
      <w:r w:rsidRPr="00530F7F">
        <w:t>the low-volume threshold, or who are newly enrolled Medicare clinicians may opt to submit MIPS data.</w:t>
      </w:r>
      <w:r w:rsidRPr="00530F7F" w:rsidR="003022E0">
        <w:t xml:space="preserve">  </w:t>
      </w:r>
      <w:r w:rsidRPr="00530F7F">
        <w:t>Medicare professionals voluntarily participating in MIPS would receive feedback on their perfo</w:t>
      </w:r>
      <w:r w:rsidRPr="00530F7F" w:rsidR="00915FEC">
        <w:t>rmance</w:t>
      </w:r>
      <w:r w:rsidRPr="00530F7F">
        <w:t xml:space="preserve"> but would not be subject to payment adjustments. </w:t>
      </w:r>
    </w:p>
    <w:p w:rsidRPr="00530F7F" w:rsidR="005F4066" w:rsidP="00730BEF" w:rsidRDefault="005F4066" w14:paraId="61955A21" w14:textId="224C3F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0F7F">
        <w:t xml:space="preserve">In </w:t>
      </w:r>
      <w:r w:rsidR="002C344D">
        <w:t xml:space="preserve">the Regulatory Impact Analysis </w:t>
      </w:r>
      <w:r w:rsidRPr="00530F7F" w:rsidR="003022E0">
        <w:t>section of the CY 20</w:t>
      </w:r>
      <w:r w:rsidR="00374FDB">
        <w:t>2</w:t>
      </w:r>
      <w:r w:rsidR="008B096C">
        <w:t>2</w:t>
      </w:r>
      <w:r w:rsidRPr="00530F7F" w:rsidR="003022E0">
        <w:t xml:space="preserve"> </w:t>
      </w:r>
      <w:r w:rsidRPr="00530F7F" w:rsidR="009A1A8C">
        <w:t xml:space="preserve">PFS </w:t>
      </w:r>
      <w:r w:rsidR="008B096C">
        <w:t>proposed</w:t>
      </w:r>
      <w:r w:rsidRPr="00530F7F" w:rsidR="003022E0">
        <w:t xml:space="preserve"> rule</w:t>
      </w:r>
      <w:r w:rsidR="007D48C7">
        <w:t xml:space="preserve"> (86 FR 39549)</w:t>
      </w:r>
      <w:r w:rsidRPr="00530F7F">
        <w:t>, w</w:t>
      </w:r>
      <w:r w:rsidRPr="00530F7F" w:rsidR="00667814">
        <w:t xml:space="preserve">e explain that we assume </w:t>
      </w:r>
      <w:r w:rsidR="00C65343">
        <w:t>809,625</w:t>
      </w:r>
      <w:r w:rsidRPr="00530F7F">
        <w:t xml:space="preserve"> MIPS eligible clinicians will submit data as individual clinicians, or as part of groups or </w:t>
      </w:r>
      <w:r w:rsidRPr="00530F7F" w:rsidR="00162CB6">
        <w:t>as APM entities</w:t>
      </w:r>
      <w:r w:rsidRPr="00530F7F">
        <w:t xml:space="preserve">. </w:t>
      </w:r>
      <w:r w:rsidRPr="00530F7F" w:rsidR="009B503E">
        <w:t xml:space="preserve"> Included in this number, we estimate</w:t>
      </w:r>
      <w:r w:rsidRPr="00530F7F">
        <w:t xml:space="preserve"> </w:t>
      </w:r>
      <w:r w:rsidR="005702C7">
        <w:t>3,259</w:t>
      </w:r>
      <w:r w:rsidRPr="00530F7F">
        <w:t xml:space="preserve"> clinicians </w:t>
      </w:r>
      <w:r w:rsidRPr="00530F7F" w:rsidR="00405E2C">
        <w:t>who exceed</w:t>
      </w:r>
      <w:r w:rsidR="00E27236">
        <w:t>ed</w:t>
      </w:r>
      <w:r w:rsidRPr="00530F7F" w:rsidR="00611F6F">
        <w:t xml:space="preserve"> at least one but not all low-volume threshold</w:t>
      </w:r>
      <w:r w:rsidR="0045137A">
        <w:t>, elected to opt-in</w:t>
      </w:r>
      <w:r w:rsidRPr="00530F7F" w:rsidR="008F3FB6">
        <w:t xml:space="preserve"> and</w:t>
      </w:r>
      <w:r w:rsidRPr="00530F7F" w:rsidR="00405E2C">
        <w:t xml:space="preserve"> submitted</w:t>
      </w:r>
      <w:r w:rsidRPr="00530F7F" w:rsidR="009B6E30">
        <w:t xml:space="preserve"> </w:t>
      </w:r>
      <w:r w:rsidRPr="00530F7F" w:rsidR="00405E2C">
        <w:t xml:space="preserve">data </w:t>
      </w:r>
      <w:r w:rsidRPr="00530F7F" w:rsidR="008F3FB6">
        <w:t xml:space="preserve">in the </w:t>
      </w:r>
      <w:r w:rsidR="009E56B9">
        <w:t xml:space="preserve">CY </w:t>
      </w:r>
      <w:r w:rsidRPr="00530F7F" w:rsidR="008F3FB6">
        <w:t>201</w:t>
      </w:r>
      <w:r w:rsidR="005D37FE">
        <w:t>9</w:t>
      </w:r>
      <w:r w:rsidRPr="00530F7F" w:rsidR="008F3FB6">
        <w:t xml:space="preserve"> MIPS performance period</w:t>
      </w:r>
      <w:r w:rsidR="009E56B9">
        <w:t>/2021 MIPS payment year</w:t>
      </w:r>
      <w:r w:rsidRPr="00530F7F" w:rsidR="00020C8A">
        <w:t xml:space="preserve"> will </w:t>
      </w:r>
      <w:r w:rsidRPr="00530F7F" w:rsidR="00842CA3">
        <w:t>elect</w:t>
      </w:r>
      <w:r w:rsidRPr="00530F7F" w:rsidR="00020C8A">
        <w:t xml:space="preserve"> to opt-in </w:t>
      </w:r>
      <w:r w:rsidRPr="00530F7F" w:rsidR="00842CA3">
        <w:t>to M</w:t>
      </w:r>
      <w:r w:rsidRPr="00530F7F" w:rsidR="00405E2C">
        <w:t>IPS</w:t>
      </w:r>
      <w:r w:rsidR="0045137A">
        <w:t xml:space="preserve"> in the </w:t>
      </w:r>
      <w:r w:rsidR="009E56B9">
        <w:t xml:space="preserve">CY </w:t>
      </w:r>
      <w:r w:rsidR="0045137A">
        <w:t>202</w:t>
      </w:r>
      <w:r w:rsidR="009E56B9">
        <w:t>2</w:t>
      </w:r>
      <w:r w:rsidR="0045137A">
        <w:t xml:space="preserve"> </w:t>
      </w:r>
      <w:r w:rsidR="000C1859">
        <w:t xml:space="preserve">MIPS </w:t>
      </w:r>
      <w:r w:rsidR="0045137A">
        <w:t>performance period</w:t>
      </w:r>
      <w:r w:rsidR="009E56B9">
        <w:t>/2024 MIPS payment year</w:t>
      </w:r>
      <w:r w:rsidRPr="00530F7F">
        <w:t>.</w:t>
      </w:r>
      <w:r w:rsidR="0058467B">
        <w:t xml:space="preserve"> </w:t>
      </w:r>
      <w:r w:rsidRPr="00530F7F">
        <w:t xml:space="preserve"> </w:t>
      </w:r>
      <w:r w:rsidRPr="00530F7F" w:rsidR="00775E2E">
        <w:t xml:space="preserve"> </w:t>
      </w:r>
      <w:r w:rsidRPr="00530F7F" w:rsidR="003022E0">
        <w:t xml:space="preserve">  </w:t>
      </w:r>
    </w:p>
    <w:p w:rsidR="005563AE" w:rsidP="00D4299B" w:rsidRDefault="005F4066" w14:paraId="17C6CDA2" w14:textId="5720C1C9">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30F7F">
        <w:t xml:space="preserve">Additionally, </w:t>
      </w:r>
      <w:r w:rsidRPr="00AD364F" w:rsidR="00AD364F">
        <w:t xml:space="preserve">we estimate that for the </w:t>
      </w:r>
      <w:r w:rsidR="00220965">
        <w:t xml:space="preserve">CY </w:t>
      </w:r>
      <w:r w:rsidRPr="00AD364F" w:rsidR="00AD364F">
        <w:t>202</w:t>
      </w:r>
      <w:r w:rsidR="00220965">
        <w:t>2</w:t>
      </w:r>
      <w:r w:rsidRPr="00AD364F" w:rsidR="00AD364F">
        <w:t xml:space="preserve"> QP Performance Period between </w:t>
      </w:r>
      <w:r w:rsidR="004B1FD5">
        <w:t>225</w:t>
      </w:r>
      <w:r w:rsidRPr="00AD364F" w:rsidR="00AD364F">
        <w:t>,000 and 2</w:t>
      </w:r>
      <w:r w:rsidR="003E01D7">
        <w:t>90</w:t>
      </w:r>
      <w:r w:rsidRPr="00AD364F" w:rsidR="00AD364F">
        <w:t xml:space="preserve">,000 eligible clinicians will become QPs, therefore be excluded from MIPS, and qualify for the lump sum APM incentive payment in </w:t>
      </w:r>
      <w:r w:rsidR="00440AA8">
        <w:t xml:space="preserve">2024 MIPS </w:t>
      </w:r>
      <w:r w:rsidRPr="00AD364F" w:rsidR="00AD364F">
        <w:t xml:space="preserve">Payment Year based on 5 percent of their Part B paid amounts for covered professional services in the preceding year.  </w:t>
      </w:r>
      <w:r>
        <w:t xml:space="preserve"> </w:t>
      </w:r>
    </w:p>
    <w:p w:rsidRPr="00041A6A" w:rsidR="000C0D05" w:rsidP="00891FD8" w:rsidRDefault="00D26EEF" w14:paraId="6595E034" w14:textId="2EB2BF82">
      <w:pPr>
        <w:pStyle w:val="Heading2"/>
      </w:pPr>
      <w:r w:rsidRPr="00041A6A">
        <w:t>Less Frequent Collection</w:t>
      </w:r>
    </w:p>
    <w:p w:rsidRPr="0007426C" w:rsidR="00F049CC" w:rsidP="00730BEF" w:rsidRDefault="00AD364F" w14:paraId="6E9B9503" w14:textId="394996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w:t>
      </w:r>
      <w:r w:rsidRPr="0007426C" w:rsidR="00F049CC">
        <w:t>ata on the quality</w:t>
      </w:r>
      <w:r w:rsidR="00F049CC">
        <w:t>, Promoting Interoperability, and improvement activities</w:t>
      </w:r>
      <w:r w:rsidRPr="0007426C" w:rsidR="00F049CC">
        <w:t xml:space="preserve"> </w:t>
      </w:r>
      <w:r w:rsidR="00F049CC">
        <w:t xml:space="preserve">performance categories </w:t>
      </w:r>
      <w:r w:rsidRPr="0007426C" w:rsidR="00F049CC">
        <w:t xml:space="preserve">are collected from individual </w:t>
      </w:r>
      <w:r w:rsidR="00F049CC">
        <w:t xml:space="preserve">MIPS </w:t>
      </w:r>
      <w:r w:rsidRPr="00AC495C" w:rsidR="00F049CC">
        <w:t>eligible clinicia</w:t>
      </w:r>
      <w:r w:rsidR="00F049CC">
        <w:t>ns</w:t>
      </w:r>
      <w:r w:rsidRPr="0007426C" w:rsidR="00F049CC">
        <w:t xml:space="preserve"> or groups</w:t>
      </w:r>
      <w:r w:rsidR="00F049CC">
        <w:t xml:space="preserve"> annually</w:t>
      </w:r>
      <w:r>
        <w:t>.  If this information was collected less frequently</w:t>
      </w:r>
      <w:r w:rsidRPr="0007426C" w:rsidR="00F049CC">
        <w:t xml:space="preserve">, </w:t>
      </w:r>
      <w:r w:rsidR="00F049CC">
        <w:t>we</w:t>
      </w:r>
      <w:r w:rsidRPr="0007426C" w:rsidR="00F049CC">
        <w:t xml:space="preserve"> will have no mechanism to: (1) determine whether a</w:t>
      </w:r>
      <w:r w:rsidR="00F049CC">
        <w:t xml:space="preserve"> MIPS </w:t>
      </w:r>
      <w:r w:rsidRPr="00AC495C" w:rsidR="00F049CC">
        <w:t>eligible clinician</w:t>
      </w:r>
      <w:r w:rsidRPr="0007426C" w:rsidR="00F049CC">
        <w:t xml:space="preserve"> or group meets the performance criteria for a payment adjustment under MIPS</w:t>
      </w:r>
      <w:r w:rsidR="00775E2E">
        <w:t>;</w:t>
      </w:r>
      <w:r w:rsidRPr="0007426C" w:rsidR="00F049CC">
        <w:t xml:space="preserve"> (2) calculate for payment adjustments to</w:t>
      </w:r>
      <w:r w:rsidR="00F049CC">
        <w:t xml:space="preserve"> MIPS</w:t>
      </w:r>
      <w:r w:rsidRPr="0007426C" w:rsidR="00F049CC">
        <w:t xml:space="preserve"> </w:t>
      </w:r>
      <w:r w:rsidRPr="00AC495C" w:rsidR="00F049CC">
        <w:t>eligible clinicia</w:t>
      </w:r>
      <w:r w:rsidR="00F049CC">
        <w:t>ns</w:t>
      </w:r>
      <w:r w:rsidRPr="0007426C" w:rsidR="00F049CC">
        <w:t xml:space="preserve"> or groups</w:t>
      </w:r>
      <w:r w:rsidR="00775E2E">
        <w:t>;</w:t>
      </w:r>
      <w:r w:rsidRPr="0007426C" w:rsidR="00F049CC">
        <w:t xml:space="preserve"> and (3) publicly post </w:t>
      </w:r>
      <w:r w:rsidR="00F049CC">
        <w:t>clinician</w:t>
      </w:r>
      <w:r w:rsidRPr="0007426C" w:rsidR="00F049CC">
        <w:t xml:space="preserve"> performance information on the</w:t>
      </w:r>
      <w:r w:rsidRPr="009C052A" w:rsidR="00F049CC">
        <w:t xml:space="preserve"> </w:t>
      </w:r>
      <w:r w:rsidR="00BB79F7">
        <w:t>c</w:t>
      </w:r>
      <w:r w:rsidRPr="009C052A" w:rsidR="00F049CC">
        <w:t>ompare</w:t>
      </w:r>
      <w:r w:rsidR="00BB79F7">
        <w:t xml:space="preserve"> tools hosted by the </w:t>
      </w:r>
      <w:r w:rsidR="00444FD3">
        <w:t>U.S. Department of Health and Hu</w:t>
      </w:r>
      <w:r w:rsidR="001474D0">
        <w:t>man Services</w:t>
      </w:r>
      <w:r w:rsidRPr="0007426C" w:rsidR="00F049CC">
        <w:t>.</w:t>
      </w:r>
      <w:r w:rsidR="000C0D05">
        <w:t xml:space="preserve">  We require additional data collections to be </w:t>
      </w:r>
      <w:r w:rsidR="000C0D05">
        <w:lastRenderedPageBreak/>
        <w:t xml:space="preserve">performed annually in order to allow us to determine which clinicians are required to report MIPS data. </w:t>
      </w:r>
    </w:p>
    <w:p w:rsidR="00D26EEF" w:rsidP="00730BEF" w:rsidRDefault="00AD364F" w14:paraId="5B5BD3A4" w14:textId="678C85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Third party intermediaries are required to self-nominate annually.  </w:t>
      </w:r>
      <w:r w:rsidRPr="0007426C" w:rsidR="00F049CC">
        <w:t>If qualified registries and QCDRs are not required to submit a self-nomination statement</w:t>
      </w:r>
      <w:r>
        <w:t xml:space="preserve"> on an annual basis</w:t>
      </w:r>
      <w:r w:rsidRPr="0007426C" w:rsidR="00F049CC">
        <w:t xml:space="preserve">, </w:t>
      </w:r>
      <w:r w:rsidR="00F049CC">
        <w:t>we</w:t>
      </w:r>
      <w:r w:rsidRPr="0007426C" w:rsidR="00F049CC">
        <w:t xml:space="preserve"> will have no mechanism to determine which registries and </w:t>
      </w:r>
      <w:r w:rsidR="00F049CC">
        <w:t xml:space="preserve">QCDRs </w:t>
      </w:r>
      <w:r w:rsidRPr="0007426C" w:rsidR="00F049CC">
        <w:t>will participate in submitting quality measures</w:t>
      </w:r>
      <w:r w:rsidR="00F049CC">
        <w:t>, improvement activities, or Promoting Interoperability measures, objectives and activities</w:t>
      </w:r>
      <w:r w:rsidRPr="0007426C" w:rsidR="00F049CC">
        <w:t>.</w:t>
      </w:r>
      <w:r w:rsidR="00F049CC">
        <w:t xml:space="preserve"> </w:t>
      </w:r>
      <w:r w:rsidR="00775E2E">
        <w:t xml:space="preserve"> </w:t>
      </w:r>
      <w:r w:rsidRPr="0007426C" w:rsidR="00F049CC">
        <w:t xml:space="preserve">As such, </w:t>
      </w:r>
      <w:r w:rsidR="00F049CC">
        <w:t>we</w:t>
      </w:r>
      <w:r w:rsidRPr="0007426C" w:rsidR="00F049CC">
        <w:t xml:space="preserve"> would not be able to post the annual list of qualified registries </w:t>
      </w:r>
      <w:r w:rsidR="00F049CC">
        <w:t>which</w:t>
      </w:r>
      <w:r w:rsidRPr="0007426C" w:rsidR="00F049CC">
        <w:t xml:space="preserve"> </w:t>
      </w:r>
      <w:r w:rsidR="00F049CC">
        <w:t xml:space="preserve">MIPS </w:t>
      </w:r>
      <w:r w:rsidRPr="00AC495C" w:rsidR="00F049CC">
        <w:t>eligible clinicia</w:t>
      </w:r>
      <w:r w:rsidR="00F049CC">
        <w:t>ns</w:t>
      </w:r>
      <w:r w:rsidRPr="0007426C" w:rsidR="00F049CC">
        <w:t xml:space="preserve"> use to select qualified registries and QCDRs to use to report quality measures</w:t>
      </w:r>
      <w:r w:rsidR="00F049CC">
        <w:t>, improvement activities, or Promoting Interoperability</w:t>
      </w:r>
      <w:r w:rsidRPr="0007426C" w:rsidR="00F049CC">
        <w:t xml:space="preserve"> </w:t>
      </w:r>
      <w:r w:rsidR="00F049CC">
        <w:t xml:space="preserve">measures, objectives, and activities </w:t>
      </w:r>
      <w:r w:rsidRPr="0007426C" w:rsidR="00F049CC">
        <w:t>to CMS.</w:t>
      </w:r>
      <w:r w:rsidR="00F049CC">
        <w:t xml:space="preserve"> </w:t>
      </w:r>
    </w:p>
    <w:p w:rsidR="00777F7A" w:rsidP="00730BEF" w:rsidRDefault="007C7D65" w14:paraId="5FFCAF7E" w14:textId="784D1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the CY 2022 PFS proposed rule, </w:t>
      </w:r>
      <w:r w:rsidR="00A42C9F">
        <w:t xml:space="preserve">we propose voluntary subgroup reporting for clinicians who choose to report on measures and activities in an MVP, </w:t>
      </w:r>
      <w:r w:rsidR="00777F7A">
        <w:t>begin</w:t>
      </w:r>
      <w:r w:rsidR="00A42C9F">
        <w:t>ning</w:t>
      </w:r>
      <w:r w:rsidR="00777F7A">
        <w:t xml:space="preserve"> </w:t>
      </w:r>
      <w:r w:rsidR="00A42C9F">
        <w:t>with</w:t>
      </w:r>
      <w:r w:rsidR="00777F7A">
        <w:t xml:space="preserve"> the CY 2023 MIPS performance period/2025 payment year</w:t>
      </w:r>
      <w:r w:rsidR="00422828">
        <w:t xml:space="preserve">. If the proposal is </w:t>
      </w:r>
      <w:r w:rsidR="00E46511">
        <w:t>finalized,</w:t>
      </w:r>
      <w:r w:rsidR="00777F7A">
        <w:t xml:space="preserve"> we </w:t>
      </w:r>
      <w:r w:rsidR="00422828">
        <w:t xml:space="preserve">would </w:t>
      </w:r>
      <w:r w:rsidR="00777F7A">
        <w:t xml:space="preserve">need data on the </w:t>
      </w:r>
      <w:r w:rsidR="004F4753">
        <w:t>clinicians</w:t>
      </w:r>
      <w:r w:rsidR="00777F7A">
        <w:t xml:space="preserve"> electing to be part of a subgroup to appropriately assess performance for th</w:t>
      </w:r>
      <w:r w:rsidR="00422828">
        <w:t>e clinicians participating as a subgroup</w:t>
      </w:r>
      <w:r w:rsidR="00777F7A">
        <w:t xml:space="preserve">. Therefore, </w:t>
      </w:r>
      <w:r w:rsidR="00B44E9D">
        <w:t xml:space="preserve">in the CY 2022 </w:t>
      </w:r>
      <w:r>
        <w:t xml:space="preserve">PFS proposed rule, we propose </w:t>
      </w:r>
      <w:r w:rsidR="00777F7A">
        <w:t xml:space="preserve">an annual subgroup registration process in place for that data to be entered. Similarly, </w:t>
      </w:r>
      <w:r w:rsidR="00E46511">
        <w:t xml:space="preserve">we propose </w:t>
      </w:r>
      <w:proofErr w:type="gramStart"/>
      <w:r w:rsidR="00777F7A">
        <w:t>a</w:t>
      </w:r>
      <w:proofErr w:type="gramEnd"/>
      <w:r w:rsidR="00777F7A">
        <w:t xml:space="preserve"> MVP registration process to collect data on </w:t>
      </w:r>
      <w:r w:rsidR="00B44E9D">
        <w:t xml:space="preserve">individuals, </w:t>
      </w:r>
      <w:r w:rsidR="00777F7A">
        <w:t>groups</w:t>
      </w:r>
      <w:r w:rsidR="00B44E9D">
        <w:t>, subgroups and APM Entities</w:t>
      </w:r>
      <w:r w:rsidR="00777F7A">
        <w:t xml:space="preserve"> reporting MVPs beginning in the CY 2023 MIPS performance period/2025 payment year</w:t>
      </w:r>
      <w:r w:rsidR="00CC1B5A">
        <w:t xml:space="preserve"> (86 FR </w:t>
      </w:r>
      <w:r w:rsidR="00EA56C4">
        <w:t>39374 through 39376</w:t>
      </w:r>
      <w:r w:rsidR="00CC1B5A">
        <w:t>)</w:t>
      </w:r>
      <w:r w:rsidR="00777F7A">
        <w:t xml:space="preserve">. </w:t>
      </w:r>
    </w:p>
    <w:p w:rsidRPr="00041A6A" w:rsidR="000C0D05" w:rsidP="00891FD8" w:rsidRDefault="00D26EEF" w14:paraId="4F67B6FB" w14:textId="3212D884">
      <w:pPr>
        <w:pStyle w:val="Heading2"/>
      </w:pPr>
      <w:r w:rsidRPr="00041A6A">
        <w:t>Special Circumstances</w:t>
      </w:r>
    </w:p>
    <w:p w:rsidRPr="0007426C" w:rsidR="00F049CC" w:rsidP="00730BEF" w:rsidRDefault="00F049CC" w14:paraId="040A6AE4" w14:textId="152D5F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426C">
        <w:t>There are no special circumstances that would require an information collection to be conducted in a manner that requires respondents to:</w:t>
      </w:r>
    </w:p>
    <w:p w:rsidRPr="0007426C" w:rsidR="00F049CC" w:rsidP="00A56476" w:rsidRDefault="00F049CC" w14:paraId="1EB3609B" w14:textId="77777777">
      <w:pPr>
        <w:pStyle w:val="MediumGrid1-Accent21"/>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Report information to the agency more often than quarterly;</w:t>
      </w:r>
    </w:p>
    <w:p w:rsidRPr="0007426C" w:rsidR="00F049CC" w:rsidP="00A56476" w:rsidRDefault="00F049CC" w14:paraId="628DE17D"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 xml:space="preserve">Prepare a written response to a collection of information in fewer than 30 days after receipt of it; </w:t>
      </w:r>
    </w:p>
    <w:p w:rsidRPr="0007426C" w:rsidR="00F049CC" w:rsidP="00A56476" w:rsidRDefault="00F049CC" w14:paraId="781067AD"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Submit more than an original and two copies of any document;</w:t>
      </w:r>
    </w:p>
    <w:p w:rsidRPr="0007426C" w:rsidR="00F049CC" w:rsidP="00A56476" w:rsidRDefault="00F049CC" w14:paraId="28664DF0"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 xml:space="preserve">Retain records, other than health, medical, government contract, grant-in-aid, or tax records for more than </w:t>
      </w:r>
      <w:r>
        <w:rPr>
          <w:sz w:val="24"/>
        </w:rPr>
        <w:t>3</w:t>
      </w:r>
      <w:r w:rsidRPr="0007426C">
        <w:rPr>
          <w:sz w:val="24"/>
        </w:rPr>
        <w:t xml:space="preserve"> years;</w:t>
      </w:r>
    </w:p>
    <w:p w:rsidRPr="0007426C" w:rsidR="00F049CC" w:rsidP="00A56476" w:rsidRDefault="00F049CC" w14:paraId="77C8ADDA"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Collect data in connection with a statistical survey that is not designed to produce valid and reliable results that can be generalized to the universe of study</w:t>
      </w:r>
      <w:r>
        <w:rPr>
          <w:sz w:val="24"/>
        </w:rPr>
        <w:t>;</w:t>
      </w:r>
    </w:p>
    <w:p w:rsidRPr="0007426C" w:rsidR="00F049CC" w:rsidP="00A56476" w:rsidRDefault="00F049CC" w14:paraId="68C270D7"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Use a statistical data class</w:t>
      </w:r>
      <w:r>
        <w:rPr>
          <w:sz w:val="24"/>
        </w:rPr>
        <w:t>i</w:t>
      </w:r>
      <w:r w:rsidRPr="0007426C">
        <w:rPr>
          <w:sz w:val="24"/>
        </w:rPr>
        <w:t>fication that has not been reviewed and approved by OMB;</w:t>
      </w:r>
    </w:p>
    <w:p w:rsidRPr="0007426C" w:rsidR="00F049CC" w:rsidP="00A56476" w:rsidRDefault="00F049CC" w14:paraId="066FD0A2"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B0027" w:rsidP="00A56476" w:rsidRDefault="00F049CC" w14:paraId="6CD71DF8" w14:textId="4EB9D71C">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Submit proprietary trade secret, or other confidential information unless the agency can demonstrate that it has instituted procedures to protect the information's confidentiality to the extent permitted by law.</w:t>
      </w:r>
    </w:p>
    <w:p w:rsidRPr="00041A6A" w:rsidR="00D26EEF" w:rsidP="00891FD8" w:rsidRDefault="00D26EEF" w14:paraId="29D9A72C" w14:textId="2C165FA0">
      <w:pPr>
        <w:pStyle w:val="Heading2"/>
      </w:pPr>
      <w:r w:rsidRPr="00041A6A">
        <w:t>Federal Register/Outside Consultation</w:t>
      </w:r>
    </w:p>
    <w:p w:rsidRPr="00CE74D6" w:rsidR="00A8000F" w:rsidP="00D4299B" w:rsidRDefault="001335E5" w14:paraId="26F46EF4" w14:textId="2A18351C">
      <w:pPr>
        <w:spacing w:after="0"/>
      </w:pPr>
      <w:r>
        <w:t xml:space="preserve">Serving as the </w:t>
      </w:r>
      <w:r w:rsidR="00B34E9D">
        <w:t>60-day notice, t</w:t>
      </w:r>
      <w:r w:rsidR="00982BB1">
        <w:t>he CY 202</w:t>
      </w:r>
      <w:r w:rsidR="00B34E9D">
        <w:t>2</w:t>
      </w:r>
      <w:r w:rsidR="00982BB1">
        <w:t xml:space="preserve"> PFS proposed rule </w:t>
      </w:r>
      <w:r w:rsidRPr="00481317" w:rsidR="00A8000F">
        <w:t>(CMS-17</w:t>
      </w:r>
      <w:r w:rsidR="00F77164">
        <w:t>51</w:t>
      </w:r>
      <w:r w:rsidRPr="00481317" w:rsidR="00A8000F">
        <w:t>-P, RIN 0938-AU</w:t>
      </w:r>
      <w:r w:rsidR="00F77164">
        <w:t>42</w:t>
      </w:r>
      <w:r w:rsidRPr="00481317" w:rsidR="00A8000F">
        <w:t>)</w:t>
      </w:r>
      <w:r w:rsidR="00EF7DC9">
        <w:t xml:space="preserve"> filed for public inspection on </w:t>
      </w:r>
      <w:r w:rsidR="00F77164">
        <w:t>July 13, 2021</w:t>
      </w:r>
      <w:r w:rsidRPr="008A38D5" w:rsidR="00EF7DC9">
        <w:t xml:space="preserve"> </w:t>
      </w:r>
      <w:r w:rsidRPr="008A38D5" w:rsidR="00885A59">
        <w:t>and published in the Federal Register on</w:t>
      </w:r>
      <w:r w:rsidRPr="008A38D5" w:rsidR="004814DE">
        <w:t xml:space="preserve"> </w:t>
      </w:r>
      <w:r w:rsidR="00F77164">
        <w:t xml:space="preserve">July 23, </w:t>
      </w:r>
      <w:r w:rsidR="00F77164">
        <w:lastRenderedPageBreak/>
        <w:t xml:space="preserve">2021 </w:t>
      </w:r>
      <w:r w:rsidRPr="008A38D5" w:rsidR="001F6AD8">
        <w:t>(</w:t>
      </w:r>
      <w:r w:rsidRPr="001376EC" w:rsidR="001F6AD8">
        <w:t xml:space="preserve">86 FR </w:t>
      </w:r>
      <w:r w:rsidRPr="005A4717" w:rsidR="005A4717">
        <w:t>39104</w:t>
      </w:r>
      <w:r w:rsidRPr="008A38D5" w:rsidR="001F6AD8">
        <w:t>)</w:t>
      </w:r>
      <w:r w:rsidRPr="008A38D5" w:rsidR="00C048E4">
        <w:t xml:space="preserve">. </w:t>
      </w:r>
      <w:r w:rsidRPr="008A38D5" w:rsidR="004A1880">
        <w:t xml:space="preserve">Public comments </w:t>
      </w:r>
      <w:r w:rsidRPr="000A6F28" w:rsidR="000A6F28">
        <w:t>must be received no later than 5 p.m. on September 13, 2021</w:t>
      </w:r>
      <w:r w:rsidRPr="008A38D5" w:rsidR="004A1880">
        <w:t>.</w:t>
      </w:r>
    </w:p>
    <w:p w:rsidRPr="00041A6A" w:rsidR="000C0D05" w:rsidP="00891FD8" w:rsidRDefault="00D26EEF" w14:paraId="6FDC2881" w14:textId="7CF587D9">
      <w:pPr>
        <w:pStyle w:val="Heading2"/>
      </w:pPr>
      <w:r w:rsidRPr="00041A6A">
        <w:t>Payments/Gifts to Respondents</w:t>
      </w:r>
    </w:p>
    <w:p w:rsidR="00D26EEF" w:rsidP="00730BEF" w:rsidRDefault="0078551D" w14:paraId="244F02C5" w14:textId="5F7BA31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We will use this data to</w:t>
      </w:r>
      <w:r w:rsidRPr="0007426C">
        <w:t xml:space="preserve"> assess </w:t>
      </w:r>
      <w:r>
        <w:t xml:space="preserve">MIPS </w:t>
      </w:r>
      <w:r w:rsidRPr="00AC495C">
        <w:t>eligible clinician</w:t>
      </w:r>
      <w:r w:rsidRPr="0007426C">
        <w:t xml:space="preserve"> performance in the MIPS performance categories, calculat</w:t>
      </w:r>
      <w:r>
        <w:t>e</w:t>
      </w:r>
      <w:r w:rsidRPr="0007426C">
        <w:t xml:space="preserve"> </w:t>
      </w:r>
      <w:r>
        <w:t>the</w:t>
      </w:r>
      <w:r w:rsidRPr="0007426C">
        <w:t xml:space="preserve"> </w:t>
      </w:r>
      <w:r>
        <w:t>final score</w:t>
      </w:r>
      <w:r w:rsidRPr="0007426C">
        <w:t xml:space="preserve">, and </w:t>
      </w:r>
      <w:r>
        <w:t>calculate positive and negative payment adjustments based on the final score</w:t>
      </w:r>
      <w:r w:rsidRPr="0007426C">
        <w:t>.</w:t>
      </w:r>
      <w:r>
        <w:t xml:space="preserve">  For the APM data collections, the Partial QP election will also be used to determine MIPS eligibility for receiving payment adjustments based on a final score.  For the </w:t>
      </w:r>
      <w:r w:rsidRPr="00DB082D">
        <w:t xml:space="preserve">Other Payer Advanced APM </w:t>
      </w:r>
      <w:r>
        <w:t xml:space="preserve">determinations, no gift or payment is provided via MIPS; however, information from these determinations may be used to assess whether a clinician participating in Other Payer Advanced APMs meets the thresholds under the All-Payer Combination Option required to receive QP status and the associated APM incentive payment.  </w:t>
      </w:r>
    </w:p>
    <w:p w:rsidR="00193562" w:rsidP="00730BEF" w:rsidRDefault="00193562" w14:paraId="6E744BFE" w14:textId="7ADCE43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93562" w:rsidP="00730BEF" w:rsidRDefault="00193562" w14:paraId="072CB7A1" w14:textId="757C82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More detail on how the payments are calculated can be foun</w:t>
      </w:r>
      <w:r w:rsidRPr="00BF426B">
        <w:t xml:space="preserve">d in </w:t>
      </w:r>
      <w:r w:rsidRPr="00BF426B" w:rsidR="00331BCC">
        <w:t>42 CFR §414.1405 and §414.1450.</w:t>
      </w:r>
    </w:p>
    <w:p w:rsidRPr="00041A6A" w:rsidR="000C0D05" w:rsidP="00891FD8" w:rsidRDefault="00D26EEF" w14:paraId="1F0858E4" w14:textId="43BEC002">
      <w:pPr>
        <w:pStyle w:val="Heading2"/>
      </w:pPr>
      <w:r w:rsidRPr="00041A6A">
        <w:t>Confidentiality</w:t>
      </w:r>
    </w:p>
    <w:p w:rsidR="001114E5" w:rsidP="00D4299B" w:rsidRDefault="0078551D" w14:paraId="0E54D4DA" w14:textId="30D54A08">
      <w:pPr>
        <w:keepNext/>
        <w:keepLines/>
      </w:pPr>
      <w:r>
        <w:t xml:space="preserve">Consistent with federal government and CMS policies, CMS will protect the confidentiality of the requested proprietary information. </w:t>
      </w:r>
      <w:r w:rsidR="000C0D05">
        <w:t xml:space="preserve"> </w:t>
      </w:r>
      <w:r>
        <w:t>Specifically, any confidential information (as such terms are interpreted under the Freedom of Information Ac</w:t>
      </w:r>
      <w:r w:rsidR="00915FEC">
        <w:t>t and the Privacy Act of 1974)</w:t>
      </w:r>
      <w:r w:rsidRPr="00CA4C01">
        <w:t xml:space="preserve"> </w:t>
      </w:r>
      <w:r>
        <w:t xml:space="preserve">will be protected from release by CMS to the extent allowable by law and consistent with 5 U.S.C. 552a(b). </w:t>
      </w:r>
    </w:p>
    <w:p w:rsidR="0099451B" w:rsidP="0099451B" w:rsidRDefault="0099451B" w14:paraId="25A8333C" w14:textId="2640707A">
      <w:pPr>
        <w:keepNext/>
        <w:keepLines/>
      </w:pPr>
      <w:r w:rsidRPr="0099451B">
        <w:t>Quality Payment Program (QPP), System No. 09-70-0539 (February 14, 2018; 83 FR 6587).</w:t>
      </w:r>
    </w:p>
    <w:p w:rsidRPr="00041A6A" w:rsidR="00AB349F" w:rsidP="00891FD8" w:rsidRDefault="00D26EEF" w14:paraId="2D02CBD4" w14:textId="4D6ABA1E">
      <w:pPr>
        <w:pStyle w:val="Heading2"/>
      </w:pPr>
      <w:r w:rsidRPr="00041A6A">
        <w:t>Sensitive Questions</w:t>
      </w:r>
    </w:p>
    <w:p w:rsidRPr="001B3EA7" w:rsidR="0078551D" w:rsidP="00730BEF" w:rsidRDefault="0078551D" w14:paraId="481BD23B" w14:textId="30D909E5">
      <w:r w:rsidRPr="001B3EA7">
        <w:t xml:space="preserve">Other than </w:t>
      </w:r>
      <w:r>
        <w:t xml:space="preserve">requested proprietary information </w:t>
      </w:r>
      <w:r w:rsidRPr="001B3EA7">
        <w:t>noted above in section 10, there are no sensitive questions included in the information request.</w:t>
      </w:r>
      <w:r w:rsidRPr="000E56B6" w:rsidDel="000E56B6">
        <w:t xml:space="preserve"> </w:t>
      </w:r>
      <w:r w:rsidRPr="00184F1E" w:rsidR="00184F1E">
        <w:t>Specifically, the collection does not solicit questions of a sensitive nature, such as sexual behavior and attitudes, religious beliefs, and other matters that are commonly considered private.</w:t>
      </w:r>
    </w:p>
    <w:p w:rsidRPr="00FF7AB6" w:rsidR="00BE799C" w:rsidP="00891FD8" w:rsidRDefault="00D26EEF" w14:paraId="5EE5987A" w14:textId="0E273118">
      <w:pPr>
        <w:pStyle w:val="Heading2"/>
      </w:pPr>
      <w:r w:rsidRPr="00041A6A">
        <w:t>Burden Estimates</w:t>
      </w:r>
    </w:p>
    <w:p w:rsidRPr="00041A6A" w:rsidR="00705AEB" w:rsidP="00891FD8" w:rsidRDefault="00705AEB" w14:paraId="144CBC41" w14:textId="363A831E">
      <w:pPr>
        <w:pStyle w:val="Heading3"/>
      </w:pPr>
      <w:r w:rsidRPr="00041A6A">
        <w:t xml:space="preserve">Wage </w:t>
      </w:r>
      <w:r w:rsidRPr="000E7E06">
        <w:t>Estimates</w:t>
      </w:r>
    </w:p>
    <w:p w:rsidR="00490272" w:rsidP="00730BEF" w:rsidRDefault="00665BC8" w14:paraId="71D3A111" w14:textId="6B2C81BF">
      <w:r>
        <w:t xml:space="preserve">To derive average costs, we used data from the U.S. Bureau of Labor Statistics’ May </w:t>
      </w:r>
      <w:r w:rsidR="00AE51A4">
        <w:t>20</w:t>
      </w:r>
      <w:r w:rsidR="007B226A">
        <w:t>20</w:t>
      </w:r>
      <w:r>
        <w:t xml:space="preserve"> National Occupational Employment and Wage Estimates for all salary estimates (http://www.bls.gov/oes/current/oes_nat.htm).  In this regard, </w:t>
      </w:r>
      <w:r w:rsidRPr="005038E4">
        <w:t>Table 1</w:t>
      </w:r>
      <w:r>
        <w:t xml:space="preserve"> presents the mean hourly wage, the cost of fringe benefits and overhead (calculated at 100 percent of salary), and the adjusted hourly wage.  The adjusted hourly wage is used to calculate the labor costs</w:t>
      </w:r>
      <w:r w:rsidR="00A04115">
        <w:t>.</w:t>
      </w:r>
    </w:p>
    <w:p w:rsidR="00490272" w:rsidP="00CF5C90" w:rsidRDefault="00665BC8" w14:paraId="530793C9" w14:textId="3D5DD66C">
      <w:pPr>
        <w:keepNext/>
        <w:keepLines/>
      </w:pPr>
      <w:r w:rsidRPr="00665BC8">
        <w:lastRenderedPageBreak/>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2206DC">
        <w:t xml:space="preserve">Therefore, </w:t>
      </w:r>
      <w:r w:rsidRPr="00665BC8">
        <w:t>we believe that doubling the hourly wage to estimate total cost is a reasonably accurate estimation method.</w:t>
      </w:r>
      <w:r>
        <w:t xml:space="preserve">  </w:t>
      </w:r>
      <w:r w:rsidRPr="00665BC8">
        <w:t>With regard to respondents, we selected BLS occupations Billing and Postal Clerks, Computer Systems Analysts, Physicians</w:t>
      </w:r>
      <w:r w:rsidR="00C97B26">
        <w:t xml:space="preserve"> (multiple categories)</w:t>
      </w:r>
      <w:r w:rsidRPr="00665BC8">
        <w:t xml:space="preserve">, </w:t>
      </w:r>
      <w:r w:rsidR="008D7DB5">
        <w:t>Medical and health services manager</w:t>
      </w:r>
      <w:r w:rsidRPr="00665BC8">
        <w:t>, and Licensed Practical Nurse based on a study (Casalino et al., 2016) that collected data on the staff in physician’s practices involved in the quality data submission process.</w:t>
      </w:r>
      <w:r>
        <w:rPr>
          <w:rStyle w:val="FootnoteReference"/>
        </w:rPr>
        <w:footnoteReference w:id="5"/>
      </w:r>
      <w:r>
        <w:t xml:space="preserve"> </w:t>
      </w:r>
    </w:p>
    <w:p w:rsidR="00051DF6" w:rsidP="00730BEF" w:rsidRDefault="00051DF6" w14:paraId="7271B017" w14:textId="7138049C">
      <w:r>
        <w:t>W</w:t>
      </w:r>
      <w:r w:rsidRPr="00051DF6">
        <w:t xml:space="preserve">e </w:t>
      </w:r>
      <w:r>
        <w:t xml:space="preserve">previously </w:t>
      </w:r>
      <w:r w:rsidRPr="00051DF6">
        <w:t>used the BLS wage rate for “Physicians and Surgeons” (occupation code 29-1060) to estimate the burden for Physicians.  In BLS’ most recent set of occupational wage rates</w:t>
      </w:r>
      <w:r w:rsidR="001B77B5">
        <w:t xml:space="preserve"> (dated May 2020)</w:t>
      </w:r>
      <w:r w:rsidRPr="00051DF6">
        <w:t xml:space="preserve">, they have discontinued this occupation in their wage data.  As a result, in </w:t>
      </w:r>
      <w:r w:rsidR="00617024">
        <w:t>o</w:t>
      </w:r>
      <w:r w:rsidRPr="00051DF6">
        <w:t>rder to estimate the burden for Physicians, we are using a rate of $21</w:t>
      </w:r>
      <w:r w:rsidR="0061309E">
        <w:t>7.32</w:t>
      </w:r>
      <w:r w:rsidRPr="00051DF6">
        <w:t>/hr which is the average of the mean wage rates for Anesthesiologists; Family Medicine Physicians; General Internal Medicine Physicians; Obstetricians and Gynecologists; Pediatricians, General; Physicians, All Other; and Ophthalmologists, Except Pediatric; Psychiatrists; and Surgeons, Except Ophthalmologists [($2</w:t>
      </w:r>
      <w:r w:rsidR="008D6C20">
        <w:t>6</w:t>
      </w:r>
      <w:r w:rsidRPr="00051DF6">
        <w:t>1.</w:t>
      </w:r>
      <w:r w:rsidR="008D6C20">
        <w:t>00</w:t>
      </w:r>
      <w:r w:rsidR="00955FD6">
        <w:t>/hr</w:t>
      </w:r>
      <w:r w:rsidRPr="00051DF6">
        <w:t xml:space="preserve"> + $20</w:t>
      </w:r>
      <w:r w:rsidR="00075B8A">
        <w:t>6.12</w:t>
      </w:r>
      <w:r w:rsidRPr="00051DF6">
        <w:t>/hr + $</w:t>
      </w:r>
      <w:r w:rsidR="00075B8A">
        <w:t>202.84</w:t>
      </w:r>
      <w:r w:rsidRPr="00051DF6">
        <w:t>/hr + $22</w:t>
      </w:r>
      <w:r w:rsidR="00075B8A">
        <w:t>9.92</w:t>
      </w:r>
      <w:r w:rsidRPr="00051DF6">
        <w:t>/hr + $177.</w:t>
      </w:r>
      <w:r w:rsidR="00075B8A">
        <w:t>48</w:t>
      </w:r>
      <w:r w:rsidRPr="00051DF6">
        <w:t>/hr + $</w:t>
      </w:r>
      <w:r w:rsidR="00075B8A">
        <w:t>210.44</w:t>
      </w:r>
      <w:r w:rsidRPr="00051DF6">
        <w:t>/hr + $2</w:t>
      </w:r>
      <w:r w:rsidR="00A1129E">
        <w:t>08.76</w:t>
      </w:r>
      <w:r w:rsidR="00955FD6">
        <w:t>/hr</w:t>
      </w:r>
      <w:r w:rsidRPr="00051DF6">
        <w:t xml:space="preserve"> + $24</w:t>
      </w:r>
      <w:r w:rsidR="00A1129E">
        <w:t>1.98</w:t>
      </w:r>
      <w:r w:rsidRPr="00051DF6">
        <w:t xml:space="preserve">/hr) ÷ 8].  </w:t>
      </w:r>
    </w:p>
    <w:p w:rsidRPr="00171B73" w:rsidR="00665BC8" w:rsidP="00665BC8" w:rsidRDefault="00665BC8" w14:paraId="5FD6F0D3" w14:textId="3A5D1225">
      <w:pPr>
        <w:keepNext/>
        <w:spacing w:after="0"/>
        <w:jc w:val="center"/>
        <w:rPr>
          <w:b/>
        </w:rPr>
      </w:pPr>
      <w:r w:rsidRPr="00171B73">
        <w:rPr>
          <w:b/>
        </w:rPr>
        <w:t xml:space="preserve">TABLE </w:t>
      </w:r>
      <w:r w:rsidRPr="005038E4">
        <w:rPr>
          <w:b/>
        </w:rPr>
        <w:t>1</w:t>
      </w:r>
      <w:r w:rsidRPr="00171B73">
        <w:rPr>
          <w:b/>
        </w:rPr>
        <w:t xml:space="preserve">:  </w:t>
      </w:r>
      <w:r>
        <w:rPr>
          <w:b/>
          <w:bCs/>
        </w:rPr>
        <w:t>National Occupational Employment and Wage Estimates</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028"/>
        <w:gridCol w:w="1371"/>
        <w:gridCol w:w="1352"/>
        <w:gridCol w:w="2049"/>
        <w:gridCol w:w="1550"/>
      </w:tblGrid>
      <w:tr w:rsidRPr="00814AD2" w:rsidR="00665BC8" w:rsidTr="00743AF8" w14:paraId="3094D66D" w14:textId="77777777">
        <w:trPr>
          <w:tblHeader/>
          <w:jc w:val="center"/>
        </w:trPr>
        <w:tc>
          <w:tcPr>
            <w:tcW w:w="0" w:type="auto"/>
            <w:vAlign w:val="center"/>
          </w:tcPr>
          <w:p w:rsidRPr="00814AD2" w:rsidR="00665BC8" w:rsidP="00743AF8" w:rsidRDefault="00665BC8" w14:paraId="53E1B17B" w14:textId="77777777">
            <w:pPr>
              <w:spacing w:after="0"/>
              <w:jc w:val="center"/>
              <w:rPr>
                <w:b/>
                <w:bCs/>
                <w:sz w:val="20"/>
                <w:szCs w:val="20"/>
              </w:rPr>
            </w:pPr>
            <w:r w:rsidRPr="00814AD2">
              <w:rPr>
                <w:b/>
                <w:bCs/>
                <w:sz w:val="20"/>
                <w:szCs w:val="20"/>
              </w:rPr>
              <w:t>Occupation Title</w:t>
            </w:r>
          </w:p>
        </w:tc>
        <w:tc>
          <w:tcPr>
            <w:tcW w:w="0" w:type="auto"/>
            <w:vAlign w:val="center"/>
          </w:tcPr>
          <w:p w:rsidRPr="00814AD2" w:rsidR="00665BC8" w:rsidP="00743AF8" w:rsidRDefault="00665BC8" w14:paraId="1462ABEE" w14:textId="77777777">
            <w:pPr>
              <w:spacing w:after="0"/>
              <w:jc w:val="center"/>
              <w:rPr>
                <w:b/>
                <w:bCs/>
                <w:sz w:val="20"/>
                <w:szCs w:val="20"/>
              </w:rPr>
            </w:pPr>
            <w:r w:rsidRPr="00814AD2">
              <w:rPr>
                <w:b/>
                <w:bCs/>
                <w:sz w:val="20"/>
                <w:szCs w:val="20"/>
              </w:rPr>
              <w:t>Occupational Code</w:t>
            </w:r>
          </w:p>
        </w:tc>
        <w:tc>
          <w:tcPr>
            <w:tcW w:w="0" w:type="auto"/>
            <w:vAlign w:val="center"/>
          </w:tcPr>
          <w:p w:rsidRPr="00814AD2" w:rsidR="00665BC8" w:rsidP="00743AF8" w:rsidRDefault="00665BC8" w14:paraId="286A80AF" w14:textId="77777777">
            <w:pPr>
              <w:spacing w:after="0"/>
              <w:jc w:val="center"/>
              <w:rPr>
                <w:b/>
                <w:bCs/>
                <w:sz w:val="20"/>
                <w:szCs w:val="20"/>
              </w:rPr>
            </w:pPr>
            <w:r w:rsidRPr="00814AD2">
              <w:rPr>
                <w:b/>
                <w:bCs/>
                <w:sz w:val="20"/>
                <w:szCs w:val="20"/>
              </w:rPr>
              <w:t>Mean Hourly Wage ($/hr.)</w:t>
            </w:r>
          </w:p>
        </w:tc>
        <w:tc>
          <w:tcPr>
            <w:tcW w:w="0" w:type="auto"/>
            <w:vAlign w:val="center"/>
          </w:tcPr>
          <w:p w:rsidRPr="00814AD2" w:rsidR="00665BC8" w:rsidP="00743AF8" w:rsidRDefault="00665BC8" w14:paraId="18D78E65" w14:textId="77777777">
            <w:pPr>
              <w:spacing w:after="0"/>
              <w:jc w:val="center"/>
              <w:rPr>
                <w:b/>
                <w:bCs/>
                <w:sz w:val="20"/>
                <w:szCs w:val="20"/>
              </w:rPr>
            </w:pPr>
            <w:r w:rsidRPr="00814AD2">
              <w:rPr>
                <w:b/>
                <w:bCs/>
                <w:sz w:val="20"/>
                <w:szCs w:val="20"/>
              </w:rPr>
              <w:t xml:space="preserve">Fringe Benefits and Overhead </w:t>
            </w:r>
            <w:r>
              <w:rPr>
                <w:b/>
                <w:bCs/>
                <w:sz w:val="20"/>
                <w:szCs w:val="20"/>
              </w:rPr>
              <w:t>costs ($/hr</w:t>
            </w:r>
            <w:r w:rsidRPr="00814AD2">
              <w:rPr>
                <w:b/>
                <w:bCs/>
                <w:sz w:val="20"/>
                <w:szCs w:val="20"/>
              </w:rPr>
              <w:t>)</w:t>
            </w:r>
          </w:p>
        </w:tc>
        <w:tc>
          <w:tcPr>
            <w:tcW w:w="0" w:type="auto"/>
            <w:vAlign w:val="center"/>
          </w:tcPr>
          <w:p w:rsidRPr="00814AD2" w:rsidR="00665BC8" w:rsidP="00743AF8" w:rsidRDefault="00665BC8" w14:paraId="207E83D9" w14:textId="77777777">
            <w:pPr>
              <w:spacing w:after="0"/>
              <w:jc w:val="center"/>
              <w:rPr>
                <w:b/>
                <w:bCs/>
                <w:sz w:val="20"/>
                <w:szCs w:val="20"/>
              </w:rPr>
            </w:pPr>
            <w:r>
              <w:rPr>
                <w:b/>
                <w:bCs/>
                <w:sz w:val="20"/>
                <w:szCs w:val="20"/>
              </w:rPr>
              <w:t>Adjusted Hourly Wage ($/hr</w:t>
            </w:r>
            <w:r w:rsidRPr="00814AD2">
              <w:rPr>
                <w:b/>
                <w:bCs/>
                <w:sz w:val="20"/>
                <w:szCs w:val="20"/>
              </w:rPr>
              <w:t>)</w:t>
            </w:r>
          </w:p>
        </w:tc>
      </w:tr>
      <w:tr w:rsidRPr="00814AD2" w:rsidR="00051DF6" w:rsidTr="00632BE3" w14:paraId="41489A80" w14:textId="77777777">
        <w:trPr>
          <w:jc w:val="center"/>
        </w:trPr>
        <w:tc>
          <w:tcPr>
            <w:tcW w:w="0" w:type="auto"/>
          </w:tcPr>
          <w:p w:rsidRPr="00A82320" w:rsidR="00051DF6" w:rsidP="00051DF6" w:rsidRDefault="00051DF6" w14:paraId="116096FA" w14:textId="198E2A84">
            <w:pPr>
              <w:spacing w:after="0"/>
              <w:rPr>
                <w:sz w:val="20"/>
                <w:szCs w:val="20"/>
              </w:rPr>
            </w:pPr>
            <w:r w:rsidRPr="00632BE3">
              <w:rPr>
                <w:sz w:val="20"/>
                <w:szCs w:val="20"/>
              </w:rPr>
              <w:t>Anesthesiologists</w:t>
            </w:r>
          </w:p>
        </w:tc>
        <w:tc>
          <w:tcPr>
            <w:tcW w:w="0" w:type="auto"/>
            <w:vAlign w:val="center"/>
          </w:tcPr>
          <w:p w:rsidRPr="00A82320" w:rsidR="00051DF6" w:rsidP="00051DF6" w:rsidRDefault="00051DF6" w14:paraId="418CB196" w14:textId="7E01C0F2">
            <w:pPr>
              <w:spacing w:after="0"/>
              <w:jc w:val="center"/>
              <w:rPr>
                <w:sz w:val="20"/>
                <w:szCs w:val="20"/>
              </w:rPr>
            </w:pPr>
            <w:r w:rsidRPr="00632BE3">
              <w:rPr>
                <w:sz w:val="20"/>
                <w:szCs w:val="20"/>
              </w:rPr>
              <w:t>29-1211</w:t>
            </w:r>
          </w:p>
        </w:tc>
        <w:tc>
          <w:tcPr>
            <w:tcW w:w="0" w:type="auto"/>
            <w:vAlign w:val="center"/>
          </w:tcPr>
          <w:p w:rsidRPr="00A82320" w:rsidR="00051DF6" w:rsidP="00051DF6" w:rsidRDefault="002A58D6" w14:paraId="4D85AD3F" w14:textId="227A74DB">
            <w:pPr>
              <w:spacing w:after="0"/>
              <w:jc w:val="center"/>
              <w:rPr>
                <w:sz w:val="20"/>
                <w:szCs w:val="20"/>
              </w:rPr>
            </w:pPr>
            <w:r>
              <w:rPr>
                <w:sz w:val="20"/>
                <w:szCs w:val="20"/>
              </w:rPr>
              <w:t>13</w:t>
            </w:r>
            <w:r w:rsidR="00823A54">
              <w:rPr>
                <w:sz w:val="20"/>
                <w:szCs w:val="20"/>
              </w:rPr>
              <w:t>0.50</w:t>
            </w:r>
          </w:p>
        </w:tc>
        <w:tc>
          <w:tcPr>
            <w:tcW w:w="0" w:type="auto"/>
            <w:vAlign w:val="center"/>
          </w:tcPr>
          <w:p w:rsidRPr="00A82320" w:rsidR="00051DF6" w:rsidP="00051DF6" w:rsidRDefault="00051DF6" w14:paraId="1C5416FE" w14:textId="4EE1AD9B">
            <w:pPr>
              <w:spacing w:after="0"/>
              <w:jc w:val="center"/>
              <w:rPr>
                <w:sz w:val="20"/>
                <w:szCs w:val="20"/>
              </w:rPr>
            </w:pPr>
            <w:r w:rsidRPr="00632BE3">
              <w:rPr>
                <w:sz w:val="20"/>
                <w:szCs w:val="20"/>
              </w:rPr>
              <w:t>1</w:t>
            </w:r>
            <w:r w:rsidR="00196F48">
              <w:rPr>
                <w:sz w:val="20"/>
                <w:szCs w:val="20"/>
              </w:rPr>
              <w:t>30.50</w:t>
            </w:r>
          </w:p>
        </w:tc>
        <w:tc>
          <w:tcPr>
            <w:tcW w:w="0" w:type="auto"/>
            <w:vAlign w:val="center"/>
          </w:tcPr>
          <w:p w:rsidRPr="00A82320" w:rsidR="00051DF6" w:rsidP="00051DF6" w:rsidRDefault="00051DF6" w14:paraId="6102BE3A" w14:textId="42CDE80D">
            <w:pPr>
              <w:spacing w:after="0"/>
              <w:jc w:val="center"/>
              <w:rPr>
                <w:sz w:val="20"/>
                <w:szCs w:val="20"/>
              </w:rPr>
            </w:pPr>
            <w:r w:rsidRPr="00632BE3">
              <w:rPr>
                <w:sz w:val="20"/>
                <w:szCs w:val="20"/>
              </w:rPr>
              <w:t>2</w:t>
            </w:r>
            <w:r w:rsidR="00196F48">
              <w:rPr>
                <w:sz w:val="20"/>
                <w:szCs w:val="20"/>
              </w:rPr>
              <w:t>61</w:t>
            </w:r>
            <w:r w:rsidR="00E01772">
              <w:rPr>
                <w:sz w:val="20"/>
                <w:szCs w:val="20"/>
              </w:rPr>
              <w:t>.00</w:t>
            </w:r>
          </w:p>
        </w:tc>
      </w:tr>
      <w:tr w:rsidRPr="00814AD2" w:rsidR="00051DF6" w:rsidTr="00743AF8" w14:paraId="470D1A39" w14:textId="77777777">
        <w:trPr>
          <w:jc w:val="center"/>
        </w:trPr>
        <w:tc>
          <w:tcPr>
            <w:tcW w:w="0" w:type="auto"/>
            <w:vAlign w:val="center"/>
          </w:tcPr>
          <w:p w:rsidRPr="00A82320" w:rsidR="00051DF6" w:rsidP="00051DF6" w:rsidRDefault="00051DF6" w14:paraId="6EBC0BDB" w14:textId="77777777">
            <w:pPr>
              <w:spacing w:after="0"/>
              <w:rPr>
                <w:sz w:val="20"/>
                <w:szCs w:val="20"/>
              </w:rPr>
            </w:pPr>
            <w:r w:rsidRPr="00A82320">
              <w:rPr>
                <w:sz w:val="20"/>
                <w:szCs w:val="20"/>
              </w:rPr>
              <w:t>Billing and Posting Clerks</w:t>
            </w:r>
          </w:p>
        </w:tc>
        <w:tc>
          <w:tcPr>
            <w:tcW w:w="0" w:type="auto"/>
            <w:vAlign w:val="center"/>
          </w:tcPr>
          <w:p w:rsidRPr="00A82320" w:rsidR="00051DF6" w:rsidP="00051DF6" w:rsidRDefault="00051DF6" w14:paraId="3F1FCB24" w14:textId="77777777">
            <w:pPr>
              <w:spacing w:after="0"/>
              <w:jc w:val="center"/>
              <w:rPr>
                <w:sz w:val="20"/>
                <w:szCs w:val="20"/>
              </w:rPr>
            </w:pPr>
            <w:r w:rsidRPr="00A82320">
              <w:rPr>
                <w:sz w:val="20"/>
                <w:szCs w:val="20"/>
              </w:rPr>
              <w:t>43-3021</w:t>
            </w:r>
          </w:p>
        </w:tc>
        <w:tc>
          <w:tcPr>
            <w:tcW w:w="0" w:type="auto"/>
            <w:vAlign w:val="center"/>
          </w:tcPr>
          <w:p w:rsidRPr="00A82320" w:rsidR="00051DF6" w:rsidP="00051DF6" w:rsidRDefault="00957686" w14:paraId="41C10436" w14:textId="704C2545">
            <w:pPr>
              <w:spacing w:after="0"/>
              <w:jc w:val="center"/>
              <w:rPr>
                <w:sz w:val="20"/>
                <w:szCs w:val="20"/>
              </w:rPr>
            </w:pPr>
            <w:r>
              <w:rPr>
                <w:color w:val="000000"/>
                <w:sz w:val="20"/>
                <w:szCs w:val="20"/>
                <w:shd w:val="clear" w:color="auto" w:fill="FFFFFF"/>
              </w:rPr>
              <w:t>20.01</w:t>
            </w:r>
          </w:p>
        </w:tc>
        <w:tc>
          <w:tcPr>
            <w:tcW w:w="0" w:type="auto"/>
            <w:vAlign w:val="center"/>
          </w:tcPr>
          <w:p w:rsidRPr="00A82320" w:rsidR="00051DF6" w:rsidP="00051DF6" w:rsidRDefault="00957686" w14:paraId="24CB672E" w14:textId="343EAD25">
            <w:pPr>
              <w:spacing w:after="0"/>
              <w:jc w:val="center"/>
              <w:rPr>
                <w:sz w:val="20"/>
                <w:szCs w:val="20"/>
              </w:rPr>
            </w:pPr>
            <w:r>
              <w:rPr>
                <w:color w:val="000000"/>
                <w:sz w:val="20"/>
                <w:szCs w:val="20"/>
                <w:shd w:val="clear" w:color="auto" w:fill="FFFFFF"/>
              </w:rPr>
              <w:t>20.01</w:t>
            </w:r>
          </w:p>
        </w:tc>
        <w:tc>
          <w:tcPr>
            <w:tcW w:w="0" w:type="auto"/>
            <w:vAlign w:val="center"/>
          </w:tcPr>
          <w:p w:rsidRPr="00A82320" w:rsidR="00051DF6" w:rsidP="00051DF6" w:rsidRDefault="00621AC9" w14:paraId="2A422834" w14:textId="63853FA1">
            <w:pPr>
              <w:spacing w:after="0"/>
              <w:jc w:val="center"/>
              <w:rPr>
                <w:sz w:val="20"/>
                <w:szCs w:val="20"/>
              </w:rPr>
            </w:pPr>
            <w:r>
              <w:rPr>
                <w:rFonts w:eastAsia="Calibri"/>
                <w:sz w:val="20"/>
                <w:szCs w:val="20"/>
                <w:lang w:bidi="en-US"/>
              </w:rPr>
              <w:t>40.02</w:t>
            </w:r>
          </w:p>
        </w:tc>
      </w:tr>
      <w:tr w:rsidRPr="00814AD2" w:rsidR="00123FC4" w:rsidTr="00123FC4" w14:paraId="3EDF3A1E" w14:textId="77777777">
        <w:trPr>
          <w:jc w:val="center"/>
        </w:trPr>
        <w:tc>
          <w:tcPr>
            <w:tcW w:w="0" w:type="auto"/>
            <w:vAlign w:val="center"/>
          </w:tcPr>
          <w:p w:rsidRPr="00A82320" w:rsidR="00123FC4" w:rsidP="00123FC4" w:rsidRDefault="00123FC4" w14:paraId="5CB3D38C" w14:textId="77777777">
            <w:pPr>
              <w:spacing w:after="0"/>
              <w:rPr>
                <w:sz w:val="20"/>
                <w:szCs w:val="20"/>
              </w:rPr>
            </w:pPr>
            <w:r w:rsidRPr="00A82320">
              <w:rPr>
                <w:sz w:val="20"/>
                <w:szCs w:val="20"/>
              </w:rPr>
              <w:t>Computer Systems Analysts</w:t>
            </w:r>
          </w:p>
        </w:tc>
        <w:tc>
          <w:tcPr>
            <w:tcW w:w="0" w:type="auto"/>
            <w:vAlign w:val="center"/>
          </w:tcPr>
          <w:p w:rsidRPr="00A82320" w:rsidR="00123FC4" w:rsidP="00123FC4" w:rsidRDefault="00123FC4" w14:paraId="79C78FB3" w14:textId="4DDDFF72">
            <w:pPr>
              <w:spacing w:after="0"/>
              <w:jc w:val="center"/>
              <w:rPr>
                <w:sz w:val="20"/>
                <w:szCs w:val="20"/>
              </w:rPr>
            </w:pPr>
            <w:r w:rsidRPr="00A82320">
              <w:rPr>
                <w:sz w:val="20"/>
                <w:szCs w:val="20"/>
              </w:rPr>
              <w:t>15-1</w:t>
            </w:r>
            <w:r>
              <w:rPr>
                <w:sz w:val="20"/>
                <w:szCs w:val="20"/>
              </w:rPr>
              <w:t>21</w:t>
            </w:r>
            <w:r w:rsidRPr="00A82320">
              <w:rPr>
                <w:sz w:val="20"/>
                <w:szCs w:val="20"/>
              </w:rPr>
              <w:t>1</w:t>
            </w:r>
          </w:p>
        </w:tc>
        <w:tc>
          <w:tcPr>
            <w:tcW w:w="0" w:type="auto"/>
            <w:vAlign w:val="center"/>
          </w:tcPr>
          <w:p w:rsidRPr="00A82320" w:rsidR="00123FC4" w:rsidP="00123FC4" w:rsidRDefault="00123FC4" w14:paraId="77E0D12B" w14:textId="09E6DF81">
            <w:pPr>
              <w:spacing w:after="0"/>
              <w:jc w:val="center"/>
              <w:rPr>
                <w:sz w:val="20"/>
                <w:szCs w:val="20"/>
              </w:rPr>
            </w:pPr>
            <w:r w:rsidRPr="00D451BF">
              <w:rPr>
                <w:color w:val="000000"/>
                <w:sz w:val="20"/>
                <w:szCs w:val="20"/>
                <w:shd w:val="clear" w:color="auto" w:fill="FFFFFF"/>
              </w:rPr>
              <w:t>47.61</w:t>
            </w:r>
          </w:p>
        </w:tc>
        <w:tc>
          <w:tcPr>
            <w:tcW w:w="0" w:type="auto"/>
            <w:vAlign w:val="center"/>
          </w:tcPr>
          <w:p w:rsidRPr="00A82320" w:rsidR="00123FC4" w:rsidP="00123FC4" w:rsidRDefault="00123FC4" w14:paraId="06C5444D" w14:textId="79190D6F">
            <w:pPr>
              <w:spacing w:after="0"/>
              <w:jc w:val="center"/>
              <w:rPr>
                <w:sz w:val="20"/>
                <w:szCs w:val="20"/>
              </w:rPr>
            </w:pPr>
            <w:r w:rsidRPr="00D451BF">
              <w:rPr>
                <w:color w:val="000000"/>
                <w:sz w:val="20"/>
                <w:szCs w:val="20"/>
                <w:shd w:val="clear" w:color="auto" w:fill="FFFFFF"/>
              </w:rPr>
              <w:t>47.61</w:t>
            </w:r>
          </w:p>
        </w:tc>
        <w:tc>
          <w:tcPr>
            <w:tcW w:w="0" w:type="auto"/>
            <w:vAlign w:val="center"/>
          </w:tcPr>
          <w:p w:rsidRPr="00A82320" w:rsidR="00123FC4" w:rsidP="00123FC4" w:rsidRDefault="00123FC4" w14:paraId="58DA042E" w14:textId="512556A8">
            <w:pPr>
              <w:spacing w:after="0"/>
              <w:jc w:val="center"/>
              <w:rPr>
                <w:sz w:val="20"/>
                <w:szCs w:val="20"/>
              </w:rPr>
            </w:pPr>
            <w:r w:rsidRPr="00D451BF">
              <w:rPr>
                <w:rFonts w:eastAsia="Calibri"/>
                <w:sz w:val="20"/>
                <w:szCs w:val="20"/>
                <w:lang w:bidi="en-US"/>
              </w:rPr>
              <w:t>95.22</w:t>
            </w:r>
          </w:p>
        </w:tc>
      </w:tr>
      <w:tr w:rsidRPr="00814AD2" w:rsidR="00117831" w:rsidTr="0095291B" w14:paraId="6FB8F51E" w14:textId="77777777">
        <w:trPr>
          <w:jc w:val="center"/>
        </w:trPr>
        <w:tc>
          <w:tcPr>
            <w:tcW w:w="0" w:type="auto"/>
          </w:tcPr>
          <w:p w:rsidRPr="00A82320" w:rsidR="00117831" w:rsidP="00117831" w:rsidRDefault="00117831" w14:paraId="52155AA7" w14:textId="379A6365">
            <w:pPr>
              <w:spacing w:after="0"/>
              <w:rPr>
                <w:sz w:val="20"/>
                <w:szCs w:val="20"/>
              </w:rPr>
            </w:pPr>
            <w:r w:rsidRPr="0095291B">
              <w:rPr>
                <w:sz w:val="20"/>
                <w:szCs w:val="20"/>
              </w:rPr>
              <w:t>Family Medicine Physicians</w:t>
            </w:r>
          </w:p>
        </w:tc>
        <w:tc>
          <w:tcPr>
            <w:tcW w:w="0" w:type="auto"/>
            <w:vAlign w:val="center"/>
          </w:tcPr>
          <w:p w:rsidRPr="00A82320" w:rsidR="00117831" w:rsidP="00117831" w:rsidRDefault="00117831" w14:paraId="1843A40B" w14:textId="38E3EB4A">
            <w:pPr>
              <w:spacing w:after="0"/>
              <w:jc w:val="center"/>
              <w:rPr>
                <w:sz w:val="20"/>
                <w:szCs w:val="20"/>
              </w:rPr>
            </w:pPr>
            <w:r w:rsidRPr="0095291B">
              <w:rPr>
                <w:sz w:val="20"/>
                <w:szCs w:val="20"/>
              </w:rPr>
              <w:t>29-1215</w:t>
            </w:r>
          </w:p>
        </w:tc>
        <w:tc>
          <w:tcPr>
            <w:tcW w:w="0" w:type="auto"/>
            <w:vAlign w:val="center"/>
          </w:tcPr>
          <w:p w:rsidRPr="00A82320" w:rsidR="00117831" w:rsidP="00117831" w:rsidRDefault="00117831" w14:paraId="75F8F8A2" w14:textId="207A4446">
            <w:pPr>
              <w:spacing w:after="0"/>
              <w:jc w:val="center"/>
              <w:rPr>
                <w:sz w:val="20"/>
                <w:szCs w:val="20"/>
              </w:rPr>
            </w:pPr>
            <w:r w:rsidRPr="00F60B2B">
              <w:rPr>
                <w:rFonts w:eastAsia="Calibri"/>
                <w:sz w:val="20"/>
                <w:szCs w:val="20"/>
                <w:lang w:bidi="en-US"/>
              </w:rPr>
              <w:t>103.06</w:t>
            </w:r>
          </w:p>
        </w:tc>
        <w:tc>
          <w:tcPr>
            <w:tcW w:w="0" w:type="auto"/>
            <w:vAlign w:val="center"/>
          </w:tcPr>
          <w:p w:rsidRPr="00A82320" w:rsidR="00117831" w:rsidP="00117831" w:rsidRDefault="00117831" w14:paraId="6B67595B" w14:textId="0D99F1B9">
            <w:pPr>
              <w:spacing w:after="0"/>
              <w:jc w:val="center"/>
              <w:rPr>
                <w:sz w:val="20"/>
                <w:szCs w:val="20"/>
              </w:rPr>
            </w:pPr>
            <w:r w:rsidRPr="00F60B2B">
              <w:rPr>
                <w:rFonts w:eastAsia="Calibri"/>
                <w:sz w:val="20"/>
                <w:szCs w:val="20"/>
                <w:lang w:bidi="en-US"/>
              </w:rPr>
              <w:t>103.06</w:t>
            </w:r>
          </w:p>
        </w:tc>
        <w:tc>
          <w:tcPr>
            <w:tcW w:w="0" w:type="auto"/>
            <w:vAlign w:val="center"/>
          </w:tcPr>
          <w:p w:rsidRPr="00A82320" w:rsidR="00117831" w:rsidP="00117831" w:rsidRDefault="00117831" w14:paraId="76DBF7A9" w14:textId="65DAF3D6">
            <w:pPr>
              <w:spacing w:after="0"/>
              <w:jc w:val="center"/>
              <w:rPr>
                <w:sz w:val="20"/>
                <w:szCs w:val="20"/>
              </w:rPr>
            </w:pPr>
            <w:r>
              <w:rPr>
                <w:rFonts w:eastAsia="Calibri"/>
                <w:sz w:val="20"/>
                <w:szCs w:val="20"/>
                <w:lang w:bidi="en-US"/>
              </w:rPr>
              <w:t>206.12</w:t>
            </w:r>
          </w:p>
        </w:tc>
      </w:tr>
      <w:tr w:rsidRPr="00814AD2" w:rsidR="00C146AF" w:rsidTr="0095291B" w14:paraId="2753831F" w14:textId="77777777">
        <w:trPr>
          <w:jc w:val="center"/>
        </w:trPr>
        <w:tc>
          <w:tcPr>
            <w:tcW w:w="0" w:type="auto"/>
          </w:tcPr>
          <w:p w:rsidRPr="00A82320" w:rsidR="00C146AF" w:rsidP="00C146AF" w:rsidRDefault="00C146AF" w14:paraId="66FF6D90" w14:textId="7344CC56">
            <w:pPr>
              <w:spacing w:after="0"/>
              <w:rPr>
                <w:sz w:val="20"/>
                <w:szCs w:val="20"/>
              </w:rPr>
            </w:pPr>
            <w:r w:rsidRPr="0095291B">
              <w:rPr>
                <w:sz w:val="20"/>
                <w:szCs w:val="20"/>
              </w:rPr>
              <w:t>General Internal Medicine Physicians</w:t>
            </w:r>
          </w:p>
        </w:tc>
        <w:tc>
          <w:tcPr>
            <w:tcW w:w="0" w:type="auto"/>
            <w:vAlign w:val="center"/>
          </w:tcPr>
          <w:p w:rsidRPr="00A82320" w:rsidR="00C146AF" w:rsidP="00C146AF" w:rsidRDefault="00C146AF" w14:paraId="701B244C" w14:textId="315FEBF7">
            <w:pPr>
              <w:spacing w:after="0"/>
              <w:jc w:val="center"/>
              <w:rPr>
                <w:sz w:val="20"/>
                <w:szCs w:val="20"/>
              </w:rPr>
            </w:pPr>
            <w:r w:rsidRPr="0095291B">
              <w:rPr>
                <w:sz w:val="20"/>
                <w:szCs w:val="20"/>
              </w:rPr>
              <w:t>29-1216</w:t>
            </w:r>
          </w:p>
        </w:tc>
        <w:tc>
          <w:tcPr>
            <w:tcW w:w="0" w:type="auto"/>
            <w:vAlign w:val="center"/>
          </w:tcPr>
          <w:p w:rsidRPr="00A82320" w:rsidR="00C146AF" w:rsidP="00C146AF" w:rsidRDefault="00C146AF" w14:paraId="5C4C6288" w14:textId="1BC94A56">
            <w:pPr>
              <w:spacing w:after="0"/>
              <w:jc w:val="center"/>
              <w:rPr>
                <w:sz w:val="20"/>
                <w:szCs w:val="20"/>
              </w:rPr>
            </w:pPr>
            <w:r w:rsidRPr="009768EF">
              <w:rPr>
                <w:rFonts w:eastAsia="Calibri"/>
                <w:sz w:val="20"/>
                <w:szCs w:val="20"/>
                <w:lang w:bidi="en-US"/>
              </w:rPr>
              <w:t>101.42</w:t>
            </w:r>
          </w:p>
        </w:tc>
        <w:tc>
          <w:tcPr>
            <w:tcW w:w="0" w:type="auto"/>
            <w:vAlign w:val="center"/>
          </w:tcPr>
          <w:p w:rsidRPr="00A82320" w:rsidR="00C146AF" w:rsidP="00C146AF" w:rsidRDefault="00C146AF" w14:paraId="796CDD09" w14:textId="143586CF">
            <w:pPr>
              <w:spacing w:after="0"/>
              <w:jc w:val="center"/>
              <w:rPr>
                <w:sz w:val="20"/>
                <w:szCs w:val="20"/>
              </w:rPr>
            </w:pPr>
            <w:r w:rsidRPr="009768EF">
              <w:rPr>
                <w:sz w:val="20"/>
                <w:szCs w:val="20"/>
                <w:lang w:bidi="en-US"/>
              </w:rPr>
              <w:t>101.42</w:t>
            </w:r>
          </w:p>
        </w:tc>
        <w:tc>
          <w:tcPr>
            <w:tcW w:w="0" w:type="auto"/>
            <w:vAlign w:val="center"/>
          </w:tcPr>
          <w:p w:rsidRPr="00A82320" w:rsidR="00C146AF" w:rsidP="00C146AF" w:rsidRDefault="00C146AF" w14:paraId="6068961B" w14:textId="64816433">
            <w:pPr>
              <w:spacing w:after="0"/>
              <w:jc w:val="center"/>
              <w:rPr>
                <w:sz w:val="20"/>
                <w:szCs w:val="20"/>
              </w:rPr>
            </w:pPr>
            <w:r>
              <w:rPr>
                <w:sz w:val="20"/>
                <w:szCs w:val="20"/>
                <w:lang w:bidi="en-US"/>
              </w:rPr>
              <w:t>202.84</w:t>
            </w:r>
          </w:p>
        </w:tc>
      </w:tr>
      <w:tr w:rsidRPr="00814AD2" w:rsidR="005128E9" w:rsidTr="00743AF8" w14:paraId="2A81D7C2" w14:textId="77777777">
        <w:trPr>
          <w:jc w:val="center"/>
        </w:trPr>
        <w:tc>
          <w:tcPr>
            <w:tcW w:w="0" w:type="auto"/>
            <w:vAlign w:val="center"/>
          </w:tcPr>
          <w:p w:rsidRPr="00A82320" w:rsidR="005128E9" w:rsidP="005128E9" w:rsidRDefault="005128E9" w14:paraId="22E61586" w14:textId="77777777">
            <w:pPr>
              <w:spacing w:after="0"/>
              <w:rPr>
                <w:sz w:val="20"/>
                <w:szCs w:val="20"/>
              </w:rPr>
            </w:pPr>
            <w:r w:rsidRPr="00A82320">
              <w:rPr>
                <w:sz w:val="20"/>
                <w:szCs w:val="20"/>
              </w:rPr>
              <w:t>Licensed Practical Nurse (LPN)</w:t>
            </w:r>
          </w:p>
        </w:tc>
        <w:tc>
          <w:tcPr>
            <w:tcW w:w="0" w:type="auto"/>
            <w:vAlign w:val="center"/>
          </w:tcPr>
          <w:p w:rsidRPr="00A82320" w:rsidR="005128E9" w:rsidP="005128E9" w:rsidRDefault="005128E9" w14:paraId="6FD475D1" w14:textId="77777777">
            <w:pPr>
              <w:spacing w:after="0"/>
              <w:jc w:val="center"/>
              <w:rPr>
                <w:sz w:val="20"/>
                <w:szCs w:val="20"/>
              </w:rPr>
            </w:pPr>
            <w:r w:rsidRPr="00A82320">
              <w:rPr>
                <w:sz w:val="20"/>
                <w:szCs w:val="20"/>
              </w:rPr>
              <w:t>29-2061</w:t>
            </w:r>
          </w:p>
        </w:tc>
        <w:tc>
          <w:tcPr>
            <w:tcW w:w="0" w:type="auto"/>
            <w:vAlign w:val="center"/>
          </w:tcPr>
          <w:p w:rsidRPr="00A82320" w:rsidR="005128E9" w:rsidP="005128E9" w:rsidRDefault="005128E9" w14:paraId="44B8BF59" w14:textId="52EDF0C9">
            <w:pPr>
              <w:spacing w:after="0"/>
              <w:jc w:val="center"/>
              <w:rPr>
                <w:sz w:val="20"/>
                <w:szCs w:val="20"/>
              </w:rPr>
            </w:pPr>
            <w:r w:rsidRPr="00E32865">
              <w:rPr>
                <w:color w:val="000000"/>
                <w:sz w:val="20"/>
                <w:szCs w:val="20"/>
                <w:shd w:val="clear" w:color="auto" w:fill="FFFFFF"/>
              </w:rPr>
              <w:t>24.08</w:t>
            </w:r>
          </w:p>
        </w:tc>
        <w:tc>
          <w:tcPr>
            <w:tcW w:w="0" w:type="auto"/>
            <w:vAlign w:val="center"/>
          </w:tcPr>
          <w:p w:rsidRPr="00A82320" w:rsidR="005128E9" w:rsidP="005128E9" w:rsidRDefault="005128E9" w14:paraId="7E918CE0" w14:textId="0D3B3D51">
            <w:pPr>
              <w:spacing w:after="0"/>
              <w:jc w:val="center"/>
              <w:rPr>
                <w:sz w:val="20"/>
                <w:szCs w:val="20"/>
              </w:rPr>
            </w:pPr>
            <w:r w:rsidRPr="00E32865">
              <w:rPr>
                <w:color w:val="000000"/>
                <w:sz w:val="20"/>
                <w:szCs w:val="20"/>
                <w:shd w:val="clear" w:color="auto" w:fill="FFFFFF"/>
              </w:rPr>
              <w:t>24.08</w:t>
            </w:r>
          </w:p>
        </w:tc>
        <w:tc>
          <w:tcPr>
            <w:tcW w:w="0" w:type="auto"/>
            <w:vAlign w:val="center"/>
          </w:tcPr>
          <w:p w:rsidRPr="00A82320" w:rsidR="005128E9" w:rsidP="005128E9" w:rsidRDefault="005128E9" w14:paraId="30D65B85" w14:textId="34AC0E4A">
            <w:pPr>
              <w:spacing w:after="0"/>
              <w:jc w:val="center"/>
              <w:rPr>
                <w:sz w:val="20"/>
                <w:szCs w:val="20"/>
              </w:rPr>
            </w:pPr>
            <w:r>
              <w:rPr>
                <w:rFonts w:eastAsia="Calibri"/>
                <w:sz w:val="20"/>
                <w:szCs w:val="20"/>
                <w:lang w:bidi="en-US"/>
              </w:rPr>
              <w:t>48.16</w:t>
            </w:r>
          </w:p>
        </w:tc>
      </w:tr>
      <w:tr w:rsidRPr="00814AD2" w:rsidR="00582B8E" w:rsidTr="00582B8E" w14:paraId="0C273DDA" w14:textId="77777777">
        <w:trPr>
          <w:jc w:val="center"/>
        </w:trPr>
        <w:tc>
          <w:tcPr>
            <w:tcW w:w="0" w:type="auto"/>
          </w:tcPr>
          <w:p w:rsidRPr="00A82320" w:rsidR="00582B8E" w:rsidP="00582B8E" w:rsidRDefault="00582B8E" w14:paraId="499F6A7A" w14:textId="10B3B94F">
            <w:pPr>
              <w:spacing w:after="0"/>
              <w:rPr>
                <w:sz w:val="20"/>
                <w:szCs w:val="20"/>
              </w:rPr>
            </w:pPr>
            <w:r w:rsidRPr="0095291B">
              <w:rPr>
                <w:sz w:val="20"/>
                <w:szCs w:val="20"/>
              </w:rPr>
              <w:t>Medical and Health Services Managers</w:t>
            </w:r>
          </w:p>
        </w:tc>
        <w:tc>
          <w:tcPr>
            <w:tcW w:w="0" w:type="auto"/>
          </w:tcPr>
          <w:p w:rsidRPr="00A82320" w:rsidR="00582B8E" w:rsidP="00582B8E" w:rsidRDefault="00582B8E" w14:paraId="03C4B7CB" w14:textId="59D8C731">
            <w:pPr>
              <w:spacing w:after="0"/>
              <w:jc w:val="center"/>
              <w:rPr>
                <w:sz w:val="20"/>
                <w:szCs w:val="20"/>
              </w:rPr>
            </w:pPr>
            <w:r w:rsidRPr="00712384">
              <w:rPr>
                <w:sz w:val="20"/>
                <w:szCs w:val="20"/>
              </w:rPr>
              <w:t>11-9111</w:t>
            </w:r>
          </w:p>
        </w:tc>
        <w:tc>
          <w:tcPr>
            <w:tcW w:w="0" w:type="auto"/>
            <w:vAlign w:val="center"/>
          </w:tcPr>
          <w:p w:rsidRPr="00A82320" w:rsidR="00582B8E" w:rsidP="00582B8E" w:rsidRDefault="00582B8E" w14:paraId="2CCBA8AF" w14:textId="47ACF9C2">
            <w:pPr>
              <w:spacing w:after="0"/>
              <w:jc w:val="center"/>
              <w:rPr>
                <w:sz w:val="20"/>
                <w:szCs w:val="20"/>
              </w:rPr>
            </w:pPr>
            <w:r w:rsidRPr="00D33E98">
              <w:rPr>
                <w:color w:val="000000"/>
                <w:sz w:val="20"/>
                <w:szCs w:val="20"/>
                <w:shd w:val="clear" w:color="auto" w:fill="FFFFFF"/>
              </w:rPr>
              <w:t>57.12</w:t>
            </w:r>
          </w:p>
        </w:tc>
        <w:tc>
          <w:tcPr>
            <w:tcW w:w="0" w:type="auto"/>
            <w:vAlign w:val="center"/>
          </w:tcPr>
          <w:p w:rsidRPr="00A82320" w:rsidR="00582B8E" w:rsidP="00582B8E" w:rsidRDefault="00582B8E" w14:paraId="1C13156C" w14:textId="51F66F40">
            <w:pPr>
              <w:spacing w:after="0"/>
              <w:jc w:val="center"/>
              <w:rPr>
                <w:sz w:val="20"/>
                <w:szCs w:val="20"/>
              </w:rPr>
            </w:pPr>
            <w:r w:rsidRPr="00D33E98">
              <w:rPr>
                <w:color w:val="000000"/>
                <w:sz w:val="20"/>
                <w:szCs w:val="20"/>
                <w:shd w:val="clear" w:color="auto" w:fill="FFFFFF"/>
              </w:rPr>
              <w:t>57.12</w:t>
            </w:r>
          </w:p>
        </w:tc>
        <w:tc>
          <w:tcPr>
            <w:tcW w:w="0" w:type="auto"/>
            <w:vAlign w:val="center"/>
          </w:tcPr>
          <w:p w:rsidRPr="00A82320" w:rsidR="00582B8E" w:rsidP="00582B8E" w:rsidRDefault="00582B8E" w14:paraId="23298D87" w14:textId="7616DA0A">
            <w:pPr>
              <w:spacing w:after="0"/>
              <w:jc w:val="center"/>
              <w:rPr>
                <w:sz w:val="20"/>
                <w:szCs w:val="20"/>
              </w:rPr>
            </w:pPr>
            <w:r>
              <w:rPr>
                <w:rFonts w:eastAsia="Calibri"/>
                <w:sz w:val="20"/>
                <w:szCs w:val="20"/>
                <w:lang w:bidi="en-US"/>
              </w:rPr>
              <w:t>114.24</w:t>
            </w:r>
          </w:p>
        </w:tc>
      </w:tr>
      <w:tr w:rsidRPr="00814AD2" w:rsidR="00985703" w:rsidTr="0095291B" w14:paraId="51C26C55" w14:textId="77777777">
        <w:trPr>
          <w:jc w:val="center"/>
        </w:trPr>
        <w:tc>
          <w:tcPr>
            <w:tcW w:w="0" w:type="auto"/>
          </w:tcPr>
          <w:p w:rsidRPr="00A82320" w:rsidR="00985703" w:rsidP="00985703" w:rsidRDefault="00985703" w14:paraId="523EEA2B" w14:textId="62BA02BA">
            <w:pPr>
              <w:spacing w:after="0"/>
              <w:rPr>
                <w:sz w:val="20"/>
                <w:szCs w:val="20"/>
              </w:rPr>
            </w:pPr>
            <w:r w:rsidRPr="0095291B">
              <w:rPr>
                <w:sz w:val="20"/>
                <w:szCs w:val="20"/>
              </w:rPr>
              <w:t>Obstetricians and Gynecologists</w:t>
            </w:r>
          </w:p>
        </w:tc>
        <w:tc>
          <w:tcPr>
            <w:tcW w:w="0" w:type="auto"/>
            <w:vAlign w:val="center"/>
          </w:tcPr>
          <w:p w:rsidRPr="00A82320" w:rsidR="00985703" w:rsidP="00985703" w:rsidRDefault="00985703" w14:paraId="52AA5268" w14:textId="150783BF">
            <w:pPr>
              <w:spacing w:after="0"/>
              <w:jc w:val="center"/>
              <w:rPr>
                <w:sz w:val="20"/>
                <w:szCs w:val="20"/>
              </w:rPr>
            </w:pPr>
            <w:r w:rsidRPr="0095291B">
              <w:rPr>
                <w:sz w:val="20"/>
                <w:szCs w:val="20"/>
              </w:rPr>
              <w:t>29-1218</w:t>
            </w:r>
          </w:p>
        </w:tc>
        <w:tc>
          <w:tcPr>
            <w:tcW w:w="0" w:type="auto"/>
            <w:vAlign w:val="center"/>
          </w:tcPr>
          <w:p w:rsidRPr="00A82320" w:rsidR="00985703" w:rsidP="00985703" w:rsidRDefault="00985703" w14:paraId="6B283100" w14:textId="65B7B222">
            <w:pPr>
              <w:spacing w:after="0"/>
              <w:jc w:val="center"/>
              <w:rPr>
                <w:sz w:val="20"/>
                <w:szCs w:val="20"/>
              </w:rPr>
            </w:pPr>
            <w:r w:rsidRPr="001D25D3">
              <w:rPr>
                <w:rFonts w:eastAsia="Calibri"/>
                <w:sz w:val="20"/>
                <w:szCs w:val="20"/>
                <w:lang w:bidi="en-US"/>
              </w:rPr>
              <w:t>114.96</w:t>
            </w:r>
          </w:p>
        </w:tc>
        <w:tc>
          <w:tcPr>
            <w:tcW w:w="0" w:type="auto"/>
            <w:vAlign w:val="center"/>
          </w:tcPr>
          <w:p w:rsidRPr="00A82320" w:rsidR="00985703" w:rsidP="00985703" w:rsidRDefault="00985703" w14:paraId="7FECC94D" w14:textId="5339AFF9">
            <w:pPr>
              <w:spacing w:after="0"/>
              <w:jc w:val="center"/>
              <w:rPr>
                <w:sz w:val="20"/>
                <w:szCs w:val="20"/>
              </w:rPr>
            </w:pPr>
            <w:r w:rsidRPr="001D25D3">
              <w:rPr>
                <w:rFonts w:eastAsia="Calibri"/>
                <w:sz w:val="20"/>
                <w:szCs w:val="20"/>
                <w:lang w:bidi="en-US"/>
              </w:rPr>
              <w:t>114.96</w:t>
            </w:r>
          </w:p>
        </w:tc>
        <w:tc>
          <w:tcPr>
            <w:tcW w:w="0" w:type="auto"/>
            <w:vAlign w:val="center"/>
          </w:tcPr>
          <w:p w:rsidRPr="00A82320" w:rsidR="00985703" w:rsidP="00985703" w:rsidRDefault="00985703" w14:paraId="39F39C5D" w14:textId="6720B354">
            <w:pPr>
              <w:spacing w:after="0"/>
              <w:jc w:val="center"/>
              <w:rPr>
                <w:sz w:val="20"/>
                <w:szCs w:val="20"/>
              </w:rPr>
            </w:pPr>
            <w:r>
              <w:rPr>
                <w:rFonts w:eastAsia="Calibri"/>
                <w:sz w:val="20"/>
                <w:szCs w:val="20"/>
                <w:lang w:bidi="en-US"/>
              </w:rPr>
              <w:t>229.92</w:t>
            </w:r>
          </w:p>
        </w:tc>
      </w:tr>
      <w:tr w:rsidRPr="00814AD2" w:rsidR="00D02650" w:rsidTr="0095291B" w14:paraId="542D6724" w14:textId="77777777">
        <w:trPr>
          <w:jc w:val="center"/>
        </w:trPr>
        <w:tc>
          <w:tcPr>
            <w:tcW w:w="0" w:type="auto"/>
          </w:tcPr>
          <w:p w:rsidRPr="00A82320" w:rsidR="00D02650" w:rsidP="00D02650" w:rsidRDefault="00D02650" w14:paraId="55C56B57" w14:textId="40EC2E26">
            <w:pPr>
              <w:spacing w:after="0"/>
              <w:rPr>
                <w:sz w:val="20"/>
                <w:szCs w:val="20"/>
              </w:rPr>
            </w:pPr>
            <w:r w:rsidRPr="00712384">
              <w:rPr>
                <w:sz w:val="20"/>
                <w:szCs w:val="20"/>
              </w:rPr>
              <w:t>Pediatricians, General</w:t>
            </w:r>
          </w:p>
        </w:tc>
        <w:tc>
          <w:tcPr>
            <w:tcW w:w="0" w:type="auto"/>
            <w:vAlign w:val="center"/>
          </w:tcPr>
          <w:p w:rsidRPr="00A82320" w:rsidR="00D02650" w:rsidP="00D02650" w:rsidRDefault="00D02650" w14:paraId="11B3DE8C" w14:textId="3FB33F79">
            <w:pPr>
              <w:spacing w:after="0"/>
              <w:jc w:val="center"/>
              <w:rPr>
                <w:sz w:val="20"/>
                <w:szCs w:val="20"/>
              </w:rPr>
            </w:pPr>
            <w:r w:rsidRPr="0095291B">
              <w:rPr>
                <w:sz w:val="20"/>
                <w:szCs w:val="20"/>
              </w:rPr>
              <w:t>29-1221</w:t>
            </w:r>
          </w:p>
        </w:tc>
        <w:tc>
          <w:tcPr>
            <w:tcW w:w="0" w:type="auto"/>
            <w:vAlign w:val="center"/>
          </w:tcPr>
          <w:p w:rsidRPr="00A82320" w:rsidR="00D02650" w:rsidP="00D02650" w:rsidRDefault="00D02650" w14:paraId="3C6D5097" w14:textId="6C8C8F7B">
            <w:pPr>
              <w:spacing w:after="0"/>
              <w:jc w:val="center"/>
              <w:rPr>
                <w:sz w:val="20"/>
                <w:szCs w:val="20"/>
              </w:rPr>
            </w:pPr>
            <w:r w:rsidRPr="00147796">
              <w:rPr>
                <w:color w:val="000000"/>
                <w:sz w:val="20"/>
                <w:szCs w:val="20"/>
                <w:shd w:val="clear" w:color="auto" w:fill="FFFFFF"/>
              </w:rPr>
              <w:t>88.74</w:t>
            </w:r>
          </w:p>
        </w:tc>
        <w:tc>
          <w:tcPr>
            <w:tcW w:w="0" w:type="auto"/>
            <w:vAlign w:val="center"/>
          </w:tcPr>
          <w:p w:rsidRPr="00A82320" w:rsidR="00D02650" w:rsidP="00D02650" w:rsidRDefault="00D02650" w14:paraId="48B97F61" w14:textId="67694616">
            <w:pPr>
              <w:spacing w:after="0"/>
              <w:jc w:val="center"/>
              <w:rPr>
                <w:sz w:val="20"/>
                <w:szCs w:val="20"/>
              </w:rPr>
            </w:pPr>
            <w:r w:rsidRPr="00147796">
              <w:rPr>
                <w:color w:val="000000"/>
                <w:sz w:val="20"/>
                <w:szCs w:val="20"/>
                <w:shd w:val="clear" w:color="auto" w:fill="FFFFFF"/>
              </w:rPr>
              <w:t>88.74</w:t>
            </w:r>
          </w:p>
        </w:tc>
        <w:tc>
          <w:tcPr>
            <w:tcW w:w="0" w:type="auto"/>
            <w:vAlign w:val="center"/>
          </w:tcPr>
          <w:p w:rsidRPr="00A82320" w:rsidR="00D02650" w:rsidP="00D02650" w:rsidRDefault="00D02650" w14:paraId="0F5893DE" w14:textId="4CB2A31E">
            <w:pPr>
              <w:spacing w:after="0"/>
              <w:jc w:val="center"/>
              <w:rPr>
                <w:sz w:val="20"/>
                <w:szCs w:val="20"/>
              </w:rPr>
            </w:pPr>
            <w:r>
              <w:rPr>
                <w:rFonts w:eastAsia="Calibri"/>
                <w:sz w:val="20"/>
                <w:szCs w:val="20"/>
                <w:lang w:bidi="en-US"/>
              </w:rPr>
              <w:t>177.48</w:t>
            </w:r>
          </w:p>
        </w:tc>
      </w:tr>
      <w:tr w:rsidRPr="00814AD2" w:rsidR="001B62FD" w:rsidTr="0095291B" w14:paraId="6702AFEC" w14:textId="77777777">
        <w:trPr>
          <w:jc w:val="center"/>
        </w:trPr>
        <w:tc>
          <w:tcPr>
            <w:tcW w:w="0" w:type="auto"/>
          </w:tcPr>
          <w:p w:rsidRPr="00A82320" w:rsidR="001B62FD" w:rsidP="001B62FD" w:rsidRDefault="001B62FD" w14:paraId="1ED7A2E6" w14:textId="7FFDE3B3">
            <w:pPr>
              <w:spacing w:after="0"/>
              <w:rPr>
                <w:sz w:val="20"/>
                <w:szCs w:val="20"/>
              </w:rPr>
            </w:pPr>
            <w:r w:rsidRPr="0095291B">
              <w:rPr>
                <w:sz w:val="20"/>
                <w:szCs w:val="20"/>
              </w:rPr>
              <w:t>Physicians, All Other; and Ophthalmologists, Except Pediatric</w:t>
            </w:r>
          </w:p>
        </w:tc>
        <w:tc>
          <w:tcPr>
            <w:tcW w:w="0" w:type="auto"/>
            <w:vAlign w:val="center"/>
          </w:tcPr>
          <w:p w:rsidRPr="00A82320" w:rsidR="001B62FD" w:rsidP="001B62FD" w:rsidRDefault="001B62FD" w14:paraId="519121CD" w14:textId="4A155279">
            <w:pPr>
              <w:spacing w:after="0"/>
              <w:jc w:val="center"/>
              <w:rPr>
                <w:sz w:val="20"/>
                <w:szCs w:val="20"/>
              </w:rPr>
            </w:pPr>
            <w:r w:rsidRPr="0095291B">
              <w:rPr>
                <w:sz w:val="20"/>
                <w:szCs w:val="20"/>
              </w:rPr>
              <w:t>29-1228</w:t>
            </w:r>
          </w:p>
        </w:tc>
        <w:tc>
          <w:tcPr>
            <w:tcW w:w="0" w:type="auto"/>
            <w:vAlign w:val="center"/>
          </w:tcPr>
          <w:p w:rsidRPr="00A82320" w:rsidR="001B62FD" w:rsidP="001B62FD" w:rsidRDefault="001B62FD" w14:paraId="47CAA3EB" w14:textId="7C2889AA">
            <w:pPr>
              <w:spacing w:after="0"/>
              <w:jc w:val="center"/>
              <w:rPr>
                <w:sz w:val="20"/>
                <w:szCs w:val="20"/>
              </w:rPr>
            </w:pPr>
            <w:r w:rsidRPr="008C099D">
              <w:rPr>
                <w:color w:val="000000"/>
                <w:sz w:val="20"/>
                <w:szCs w:val="20"/>
                <w:shd w:val="clear" w:color="auto" w:fill="FFFFFF"/>
              </w:rPr>
              <w:t>105.22</w:t>
            </w:r>
          </w:p>
        </w:tc>
        <w:tc>
          <w:tcPr>
            <w:tcW w:w="0" w:type="auto"/>
            <w:vAlign w:val="center"/>
          </w:tcPr>
          <w:p w:rsidRPr="00A82320" w:rsidR="001B62FD" w:rsidP="001B62FD" w:rsidRDefault="001B62FD" w14:paraId="43FF3E2B" w14:textId="3A3641CF">
            <w:pPr>
              <w:spacing w:after="0"/>
              <w:jc w:val="center"/>
              <w:rPr>
                <w:sz w:val="20"/>
                <w:szCs w:val="20"/>
              </w:rPr>
            </w:pPr>
            <w:r w:rsidRPr="008C099D">
              <w:rPr>
                <w:color w:val="000000"/>
                <w:sz w:val="20"/>
                <w:szCs w:val="20"/>
                <w:shd w:val="clear" w:color="auto" w:fill="FFFFFF"/>
              </w:rPr>
              <w:t>105.22</w:t>
            </w:r>
          </w:p>
        </w:tc>
        <w:tc>
          <w:tcPr>
            <w:tcW w:w="0" w:type="auto"/>
            <w:vAlign w:val="center"/>
          </w:tcPr>
          <w:p w:rsidRPr="00A82320" w:rsidR="001B62FD" w:rsidP="001B62FD" w:rsidRDefault="001B62FD" w14:paraId="3200E29F" w14:textId="4E877033">
            <w:pPr>
              <w:spacing w:after="0"/>
              <w:jc w:val="center"/>
              <w:rPr>
                <w:sz w:val="20"/>
                <w:szCs w:val="20"/>
              </w:rPr>
            </w:pPr>
            <w:r>
              <w:rPr>
                <w:rFonts w:eastAsia="Calibri"/>
                <w:sz w:val="20"/>
                <w:szCs w:val="20"/>
                <w:lang w:bidi="en-US"/>
              </w:rPr>
              <w:t>210.44</w:t>
            </w:r>
          </w:p>
        </w:tc>
      </w:tr>
      <w:tr w:rsidRPr="00814AD2" w:rsidR="00861121" w:rsidTr="0095291B" w14:paraId="78BCBA3D" w14:textId="77777777">
        <w:trPr>
          <w:jc w:val="center"/>
        </w:trPr>
        <w:tc>
          <w:tcPr>
            <w:tcW w:w="0" w:type="auto"/>
          </w:tcPr>
          <w:p w:rsidRPr="00A82320" w:rsidR="00861121" w:rsidP="00861121" w:rsidRDefault="00861121" w14:paraId="7DF6C5AD" w14:textId="75DC80A8">
            <w:pPr>
              <w:spacing w:after="0"/>
              <w:rPr>
                <w:sz w:val="20"/>
                <w:szCs w:val="20"/>
              </w:rPr>
            </w:pPr>
            <w:r w:rsidRPr="0095291B">
              <w:rPr>
                <w:sz w:val="20"/>
                <w:szCs w:val="20"/>
              </w:rPr>
              <w:t>Psychiatrists</w:t>
            </w:r>
          </w:p>
        </w:tc>
        <w:tc>
          <w:tcPr>
            <w:tcW w:w="0" w:type="auto"/>
            <w:vAlign w:val="center"/>
          </w:tcPr>
          <w:p w:rsidRPr="00A82320" w:rsidR="00861121" w:rsidP="00861121" w:rsidRDefault="00861121" w14:paraId="7F0A76B4" w14:textId="274098B4">
            <w:pPr>
              <w:spacing w:after="0"/>
              <w:jc w:val="center"/>
              <w:rPr>
                <w:sz w:val="20"/>
                <w:szCs w:val="20"/>
              </w:rPr>
            </w:pPr>
            <w:r w:rsidRPr="0095291B">
              <w:rPr>
                <w:sz w:val="20"/>
                <w:szCs w:val="20"/>
              </w:rPr>
              <w:t>29-1223</w:t>
            </w:r>
          </w:p>
        </w:tc>
        <w:tc>
          <w:tcPr>
            <w:tcW w:w="0" w:type="auto"/>
            <w:vAlign w:val="center"/>
          </w:tcPr>
          <w:p w:rsidRPr="00A82320" w:rsidR="00861121" w:rsidP="00861121" w:rsidRDefault="00861121" w14:paraId="4F78D725" w14:textId="3CE831BD">
            <w:pPr>
              <w:spacing w:after="0"/>
              <w:jc w:val="center"/>
              <w:rPr>
                <w:sz w:val="20"/>
                <w:szCs w:val="20"/>
              </w:rPr>
            </w:pPr>
            <w:r>
              <w:rPr>
                <w:rFonts w:eastAsia="Calibri"/>
                <w:sz w:val="20"/>
                <w:szCs w:val="20"/>
                <w:lang w:bidi="en-US"/>
              </w:rPr>
              <w:t>104.38</w:t>
            </w:r>
          </w:p>
        </w:tc>
        <w:tc>
          <w:tcPr>
            <w:tcW w:w="0" w:type="auto"/>
            <w:vAlign w:val="center"/>
          </w:tcPr>
          <w:p w:rsidRPr="00A82320" w:rsidR="00861121" w:rsidP="00861121" w:rsidRDefault="00861121" w14:paraId="69E274BD" w14:textId="32C8F800">
            <w:pPr>
              <w:spacing w:after="0"/>
              <w:jc w:val="center"/>
              <w:rPr>
                <w:sz w:val="20"/>
                <w:szCs w:val="20"/>
              </w:rPr>
            </w:pPr>
            <w:r>
              <w:rPr>
                <w:rFonts w:eastAsia="Calibri"/>
                <w:sz w:val="20"/>
                <w:szCs w:val="20"/>
                <w:lang w:bidi="en-US"/>
              </w:rPr>
              <w:t>104.38</w:t>
            </w:r>
          </w:p>
        </w:tc>
        <w:tc>
          <w:tcPr>
            <w:tcW w:w="0" w:type="auto"/>
            <w:vAlign w:val="center"/>
          </w:tcPr>
          <w:p w:rsidRPr="00A82320" w:rsidR="00861121" w:rsidP="00861121" w:rsidRDefault="00861121" w14:paraId="2FA56FBF" w14:textId="62DEF7C2">
            <w:pPr>
              <w:spacing w:after="0"/>
              <w:jc w:val="center"/>
              <w:rPr>
                <w:sz w:val="20"/>
                <w:szCs w:val="20"/>
              </w:rPr>
            </w:pPr>
            <w:r>
              <w:rPr>
                <w:rFonts w:eastAsia="Calibri"/>
                <w:sz w:val="20"/>
                <w:szCs w:val="20"/>
                <w:lang w:bidi="en-US"/>
              </w:rPr>
              <w:t>208.76</w:t>
            </w:r>
          </w:p>
        </w:tc>
      </w:tr>
      <w:tr w:rsidRPr="00814AD2" w:rsidR="00521493" w:rsidTr="0095291B" w14:paraId="257571DF" w14:textId="77777777">
        <w:trPr>
          <w:jc w:val="center"/>
        </w:trPr>
        <w:tc>
          <w:tcPr>
            <w:tcW w:w="0" w:type="auto"/>
          </w:tcPr>
          <w:p w:rsidRPr="00A82320" w:rsidR="00521493" w:rsidP="00521493" w:rsidRDefault="00521493" w14:paraId="2AC2DCD6" w14:textId="69702CDC">
            <w:pPr>
              <w:spacing w:after="0"/>
              <w:rPr>
                <w:sz w:val="20"/>
                <w:szCs w:val="20"/>
              </w:rPr>
            </w:pPr>
            <w:r w:rsidRPr="00712384">
              <w:rPr>
                <w:sz w:val="20"/>
                <w:szCs w:val="20"/>
              </w:rPr>
              <w:t>Surgeons, Except Ophthalmologists</w:t>
            </w:r>
          </w:p>
        </w:tc>
        <w:tc>
          <w:tcPr>
            <w:tcW w:w="0" w:type="auto"/>
            <w:vAlign w:val="center"/>
          </w:tcPr>
          <w:p w:rsidRPr="00A82320" w:rsidR="00521493" w:rsidP="00521493" w:rsidRDefault="00521493" w14:paraId="109EBD0F" w14:textId="0F75E2E5">
            <w:pPr>
              <w:spacing w:after="0"/>
              <w:jc w:val="center"/>
              <w:rPr>
                <w:sz w:val="20"/>
                <w:szCs w:val="20"/>
              </w:rPr>
            </w:pPr>
            <w:r w:rsidRPr="0095291B">
              <w:rPr>
                <w:sz w:val="20"/>
                <w:szCs w:val="20"/>
              </w:rPr>
              <w:t>29-1248</w:t>
            </w:r>
          </w:p>
        </w:tc>
        <w:tc>
          <w:tcPr>
            <w:tcW w:w="0" w:type="auto"/>
            <w:vAlign w:val="center"/>
          </w:tcPr>
          <w:p w:rsidRPr="00A82320" w:rsidR="00521493" w:rsidP="00521493" w:rsidRDefault="00521493" w14:paraId="34C7AE95" w14:textId="1ED3AC90">
            <w:pPr>
              <w:spacing w:after="0"/>
              <w:jc w:val="center"/>
              <w:rPr>
                <w:sz w:val="20"/>
                <w:szCs w:val="20"/>
              </w:rPr>
            </w:pPr>
            <w:r w:rsidRPr="002A4DF2">
              <w:rPr>
                <w:rFonts w:eastAsia="Calibri"/>
                <w:sz w:val="20"/>
                <w:szCs w:val="20"/>
                <w:lang w:bidi="en-US"/>
              </w:rPr>
              <w:t>120.99</w:t>
            </w:r>
          </w:p>
        </w:tc>
        <w:tc>
          <w:tcPr>
            <w:tcW w:w="0" w:type="auto"/>
            <w:vAlign w:val="center"/>
          </w:tcPr>
          <w:p w:rsidRPr="00A82320" w:rsidR="00521493" w:rsidP="00521493" w:rsidRDefault="00521493" w14:paraId="6B816491" w14:textId="398FD70C">
            <w:pPr>
              <w:spacing w:after="0"/>
              <w:jc w:val="center"/>
              <w:rPr>
                <w:sz w:val="20"/>
                <w:szCs w:val="20"/>
              </w:rPr>
            </w:pPr>
            <w:r w:rsidRPr="002A4DF2">
              <w:rPr>
                <w:rFonts w:eastAsia="Calibri"/>
                <w:sz w:val="20"/>
                <w:szCs w:val="20"/>
                <w:lang w:bidi="en-US"/>
              </w:rPr>
              <w:t>120.99</w:t>
            </w:r>
          </w:p>
        </w:tc>
        <w:tc>
          <w:tcPr>
            <w:tcW w:w="0" w:type="auto"/>
            <w:vAlign w:val="center"/>
          </w:tcPr>
          <w:p w:rsidRPr="00A82320" w:rsidR="00521493" w:rsidP="00521493" w:rsidRDefault="00521493" w14:paraId="5DFBF1BB" w14:textId="5E39ACD1">
            <w:pPr>
              <w:spacing w:after="0"/>
              <w:jc w:val="center"/>
              <w:rPr>
                <w:sz w:val="20"/>
                <w:szCs w:val="20"/>
              </w:rPr>
            </w:pPr>
            <w:r>
              <w:rPr>
                <w:rFonts w:eastAsia="Calibri"/>
                <w:sz w:val="20"/>
                <w:szCs w:val="20"/>
                <w:lang w:bidi="en-US"/>
              </w:rPr>
              <w:t>241.98</w:t>
            </w:r>
          </w:p>
        </w:tc>
      </w:tr>
    </w:tbl>
    <w:p w:rsidR="005038E4" w:rsidP="00665BC8" w:rsidRDefault="005038E4" w14:paraId="01BC65FB" w14:textId="77777777">
      <w:pPr>
        <w:ind w:left="220" w:right="96"/>
        <w:rPr>
          <w:szCs w:val="20"/>
        </w:rPr>
      </w:pPr>
    </w:p>
    <w:p w:rsidRPr="00041A6A" w:rsidR="00B43534" w:rsidP="00891FD8" w:rsidRDefault="005038E4" w14:paraId="020CE0D0" w14:textId="209A3DB6">
      <w:pPr>
        <w:pStyle w:val="Heading3"/>
      </w:pPr>
      <w:r w:rsidRPr="00041A6A">
        <w:t>Framework for Understanding the Burden of MIPS Data Submission</w:t>
      </w:r>
    </w:p>
    <w:p w:rsidRPr="00C21AF3" w:rsidR="005038E4" w:rsidP="00730BEF" w:rsidRDefault="00D54DB9" w14:paraId="4C6BEC3D" w14:textId="3A59A6D5">
      <w:pPr>
        <w:spacing w:after="0"/>
      </w:pPr>
      <w:r w:rsidRPr="00D54DB9">
        <w:t xml:space="preserve">Because of the wide range of information collection requirements under MIPS, Table 2 presents a framework for understanding how the organizations permitted or required to submit data on behalf of clinicians vary across the types of data, and whether the clinician is a MIPS eligible clinician or other eligible clinician voluntarily submitting data, MIPS APM participant, or an Advanced APM participant.  </w:t>
      </w:r>
      <w:r w:rsidRPr="009819CC">
        <w:t xml:space="preserve">As </w:t>
      </w:r>
      <w:r w:rsidRPr="00C21AF3">
        <w:t xml:space="preserve">shown in the first row of Table 2, MIPS eligible clinicians and </w:t>
      </w:r>
      <w:r w:rsidRPr="00C21AF3">
        <w:lastRenderedPageBreak/>
        <w:t>other clinicians voluntarily submitting data will submit data either as individuals, groups,</w:t>
      </w:r>
      <w:r w:rsidR="000D2CAB">
        <w:t xml:space="preserve"> subgroups,</w:t>
      </w:r>
      <w:r w:rsidRPr="00C21AF3">
        <w:t xml:space="preserve"> </w:t>
      </w:r>
      <w:r w:rsidR="002E1E3A">
        <w:t xml:space="preserve">APM Entities </w:t>
      </w:r>
      <w:r w:rsidRPr="00C21AF3">
        <w:t xml:space="preserve">or virtual groups for the quality, Promoting Interoperability, and improvement activities performance categories.  Note that virtual groups are subject to the same data submission requirements as groups, and therefore, we will refer only to groups for the remainder of this section unless otherwise noted.  Because MIPS eligible clinicians are not required to submit any additional information for assessment under the cost performance category, the administrative claims data used for the cost performance category is not represented in Table </w:t>
      </w:r>
      <w:r w:rsidRPr="00C21AF3" w:rsidR="005038E4">
        <w:t xml:space="preserve">2.  </w:t>
      </w:r>
    </w:p>
    <w:p w:rsidR="00B22D81" w:rsidP="00B22D81" w:rsidRDefault="00B22D81" w14:paraId="14756833" w14:textId="77777777">
      <w:pPr>
        <w:spacing w:after="0"/>
      </w:pPr>
    </w:p>
    <w:p w:rsidR="00B22D81" w:rsidP="00B22D81" w:rsidRDefault="00B22D81" w14:paraId="2B733054" w14:textId="5B0B1C37">
      <w:pPr>
        <w:spacing w:after="0"/>
        <w:rPr>
          <w:rFonts w:eastAsia="Calibri"/>
        </w:rPr>
      </w:pPr>
      <w:r w:rsidRPr="00B22D81">
        <w:rPr>
          <w:rFonts w:eastAsia="Calibri"/>
        </w:rPr>
        <w:t>For MIPS eligible clinicians participating in MIPS APMs, the organizations submitting data on behalf of MIPS eligible clinicians will vary between performance categories and, in some instances, between MIPS APMs.  As discussed in th</w:t>
      </w:r>
      <w:r w:rsidR="00086457">
        <w:rPr>
          <w:rFonts w:eastAsia="Calibri"/>
        </w:rPr>
        <w:t>e CY 202</w:t>
      </w:r>
      <w:r w:rsidR="00F15883">
        <w:rPr>
          <w:rFonts w:eastAsia="Calibri"/>
        </w:rPr>
        <w:t>2</w:t>
      </w:r>
      <w:r w:rsidR="00086457">
        <w:rPr>
          <w:rFonts w:eastAsia="Calibri"/>
        </w:rPr>
        <w:t xml:space="preserve"> PFS</w:t>
      </w:r>
      <w:r w:rsidRPr="00B22D81">
        <w:rPr>
          <w:rFonts w:eastAsia="Calibri"/>
        </w:rPr>
        <w:t xml:space="preserve"> </w:t>
      </w:r>
      <w:r w:rsidR="00F15883">
        <w:rPr>
          <w:rFonts w:eastAsia="Calibri"/>
        </w:rPr>
        <w:t xml:space="preserve">proposed </w:t>
      </w:r>
      <w:r w:rsidRPr="00B22D81">
        <w:rPr>
          <w:rFonts w:eastAsia="Calibri"/>
        </w:rPr>
        <w:t>rule</w:t>
      </w:r>
      <w:r w:rsidR="00BA3220">
        <w:rPr>
          <w:rFonts w:eastAsia="Calibri"/>
        </w:rPr>
        <w:t xml:space="preserve"> (</w:t>
      </w:r>
      <w:r w:rsidR="003A51AE">
        <w:rPr>
          <w:rFonts w:eastAsia="Calibri"/>
        </w:rPr>
        <w:t>86 FR 39383 through 3938</w:t>
      </w:r>
      <w:r w:rsidR="00021E23">
        <w:rPr>
          <w:rFonts w:eastAsia="Calibri"/>
        </w:rPr>
        <w:t>6</w:t>
      </w:r>
      <w:r w:rsidR="00BA3220">
        <w:rPr>
          <w:rFonts w:eastAsia="Calibri"/>
        </w:rPr>
        <w:t>)</w:t>
      </w:r>
      <w:r w:rsidRPr="00B22D81">
        <w:rPr>
          <w:rFonts w:eastAsia="Calibri"/>
        </w:rPr>
        <w:t xml:space="preserve">, for clinicians in APM Entities, the APM Performance Pathway is available for both ACO and non ACOs to submit quality data.  Due to data limitations and our inability to determine who would use the APM Performance Pathway versus the traditional MIPS submission mechanism for the </w:t>
      </w:r>
      <w:r w:rsidR="00F21E6F">
        <w:rPr>
          <w:rFonts w:eastAsia="Calibri"/>
        </w:rPr>
        <w:t xml:space="preserve">CY </w:t>
      </w:r>
      <w:r w:rsidRPr="00B22D81">
        <w:rPr>
          <w:rFonts w:eastAsia="Calibri"/>
        </w:rPr>
        <w:t>202</w:t>
      </w:r>
      <w:r w:rsidR="00F21E6F">
        <w:rPr>
          <w:rFonts w:eastAsia="Calibri"/>
        </w:rPr>
        <w:t>2</w:t>
      </w:r>
      <w:r w:rsidRPr="00B22D81">
        <w:rPr>
          <w:rFonts w:eastAsia="Calibri"/>
        </w:rPr>
        <w:t xml:space="preserve"> MIPS performance period</w:t>
      </w:r>
      <w:r w:rsidR="00F21E6F">
        <w:rPr>
          <w:rFonts w:eastAsia="Calibri"/>
        </w:rPr>
        <w:t>/2024 MIPS payment year</w:t>
      </w:r>
      <w:r w:rsidRPr="00B22D81">
        <w:rPr>
          <w:rFonts w:eastAsia="Calibri"/>
        </w:rPr>
        <w:t>, we assume ACO APM Entities will submit data through the APM Performance Pathway, using the CMS Web Interface option, and non-ACO APM Entities would participate through traditional MIPS, thereby submitting as an individual or group rather than as a</w:t>
      </w:r>
      <w:r w:rsidR="00447AD2">
        <w:rPr>
          <w:rFonts w:eastAsia="Calibri"/>
        </w:rPr>
        <w:t>n</w:t>
      </w:r>
      <w:r w:rsidRPr="00B22D81">
        <w:rPr>
          <w:rFonts w:eastAsia="Calibri"/>
        </w:rPr>
        <w:t xml:space="preserve"> entity. </w:t>
      </w:r>
    </w:p>
    <w:p w:rsidRPr="00B22D81" w:rsidR="00B22D81" w:rsidP="00B22D81" w:rsidRDefault="00B22D81" w14:paraId="2E3FB9F0" w14:textId="77777777">
      <w:pPr>
        <w:spacing w:after="0"/>
        <w:ind w:firstLine="720"/>
        <w:rPr>
          <w:rFonts w:eastAsia="Calibri"/>
        </w:rPr>
      </w:pPr>
    </w:p>
    <w:p w:rsidR="00B22D81" w:rsidP="00B22D81" w:rsidRDefault="00B22D81" w14:paraId="7D11E273" w14:textId="71524225">
      <w:pPr>
        <w:spacing w:after="0"/>
        <w:rPr>
          <w:rFonts w:eastAsia="Calibri"/>
        </w:rPr>
      </w:pPr>
      <w:r w:rsidRPr="00B22D81">
        <w:rPr>
          <w:rFonts w:eastAsia="Calibri"/>
        </w:rPr>
        <w:t>For the Promoting Interoperability performance category, group TINs may submit data on behalf of eligible clinicians in MIPS APMs, or eligible clinicians in MIPS APMs may submit data individually.  For the improvement activities performance category, we will assume no reporting burden for MIPS APM participants</w:t>
      </w:r>
      <w:r w:rsidR="006D1416">
        <w:rPr>
          <w:rFonts w:eastAsia="Calibri"/>
        </w:rPr>
        <w:t xml:space="preserve"> because they will be report</w:t>
      </w:r>
      <w:r w:rsidR="00CF76A7">
        <w:rPr>
          <w:rFonts w:eastAsia="Calibri"/>
        </w:rPr>
        <w:t xml:space="preserve">ing </w:t>
      </w:r>
      <w:r w:rsidR="00EC4973">
        <w:rPr>
          <w:rFonts w:eastAsia="Calibri"/>
        </w:rPr>
        <w:t>through the APM Performance Pathway</w:t>
      </w:r>
      <w:r w:rsidRPr="00B22D81">
        <w:rPr>
          <w:rFonts w:eastAsia="Calibri"/>
        </w:rPr>
        <w:t xml:space="preserve">.  In the CY 2017 Quality Payment Program final rule, we described that for MIPS APMs, we compare the requirements of the specific MIPS APM with the list of activities in the Improvement Activities Inventory and score those activities in the same manner that they are otherwise scored for MIPS eligible clinicians (81 FR 77185).  Although the policy allows for the submission of additional improvement activities if a MIPS APM receives less than the maximum improvement activities performance category score, to date all MIPS APM have qualified for the maximum improvement activities score.  Therefore, we assume that no additional submission will be needed.  </w:t>
      </w:r>
    </w:p>
    <w:p w:rsidRPr="00B22D81" w:rsidR="00B22D81" w:rsidP="00B22D81" w:rsidRDefault="00B22D81" w14:paraId="1B2E2615" w14:textId="77777777">
      <w:pPr>
        <w:spacing w:after="0"/>
        <w:ind w:firstLine="720"/>
        <w:rPr>
          <w:rFonts w:eastAsia="Calibri"/>
        </w:rPr>
      </w:pPr>
    </w:p>
    <w:p w:rsidRPr="00C47150" w:rsidR="005038E4" w:rsidP="00B22D81" w:rsidRDefault="00B22D81" w14:paraId="5F6E4DF3" w14:textId="3229511C">
      <w:pPr>
        <w:spacing w:after="0"/>
        <w:rPr>
          <w:b/>
          <w:bCs/>
        </w:rPr>
      </w:pPr>
      <w:r w:rsidRPr="00B22D81">
        <w:rPr>
          <w:rFonts w:eastAsia="Calibri"/>
        </w:rPr>
        <w:t>Eligible clinicians who attain Partial QP status may incur additional burden if they elect to participate in MIPS, which is discussed in more detail in the CY 2018 Quality Payment Program final rule (82 FR 53841 through 53844).</w:t>
      </w:r>
    </w:p>
    <w:p w:rsidRPr="00C47150" w:rsidR="005038E4" w:rsidP="007A136F" w:rsidRDefault="005038E4" w14:paraId="543EAEBE" w14:textId="43BDCDFB">
      <w:pPr>
        <w:keepNext/>
        <w:keepLines/>
        <w:spacing w:after="0"/>
        <w:jc w:val="center"/>
        <w:rPr>
          <w:b/>
          <w:bCs/>
        </w:rPr>
      </w:pPr>
      <w:r w:rsidRPr="00C47150">
        <w:rPr>
          <w:b/>
          <w:bCs/>
        </w:rPr>
        <w:lastRenderedPageBreak/>
        <w:t xml:space="preserve">TABLE </w:t>
      </w:r>
      <w:r>
        <w:rPr>
          <w:b/>
          <w:bCs/>
        </w:rPr>
        <w:t>2</w:t>
      </w:r>
      <w:r w:rsidRPr="00C47150">
        <w:rPr>
          <w:b/>
          <w:bCs/>
        </w:rPr>
        <w:t xml:space="preserve">: Clinicians </w:t>
      </w:r>
      <w:r w:rsidR="006B26EC">
        <w:rPr>
          <w:b/>
          <w:bCs/>
        </w:rPr>
        <w:t>and</w:t>
      </w:r>
      <w:r w:rsidRPr="00C47150">
        <w:rPr>
          <w:b/>
          <w:bCs/>
        </w:rPr>
        <w:t xml:space="preserve"> Organizations Submitting MIPS Data on Behalf of Clinicians by Type of Data*</w:t>
      </w:r>
    </w:p>
    <w:tbl>
      <w:tblPr>
        <w:tblW w:w="9355" w:type="dxa"/>
        <w:jc w:val="center"/>
        <w:tblLayout w:type="fixed"/>
        <w:tblLook w:val="04A0" w:firstRow="1" w:lastRow="0" w:firstColumn="1" w:lastColumn="0" w:noHBand="0" w:noVBand="1"/>
      </w:tblPr>
      <w:tblGrid>
        <w:gridCol w:w="2053"/>
        <w:gridCol w:w="1452"/>
        <w:gridCol w:w="2345"/>
        <w:gridCol w:w="1928"/>
        <w:gridCol w:w="1577"/>
      </w:tblGrid>
      <w:tr w:rsidRPr="00C47150" w:rsidR="005038E4" w:rsidTr="004B3AFB" w14:paraId="36B7C4CA" w14:textId="77777777">
        <w:trPr>
          <w:cantSplit/>
          <w:tblHeader/>
          <w:jc w:val="center"/>
        </w:trPr>
        <w:tc>
          <w:tcPr>
            <w:tcW w:w="2053"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2C393C68" w14:textId="0E45E712">
            <w:pPr>
              <w:spacing w:after="0"/>
              <w:rPr>
                <w:b/>
                <w:bCs/>
                <w:sz w:val="20"/>
                <w:szCs w:val="20"/>
              </w:rPr>
            </w:pPr>
            <w:r w:rsidRPr="000212B8">
              <w:rPr>
                <w:b/>
                <w:bCs/>
                <w:sz w:val="20"/>
                <w:szCs w:val="20"/>
              </w:rPr>
              <w:t>Clinician</w:t>
            </w:r>
            <w:r w:rsidR="0080314E">
              <w:rPr>
                <w:b/>
                <w:bCs/>
                <w:sz w:val="20"/>
                <w:szCs w:val="20"/>
              </w:rPr>
              <w:t>s and Organizations</w:t>
            </w:r>
          </w:p>
        </w:tc>
        <w:tc>
          <w:tcPr>
            <w:tcW w:w="1452"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2ACF31E2" w14:textId="042DB748">
            <w:pPr>
              <w:spacing w:after="0"/>
              <w:rPr>
                <w:sz w:val="20"/>
                <w:szCs w:val="20"/>
              </w:rPr>
            </w:pPr>
            <w:r w:rsidRPr="000212B8">
              <w:rPr>
                <w:b/>
                <w:bCs/>
                <w:sz w:val="20"/>
                <w:szCs w:val="20"/>
              </w:rPr>
              <w:t>Quality Performance Category</w:t>
            </w:r>
            <w:r w:rsidR="000A2C4E">
              <w:rPr>
                <w:b/>
                <w:bCs/>
                <w:sz w:val="20"/>
                <w:szCs w:val="20"/>
              </w:rPr>
              <w:t xml:space="preserve"> </w:t>
            </w:r>
            <w:r w:rsidR="00837024">
              <w:rPr>
                <w:b/>
                <w:bCs/>
                <w:sz w:val="20"/>
                <w:szCs w:val="20"/>
              </w:rPr>
              <w:t>Data</w:t>
            </w:r>
          </w:p>
        </w:tc>
        <w:tc>
          <w:tcPr>
            <w:tcW w:w="2345"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69B97C3F" w14:textId="73FA171E">
            <w:pPr>
              <w:spacing w:after="0"/>
              <w:rPr>
                <w:sz w:val="20"/>
                <w:szCs w:val="20"/>
              </w:rPr>
            </w:pPr>
            <w:r w:rsidRPr="000212B8">
              <w:rPr>
                <w:b/>
                <w:bCs/>
                <w:sz w:val="20"/>
                <w:szCs w:val="20"/>
              </w:rPr>
              <w:t>P</w:t>
            </w:r>
            <w:r w:rsidR="003128F6">
              <w:rPr>
                <w:b/>
                <w:bCs/>
                <w:sz w:val="20"/>
                <w:szCs w:val="20"/>
              </w:rPr>
              <w:t>romoting Interoperability</w:t>
            </w:r>
            <w:r w:rsidRPr="000212B8">
              <w:rPr>
                <w:b/>
                <w:bCs/>
                <w:sz w:val="20"/>
                <w:szCs w:val="20"/>
              </w:rPr>
              <w:t xml:space="preserve"> Performance Category</w:t>
            </w:r>
            <w:r w:rsidR="00837024">
              <w:rPr>
                <w:b/>
                <w:bCs/>
                <w:sz w:val="20"/>
                <w:szCs w:val="20"/>
              </w:rPr>
              <w:t xml:space="preserve"> Data</w:t>
            </w:r>
          </w:p>
        </w:tc>
        <w:tc>
          <w:tcPr>
            <w:tcW w:w="1928"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0BE0723A" w14:textId="5E45564D">
            <w:pPr>
              <w:spacing w:after="0"/>
              <w:rPr>
                <w:sz w:val="20"/>
                <w:szCs w:val="20"/>
              </w:rPr>
            </w:pPr>
            <w:r w:rsidRPr="000212B8">
              <w:rPr>
                <w:b/>
                <w:bCs/>
                <w:sz w:val="20"/>
                <w:szCs w:val="20"/>
              </w:rPr>
              <w:t>Improvement Activities Performance Category</w:t>
            </w:r>
            <w:r w:rsidR="00837024">
              <w:rPr>
                <w:b/>
                <w:bCs/>
                <w:sz w:val="20"/>
                <w:szCs w:val="20"/>
              </w:rPr>
              <w:t xml:space="preserve"> Data</w:t>
            </w:r>
          </w:p>
        </w:tc>
        <w:tc>
          <w:tcPr>
            <w:tcW w:w="1577"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3C8ADFC8" w14:textId="77777777">
            <w:pPr>
              <w:spacing w:after="0"/>
              <w:rPr>
                <w:sz w:val="20"/>
                <w:szCs w:val="20"/>
              </w:rPr>
            </w:pPr>
            <w:r w:rsidRPr="000212B8">
              <w:rPr>
                <w:b/>
                <w:bCs/>
                <w:sz w:val="20"/>
                <w:szCs w:val="20"/>
              </w:rPr>
              <w:t>Other Data Submitted on Behalf of MIPS Eligible Clinicians</w:t>
            </w:r>
          </w:p>
        </w:tc>
      </w:tr>
      <w:tr w:rsidRPr="00C47150" w:rsidR="008D7BCC" w:rsidTr="004B3AFB" w14:paraId="62E2DDAB" w14:textId="77777777">
        <w:trPr>
          <w:cantSplit/>
          <w:jc w:val="center"/>
        </w:trPr>
        <w:tc>
          <w:tcPr>
            <w:tcW w:w="2053" w:type="dxa"/>
            <w:tcBorders>
              <w:top w:val="single" w:color="auto" w:sz="4" w:space="0"/>
              <w:left w:val="single" w:color="auto" w:sz="4" w:space="0"/>
              <w:bottom w:val="single" w:color="auto" w:sz="4" w:space="0"/>
              <w:right w:val="single" w:color="auto" w:sz="4" w:space="0"/>
            </w:tcBorders>
          </w:tcPr>
          <w:p w:rsidRPr="00826109" w:rsidR="008D7BCC" w:rsidP="008D7BCC" w:rsidRDefault="008D7BCC" w14:paraId="430537A6" w14:textId="06F42A51">
            <w:pPr>
              <w:spacing w:after="0"/>
              <w:rPr>
                <w:b/>
                <w:bCs/>
                <w:sz w:val="20"/>
                <w:szCs w:val="20"/>
              </w:rPr>
            </w:pPr>
            <w:r w:rsidRPr="001A4B2B">
              <w:rPr>
                <w:b/>
                <w:bCs/>
                <w:sz w:val="20"/>
                <w:szCs w:val="20"/>
              </w:rPr>
              <w:t>MIPS Eligible Clinicians and Other Eligible Clinicians Voluntarily Submitting MIPS Data, Participating in Shared Savings Program, and other MIPS APMs that use the APM Performance Pathway for model measures</w:t>
            </w:r>
          </w:p>
        </w:tc>
        <w:tc>
          <w:tcPr>
            <w:tcW w:w="1452" w:type="dxa"/>
            <w:tcBorders>
              <w:top w:val="single" w:color="auto" w:sz="4" w:space="0"/>
              <w:left w:val="single" w:color="auto" w:sz="4" w:space="0"/>
              <w:bottom w:val="single" w:color="auto" w:sz="4" w:space="0"/>
              <w:right w:val="single" w:color="auto" w:sz="4" w:space="0"/>
            </w:tcBorders>
          </w:tcPr>
          <w:p w:rsidRPr="00826109" w:rsidR="008D7BCC" w:rsidP="008D7BCC" w:rsidRDefault="008D7BCC" w14:paraId="3A34B2F9" w14:textId="302CE0EB">
            <w:pPr>
              <w:spacing w:after="0"/>
              <w:rPr>
                <w:sz w:val="20"/>
                <w:szCs w:val="20"/>
              </w:rPr>
            </w:pPr>
            <w:r w:rsidRPr="00B056F2">
              <w:rPr>
                <w:sz w:val="20"/>
                <w:szCs w:val="20"/>
              </w:rPr>
              <w:t>As virtual group</w:t>
            </w:r>
            <w:r>
              <w:rPr>
                <w:sz w:val="20"/>
                <w:szCs w:val="20"/>
              </w:rPr>
              <w:t xml:space="preserve">, </w:t>
            </w:r>
            <w:r w:rsidRPr="00B056F2">
              <w:rPr>
                <w:sz w:val="20"/>
                <w:szCs w:val="20"/>
              </w:rPr>
              <w:t xml:space="preserve">group, </w:t>
            </w:r>
            <w:r w:rsidR="006156C6">
              <w:rPr>
                <w:sz w:val="20"/>
                <w:szCs w:val="20"/>
              </w:rPr>
              <w:t xml:space="preserve">subgroup, </w:t>
            </w:r>
            <w:r w:rsidRPr="00B056F2">
              <w:rPr>
                <w:sz w:val="20"/>
                <w:szCs w:val="20"/>
              </w:rPr>
              <w:t>individual clinicians</w:t>
            </w:r>
            <w:r>
              <w:rPr>
                <w:sz w:val="20"/>
                <w:szCs w:val="20"/>
              </w:rPr>
              <w:t>, or APM Entity.</w:t>
            </w:r>
            <w:r>
              <w:rPr>
                <w:sz w:val="20"/>
                <w:szCs w:val="20"/>
                <w:vertAlign w:val="superscript"/>
              </w:rPr>
              <w:t>a</w:t>
            </w:r>
          </w:p>
        </w:tc>
        <w:tc>
          <w:tcPr>
            <w:tcW w:w="2345" w:type="dxa"/>
            <w:tcBorders>
              <w:top w:val="single" w:color="auto" w:sz="4" w:space="0"/>
              <w:left w:val="single" w:color="auto" w:sz="4" w:space="0"/>
              <w:bottom w:val="single" w:color="auto" w:sz="4" w:space="0"/>
              <w:right w:val="single" w:color="auto" w:sz="4" w:space="0"/>
            </w:tcBorders>
          </w:tcPr>
          <w:p w:rsidRPr="00CC1878" w:rsidR="008D7BCC" w:rsidP="008D7BCC" w:rsidRDefault="008D7BCC" w14:paraId="63418E12" w14:textId="591739B1">
            <w:pPr>
              <w:keepNext/>
              <w:keepLines/>
              <w:widowControl w:val="0"/>
              <w:spacing w:after="0"/>
              <w:rPr>
                <w:sz w:val="20"/>
                <w:szCs w:val="20"/>
              </w:rPr>
            </w:pPr>
            <w:r w:rsidRPr="00CC1878">
              <w:rPr>
                <w:sz w:val="20"/>
                <w:szCs w:val="20"/>
              </w:rPr>
              <w:t>As virtual group, group,</w:t>
            </w:r>
            <w:r w:rsidR="000F3FCD">
              <w:rPr>
                <w:sz w:val="20"/>
                <w:szCs w:val="20"/>
              </w:rPr>
              <w:t xml:space="preserve"> subgroup,</w:t>
            </w:r>
            <w:r w:rsidRPr="00CC1878">
              <w:rPr>
                <w:sz w:val="20"/>
                <w:szCs w:val="20"/>
              </w:rPr>
              <w:t xml:space="preserve"> individual clinicians, or APM Entity.</w:t>
            </w:r>
          </w:p>
          <w:p w:rsidRPr="00CC1878" w:rsidR="008D7BCC" w:rsidP="008D7BCC" w:rsidRDefault="008D7BCC" w14:paraId="64F4466B" w14:textId="77777777">
            <w:pPr>
              <w:keepNext/>
              <w:keepLines/>
              <w:widowControl w:val="0"/>
              <w:spacing w:after="0"/>
              <w:rPr>
                <w:sz w:val="20"/>
                <w:szCs w:val="20"/>
              </w:rPr>
            </w:pPr>
          </w:p>
          <w:p w:rsidRPr="00CC1878" w:rsidR="008D7BCC" w:rsidP="008D7BCC" w:rsidRDefault="008D7BCC" w14:paraId="0A3E56B5" w14:textId="77777777">
            <w:pPr>
              <w:keepNext/>
              <w:keepLines/>
              <w:widowControl w:val="0"/>
              <w:spacing w:after="0"/>
              <w:rPr>
                <w:sz w:val="20"/>
                <w:szCs w:val="20"/>
              </w:rPr>
            </w:pPr>
            <w:r w:rsidRPr="00CC1878">
              <w:rPr>
                <w:sz w:val="20"/>
                <w:szCs w:val="20"/>
              </w:rPr>
              <w:t xml:space="preserve">Certain MIPS eligible clinicians are automatically eligible for a zero percent weighting for the Promoting Interoperability performance category (please refer to the CY 2020 PFS final rule for a summary of the finalized criteria (84 FR 63111)).  </w:t>
            </w:r>
          </w:p>
          <w:p w:rsidRPr="00CC1878" w:rsidR="008D7BCC" w:rsidP="008D7BCC" w:rsidRDefault="008D7BCC" w14:paraId="14911D72" w14:textId="77777777">
            <w:pPr>
              <w:keepNext/>
              <w:keepLines/>
              <w:widowControl w:val="0"/>
              <w:spacing w:after="0"/>
              <w:rPr>
                <w:sz w:val="20"/>
                <w:szCs w:val="20"/>
              </w:rPr>
            </w:pPr>
          </w:p>
          <w:p w:rsidRPr="00CC1878" w:rsidR="008D7BCC" w:rsidP="008D7BCC" w:rsidRDefault="008D7BCC" w14:paraId="1E236107" w14:textId="77777777">
            <w:pPr>
              <w:keepNext/>
              <w:keepLines/>
              <w:widowControl w:val="0"/>
              <w:spacing w:after="0"/>
              <w:rPr>
                <w:sz w:val="20"/>
                <w:szCs w:val="20"/>
              </w:rPr>
            </w:pPr>
            <w:r w:rsidRPr="00CC1878">
              <w:rPr>
                <w:sz w:val="20"/>
                <w:szCs w:val="20"/>
              </w:rPr>
              <w:t xml:space="preserve">Clinicians who </w:t>
            </w:r>
            <w:proofErr w:type="gramStart"/>
            <w:r w:rsidRPr="00CC1878">
              <w:rPr>
                <w:sz w:val="20"/>
                <w:szCs w:val="20"/>
              </w:rPr>
              <w:t>submit an application</w:t>
            </w:r>
            <w:proofErr w:type="gramEnd"/>
            <w:r w:rsidRPr="00CC1878">
              <w:rPr>
                <w:sz w:val="20"/>
                <w:szCs w:val="20"/>
              </w:rPr>
              <w:t xml:space="preserve"> and are approved for significant hardship or other exceptions are also eligible for a zero percent weighting.</w:t>
            </w:r>
          </w:p>
          <w:p w:rsidRPr="00CC1878" w:rsidR="008D7BCC" w:rsidP="008D7BCC" w:rsidRDefault="008D7BCC" w14:paraId="4E4E0F60" w14:textId="77777777">
            <w:pPr>
              <w:keepNext/>
              <w:keepLines/>
              <w:widowControl w:val="0"/>
              <w:spacing w:after="0"/>
              <w:rPr>
                <w:sz w:val="20"/>
                <w:szCs w:val="20"/>
              </w:rPr>
            </w:pPr>
          </w:p>
          <w:p w:rsidRPr="00826109" w:rsidR="008D7BCC" w:rsidP="008D7BCC" w:rsidRDefault="008D7BCC" w14:paraId="54941918" w14:textId="0AEC7294">
            <w:pPr>
              <w:spacing w:after="0"/>
              <w:rPr>
                <w:sz w:val="20"/>
                <w:szCs w:val="20"/>
              </w:rPr>
            </w:pPr>
            <w:r w:rsidRPr="00CC1878">
              <w:rPr>
                <w:sz w:val="20"/>
                <w:szCs w:val="20"/>
              </w:rPr>
              <w:t xml:space="preserve">Each MIPS eligible clinician in the APM Entity reports data for the Promoting Interoperability performance category through either group TIN or individual reporting.  [The burden estimates for this </w:t>
            </w:r>
            <w:r>
              <w:rPr>
                <w:sz w:val="20"/>
                <w:szCs w:val="20"/>
              </w:rPr>
              <w:t>final</w:t>
            </w:r>
            <w:r w:rsidRPr="00CC1878">
              <w:rPr>
                <w:sz w:val="20"/>
                <w:szCs w:val="20"/>
              </w:rPr>
              <w:t xml:space="preserve"> rule assume group TIN-level reporting]</w:t>
            </w:r>
            <w:r w:rsidR="005B2178">
              <w:rPr>
                <w:sz w:val="20"/>
                <w:szCs w:val="20"/>
              </w:rPr>
              <w:t>.</w:t>
            </w:r>
            <w:r w:rsidRPr="00CC1878">
              <w:rPr>
                <w:sz w:val="20"/>
                <w:szCs w:val="20"/>
                <w:vertAlign w:val="superscript"/>
              </w:rPr>
              <w:t>b</w:t>
            </w:r>
          </w:p>
        </w:tc>
        <w:tc>
          <w:tcPr>
            <w:tcW w:w="1928" w:type="dxa"/>
            <w:tcBorders>
              <w:top w:val="single" w:color="auto" w:sz="4" w:space="0"/>
              <w:left w:val="single" w:color="auto" w:sz="4" w:space="0"/>
              <w:bottom w:val="single" w:color="auto" w:sz="4" w:space="0"/>
              <w:right w:val="single" w:color="auto" w:sz="4" w:space="0"/>
            </w:tcBorders>
          </w:tcPr>
          <w:p w:rsidRPr="00CC1878" w:rsidR="008D7BCC" w:rsidP="008D7BCC" w:rsidRDefault="008D7BCC" w14:paraId="3A86D660" w14:textId="3DD83499">
            <w:pPr>
              <w:keepNext/>
              <w:keepLines/>
              <w:widowControl w:val="0"/>
              <w:spacing w:after="0"/>
              <w:rPr>
                <w:sz w:val="20"/>
                <w:szCs w:val="20"/>
              </w:rPr>
            </w:pPr>
            <w:r w:rsidRPr="00CC1878">
              <w:rPr>
                <w:sz w:val="20"/>
                <w:szCs w:val="20"/>
              </w:rPr>
              <w:t xml:space="preserve">As virtual group, group, </w:t>
            </w:r>
            <w:r w:rsidR="000F3FCD">
              <w:rPr>
                <w:sz w:val="20"/>
                <w:szCs w:val="20"/>
              </w:rPr>
              <w:t xml:space="preserve">subgroup, </w:t>
            </w:r>
            <w:r w:rsidRPr="00CC1878">
              <w:rPr>
                <w:sz w:val="20"/>
                <w:szCs w:val="20"/>
              </w:rPr>
              <w:t>or individual clinicians.</w:t>
            </w:r>
          </w:p>
          <w:p w:rsidRPr="00CC1878" w:rsidR="008D7BCC" w:rsidP="008D7BCC" w:rsidRDefault="008D7BCC" w14:paraId="61DB002F" w14:textId="77777777">
            <w:pPr>
              <w:keepNext/>
              <w:keepLines/>
              <w:widowControl w:val="0"/>
              <w:spacing w:after="0"/>
              <w:rPr>
                <w:sz w:val="20"/>
                <w:szCs w:val="20"/>
              </w:rPr>
            </w:pPr>
          </w:p>
          <w:p w:rsidRPr="00CC1878" w:rsidR="008D7BCC" w:rsidP="008D7BCC" w:rsidRDefault="008D7BCC" w14:paraId="29A2E6B7" w14:textId="77777777">
            <w:pPr>
              <w:keepNext/>
              <w:keepLines/>
              <w:widowControl w:val="0"/>
              <w:spacing w:after="0"/>
              <w:rPr>
                <w:sz w:val="20"/>
                <w:szCs w:val="20"/>
              </w:rPr>
            </w:pPr>
            <w:r w:rsidRPr="00CC1878">
              <w:rPr>
                <w:sz w:val="20"/>
                <w:szCs w:val="20"/>
              </w:rPr>
              <w:t xml:space="preserve">MIPS APMs do not submit information. </w:t>
            </w:r>
          </w:p>
          <w:p w:rsidRPr="00CC1878" w:rsidR="008D7BCC" w:rsidP="008D7BCC" w:rsidRDefault="008D7BCC" w14:paraId="6979B393" w14:textId="77777777">
            <w:pPr>
              <w:keepNext/>
              <w:keepLines/>
              <w:widowControl w:val="0"/>
              <w:spacing w:after="0"/>
              <w:rPr>
                <w:sz w:val="20"/>
                <w:szCs w:val="20"/>
              </w:rPr>
            </w:pPr>
          </w:p>
          <w:p w:rsidRPr="00826109" w:rsidR="008D7BCC" w:rsidP="008D7BCC" w:rsidRDefault="008D7BCC" w14:paraId="50939771" w14:textId="7CEAF7F9">
            <w:pPr>
              <w:spacing w:after="0"/>
              <w:rPr>
                <w:sz w:val="20"/>
                <w:szCs w:val="20"/>
              </w:rPr>
            </w:pPr>
            <w:r w:rsidRPr="00CC1878">
              <w:rPr>
                <w:sz w:val="20"/>
                <w:szCs w:val="20"/>
              </w:rPr>
              <w:t>CMS will assign the same improvement activities performance category score to each APM Entity based on the activities involved in participation in the MIPS APM.</w:t>
            </w:r>
            <w:r w:rsidRPr="00CC1878">
              <w:rPr>
                <w:sz w:val="20"/>
                <w:szCs w:val="20"/>
                <w:vertAlign w:val="superscript"/>
              </w:rPr>
              <w:t>c</w:t>
            </w:r>
            <w:r w:rsidRPr="00CC1878">
              <w:rPr>
                <w:sz w:val="20"/>
                <w:szCs w:val="20"/>
              </w:rPr>
              <w:t xml:space="preserve">  </w:t>
            </w:r>
          </w:p>
        </w:tc>
        <w:tc>
          <w:tcPr>
            <w:tcW w:w="1577" w:type="dxa"/>
            <w:tcBorders>
              <w:top w:val="single" w:color="auto" w:sz="4" w:space="0"/>
              <w:left w:val="single" w:color="auto" w:sz="4" w:space="0"/>
              <w:bottom w:val="single" w:color="auto" w:sz="4" w:space="0"/>
              <w:right w:val="single" w:color="auto" w:sz="4" w:space="0"/>
            </w:tcBorders>
          </w:tcPr>
          <w:p w:rsidR="008D7BCC" w:rsidP="008D7BCC" w:rsidRDefault="008D7BCC" w14:paraId="49BF8898" w14:textId="77777777">
            <w:pPr>
              <w:keepNext/>
              <w:keepLines/>
              <w:widowControl w:val="0"/>
              <w:spacing w:after="0"/>
              <w:rPr>
                <w:sz w:val="20"/>
                <w:szCs w:val="20"/>
              </w:rPr>
            </w:pPr>
            <w:r w:rsidRPr="00CC1878">
              <w:rPr>
                <w:sz w:val="20"/>
                <w:szCs w:val="20"/>
              </w:rPr>
              <w:t xml:space="preserve">Groups electing to use a CMS-approved survey vendor to administer CAHPS must register. </w:t>
            </w:r>
          </w:p>
          <w:p w:rsidR="008D7BCC" w:rsidP="008D7BCC" w:rsidRDefault="008D7BCC" w14:paraId="53E7FF64" w14:textId="77777777">
            <w:pPr>
              <w:keepNext/>
              <w:keepLines/>
              <w:widowControl w:val="0"/>
              <w:spacing w:after="0"/>
              <w:rPr>
                <w:sz w:val="20"/>
                <w:szCs w:val="20"/>
              </w:rPr>
            </w:pPr>
          </w:p>
          <w:p w:rsidRPr="00CC1878" w:rsidR="008D7BCC" w:rsidP="008D7BCC" w:rsidRDefault="008D7BCC" w14:paraId="063D86CF" w14:textId="77777777">
            <w:pPr>
              <w:keepNext/>
              <w:keepLines/>
              <w:widowControl w:val="0"/>
              <w:spacing w:after="0"/>
              <w:rPr>
                <w:sz w:val="20"/>
                <w:szCs w:val="20"/>
              </w:rPr>
            </w:pPr>
            <w:r>
              <w:rPr>
                <w:sz w:val="20"/>
                <w:szCs w:val="20"/>
              </w:rPr>
              <w:t>Groups electing to submit via CMS Web Interface for the first time must register.</w:t>
            </w:r>
            <w:r w:rsidRPr="00CC1878">
              <w:rPr>
                <w:sz w:val="20"/>
                <w:szCs w:val="20"/>
              </w:rPr>
              <w:t xml:space="preserve"> </w:t>
            </w:r>
          </w:p>
          <w:p w:rsidRPr="00CC1878" w:rsidR="008D7BCC" w:rsidP="008D7BCC" w:rsidRDefault="008D7BCC" w14:paraId="016960C3" w14:textId="620D5061">
            <w:pPr>
              <w:keepNext/>
              <w:keepLines/>
              <w:widowControl w:val="0"/>
              <w:spacing w:after="0"/>
              <w:rPr>
                <w:sz w:val="20"/>
                <w:szCs w:val="20"/>
              </w:rPr>
            </w:pPr>
          </w:p>
          <w:p w:rsidR="00DF1824" w:rsidP="008D7BCC" w:rsidRDefault="00DF1824" w14:paraId="33D19073" w14:textId="27B0FBBA">
            <w:pPr>
              <w:keepNext/>
              <w:keepLines/>
              <w:widowControl w:val="0"/>
              <w:spacing w:after="0"/>
              <w:rPr>
                <w:sz w:val="20"/>
                <w:szCs w:val="20"/>
              </w:rPr>
            </w:pPr>
            <w:r>
              <w:rPr>
                <w:sz w:val="20"/>
                <w:szCs w:val="20"/>
              </w:rPr>
              <w:t>MVP participants</w:t>
            </w:r>
            <w:r w:rsidR="00F404C6">
              <w:rPr>
                <w:sz w:val="20"/>
                <w:szCs w:val="20"/>
              </w:rPr>
              <w:t xml:space="preserve"> election to submit data for the measures and activities in an MVP must register.</w:t>
            </w:r>
          </w:p>
          <w:p w:rsidRPr="00CC1878" w:rsidR="00DF1824" w:rsidP="008D7BCC" w:rsidRDefault="00DF1824" w14:paraId="42FBD0B8" w14:textId="77777777">
            <w:pPr>
              <w:keepNext/>
              <w:keepLines/>
              <w:widowControl w:val="0"/>
              <w:spacing w:after="0"/>
              <w:rPr>
                <w:sz w:val="20"/>
                <w:szCs w:val="20"/>
              </w:rPr>
            </w:pPr>
          </w:p>
          <w:p w:rsidRPr="00CC1878" w:rsidR="008D7BCC" w:rsidP="008D7BCC" w:rsidRDefault="008D7BCC" w14:paraId="42B1B6BD" w14:textId="77777777">
            <w:pPr>
              <w:keepNext/>
              <w:keepLines/>
              <w:widowControl w:val="0"/>
              <w:spacing w:after="0"/>
              <w:rPr>
                <w:sz w:val="20"/>
                <w:szCs w:val="20"/>
              </w:rPr>
            </w:pPr>
            <w:r w:rsidRPr="00CC1878">
              <w:rPr>
                <w:sz w:val="20"/>
                <w:szCs w:val="20"/>
              </w:rPr>
              <w:t>MIPS APMs electing the APM Performance Pathway.</w:t>
            </w:r>
          </w:p>
          <w:p w:rsidRPr="00CC1878" w:rsidR="008D7BCC" w:rsidP="008D7BCC" w:rsidRDefault="008D7BCC" w14:paraId="36BC3658" w14:textId="77777777">
            <w:pPr>
              <w:keepNext/>
              <w:keepLines/>
              <w:widowControl w:val="0"/>
              <w:spacing w:after="0"/>
              <w:rPr>
                <w:sz w:val="20"/>
                <w:szCs w:val="20"/>
              </w:rPr>
            </w:pPr>
          </w:p>
          <w:p w:rsidRPr="00CC1878" w:rsidR="008D7BCC" w:rsidP="008D7BCC" w:rsidRDefault="008D7BCC" w14:paraId="6D7DB06C" w14:textId="77777777">
            <w:pPr>
              <w:widowControl w:val="0"/>
              <w:spacing w:after="0"/>
              <w:rPr>
                <w:sz w:val="20"/>
                <w:szCs w:val="20"/>
              </w:rPr>
            </w:pPr>
            <w:r w:rsidRPr="00CC1878">
              <w:rPr>
                <w:sz w:val="20"/>
                <w:szCs w:val="20"/>
              </w:rPr>
              <w:t>APM Entities will make Partial QP election for participating eligible clinicians.</w:t>
            </w:r>
          </w:p>
          <w:p w:rsidRPr="00CC1878" w:rsidR="008D7BCC" w:rsidP="008D7BCC" w:rsidRDefault="008D7BCC" w14:paraId="09E61301" w14:textId="77777777">
            <w:pPr>
              <w:keepNext/>
              <w:keepLines/>
              <w:widowControl w:val="0"/>
              <w:spacing w:after="0"/>
              <w:rPr>
                <w:sz w:val="20"/>
                <w:szCs w:val="20"/>
              </w:rPr>
            </w:pPr>
          </w:p>
          <w:p w:rsidRPr="00826109" w:rsidR="008D7BCC" w:rsidP="008D7BCC" w:rsidRDefault="008D7BCC" w14:paraId="55060461" w14:textId="5A73B2E7">
            <w:pPr>
              <w:spacing w:after="0"/>
              <w:rPr>
                <w:sz w:val="20"/>
                <w:szCs w:val="20"/>
              </w:rPr>
            </w:pPr>
            <w:r w:rsidRPr="00CC1878">
              <w:rPr>
                <w:sz w:val="20"/>
                <w:szCs w:val="20"/>
              </w:rPr>
              <w:t xml:space="preserve">Virtual groups must register via </w:t>
            </w:r>
            <w:proofErr w:type="gramStart"/>
            <w:r w:rsidRPr="00CC1878">
              <w:rPr>
                <w:sz w:val="20"/>
                <w:szCs w:val="20"/>
              </w:rPr>
              <w:t>email.</w:t>
            </w:r>
            <w:r w:rsidRPr="00CC1878">
              <w:rPr>
                <w:sz w:val="20"/>
                <w:szCs w:val="20"/>
                <w:vertAlign w:val="superscript"/>
              </w:rPr>
              <w:t>d</w:t>
            </w:r>
            <w:proofErr w:type="gramEnd"/>
            <w:r w:rsidRPr="00CC1878">
              <w:rPr>
                <w:sz w:val="20"/>
                <w:szCs w:val="20"/>
              </w:rPr>
              <w:t xml:space="preserve"> </w:t>
            </w:r>
          </w:p>
        </w:tc>
      </w:tr>
    </w:tbl>
    <w:p w:rsidRPr="00CC1878" w:rsidR="006A40C3" w:rsidP="004C7425" w:rsidRDefault="006A40C3" w14:paraId="0476CD46" w14:textId="77777777">
      <w:pPr>
        <w:widowControl w:val="0"/>
        <w:spacing w:before="120" w:after="0"/>
        <w:rPr>
          <w:rFonts w:eastAsia="Calibri"/>
          <w:sz w:val="20"/>
          <w:szCs w:val="20"/>
        </w:rPr>
      </w:pPr>
      <w:r w:rsidRPr="00CC1878">
        <w:rPr>
          <w:rFonts w:eastAsia="Calibri"/>
          <w:sz w:val="20"/>
          <w:szCs w:val="20"/>
        </w:rPr>
        <w:t xml:space="preserve">* Because the cost performance category relies on administrative claims data, MIPS eligible clinicians are not required to provide any additional information, and therefore, the cost performance category is not represented in this table. </w:t>
      </w:r>
    </w:p>
    <w:p w:rsidRPr="00CC1878" w:rsidR="006A40C3" w:rsidP="004C7425" w:rsidRDefault="006A40C3" w14:paraId="5CAD96F2" w14:textId="115D59A1">
      <w:pPr>
        <w:widowControl w:val="0"/>
        <w:spacing w:after="0"/>
        <w:rPr>
          <w:sz w:val="20"/>
          <w:szCs w:val="20"/>
        </w:rPr>
      </w:pPr>
      <w:bookmarkStart w:name="_Hlk528122275" w:id="1"/>
      <w:r w:rsidRPr="00CC1878">
        <w:rPr>
          <w:sz w:val="20"/>
          <w:szCs w:val="20"/>
          <w:vertAlign w:val="superscript"/>
        </w:rPr>
        <w:t>a</w:t>
      </w:r>
      <w:r w:rsidRPr="00CC1878">
        <w:rPr>
          <w:sz w:val="20"/>
          <w:szCs w:val="20"/>
        </w:rPr>
        <w:t xml:space="preserve"> Submissions by the ACO are not included in burden estimates for this </w:t>
      </w:r>
      <w:r>
        <w:rPr>
          <w:sz w:val="20"/>
          <w:szCs w:val="20"/>
        </w:rPr>
        <w:t>final</w:t>
      </w:r>
      <w:r w:rsidRPr="00CC1878">
        <w:rPr>
          <w:sz w:val="20"/>
          <w:szCs w:val="20"/>
        </w:rPr>
        <w:t xml:space="preserve"> rule because quality data submission</w:t>
      </w:r>
      <w:r>
        <w:rPr>
          <w:sz w:val="20"/>
          <w:szCs w:val="20"/>
        </w:rPr>
        <w:t>s</w:t>
      </w:r>
      <w:r w:rsidRPr="00CC1878">
        <w:rPr>
          <w:sz w:val="20"/>
          <w:szCs w:val="20"/>
        </w:rPr>
        <w:t xml:space="preserve"> to fulfill requirements of the Shared Savings Program are not subject to the PRA. Sections 1899 (42 U.S.C. 1395jjj) state that the Shared Savings Program </w:t>
      </w:r>
      <w:r w:rsidR="00E52BBE">
        <w:rPr>
          <w:sz w:val="20"/>
          <w:szCs w:val="20"/>
        </w:rPr>
        <w:t xml:space="preserve">is </w:t>
      </w:r>
      <w:r w:rsidRPr="00CC1878">
        <w:rPr>
          <w:sz w:val="20"/>
          <w:szCs w:val="20"/>
        </w:rPr>
        <w:t>not subject to the PRA</w:t>
      </w:r>
      <w:bookmarkEnd w:id="1"/>
      <w:r w:rsidRPr="00CC1878">
        <w:rPr>
          <w:sz w:val="20"/>
          <w:szCs w:val="20"/>
        </w:rPr>
        <w:t>.</w:t>
      </w:r>
    </w:p>
    <w:p w:rsidRPr="00CC1878" w:rsidR="006A40C3" w:rsidP="00D64E75" w:rsidRDefault="006A40C3" w14:paraId="0A84BBAD" w14:textId="77777777">
      <w:pPr>
        <w:keepNext/>
        <w:keepLines/>
        <w:widowControl w:val="0"/>
        <w:spacing w:after="0"/>
        <w:rPr>
          <w:sz w:val="20"/>
          <w:szCs w:val="20"/>
        </w:rPr>
      </w:pPr>
      <w:r w:rsidRPr="00CC1878">
        <w:rPr>
          <w:sz w:val="20"/>
          <w:szCs w:val="20"/>
          <w:vertAlign w:val="superscript"/>
        </w:rPr>
        <w:lastRenderedPageBreak/>
        <w:t>b</w:t>
      </w:r>
      <w:r w:rsidRPr="00CC1878">
        <w:rPr>
          <w:sz w:val="20"/>
          <w:szCs w:val="20"/>
        </w:rPr>
        <w:t xml:space="preserve"> Both group TIN and individual clinician Promoting Interoperability data will be accepted.  If both group TIN and individual scores are available for the same APM Entity, CMS </w:t>
      </w:r>
      <w:r w:rsidRPr="00CC1878">
        <w:rPr>
          <w:rFonts w:eastAsia="Calibri"/>
          <w:snapToGrid w:val="0"/>
          <w:sz w:val="20"/>
          <w:szCs w:val="20"/>
        </w:rPr>
        <w:t>will</w:t>
      </w:r>
      <w:r w:rsidRPr="00CC1878">
        <w:rPr>
          <w:sz w:val="20"/>
          <w:szCs w:val="20"/>
        </w:rPr>
        <w:t xml:space="preserve"> use the higher score for each TIN/NPI.  The TIN/NPI scores are then aggregated for purposes of calculating the APM Entity score.</w:t>
      </w:r>
    </w:p>
    <w:p w:rsidRPr="00CC1878" w:rsidR="006A40C3" w:rsidP="004C7425" w:rsidRDefault="006A40C3" w14:paraId="212095B2" w14:textId="77777777">
      <w:pPr>
        <w:widowControl w:val="0"/>
        <w:spacing w:after="0"/>
        <w:rPr>
          <w:sz w:val="20"/>
          <w:szCs w:val="20"/>
        </w:rPr>
      </w:pPr>
      <w:r w:rsidRPr="00CC1878">
        <w:rPr>
          <w:sz w:val="20"/>
          <w:szCs w:val="20"/>
          <w:vertAlign w:val="superscript"/>
        </w:rPr>
        <w:t>c</w:t>
      </w:r>
      <w:r w:rsidRPr="00CC1878">
        <w:rPr>
          <w:sz w:val="20"/>
          <w:szCs w:val="20"/>
        </w:rPr>
        <w:t xml:space="preserve"> The burden estimates for this </w:t>
      </w:r>
      <w:r>
        <w:rPr>
          <w:sz w:val="20"/>
          <w:szCs w:val="20"/>
        </w:rPr>
        <w:t>final</w:t>
      </w:r>
      <w:r w:rsidRPr="00CC1878">
        <w:rPr>
          <w:sz w:val="20"/>
          <w:szCs w:val="20"/>
        </w:rPr>
        <w:t xml:space="preserve"> rule assume no improvement activities performance category reporting burden for APM participants because we assume the MIPS APM model provides a maximum improvement activity score.  APM Entities participating in MIPS APMs receive an improvement activities performance category score of at least 50 percent (42 CFR 414.1380) and do not need to submit improvement activities data unless the CMS-assigned improvement activities scores are below the maximum improvement activities score.</w:t>
      </w:r>
    </w:p>
    <w:p w:rsidRPr="00CC1878" w:rsidR="006A40C3" w:rsidP="004C7425" w:rsidRDefault="006A40C3" w14:paraId="7A1B89D4" w14:textId="77777777">
      <w:pPr>
        <w:widowControl w:val="0"/>
        <w:spacing w:after="0"/>
        <w:rPr>
          <w:sz w:val="20"/>
          <w:szCs w:val="20"/>
        </w:rPr>
      </w:pPr>
      <w:r w:rsidRPr="00CC1878">
        <w:rPr>
          <w:sz w:val="20"/>
          <w:szCs w:val="20"/>
          <w:vertAlign w:val="superscript"/>
        </w:rPr>
        <w:t>d</w:t>
      </w:r>
      <w:r w:rsidRPr="00CC1878">
        <w:rPr>
          <w:sz w:val="20"/>
          <w:szCs w:val="20"/>
        </w:rPr>
        <w:t xml:space="preserve"> Virtual group participation is limited to MIPS eligible clinicians, specifically, solo practitioners and groups consisting of 10 eligible clinicians or fewer.</w:t>
      </w:r>
    </w:p>
    <w:p w:rsidR="005038E4" w:rsidP="005038E4" w:rsidRDefault="005038E4" w14:paraId="11F75EB8" w14:textId="4CE0B7F4"/>
    <w:p w:rsidR="00C90045" w:rsidP="00730BEF" w:rsidRDefault="00C90045" w14:paraId="63FDD90A" w14:textId="700A5ED3">
      <w:r w:rsidRPr="00C90045">
        <w:t>The policies finalized in the CY 2017</w:t>
      </w:r>
      <w:r w:rsidR="009A1A8C">
        <w:t xml:space="preserve"> and</w:t>
      </w:r>
      <w:r w:rsidR="00E326A7">
        <w:t xml:space="preserve"> </w:t>
      </w:r>
      <w:r w:rsidRPr="00C90045">
        <w:t>CY 2018</w:t>
      </w:r>
      <w:r w:rsidR="009A1A8C">
        <w:t xml:space="preserve"> </w:t>
      </w:r>
      <w:r w:rsidRPr="00C90045" w:rsidR="009A1A8C">
        <w:t>Quality Payment Program</w:t>
      </w:r>
      <w:r w:rsidR="009A1A8C">
        <w:t xml:space="preserve"> final rules</w:t>
      </w:r>
      <w:r w:rsidR="00E326A7">
        <w:t xml:space="preserve"> and CY 2019</w:t>
      </w:r>
      <w:r w:rsidR="006A40C3">
        <w:t xml:space="preserve">, </w:t>
      </w:r>
      <w:r w:rsidR="008A71A5">
        <w:t>2020</w:t>
      </w:r>
      <w:r w:rsidR="006A40C3">
        <w:t>, and 2021</w:t>
      </w:r>
      <w:r w:rsidR="008A71A5">
        <w:t xml:space="preserve"> </w:t>
      </w:r>
      <w:r w:rsidR="009A1A8C">
        <w:t>PFS final rule</w:t>
      </w:r>
      <w:r w:rsidR="008A71A5">
        <w:t>s</w:t>
      </w:r>
      <w:r w:rsidR="00443265">
        <w:t>, and continued in the CY 2022 PFS proposed rule</w:t>
      </w:r>
      <w:r w:rsidR="009A1A8C">
        <w:t xml:space="preserve"> </w:t>
      </w:r>
      <w:r w:rsidRPr="00C90045">
        <w:t>create some additional data collection re</w:t>
      </w:r>
      <w:r>
        <w:t xml:space="preserve">quirements not listed in Table </w:t>
      </w:r>
      <w:r w:rsidRPr="00C90045">
        <w:t>2.  These additional data collections</w:t>
      </w:r>
      <w:r w:rsidR="00DC2761">
        <w:t xml:space="preserve"> </w:t>
      </w:r>
      <w:r w:rsidR="00571D87">
        <w:t>consist of:</w:t>
      </w:r>
    </w:p>
    <w:p w:rsidR="00C90045" w:rsidP="00B41DE5" w:rsidRDefault="00C90045" w14:paraId="075A11CD" w14:textId="3AF1A527">
      <w:pPr>
        <w:pStyle w:val="ListParagraph"/>
        <w:numPr>
          <w:ilvl w:val="0"/>
          <w:numId w:val="3"/>
        </w:numPr>
        <w:spacing w:after="200"/>
      </w:pPr>
      <w:r w:rsidRPr="00DB082D">
        <w:t xml:space="preserve">Self-nomination of new and returning QCDRs </w:t>
      </w:r>
    </w:p>
    <w:p w:rsidR="00C90045" w:rsidP="00B41DE5" w:rsidRDefault="00C90045" w14:paraId="25699F8B" w14:textId="51830C30">
      <w:pPr>
        <w:pStyle w:val="ListParagraph"/>
        <w:numPr>
          <w:ilvl w:val="0"/>
          <w:numId w:val="3"/>
        </w:numPr>
        <w:spacing w:after="200"/>
      </w:pPr>
      <w:r>
        <w:t>Self-nomination of new and returning qualified</w:t>
      </w:r>
      <w:r w:rsidRPr="00DB082D">
        <w:t xml:space="preserve"> registries </w:t>
      </w:r>
    </w:p>
    <w:p w:rsidR="00D54DB9" w:rsidP="00B41DE5" w:rsidRDefault="00D54DB9" w14:paraId="2B776315" w14:textId="12CB53C6">
      <w:pPr>
        <w:pStyle w:val="ListParagraph"/>
        <w:numPr>
          <w:ilvl w:val="0"/>
          <w:numId w:val="3"/>
        </w:numPr>
        <w:spacing w:after="200"/>
      </w:pPr>
      <w:r>
        <w:t>Open Authorization Credentialing and Token Request Process</w:t>
      </w:r>
    </w:p>
    <w:p w:rsidR="00C90045" w:rsidP="00B41DE5" w:rsidRDefault="00FD250B" w14:paraId="601A6891" w14:textId="6FEA8C70">
      <w:pPr>
        <w:pStyle w:val="ListParagraph"/>
        <w:numPr>
          <w:ilvl w:val="0"/>
          <w:numId w:val="3"/>
        </w:numPr>
        <w:spacing w:after="200"/>
      </w:pPr>
      <w:r>
        <w:t>Quality Payment Program Identity Management Application Process</w:t>
      </w:r>
    </w:p>
    <w:p w:rsidRPr="00DB082D" w:rsidR="00C90045" w:rsidP="00B41DE5" w:rsidRDefault="00E326A7" w14:paraId="702A710B" w14:textId="23571790">
      <w:pPr>
        <w:pStyle w:val="ListParagraph"/>
        <w:numPr>
          <w:ilvl w:val="0"/>
          <w:numId w:val="3"/>
        </w:numPr>
        <w:spacing w:after="200"/>
      </w:pPr>
      <w:r>
        <w:t xml:space="preserve">Reweighting </w:t>
      </w:r>
      <w:r w:rsidR="00C90045">
        <w:t>Application</w:t>
      </w:r>
      <w:r>
        <w:t>s</w:t>
      </w:r>
      <w:r w:rsidR="00C90045">
        <w:t xml:space="preserve"> for Promot</w:t>
      </w:r>
      <w:r>
        <w:t>ing Interoperability and Other Performance Categories</w:t>
      </w:r>
    </w:p>
    <w:p w:rsidR="00C90045" w:rsidP="00B41DE5" w:rsidRDefault="00C90045" w14:paraId="273FA231" w14:textId="77777777">
      <w:pPr>
        <w:pStyle w:val="ListParagraph"/>
        <w:numPr>
          <w:ilvl w:val="0"/>
          <w:numId w:val="3"/>
        </w:numPr>
        <w:spacing w:after="200"/>
      </w:pPr>
      <w:r>
        <w:t>Call for quality measures</w:t>
      </w:r>
    </w:p>
    <w:p w:rsidR="00C90045" w:rsidP="00B41DE5" w:rsidRDefault="0069322F" w14:paraId="4F3DFA8E" w14:textId="67954B10">
      <w:pPr>
        <w:pStyle w:val="ListParagraph"/>
        <w:numPr>
          <w:ilvl w:val="0"/>
          <w:numId w:val="3"/>
        </w:numPr>
        <w:spacing w:after="200"/>
      </w:pPr>
      <w:r>
        <w:t>Nomination of</w:t>
      </w:r>
      <w:r w:rsidRPr="00DB082D" w:rsidR="00C90045">
        <w:t xml:space="preserve"> new improvement activities</w:t>
      </w:r>
    </w:p>
    <w:p w:rsidR="00C90045" w:rsidP="00B41DE5" w:rsidRDefault="00C90045" w14:paraId="17C201BD" w14:textId="1D59A0C8">
      <w:pPr>
        <w:pStyle w:val="ListParagraph"/>
        <w:numPr>
          <w:ilvl w:val="0"/>
          <w:numId w:val="3"/>
        </w:numPr>
        <w:spacing w:after="200"/>
      </w:pPr>
      <w:r>
        <w:t>Call for Promoting Interoperability measures</w:t>
      </w:r>
    </w:p>
    <w:p w:rsidR="00D54DB9" w:rsidP="00B41DE5" w:rsidRDefault="00D54DB9" w14:paraId="1279E7EF" w14:textId="6C41FBF7">
      <w:pPr>
        <w:pStyle w:val="ListParagraph"/>
        <w:numPr>
          <w:ilvl w:val="0"/>
          <w:numId w:val="3"/>
        </w:numPr>
        <w:spacing w:after="200"/>
      </w:pPr>
      <w:r>
        <w:t>Nomination of MVPs</w:t>
      </w:r>
    </w:p>
    <w:p w:rsidR="00C90045" w:rsidP="00B41DE5" w:rsidRDefault="00C90045" w14:paraId="67B82832" w14:textId="2224A0C7">
      <w:pPr>
        <w:pStyle w:val="ListParagraph"/>
        <w:numPr>
          <w:ilvl w:val="0"/>
          <w:numId w:val="3"/>
        </w:numPr>
        <w:spacing w:after="200"/>
      </w:pPr>
      <w:r w:rsidRPr="00DB082D">
        <w:t>Opt out of performance data display on Physician Compare for</w:t>
      </w:r>
      <w:r>
        <w:t xml:space="preserve"> voluntary reporters under MIPS</w:t>
      </w:r>
    </w:p>
    <w:p w:rsidRPr="00DB082D" w:rsidR="00C90045" w:rsidP="00B41DE5" w:rsidRDefault="00C90045" w14:paraId="51A764B9" w14:textId="77777777">
      <w:pPr>
        <w:pStyle w:val="ListParagraph"/>
        <w:numPr>
          <w:ilvl w:val="0"/>
          <w:numId w:val="3"/>
        </w:numPr>
        <w:spacing w:after="200"/>
      </w:pPr>
      <w:r>
        <w:t>Partial Qualifying APM Participant (Partial QP) election</w:t>
      </w:r>
      <w:r w:rsidRPr="00DB082D">
        <w:t xml:space="preserve"> </w:t>
      </w:r>
    </w:p>
    <w:p w:rsidR="00C90045" w:rsidP="00B41DE5" w:rsidRDefault="00C90045" w14:paraId="1DCFE4A7" w14:textId="77777777">
      <w:pPr>
        <w:pStyle w:val="ListParagraph"/>
        <w:numPr>
          <w:ilvl w:val="0"/>
          <w:numId w:val="3"/>
        </w:numPr>
        <w:spacing w:after="200"/>
      </w:pPr>
      <w:r w:rsidRPr="00DB082D">
        <w:t xml:space="preserve">Other Payer Advanced APM </w:t>
      </w:r>
      <w:r>
        <w:t>determinations</w:t>
      </w:r>
      <w:r w:rsidRPr="00DB082D">
        <w:t xml:space="preserve">: </w:t>
      </w:r>
      <w:r>
        <w:t>P</w:t>
      </w:r>
      <w:r w:rsidRPr="00DB082D">
        <w:t xml:space="preserve">ayer </w:t>
      </w:r>
      <w:r>
        <w:t>I</w:t>
      </w:r>
      <w:r w:rsidRPr="00DB082D">
        <w:t xml:space="preserve">nitiated </w:t>
      </w:r>
      <w:r>
        <w:t>P</w:t>
      </w:r>
      <w:r w:rsidRPr="00DB082D">
        <w:t>rocess</w:t>
      </w:r>
    </w:p>
    <w:p w:rsidR="00C90045" w:rsidP="00B41DE5" w:rsidRDefault="00C90045" w14:paraId="4B838D2B" w14:textId="53A893D0">
      <w:pPr>
        <w:pStyle w:val="ListParagraph"/>
        <w:numPr>
          <w:ilvl w:val="0"/>
          <w:numId w:val="3"/>
        </w:numPr>
        <w:spacing w:after="200"/>
      </w:pPr>
      <w:r>
        <w:t xml:space="preserve">Other Payer Advanced APM determinations: </w:t>
      </w:r>
      <w:r w:rsidR="0069322F">
        <w:t xml:space="preserve">Eligible </w:t>
      </w:r>
      <w:r>
        <w:t xml:space="preserve">Clinician Initiated Process </w:t>
      </w:r>
    </w:p>
    <w:p w:rsidR="00BB0598" w:rsidP="00B41DE5" w:rsidRDefault="00C90045" w14:paraId="151B99CB" w14:textId="23FDDF66">
      <w:pPr>
        <w:pStyle w:val="ListParagraph"/>
        <w:numPr>
          <w:ilvl w:val="0"/>
          <w:numId w:val="3"/>
        </w:numPr>
        <w:spacing w:after="200"/>
      </w:pPr>
      <w:r w:rsidRPr="004E01D7">
        <w:t>Submission of Data for All-Payer QP Determinations</w:t>
      </w:r>
      <w:r w:rsidR="00BB0598">
        <w:t xml:space="preserve"> Framework for Understanding the Burden of MIPS Data Submission</w:t>
      </w:r>
    </w:p>
    <w:p w:rsidRPr="00041A6A" w:rsidR="00BB0598" w:rsidP="00891FD8" w:rsidRDefault="0004680F" w14:paraId="37072A9E" w14:textId="6AB4AC07">
      <w:pPr>
        <w:pStyle w:val="Heading3"/>
      </w:pPr>
      <w:r w:rsidRPr="00041A6A">
        <w:t>Burden for Third Party Reporting</w:t>
      </w:r>
    </w:p>
    <w:p w:rsidRPr="0004680F" w:rsidR="0004680F" w:rsidP="00730BEF" w:rsidRDefault="00B4313F" w14:paraId="0C6A94E8" w14:textId="2FCE0D58">
      <w:r w:rsidRPr="00B4313F">
        <w:t xml:space="preserve">Under MIPS, the quality, Promoting Interoperability, and improvement activities performance category data may be submitted via relevant third-party intermediaries, such as qualified registries, QCDRs, and health IT vendors.  Data on the CAHPS for MIPS survey, which counts as either one quality performance category measure, or towards an improvement activity, can be submitted via CMS-approved survey vendors.  Entities seeking approval to submit data on behalf of clinicians as a qualified registry, QCDR, or survey vendor must complete a self-nominate process annually.  The processes for self-nomination for entities seeking approval as qualified registries and QCDRs are similar with the exception that QCDRs have the option to nominate QCDR measures for approval for the reporting of quality performance category data.  Therefore, differences between QCDRs and qualified registry self-nomination are associated with the </w:t>
      </w:r>
      <w:r w:rsidRPr="00B4313F">
        <w:lastRenderedPageBreak/>
        <w:t xml:space="preserve">preparation of QCDR measures for approval.  </w:t>
      </w:r>
      <w:r w:rsidRPr="00AD3EE3" w:rsidR="00C166D7">
        <w:rPr>
          <w:rFonts w:eastAsia="Calibri"/>
        </w:rPr>
        <w:t>The burden associated with qualified registry self-nomination</w:t>
      </w:r>
      <w:r w:rsidR="00AD3EE3">
        <w:rPr>
          <w:rFonts w:eastAsia="Calibri"/>
        </w:rPr>
        <w:t xml:space="preserve"> and</w:t>
      </w:r>
      <w:r w:rsidRPr="00AD3EE3" w:rsidR="00C166D7">
        <w:rPr>
          <w:rFonts w:eastAsia="Calibri"/>
        </w:rPr>
        <w:t xml:space="preserve"> QCDR self-nomination </w:t>
      </w:r>
      <w:r w:rsidR="0047388C">
        <w:rPr>
          <w:rFonts w:eastAsia="Calibri"/>
        </w:rPr>
        <w:t xml:space="preserve">and measure submission </w:t>
      </w:r>
      <w:r w:rsidRPr="00AD3EE3" w:rsidR="00C166D7">
        <w:rPr>
          <w:rFonts w:eastAsia="Calibri"/>
        </w:rPr>
        <w:t>follow:</w:t>
      </w:r>
    </w:p>
    <w:p w:rsidRPr="00041A6A" w:rsidR="00CB1502" w:rsidP="00097CA9" w:rsidRDefault="0004680F" w14:paraId="2D8FC7D3" w14:textId="1B5D9F72">
      <w:pPr>
        <w:pStyle w:val="Heading4"/>
        <w:tabs>
          <w:tab w:val="clear" w:pos="720"/>
          <w:tab w:val="left" w:pos="900"/>
        </w:tabs>
        <w:ind w:left="2880"/>
      </w:pPr>
      <w:r w:rsidRPr="00041A6A">
        <w:t>Burden for Qualified Registry Se</w:t>
      </w:r>
      <w:r w:rsidRPr="000E7E06">
        <w:t>lf-Nomination</w:t>
      </w:r>
      <w:r w:rsidRPr="000E7E06" w:rsidR="001351E4">
        <w:t xml:space="preserve"> </w:t>
      </w:r>
      <w:r w:rsidR="00E770C9">
        <w:br/>
      </w:r>
      <w:r w:rsidRPr="000E7E06" w:rsidR="001351E4">
        <w:t>and other Requirements</w:t>
      </w:r>
    </w:p>
    <w:p w:rsidRPr="0076539F" w:rsidR="0076539F" w:rsidP="00730BEF" w:rsidRDefault="0076539F" w14:paraId="3C642C85" w14:textId="06CDED51">
      <w:pPr>
        <w:rPr>
          <w:rFonts w:eastAsia="Calibri"/>
        </w:rPr>
      </w:pPr>
      <w:r w:rsidRPr="0076539F">
        <w:rPr>
          <w:rFonts w:eastAsia="Calibri"/>
        </w:rPr>
        <w:t xml:space="preserve">Qualified registries interested in submitting MIPS data to us on their participants’ behalf need to complete a self-nomination process to be considered </w:t>
      </w:r>
      <w:r w:rsidR="00C15E6E">
        <w:rPr>
          <w:rFonts w:eastAsia="Calibri"/>
        </w:rPr>
        <w:t>for approval to do so</w:t>
      </w:r>
      <w:r w:rsidRPr="0076539F">
        <w:rPr>
          <w:rFonts w:eastAsia="Calibri"/>
        </w:rPr>
        <w:t xml:space="preserve"> (82 FR 53815).  </w:t>
      </w:r>
    </w:p>
    <w:p w:rsidR="0076539F" w:rsidP="00730BEF" w:rsidRDefault="00F46F1D" w14:paraId="6A0CBD43" w14:textId="569706A3">
      <w:pPr>
        <w:rPr>
          <w:rFonts w:eastAsia="Calibri"/>
        </w:rPr>
      </w:pPr>
      <w:r>
        <w:rPr>
          <w:rFonts w:eastAsia="Calibri"/>
        </w:rPr>
        <w:t>P</w:t>
      </w:r>
      <w:r w:rsidRPr="006C31CB" w:rsidR="006C31CB">
        <w:rPr>
          <w:rFonts w:eastAsia="Calibri"/>
        </w:rPr>
        <w:t xml:space="preserve">reviously approved qualified registries in good standing (i.e., that are not on probation or disqualified) may attest that certain aspects of their previous year's approved self-nomination have not changed and will be used for the applicable performance period.  </w:t>
      </w:r>
      <w:r>
        <w:rPr>
          <w:rFonts w:eastAsia="Calibri"/>
        </w:rPr>
        <w:t>Q</w:t>
      </w:r>
      <w:r w:rsidRPr="006C31CB" w:rsidR="006C31CB">
        <w:rPr>
          <w:rFonts w:eastAsia="Calibri"/>
        </w:rPr>
        <w:t>ualified registries in good standing that would like to make minimal changes to their previously approved self-nomination application from the previous year, may submit these changes, and attest to no other changes from their previously approved qualified registry application for CMS review during the self-nomination period. The self-nomination period is from July 1 to September 1 of the calendar year prior to the applicable performance period.</w:t>
      </w:r>
    </w:p>
    <w:p w:rsidR="00683327" w:rsidP="00730BEF" w:rsidRDefault="004B2DF9" w14:paraId="303F41F9" w14:textId="30D0FE7F">
      <w:pPr>
        <w:rPr>
          <w:rFonts w:eastAsia="Calibri"/>
        </w:rPr>
      </w:pPr>
      <w:r w:rsidRPr="004B2DF9">
        <w:rPr>
          <w:rFonts w:eastAsia="Calibri"/>
        </w:rPr>
        <w:t>In th</w:t>
      </w:r>
      <w:r w:rsidR="00B65738">
        <w:rPr>
          <w:rFonts w:eastAsia="Calibri"/>
        </w:rPr>
        <w:t>e CY 202</w:t>
      </w:r>
      <w:r w:rsidR="008C045C">
        <w:rPr>
          <w:rFonts w:eastAsia="Calibri"/>
        </w:rPr>
        <w:t>2</w:t>
      </w:r>
      <w:r w:rsidR="00B65738">
        <w:rPr>
          <w:rFonts w:eastAsia="Calibri"/>
        </w:rPr>
        <w:t xml:space="preserve"> PFS </w:t>
      </w:r>
      <w:r w:rsidR="008C045C">
        <w:rPr>
          <w:rFonts w:eastAsia="Calibri"/>
        </w:rPr>
        <w:t>proposed</w:t>
      </w:r>
      <w:r w:rsidRPr="004B2DF9">
        <w:rPr>
          <w:rFonts w:eastAsia="Calibri"/>
        </w:rPr>
        <w:t xml:space="preserve"> rule</w:t>
      </w:r>
      <w:r w:rsidR="00B6137C">
        <w:rPr>
          <w:rFonts w:eastAsia="Calibri"/>
        </w:rPr>
        <w:t xml:space="preserve"> (86 FR 39463)</w:t>
      </w:r>
      <w:r w:rsidRPr="004B2DF9">
        <w:rPr>
          <w:rFonts w:eastAsia="Calibri"/>
        </w:rPr>
        <w:t xml:space="preserve">, we </w:t>
      </w:r>
      <w:r w:rsidR="0033099B">
        <w:rPr>
          <w:rFonts w:eastAsia="Calibri"/>
        </w:rPr>
        <w:t>propose</w:t>
      </w:r>
      <w:r w:rsidRPr="004B2DF9">
        <w:rPr>
          <w:rFonts w:eastAsia="Calibri"/>
        </w:rPr>
        <w:t xml:space="preserve"> that beginning with the </w:t>
      </w:r>
      <w:r w:rsidR="0033099B">
        <w:rPr>
          <w:rFonts w:eastAsia="Calibri"/>
        </w:rPr>
        <w:t xml:space="preserve">CY </w:t>
      </w:r>
      <w:r w:rsidRPr="004B2DF9">
        <w:rPr>
          <w:rFonts w:eastAsia="Calibri"/>
        </w:rPr>
        <w:t>2023</w:t>
      </w:r>
      <w:r w:rsidR="0033099B">
        <w:rPr>
          <w:rFonts w:eastAsia="Calibri"/>
        </w:rPr>
        <w:t xml:space="preserve"> qualified registry</w:t>
      </w:r>
      <w:r w:rsidRPr="004B2DF9">
        <w:rPr>
          <w:rFonts w:eastAsia="Calibri"/>
        </w:rPr>
        <w:t xml:space="preserve"> </w:t>
      </w:r>
      <w:r w:rsidR="0033099B">
        <w:rPr>
          <w:rFonts w:eastAsia="Calibri"/>
        </w:rPr>
        <w:t>self-nomination period</w:t>
      </w:r>
      <w:r w:rsidR="00EC593D">
        <w:rPr>
          <w:rFonts w:eastAsia="Calibri"/>
        </w:rPr>
        <w:t xml:space="preserve">, </w:t>
      </w:r>
      <w:r w:rsidRPr="003359ED" w:rsidR="00EC593D">
        <w:rPr>
          <w:rFonts w:eastAsia="Calibri"/>
        </w:rPr>
        <w:t xml:space="preserve">qualified </w:t>
      </w:r>
      <w:r w:rsidR="00EC593D">
        <w:rPr>
          <w:rFonts w:eastAsia="Calibri"/>
        </w:rPr>
        <w:t>r</w:t>
      </w:r>
      <w:r w:rsidRPr="003359ED" w:rsidR="00EC593D">
        <w:rPr>
          <w:rFonts w:eastAsia="Calibri"/>
        </w:rPr>
        <w:t xml:space="preserve">egistries </w:t>
      </w:r>
      <w:r w:rsidR="00EC593D">
        <w:rPr>
          <w:rFonts w:eastAsia="Calibri"/>
        </w:rPr>
        <w:t>that</w:t>
      </w:r>
      <w:r w:rsidRPr="003359ED" w:rsidR="00EC593D">
        <w:rPr>
          <w:rFonts w:eastAsia="Calibri"/>
        </w:rPr>
        <w:t xml:space="preserve"> have never submitted data since the inception of MIPS </w:t>
      </w:r>
      <w:r w:rsidR="00EC593D">
        <w:rPr>
          <w:rFonts w:eastAsia="Calibri"/>
        </w:rPr>
        <w:t xml:space="preserve">(CY 2017 MIPS performance period/2019 MIPS payment year) </w:t>
      </w:r>
      <w:r w:rsidRPr="003359ED" w:rsidR="00EC593D">
        <w:rPr>
          <w:rFonts w:eastAsia="Calibri"/>
        </w:rPr>
        <w:t xml:space="preserve">through </w:t>
      </w:r>
      <w:r w:rsidR="00EC593D">
        <w:rPr>
          <w:rFonts w:eastAsia="Calibri"/>
        </w:rPr>
        <w:t>the CY 2020 MIPS performance period/2022 MIPS payment year</w:t>
      </w:r>
      <w:r w:rsidRPr="003359ED" w:rsidR="00EC593D">
        <w:rPr>
          <w:rFonts w:eastAsia="Calibri"/>
        </w:rPr>
        <w:t xml:space="preserve">, </w:t>
      </w:r>
      <w:r w:rsidR="00364EA5">
        <w:rPr>
          <w:rFonts w:eastAsia="Calibri"/>
        </w:rPr>
        <w:t xml:space="preserve">must </w:t>
      </w:r>
      <w:r w:rsidRPr="003359ED" w:rsidR="00EC593D">
        <w:rPr>
          <w:rFonts w:eastAsia="Calibri"/>
        </w:rPr>
        <w:t>submit a participation plan as part of the</w:t>
      </w:r>
      <w:r w:rsidR="00EC593D">
        <w:rPr>
          <w:rFonts w:eastAsia="Calibri"/>
        </w:rPr>
        <w:t>ir self-nomination</w:t>
      </w:r>
      <w:r w:rsidR="00DD69E8">
        <w:rPr>
          <w:rFonts w:eastAsia="Calibri"/>
        </w:rPr>
        <w:t xml:space="preserve"> application</w:t>
      </w:r>
      <w:r w:rsidR="00EC593D">
        <w:rPr>
          <w:rFonts w:eastAsia="Calibri"/>
        </w:rPr>
        <w:t xml:space="preserve"> for CY 2023</w:t>
      </w:r>
      <w:r w:rsidR="00DD69E8">
        <w:rPr>
          <w:rFonts w:eastAsia="Calibri"/>
        </w:rPr>
        <w:t xml:space="preserve">. </w:t>
      </w:r>
      <w:r w:rsidRPr="008B697A" w:rsidR="008B697A">
        <w:rPr>
          <w:rFonts w:eastAsia="Calibri"/>
        </w:rPr>
        <w:t>Exceptions to this requirement may occur if data is received for the CY 2021 MIPS performance period/2023 MIPS payment year. Under this scenario, qualified registries would not need to submit a participation plan for the 2023 self-nomination process.</w:t>
      </w:r>
      <w:r w:rsidR="00B84045">
        <w:rPr>
          <w:rFonts w:eastAsia="Calibri"/>
        </w:rPr>
        <w:t xml:space="preserve"> </w:t>
      </w:r>
      <w:r w:rsidRPr="002508E4" w:rsidR="002508E4">
        <w:rPr>
          <w:rFonts w:eastAsia="Calibri"/>
        </w:rPr>
        <w:t xml:space="preserve">Under this proposal, the participation plan must explain the qualified registry’s detailed plans about how the vendor intends to encourage clinicians to submit MIPS data to CMS through the third-party intermediary on behalf of clinicians or groups.  The vendor must also explain why they should still be allowed to participate as a qualified vendor.  </w:t>
      </w:r>
    </w:p>
    <w:p w:rsidR="00285D3B" w:rsidP="00730BEF" w:rsidRDefault="00683327" w14:paraId="6D67176F" w14:textId="5C55D4A1">
      <w:pPr>
        <w:rPr>
          <w:rFonts w:eastAsia="Calibri"/>
        </w:rPr>
      </w:pPr>
      <w:r w:rsidRPr="006E080C">
        <w:rPr>
          <w:rFonts w:eastAsia="Calibri"/>
        </w:rPr>
        <w:t>Based on our review of the existing list of approved qualified registries</w:t>
      </w:r>
      <w:r>
        <w:rPr>
          <w:rFonts w:eastAsia="Calibri"/>
        </w:rPr>
        <w:t xml:space="preserve"> that did not submit performance data since the inception of MIPS (CY 2017 MIPS performance period/2019 MIPS payment year)</w:t>
      </w:r>
      <w:r w:rsidRPr="006E080C">
        <w:rPr>
          <w:rFonts w:eastAsia="Calibri"/>
        </w:rPr>
        <w:t xml:space="preserve">, we estimate that </w:t>
      </w:r>
      <w:r>
        <w:rPr>
          <w:rFonts w:eastAsia="Calibri"/>
        </w:rPr>
        <w:t>19 qualified registries will submit</w:t>
      </w:r>
      <w:r w:rsidRPr="006E080C">
        <w:rPr>
          <w:rFonts w:eastAsia="Calibri"/>
        </w:rPr>
        <w:t xml:space="preserve"> participation plans </w:t>
      </w:r>
      <w:r>
        <w:rPr>
          <w:rFonts w:eastAsia="Calibri"/>
        </w:rPr>
        <w:t>for</w:t>
      </w:r>
      <w:r w:rsidRPr="006E080C">
        <w:rPr>
          <w:rFonts w:eastAsia="Calibri"/>
        </w:rPr>
        <w:t xml:space="preserve"> the CY 202</w:t>
      </w:r>
      <w:r>
        <w:rPr>
          <w:rFonts w:eastAsia="Calibri"/>
        </w:rPr>
        <w:t>3</w:t>
      </w:r>
      <w:r w:rsidRPr="006E080C">
        <w:rPr>
          <w:rFonts w:eastAsia="Calibri"/>
        </w:rPr>
        <w:t xml:space="preserve"> </w:t>
      </w:r>
      <w:r>
        <w:rPr>
          <w:rFonts w:eastAsia="Calibri"/>
        </w:rPr>
        <w:t>MIPS</w:t>
      </w:r>
      <w:r w:rsidRPr="006E080C">
        <w:rPr>
          <w:rFonts w:eastAsia="Calibri"/>
        </w:rPr>
        <w:t xml:space="preserve"> self-nomination period</w:t>
      </w:r>
      <w:r>
        <w:rPr>
          <w:rFonts w:eastAsia="Calibri"/>
        </w:rPr>
        <w:t xml:space="preserve">. </w:t>
      </w:r>
      <w:r w:rsidRPr="00760C73">
        <w:rPr>
          <w:rFonts w:eastAsia="Calibri"/>
        </w:rPr>
        <w:t xml:space="preserve">Similar to our assumptions </w:t>
      </w:r>
      <w:r>
        <w:rPr>
          <w:rFonts w:eastAsia="Calibri"/>
        </w:rPr>
        <w:t xml:space="preserve">used </w:t>
      </w:r>
      <w:r w:rsidRPr="00760C73">
        <w:rPr>
          <w:rFonts w:eastAsia="Calibri"/>
        </w:rPr>
        <w:t xml:space="preserve">for submission of a </w:t>
      </w:r>
      <w:r w:rsidR="00CA46B1">
        <w:rPr>
          <w:rFonts w:eastAsia="Calibri"/>
        </w:rPr>
        <w:t>Corrective Action Plan (</w:t>
      </w:r>
      <w:r w:rsidRPr="00760C73">
        <w:rPr>
          <w:rFonts w:eastAsia="Calibri"/>
        </w:rPr>
        <w:t>CAP</w:t>
      </w:r>
      <w:r w:rsidR="00CA46B1">
        <w:rPr>
          <w:rFonts w:eastAsia="Calibri"/>
        </w:rPr>
        <w:t>)</w:t>
      </w:r>
      <w:r w:rsidRPr="00760C73">
        <w:rPr>
          <w:rFonts w:eastAsia="Calibri"/>
        </w:rPr>
        <w:t xml:space="preserve"> in the CY 2021 PFS final rule (85 FR 84968), </w:t>
      </w:r>
      <w:r>
        <w:rPr>
          <w:rFonts w:eastAsia="Calibri"/>
        </w:rPr>
        <w:t>we</w:t>
      </w:r>
      <w:r w:rsidRPr="00977610">
        <w:rPr>
          <w:rFonts w:eastAsia="Calibri"/>
        </w:rPr>
        <w:t xml:space="preserve"> anticipate </w:t>
      </w:r>
      <w:r>
        <w:rPr>
          <w:rFonts w:eastAsia="Calibri"/>
        </w:rPr>
        <w:t>that t</w:t>
      </w:r>
      <w:r w:rsidRPr="00977610">
        <w:rPr>
          <w:rFonts w:eastAsia="Calibri"/>
        </w:rPr>
        <w:t xml:space="preserve">he effort involved in developing </w:t>
      </w:r>
      <w:r>
        <w:rPr>
          <w:rFonts w:eastAsia="Calibri"/>
        </w:rPr>
        <w:t>a participation plan</w:t>
      </w:r>
      <w:r w:rsidRPr="00977610">
        <w:rPr>
          <w:rFonts w:eastAsia="Calibri"/>
        </w:rPr>
        <w:t xml:space="preserve"> including the </w:t>
      </w:r>
      <w:r>
        <w:rPr>
          <w:rFonts w:eastAsia="Calibri"/>
        </w:rPr>
        <w:t xml:space="preserve">proposed policies </w:t>
      </w:r>
      <w:r w:rsidRPr="00977610">
        <w:rPr>
          <w:rFonts w:eastAsia="Calibri"/>
        </w:rPr>
        <w:t>specified in th</w:t>
      </w:r>
      <w:r w:rsidR="00A756AF">
        <w:rPr>
          <w:rFonts w:eastAsia="Calibri"/>
        </w:rPr>
        <w:t>e CY 2022 PFS proposed</w:t>
      </w:r>
      <w:r w:rsidRPr="00977610">
        <w:rPr>
          <w:rFonts w:eastAsia="Calibri"/>
        </w:rPr>
        <w:t xml:space="preserve"> rule and submitting it to CMS is likely to be no more than 3 hours for a computer systems analyst at a rate of $9</w:t>
      </w:r>
      <w:r>
        <w:rPr>
          <w:rFonts w:eastAsia="Calibri"/>
        </w:rPr>
        <w:t>5.22</w:t>
      </w:r>
      <w:r w:rsidRPr="00977610">
        <w:rPr>
          <w:rFonts w:eastAsia="Calibri"/>
        </w:rPr>
        <w:t xml:space="preserve">/hr.  </w:t>
      </w:r>
      <w:r w:rsidR="00081EEE">
        <w:rPr>
          <w:rFonts w:eastAsia="Calibri"/>
        </w:rPr>
        <w:t>In aggregate, f</w:t>
      </w:r>
      <w:r>
        <w:rPr>
          <w:rFonts w:eastAsia="Calibri"/>
        </w:rPr>
        <w:t>or the CY 2023 MIPS performance period/2025 MIPS payment year,</w:t>
      </w:r>
      <w:r w:rsidRPr="00977610">
        <w:rPr>
          <w:rFonts w:eastAsia="Calibri"/>
        </w:rPr>
        <w:t xml:space="preserve"> we estimate an annual burden of </w:t>
      </w:r>
      <w:r>
        <w:rPr>
          <w:rFonts w:eastAsia="Calibri"/>
        </w:rPr>
        <w:t xml:space="preserve">57 </w:t>
      </w:r>
      <w:r w:rsidRPr="00977610">
        <w:rPr>
          <w:rFonts w:eastAsia="Calibri"/>
        </w:rPr>
        <w:t xml:space="preserve">hours (3 hr x </w:t>
      </w:r>
      <w:r>
        <w:rPr>
          <w:rFonts w:eastAsia="Calibri"/>
        </w:rPr>
        <w:t>19</w:t>
      </w:r>
      <w:r w:rsidRPr="00977610">
        <w:rPr>
          <w:rFonts w:eastAsia="Calibri"/>
        </w:rPr>
        <w:t xml:space="preserve"> </w:t>
      </w:r>
      <w:r>
        <w:rPr>
          <w:rFonts w:eastAsia="Calibri"/>
        </w:rPr>
        <w:t>participation plans</w:t>
      </w:r>
      <w:r w:rsidRPr="00977610">
        <w:rPr>
          <w:rFonts w:eastAsia="Calibri"/>
        </w:rPr>
        <w:t>) at a cost of $</w:t>
      </w:r>
      <w:r>
        <w:rPr>
          <w:rFonts w:eastAsia="Calibri"/>
        </w:rPr>
        <w:t>5,428</w:t>
      </w:r>
      <w:r w:rsidRPr="00977610">
        <w:rPr>
          <w:rFonts w:eastAsia="Calibri"/>
        </w:rPr>
        <w:t xml:space="preserve"> </w:t>
      </w:r>
      <w:r>
        <w:rPr>
          <w:rFonts w:eastAsia="Calibri"/>
        </w:rPr>
        <w:t>(57</w:t>
      </w:r>
      <w:r w:rsidRPr="00977610">
        <w:rPr>
          <w:rFonts w:eastAsia="Calibri"/>
        </w:rPr>
        <w:t xml:space="preserve"> hr x $9</w:t>
      </w:r>
      <w:r>
        <w:rPr>
          <w:rFonts w:eastAsia="Calibri"/>
        </w:rPr>
        <w:t>5.22</w:t>
      </w:r>
      <w:r w:rsidRPr="00977610">
        <w:rPr>
          <w:rFonts w:eastAsia="Calibri"/>
        </w:rPr>
        <w:t>/hr) for</w:t>
      </w:r>
      <w:r>
        <w:rPr>
          <w:rFonts w:eastAsia="Calibri"/>
        </w:rPr>
        <w:t xml:space="preserve"> qualified registries</w:t>
      </w:r>
      <w:r w:rsidRPr="00977610">
        <w:rPr>
          <w:rFonts w:eastAsia="Calibri"/>
        </w:rPr>
        <w:t xml:space="preserve"> to develop and submit a </w:t>
      </w:r>
      <w:r>
        <w:rPr>
          <w:rFonts w:eastAsia="Calibri"/>
        </w:rPr>
        <w:t>participation plan</w:t>
      </w:r>
      <w:r w:rsidRPr="00977610">
        <w:rPr>
          <w:rFonts w:eastAsia="Calibri"/>
        </w:rPr>
        <w:t>.</w:t>
      </w:r>
      <w:r>
        <w:rPr>
          <w:rFonts w:eastAsia="Calibri"/>
        </w:rPr>
        <w:t xml:space="preserve"> </w:t>
      </w:r>
      <w:r w:rsidRPr="004B2DF9" w:rsidR="004B2DF9">
        <w:rPr>
          <w:rFonts w:eastAsia="Calibri"/>
        </w:rPr>
        <w:t xml:space="preserve"> </w:t>
      </w:r>
    </w:p>
    <w:p w:rsidR="0056224C" w:rsidP="00730BEF" w:rsidRDefault="00C8411E" w14:paraId="19260656" w14:textId="5AF428CA">
      <w:pPr>
        <w:rPr>
          <w:rFonts w:eastAsia="Calibri"/>
        </w:rPr>
      </w:pPr>
      <w:r>
        <w:t xml:space="preserve">We are adjusting the number of qualified registries we assume will self-nominate for the CY 2022 MIPS performance period/2024 MIPS payment year from the </w:t>
      </w:r>
      <w:r w:rsidRPr="003E4563">
        <w:t xml:space="preserve">currently </w:t>
      </w:r>
      <w:r w:rsidRPr="004659AB">
        <w:t>approved estimate of 183</w:t>
      </w:r>
      <w:r>
        <w:t xml:space="preserve"> to 210</w:t>
      </w:r>
      <w:r w:rsidRPr="004659AB">
        <w:t xml:space="preserve">, an increase of </w:t>
      </w:r>
      <w:r w:rsidR="00706CBD">
        <w:t>27</w:t>
      </w:r>
      <w:r w:rsidRPr="004659AB">
        <w:t xml:space="preserve"> from the currently approved estimate based on the number of self-nominations received during the CY 202</w:t>
      </w:r>
      <w:r w:rsidR="00706CBD">
        <w:t>1</w:t>
      </w:r>
      <w:r w:rsidRPr="004659AB">
        <w:t xml:space="preserve"> </w:t>
      </w:r>
      <w:r w:rsidR="00CE72CA">
        <w:t>self-</w:t>
      </w:r>
      <w:r w:rsidRPr="004659AB">
        <w:t>nomination period</w:t>
      </w:r>
      <w:r>
        <w:t xml:space="preserve">.  </w:t>
      </w:r>
      <w:r w:rsidR="000C7149">
        <w:rPr>
          <w:rFonts w:eastAsia="Calibri"/>
        </w:rPr>
        <w:t xml:space="preserve">In the CY 2019 PFS final rule, we estimated that </w:t>
      </w:r>
      <w:r w:rsidR="001016DC">
        <w:rPr>
          <w:rFonts w:eastAsia="Calibri"/>
        </w:rPr>
        <w:t>the burden per respondent wi</w:t>
      </w:r>
      <w:r w:rsidR="00B84EAE">
        <w:rPr>
          <w:rFonts w:eastAsia="Calibri"/>
        </w:rPr>
        <w:t>ll range from 0.5</w:t>
      </w:r>
      <w:r w:rsidR="00D91280">
        <w:rPr>
          <w:rFonts w:eastAsia="Calibri"/>
        </w:rPr>
        <w:t xml:space="preserve"> hours for the simplified nomination form and</w:t>
      </w:r>
      <w:r w:rsidR="000C7149">
        <w:rPr>
          <w:rFonts w:eastAsia="Calibri"/>
        </w:rPr>
        <w:t xml:space="preserve"> 3 hours for a qualified registry to submit all the required information during the full self-nomination process (83 FR 59998). Based on our experience with the self-</w:t>
      </w:r>
      <w:r w:rsidR="000C7149">
        <w:rPr>
          <w:rFonts w:eastAsia="Calibri"/>
        </w:rPr>
        <w:lastRenderedPageBreak/>
        <w:t>nomination process, we believe that the number of fields needed to be submitted for a qualified registry are fewer than those needed for a QCDR</w:t>
      </w:r>
      <w:r w:rsidR="00480D9A">
        <w:rPr>
          <w:rFonts w:eastAsia="Calibri"/>
        </w:rPr>
        <w:t xml:space="preserve"> self-nomination form</w:t>
      </w:r>
      <w:r w:rsidR="000C7149">
        <w:rPr>
          <w:rFonts w:eastAsia="Calibri"/>
        </w:rPr>
        <w:t xml:space="preserve">. We assume that our previous assumption of 3 hours is an </w:t>
      </w:r>
      <w:r w:rsidR="00AB1AE3">
        <w:rPr>
          <w:rFonts w:eastAsia="Calibri"/>
        </w:rPr>
        <w:t>overestimate,</w:t>
      </w:r>
      <w:r w:rsidR="00F64474">
        <w:rPr>
          <w:rFonts w:eastAsia="Calibri"/>
        </w:rPr>
        <w:t xml:space="preserve"> and</w:t>
      </w:r>
      <w:r w:rsidR="000C7149">
        <w:rPr>
          <w:rFonts w:eastAsia="Calibri"/>
        </w:rPr>
        <w:t xml:space="preserve"> we estimate</w:t>
      </w:r>
      <w:r w:rsidR="00AE5B8A">
        <w:rPr>
          <w:rFonts w:eastAsia="Calibri"/>
        </w:rPr>
        <w:t xml:space="preserve"> that the </w:t>
      </w:r>
      <w:r w:rsidR="000C7149">
        <w:rPr>
          <w:rFonts w:eastAsia="Calibri"/>
        </w:rPr>
        <w:t xml:space="preserve">time required for a qualified registry submitting a full-self-nomination process </w:t>
      </w:r>
      <w:r w:rsidR="00DB661B">
        <w:rPr>
          <w:rFonts w:eastAsia="Calibri"/>
        </w:rPr>
        <w:t xml:space="preserve">will be </w:t>
      </w:r>
      <w:r w:rsidR="000C7149">
        <w:rPr>
          <w:rFonts w:eastAsia="Calibri"/>
        </w:rPr>
        <w:t>2 hours</w:t>
      </w:r>
      <w:r w:rsidR="00BB5694">
        <w:rPr>
          <w:rFonts w:eastAsia="Calibri"/>
        </w:rPr>
        <w:t>.</w:t>
      </w:r>
      <w:r w:rsidR="001016DC">
        <w:rPr>
          <w:rFonts w:eastAsia="Calibri"/>
        </w:rPr>
        <w:t xml:space="preserve"> </w:t>
      </w:r>
      <w:r w:rsidR="008F7428">
        <w:rPr>
          <w:rFonts w:eastAsia="Calibri"/>
        </w:rPr>
        <w:t xml:space="preserve">In aggregate, </w:t>
      </w:r>
      <w:r w:rsidR="008F7428">
        <w:t>w</w:t>
      </w:r>
      <w:r>
        <w:t xml:space="preserve">e to </w:t>
      </w:r>
      <w:r w:rsidR="008F7428">
        <w:t xml:space="preserve">revise the </w:t>
      </w:r>
      <w:r>
        <w:t>estimate</w:t>
      </w:r>
      <w:r w:rsidR="008F7428">
        <w:t>d</w:t>
      </w:r>
      <w:r>
        <w:rPr>
          <w:rFonts w:eastAsia="Calibri"/>
        </w:rPr>
        <w:t xml:space="preserve"> burden per respondent</w:t>
      </w:r>
      <w:r w:rsidR="00E745FA">
        <w:rPr>
          <w:rFonts w:eastAsia="Calibri"/>
        </w:rPr>
        <w:t xml:space="preserve"> to</w:t>
      </w:r>
      <w:r w:rsidR="00531444">
        <w:rPr>
          <w:rFonts w:eastAsia="Calibri"/>
        </w:rPr>
        <w:t xml:space="preserve"> </w:t>
      </w:r>
      <w:r w:rsidR="001E4BF5">
        <w:rPr>
          <w:rFonts w:eastAsia="Calibri"/>
        </w:rPr>
        <w:t>rang</w:t>
      </w:r>
      <w:r w:rsidR="00E745FA">
        <w:rPr>
          <w:rFonts w:eastAsia="Calibri"/>
        </w:rPr>
        <w:t>e</w:t>
      </w:r>
      <w:r w:rsidR="001E4BF5">
        <w:rPr>
          <w:rFonts w:eastAsia="Calibri"/>
        </w:rPr>
        <w:t xml:space="preserve"> </w:t>
      </w:r>
      <w:r w:rsidR="00E745FA">
        <w:rPr>
          <w:rFonts w:eastAsia="Calibri"/>
        </w:rPr>
        <w:t xml:space="preserve">from </w:t>
      </w:r>
      <w:r>
        <w:rPr>
          <w:rFonts w:eastAsia="Calibri"/>
        </w:rPr>
        <w:t xml:space="preserve">0.5 hours for the simplified self-nomination form to </w:t>
      </w:r>
      <w:r w:rsidR="006A6B9B">
        <w:rPr>
          <w:rFonts w:eastAsia="Calibri"/>
        </w:rPr>
        <w:t>2</w:t>
      </w:r>
      <w:r>
        <w:rPr>
          <w:rFonts w:eastAsia="Calibri"/>
        </w:rPr>
        <w:t xml:space="preserve"> hours for the full self-nomination form.</w:t>
      </w:r>
      <w:r w:rsidRPr="00094949">
        <w:rPr>
          <w:rFonts w:eastAsia="Calibri"/>
        </w:rPr>
        <w:t xml:space="preserve"> </w:t>
      </w:r>
      <w:r w:rsidR="00903FBC">
        <w:rPr>
          <w:rFonts w:eastAsia="Calibri"/>
        </w:rPr>
        <w:t>W</w:t>
      </w:r>
      <w:r w:rsidRPr="00977610" w:rsidR="004E4008">
        <w:rPr>
          <w:rFonts w:eastAsia="Calibri"/>
        </w:rPr>
        <w:t xml:space="preserve">e estimate that the annual burden will range from </w:t>
      </w:r>
      <w:r w:rsidR="004E4008">
        <w:rPr>
          <w:rFonts w:eastAsia="Calibri"/>
        </w:rPr>
        <w:t>105</w:t>
      </w:r>
      <w:r w:rsidRPr="00977610" w:rsidR="004E4008">
        <w:rPr>
          <w:rFonts w:eastAsia="Calibri"/>
        </w:rPr>
        <w:t xml:space="preserve"> hours (</w:t>
      </w:r>
      <w:r w:rsidR="004E4008">
        <w:rPr>
          <w:rFonts w:eastAsia="Calibri"/>
        </w:rPr>
        <w:t xml:space="preserve">210 </w:t>
      </w:r>
      <w:r w:rsidRPr="00977610" w:rsidR="004E4008">
        <w:rPr>
          <w:rFonts w:eastAsia="Calibri"/>
        </w:rPr>
        <w:t xml:space="preserve">qualified registries x 0.5 hr) </w:t>
      </w:r>
      <w:r w:rsidR="00355D36">
        <w:rPr>
          <w:rFonts w:eastAsia="Calibri"/>
        </w:rPr>
        <w:t xml:space="preserve">at a cost of $9,998 (105 hr </w:t>
      </w:r>
      <w:r w:rsidRPr="008A1AAE" w:rsidR="008A1AAE">
        <w:rPr>
          <w:rFonts w:eastAsia="Calibri"/>
        </w:rPr>
        <w:t>x $95.22/hr</w:t>
      </w:r>
      <w:r w:rsidR="00355D36">
        <w:rPr>
          <w:rFonts w:eastAsia="Calibri"/>
        </w:rPr>
        <w:t>)</w:t>
      </w:r>
      <w:r w:rsidR="008A1AAE">
        <w:rPr>
          <w:rFonts w:eastAsia="Calibri"/>
        </w:rPr>
        <w:t xml:space="preserve"> </w:t>
      </w:r>
      <w:r w:rsidRPr="00977610" w:rsidR="004E4008">
        <w:rPr>
          <w:rFonts w:eastAsia="Calibri"/>
        </w:rPr>
        <w:t xml:space="preserve">to </w:t>
      </w:r>
      <w:r w:rsidR="004E4008">
        <w:rPr>
          <w:rFonts w:eastAsia="Calibri"/>
        </w:rPr>
        <w:t>420</w:t>
      </w:r>
      <w:r w:rsidRPr="00977610" w:rsidR="004E4008">
        <w:rPr>
          <w:rFonts w:eastAsia="Calibri"/>
        </w:rPr>
        <w:t xml:space="preserve"> hours (</w:t>
      </w:r>
      <w:r w:rsidR="004E4008">
        <w:rPr>
          <w:rFonts w:eastAsia="Calibri"/>
        </w:rPr>
        <w:t>210</w:t>
      </w:r>
      <w:r w:rsidRPr="00977610" w:rsidR="004E4008">
        <w:rPr>
          <w:rFonts w:eastAsia="Calibri"/>
        </w:rPr>
        <w:t xml:space="preserve"> qualified registries x </w:t>
      </w:r>
      <w:r w:rsidR="004E4008">
        <w:rPr>
          <w:rFonts w:eastAsia="Calibri"/>
        </w:rPr>
        <w:t>2</w:t>
      </w:r>
      <w:r w:rsidRPr="00977610" w:rsidR="004E4008">
        <w:rPr>
          <w:rFonts w:eastAsia="Calibri"/>
        </w:rPr>
        <w:t xml:space="preserve"> hr) at a cost </w:t>
      </w:r>
      <w:r w:rsidR="00C034E9">
        <w:rPr>
          <w:rFonts w:eastAsia="Calibri"/>
        </w:rPr>
        <w:t xml:space="preserve">of </w:t>
      </w:r>
      <w:r w:rsidRPr="00977610" w:rsidR="004E4008">
        <w:rPr>
          <w:rFonts w:eastAsia="Calibri"/>
        </w:rPr>
        <w:t>$</w:t>
      </w:r>
      <w:r w:rsidR="008A1AAE">
        <w:rPr>
          <w:rFonts w:eastAsia="Calibri"/>
        </w:rPr>
        <w:t>39,992</w:t>
      </w:r>
      <w:r w:rsidRPr="00977610" w:rsidR="004E4008">
        <w:rPr>
          <w:rFonts w:eastAsia="Calibri"/>
        </w:rPr>
        <w:t xml:space="preserve"> (</w:t>
      </w:r>
      <w:r w:rsidR="003A1091">
        <w:rPr>
          <w:rFonts w:eastAsia="Calibri"/>
        </w:rPr>
        <w:t>420</w:t>
      </w:r>
      <w:r w:rsidRPr="00977610" w:rsidR="004E4008">
        <w:rPr>
          <w:rFonts w:eastAsia="Calibri"/>
        </w:rPr>
        <w:t xml:space="preserve"> hr </w:t>
      </w:r>
      <w:bookmarkStart w:name="_Hlk75793569" w:id="2"/>
      <w:r w:rsidRPr="00977610" w:rsidR="004E4008">
        <w:rPr>
          <w:rFonts w:eastAsia="Calibri"/>
        </w:rPr>
        <w:t>x $9</w:t>
      </w:r>
      <w:r w:rsidR="004E4008">
        <w:rPr>
          <w:rFonts w:eastAsia="Calibri"/>
        </w:rPr>
        <w:t>5.22</w:t>
      </w:r>
      <w:r w:rsidRPr="00977610" w:rsidR="004E4008">
        <w:rPr>
          <w:rFonts w:eastAsia="Calibri"/>
        </w:rPr>
        <w:t>/hr</w:t>
      </w:r>
      <w:bookmarkEnd w:id="2"/>
      <w:r w:rsidRPr="00977610" w:rsidR="004E4008">
        <w:rPr>
          <w:rFonts w:eastAsia="Calibri"/>
        </w:rPr>
        <w:t>)</w:t>
      </w:r>
      <w:r w:rsidR="003A1091">
        <w:rPr>
          <w:rFonts w:eastAsia="Calibri"/>
        </w:rPr>
        <w:t>.</w:t>
      </w:r>
      <w:r w:rsidRPr="00977610" w:rsidR="004E4008">
        <w:rPr>
          <w:rFonts w:eastAsia="Calibri"/>
        </w:rPr>
        <w:t xml:space="preserve"> </w:t>
      </w:r>
    </w:p>
    <w:p w:rsidR="00C8411E" w:rsidP="00730BEF" w:rsidRDefault="00C8411E" w14:paraId="3FAEC38D" w14:textId="567FB526">
      <w:pPr>
        <w:rPr>
          <w:rFonts w:eastAsia="Calibri"/>
        </w:rPr>
      </w:pPr>
      <w:r w:rsidRPr="009D25D0">
        <w:rPr>
          <w:rFonts w:eastAsia="Calibri"/>
        </w:rPr>
        <w:t>The burden associated with the qualified registry self-nomination process varies depending on the number of existing qualified registries that elect to use the simplified self-nomination process in lieu of the full self-nomination process as described in the CY 2018 Quality Payment Program final rule (82 FR 53815).  The QPP Self-Nomination Form is submitted electronically using a web-based tool.</w:t>
      </w:r>
      <w:r>
        <w:rPr>
          <w:rFonts w:eastAsia="Calibri"/>
        </w:rPr>
        <w:t xml:space="preserve"> </w:t>
      </w:r>
      <w:r w:rsidRPr="009D25D0">
        <w:rPr>
          <w:rFonts w:eastAsia="Calibri"/>
        </w:rPr>
        <w:t xml:space="preserve"> We will be submitting a revised version of the form for approval under OMB control number 0938-1314 (CMS-10621).</w:t>
      </w:r>
      <w:r>
        <w:rPr>
          <w:rFonts w:eastAsia="Calibri"/>
        </w:rPr>
        <w:t xml:space="preserve"> </w:t>
      </w:r>
      <w:r w:rsidR="00624C88">
        <w:rPr>
          <w:rFonts w:eastAsia="Calibri"/>
        </w:rPr>
        <w:t xml:space="preserve">In section </w:t>
      </w:r>
      <w:r w:rsidRPr="0008130A" w:rsidR="00624C88">
        <w:rPr>
          <w:rFonts w:eastAsia="Calibri"/>
        </w:rPr>
        <w:t>IV.A.3.h.(3)(a)(iii)</w:t>
      </w:r>
      <w:r w:rsidR="003E175D">
        <w:rPr>
          <w:rFonts w:eastAsia="Calibri"/>
        </w:rPr>
        <w:t xml:space="preserve"> of the CY 2022 PFS proposed rule, </w:t>
      </w:r>
      <w:r w:rsidR="00524642">
        <w:rPr>
          <w:rFonts w:eastAsia="Calibri"/>
        </w:rPr>
        <w:t xml:space="preserve">to </w:t>
      </w:r>
      <w:r w:rsidR="00447A37">
        <w:rPr>
          <w:rFonts w:eastAsia="Calibri"/>
        </w:rPr>
        <w:t xml:space="preserve">provide </w:t>
      </w:r>
      <w:r w:rsidR="00524642">
        <w:rPr>
          <w:rFonts w:eastAsia="Calibri"/>
        </w:rPr>
        <w:t xml:space="preserve">further </w:t>
      </w:r>
      <w:r w:rsidR="00447A37">
        <w:rPr>
          <w:rFonts w:eastAsia="Calibri"/>
        </w:rPr>
        <w:t>clarity</w:t>
      </w:r>
      <w:r w:rsidR="004A19EF">
        <w:rPr>
          <w:rFonts w:eastAsia="Calibri"/>
        </w:rPr>
        <w:t xml:space="preserve"> and to better align with the existing policy </w:t>
      </w:r>
      <w:r w:rsidRPr="009D25D0" w:rsidR="00D7678B">
        <w:rPr>
          <w:rFonts w:eastAsia="Calibri"/>
        </w:rPr>
        <w:t>described in the CY 2017 Quality Payment Program final rule</w:t>
      </w:r>
      <w:r w:rsidR="00484B38">
        <w:rPr>
          <w:rFonts w:eastAsia="Calibri"/>
        </w:rPr>
        <w:t xml:space="preserve"> (81 FR </w:t>
      </w:r>
      <w:r w:rsidR="004C7708">
        <w:rPr>
          <w:rFonts w:eastAsia="Calibri"/>
        </w:rPr>
        <w:t>77366 through 77367</w:t>
      </w:r>
      <w:r w:rsidR="00111AB0">
        <w:rPr>
          <w:rFonts w:eastAsia="Calibri"/>
        </w:rPr>
        <w:t xml:space="preserve">; 81 FR </w:t>
      </w:r>
      <w:r w:rsidR="001255E8">
        <w:rPr>
          <w:rFonts w:eastAsia="Calibri"/>
        </w:rPr>
        <w:t>77383 through 77384</w:t>
      </w:r>
      <w:r w:rsidR="00484B38">
        <w:rPr>
          <w:rFonts w:eastAsia="Calibri"/>
        </w:rPr>
        <w:t>)</w:t>
      </w:r>
      <w:r w:rsidRPr="009D25D0" w:rsidR="00D7678B">
        <w:rPr>
          <w:rFonts w:eastAsia="Calibri"/>
        </w:rPr>
        <w:t>,</w:t>
      </w:r>
      <w:r w:rsidR="0081649F">
        <w:rPr>
          <w:rFonts w:eastAsia="Calibri"/>
        </w:rPr>
        <w:t xml:space="preserve"> we propose to codify the </w:t>
      </w:r>
      <w:r w:rsidR="00B67E93">
        <w:rPr>
          <w:rFonts w:eastAsia="Calibri"/>
        </w:rPr>
        <w:t>requirement for</w:t>
      </w:r>
      <w:r w:rsidRPr="009D25D0" w:rsidR="00D7678B">
        <w:rPr>
          <w:rFonts w:eastAsia="Calibri"/>
        </w:rPr>
        <w:t xml:space="preserve"> qualified registr</w:t>
      </w:r>
      <w:r w:rsidR="00B67E93">
        <w:rPr>
          <w:rFonts w:eastAsia="Calibri"/>
        </w:rPr>
        <w:t>ies</w:t>
      </w:r>
      <w:r w:rsidRPr="009D25D0" w:rsidR="00D7678B">
        <w:rPr>
          <w:rFonts w:eastAsia="Calibri"/>
        </w:rPr>
        <w:t xml:space="preserve"> </w:t>
      </w:r>
      <w:r w:rsidR="002450CF">
        <w:rPr>
          <w:rFonts w:eastAsia="Calibri"/>
        </w:rPr>
        <w:t xml:space="preserve">to conduct </w:t>
      </w:r>
      <w:r w:rsidRPr="009D25D0" w:rsidR="00D7678B">
        <w:rPr>
          <w:rFonts w:eastAsia="Calibri"/>
        </w:rPr>
        <w:t xml:space="preserve">a randomized audit of a subset of data prior to submission, and the provision of a data validation plan along with the results of the executed data validation plan by May 31 of the year following the performance period . </w:t>
      </w:r>
    </w:p>
    <w:p w:rsidR="00E86976" w:rsidP="00730BEF" w:rsidRDefault="008A4870" w14:paraId="30803A1C" w14:textId="0AFD7914">
      <w:pPr>
        <w:rPr>
          <w:rFonts w:eastAsia="Calibri"/>
        </w:rPr>
      </w:pPr>
      <w:r>
        <w:rPr>
          <w:rFonts w:eastAsia="Calibri"/>
        </w:rPr>
        <w:t xml:space="preserve">In the CY 2021 </w:t>
      </w:r>
      <w:r w:rsidR="00D90F8B">
        <w:rPr>
          <w:rFonts w:eastAsia="Calibri"/>
        </w:rPr>
        <w:t xml:space="preserve">PFS final rule </w:t>
      </w:r>
      <w:r w:rsidR="009B72EF">
        <w:rPr>
          <w:rFonts w:eastAsia="Calibri"/>
        </w:rPr>
        <w:t xml:space="preserve">(85 FR </w:t>
      </w:r>
      <w:r w:rsidR="00C81CEC">
        <w:rPr>
          <w:rFonts w:eastAsia="Calibri"/>
        </w:rPr>
        <w:t>84967</w:t>
      </w:r>
      <w:r w:rsidR="009B72EF">
        <w:rPr>
          <w:rFonts w:eastAsia="Calibri"/>
        </w:rPr>
        <w:t>)</w:t>
      </w:r>
      <w:r w:rsidR="00C81CEC">
        <w:rPr>
          <w:rFonts w:eastAsia="Calibri"/>
        </w:rPr>
        <w:t xml:space="preserve">, </w:t>
      </w:r>
      <w:r w:rsidRPr="00C64C9E" w:rsidR="00C64C9E">
        <w:rPr>
          <w:rFonts w:eastAsia="Calibri"/>
        </w:rPr>
        <w:t>we estimate</w:t>
      </w:r>
      <w:r w:rsidR="00C81CEC">
        <w:rPr>
          <w:rFonts w:eastAsia="Calibri"/>
        </w:rPr>
        <w:t>d</w:t>
      </w:r>
      <w:r w:rsidRPr="00C64C9E" w:rsidR="00C64C9E">
        <w:rPr>
          <w:rFonts w:eastAsia="Calibri"/>
        </w:rPr>
        <w:t xml:space="preserve"> a range of effort to complete a targeted data audit from a minimum of 5 hours to a maximum of 10 hours at a cost ranging from $4</w:t>
      </w:r>
      <w:r w:rsidR="00B5626F">
        <w:rPr>
          <w:rFonts w:eastAsia="Calibri"/>
        </w:rPr>
        <w:t>7</w:t>
      </w:r>
      <w:r w:rsidR="00254CAA">
        <w:rPr>
          <w:rFonts w:eastAsia="Calibri"/>
        </w:rPr>
        <w:t>6</w:t>
      </w:r>
      <w:r w:rsidRPr="00C64C9E" w:rsidR="00C64C9E">
        <w:rPr>
          <w:rFonts w:eastAsia="Calibri"/>
        </w:rPr>
        <w:t>.</w:t>
      </w:r>
      <w:r w:rsidR="00B5626F">
        <w:rPr>
          <w:rFonts w:eastAsia="Calibri"/>
        </w:rPr>
        <w:t>1</w:t>
      </w:r>
      <w:r w:rsidRPr="00C64C9E" w:rsidR="00C64C9E">
        <w:rPr>
          <w:rFonts w:eastAsia="Calibri"/>
        </w:rPr>
        <w:t>0 ($9</w:t>
      </w:r>
      <w:r w:rsidR="00B5626F">
        <w:rPr>
          <w:rFonts w:eastAsia="Calibri"/>
        </w:rPr>
        <w:t>5.22</w:t>
      </w:r>
      <w:r w:rsidRPr="00C64C9E" w:rsidR="00C64C9E">
        <w:rPr>
          <w:rFonts w:eastAsia="Calibri"/>
        </w:rPr>
        <w:t>/hr x 5 hrs</w:t>
      </w:r>
      <w:r w:rsidR="00D27244">
        <w:rPr>
          <w:rFonts w:eastAsia="Calibri"/>
        </w:rPr>
        <w:t>/registry</w:t>
      </w:r>
      <w:r w:rsidRPr="00C64C9E" w:rsidR="00C64C9E">
        <w:rPr>
          <w:rFonts w:eastAsia="Calibri"/>
        </w:rPr>
        <w:t>) to $9</w:t>
      </w:r>
      <w:r w:rsidR="00254CAA">
        <w:rPr>
          <w:rFonts w:eastAsia="Calibri"/>
        </w:rPr>
        <w:t>52.20</w:t>
      </w:r>
      <w:r w:rsidRPr="00C64C9E" w:rsidR="00C64C9E">
        <w:rPr>
          <w:rFonts w:eastAsia="Calibri"/>
        </w:rPr>
        <w:t xml:space="preserve"> ($9</w:t>
      </w:r>
      <w:r w:rsidR="00B5626F">
        <w:rPr>
          <w:rFonts w:eastAsia="Calibri"/>
        </w:rPr>
        <w:t>5</w:t>
      </w:r>
      <w:r w:rsidRPr="00C64C9E" w:rsidR="00C64C9E">
        <w:rPr>
          <w:rFonts w:eastAsia="Calibri"/>
        </w:rPr>
        <w:t>.</w:t>
      </w:r>
      <w:r w:rsidR="00B5626F">
        <w:rPr>
          <w:rFonts w:eastAsia="Calibri"/>
        </w:rPr>
        <w:t>22</w:t>
      </w:r>
      <w:r w:rsidRPr="00C64C9E" w:rsidR="00C64C9E">
        <w:rPr>
          <w:rFonts w:eastAsia="Calibri"/>
        </w:rPr>
        <w:t>/hr x 10 hrs</w:t>
      </w:r>
      <w:r w:rsidR="00AC2567">
        <w:rPr>
          <w:rFonts w:eastAsia="Calibri"/>
        </w:rPr>
        <w:t>/registry</w:t>
      </w:r>
      <w:r w:rsidRPr="00C64C9E" w:rsidR="00C64C9E">
        <w:rPr>
          <w:rFonts w:eastAsia="Calibri"/>
        </w:rPr>
        <w:t xml:space="preserve">) per targeted audit. </w:t>
      </w:r>
      <w:r w:rsidR="00DA476D">
        <w:rPr>
          <w:rFonts w:eastAsia="Calibri"/>
        </w:rPr>
        <w:t xml:space="preserve">In </w:t>
      </w:r>
      <w:r w:rsidRPr="00C64C9E" w:rsidR="00C64C9E">
        <w:rPr>
          <w:rFonts w:eastAsia="Calibri"/>
        </w:rPr>
        <w:t xml:space="preserve">the </w:t>
      </w:r>
      <w:r w:rsidR="00161F01">
        <w:rPr>
          <w:rFonts w:eastAsia="Calibri"/>
        </w:rPr>
        <w:t xml:space="preserve">CY </w:t>
      </w:r>
      <w:r w:rsidRPr="00C64C9E" w:rsidR="00C64C9E">
        <w:rPr>
          <w:rFonts w:eastAsia="Calibri"/>
        </w:rPr>
        <w:t>2019 MIPS performance period</w:t>
      </w:r>
      <w:r w:rsidR="00161F01">
        <w:rPr>
          <w:rFonts w:eastAsia="Calibri"/>
        </w:rPr>
        <w:t>/2021 MIPS payment year</w:t>
      </w:r>
      <w:r w:rsidRPr="00C64C9E" w:rsidR="00C64C9E">
        <w:rPr>
          <w:rFonts w:eastAsia="Calibri"/>
        </w:rPr>
        <w:t xml:space="preserve">, 37 of the 84 </w:t>
      </w:r>
      <w:r w:rsidR="00FE2DE1">
        <w:rPr>
          <w:rFonts w:eastAsia="Calibri"/>
        </w:rPr>
        <w:t xml:space="preserve">qualified registries </w:t>
      </w:r>
      <w:r w:rsidRPr="00C64C9E" w:rsidR="00C64C9E">
        <w:rPr>
          <w:rFonts w:eastAsia="Calibri"/>
        </w:rPr>
        <w:t xml:space="preserve">(44%) that submitted 2019 MIPS quality data were required to complete a targeted audit. </w:t>
      </w:r>
      <w:r w:rsidR="006514EE">
        <w:rPr>
          <w:rFonts w:eastAsia="Calibri"/>
        </w:rPr>
        <w:t xml:space="preserve">Consistent with </w:t>
      </w:r>
      <w:r w:rsidR="003C0D5C">
        <w:rPr>
          <w:rFonts w:eastAsia="Calibri"/>
        </w:rPr>
        <w:t>our</w:t>
      </w:r>
      <w:r w:rsidR="006514EE">
        <w:rPr>
          <w:rFonts w:eastAsia="Calibri"/>
        </w:rPr>
        <w:t xml:space="preserve"> assumptions </w:t>
      </w:r>
      <w:r w:rsidRPr="00C017BC" w:rsidR="00C017BC">
        <w:rPr>
          <w:rFonts w:eastAsia="Calibri"/>
        </w:rPr>
        <w:t xml:space="preserve">in the CY 2021 PFS final rule (85 FR 84967) </w:t>
      </w:r>
      <w:r w:rsidR="006514EE">
        <w:rPr>
          <w:rFonts w:eastAsia="Calibri"/>
        </w:rPr>
        <w:t xml:space="preserve">and accounting for </w:t>
      </w:r>
      <w:r w:rsidR="00CD664B">
        <w:rPr>
          <w:rFonts w:eastAsia="Calibri"/>
        </w:rPr>
        <w:t xml:space="preserve">the estimated increase in the number of qualified registries that would submit </w:t>
      </w:r>
      <w:r w:rsidR="00A34FC5">
        <w:rPr>
          <w:rFonts w:eastAsia="Calibri"/>
        </w:rPr>
        <w:t>self-nomination applications</w:t>
      </w:r>
      <w:r w:rsidR="007162AB">
        <w:rPr>
          <w:rFonts w:eastAsia="Calibri"/>
        </w:rPr>
        <w:t xml:space="preserve"> for the </w:t>
      </w:r>
      <w:r w:rsidR="00983D14">
        <w:rPr>
          <w:rFonts w:eastAsia="Calibri"/>
        </w:rPr>
        <w:t>CY 2022 self-nomina</w:t>
      </w:r>
      <w:r w:rsidR="004A0B0E">
        <w:rPr>
          <w:rFonts w:eastAsia="Calibri"/>
        </w:rPr>
        <w:t xml:space="preserve">tion period, we estimate </w:t>
      </w:r>
      <w:r w:rsidR="00A02156">
        <w:rPr>
          <w:rFonts w:eastAsia="Calibri"/>
        </w:rPr>
        <w:t xml:space="preserve">63 qualified registries </w:t>
      </w:r>
      <w:r w:rsidR="00AB2313">
        <w:rPr>
          <w:rFonts w:eastAsia="Calibri"/>
        </w:rPr>
        <w:t>would be required to conduct targeted audits</w:t>
      </w:r>
      <w:r w:rsidR="004B19E9">
        <w:rPr>
          <w:rFonts w:eastAsia="Calibri"/>
        </w:rPr>
        <w:t>.</w:t>
      </w:r>
      <w:r w:rsidR="00AB4C1D">
        <w:rPr>
          <w:rFonts w:eastAsia="Calibri"/>
        </w:rPr>
        <w:t xml:space="preserve"> </w:t>
      </w:r>
      <w:r w:rsidR="00315BB0">
        <w:rPr>
          <w:rFonts w:eastAsia="Calibri"/>
        </w:rPr>
        <w:t xml:space="preserve">Therefore, we estimate </w:t>
      </w:r>
      <w:r w:rsidR="00417E7D">
        <w:rPr>
          <w:rFonts w:eastAsia="Calibri"/>
        </w:rPr>
        <w:t xml:space="preserve">the total impact associated </w:t>
      </w:r>
      <w:r w:rsidR="00903BC8">
        <w:rPr>
          <w:rFonts w:eastAsia="Calibri"/>
        </w:rPr>
        <w:t>with qualified registries completing targeted audits</w:t>
      </w:r>
      <w:r w:rsidR="001E57C6">
        <w:rPr>
          <w:rFonts w:eastAsia="Calibri"/>
        </w:rPr>
        <w:t xml:space="preserve"> </w:t>
      </w:r>
      <w:r w:rsidR="00AC6464">
        <w:rPr>
          <w:rFonts w:eastAsia="Calibri"/>
        </w:rPr>
        <w:t>will</w:t>
      </w:r>
      <w:r w:rsidR="001E57C6">
        <w:rPr>
          <w:rFonts w:eastAsia="Calibri"/>
        </w:rPr>
        <w:t xml:space="preserve"> range from </w:t>
      </w:r>
      <w:r w:rsidR="00AC6464">
        <w:rPr>
          <w:rFonts w:eastAsia="Calibri"/>
        </w:rPr>
        <w:t>315 hours (</w:t>
      </w:r>
      <w:r w:rsidR="005D19F5">
        <w:rPr>
          <w:rFonts w:eastAsia="Calibri"/>
        </w:rPr>
        <w:t>63</w:t>
      </w:r>
      <w:r w:rsidR="007C267F">
        <w:rPr>
          <w:rFonts w:eastAsia="Calibri"/>
        </w:rPr>
        <w:t xml:space="preserve"> registries </w:t>
      </w:r>
      <w:r w:rsidRPr="00C64C9E" w:rsidR="007C267F">
        <w:rPr>
          <w:rFonts w:eastAsia="Calibri"/>
        </w:rPr>
        <w:t>x</w:t>
      </w:r>
      <w:r w:rsidR="007C267F">
        <w:rPr>
          <w:rFonts w:eastAsia="Calibri"/>
        </w:rPr>
        <w:t xml:space="preserve"> 5</w:t>
      </w:r>
      <w:r w:rsidR="00261CDA">
        <w:rPr>
          <w:rFonts w:eastAsia="Calibri"/>
        </w:rPr>
        <w:t xml:space="preserve"> hr/audit</w:t>
      </w:r>
      <w:r w:rsidR="00AC6464">
        <w:rPr>
          <w:rFonts w:eastAsia="Calibri"/>
        </w:rPr>
        <w:t>)</w:t>
      </w:r>
      <w:r w:rsidR="00ED6C1A">
        <w:rPr>
          <w:rFonts w:eastAsia="Calibri"/>
        </w:rPr>
        <w:t xml:space="preserve"> at a cost of $29,994</w:t>
      </w:r>
      <w:r w:rsidR="007227E2">
        <w:rPr>
          <w:rFonts w:eastAsia="Calibri"/>
        </w:rPr>
        <w:t xml:space="preserve"> (63 registries</w:t>
      </w:r>
      <w:r w:rsidR="005F31CF">
        <w:rPr>
          <w:rFonts w:eastAsia="Calibri"/>
        </w:rPr>
        <w:t xml:space="preserve"> </w:t>
      </w:r>
      <w:r w:rsidRPr="00C64C9E" w:rsidR="005F31CF">
        <w:rPr>
          <w:rFonts w:eastAsia="Calibri"/>
        </w:rPr>
        <w:t>x</w:t>
      </w:r>
      <w:r w:rsidR="005F31CF">
        <w:rPr>
          <w:rFonts w:eastAsia="Calibri"/>
        </w:rPr>
        <w:t xml:space="preserve"> </w:t>
      </w:r>
      <w:r w:rsidR="00B15B94">
        <w:rPr>
          <w:rFonts w:eastAsia="Calibri"/>
        </w:rPr>
        <w:t>$476.10/audit</w:t>
      </w:r>
      <w:r w:rsidR="007227E2">
        <w:rPr>
          <w:rFonts w:eastAsia="Calibri"/>
        </w:rPr>
        <w:t>)</w:t>
      </w:r>
      <w:r w:rsidR="00AB1AE3">
        <w:rPr>
          <w:rFonts w:eastAsia="Calibri"/>
        </w:rPr>
        <w:t xml:space="preserve"> </w:t>
      </w:r>
      <w:r w:rsidR="0073020B">
        <w:rPr>
          <w:rFonts w:eastAsia="Calibri"/>
        </w:rPr>
        <w:t>to 630 hours</w:t>
      </w:r>
      <w:r w:rsidR="00AB1AE3">
        <w:rPr>
          <w:rFonts w:eastAsia="Calibri"/>
        </w:rPr>
        <w:t xml:space="preserve"> </w:t>
      </w:r>
      <w:r w:rsidR="0073020B">
        <w:rPr>
          <w:rFonts w:eastAsia="Calibri"/>
        </w:rPr>
        <w:t xml:space="preserve">(63 registries </w:t>
      </w:r>
      <w:r w:rsidRPr="00C64C9E" w:rsidR="0073020B">
        <w:rPr>
          <w:rFonts w:eastAsia="Calibri"/>
        </w:rPr>
        <w:t>x</w:t>
      </w:r>
      <w:r w:rsidR="0073020B">
        <w:rPr>
          <w:rFonts w:eastAsia="Calibri"/>
        </w:rPr>
        <w:t xml:space="preserve"> 10 hr/audit) at a cost of </w:t>
      </w:r>
      <w:r w:rsidR="00B74690">
        <w:rPr>
          <w:rFonts w:eastAsia="Calibri"/>
        </w:rPr>
        <w:t>$59,</w:t>
      </w:r>
      <w:r w:rsidR="00A23114">
        <w:rPr>
          <w:rFonts w:eastAsia="Calibri"/>
        </w:rPr>
        <w:t>989 (</w:t>
      </w:r>
      <w:r w:rsidR="0088577F">
        <w:rPr>
          <w:rFonts w:eastAsia="Calibri"/>
        </w:rPr>
        <w:t xml:space="preserve">63 registries </w:t>
      </w:r>
      <w:r w:rsidRPr="00C64C9E" w:rsidR="0088577F">
        <w:rPr>
          <w:rFonts w:eastAsia="Calibri"/>
        </w:rPr>
        <w:t>x</w:t>
      </w:r>
      <w:r w:rsidR="0088577F">
        <w:rPr>
          <w:rFonts w:eastAsia="Calibri"/>
        </w:rPr>
        <w:t xml:space="preserve"> $952.20/audit</w:t>
      </w:r>
      <w:r w:rsidR="00A23114">
        <w:rPr>
          <w:rFonts w:eastAsia="Calibri"/>
        </w:rPr>
        <w:t>)</w:t>
      </w:r>
      <w:r w:rsidR="0088577F">
        <w:rPr>
          <w:rFonts w:eastAsia="Calibri"/>
        </w:rPr>
        <w:t xml:space="preserve">. </w:t>
      </w:r>
      <w:bookmarkStart w:name="_Hlk514994518" w:id="3"/>
    </w:p>
    <w:bookmarkEnd w:id="3"/>
    <w:p w:rsidRPr="0076539F" w:rsidR="00AE0DC5" w:rsidP="00AE0DC5" w:rsidRDefault="008E5235" w14:paraId="206B66BD" w14:textId="67DCF903">
      <w:pPr>
        <w:rPr>
          <w:rFonts w:eastAsia="Calibri"/>
        </w:rPr>
      </w:pPr>
      <w:r>
        <w:rPr>
          <w:rFonts w:eastAsia="Calibri"/>
        </w:rPr>
        <w:t>Consistent with our assumptions in the CY 2021 PFS final rule</w:t>
      </w:r>
      <w:r w:rsidR="00A47C90">
        <w:rPr>
          <w:rFonts w:eastAsia="Calibri"/>
        </w:rPr>
        <w:t xml:space="preserve"> (85 FR 84968)</w:t>
      </w:r>
      <w:r>
        <w:rPr>
          <w:rFonts w:eastAsia="Calibri"/>
        </w:rPr>
        <w:t xml:space="preserve">, </w:t>
      </w:r>
      <w:r w:rsidRPr="00AE0DC5" w:rsidR="00AE0DC5">
        <w:rPr>
          <w:rFonts w:eastAsia="Calibri"/>
        </w:rPr>
        <w:t xml:space="preserve">we estimate an annual burden of no more than 30 hours (3 hr x 10 </w:t>
      </w:r>
      <w:r w:rsidR="00022B08">
        <w:rPr>
          <w:rFonts w:eastAsia="Calibri"/>
        </w:rPr>
        <w:t>respondents</w:t>
      </w:r>
      <w:r w:rsidRPr="00AE0DC5" w:rsidR="00AE0DC5">
        <w:rPr>
          <w:rFonts w:eastAsia="Calibri"/>
        </w:rPr>
        <w:t>) at a cost of $2,</w:t>
      </w:r>
      <w:r w:rsidR="008C1CAE">
        <w:rPr>
          <w:rFonts w:eastAsia="Calibri"/>
        </w:rPr>
        <w:t>857</w:t>
      </w:r>
      <w:r w:rsidRPr="00AE0DC5" w:rsidR="00AE0DC5">
        <w:rPr>
          <w:rFonts w:eastAsia="Calibri"/>
        </w:rPr>
        <w:t xml:space="preserve"> (30 hr x $9</w:t>
      </w:r>
      <w:r w:rsidR="004809FD">
        <w:rPr>
          <w:rFonts w:eastAsia="Calibri"/>
        </w:rPr>
        <w:t>5</w:t>
      </w:r>
      <w:r w:rsidRPr="00AE0DC5" w:rsidR="00AE0DC5">
        <w:rPr>
          <w:rFonts w:eastAsia="Calibri"/>
        </w:rPr>
        <w:t>.</w:t>
      </w:r>
      <w:r w:rsidR="004809FD">
        <w:rPr>
          <w:rFonts w:eastAsia="Calibri"/>
        </w:rPr>
        <w:t>22</w:t>
      </w:r>
      <w:r w:rsidRPr="00AE0DC5" w:rsidR="00AE0DC5">
        <w:rPr>
          <w:rFonts w:eastAsia="Calibri"/>
        </w:rPr>
        <w:t xml:space="preserve">/hr) for third party intermediaries to develop and submit a CAP.  Because we are unable to predict how many of the estimated 10 third party intermediaries submitting CAPs will be qualified registries, QCDRs, survey vendors, or Health IT vendors; for simplicity we </w:t>
      </w:r>
      <w:r w:rsidR="00A40607">
        <w:rPr>
          <w:rFonts w:eastAsia="Calibri"/>
        </w:rPr>
        <w:t xml:space="preserve">continue </w:t>
      </w:r>
      <w:r w:rsidR="00AB1AE3">
        <w:rPr>
          <w:rFonts w:eastAsia="Calibri"/>
        </w:rPr>
        <w:t xml:space="preserve">to </w:t>
      </w:r>
      <w:r w:rsidRPr="00AE0DC5" w:rsidR="00AB1AE3">
        <w:rPr>
          <w:rFonts w:eastAsia="Calibri"/>
        </w:rPr>
        <w:t>add</w:t>
      </w:r>
      <w:r w:rsidRPr="00AE0DC5" w:rsidR="00AE0DC5">
        <w:rPr>
          <w:rFonts w:eastAsia="Calibri"/>
        </w:rPr>
        <w:t xml:space="preserve"> the burden to the currently approved burden for qualified registries</w:t>
      </w:r>
      <w:r w:rsidR="00930508">
        <w:rPr>
          <w:rFonts w:eastAsia="Calibri"/>
        </w:rPr>
        <w:t>.</w:t>
      </w:r>
    </w:p>
    <w:p w:rsidR="00911587" w:rsidP="00911587" w:rsidRDefault="00911587" w14:paraId="17233C3D" w14:textId="30604913">
      <w:pPr>
        <w:rPr>
          <w:rFonts w:eastAsia="Calibri"/>
        </w:rPr>
      </w:pPr>
      <w:r w:rsidRPr="00213F32">
        <w:rPr>
          <w:rFonts w:eastAsia="Calibri"/>
        </w:rPr>
        <w:t>We assume that the staff involved in the qualified registry self-nomination process will continue to be computer systems analysts or their equivalent, who have an average labor rate of $9</w:t>
      </w:r>
      <w:r w:rsidR="00930508">
        <w:rPr>
          <w:rFonts w:eastAsia="Calibri"/>
        </w:rPr>
        <w:t>5</w:t>
      </w:r>
      <w:r w:rsidRPr="00213F32">
        <w:rPr>
          <w:rFonts w:eastAsia="Calibri"/>
        </w:rPr>
        <w:t>.</w:t>
      </w:r>
      <w:r w:rsidR="00930508">
        <w:rPr>
          <w:rFonts w:eastAsia="Calibri"/>
        </w:rPr>
        <w:t>22</w:t>
      </w:r>
      <w:r w:rsidRPr="00213F32">
        <w:rPr>
          <w:rFonts w:eastAsia="Calibri"/>
        </w:rPr>
        <w:t>/hr.  Considering that the time per qualified registry associated with the self-nomination process range</w:t>
      </w:r>
      <w:r w:rsidR="00D93D90">
        <w:rPr>
          <w:rFonts w:eastAsia="Calibri"/>
        </w:rPr>
        <w:t>s</w:t>
      </w:r>
      <w:r w:rsidRPr="00213F32">
        <w:rPr>
          <w:rFonts w:eastAsia="Calibri"/>
        </w:rPr>
        <w:t xml:space="preserve"> from a minimum of 0.5 hours to a maximum of </w:t>
      </w:r>
      <w:r w:rsidR="00930508">
        <w:rPr>
          <w:rFonts w:eastAsia="Calibri"/>
        </w:rPr>
        <w:t>2</w:t>
      </w:r>
      <w:r w:rsidRPr="00213F32">
        <w:rPr>
          <w:rFonts w:eastAsia="Calibri"/>
        </w:rPr>
        <w:t xml:space="preserve"> hours, we estimate that the annual burden will range from </w:t>
      </w:r>
      <w:r w:rsidR="004B3FB8">
        <w:rPr>
          <w:rFonts w:eastAsia="Calibri"/>
        </w:rPr>
        <w:t>105</w:t>
      </w:r>
      <w:r w:rsidRPr="00213F32">
        <w:rPr>
          <w:rFonts w:eastAsia="Calibri"/>
        </w:rPr>
        <w:t xml:space="preserve"> hours (</w:t>
      </w:r>
      <w:r w:rsidR="004B3FB8">
        <w:rPr>
          <w:rFonts w:eastAsia="Calibri"/>
        </w:rPr>
        <w:t>210</w:t>
      </w:r>
      <w:r w:rsidRPr="00213F32">
        <w:rPr>
          <w:rFonts w:eastAsia="Calibri"/>
        </w:rPr>
        <w:t xml:space="preserve"> qualified registries x 0.5 hr) to </w:t>
      </w:r>
      <w:r w:rsidR="0004677F">
        <w:rPr>
          <w:rFonts w:eastAsia="Calibri"/>
        </w:rPr>
        <w:t>420</w:t>
      </w:r>
      <w:r w:rsidRPr="00213F32">
        <w:rPr>
          <w:rFonts w:eastAsia="Calibri"/>
        </w:rPr>
        <w:t xml:space="preserve"> hours (</w:t>
      </w:r>
      <w:r w:rsidR="0004677F">
        <w:rPr>
          <w:rFonts w:eastAsia="Calibri"/>
        </w:rPr>
        <w:t>210</w:t>
      </w:r>
      <w:r w:rsidRPr="00213F32">
        <w:rPr>
          <w:rFonts w:eastAsia="Calibri"/>
        </w:rPr>
        <w:t xml:space="preserve"> qualified registries x </w:t>
      </w:r>
      <w:r w:rsidR="0004677F">
        <w:rPr>
          <w:rFonts w:eastAsia="Calibri"/>
        </w:rPr>
        <w:t xml:space="preserve">2 </w:t>
      </w:r>
      <w:r w:rsidRPr="00213F32">
        <w:rPr>
          <w:rFonts w:eastAsia="Calibri"/>
        </w:rPr>
        <w:t>hr) at a cost ranging from $</w:t>
      </w:r>
      <w:r w:rsidR="00511B12">
        <w:rPr>
          <w:rFonts w:eastAsia="Calibri"/>
        </w:rPr>
        <w:t>9,998</w:t>
      </w:r>
      <w:r w:rsidRPr="00213F32">
        <w:rPr>
          <w:rFonts w:eastAsia="Calibri"/>
        </w:rPr>
        <w:t xml:space="preserve"> (</w:t>
      </w:r>
      <w:r w:rsidR="00511B12">
        <w:rPr>
          <w:rFonts w:eastAsia="Calibri"/>
        </w:rPr>
        <w:t>105</w:t>
      </w:r>
      <w:r w:rsidRPr="00213F32">
        <w:rPr>
          <w:rFonts w:eastAsia="Calibri"/>
        </w:rPr>
        <w:t xml:space="preserve"> hr x $9</w:t>
      </w:r>
      <w:r w:rsidR="00511B12">
        <w:rPr>
          <w:rFonts w:eastAsia="Calibri"/>
        </w:rPr>
        <w:t>5.22</w:t>
      </w:r>
      <w:r w:rsidRPr="00213F32">
        <w:rPr>
          <w:rFonts w:eastAsia="Calibri"/>
        </w:rPr>
        <w:t>/hr) and $</w:t>
      </w:r>
      <w:r w:rsidR="006C6916">
        <w:rPr>
          <w:rFonts w:eastAsia="Calibri"/>
        </w:rPr>
        <w:t>39,992</w:t>
      </w:r>
      <w:r w:rsidRPr="00213F32">
        <w:rPr>
          <w:rFonts w:eastAsia="Calibri"/>
        </w:rPr>
        <w:t xml:space="preserve"> (</w:t>
      </w:r>
      <w:r w:rsidR="006C6916">
        <w:rPr>
          <w:rFonts w:eastAsia="Calibri"/>
        </w:rPr>
        <w:t>420</w:t>
      </w:r>
      <w:r w:rsidRPr="00213F32">
        <w:rPr>
          <w:rFonts w:eastAsia="Calibri"/>
        </w:rPr>
        <w:t xml:space="preserve"> hr x </w:t>
      </w:r>
      <w:r w:rsidRPr="00213F32">
        <w:rPr>
          <w:rFonts w:eastAsia="Calibri"/>
        </w:rPr>
        <w:lastRenderedPageBreak/>
        <w:t>$9</w:t>
      </w:r>
      <w:r w:rsidR="006C6916">
        <w:rPr>
          <w:rFonts w:eastAsia="Calibri"/>
        </w:rPr>
        <w:t>5.22</w:t>
      </w:r>
      <w:r w:rsidRPr="00213F32">
        <w:rPr>
          <w:rFonts w:eastAsia="Calibri"/>
        </w:rPr>
        <w:t>/hr)</w:t>
      </w:r>
      <w:r w:rsidRPr="00687543">
        <w:rPr>
          <w:rFonts w:eastAsia="Calibri"/>
        </w:rPr>
        <w:t xml:space="preserve">, respectively </w:t>
      </w:r>
      <w:r w:rsidRPr="006302F1">
        <w:rPr>
          <w:rFonts w:eastAsia="Calibri"/>
        </w:rPr>
        <w:t>(see Table</w:t>
      </w:r>
      <w:r>
        <w:rPr>
          <w:rFonts w:eastAsia="Calibri"/>
        </w:rPr>
        <w:t xml:space="preserve"> 3</w:t>
      </w:r>
      <w:r w:rsidRPr="006302F1">
        <w:rPr>
          <w:rFonts w:eastAsia="Calibri"/>
        </w:rPr>
        <w:t>).</w:t>
      </w:r>
      <w:r w:rsidR="002146F2">
        <w:rPr>
          <w:rFonts w:eastAsia="Calibri"/>
        </w:rPr>
        <w:t xml:space="preserve">  </w:t>
      </w:r>
      <w:r w:rsidRPr="002146F2" w:rsidR="002146F2">
        <w:rPr>
          <w:rFonts w:eastAsia="Calibri"/>
        </w:rPr>
        <w:t>Combined with our estimates of burden associated with completing targeted audits</w:t>
      </w:r>
      <w:r w:rsidR="00B06D89">
        <w:rPr>
          <w:rFonts w:eastAsia="Calibri"/>
        </w:rPr>
        <w:t>,</w:t>
      </w:r>
      <w:r w:rsidRPr="002146F2" w:rsidR="002146F2">
        <w:rPr>
          <w:rFonts w:eastAsia="Calibri"/>
        </w:rPr>
        <w:t xml:space="preserve"> and developing and submitting a CAP</w:t>
      </w:r>
      <w:r w:rsidR="00B06D89">
        <w:rPr>
          <w:rFonts w:eastAsia="Calibri"/>
        </w:rPr>
        <w:t xml:space="preserve"> and participation plan</w:t>
      </w:r>
      <w:r w:rsidRPr="002146F2" w:rsidR="002146F2">
        <w:rPr>
          <w:rFonts w:eastAsia="Calibri"/>
        </w:rPr>
        <w:t xml:space="preserve">, our total burden estimate ranges from </w:t>
      </w:r>
      <w:r w:rsidR="00593C39">
        <w:rPr>
          <w:rFonts w:eastAsia="Calibri"/>
        </w:rPr>
        <w:t>507</w:t>
      </w:r>
      <w:r w:rsidRPr="002146F2" w:rsidR="002146F2">
        <w:rPr>
          <w:rFonts w:eastAsia="Calibri"/>
        </w:rPr>
        <w:t xml:space="preserve"> hours (</w:t>
      </w:r>
      <w:r w:rsidR="006D1EDE">
        <w:rPr>
          <w:rFonts w:eastAsia="Calibri"/>
        </w:rPr>
        <w:t>105 hr</w:t>
      </w:r>
      <w:r w:rsidRPr="002146F2" w:rsidR="002146F2">
        <w:rPr>
          <w:rFonts w:eastAsia="Calibri"/>
        </w:rPr>
        <w:t xml:space="preserve"> + </w:t>
      </w:r>
      <w:r w:rsidR="00C56123">
        <w:rPr>
          <w:rFonts w:eastAsia="Calibri"/>
        </w:rPr>
        <w:t xml:space="preserve">315 hr + </w:t>
      </w:r>
      <w:r w:rsidR="00A04684">
        <w:rPr>
          <w:rFonts w:eastAsia="Calibri"/>
        </w:rPr>
        <w:t xml:space="preserve">30 hr + </w:t>
      </w:r>
      <w:r w:rsidR="009578D1">
        <w:rPr>
          <w:rFonts w:eastAsia="Calibri"/>
        </w:rPr>
        <w:t>57</w:t>
      </w:r>
      <w:r w:rsidR="00C56123">
        <w:rPr>
          <w:rFonts w:eastAsia="Calibri"/>
        </w:rPr>
        <w:t>hr</w:t>
      </w:r>
      <w:r w:rsidRPr="002146F2" w:rsidR="002146F2">
        <w:rPr>
          <w:rFonts w:eastAsia="Calibri"/>
        </w:rPr>
        <w:t>) to 1,13</w:t>
      </w:r>
      <w:r w:rsidR="003D7BB8">
        <w:rPr>
          <w:rFonts w:eastAsia="Calibri"/>
        </w:rPr>
        <w:t>7</w:t>
      </w:r>
      <w:r w:rsidRPr="002146F2" w:rsidR="002146F2">
        <w:rPr>
          <w:rFonts w:eastAsia="Calibri"/>
        </w:rPr>
        <w:t xml:space="preserve"> (</w:t>
      </w:r>
      <w:r w:rsidR="003D7BB8">
        <w:rPr>
          <w:rFonts w:eastAsia="Calibri"/>
        </w:rPr>
        <w:t>420</w:t>
      </w:r>
      <w:r w:rsidR="00272F8E">
        <w:rPr>
          <w:rFonts w:eastAsia="Calibri"/>
        </w:rPr>
        <w:t xml:space="preserve"> hr</w:t>
      </w:r>
      <w:r w:rsidRPr="002146F2" w:rsidR="002146F2">
        <w:rPr>
          <w:rFonts w:eastAsia="Calibri"/>
        </w:rPr>
        <w:t xml:space="preserve"> + </w:t>
      </w:r>
      <w:r w:rsidR="00272F8E">
        <w:rPr>
          <w:rFonts w:eastAsia="Calibri"/>
        </w:rPr>
        <w:t>6</w:t>
      </w:r>
      <w:r w:rsidRPr="002146F2" w:rsidR="002146F2">
        <w:rPr>
          <w:rFonts w:eastAsia="Calibri"/>
        </w:rPr>
        <w:t>30</w:t>
      </w:r>
      <w:r w:rsidR="00272F8E">
        <w:rPr>
          <w:rFonts w:eastAsia="Calibri"/>
        </w:rPr>
        <w:t xml:space="preserve"> hr</w:t>
      </w:r>
      <w:r w:rsidRPr="002146F2" w:rsidR="002146F2">
        <w:rPr>
          <w:rFonts w:eastAsia="Calibri"/>
        </w:rPr>
        <w:t xml:space="preserve"> + </w:t>
      </w:r>
      <w:r w:rsidR="006328ED">
        <w:rPr>
          <w:rFonts w:eastAsia="Calibri"/>
        </w:rPr>
        <w:t xml:space="preserve">30 hr + </w:t>
      </w:r>
      <w:r w:rsidRPr="002146F2" w:rsidR="002146F2">
        <w:rPr>
          <w:rFonts w:eastAsia="Calibri"/>
        </w:rPr>
        <w:t>5</w:t>
      </w:r>
      <w:r w:rsidR="00494187">
        <w:rPr>
          <w:rFonts w:eastAsia="Calibri"/>
        </w:rPr>
        <w:t>7 hr</w:t>
      </w:r>
      <w:r w:rsidRPr="002146F2" w:rsidR="002146F2">
        <w:rPr>
          <w:rFonts w:eastAsia="Calibri"/>
        </w:rPr>
        <w:t>) at a cost between $</w:t>
      </w:r>
      <w:r w:rsidR="000726D8">
        <w:rPr>
          <w:rFonts w:eastAsia="Calibri"/>
        </w:rPr>
        <w:t>48,277</w:t>
      </w:r>
      <w:r w:rsidRPr="002146F2" w:rsidR="002146F2">
        <w:rPr>
          <w:rFonts w:eastAsia="Calibri"/>
        </w:rPr>
        <w:t xml:space="preserve"> ($</w:t>
      </w:r>
      <w:r w:rsidR="00FB3A45">
        <w:rPr>
          <w:rFonts w:eastAsia="Calibri"/>
        </w:rPr>
        <w:t>9,998</w:t>
      </w:r>
      <w:r w:rsidRPr="002146F2" w:rsidR="002146F2">
        <w:rPr>
          <w:rFonts w:eastAsia="Calibri"/>
        </w:rPr>
        <w:t xml:space="preserve"> + $2</w:t>
      </w:r>
      <w:r w:rsidR="00BC61F5">
        <w:rPr>
          <w:rFonts w:eastAsia="Calibri"/>
        </w:rPr>
        <w:t>9</w:t>
      </w:r>
      <w:r w:rsidRPr="002146F2" w:rsidR="002146F2">
        <w:rPr>
          <w:rFonts w:eastAsia="Calibri"/>
        </w:rPr>
        <w:t>,</w:t>
      </w:r>
      <w:r w:rsidR="00BC61F5">
        <w:rPr>
          <w:rFonts w:eastAsia="Calibri"/>
        </w:rPr>
        <w:t>99</w:t>
      </w:r>
      <w:r w:rsidRPr="002146F2" w:rsidR="002146F2">
        <w:rPr>
          <w:rFonts w:eastAsia="Calibri"/>
        </w:rPr>
        <w:t>4 + $2</w:t>
      </w:r>
      <w:r w:rsidR="0099691E">
        <w:rPr>
          <w:rFonts w:eastAsia="Calibri"/>
        </w:rPr>
        <w:t>,857 + $5,428</w:t>
      </w:r>
      <w:r w:rsidRPr="002146F2" w:rsidR="002146F2">
        <w:rPr>
          <w:rFonts w:eastAsia="Calibri"/>
        </w:rPr>
        <w:t>) and $10</w:t>
      </w:r>
      <w:r w:rsidR="00BF69A7">
        <w:rPr>
          <w:rFonts w:eastAsia="Calibri"/>
        </w:rPr>
        <w:t>8</w:t>
      </w:r>
      <w:r w:rsidRPr="002146F2" w:rsidR="002146F2">
        <w:rPr>
          <w:rFonts w:eastAsia="Calibri"/>
        </w:rPr>
        <w:t>,</w:t>
      </w:r>
      <w:r w:rsidR="00D97D3A">
        <w:rPr>
          <w:rFonts w:eastAsia="Calibri"/>
        </w:rPr>
        <w:t>26</w:t>
      </w:r>
      <w:r w:rsidR="00C32BE7">
        <w:rPr>
          <w:rFonts w:eastAsia="Calibri"/>
        </w:rPr>
        <w:t>6</w:t>
      </w:r>
      <w:r w:rsidRPr="002146F2" w:rsidR="002146F2">
        <w:rPr>
          <w:rFonts w:eastAsia="Calibri"/>
        </w:rPr>
        <w:t xml:space="preserve"> ($</w:t>
      </w:r>
      <w:r w:rsidR="00ED5F82">
        <w:rPr>
          <w:rFonts w:eastAsia="Calibri"/>
        </w:rPr>
        <w:t>39,992</w:t>
      </w:r>
      <w:r w:rsidR="00EB1A75">
        <w:rPr>
          <w:rFonts w:eastAsia="Calibri"/>
        </w:rPr>
        <w:t xml:space="preserve"> + </w:t>
      </w:r>
      <w:r w:rsidRPr="002146F2" w:rsidR="002146F2">
        <w:rPr>
          <w:rFonts w:eastAsia="Calibri"/>
        </w:rPr>
        <w:t>$5</w:t>
      </w:r>
      <w:r w:rsidR="00AE3E0B">
        <w:rPr>
          <w:rFonts w:eastAsia="Calibri"/>
        </w:rPr>
        <w:t>9,989</w:t>
      </w:r>
      <w:r w:rsidR="00A02FA8">
        <w:rPr>
          <w:rFonts w:eastAsia="Calibri"/>
        </w:rPr>
        <w:t xml:space="preserve"> + $5,428 + $2,857</w:t>
      </w:r>
      <w:r w:rsidRPr="002146F2" w:rsidR="002146F2">
        <w:rPr>
          <w:rFonts w:eastAsia="Calibri"/>
        </w:rPr>
        <w:t>).</w:t>
      </w:r>
    </w:p>
    <w:p w:rsidRPr="00640806" w:rsidR="00640806" w:rsidP="00730BEF" w:rsidRDefault="00514BE6" w14:paraId="644E040E" w14:textId="63CB12B5">
      <w:pPr>
        <w:rPr>
          <w:rFonts w:eastAsia="Calibri"/>
        </w:rPr>
      </w:pPr>
      <w:r w:rsidRPr="00514BE6">
        <w:rPr>
          <w:rFonts w:eastAsia="Calibri"/>
        </w:rPr>
        <w:t xml:space="preserve">Qualified registries must comply with requirements on the submission of MIPS data to CMS.  The burden associated with qualified registry submission requirements will be the time and effort associated with calculating quality measure results from the data submitted to the qualified registry by its participants and submitting these results, the numerator and denominator data on quality measures, the Promoting Interoperability performance category, and improvement activities data to us on behalf of their participants.  We expect that the time needed for a qualified registry to accomplish these tasks will vary along with the number of MIPS eligible clinicians submitting data to the qualified registry and the number of applicable measures.  However, we believe that qualified registries already perform many of these activities for their participants.  Therefore, we believe the estimates discussed earlier and </w:t>
      </w:r>
      <w:r w:rsidR="00AD09B2">
        <w:rPr>
          <w:rFonts w:eastAsia="Calibri"/>
        </w:rPr>
        <w:t xml:space="preserve">as </w:t>
      </w:r>
      <w:r w:rsidRPr="00514BE6">
        <w:rPr>
          <w:rFonts w:eastAsia="Calibri"/>
        </w:rPr>
        <w:t xml:space="preserve">shown in Table </w:t>
      </w:r>
      <w:r w:rsidR="00640806">
        <w:rPr>
          <w:rFonts w:eastAsia="Calibri"/>
        </w:rPr>
        <w:t>3</w:t>
      </w:r>
      <w:r w:rsidR="00AD09B2">
        <w:rPr>
          <w:rFonts w:eastAsia="Calibri"/>
        </w:rPr>
        <w:t xml:space="preserve">, </w:t>
      </w:r>
      <w:r w:rsidR="006D2541">
        <w:rPr>
          <w:rFonts w:eastAsia="Calibri"/>
        </w:rPr>
        <w:t xml:space="preserve">the </w:t>
      </w:r>
      <w:r w:rsidR="001F4DAF">
        <w:rPr>
          <w:rFonts w:eastAsia="Calibri"/>
        </w:rPr>
        <w:t>1,137-hour</w:t>
      </w:r>
      <w:r w:rsidR="004B4C85">
        <w:rPr>
          <w:rFonts w:eastAsia="Calibri"/>
        </w:rPr>
        <w:t xml:space="preserve"> estimate</w:t>
      </w:r>
      <w:r w:rsidRPr="00640806" w:rsidR="00640806">
        <w:rPr>
          <w:rFonts w:eastAsia="Calibri"/>
        </w:rPr>
        <w:t xml:space="preserve"> represent</w:t>
      </w:r>
      <w:r w:rsidR="004B4C85">
        <w:rPr>
          <w:rFonts w:eastAsia="Calibri"/>
        </w:rPr>
        <w:t>s</w:t>
      </w:r>
      <w:r w:rsidRPr="00640806" w:rsidR="00640806">
        <w:rPr>
          <w:rFonts w:eastAsia="Calibri"/>
        </w:rPr>
        <w:t xml:space="preserve"> the upper bound for qualified registry burden, with the potential for less additional MIPS burden if the qualified registry already provides similar data submission services.</w:t>
      </w:r>
    </w:p>
    <w:p w:rsidR="00CF1883" w:rsidP="00730BEF" w:rsidRDefault="0076539F" w14:paraId="24B64F3C" w14:textId="3CA94AB4">
      <w:pPr>
        <w:rPr>
          <w:rFonts w:eastAsia="Calibri"/>
        </w:rPr>
      </w:pPr>
      <w:r w:rsidRPr="0076539F">
        <w:rPr>
          <w:rFonts w:eastAsia="Calibri"/>
        </w:rPr>
        <w:t>Based on the</w:t>
      </w:r>
      <w:r w:rsidR="00640806">
        <w:rPr>
          <w:rFonts w:eastAsia="Calibri"/>
        </w:rPr>
        <w:t>se assumptions</w:t>
      </w:r>
      <w:r w:rsidRPr="0076539F">
        <w:rPr>
          <w:rFonts w:eastAsia="Calibri"/>
        </w:rPr>
        <w:t xml:space="preserve">, we provide an estimate of the total annual burden associated with a qualified registry self-nominating to be considered </w:t>
      </w:r>
      <w:r w:rsidR="00315C90">
        <w:rPr>
          <w:rFonts w:eastAsia="Calibri"/>
        </w:rPr>
        <w:t>for approval.</w:t>
      </w:r>
    </w:p>
    <w:p w:rsidRPr="00C47150" w:rsidR="00B05B18" w:rsidP="008F4B62" w:rsidRDefault="00B05B18" w14:paraId="1D6183E4" w14:textId="5F306B4E">
      <w:pPr>
        <w:spacing w:after="0"/>
        <w:jc w:val="center"/>
        <w:rPr>
          <w:b/>
          <w:bCs/>
        </w:rPr>
      </w:pPr>
      <w:r w:rsidRPr="00C47150">
        <w:rPr>
          <w:b/>
          <w:bCs/>
        </w:rPr>
        <w:t xml:space="preserve">TABLE </w:t>
      </w:r>
      <w:r>
        <w:rPr>
          <w:b/>
          <w:bCs/>
        </w:rPr>
        <w:t>3</w:t>
      </w:r>
      <w:r w:rsidRPr="00C47150">
        <w:rPr>
          <w:b/>
          <w:bCs/>
        </w:rPr>
        <w:t xml:space="preserve">: </w:t>
      </w:r>
      <w:r w:rsidRPr="00732012">
        <w:rPr>
          <w:b/>
          <w:bCs/>
        </w:rPr>
        <w:t xml:space="preserve">Estimated </w:t>
      </w:r>
      <w:r w:rsidRPr="00C47150">
        <w:rPr>
          <w:b/>
          <w:bCs/>
        </w:rPr>
        <w:t>Burden for Qualified Registry Self-Nomination</w:t>
      </w:r>
    </w:p>
    <w:tbl>
      <w:tblPr>
        <w:tblW w:w="97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10"/>
        <w:gridCol w:w="1530"/>
        <w:gridCol w:w="1170"/>
      </w:tblGrid>
      <w:tr w:rsidRPr="00C47150" w:rsidR="00D95EF7" w:rsidTr="00D11F3C" w14:paraId="189B07F8" w14:textId="77777777">
        <w:trPr>
          <w:trHeight w:val="540"/>
          <w:tblHeader/>
        </w:trPr>
        <w:tc>
          <w:tcPr>
            <w:tcW w:w="7010" w:type="dxa"/>
            <w:shd w:val="clear" w:color="auto" w:fill="auto"/>
            <w:vAlign w:val="center"/>
          </w:tcPr>
          <w:p w:rsidRPr="00B05B18" w:rsidR="00D95EF7" w:rsidP="00D95EF7" w:rsidRDefault="00050464" w14:paraId="410D7BE6" w14:textId="0410811C">
            <w:pPr>
              <w:spacing w:after="0"/>
              <w:rPr>
                <w:b/>
                <w:sz w:val="20"/>
                <w:szCs w:val="20"/>
              </w:rPr>
            </w:pPr>
            <w:r>
              <w:rPr>
                <w:b/>
                <w:sz w:val="20"/>
                <w:szCs w:val="20"/>
              </w:rPr>
              <w:t>Burden and Respondent Descriptions</w:t>
            </w:r>
          </w:p>
        </w:tc>
        <w:tc>
          <w:tcPr>
            <w:tcW w:w="1530" w:type="dxa"/>
            <w:vAlign w:val="center"/>
          </w:tcPr>
          <w:p w:rsidRPr="007C52BE" w:rsidR="00D95EF7" w:rsidP="00D95EF7" w:rsidRDefault="00D95EF7" w14:paraId="3D56F7A1" w14:textId="610465B4">
            <w:pPr>
              <w:spacing w:after="0"/>
              <w:jc w:val="center"/>
              <w:rPr>
                <w:b/>
                <w:bCs/>
                <w:sz w:val="20"/>
                <w:szCs w:val="20"/>
              </w:rPr>
            </w:pPr>
            <w:r w:rsidRPr="00871E51">
              <w:rPr>
                <w:rFonts w:eastAsia="Calibri"/>
                <w:b/>
                <w:bCs/>
                <w:sz w:val="20"/>
                <w:szCs w:val="20"/>
              </w:rPr>
              <w:t>Minimum</w:t>
            </w:r>
            <w:r w:rsidR="00DD0D93">
              <w:rPr>
                <w:rFonts w:eastAsia="Calibri"/>
                <w:b/>
                <w:bCs/>
                <w:sz w:val="20"/>
                <w:szCs w:val="20"/>
              </w:rPr>
              <w:t xml:space="preserve"> Burden Estimate</w:t>
            </w:r>
          </w:p>
        </w:tc>
        <w:tc>
          <w:tcPr>
            <w:tcW w:w="1170" w:type="dxa"/>
            <w:shd w:val="clear" w:color="auto" w:fill="auto"/>
            <w:vAlign w:val="center"/>
          </w:tcPr>
          <w:p w:rsidRPr="007C52BE" w:rsidR="00D95EF7" w:rsidP="00D95EF7" w:rsidRDefault="00D95EF7" w14:paraId="4C66A37E" w14:textId="04802469">
            <w:pPr>
              <w:spacing w:after="0"/>
              <w:jc w:val="center"/>
              <w:rPr>
                <w:b/>
                <w:bCs/>
                <w:sz w:val="20"/>
                <w:szCs w:val="20"/>
              </w:rPr>
            </w:pPr>
            <w:r w:rsidRPr="00871E51">
              <w:rPr>
                <w:rFonts w:eastAsia="Calibri"/>
                <w:b/>
                <w:bCs/>
                <w:sz w:val="20"/>
                <w:szCs w:val="20"/>
              </w:rPr>
              <w:t>Maximum</w:t>
            </w:r>
            <w:r w:rsidR="00DD0D93">
              <w:rPr>
                <w:rFonts w:eastAsia="Calibri"/>
                <w:b/>
                <w:bCs/>
                <w:sz w:val="20"/>
                <w:szCs w:val="20"/>
              </w:rPr>
              <w:t xml:space="preserve"> Burden Estimate</w:t>
            </w:r>
          </w:p>
        </w:tc>
      </w:tr>
      <w:tr w:rsidRPr="00C47150" w:rsidR="00D95EF7" w:rsidTr="00D11F3C" w14:paraId="49A15009" w14:textId="77777777">
        <w:trPr>
          <w:trHeight w:val="268"/>
        </w:trPr>
        <w:tc>
          <w:tcPr>
            <w:tcW w:w="7010" w:type="dxa"/>
            <w:shd w:val="clear" w:color="auto" w:fill="auto"/>
          </w:tcPr>
          <w:p w:rsidRPr="007C52BE" w:rsidR="00D95EF7" w:rsidP="00D95EF7" w:rsidRDefault="00D95EF7" w14:paraId="0E8D7DDA" w14:textId="72876B95">
            <w:pPr>
              <w:spacing w:after="0"/>
              <w:rPr>
                <w:sz w:val="20"/>
                <w:szCs w:val="20"/>
              </w:rPr>
            </w:pPr>
            <w:r w:rsidRPr="00871E51">
              <w:rPr>
                <w:rFonts w:eastAsia="Calibri"/>
                <w:sz w:val="20"/>
                <w:szCs w:val="20"/>
              </w:rPr>
              <w:t># of Qualified Registry Simplified Self-Nomination Applications submitted (a)</w:t>
            </w:r>
          </w:p>
        </w:tc>
        <w:tc>
          <w:tcPr>
            <w:tcW w:w="1530" w:type="dxa"/>
            <w:vAlign w:val="center"/>
          </w:tcPr>
          <w:p w:rsidRPr="007C52BE" w:rsidR="00D95EF7" w:rsidP="00D95EF7" w:rsidRDefault="00D95EF7" w14:paraId="6521D5FB" w14:textId="5037167C">
            <w:pPr>
              <w:spacing w:after="0"/>
              <w:rPr>
                <w:sz w:val="20"/>
                <w:szCs w:val="20"/>
              </w:rPr>
            </w:pPr>
            <w:r w:rsidRPr="00871E51">
              <w:rPr>
                <w:rFonts w:eastAsia="Calibri"/>
                <w:sz w:val="20"/>
                <w:szCs w:val="20"/>
              </w:rPr>
              <w:t>210</w:t>
            </w:r>
          </w:p>
        </w:tc>
        <w:tc>
          <w:tcPr>
            <w:tcW w:w="1170" w:type="dxa"/>
            <w:shd w:val="clear" w:color="auto" w:fill="auto"/>
            <w:vAlign w:val="center"/>
          </w:tcPr>
          <w:p w:rsidRPr="007C52BE" w:rsidR="00D95EF7" w:rsidP="00D95EF7" w:rsidRDefault="00D95EF7" w14:paraId="5E1AEA74" w14:textId="6C66677D">
            <w:pPr>
              <w:spacing w:after="0"/>
              <w:rPr>
                <w:sz w:val="20"/>
                <w:szCs w:val="20"/>
              </w:rPr>
            </w:pPr>
            <w:r w:rsidRPr="00871E51">
              <w:rPr>
                <w:rFonts w:eastAsia="Calibri"/>
                <w:sz w:val="20"/>
                <w:szCs w:val="20"/>
              </w:rPr>
              <w:t>0</w:t>
            </w:r>
          </w:p>
        </w:tc>
      </w:tr>
      <w:tr w:rsidRPr="00C47150" w:rsidR="00D95EF7" w:rsidTr="00D11F3C" w14:paraId="1F32A58C" w14:textId="77777777">
        <w:trPr>
          <w:trHeight w:val="268"/>
        </w:trPr>
        <w:tc>
          <w:tcPr>
            <w:tcW w:w="7010" w:type="dxa"/>
            <w:shd w:val="clear" w:color="auto" w:fill="auto"/>
          </w:tcPr>
          <w:p w:rsidRPr="007C52BE" w:rsidR="00D95EF7" w:rsidP="00D95EF7" w:rsidRDefault="00D95EF7" w14:paraId="4C8858B0" w14:textId="56B7F680">
            <w:pPr>
              <w:spacing w:after="0"/>
              <w:rPr>
                <w:sz w:val="20"/>
                <w:szCs w:val="20"/>
              </w:rPr>
            </w:pPr>
            <w:r w:rsidRPr="00871E51">
              <w:rPr>
                <w:rFonts w:eastAsia="Calibri"/>
                <w:sz w:val="20"/>
                <w:szCs w:val="20"/>
              </w:rPr>
              <w:t># of Qualified Registry Full Self-Nomination Applications submitted (b)</w:t>
            </w:r>
          </w:p>
        </w:tc>
        <w:tc>
          <w:tcPr>
            <w:tcW w:w="1530" w:type="dxa"/>
            <w:vAlign w:val="center"/>
          </w:tcPr>
          <w:p w:rsidRPr="007C52BE" w:rsidR="00D95EF7" w:rsidP="00D95EF7" w:rsidRDefault="00D95EF7" w14:paraId="25BF359A" w14:textId="6A787313">
            <w:pPr>
              <w:spacing w:after="0"/>
              <w:rPr>
                <w:sz w:val="20"/>
                <w:szCs w:val="20"/>
              </w:rPr>
            </w:pPr>
            <w:r w:rsidRPr="00871E51">
              <w:rPr>
                <w:rFonts w:eastAsia="Calibri"/>
                <w:sz w:val="20"/>
                <w:szCs w:val="20"/>
              </w:rPr>
              <w:t>0</w:t>
            </w:r>
          </w:p>
        </w:tc>
        <w:tc>
          <w:tcPr>
            <w:tcW w:w="1170" w:type="dxa"/>
            <w:shd w:val="clear" w:color="auto" w:fill="auto"/>
            <w:vAlign w:val="center"/>
          </w:tcPr>
          <w:p w:rsidRPr="007C52BE" w:rsidR="00D95EF7" w:rsidP="00D95EF7" w:rsidRDefault="00D95EF7" w14:paraId="33780A5F" w14:textId="29E3934B">
            <w:pPr>
              <w:spacing w:after="0"/>
              <w:rPr>
                <w:sz w:val="20"/>
                <w:szCs w:val="20"/>
              </w:rPr>
            </w:pPr>
            <w:r w:rsidRPr="00871E51">
              <w:rPr>
                <w:rFonts w:eastAsia="Calibri"/>
                <w:sz w:val="20"/>
                <w:szCs w:val="20"/>
              </w:rPr>
              <w:t>210</w:t>
            </w:r>
          </w:p>
        </w:tc>
      </w:tr>
      <w:tr w:rsidRPr="00C47150" w:rsidR="00D95EF7" w:rsidTr="00D11F3C" w14:paraId="09F4ED01" w14:textId="77777777">
        <w:trPr>
          <w:trHeight w:val="233"/>
        </w:trPr>
        <w:tc>
          <w:tcPr>
            <w:tcW w:w="7010" w:type="dxa"/>
            <w:shd w:val="clear" w:color="auto" w:fill="D9D9D9" w:themeFill="background1" w:themeFillShade="D9"/>
          </w:tcPr>
          <w:p w:rsidRPr="00270824" w:rsidR="00D95EF7" w:rsidP="00D95EF7" w:rsidRDefault="00D95EF7" w14:paraId="670F51EC" w14:textId="18DD75C6">
            <w:pPr>
              <w:spacing w:after="0"/>
              <w:rPr>
                <w:b/>
                <w:bCs/>
                <w:sz w:val="20"/>
                <w:szCs w:val="20"/>
              </w:rPr>
            </w:pPr>
            <w:r w:rsidRPr="00871E51">
              <w:rPr>
                <w:rFonts w:eastAsia="Calibri"/>
                <w:b/>
                <w:bCs/>
                <w:sz w:val="20"/>
                <w:szCs w:val="20"/>
              </w:rPr>
              <w:t>Total Applications (c)</w:t>
            </w:r>
          </w:p>
        </w:tc>
        <w:tc>
          <w:tcPr>
            <w:tcW w:w="1530" w:type="dxa"/>
            <w:shd w:val="clear" w:color="auto" w:fill="D9D9D9" w:themeFill="background1" w:themeFillShade="D9"/>
            <w:vAlign w:val="center"/>
          </w:tcPr>
          <w:p w:rsidRPr="00270824" w:rsidR="00D95EF7" w:rsidP="00D95EF7" w:rsidRDefault="00D95EF7" w14:paraId="51C6AFBD" w14:textId="02FBE175">
            <w:pPr>
              <w:spacing w:after="0"/>
              <w:rPr>
                <w:rFonts w:eastAsia="Calibri"/>
                <w:b/>
                <w:bCs/>
                <w:sz w:val="20"/>
                <w:szCs w:val="20"/>
              </w:rPr>
            </w:pPr>
            <w:r w:rsidRPr="00871E51">
              <w:rPr>
                <w:rFonts w:eastAsia="Calibri"/>
                <w:b/>
                <w:bCs/>
                <w:sz w:val="20"/>
                <w:szCs w:val="20"/>
              </w:rPr>
              <w:t>210</w:t>
            </w:r>
          </w:p>
        </w:tc>
        <w:tc>
          <w:tcPr>
            <w:tcW w:w="1170" w:type="dxa"/>
            <w:shd w:val="clear" w:color="auto" w:fill="D9D9D9" w:themeFill="background1" w:themeFillShade="D9"/>
            <w:vAlign w:val="center"/>
          </w:tcPr>
          <w:p w:rsidRPr="00270824" w:rsidR="00D95EF7" w:rsidP="00D95EF7" w:rsidRDefault="00D95EF7" w14:paraId="4E50B9CE" w14:textId="1FB65101">
            <w:pPr>
              <w:spacing w:after="0"/>
              <w:rPr>
                <w:rFonts w:eastAsia="Calibri"/>
                <w:b/>
                <w:bCs/>
                <w:sz w:val="20"/>
                <w:szCs w:val="20"/>
              </w:rPr>
            </w:pPr>
            <w:r w:rsidRPr="00871E51">
              <w:rPr>
                <w:rFonts w:eastAsia="Calibri"/>
                <w:b/>
                <w:bCs/>
                <w:sz w:val="20"/>
                <w:szCs w:val="20"/>
              </w:rPr>
              <w:t>210</w:t>
            </w:r>
          </w:p>
        </w:tc>
      </w:tr>
      <w:tr w:rsidRPr="00C47150" w:rsidR="00D95EF7" w:rsidTr="00D11F3C" w14:paraId="297B9C60" w14:textId="77777777">
        <w:trPr>
          <w:trHeight w:val="233"/>
        </w:trPr>
        <w:tc>
          <w:tcPr>
            <w:tcW w:w="7010" w:type="dxa"/>
            <w:shd w:val="clear" w:color="auto" w:fill="auto"/>
          </w:tcPr>
          <w:p w:rsidRPr="007C52BE" w:rsidR="00D95EF7" w:rsidP="00D95EF7" w:rsidRDefault="00D95EF7" w14:paraId="7505A6D3" w14:textId="426F22D0">
            <w:pPr>
              <w:spacing w:after="0"/>
              <w:rPr>
                <w:sz w:val="20"/>
                <w:szCs w:val="20"/>
              </w:rPr>
            </w:pPr>
            <w:r w:rsidRPr="00871E51">
              <w:rPr>
                <w:rFonts w:eastAsia="Calibri"/>
                <w:sz w:val="20"/>
                <w:szCs w:val="20"/>
              </w:rPr>
              <w:t>Total Annual Hours Per Qualified Registry for Simplified Process (d)</w:t>
            </w:r>
          </w:p>
        </w:tc>
        <w:tc>
          <w:tcPr>
            <w:tcW w:w="1530" w:type="dxa"/>
            <w:vAlign w:val="center"/>
          </w:tcPr>
          <w:p w:rsidRPr="007C52BE" w:rsidR="00D95EF7" w:rsidP="00D95EF7" w:rsidRDefault="00D95EF7" w14:paraId="74DDEAFB" w14:textId="3C976925">
            <w:pPr>
              <w:spacing w:after="0"/>
              <w:rPr>
                <w:sz w:val="20"/>
                <w:szCs w:val="20"/>
              </w:rPr>
            </w:pPr>
            <w:r w:rsidRPr="00871E51">
              <w:rPr>
                <w:rFonts w:eastAsia="Calibri"/>
                <w:sz w:val="20"/>
                <w:szCs w:val="20"/>
              </w:rPr>
              <w:t>0.5</w:t>
            </w:r>
          </w:p>
        </w:tc>
        <w:tc>
          <w:tcPr>
            <w:tcW w:w="1170" w:type="dxa"/>
            <w:shd w:val="clear" w:color="auto" w:fill="auto"/>
            <w:vAlign w:val="center"/>
          </w:tcPr>
          <w:p w:rsidRPr="007C52BE" w:rsidR="00D95EF7" w:rsidP="00D95EF7" w:rsidRDefault="00D95EF7" w14:paraId="008C829E" w14:textId="17A97348">
            <w:pPr>
              <w:spacing w:after="0"/>
              <w:rPr>
                <w:sz w:val="20"/>
                <w:szCs w:val="20"/>
              </w:rPr>
            </w:pPr>
            <w:r w:rsidRPr="00871E51">
              <w:rPr>
                <w:rFonts w:eastAsia="Calibri"/>
                <w:sz w:val="20"/>
                <w:szCs w:val="20"/>
              </w:rPr>
              <w:t>0</w:t>
            </w:r>
          </w:p>
        </w:tc>
      </w:tr>
      <w:tr w:rsidRPr="00C47150" w:rsidR="00D95EF7" w:rsidTr="00D11F3C" w14:paraId="2957312C" w14:textId="77777777">
        <w:trPr>
          <w:trHeight w:val="233"/>
        </w:trPr>
        <w:tc>
          <w:tcPr>
            <w:tcW w:w="7010" w:type="dxa"/>
            <w:shd w:val="clear" w:color="auto" w:fill="auto"/>
            <w:hideMark/>
          </w:tcPr>
          <w:p w:rsidRPr="007C52BE" w:rsidR="00D95EF7" w:rsidP="00D95EF7" w:rsidRDefault="00D95EF7" w14:paraId="062AD277" w14:textId="392B9D62">
            <w:pPr>
              <w:spacing w:after="0"/>
              <w:rPr>
                <w:sz w:val="20"/>
                <w:szCs w:val="20"/>
              </w:rPr>
            </w:pPr>
            <w:r w:rsidRPr="00871E51">
              <w:rPr>
                <w:rFonts w:eastAsia="Calibri"/>
                <w:sz w:val="20"/>
                <w:szCs w:val="20"/>
              </w:rPr>
              <w:t>Total Annual Hours Per Qualified Registry for Full Process (e)</w:t>
            </w:r>
          </w:p>
        </w:tc>
        <w:tc>
          <w:tcPr>
            <w:tcW w:w="1530" w:type="dxa"/>
            <w:vAlign w:val="center"/>
          </w:tcPr>
          <w:p w:rsidRPr="007C52BE" w:rsidR="00D95EF7" w:rsidP="00D95EF7" w:rsidRDefault="00D95EF7" w14:paraId="33D8D811" w14:textId="594199DB">
            <w:pPr>
              <w:spacing w:after="0"/>
              <w:rPr>
                <w:sz w:val="20"/>
                <w:szCs w:val="20"/>
              </w:rPr>
            </w:pPr>
            <w:r w:rsidRPr="00871E51">
              <w:rPr>
                <w:rFonts w:eastAsia="Calibri"/>
                <w:sz w:val="20"/>
                <w:szCs w:val="20"/>
              </w:rPr>
              <w:t>0</w:t>
            </w:r>
          </w:p>
        </w:tc>
        <w:tc>
          <w:tcPr>
            <w:tcW w:w="1170" w:type="dxa"/>
            <w:shd w:val="clear" w:color="auto" w:fill="auto"/>
            <w:vAlign w:val="center"/>
            <w:hideMark/>
          </w:tcPr>
          <w:p w:rsidRPr="007C52BE" w:rsidR="00D95EF7" w:rsidP="00D95EF7" w:rsidRDefault="00D95EF7" w14:paraId="20E5C22E" w14:textId="44B85DEB">
            <w:pPr>
              <w:spacing w:after="0"/>
              <w:rPr>
                <w:sz w:val="20"/>
                <w:szCs w:val="20"/>
              </w:rPr>
            </w:pPr>
            <w:r w:rsidRPr="00871E51">
              <w:rPr>
                <w:rFonts w:eastAsia="Calibri"/>
                <w:sz w:val="20"/>
                <w:szCs w:val="20"/>
              </w:rPr>
              <w:t>2</w:t>
            </w:r>
          </w:p>
        </w:tc>
      </w:tr>
      <w:tr w:rsidRPr="00C47150" w:rsidR="00D95EF7" w:rsidTr="00D11F3C" w14:paraId="7B8756F6" w14:textId="77777777">
        <w:trPr>
          <w:trHeight w:val="260"/>
        </w:trPr>
        <w:tc>
          <w:tcPr>
            <w:tcW w:w="7010" w:type="dxa"/>
            <w:shd w:val="clear" w:color="auto" w:fill="D9D9D9" w:themeFill="background1" w:themeFillShade="D9"/>
            <w:hideMark/>
          </w:tcPr>
          <w:p w:rsidRPr="007C52BE" w:rsidR="00D95EF7" w:rsidP="00D95EF7" w:rsidRDefault="00D95EF7" w14:paraId="110627A3" w14:textId="375DD400">
            <w:pPr>
              <w:spacing w:after="0"/>
              <w:rPr>
                <w:b/>
                <w:bCs/>
                <w:sz w:val="20"/>
                <w:szCs w:val="20"/>
              </w:rPr>
            </w:pPr>
            <w:r w:rsidRPr="00871E51">
              <w:rPr>
                <w:rFonts w:eastAsia="Calibri"/>
                <w:b/>
                <w:bCs/>
                <w:sz w:val="20"/>
                <w:szCs w:val="20"/>
              </w:rPr>
              <w:t>Total Annual Hours for Self-Nomination for min. (f) = (a) * (d)</w:t>
            </w:r>
            <w:r w:rsidRPr="00871E51" w:rsidDel="00D13AA5">
              <w:rPr>
                <w:rFonts w:eastAsia="Calibri"/>
                <w:b/>
                <w:bCs/>
                <w:sz w:val="20"/>
                <w:szCs w:val="20"/>
              </w:rPr>
              <w:t xml:space="preserve"> </w:t>
            </w:r>
            <w:r w:rsidRPr="00871E51">
              <w:rPr>
                <w:rFonts w:eastAsia="Calibri"/>
                <w:b/>
                <w:bCs/>
                <w:sz w:val="20"/>
                <w:szCs w:val="20"/>
              </w:rPr>
              <w:t xml:space="preserve">and max. (b) * (e) </w:t>
            </w:r>
          </w:p>
        </w:tc>
        <w:tc>
          <w:tcPr>
            <w:tcW w:w="1530" w:type="dxa"/>
            <w:shd w:val="clear" w:color="auto" w:fill="D9D9D9" w:themeFill="background1" w:themeFillShade="D9"/>
            <w:vAlign w:val="center"/>
          </w:tcPr>
          <w:p w:rsidRPr="007C52BE" w:rsidR="00D95EF7" w:rsidP="00D95EF7" w:rsidRDefault="00D95EF7" w14:paraId="342B4E5A" w14:textId="259AC364">
            <w:pPr>
              <w:spacing w:after="0"/>
              <w:rPr>
                <w:b/>
                <w:bCs/>
                <w:sz w:val="20"/>
                <w:szCs w:val="20"/>
              </w:rPr>
            </w:pPr>
            <w:r w:rsidRPr="00871E51">
              <w:rPr>
                <w:rFonts w:eastAsia="Calibri"/>
                <w:b/>
                <w:bCs/>
                <w:sz w:val="20"/>
                <w:szCs w:val="20"/>
              </w:rPr>
              <w:t>105</w:t>
            </w:r>
          </w:p>
        </w:tc>
        <w:tc>
          <w:tcPr>
            <w:tcW w:w="1170" w:type="dxa"/>
            <w:shd w:val="clear" w:color="auto" w:fill="D9D9D9" w:themeFill="background1" w:themeFillShade="D9"/>
            <w:vAlign w:val="center"/>
            <w:hideMark/>
          </w:tcPr>
          <w:p w:rsidRPr="007C52BE" w:rsidR="00D95EF7" w:rsidP="00D95EF7" w:rsidRDefault="00D95EF7" w14:paraId="7C69A261" w14:textId="3D46A06E">
            <w:pPr>
              <w:spacing w:after="0"/>
              <w:rPr>
                <w:b/>
                <w:bCs/>
                <w:sz w:val="20"/>
                <w:szCs w:val="20"/>
              </w:rPr>
            </w:pPr>
            <w:r w:rsidRPr="00871E51">
              <w:rPr>
                <w:rFonts w:eastAsia="Calibri"/>
                <w:b/>
                <w:bCs/>
                <w:sz w:val="20"/>
                <w:szCs w:val="20"/>
              </w:rPr>
              <w:t>420</w:t>
            </w:r>
          </w:p>
        </w:tc>
      </w:tr>
      <w:tr w:rsidRPr="00C47150" w:rsidR="00D95EF7" w:rsidTr="00D11F3C" w14:paraId="253A7B35" w14:textId="77777777">
        <w:trPr>
          <w:trHeight w:val="233"/>
        </w:trPr>
        <w:tc>
          <w:tcPr>
            <w:tcW w:w="7010" w:type="dxa"/>
            <w:shd w:val="clear" w:color="auto" w:fill="D9D9D9" w:themeFill="background1" w:themeFillShade="D9"/>
          </w:tcPr>
          <w:p w:rsidRPr="007C52BE" w:rsidR="00D95EF7" w:rsidP="00D95EF7" w:rsidRDefault="00D95EF7" w14:paraId="4E4DC8F7" w14:textId="59857247">
            <w:pPr>
              <w:spacing w:after="0"/>
              <w:rPr>
                <w:sz w:val="20"/>
                <w:szCs w:val="20"/>
              </w:rPr>
            </w:pPr>
            <w:r w:rsidRPr="00871E51">
              <w:rPr>
                <w:rFonts w:eastAsia="Calibri"/>
                <w:b/>
                <w:sz w:val="20"/>
                <w:szCs w:val="20"/>
              </w:rPr>
              <w:t>Total Annual Hours for Completion of 63 Targeted Audits (g)</w:t>
            </w:r>
          </w:p>
        </w:tc>
        <w:tc>
          <w:tcPr>
            <w:tcW w:w="1530" w:type="dxa"/>
            <w:shd w:val="clear" w:color="auto" w:fill="D9D9D9" w:themeFill="background1" w:themeFillShade="D9"/>
            <w:vAlign w:val="center"/>
          </w:tcPr>
          <w:p w:rsidRPr="00896025" w:rsidR="00D95EF7" w:rsidP="00D95EF7" w:rsidRDefault="00D95EF7" w14:paraId="192378C2" w14:textId="6F7DF138">
            <w:pPr>
              <w:spacing w:after="0"/>
              <w:rPr>
                <w:rFonts w:eastAsia="Calibri"/>
                <w:sz w:val="20"/>
                <w:szCs w:val="20"/>
              </w:rPr>
            </w:pPr>
            <w:r w:rsidRPr="00871E51">
              <w:rPr>
                <w:rFonts w:eastAsia="Calibri"/>
                <w:b/>
                <w:sz w:val="20"/>
                <w:szCs w:val="20"/>
              </w:rPr>
              <w:t>315</w:t>
            </w:r>
          </w:p>
        </w:tc>
        <w:tc>
          <w:tcPr>
            <w:tcW w:w="1170" w:type="dxa"/>
            <w:shd w:val="clear" w:color="auto" w:fill="D9D9D9" w:themeFill="background1" w:themeFillShade="D9"/>
            <w:vAlign w:val="center"/>
          </w:tcPr>
          <w:p w:rsidRPr="00896025" w:rsidR="00D95EF7" w:rsidP="00D95EF7" w:rsidRDefault="00D95EF7" w14:paraId="00DC79D4" w14:textId="4D9BF2F8">
            <w:pPr>
              <w:spacing w:after="0"/>
              <w:rPr>
                <w:rFonts w:eastAsia="Calibri"/>
                <w:sz w:val="20"/>
                <w:szCs w:val="20"/>
              </w:rPr>
            </w:pPr>
            <w:r w:rsidRPr="00871E51">
              <w:rPr>
                <w:rFonts w:eastAsia="Calibri"/>
                <w:b/>
                <w:sz w:val="20"/>
                <w:szCs w:val="20"/>
              </w:rPr>
              <w:t>630</w:t>
            </w:r>
          </w:p>
        </w:tc>
      </w:tr>
      <w:tr w:rsidRPr="00C47150" w:rsidR="00D95EF7" w:rsidTr="00D11F3C" w14:paraId="5F5E9F53" w14:textId="77777777">
        <w:trPr>
          <w:trHeight w:val="242"/>
        </w:trPr>
        <w:tc>
          <w:tcPr>
            <w:tcW w:w="7010" w:type="dxa"/>
            <w:shd w:val="clear" w:color="auto" w:fill="D9D9D9" w:themeFill="background1" w:themeFillShade="D9"/>
          </w:tcPr>
          <w:p w:rsidRPr="00E3760B" w:rsidR="00D95EF7" w:rsidP="00D95EF7" w:rsidRDefault="00D95EF7" w14:paraId="0C9DE3C9" w14:textId="094D2B77">
            <w:pPr>
              <w:spacing w:after="0"/>
              <w:rPr>
                <w:rFonts w:eastAsia="Calibri"/>
                <w:b/>
                <w:sz w:val="20"/>
                <w:szCs w:val="20"/>
              </w:rPr>
            </w:pPr>
            <w:r w:rsidRPr="00871E51">
              <w:rPr>
                <w:rFonts w:eastAsia="Calibri"/>
                <w:b/>
                <w:sz w:val="20"/>
                <w:szCs w:val="20"/>
              </w:rPr>
              <w:t>Total Annual Hours for development and submittal of 19 Participation Plans (h)</w:t>
            </w:r>
          </w:p>
        </w:tc>
        <w:tc>
          <w:tcPr>
            <w:tcW w:w="1530" w:type="dxa"/>
            <w:shd w:val="clear" w:color="auto" w:fill="D9D9D9" w:themeFill="background1" w:themeFillShade="D9"/>
            <w:vAlign w:val="center"/>
          </w:tcPr>
          <w:p w:rsidRPr="00E3760B" w:rsidR="00D95EF7" w:rsidP="00D95EF7" w:rsidRDefault="00D95EF7" w14:paraId="20385137" w14:textId="70891B1E">
            <w:pPr>
              <w:spacing w:after="0"/>
              <w:rPr>
                <w:rFonts w:eastAsia="Calibri"/>
                <w:b/>
                <w:sz w:val="20"/>
                <w:szCs w:val="20"/>
              </w:rPr>
            </w:pPr>
            <w:r w:rsidRPr="00871E51">
              <w:rPr>
                <w:rFonts w:eastAsia="Calibri"/>
                <w:b/>
                <w:sz w:val="20"/>
                <w:szCs w:val="20"/>
              </w:rPr>
              <w:t>57</w:t>
            </w:r>
          </w:p>
        </w:tc>
        <w:tc>
          <w:tcPr>
            <w:tcW w:w="1170" w:type="dxa"/>
            <w:shd w:val="clear" w:color="auto" w:fill="D9D9D9" w:themeFill="background1" w:themeFillShade="D9"/>
            <w:vAlign w:val="center"/>
          </w:tcPr>
          <w:p w:rsidRPr="00E3760B" w:rsidR="00D95EF7" w:rsidP="00D95EF7" w:rsidRDefault="00D95EF7" w14:paraId="2B90717D" w14:textId="56E23227">
            <w:pPr>
              <w:spacing w:after="0"/>
              <w:rPr>
                <w:rFonts w:eastAsia="Calibri"/>
                <w:b/>
                <w:sz w:val="20"/>
                <w:szCs w:val="20"/>
              </w:rPr>
            </w:pPr>
            <w:r w:rsidRPr="00871E51">
              <w:rPr>
                <w:rFonts w:eastAsia="Calibri"/>
                <w:b/>
                <w:sz w:val="20"/>
                <w:szCs w:val="20"/>
              </w:rPr>
              <w:t>57</w:t>
            </w:r>
          </w:p>
        </w:tc>
      </w:tr>
      <w:tr w:rsidRPr="00C47150" w:rsidR="00D95EF7" w:rsidTr="00D11F3C" w14:paraId="5E43023C" w14:textId="77777777">
        <w:trPr>
          <w:trHeight w:val="242"/>
        </w:trPr>
        <w:tc>
          <w:tcPr>
            <w:tcW w:w="7010" w:type="dxa"/>
            <w:shd w:val="clear" w:color="auto" w:fill="D9D9D9" w:themeFill="background1" w:themeFillShade="D9"/>
          </w:tcPr>
          <w:p w:rsidRPr="007C52BE" w:rsidR="00D95EF7" w:rsidP="00D95EF7" w:rsidRDefault="00D95EF7" w14:paraId="40FC9779" w14:textId="3E278DB6">
            <w:pPr>
              <w:spacing w:after="0"/>
              <w:rPr>
                <w:sz w:val="20"/>
                <w:szCs w:val="20"/>
              </w:rPr>
            </w:pPr>
            <w:r w:rsidRPr="00871E51">
              <w:rPr>
                <w:rFonts w:eastAsia="Calibri"/>
                <w:b/>
                <w:sz w:val="20"/>
                <w:szCs w:val="20"/>
              </w:rPr>
              <w:t>Total Annual Hours for Submittal of 10 CAPs (i)</w:t>
            </w:r>
          </w:p>
        </w:tc>
        <w:tc>
          <w:tcPr>
            <w:tcW w:w="1530" w:type="dxa"/>
            <w:shd w:val="clear" w:color="auto" w:fill="D9D9D9" w:themeFill="background1" w:themeFillShade="D9"/>
            <w:vAlign w:val="center"/>
          </w:tcPr>
          <w:p w:rsidRPr="00896025" w:rsidR="00D95EF7" w:rsidP="00D95EF7" w:rsidRDefault="00D95EF7" w14:paraId="354BDA18" w14:textId="0E7454FD">
            <w:pPr>
              <w:spacing w:after="0"/>
              <w:rPr>
                <w:rFonts w:eastAsia="Calibri"/>
                <w:sz w:val="20"/>
                <w:szCs w:val="20"/>
              </w:rPr>
            </w:pPr>
            <w:r w:rsidRPr="00871E51">
              <w:rPr>
                <w:rFonts w:eastAsia="Calibri"/>
                <w:b/>
                <w:sz w:val="20"/>
                <w:szCs w:val="20"/>
              </w:rPr>
              <w:t>30</w:t>
            </w:r>
          </w:p>
        </w:tc>
        <w:tc>
          <w:tcPr>
            <w:tcW w:w="1170" w:type="dxa"/>
            <w:shd w:val="clear" w:color="auto" w:fill="D9D9D9" w:themeFill="background1" w:themeFillShade="D9"/>
            <w:vAlign w:val="center"/>
          </w:tcPr>
          <w:p w:rsidRPr="00896025" w:rsidR="00D95EF7" w:rsidP="00D95EF7" w:rsidRDefault="00D95EF7" w14:paraId="39FA9C17" w14:textId="1FED2788">
            <w:pPr>
              <w:spacing w:after="0"/>
              <w:rPr>
                <w:rFonts w:eastAsia="Calibri"/>
                <w:sz w:val="20"/>
                <w:szCs w:val="20"/>
              </w:rPr>
            </w:pPr>
            <w:r w:rsidRPr="00871E51">
              <w:rPr>
                <w:rFonts w:eastAsia="Calibri"/>
                <w:b/>
                <w:sz w:val="20"/>
                <w:szCs w:val="20"/>
              </w:rPr>
              <w:t>30</w:t>
            </w:r>
          </w:p>
        </w:tc>
      </w:tr>
      <w:tr w:rsidRPr="00C47150" w:rsidR="00D95EF7" w:rsidTr="00D11F3C" w14:paraId="555535D0" w14:textId="77777777">
        <w:trPr>
          <w:trHeight w:val="188"/>
        </w:trPr>
        <w:tc>
          <w:tcPr>
            <w:tcW w:w="7010" w:type="dxa"/>
            <w:shd w:val="clear" w:color="auto" w:fill="D9D9D9" w:themeFill="background1" w:themeFillShade="D9"/>
          </w:tcPr>
          <w:p w:rsidRPr="00E86976" w:rsidR="00D95EF7" w:rsidP="00D95EF7" w:rsidRDefault="00D95EF7" w14:paraId="0F6935C9" w14:textId="2B7D451D">
            <w:pPr>
              <w:spacing w:after="0"/>
              <w:rPr>
                <w:b/>
                <w:bCs/>
                <w:sz w:val="20"/>
                <w:szCs w:val="20"/>
              </w:rPr>
            </w:pPr>
            <w:r w:rsidRPr="00871E51">
              <w:rPr>
                <w:rFonts w:eastAsia="Calibri"/>
                <w:b/>
                <w:bCs/>
                <w:sz w:val="20"/>
                <w:szCs w:val="20"/>
              </w:rPr>
              <w:t>Total Annual Time (Hours) (j) = (e) + (f) + (g) + (h)</w:t>
            </w:r>
          </w:p>
        </w:tc>
        <w:tc>
          <w:tcPr>
            <w:tcW w:w="1530" w:type="dxa"/>
            <w:shd w:val="clear" w:color="auto" w:fill="D9D9D9" w:themeFill="background1" w:themeFillShade="D9"/>
            <w:vAlign w:val="center"/>
          </w:tcPr>
          <w:p w:rsidRPr="00E86976" w:rsidR="00D95EF7" w:rsidP="00D95EF7" w:rsidRDefault="00D95EF7" w14:paraId="524121BB" w14:textId="7FD1374F">
            <w:pPr>
              <w:spacing w:after="0"/>
              <w:rPr>
                <w:b/>
                <w:bCs/>
                <w:sz w:val="20"/>
                <w:szCs w:val="20"/>
              </w:rPr>
            </w:pPr>
            <w:r w:rsidRPr="00871E51">
              <w:rPr>
                <w:rFonts w:eastAsia="Calibri"/>
                <w:b/>
                <w:sz w:val="20"/>
                <w:szCs w:val="20"/>
              </w:rPr>
              <w:t>507</w:t>
            </w:r>
          </w:p>
        </w:tc>
        <w:tc>
          <w:tcPr>
            <w:tcW w:w="1170" w:type="dxa"/>
            <w:shd w:val="clear" w:color="auto" w:fill="D9D9D9" w:themeFill="background1" w:themeFillShade="D9"/>
            <w:vAlign w:val="center"/>
          </w:tcPr>
          <w:p w:rsidRPr="00E86976" w:rsidR="00D95EF7" w:rsidP="00D95EF7" w:rsidRDefault="00D95EF7" w14:paraId="27B7E83D" w14:textId="1843C05F">
            <w:pPr>
              <w:spacing w:after="0"/>
              <w:rPr>
                <w:b/>
                <w:bCs/>
                <w:sz w:val="20"/>
                <w:szCs w:val="20"/>
              </w:rPr>
            </w:pPr>
            <w:r w:rsidRPr="00871E51">
              <w:rPr>
                <w:rFonts w:eastAsia="Calibri"/>
                <w:b/>
                <w:sz w:val="20"/>
                <w:szCs w:val="20"/>
              </w:rPr>
              <w:t>1,137</w:t>
            </w:r>
          </w:p>
        </w:tc>
      </w:tr>
      <w:tr w:rsidRPr="00464E1E" w:rsidR="00D95EF7" w:rsidTr="00D11F3C" w14:paraId="6883D6FB" w14:textId="77777777">
        <w:trPr>
          <w:trHeight w:val="188"/>
        </w:trPr>
        <w:tc>
          <w:tcPr>
            <w:tcW w:w="7010" w:type="dxa"/>
            <w:shd w:val="clear" w:color="auto" w:fill="auto"/>
          </w:tcPr>
          <w:p w:rsidRPr="001376EC" w:rsidR="00D95EF7" w:rsidP="00D95EF7" w:rsidRDefault="00D95EF7" w14:paraId="441FAE79" w14:textId="7A37BAEC">
            <w:pPr>
              <w:spacing w:after="0"/>
              <w:rPr>
                <w:sz w:val="20"/>
                <w:szCs w:val="20"/>
              </w:rPr>
            </w:pPr>
            <w:r w:rsidRPr="00871E51">
              <w:rPr>
                <w:rFonts w:eastAsia="Calibri"/>
                <w:sz w:val="20"/>
                <w:szCs w:val="20"/>
              </w:rPr>
              <w:t>Cost Per Simplified Process Per Qualified Registry (@ computer systems analyst’s labor rate of $95.22/hr) (k)</w:t>
            </w:r>
          </w:p>
        </w:tc>
        <w:tc>
          <w:tcPr>
            <w:tcW w:w="1530" w:type="dxa"/>
            <w:shd w:val="clear" w:color="auto" w:fill="auto"/>
            <w:vAlign w:val="center"/>
          </w:tcPr>
          <w:p w:rsidRPr="001376EC" w:rsidR="00D95EF7" w:rsidP="00D95EF7" w:rsidRDefault="00D95EF7" w14:paraId="0E7533E6" w14:textId="470AFBB3">
            <w:pPr>
              <w:spacing w:after="0"/>
              <w:rPr>
                <w:sz w:val="20"/>
                <w:szCs w:val="20"/>
              </w:rPr>
            </w:pPr>
            <w:r w:rsidRPr="00871E51">
              <w:rPr>
                <w:rFonts w:eastAsia="Calibri"/>
                <w:sz w:val="20"/>
                <w:szCs w:val="20"/>
              </w:rPr>
              <w:t>$47.61</w:t>
            </w:r>
          </w:p>
        </w:tc>
        <w:tc>
          <w:tcPr>
            <w:tcW w:w="1170" w:type="dxa"/>
            <w:shd w:val="clear" w:color="auto" w:fill="auto"/>
            <w:vAlign w:val="center"/>
          </w:tcPr>
          <w:p w:rsidRPr="001376EC" w:rsidR="00D95EF7" w:rsidP="00D95EF7" w:rsidRDefault="00D95EF7" w14:paraId="4154AD29" w14:textId="0B66E78F">
            <w:pPr>
              <w:spacing w:after="0"/>
              <w:rPr>
                <w:sz w:val="20"/>
                <w:szCs w:val="20"/>
              </w:rPr>
            </w:pPr>
            <w:r w:rsidRPr="00871E51">
              <w:rPr>
                <w:rFonts w:eastAsia="Calibri"/>
                <w:sz w:val="20"/>
                <w:szCs w:val="20"/>
              </w:rPr>
              <w:t>$47.61</w:t>
            </w:r>
          </w:p>
        </w:tc>
      </w:tr>
      <w:tr w:rsidRPr="00C47150" w:rsidR="00D95EF7" w:rsidTr="00D11F3C" w14:paraId="3F351D73" w14:textId="77777777">
        <w:trPr>
          <w:trHeight w:val="70"/>
        </w:trPr>
        <w:tc>
          <w:tcPr>
            <w:tcW w:w="7010" w:type="dxa"/>
            <w:shd w:val="clear" w:color="auto" w:fill="D9D9D9" w:themeFill="background1" w:themeFillShade="D9"/>
            <w:hideMark/>
          </w:tcPr>
          <w:p w:rsidRPr="00004791" w:rsidR="00D95EF7" w:rsidP="00D95EF7" w:rsidRDefault="00D95EF7" w14:paraId="53D30921" w14:textId="16875E82">
            <w:pPr>
              <w:spacing w:after="0"/>
              <w:rPr>
                <w:b/>
                <w:bCs/>
                <w:sz w:val="20"/>
              </w:rPr>
            </w:pPr>
            <w:r w:rsidRPr="00871E51">
              <w:rPr>
                <w:rFonts w:eastAsia="Calibri"/>
                <w:sz w:val="20"/>
                <w:szCs w:val="20"/>
              </w:rPr>
              <w:t>Cost Per Full Process Per Qualified Registry (@ computer systems analyst’s labor rate of $95.22/hr) (l)</w:t>
            </w:r>
          </w:p>
        </w:tc>
        <w:tc>
          <w:tcPr>
            <w:tcW w:w="1530" w:type="dxa"/>
            <w:shd w:val="clear" w:color="auto" w:fill="D9D9D9" w:themeFill="background1" w:themeFillShade="D9"/>
            <w:vAlign w:val="center"/>
          </w:tcPr>
          <w:p w:rsidRPr="00862D78" w:rsidR="00D95EF7" w:rsidP="00D95EF7" w:rsidRDefault="00D95EF7" w14:paraId="62120CA1" w14:textId="7E7DF904">
            <w:pPr>
              <w:spacing w:after="0"/>
              <w:rPr>
                <w:b/>
                <w:bCs/>
                <w:sz w:val="20"/>
              </w:rPr>
            </w:pPr>
            <w:r w:rsidRPr="00871E51">
              <w:rPr>
                <w:rFonts w:eastAsia="Calibri"/>
                <w:sz w:val="20"/>
                <w:szCs w:val="20"/>
              </w:rPr>
              <w:t>$190.44</w:t>
            </w:r>
          </w:p>
        </w:tc>
        <w:tc>
          <w:tcPr>
            <w:tcW w:w="1170" w:type="dxa"/>
            <w:shd w:val="clear" w:color="auto" w:fill="D9D9D9" w:themeFill="background1" w:themeFillShade="D9"/>
            <w:vAlign w:val="center"/>
            <w:hideMark/>
          </w:tcPr>
          <w:p w:rsidRPr="00004791" w:rsidR="00D95EF7" w:rsidP="00D95EF7" w:rsidRDefault="00D95EF7" w14:paraId="697B6DED" w14:textId="0E086382">
            <w:pPr>
              <w:spacing w:after="0"/>
              <w:rPr>
                <w:b/>
                <w:bCs/>
                <w:sz w:val="20"/>
              </w:rPr>
            </w:pPr>
            <w:r w:rsidRPr="00871E51">
              <w:rPr>
                <w:rFonts w:eastAsia="Calibri"/>
                <w:sz w:val="20"/>
                <w:szCs w:val="20"/>
              </w:rPr>
              <w:t>$190.44</w:t>
            </w:r>
          </w:p>
        </w:tc>
      </w:tr>
      <w:tr w:rsidRPr="00871E51" w:rsidR="00604F87" w:rsidTr="00D11F3C" w14:paraId="54F7295B" w14:textId="77777777">
        <w:trPr>
          <w:trHeight w:val="70"/>
        </w:trPr>
        <w:tc>
          <w:tcPr>
            <w:tcW w:w="701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604F87" w:rsidP="00604F87" w:rsidRDefault="00604F87" w14:paraId="10AA5D28" w14:textId="77777777">
            <w:pPr>
              <w:spacing w:after="0"/>
              <w:rPr>
                <w:rFonts w:eastAsia="Calibri"/>
                <w:sz w:val="20"/>
                <w:szCs w:val="20"/>
              </w:rPr>
            </w:pPr>
            <w:r w:rsidRPr="00871E51">
              <w:rPr>
                <w:rFonts w:eastAsia="Calibri"/>
                <w:sz w:val="20"/>
                <w:szCs w:val="20"/>
              </w:rPr>
              <w:t>Cost Per Targeted Audit (@ computer systems analyst’s labor rate of $95.22/hr) (m)</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71E51" w:rsidR="00604F87" w:rsidP="00604F87" w:rsidRDefault="00604F87" w14:paraId="72C48A24" w14:textId="77777777">
            <w:pPr>
              <w:spacing w:after="0"/>
              <w:rPr>
                <w:rFonts w:eastAsia="Calibri"/>
                <w:sz w:val="20"/>
                <w:szCs w:val="20"/>
              </w:rPr>
            </w:pPr>
            <w:r w:rsidRPr="00871E51">
              <w:rPr>
                <w:rFonts w:eastAsia="Calibri"/>
                <w:sz w:val="20"/>
                <w:szCs w:val="20"/>
              </w:rPr>
              <w:t>$476.10</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71E51" w:rsidR="00604F87" w:rsidP="00604F87" w:rsidRDefault="00604F87" w14:paraId="78F47345" w14:textId="77777777">
            <w:pPr>
              <w:spacing w:after="0"/>
              <w:rPr>
                <w:rFonts w:eastAsia="Calibri"/>
                <w:sz w:val="20"/>
                <w:szCs w:val="20"/>
              </w:rPr>
            </w:pPr>
            <w:r w:rsidRPr="00871E51">
              <w:rPr>
                <w:rFonts w:eastAsia="Calibri"/>
                <w:sz w:val="20"/>
                <w:szCs w:val="20"/>
              </w:rPr>
              <w:t>$952.20</w:t>
            </w:r>
          </w:p>
        </w:tc>
      </w:tr>
      <w:tr w:rsidRPr="00871E51" w:rsidR="00604F87" w:rsidTr="00D11F3C" w14:paraId="26AA9AD9" w14:textId="77777777">
        <w:trPr>
          <w:trHeight w:val="70"/>
        </w:trPr>
        <w:tc>
          <w:tcPr>
            <w:tcW w:w="701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604F87" w:rsidP="00604F87" w:rsidRDefault="00604F87" w14:paraId="28FA7BAD" w14:textId="77777777">
            <w:pPr>
              <w:spacing w:after="0"/>
              <w:rPr>
                <w:rFonts w:eastAsia="Calibri"/>
                <w:sz w:val="20"/>
                <w:szCs w:val="20"/>
              </w:rPr>
            </w:pPr>
            <w:r w:rsidRPr="00871E51">
              <w:rPr>
                <w:rFonts w:eastAsia="Calibri"/>
                <w:sz w:val="20"/>
                <w:szCs w:val="20"/>
              </w:rPr>
              <w:t>Cost Per Participation Plan (@ computer systems analyst’s labor rate of $95.22/hr) (n)</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71E51" w:rsidR="00604F87" w:rsidP="00604F87" w:rsidRDefault="00604F87" w14:paraId="2C6759BD" w14:textId="77777777">
            <w:pPr>
              <w:spacing w:after="0"/>
              <w:rPr>
                <w:rFonts w:eastAsia="Calibri"/>
                <w:sz w:val="20"/>
                <w:szCs w:val="20"/>
              </w:rPr>
            </w:pPr>
            <w:r w:rsidRPr="00871E51">
              <w:rPr>
                <w:rFonts w:eastAsia="Calibri"/>
                <w:sz w:val="20"/>
                <w:szCs w:val="20"/>
              </w:rPr>
              <w:t>$285.66</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71E51" w:rsidR="00604F87" w:rsidP="00604F87" w:rsidRDefault="00604F87" w14:paraId="13EA82DA" w14:textId="77777777">
            <w:pPr>
              <w:spacing w:after="0"/>
              <w:rPr>
                <w:rFonts w:eastAsia="Calibri"/>
                <w:sz w:val="20"/>
                <w:szCs w:val="20"/>
              </w:rPr>
            </w:pPr>
            <w:r w:rsidRPr="00871E51">
              <w:rPr>
                <w:rFonts w:eastAsia="Calibri"/>
                <w:sz w:val="20"/>
                <w:szCs w:val="20"/>
              </w:rPr>
              <w:t>$285.66</w:t>
            </w:r>
          </w:p>
        </w:tc>
      </w:tr>
      <w:tr w:rsidRPr="00871E51" w:rsidR="00604F87" w:rsidTr="00D11F3C" w14:paraId="20C64C90" w14:textId="77777777">
        <w:trPr>
          <w:trHeight w:val="70"/>
        </w:trPr>
        <w:tc>
          <w:tcPr>
            <w:tcW w:w="701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604F87" w:rsidP="00604F87" w:rsidRDefault="00604F87" w14:paraId="7A032C67" w14:textId="77777777">
            <w:pPr>
              <w:spacing w:after="0"/>
              <w:rPr>
                <w:rFonts w:eastAsia="Calibri"/>
                <w:sz w:val="20"/>
                <w:szCs w:val="20"/>
              </w:rPr>
            </w:pPr>
            <w:r w:rsidRPr="00871E51">
              <w:rPr>
                <w:rFonts w:eastAsia="Calibri"/>
                <w:sz w:val="20"/>
                <w:szCs w:val="20"/>
              </w:rPr>
              <w:t>Cost per CAP (@ computer systems analyst’s labor rate of $95.22/hr) (o)</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71E51" w:rsidR="00604F87" w:rsidP="00604F87" w:rsidRDefault="00604F87" w14:paraId="66CB66BF" w14:textId="77777777">
            <w:pPr>
              <w:spacing w:after="0"/>
              <w:rPr>
                <w:rFonts w:eastAsia="Calibri"/>
                <w:sz w:val="20"/>
                <w:szCs w:val="20"/>
              </w:rPr>
            </w:pPr>
            <w:r w:rsidRPr="00871E51">
              <w:rPr>
                <w:rFonts w:eastAsia="Calibri"/>
                <w:sz w:val="20"/>
                <w:szCs w:val="20"/>
              </w:rPr>
              <w:t>$285.66</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71E51" w:rsidR="00604F87" w:rsidP="00604F87" w:rsidRDefault="00604F87" w14:paraId="2431ACFE" w14:textId="77777777">
            <w:pPr>
              <w:spacing w:after="0"/>
              <w:rPr>
                <w:rFonts w:eastAsia="Calibri"/>
                <w:sz w:val="20"/>
                <w:szCs w:val="20"/>
              </w:rPr>
            </w:pPr>
            <w:r w:rsidRPr="00871E51">
              <w:rPr>
                <w:rFonts w:eastAsia="Calibri"/>
                <w:sz w:val="20"/>
                <w:szCs w:val="20"/>
              </w:rPr>
              <w:t>$285.66</w:t>
            </w:r>
          </w:p>
        </w:tc>
      </w:tr>
      <w:tr w:rsidRPr="00871E51" w:rsidR="00604F87" w:rsidTr="00D11F3C" w14:paraId="6B44768B" w14:textId="77777777">
        <w:trPr>
          <w:trHeight w:val="70"/>
        </w:trPr>
        <w:tc>
          <w:tcPr>
            <w:tcW w:w="701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376EC" w:rsidR="00604F87" w:rsidP="00604F87" w:rsidRDefault="00604F87" w14:paraId="7274044E" w14:textId="77777777">
            <w:pPr>
              <w:spacing w:after="0"/>
              <w:rPr>
                <w:rFonts w:eastAsia="Calibri"/>
                <w:b/>
                <w:bCs/>
                <w:sz w:val="20"/>
                <w:szCs w:val="20"/>
              </w:rPr>
            </w:pPr>
            <w:r w:rsidRPr="001376EC">
              <w:rPr>
                <w:rFonts w:eastAsia="Calibri"/>
                <w:b/>
                <w:bCs/>
                <w:sz w:val="20"/>
                <w:szCs w:val="20"/>
              </w:rPr>
              <w:t xml:space="preserve">Total Annual Cost for min. (p) = (a) * (k) + (m) * 63 + (n) * 19 + (o) * 10 and max. (b) * (l) + (m) * 63 + (n) * 19 + (o) * 10 </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376EC" w:rsidR="00604F87" w:rsidP="00604F87" w:rsidRDefault="00604F87" w14:paraId="67D615ED" w14:textId="77777777">
            <w:pPr>
              <w:spacing w:after="0"/>
              <w:rPr>
                <w:rFonts w:eastAsia="Calibri"/>
                <w:b/>
                <w:bCs/>
                <w:sz w:val="20"/>
                <w:szCs w:val="20"/>
              </w:rPr>
            </w:pPr>
            <w:r w:rsidRPr="001376EC">
              <w:rPr>
                <w:rFonts w:eastAsia="Calibri"/>
                <w:b/>
                <w:bCs/>
                <w:sz w:val="20"/>
                <w:szCs w:val="20"/>
              </w:rPr>
              <w:t>$48,277</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376EC" w:rsidR="00604F87" w:rsidP="00604F87" w:rsidRDefault="00604F87" w14:paraId="1B140D07" w14:textId="77777777">
            <w:pPr>
              <w:spacing w:after="0"/>
              <w:rPr>
                <w:rFonts w:eastAsia="Calibri"/>
                <w:b/>
                <w:bCs/>
                <w:sz w:val="20"/>
                <w:szCs w:val="20"/>
              </w:rPr>
            </w:pPr>
            <w:r w:rsidRPr="001376EC">
              <w:rPr>
                <w:rFonts w:eastAsia="Calibri"/>
                <w:b/>
                <w:bCs/>
                <w:sz w:val="20"/>
                <w:szCs w:val="20"/>
              </w:rPr>
              <w:t>$108,266</w:t>
            </w:r>
          </w:p>
        </w:tc>
      </w:tr>
    </w:tbl>
    <w:p w:rsidRPr="00CF1883" w:rsidR="00B05B18" w:rsidP="00CF1883" w:rsidRDefault="00B05B18" w14:paraId="1DE459FF" w14:textId="77777777"/>
    <w:p w:rsidRPr="00041A6A" w:rsidR="008D7566" w:rsidP="00097CA9" w:rsidRDefault="0004680F" w14:paraId="19707942" w14:textId="3B421088">
      <w:pPr>
        <w:pStyle w:val="Heading4"/>
        <w:tabs>
          <w:tab w:val="clear" w:pos="720"/>
          <w:tab w:val="left" w:pos="900"/>
        </w:tabs>
        <w:ind w:left="2880"/>
      </w:pPr>
      <w:r w:rsidRPr="00041A6A">
        <w:lastRenderedPageBreak/>
        <w:t>Burden for QCDR Self-Nomination</w:t>
      </w:r>
      <w:r w:rsidRPr="00041A6A" w:rsidR="00891A14">
        <w:t xml:space="preserve"> and Other Requirements</w:t>
      </w:r>
      <w:r w:rsidRPr="00041A6A" w:rsidR="00B05B18">
        <w:rPr>
          <w:vertAlign w:val="superscript"/>
        </w:rPr>
        <w:footnoteReference w:id="6"/>
      </w:r>
    </w:p>
    <w:p w:rsidRPr="00DB53F8" w:rsidR="00DB53F8" w:rsidP="00730BEF" w:rsidRDefault="00DB53F8" w14:paraId="1574D652" w14:textId="75879735">
      <w:pPr>
        <w:rPr>
          <w:rFonts w:eastAsia="Calibri"/>
        </w:rPr>
      </w:pPr>
      <w:r w:rsidRPr="00DB53F8">
        <w:rPr>
          <w:rFonts w:eastAsia="Calibri"/>
        </w:rPr>
        <w:t xml:space="preserve">QCDRs interested in submitting quality, Promoting Interoperability, and improvement activities performance category data to us on their participants’ behalf will need to complete a self-nomination process to be considered </w:t>
      </w:r>
      <w:r w:rsidR="000B66E0">
        <w:rPr>
          <w:rFonts w:eastAsia="Calibri"/>
        </w:rPr>
        <w:t>for approval to do so</w:t>
      </w:r>
      <w:r w:rsidRPr="00DB53F8">
        <w:rPr>
          <w:rFonts w:eastAsia="Calibri"/>
        </w:rPr>
        <w:t xml:space="preserve">.  </w:t>
      </w:r>
    </w:p>
    <w:p w:rsidRPr="00DB53F8" w:rsidR="00DB53F8" w:rsidP="00730BEF" w:rsidRDefault="00306AA5" w14:paraId="3E4EBEC9" w14:textId="000D78A6">
      <w:pPr>
        <w:rPr>
          <w:rFonts w:eastAsia="Calibri"/>
        </w:rPr>
      </w:pPr>
      <w:r>
        <w:rPr>
          <w:rFonts w:eastAsia="Calibri"/>
        </w:rPr>
        <w:t>P</w:t>
      </w:r>
      <w:r w:rsidRPr="002F0EDC" w:rsidR="002F0EDC">
        <w:rPr>
          <w:rFonts w:eastAsia="Calibri"/>
        </w:rPr>
        <w:t>reviously approved QCDRs in good standing (that are not on probation or disqualified) that wish to self-nominate using the simplified process can attest, in whole or in part, that their previously approved form is still accurate and applicable.  Existing QCDRs in good standing that would like to make minimal changes to their previously approved self-nomination application from the previous year, may submit these changes, and attest to no other changes from their previously approved QCDR application.  The self-nomination period is from July 1 to September 1 of the calendar year prior to the applicable performance period (83 FR 59898</w:t>
      </w:r>
      <w:r w:rsidRPr="00DB53F8" w:rsidR="00DB53F8">
        <w:rPr>
          <w:rFonts w:eastAsia="Calibri"/>
        </w:rPr>
        <w:t>).</w:t>
      </w:r>
    </w:p>
    <w:p w:rsidR="001A0B22" w:rsidP="00730BEF" w:rsidRDefault="002E04E3" w14:paraId="41A99C31" w14:textId="6792D2B0">
      <w:pPr>
        <w:rPr>
          <w:rFonts w:eastAsia="Calibri"/>
        </w:rPr>
      </w:pPr>
      <w:r w:rsidRPr="002E04E3">
        <w:rPr>
          <w:rFonts w:eastAsia="Calibri"/>
        </w:rPr>
        <w:t>In th</w:t>
      </w:r>
      <w:r>
        <w:rPr>
          <w:rFonts w:eastAsia="Calibri"/>
        </w:rPr>
        <w:t>e CY 202</w:t>
      </w:r>
      <w:r w:rsidR="00955C8E">
        <w:rPr>
          <w:rFonts w:eastAsia="Calibri"/>
        </w:rPr>
        <w:t>2</w:t>
      </w:r>
      <w:r>
        <w:rPr>
          <w:rFonts w:eastAsia="Calibri"/>
        </w:rPr>
        <w:t xml:space="preserve"> PFS </w:t>
      </w:r>
      <w:r w:rsidR="00955C8E">
        <w:rPr>
          <w:rFonts w:eastAsia="Calibri"/>
        </w:rPr>
        <w:t>proposed</w:t>
      </w:r>
      <w:r w:rsidRPr="002E04E3">
        <w:rPr>
          <w:rFonts w:eastAsia="Calibri"/>
        </w:rPr>
        <w:t xml:space="preserve"> rule</w:t>
      </w:r>
      <w:r w:rsidR="00CA24F4">
        <w:rPr>
          <w:rFonts w:eastAsia="Calibri"/>
        </w:rPr>
        <w:t xml:space="preserve"> (86 FR 39463)</w:t>
      </w:r>
      <w:r w:rsidRPr="002E04E3">
        <w:rPr>
          <w:rFonts w:eastAsia="Calibri"/>
        </w:rPr>
        <w:t xml:space="preserve">, we </w:t>
      </w:r>
      <w:r w:rsidR="007130CF">
        <w:rPr>
          <w:rFonts w:eastAsia="Calibri"/>
        </w:rPr>
        <w:t xml:space="preserve">propose </w:t>
      </w:r>
      <w:r w:rsidR="004B3028">
        <w:rPr>
          <w:rFonts w:eastAsia="Calibri"/>
        </w:rPr>
        <w:t xml:space="preserve">identical requirements </w:t>
      </w:r>
      <w:r w:rsidR="001275A0">
        <w:rPr>
          <w:rFonts w:eastAsia="Calibri"/>
        </w:rPr>
        <w:t xml:space="preserve">related to </w:t>
      </w:r>
      <w:r w:rsidR="007130CF">
        <w:rPr>
          <w:rFonts w:eastAsia="Calibri"/>
        </w:rPr>
        <w:t xml:space="preserve">the submission of </w:t>
      </w:r>
      <w:r w:rsidR="00020A6E">
        <w:rPr>
          <w:rFonts w:eastAsia="Calibri"/>
        </w:rPr>
        <w:t xml:space="preserve">participation plans </w:t>
      </w:r>
      <w:r w:rsidR="001275A0">
        <w:rPr>
          <w:rFonts w:eastAsia="Calibri"/>
        </w:rPr>
        <w:t xml:space="preserve">for QCDRs </w:t>
      </w:r>
      <w:r w:rsidR="00E872C6">
        <w:rPr>
          <w:rFonts w:eastAsia="Calibri"/>
        </w:rPr>
        <w:t xml:space="preserve">that </w:t>
      </w:r>
      <w:r w:rsidR="00A22C34">
        <w:rPr>
          <w:rFonts w:eastAsia="Calibri"/>
        </w:rPr>
        <w:t>have never</w:t>
      </w:r>
      <w:r w:rsidR="00E872C6">
        <w:rPr>
          <w:rFonts w:eastAsia="Calibri"/>
        </w:rPr>
        <w:t xml:space="preserve"> submit</w:t>
      </w:r>
      <w:r w:rsidR="00A22C34">
        <w:rPr>
          <w:rFonts w:eastAsia="Calibri"/>
        </w:rPr>
        <w:t>ted</w:t>
      </w:r>
      <w:r w:rsidR="00E872C6">
        <w:rPr>
          <w:rFonts w:eastAsia="Calibri"/>
        </w:rPr>
        <w:t xml:space="preserve"> data</w:t>
      </w:r>
      <w:r w:rsidR="00A22C34">
        <w:rPr>
          <w:rFonts w:eastAsia="Calibri"/>
        </w:rPr>
        <w:t xml:space="preserve"> since the inception of MIPS (CY 2017 MIPS performance period/2025 MIPS payment year),</w:t>
      </w:r>
      <w:r w:rsidR="00E872C6">
        <w:rPr>
          <w:rFonts w:eastAsia="Calibri"/>
        </w:rPr>
        <w:t xml:space="preserve"> </w:t>
      </w:r>
      <w:r w:rsidR="001275A0">
        <w:rPr>
          <w:rFonts w:eastAsia="Calibri"/>
        </w:rPr>
        <w:t>as previously discussed for qualified registries.</w:t>
      </w:r>
      <w:r w:rsidRPr="002E04E3">
        <w:rPr>
          <w:rFonts w:eastAsia="Calibri"/>
        </w:rPr>
        <w:t xml:space="preserve"> </w:t>
      </w:r>
      <w:r w:rsidR="001275A0">
        <w:rPr>
          <w:rFonts w:eastAsia="Calibri"/>
        </w:rPr>
        <w:t xml:space="preserve"> </w:t>
      </w:r>
      <w:r w:rsidRPr="002E04E3">
        <w:rPr>
          <w:rFonts w:eastAsia="Calibri"/>
        </w:rPr>
        <w:t xml:space="preserve"> </w:t>
      </w:r>
    </w:p>
    <w:p w:rsidR="00FF48D9" w:rsidP="00730BEF" w:rsidRDefault="001A0B22" w14:paraId="4134347D" w14:textId="72DE1A3C">
      <w:pPr>
        <w:rPr>
          <w:rFonts w:eastAsia="Calibri"/>
        </w:rPr>
      </w:pPr>
      <w:r w:rsidRPr="006E080C">
        <w:rPr>
          <w:rFonts w:eastAsia="Calibri"/>
        </w:rPr>
        <w:t xml:space="preserve">Based on our review of the existing list of approved </w:t>
      </w:r>
      <w:r>
        <w:rPr>
          <w:rFonts w:eastAsia="Calibri"/>
        </w:rPr>
        <w:t>QCDRs that did not submit performance data since the inception of MIPS (CY 2017 MIPS performance period/2019 MIPS payment year)</w:t>
      </w:r>
      <w:r w:rsidRPr="006E080C">
        <w:rPr>
          <w:rFonts w:eastAsia="Calibri"/>
        </w:rPr>
        <w:t xml:space="preserve">, we estimate that </w:t>
      </w:r>
      <w:r>
        <w:rPr>
          <w:rFonts w:eastAsia="Calibri"/>
        </w:rPr>
        <w:t xml:space="preserve">approximately </w:t>
      </w:r>
      <w:r w:rsidRPr="009F0E77">
        <w:rPr>
          <w:rFonts w:eastAsia="Calibri"/>
        </w:rPr>
        <w:t>10 QCDRs</w:t>
      </w:r>
      <w:r>
        <w:rPr>
          <w:rFonts w:eastAsia="Calibri"/>
        </w:rPr>
        <w:t xml:space="preserve"> will submit </w:t>
      </w:r>
      <w:r w:rsidRPr="006E080C">
        <w:rPr>
          <w:rFonts w:eastAsia="Calibri"/>
        </w:rPr>
        <w:t xml:space="preserve">participation plans </w:t>
      </w:r>
      <w:r>
        <w:rPr>
          <w:rFonts w:eastAsia="Calibri"/>
        </w:rPr>
        <w:t>for</w:t>
      </w:r>
      <w:r w:rsidRPr="006E080C">
        <w:rPr>
          <w:rFonts w:eastAsia="Calibri"/>
        </w:rPr>
        <w:t xml:space="preserve"> the CY </w:t>
      </w:r>
      <w:r w:rsidRPr="006E080C" w:rsidR="002453C9">
        <w:rPr>
          <w:rFonts w:eastAsia="Calibri"/>
        </w:rPr>
        <w:t>202</w:t>
      </w:r>
      <w:r w:rsidR="002453C9">
        <w:rPr>
          <w:rFonts w:eastAsia="Calibri"/>
        </w:rPr>
        <w:t>2</w:t>
      </w:r>
      <w:r w:rsidRPr="006E080C" w:rsidR="002453C9">
        <w:rPr>
          <w:rFonts w:eastAsia="Calibri"/>
        </w:rPr>
        <w:t xml:space="preserve"> </w:t>
      </w:r>
      <w:r w:rsidR="002453C9">
        <w:rPr>
          <w:rFonts w:eastAsia="Calibri"/>
        </w:rPr>
        <w:t>self</w:t>
      </w:r>
      <w:r>
        <w:rPr>
          <w:rFonts w:eastAsia="Calibri"/>
        </w:rPr>
        <w:t>-nomination</w:t>
      </w:r>
      <w:r w:rsidRPr="006E080C">
        <w:rPr>
          <w:rFonts w:eastAsia="Calibri"/>
        </w:rPr>
        <w:t xml:space="preserve"> period</w:t>
      </w:r>
      <w:r>
        <w:rPr>
          <w:rFonts w:eastAsia="Calibri"/>
        </w:rPr>
        <w:t>. Similar to our assumptions for submission of a Corrective Action Plan (CAP) in the CY 2021 PFS final rule (85 FR 84968), w</w:t>
      </w:r>
      <w:r w:rsidRPr="00977610">
        <w:rPr>
          <w:rFonts w:eastAsia="Calibri"/>
        </w:rPr>
        <w:t xml:space="preserve">e anticipate </w:t>
      </w:r>
      <w:r>
        <w:rPr>
          <w:rFonts w:eastAsia="Calibri"/>
        </w:rPr>
        <w:t>that t</w:t>
      </w:r>
      <w:r w:rsidRPr="00977610">
        <w:rPr>
          <w:rFonts w:eastAsia="Calibri"/>
        </w:rPr>
        <w:t xml:space="preserve">he effort involved in developing </w:t>
      </w:r>
      <w:r>
        <w:rPr>
          <w:rFonts w:eastAsia="Calibri"/>
        </w:rPr>
        <w:t>a participation plan</w:t>
      </w:r>
      <w:r w:rsidRPr="00977610">
        <w:rPr>
          <w:rFonts w:eastAsia="Calibri"/>
        </w:rPr>
        <w:t xml:space="preserve"> including the </w:t>
      </w:r>
      <w:r>
        <w:rPr>
          <w:rFonts w:eastAsia="Calibri"/>
        </w:rPr>
        <w:t xml:space="preserve">proposed policies </w:t>
      </w:r>
      <w:r w:rsidRPr="00977610">
        <w:rPr>
          <w:rFonts w:eastAsia="Calibri"/>
        </w:rPr>
        <w:t>specified in th</w:t>
      </w:r>
      <w:r w:rsidR="00A756AF">
        <w:rPr>
          <w:rFonts w:eastAsia="Calibri"/>
        </w:rPr>
        <w:t>e CY 2022 PFS proposed</w:t>
      </w:r>
      <w:r w:rsidRPr="00977610">
        <w:rPr>
          <w:rFonts w:eastAsia="Calibri"/>
        </w:rPr>
        <w:t xml:space="preserve"> rule and submitting it to CMS is likely to be no more than </w:t>
      </w:r>
      <w:r w:rsidRPr="009F0E77">
        <w:rPr>
          <w:rFonts w:eastAsia="Calibri"/>
        </w:rPr>
        <w:t>3 hours</w:t>
      </w:r>
      <w:r w:rsidRPr="00977610">
        <w:rPr>
          <w:rFonts w:eastAsia="Calibri"/>
        </w:rPr>
        <w:t xml:space="preserve"> for a computer systems analyst at a rate of </w:t>
      </w:r>
      <w:r w:rsidRPr="009F0E77">
        <w:rPr>
          <w:rFonts w:eastAsia="Calibri"/>
        </w:rPr>
        <w:t>$95.22/hr</w:t>
      </w:r>
      <w:r w:rsidRPr="00977610">
        <w:rPr>
          <w:rFonts w:eastAsia="Calibri"/>
        </w:rPr>
        <w:t xml:space="preserve">.  </w:t>
      </w:r>
      <w:r>
        <w:rPr>
          <w:rFonts w:eastAsia="Calibri"/>
        </w:rPr>
        <w:t>For the CY 2022 MIPS performance period/2024 MIPS payment year,</w:t>
      </w:r>
      <w:r w:rsidRPr="00977610">
        <w:rPr>
          <w:rFonts w:eastAsia="Calibri"/>
        </w:rPr>
        <w:t xml:space="preserve"> </w:t>
      </w:r>
      <w:r w:rsidRPr="009F0E77">
        <w:rPr>
          <w:rFonts w:eastAsia="Calibri"/>
        </w:rPr>
        <w:t>we estimate an annual burden of 30 hours (3 hr x 10 participation plans) at a cost of $2,857 (30 hr x $95.22/hr) for QCDRs that would need to develop and submit a participation plan.</w:t>
      </w:r>
      <w:r w:rsidRPr="00977610">
        <w:rPr>
          <w:rFonts w:eastAsia="Calibri"/>
        </w:rPr>
        <w:t xml:space="preserve">  </w:t>
      </w:r>
      <w:r w:rsidRPr="00977610">
        <w:t xml:space="preserve"> </w:t>
      </w:r>
      <w:r w:rsidRPr="002E04E3" w:rsidR="002E04E3">
        <w:rPr>
          <w:rFonts w:eastAsia="Calibri"/>
        </w:rPr>
        <w:t xml:space="preserve"> </w:t>
      </w:r>
    </w:p>
    <w:p w:rsidR="00FF48D9" w:rsidP="00730BEF" w:rsidRDefault="004B76CD" w14:paraId="27657A0A" w14:textId="42A4F8CC">
      <w:pPr>
        <w:rPr>
          <w:rFonts w:eastAsia="Calibri"/>
        </w:rPr>
      </w:pPr>
      <w:r>
        <w:rPr>
          <w:rFonts w:eastAsia="Calibri"/>
        </w:rPr>
        <w:t>In the CY 2021 PFS final rule</w:t>
      </w:r>
      <w:r w:rsidR="000C256D">
        <w:rPr>
          <w:rFonts w:eastAsia="Calibri"/>
        </w:rPr>
        <w:t xml:space="preserve"> (</w:t>
      </w:r>
      <w:r w:rsidR="00566A6E">
        <w:rPr>
          <w:rFonts w:eastAsia="Calibri"/>
        </w:rPr>
        <w:t>85 FR 84967</w:t>
      </w:r>
      <w:r w:rsidR="000C256D">
        <w:rPr>
          <w:rFonts w:eastAsia="Calibri"/>
        </w:rPr>
        <w:t>)</w:t>
      </w:r>
      <w:r w:rsidRPr="00FF48D9" w:rsidR="00FF48D9">
        <w:rPr>
          <w:rFonts w:eastAsia="Calibri"/>
        </w:rPr>
        <w:t>, we estimate</w:t>
      </w:r>
      <w:r w:rsidR="00566A6E">
        <w:rPr>
          <w:rFonts w:eastAsia="Calibri"/>
        </w:rPr>
        <w:t>d</w:t>
      </w:r>
      <w:r w:rsidRPr="00FF48D9" w:rsidR="00FF48D9">
        <w:rPr>
          <w:rFonts w:eastAsia="Calibri"/>
        </w:rPr>
        <w:t xml:space="preserve"> a range of effort to complete a targeted data audit from a minimum of 5 hours to a maximum of 10 hours at a cost ranging from $4</w:t>
      </w:r>
      <w:r w:rsidR="00B81935">
        <w:rPr>
          <w:rFonts w:eastAsia="Calibri"/>
        </w:rPr>
        <w:t>76</w:t>
      </w:r>
      <w:r w:rsidRPr="00FF48D9" w:rsidR="00FF48D9">
        <w:rPr>
          <w:rFonts w:eastAsia="Calibri"/>
        </w:rPr>
        <w:t>.</w:t>
      </w:r>
      <w:r w:rsidR="00B81935">
        <w:rPr>
          <w:rFonts w:eastAsia="Calibri"/>
        </w:rPr>
        <w:t>1</w:t>
      </w:r>
      <w:r w:rsidRPr="00FF48D9" w:rsidR="00FF48D9">
        <w:rPr>
          <w:rFonts w:eastAsia="Calibri"/>
        </w:rPr>
        <w:t>0 ($9</w:t>
      </w:r>
      <w:r w:rsidR="00566A6E">
        <w:rPr>
          <w:rFonts w:eastAsia="Calibri"/>
        </w:rPr>
        <w:t>5</w:t>
      </w:r>
      <w:r w:rsidRPr="00FF48D9" w:rsidR="00FF48D9">
        <w:rPr>
          <w:rFonts w:eastAsia="Calibri"/>
        </w:rPr>
        <w:t>.</w:t>
      </w:r>
      <w:r w:rsidR="00566A6E">
        <w:rPr>
          <w:rFonts w:eastAsia="Calibri"/>
        </w:rPr>
        <w:t>22</w:t>
      </w:r>
      <w:r w:rsidRPr="00FF48D9" w:rsidR="00FF48D9">
        <w:rPr>
          <w:rFonts w:eastAsia="Calibri"/>
        </w:rPr>
        <w:t>/hr x 5 hrs) to $9</w:t>
      </w:r>
      <w:r w:rsidR="00B81935">
        <w:rPr>
          <w:rFonts w:eastAsia="Calibri"/>
        </w:rPr>
        <w:t>52</w:t>
      </w:r>
      <w:r w:rsidRPr="00FF48D9" w:rsidR="00FF48D9">
        <w:rPr>
          <w:rFonts w:eastAsia="Calibri"/>
        </w:rPr>
        <w:t>.</w:t>
      </w:r>
      <w:r w:rsidR="00B81935">
        <w:rPr>
          <w:rFonts w:eastAsia="Calibri"/>
        </w:rPr>
        <w:t>2</w:t>
      </w:r>
      <w:r w:rsidRPr="00FF48D9" w:rsidR="00FF48D9">
        <w:rPr>
          <w:rFonts w:eastAsia="Calibri"/>
        </w:rPr>
        <w:t>0 ($9</w:t>
      </w:r>
      <w:r w:rsidR="00B81935">
        <w:rPr>
          <w:rFonts w:eastAsia="Calibri"/>
        </w:rPr>
        <w:t>5</w:t>
      </w:r>
      <w:r w:rsidRPr="00FF48D9" w:rsidR="00FF48D9">
        <w:rPr>
          <w:rFonts w:eastAsia="Calibri"/>
        </w:rPr>
        <w:t>.</w:t>
      </w:r>
      <w:r w:rsidR="00B81935">
        <w:rPr>
          <w:rFonts w:eastAsia="Calibri"/>
        </w:rPr>
        <w:t>22</w:t>
      </w:r>
      <w:r w:rsidRPr="00FF48D9" w:rsidR="00FF48D9">
        <w:rPr>
          <w:rFonts w:eastAsia="Calibri"/>
        </w:rPr>
        <w:t xml:space="preserve">/hr x 10 hrs) per targeted audit.  In the </w:t>
      </w:r>
      <w:r w:rsidR="001A6CBC">
        <w:rPr>
          <w:rFonts w:eastAsia="Calibri"/>
        </w:rPr>
        <w:t xml:space="preserve">CY </w:t>
      </w:r>
      <w:r w:rsidRPr="00FF48D9" w:rsidR="00FF48D9">
        <w:rPr>
          <w:rFonts w:eastAsia="Calibri"/>
        </w:rPr>
        <w:t>2019 MIPS performance period</w:t>
      </w:r>
      <w:r w:rsidR="001A6CBC">
        <w:rPr>
          <w:rFonts w:eastAsia="Calibri"/>
        </w:rPr>
        <w:t>/2021 MIPS payment year</w:t>
      </w:r>
      <w:r w:rsidRPr="00FF48D9" w:rsidR="00FF48D9">
        <w:rPr>
          <w:rFonts w:eastAsia="Calibri"/>
        </w:rPr>
        <w:t xml:space="preserve">, 23 of the 77 QCDRs (30%) that submitted 2019 MIPS quality data were required to complete a targeted audit.  </w:t>
      </w:r>
      <w:r w:rsidR="00FB0D41">
        <w:rPr>
          <w:rFonts w:eastAsia="Calibri"/>
        </w:rPr>
        <w:t>B</w:t>
      </w:r>
      <w:r w:rsidRPr="000C013E" w:rsidR="000C013E">
        <w:rPr>
          <w:rFonts w:eastAsia="Calibri"/>
        </w:rPr>
        <w:t>ased on the estimated number of self-nomination applications for the 2021 self-nomination period, we estimate that 20 QCDRs will submit targeted audits for the CY 2022 MIPS performance period/2024 MIPS payment year</w:t>
      </w:r>
      <w:r w:rsidR="003D7144">
        <w:rPr>
          <w:rFonts w:eastAsia="Calibri"/>
        </w:rPr>
        <w:t>.</w:t>
      </w:r>
      <w:r w:rsidRPr="000C013E" w:rsidR="000C013E">
        <w:rPr>
          <w:rFonts w:eastAsia="Calibri"/>
        </w:rPr>
        <w:t xml:space="preserve"> an increase of 3 from the currently approved estimate of 17 QCDRs submitting targeted audits in the CY 2021 PFS final rule.</w:t>
      </w:r>
      <w:r w:rsidR="000C013E">
        <w:rPr>
          <w:rFonts w:eastAsia="Calibri"/>
        </w:rPr>
        <w:t xml:space="preserve"> </w:t>
      </w:r>
      <w:r w:rsidRPr="00FF48D9" w:rsidR="00FF48D9">
        <w:rPr>
          <w:rFonts w:eastAsia="Calibri"/>
        </w:rPr>
        <w:t>Therefore</w:t>
      </w:r>
      <w:r w:rsidR="00A537E3">
        <w:rPr>
          <w:rFonts w:eastAsia="Calibri"/>
        </w:rPr>
        <w:t>,</w:t>
      </w:r>
      <w:r w:rsidRPr="00FF48D9" w:rsidR="00FF48D9">
        <w:rPr>
          <w:rFonts w:eastAsia="Calibri"/>
        </w:rPr>
        <w:t xml:space="preserve"> we estimate the total impact associated with QCDRs completing targeted audits will range from </w:t>
      </w:r>
      <w:r w:rsidR="003F38EB">
        <w:rPr>
          <w:rFonts w:eastAsia="Calibri"/>
        </w:rPr>
        <w:t>100</w:t>
      </w:r>
      <w:r w:rsidRPr="00FF48D9" w:rsidR="00FF48D9">
        <w:rPr>
          <w:rFonts w:eastAsia="Calibri"/>
        </w:rPr>
        <w:t xml:space="preserve"> hours (</w:t>
      </w:r>
      <w:r w:rsidR="003F38EB">
        <w:rPr>
          <w:rFonts w:eastAsia="Calibri"/>
        </w:rPr>
        <w:t>20</w:t>
      </w:r>
      <w:r w:rsidRPr="00FF48D9" w:rsidR="00FF48D9">
        <w:rPr>
          <w:rFonts w:eastAsia="Calibri"/>
        </w:rPr>
        <w:t xml:space="preserve"> audits x 5 hr/audit) at a cost of $</w:t>
      </w:r>
      <w:r w:rsidR="00207C9A">
        <w:rPr>
          <w:rFonts w:eastAsia="Calibri"/>
        </w:rPr>
        <w:t>9,522</w:t>
      </w:r>
      <w:r w:rsidRPr="00FF48D9" w:rsidR="00FF48D9">
        <w:rPr>
          <w:rFonts w:eastAsia="Calibri"/>
        </w:rPr>
        <w:t xml:space="preserve"> (</w:t>
      </w:r>
      <w:r w:rsidR="003F38EB">
        <w:rPr>
          <w:rFonts w:eastAsia="Calibri"/>
        </w:rPr>
        <w:t>20</w:t>
      </w:r>
      <w:r w:rsidRPr="00FF48D9" w:rsidR="00FF48D9">
        <w:rPr>
          <w:rFonts w:eastAsia="Calibri"/>
        </w:rPr>
        <w:t xml:space="preserve"> audits x $4</w:t>
      </w:r>
      <w:r w:rsidR="00D03BE5">
        <w:rPr>
          <w:rFonts w:eastAsia="Calibri"/>
        </w:rPr>
        <w:t>76.10</w:t>
      </w:r>
      <w:r w:rsidRPr="00FF48D9" w:rsidR="00FF48D9">
        <w:rPr>
          <w:rFonts w:eastAsia="Calibri"/>
        </w:rPr>
        <w:t xml:space="preserve">/audit) to </w:t>
      </w:r>
      <w:r w:rsidR="0075783D">
        <w:rPr>
          <w:rFonts w:eastAsia="Calibri"/>
        </w:rPr>
        <w:t>20</w:t>
      </w:r>
      <w:r w:rsidRPr="00FF48D9" w:rsidR="00FF48D9">
        <w:rPr>
          <w:rFonts w:eastAsia="Calibri"/>
        </w:rPr>
        <w:t>0 hours (</w:t>
      </w:r>
      <w:r w:rsidR="0075783D">
        <w:rPr>
          <w:rFonts w:eastAsia="Calibri"/>
        </w:rPr>
        <w:t>20</w:t>
      </w:r>
      <w:r w:rsidRPr="00FF48D9" w:rsidR="00FF48D9">
        <w:rPr>
          <w:rFonts w:eastAsia="Calibri"/>
        </w:rPr>
        <w:t xml:space="preserve"> audits x 10 hr/audit) at a cost of $1</w:t>
      </w:r>
      <w:r w:rsidR="00A004B0">
        <w:rPr>
          <w:rFonts w:eastAsia="Calibri"/>
        </w:rPr>
        <w:t>9,044</w:t>
      </w:r>
      <w:r w:rsidRPr="00FF48D9" w:rsidR="00FF48D9">
        <w:rPr>
          <w:rFonts w:eastAsia="Calibri"/>
        </w:rPr>
        <w:t xml:space="preserve"> (</w:t>
      </w:r>
      <w:r w:rsidR="00A004B0">
        <w:rPr>
          <w:rFonts w:eastAsia="Calibri"/>
        </w:rPr>
        <w:t>20</w:t>
      </w:r>
      <w:r w:rsidRPr="00FF48D9" w:rsidR="00FF48D9">
        <w:rPr>
          <w:rFonts w:eastAsia="Calibri"/>
        </w:rPr>
        <w:t xml:space="preserve"> audits x $9</w:t>
      </w:r>
      <w:r w:rsidR="00A004B0">
        <w:rPr>
          <w:rFonts w:eastAsia="Calibri"/>
        </w:rPr>
        <w:t>52.</w:t>
      </w:r>
      <w:r w:rsidR="004B368A">
        <w:rPr>
          <w:rFonts w:eastAsia="Calibri"/>
        </w:rPr>
        <w:t>20</w:t>
      </w:r>
      <w:r w:rsidRPr="00FF48D9" w:rsidR="00FF48D9">
        <w:rPr>
          <w:rFonts w:eastAsia="Calibri"/>
        </w:rPr>
        <w:t>/audit)</w:t>
      </w:r>
      <w:r w:rsidR="00FF48D9">
        <w:rPr>
          <w:rFonts w:eastAsia="Calibri"/>
        </w:rPr>
        <w:t>.</w:t>
      </w:r>
    </w:p>
    <w:p w:rsidRPr="00DB53F8" w:rsidR="00DB53F8" w:rsidP="00730BEF" w:rsidRDefault="00DD0686" w14:paraId="6DFA0B4B" w14:textId="06A9A07A">
      <w:pPr>
        <w:rPr>
          <w:rFonts w:eastAsia="Calibri"/>
        </w:rPr>
      </w:pPr>
      <w:r>
        <w:rPr>
          <w:rFonts w:eastAsia="Calibri"/>
        </w:rPr>
        <w:lastRenderedPageBreak/>
        <w:t>W</w:t>
      </w:r>
      <w:r w:rsidRPr="00DD0686">
        <w:rPr>
          <w:rFonts w:eastAsia="Calibri"/>
        </w:rPr>
        <w:t xml:space="preserve">e are adjusting the number of QCDRs we assume will self-nominate for the CY 2022 performance period from the currently approved estimate of </w:t>
      </w:r>
      <w:r w:rsidR="004B368A">
        <w:rPr>
          <w:rFonts w:eastAsia="Calibri"/>
        </w:rPr>
        <w:t>82</w:t>
      </w:r>
      <w:r w:rsidRPr="00DD0686">
        <w:rPr>
          <w:rFonts w:eastAsia="Calibri"/>
        </w:rPr>
        <w:t xml:space="preserve"> to </w:t>
      </w:r>
      <w:r w:rsidR="004B368A">
        <w:rPr>
          <w:rFonts w:eastAsia="Calibri"/>
        </w:rPr>
        <w:t>90</w:t>
      </w:r>
      <w:r w:rsidRPr="00DD0686">
        <w:rPr>
          <w:rFonts w:eastAsia="Calibri"/>
        </w:rPr>
        <w:t xml:space="preserve">, an increase of </w:t>
      </w:r>
      <w:r w:rsidR="004B368A">
        <w:rPr>
          <w:rFonts w:eastAsia="Calibri"/>
        </w:rPr>
        <w:t>8</w:t>
      </w:r>
      <w:r w:rsidRPr="00DD0686">
        <w:rPr>
          <w:rFonts w:eastAsia="Calibri"/>
        </w:rPr>
        <w:t xml:space="preserve"> from the currently approved estimate based on the number of self-nominations received during the CY 202</w:t>
      </w:r>
      <w:r w:rsidR="001B0AEC">
        <w:rPr>
          <w:rFonts w:eastAsia="Calibri"/>
        </w:rPr>
        <w:t>1</w:t>
      </w:r>
      <w:r w:rsidR="004B368A">
        <w:rPr>
          <w:rFonts w:eastAsia="Calibri"/>
        </w:rPr>
        <w:t xml:space="preserve"> self-</w:t>
      </w:r>
      <w:r w:rsidRPr="00DD0686">
        <w:rPr>
          <w:rFonts w:eastAsia="Calibri"/>
        </w:rPr>
        <w:t>nomination period</w:t>
      </w:r>
      <w:r>
        <w:rPr>
          <w:rFonts w:eastAsia="Calibri"/>
        </w:rPr>
        <w:t xml:space="preserve">.  </w:t>
      </w:r>
      <w:r w:rsidR="007775A7">
        <w:rPr>
          <w:rFonts w:eastAsia="Calibri"/>
        </w:rPr>
        <w:t>In the CY 20</w:t>
      </w:r>
      <w:r w:rsidR="00C20EE0">
        <w:rPr>
          <w:rFonts w:eastAsia="Calibri"/>
        </w:rPr>
        <w:t>21</w:t>
      </w:r>
      <w:r w:rsidR="00CA0CCE">
        <w:rPr>
          <w:rFonts w:eastAsia="Calibri"/>
        </w:rPr>
        <w:t xml:space="preserve"> </w:t>
      </w:r>
      <w:r w:rsidR="007775A7">
        <w:rPr>
          <w:rFonts w:eastAsia="Calibri"/>
        </w:rPr>
        <w:t xml:space="preserve">PFS final rule, </w:t>
      </w:r>
      <w:r w:rsidR="00C20EE0">
        <w:rPr>
          <w:rFonts w:eastAsia="Calibri"/>
        </w:rPr>
        <w:t>we</w:t>
      </w:r>
      <w:r w:rsidR="00350AF0">
        <w:rPr>
          <w:rFonts w:eastAsia="Calibri"/>
        </w:rPr>
        <w:t xml:space="preserve"> estimate</w:t>
      </w:r>
      <w:r w:rsidR="00C20EE0">
        <w:rPr>
          <w:rFonts w:eastAsia="Calibri"/>
        </w:rPr>
        <w:t>d that</w:t>
      </w:r>
      <w:r w:rsidR="002916FE">
        <w:rPr>
          <w:rFonts w:eastAsia="Calibri"/>
        </w:rPr>
        <w:t xml:space="preserve"> the burden per respondent </w:t>
      </w:r>
      <w:r w:rsidR="00350AF0">
        <w:rPr>
          <w:rFonts w:eastAsia="Calibri"/>
        </w:rPr>
        <w:t>will range</w:t>
      </w:r>
      <w:r w:rsidR="002916FE">
        <w:rPr>
          <w:rFonts w:eastAsia="Calibri"/>
        </w:rPr>
        <w:t xml:space="preserve"> from 5.5 hours for the simplified self-nomination form to 8 hours for the full self-nomination form.</w:t>
      </w:r>
      <w:r w:rsidR="00C20EE0">
        <w:rPr>
          <w:rFonts w:eastAsia="Calibri"/>
        </w:rPr>
        <w:t xml:space="preserve"> </w:t>
      </w:r>
      <w:r w:rsidRPr="003C2E45" w:rsidR="003C2E45">
        <w:rPr>
          <w:rFonts w:eastAsia="Calibri"/>
        </w:rPr>
        <w:t>Based on our experience with the amount of time needed for QCDRs during the 2020 self-nomination period, we assume that the estimated time of 3 hours per QCDR for a full self-nomination process is an overestimate and are proposing to revise our estimated time required for the QCDR full-self-nomination process to 2.5 hours, a decrease of 0.5 hours.</w:t>
      </w:r>
      <w:r w:rsidR="00B2110C">
        <w:rPr>
          <w:rFonts w:eastAsia="Calibri"/>
        </w:rPr>
        <w:t xml:space="preserve"> </w:t>
      </w:r>
      <w:r w:rsidRPr="006D7EA5" w:rsidR="006D7EA5">
        <w:rPr>
          <w:rFonts w:eastAsia="Calibri"/>
        </w:rPr>
        <w:t xml:space="preserve">We estimate that the self-nomination process for QCDRs to submit on behalf of MIPS eligible clinicians or groups for MIPS will involve approximately </w:t>
      </w:r>
      <w:r w:rsidR="006D18D5">
        <w:rPr>
          <w:rFonts w:eastAsia="Calibri"/>
        </w:rPr>
        <w:t>2.5</w:t>
      </w:r>
      <w:r w:rsidRPr="006D7EA5" w:rsidR="006D7EA5">
        <w:rPr>
          <w:rFonts w:eastAsia="Calibri"/>
        </w:rPr>
        <w:t xml:space="preserve"> hours per QCDR to submit information required at the time of self-nomination as described in the CY 2017 Quality Payment Program final rule including basic information about the QCDR, describing the process it will use for completion of a randomized audit of a subset of data prior to submission, providing a data validation plan, and providing results of the executed data validation plan by May 31 of the year following the performance period (81 FR 77383 through 77384). </w:t>
      </w:r>
      <w:r w:rsidRPr="003C2E45" w:rsidR="003C2E45">
        <w:rPr>
          <w:rFonts w:eastAsia="Calibri"/>
        </w:rPr>
        <w:t xml:space="preserve"> We are not making any adjustments in the amount of time needed for simplified self-nomination process</w:t>
      </w:r>
      <w:r w:rsidR="003C2E45">
        <w:rPr>
          <w:rFonts w:eastAsia="Calibri"/>
        </w:rPr>
        <w:t>.</w:t>
      </w:r>
      <w:r w:rsidRPr="00094949" w:rsidR="002916FE">
        <w:rPr>
          <w:rFonts w:eastAsia="Calibri"/>
        </w:rPr>
        <w:t xml:space="preserve"> </w:t>
      </w:r>
      <w:r w:rsidRPr="000E182D" w:rsidR="000E182D">
        <w:rPr>
          <w:rFonts w:eastAsia="Calibri"/>
        </w:rPr>
        <w:t xml:space="preserve">The burden associated with QCDR self-nomination will vary depending on the number of existing QCDRs that will elect to use the simplified self-nomination process in lieu of the full self-nomination process as described in the CY 2018 Quality Payment Program final rule (82 FR 53808 through 53813).  The </w:t>
      </w:r>
      <w:r w:rsidR="002916FE">
        <w:rPr>
          <w:rFonts w:eastAsia="Calibri"/>
        </w:rPr>
        <w:t>Q</w:t>
      </w:r>
      <w:r w:rsidRPr="000E182D" w:rsidR="000E182D">
        <w:rPr>
          <w:rFonts w:eastAsia="Calibri"/>
        </w:rPr>
        <w:t>PP Self-Nomination Form is submitted electronically using a web-based tool</w:t>
      </w:r>
      <w:r w:rsidRPr="00DB53F8" w:rsidR="00DB53F8">
        <w:rPr>
          <w:rFonts w:eastAsia="Calibri"/>
        </w:rPr>
        <w:t xml:space="preserve">.  </w:t>
      </w:r>
    </w:p>
    <w:p w:rsidR="0079053D" w:rsidP="00730BEF" w:rsidRDefault="00AF10FF" w14:paraId="029ECC59" w14:textId="1D8313D4">
      <w:r w:rsidRPr="00AF10FF">
        <w:rPr>
          <w:rFonts w:eastAsia="Calibri"/>
        </w:rPr>
        <w:t xml:space="preserve">QCDRs </w:t>
      </w:r>
      <w:r w:rsidR="00306AA5">
        <w:rPr>
          <w:rFonts w:eastAsia="Calibri"/>
        </w:rPr>
        <w:t xml:space="preserve">must </w:t>
      </w:r>
      <w:r w:rsidRPr="00AF10FF">
        <w:rPr>
          <w:rFonts w:eastAsia="Calibri"/>
        </w:rPr>
        <w:t>calculate their measure results and also must possess benchmarking capabilities (for QCDR measures) that compare the quality of care a MIPS eligible clinician provides with other MIPS eligible clinicians performing the same quality measures.  For QCDR measures, the QCDR must provide to us, if available, data from years prior (for example, 2017 data for the 2019 MIPS performance period) before the start of the performance period.  In addition, the QCDR must provide to us, if available, the entire distribution of the measure’s performance broken down by deciles.  As an alternative to supplying this information to us, the QCDR may post this information on their website prior to the start of the performance period, to the extent permitted by applicable privacy laws.  The time it takes to perform these functions may vary depending on the sophistication of the entity, but we estimate that a QCDR will spend an additional 1 hour performing these activities per measure</w:t>
      </w:r>
      <w:r w:rsidR="00827C49">
        <w:rPr>
          <w:rFonts w:eastAsia="Calibri"/>
        </w:rPr>
        <w:t xml:space="preserve">.  </w:t>
      </w:r>
      <w:r w:rsidRPr="009A3E54" w:rsidR="009A3E54">
        <w:t xml:space="preserve">QCDRs </w:t>
      </w:r>
      <w:r w:rsidR="00325FF4">
        <w:t xml:space="preserve">are </w:t>
      </w:r>
      <w:r w:rsidR="00A82320">
        <w:t xml:space="preserve">also </w:t>
      </w:r>
      <w:r w:rsidR="00325FF4">
        <w:t>required to</w:t>
      </w:r>
      <w:r w:rsidRPr="009A3E54" w:rsidR="009A3E54">
        <w:t xml:space="preserve"> link their QCDR measures as feasible to </w:t>
      </w:r>
      <w:r w:rsidR="00325FF4">
        <w:t xml:space="preserve">at least </w:t>
      </w:r>
      <w:r w:rsidR="0082319A">
        <w:t xml:space="preserve">one of </w:t>
      </w:r>
      <w:r w:rsidRPr="009A3E54" w:rsidR="009A3E54">
        <w:t>the following, at the time of self-nomination: (a) cost measures</w:t>
      </w:r>
      <w:r w:rsidR="00A82320">
        <w:t xml:space="preserve">, </w:t>
      </w:r>
      <w:r w:rsidRPr="009A3E54" w:rsidR="009A3E54">
        <w:t>(b) improvement activities</w:t>
      </w:r>
      <w:r w:rsidR="00A82320">
        <w:t>,</w:t>
      </w:r>
      <w:r w:rsidRPr="009A3E54" w:rsidR="009A3E54">
        <w:t xml:space="preserve"> or (c) MIPS Value Pathways.  We estimate that a QCDR will spend an additional 1 hour performing these activities per measure, on average</w:t>
      </w:r>
      <w:r w:rsidR="00A82320">
        <w:t xml:space="preserve">.  </w:t>
      </w:r>
    </w:p>
    <w:p w:rsidR="00BD7D5D" w:rsidP="00BD7D5D" w:rsidRDefault="00BD7D5D" w14:paraId="661D85E4" w14:textId="3E47FC9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71E51">
        <w:t>Based on the number of QCDR measures submitted at the time of self-nomination for the CY 202</w:t>
      </w:r>
      <w:r>
        <w:t>1</w:t>
      </w:r>
      <w:r w:rsidRPr="00871E51">
        <w:t xml:space="preserve"> MIPS performance period/ 2023 MIPS payment year, we assume that </w:t>
      </w:r>
      <w:r w:rsidR="001C5D06">
        <w:t>90</w:t>
      </w:r>
      <w:r w:rsidRPr="00871E51">
        <w:t xml:space="preserve"> QCDRs will submit </w:t>
      </w:r>
      <w:r w:rsidR="001C5D06">
        <w:t>1,080</w:t>
      </w:r>
      <w:r w:rsidRPr="00871E51">
        <w:t xml:space="preserve"> measures for consideration in the CY 2022 MIPS performance period/2024 MIPS payment year, approximately 12 measures per QCDR, on average.  We anticipate that out of the </w:t>
      </w:r>
      <w:r w:rsidR="001167CE">
        <w:t>1,080</w:t>
      </w:r>
      <w:r w:rsidRPr="00871E51">
        <w:t xml:space="preserve"> measures, </w:t>
      </w:r>
      <w:r w:rsidR="001167CE">
        <w:t>900</w:t>
      </w:r>
      <w:r w:rsidRPr="00871E51">
        <w:t xml:space="preserve"> measures would be existing or borrowed measures, approximately 10 measures submitted per QCDR self-nomination application.  The remaining 1</w:t>
      </w:r>
      <w:r w:rsidR="001167CE">
        <w:t>80</w:t>
      </w:r>
      <w:r w:rsidRPr="00871E51">
        <w:t xml:space="preserve"> measures would be new measures, approximately 2 measures on average per QCDR.</w:t>
      </w:r>
      <w:r w:rsidR="00FA653F">
        <w:t xml:space="preserve"> </w:t>
      </w:r>
      <w:r w:rsidR="00494451">
        <w:t xml:space="preserve">In aggregate, we estimate </w:t>
      </w:r>
      <w:r w:rsidRPr="00871E51">
        <w:t>that each QCDR submitting measures for approval during the self-nomination process will submit approximately 12 measures (10 existing or borrowed measures + 2 new measures)</w:t>
      </w:r>
      <w:r w:rsidR="00B36EB8">
        <w:t>; this is</w:t>
      </w:r>
      <w:r w:rsidRPr="00871E51">
        <w:t xml:space="preserve"> an increase of 10 measures from the currently approved estimate of 2 measures per QCDR.  The </w:t>
      </w:r>
      <w:r w:rsidRPr="00871E51">
        <w:lastRenderedPageBreak/>
        <w:t>estimated increase in the total number of measures submitted by a QCDR at the time of self-nomination is due to the inclusion of the existing or borrowed QCDR measures in our assumptions.</w:t>
      </w:r>
      <w:r w:rsidRPr="00871E51" w:rsidDel="007F59D0">
        <w:rPr>
          <w:bCs/>
          <w:sz w:val="16"/>
          <w:szCs w:val="16"/>
        </w:rPr>
        <w:t xml:space="preserve"> </w:t>
      </w:r>
      <w:r w:rsidRPr="00871E51">
        <w:rPr>
          <w:bCs/>
          <w:sz w:val="16"/>
          <w:szCs w:val="16"/>
        </w:rPr>
        <w:t xml:space="preserve"> </w:t>
      </w:r>
      <w:r w:rsidRPr="00871E51">
        <w:t xml:space="preserve">Additionally, we anticipate that less information is needed for a QCDR to submit an existing or borrowed measure for approval, therefore, we estimate that the time needed for a QCDR to submit an existing or borrowed measure is 0.5 hours, independent of the selection of the simplified or full self-nomination process.  Consistent with our assumption in the CY 2020 PFS final rule (84 FR 63119), we continue to estimate that each QCDR will require 2 hours to submit a new QCDR measures for approval, independent of the selection of the simplified or full self-nomination process.  To account for the difference in the time for submission of new vs existing QCDR measures for approval, we are using the weighted average to estimate the time required for QCDR measure submission at the time of self-nomination.  Therefore, we assume that the weighted average of the time required for each QCDR to submit a new or existing or borrowed measure for approval during the self-nomination process is 0.75 hours [((2 new measures × 2 hours) + (10 existing or borrowed measures × 0.5 hours))/total # of measures (12)].  </w:t>
      </w:r>
      <w:r w:rsidR="00ED7F61">
        <w:t xml:space="preserve">In aggregate, </w:t>
      </w:r>
      <w:r w:rsidRPr="00871E51">
        <w:t xml:space="preserve">we estimate </w:t>
      </w:r>
      <w:r w:rsidR="00C362AC">
        <w:t>that</w:t>
      </w:r>
      <w:r w:rsidRPr="00871E51">
        <w:t xml:space="preserve"> a QCDR</w:t>
      </w:r>
      <w:r w:rsidR="00633012">
        <w:t xml:space="preserve"> would require 0.75 hours </w:t>
      </w:r>
      <w:r w:rsidR="00E77735">
        <w:t xml:space="preserve">to submit each </w:t>
      </w:r>
      <w:r w:rsidR="00633012">
        <w:t>QCDR measure</w:t>
      </w:r>
      <w:r w:rsidR="00E77735">
        <w:t xml:space="preserve"> for approval, independent of the selection of the simplified or full nomination process</w:t>
      </w:r>
      <w:r w:rsidR="005C5795">
        <w:t xml:space="preserve">. This would result in </w:t>
      </w:r>
      <w:r w:rsidRPr="00871E51">
        <w:t xml:space="preserve">a decrease of 1.75 hours from the currently approved estimated burden </w:t>
      </w:r>
      <w:r w:rsidR="005C5795">
        <w:t>of 2</w:t>
      </w:r>
      <w:r w:rsidR="00134FCD">
        <w:t xml:space="preserve"> </w:t>
      </w:r>
      <w:r w:rsidR="005C5795">
        <w:t xml:space="preserve">hours </w:t>
      </w:r>
      <w:r w:rsidRPr="00871E51">
        <w:t xml:space="preserve">per QCDR measure submission. </w:t>
      </w:r>
    </w:p>
    <w:p w:rsidR="00BD7D5D" w:rsidP="004642D2" w:rsidRDefault="004642D2" w14:paraId="489C75F8" w14:textId="081B53A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42D2">
        <w:t xml:space="preserve">For QCDRs that submit measures as part of their self-nomination process, while simultaneously accounting for the estimated increase in the number of existing or borrowed QCDR measures submitted with the self-nomination application and the decrease in the estimated time for the QCDR full-nomination process, we are proposing to revise our estimated time for the QCDR self-nomination process to a minimum of 9.5 hours [0.5 hours for the simplified self-nomination process + (12 measures × 0.75 hr/measure for QCDR measure submission)] and a maximum of 11.5 hours [2.5 hours for the full self-nomination process  + (12 measures × 0.75 hr/measure for QCDR measure submission)], an increase of 4 hours </w:t>
      </w:r>
      <w:r w:rsidR="00DF760D">
        <w:t>and 3.5 hours</w:t>
      </w:r>
      <w:r w:rsidR="0041551A">
        <w:t xml:space="preserve"> </w:t>
      </w:r>
      <w:r w:rsidRPr="004642D2">
        <w:t>from the currently approved burden per respondent estimate</w:t>
      </w:r>
      <w:r w:rsidR="0041551A">
        <w:t xml:space="preserve"> </w:t>
      </w:r>
      <w:r w:rsidRPr="004642D2">
        <w:t>in the CY 2021 PFS final rule (85 FR 84965)</w:t>
      </w:r>
      <w:r w:rsidR="007475AA">
        <w:t xml:space="preserve"> for the simple and full self-nomination process, respectively</w:t>
      </w:r>
      <w:r w:rsidRPr="004642D2">
        <w:t>.</w:t>
      </w:r>
    </w:p>
    <w:p w:rsidRPr="006302F1" w:rsidR="006302F1" w:rsidP="00730BEF" w:rsidRDefault="00785B1E" w14:paraId="376F3082" w14:textId="6AB1FF33">
      <w:pPr>
        <w:rPr>
          <w:rFonts w:eastAsia="Calibri"/>
        </w:rPr>
      </w:pPr>
      <w:r w:rsidRPr="00785B1E">
        <w:rPr>
          <w:rFonts w:eastAsia="Calibri"/>
        </w:rPr>
        <w:t>We assume that the staff involved in the QCDR self-nomination process will continue to be computer systems analysts or their equivalent, who have an average labor rate of $9</w:t>
      </w:r>
      <w:r w:rsidR="00185E91">
        <w:rPr>
          <w:rFonts w:eastAsia="Calibri"/>
        </w:rPr>
        <w:t>5.22</w:t>
      </w:r>
      <w:r w:rsidRPr="00785B1E">
        <w:rPr>
          <w:rFonts w:eastAsia="Calibri"/>
        </w:rPr>
        <w:t xml:space="preserve">/hr.  Considering that the time per QCDR associated with the self-nomination process range from a minimum of </w:t>
      </w:r>
      <w:r w:rsidR="00DF760D">
        <w:rPr>
          <w:rFonts w:eastAsia="Calibri"/>
        </w:rPr>
        <w:t>9</w:t>
      </w:r>
      <w:r w:rsidRPr="00785B1E">
        <w:rPr>
          <w:rFonts w:eastAsia="Calibri"/>
        </w:rPr>
        <w:t xml:space="preserve">.5 hours to a maximum of </w:t>
      </w:r>
      <w:r w:rsidR="00DF760D">
        <w:rPr>
          <w:rFonts w:eastAsia="Calibri"/>
        </w:rPr>
        <w:t>11.5</w:t>
      </w:r>
      <w:r w:rsidRPr="00785B1E">
        <w:rPr>
          <w:rFonts w:eastAsia="Calibri"/>
        </w:rPr>
        <w:t xml:space="preserve"> hours, we estimate that the annual burden will range from </w:t>
      </w:r>
      <w:r w:rsidR="007C4566">
        <w:rPr>
          <w:rFonts w:eastAsia="Calibri"/>
        </w:rPr>
        <w:t>855</w:t>
      </w:r>
      <w:r w:rsidRPr="00785B1E">
        <w:rPr>
          <w:rFonts w:eastAsia="Calibri"/>
        </w:rPr>
        <w:t xml:space="preserve"> hours (</w:t>
      </w:r>
      <w:r w:rsidR="00E32759">
        <w:rPr>
          <w:rFonts w:eastAsia="Calibri"/>
        </w:rPr>
        <w:t>90</w:t>
      </w:r>
      <w:r w:rsidRPr="00785B1E">
        <w:rPr>
          <w:rFonts w:eastAsia="Calibri"/>
        </w:rPr>
        <w:t xml:space="preserve"> QCDRs x </w:t>
      </w:r>
      <w:r w:rsidR="00E32759">
        <w:rPr>
          <w:rFonts w:eastAsia="Calibri"/>
        </w:rPr>
        <w:t>9</w:t>
      </w:r>
      <w:r w:rsidRPr="00785B1E">
        <w:rPr>
          <w:rFonts w:eastAsia="Calibri"/>
        </w:rPr>
        <w:t xml:space="preserve">.5 hr) to </w:t>
      </w:r>
      <w:r w:rsidR="00EF4ABB">
        <w:rPr>
          <w:rFonts w:eastAsia="Calibri"/>
        </w:rPr>
        <w:t>1,035</w:t>
      </w:r>
      <w:r w:rsidRPr="00785B1E">
        <w:rPr>
          <w:rFonts w:eastAsia="Calibri"/>
        </w:rPr>
        <w:t xml:space="preserve"> hours (</w:t>
      </w:r>
      <w:r w:rsidR="00A92E75">
        <w:rPr>
          <w:rFonts w:eastAsia="Calibri"/>
        </w:rPr>
        <w:t>90</w:t>
      </w:r>
      <w:r w:rsidRPr="00785B1E">
        <w:rPr>
          <w:rFonts w:eastAsia="Calibri"/>
        </w:rPr>
        <w:t xml:space="preserve"> QCDRs x </w:t>
      </w:r>
      <w:r w:rsidR="00A92E75">
        <w:rPr>
          <w:rFonts w:eastAsia="Calibri"/>
        </w:rPr>
        <w:t>11.5</w:t>
      </w:r>
      <w:r w:rsidRPr="00785B1E">
        <w:rPr>
          <w:rFonts w:eastAsia="Calibri"/>
        </w:rPr>
        <w:t xml:space="preserve"> hr) at a cost ranging from </w:t>
      </w:r>
      <w:r w:rsidRPr="00C67A07" w:rsidR="00C67A07">
        <w:rPr>
          <w:rFonts w:eastAsia="Calibri"/>
        </w:rPr>
        <w:t xml:space="preserve">$81,413 </w:t>
      </w:r>
      <w:r w:rsidRPr="00785B1E">
        <w:rPr>
          <w:rFonts w:eastAsia="Calibri"/>
        </w:rPr>
        <w:t>(</w:t>
      </w:r>
      <w:r w:rsidR="00C34A01">
        <w:rPr>
          <w:rFonts w:eastAsia="Calibri"/>
        </w:rPr>
        <w:t>855</w:t>
      </w:r>
      <w:r w:rsidRPr="00785B1E">
        <w:rPr>
          <w:rFonts w:eastAsia="Calibri"/>
        </w:rPr>
        <w:t xml:space="preserve"> hr x $9</w:t>
      </w:r>
      <w:r w:rsidR="00C34A01">
        <w:rPr>
          <w:rFonts w:eastAsia="Calibri"/>
        </w:rPr>
        <w:t>5.22</w:t>
      </w:r>
      <w:r w:rsidRPr="00785B1E">
        <w:rPr>
          <w:rFonts w:eastAsia="Calibri"/>
        </w:rPr>
        <w:t xml:space="preserve">/hr) and </w:t>
      </w:r>
      <w:r w:rsidRPr="00157851" w:rsidR="00157851">
        <w:rPr>
          <w:rFonts w:eastAsia="Calibri"/>
        </w:rPr>
        <w:t xml:space="preserve">$98,553 </w:t>
      </w:r>
      <w:r w:rsidRPr="00785B1E">
        <w:rPr>
          <w:rFonts w:eastAsia="Calibri"/>
        </w:rPr>
        <w:t>(</w:t>
      </w:r>
      <w:r w:rsidR="00157851">
        <w:rPr>
          <w:rFonts w:eastAsia="Calibri"/>
        </w:rPr>
        <w:t>1,035</w:t>
      </w:r>
      <w:r w:rsidRPr="00785B1E">
        <w:rPr>
          <w:rFonts w:eastAsia="Calibri"/>
        </w:rPr>
        <w:t xml:space="preserve"> hr x $9</w:t>
      </w:r>
      <w:r w:rsidR="00157851">
        <w:rPr>
          <w:rFonts w:eastAsia="Calibri"/>
        </w:rPr>
        <w:t>5.22</w:t>
      </w:r>
      <w:r w:rsidRPr="00785B1E">
        <w:rPr>
          <w:rFonts w:eastAsia="Calibri"/>
        </w:rPr>
        <w:t>/hr), respectively.  Combined with our estimate of annual burden for targeted audits,</w:t>
      </w:r>
      <w:r w:rsidR="00E06DC5">
        <w:rPr>
          <w:rFonts w:eastAsia="Calibri"/>
        </w:rPr>
        <w:t xml:space="preserve"> </w:t>
      </w:r>
      <w:r w:rsidRPr="00871E51" w:rsidR="00E06DC5">
        <w:t xml:space="preserve">and the proposed burden for submission of participation plans, we </w:t>
      </w:r>
      <w:r w:rsidR="00E06DC5">
        <w:t>estimate that</w:t>
      </w:r>
      <w:r w:rsidRPr="00871E51" w:rsidR="00E06DC5">
        <w:t xml:space="preserve"> the QCDR self-nomination process</w:t>
      </w:r>
      <w:r w:rsidR="00E06DC5">
        <w:t xml:space="preserve"> would</w:t>
      </w:r>
      <w:r w:rsidRPr="00871E51" w:rsidR="00E06DC5">
        <w:t xml:space="preserve"> rang</w:t>
      </w:r>
      <w:r w:rsidR="00E06DC5">
        <w:t>e</w:t>
      </w:r>
      <w:r w:rsidRPr="00871E51" w:rsidR="00E06DC5">
        <w:t xml:space="preserve"> from 985 hours </w:t>
      </w:r>
      <w:r w:rsidR="00E06DC5">
        <w:t>[</w:t>
      </w:r>
      <w:r w:rsidRPr="00871E51" w:rsidR="00E06DC5">
        <w:t>855 hr</w:t>
      </w:r>
      <w:r w:rsidR="00E06DC5">
        <w:t xml:space="preserve"> (90 QCDRs </w:t>
      </w:r>
      <w:r w:rsidRPr="00871E51" w:rsidR="00E06DC5">
        <w:t>x 9.5 hr</w:t>
      </w:r>
      <w:r w:rsidR="00E06DC5">
        <w:t>)</w:t>
      </w:r>
      <w:r w:rsidRPr="00871E51" w:rsidR="00E06DC5">
        <w:t xml:space="preserve"> + 100 hr</w:t>
      </w:r>
      <w:r w:rsidR="00E06DC5">
        <w:t xml:space="preserve"> (20 audits </w:t>
      </w:r>
      <w:r w:rsidRPr="00871E51" w:rsidR="00E06DC5">
        <w:t xml:space="preserve">x </w:t>
      </w:r>
      <w:r w:rsidR="00E06DC5">
        <w:t>5</w:t>
      </w:r>
      <w:r w:rsidRPr="00871E51" w:rsidR="00E06DC5">
        <w:t xml:space="preserve"> hr</w:t>
      </w:r>
      <w:r w:rsidR="00E06DC5">
        <w:t>)</w:t>
      </w:r>
      <w:r w:rsidRPr="00871E51" w:rsidR="00E06DC5">
        <w:t xml:space="preserve"> + 30 hr</w:t>
      </w:r>
      <w:r w:rsidR="00E06DC5">
        <w:t xml:space="preserve"> (10 participation plans </w:t>
      </w:r>
      <w:r w:rsidRPr="00871E51" w:rsidR="00E06DC5">
        <w:t>x</w:t>
      </w:r>
      <w:r w:rsidR="00E06DC5">
        <w:t xml:space="preserve"> 3 hr</w:t>
      </w:r>
      <w:r w:rsidRPr="00871E51" w:rsidR="00E06DC5">
        <w:t>)</w:t>
      </w:r>
      <w:r w:rsidR="00E06DC5">
        <w:t>]</w:t>
      </w:r>
      <w:r w:rsidRPr="00871E51" w:rsidR="00E06DC5">
        <w:t xml:space="preserve"> at a cost of $93,792 </w:t>
      </w:r>
      <w:r w:rsidR="00E06DC5">
        <w:t>[</w:t>
      </w:r>
      <w:r w:rsidRPr="00871E51" w:rsidR="00E06DC5">
        <w:t>$81,414</w:t>
      </w:r>
      <w:r w:rsidR="00E06DC5">
        <w:t xml:space="preserve"> </w:t>
      </w:r>
      <w:r w:rsidRPr="00871E51" w:rsidR="00E06DC5">
        <w:t>(855 hr x $95.22/hr) + $9,522</w:t>
      </w:r>
      <w:r w:rsidR="00E06DC5">
        <w:t xml:space="preserve"> </w:t>
      </w:r>
      <w:r w:rsidRPr="003F05A2" w:rsidR="00E06DC5">
        <w:t>(20 audits × $476.10/audit)</w:t>
      </w:r>
      <w:r w:rsidRPr="00871E51" w:rsidR="00E06DC5">
        <w:t xml:space="preserve"> + $2,857</w:t>
      </w:r>
      <w:r w:rsidR="00E06DC5">
        <w:t xml:space="preserve"> </w:t>
      </w:r>
      <w:r w:rsidRPr="009A01FE" w:rsidR="00E06DC5">
        <w:t>(30 hr x $95.22/hr</w:t>
      </w:r>
      <w:r w:rsidRPr="00871E51" w:rsidR="00E06DC5">
        <w:t>)</w:t>
      </w:r>
      <w:r w:rsidR="00E06DC5">
        <w:t>]</w:t>
      </w:r>
      <w:r w:rsidRPr="00871E51" w:rsidR="00E06DC5">
        <w:t xml:space="preserve"> for a simplified self-nomination process to 1,265 hours </w:t>
      </w:r>
      <w:r w:rsidR="00E06DC5">
        <w:t>[</w:t>
      </w:r>
      <w:r w:rsidRPr="00871E51" w:rsidR="00E06DC5">
        <w:t>1,035 hr</w:t>
      </w:r>
      <w:r w:rsidR="00E06DC5">
        <w:t xml:space="preserve"> </w:t>
      </w:r>
      <w:r w:rsidRPr="00871E51" w:rsidR="00E06DC5">
        <w:t>(90 QCDRs x 11.5 hr) + 200 hr</w:t>
      </w:r>
      <w:r w:rsidR="00E06DC5">
        <w:t xml:space="preserve"> </w:t>
      </w:r>
      <w:r w:rsidRPr="00025195" w:rsidR="00E06DC5">
        <w:t xml:space="preserve">(20 audits x 10 hr) </w:t>
      </w:r>
      <w:r w:rsidRPr="00871E51" w:rsidR="00E06DC5">
        <w:t>+ 30 hr</w:t>
      </w:r>
      <w:r w:rsidR="00E06DC5">
        <w:t xml:space="preserve"> (10 participation plans </w:t>
      </w:r>
      <w:r w:rsidRPr="00871E51" w:rsidR="00E06DC5">
        <w:t>x</w:t>
      </w:r>
      <w:r w:rsidR="00E06DC5">
        <w:t xml:space="preserve"> 3 hr</w:t>
      </w:r>
      <w:r w:rsidRPr="00871E51" w:rsidR="00E06DC5">
        <w:t>)</w:t>
      </w:r>
      <w:r w:rsidR="00E06DC5">
        <w:t>]</w:t>
      </w:r>
      <w:r w:rsidRPr="00871E51" w:rsidR="00E06DC5">
        <w:t xml:space="preserve"> at a cost of $120,454 </w:t>
      </w:r>
      <w:r w:rsidR="00E06DC5">
        <w:t>[</w:t>
      </w:r>
      <w:r w:rsidRPr="00871E51" w:rsidR="00E06DC5">
        <w:t>$98,553</w:t>
      </w:r>
      <w:r w:rsidR="00E06DC5">
        <w:t xml:space="preserve"> </w:t>
      </w:r>
      <w:r w:rsidRPr="00871E51" w:rsidR="00E06DC5">
        <w:t>(1,035 hr x $95.22 /hr) + $19,044</w:t>
      </w:r>
      <w:r w:rsidR="00E06DC5">
        <w:t xml:space="preserve"> </w:t>
      </w:r>
      <w:r w:rsidRPr="00871E51" w:rsidR="00E06DC5">
        <w:t xml:space="preserve">(20 audits × </w:t>
      </w:r>
      <w:r w:rsidRPr="00574B33" w:rsidR="00E06DC5">
        <w:t>$952.20/audi</w:t>
      </w:r>
      <w:r w:rsidRPr="00871E51" w:rsidR="00E06DC5">
        <w:t>t) + $2,857</w:t>
      </w:r>
      <w:r w:rsidR="00E06DC5">
        <w:t xml:space="preserve"> </w:t>
      </w:r>
      <w:r w:rsidRPr="00871E51" w:rsidR="00E06DC5">
        <w:rPr>
          <w:rFonts w:eastAsia="Calibri"/>
        </w:rPr>
        <w:t>(30 hr x $95.22/hr</w:t>
      </w:r>
      <w:r w:rsidRPr="00871E51" w:rsidR="00E06DC5">
        <w:t>)</w:t>
      </w:r>
      <w:r w:rsidR="00E06DC5">
        <w:t>]</w:t>
      </w:r>
      <w:r w:rsidRPr="00871E51" w:rsidR="00E06DC5">
        <w:t xml:space="preserve"> for the full self-nomination process</w:t>
      </w:r>
      <w:r w:rsidR="002670B3">
        <w:t xml:space="preserve"> (</w:t>
      </w:r>
      <w:r w:rsidRPr="006302F1" w:rsidR="006302F1">
        <w:rPr>
          <w:rFonts w:eastAsia="Calibri"/>
        </w:rPr>
        <w:t>see Table</w:t>
      </w:r>
      <w:r w:rsidR="006302F1">
        <w:rPr>
          <w:rFonts w:eastAsia="Calibri"/>
        </w:rPr>
        <w:t xml:space="preserve"> 4</w:t>
      </w:r>
      <w:r w:rsidRPr="006302F1" w:rsidR="006302F1">
        <w:rPr>
          <w:rFonts w:eastAsia="Calibri"/>
        </w:rPr>
        <w:t xml:space="preserve">).  </w:t>
      </w:r>
    </w:p>
    <w:p w:rsidRPr="00E74114" w:rsidR="00E74114" w:rsidP="007C47AB" w:rsidRDefault="001C4C7C" w14:paraId="38A3A143" w14:textId="0AF7DAE2">
      <w:pPr>
        <w:keepNext/>
        <w:keepLines/>
        <w:rPr>
          <w:rFonts w:eastAsia="Calibri"/>
        </w:rPr>
      </w:pPr>
      <w:r w:rsidRPr="001C4C7C">
        <w:rPr>
          <w:rFonts w:eastAsia="Calibri"/>
        </w:rPr>
        <w:lastRenderedPageBreak/>
        <w:t xml:space="preserve">QCDRs must comply with requirements on the submission of MIPS data to CMS.  The burden associated with the QCDR submission requirements will be the time and effort associated with calculating quality measure results from the data submitted to the QCDR by its participants and submitting these results, the numerator and denominator data on quality measures, the Promoting Interoperability performance category, and improvement activities data to us on behalf of their participants.  We expect that the time needed for a QCDR to accomplish these tasks will vary along with the number of MIPS eligible clinicians submitting data to the QCDR and the number of applicable measures.  However, we believe that QCDRs already perform many of these activities for their participants.  Therefore, we believe the </w:t>
      </w:r>
      <w:r w:rsidR="00AB1AE3">
        <w:rPr>
          <w:rFonts w:eastAsia="Calibri"/>
        </w:rPr>
        <w:t>1,265</w:t>
      </w:r>
      <w:r w:rsidRPr="001C4C7C" w:rsidR="00AB1AE3">
        <w:rPr>
          <w:rFonts w:eastAsia="Calibri"/>
        </w:rPr>
        <w:t>-hour</w:t>
      </w:r>
      <w:r w:rsidRPr="001C4C7C">
        <w:rPr>
          <w:rFonts w:eastAsia="Calibri"/>
        </w:rPr>
        <w:t xml:space="preserve"> estimate represents the upper bound of QCDR burden, with the potential for less additional MIPS burden if the QCDR already provides similar data submission services</w:t>
      </w:r>
      <w:r w:rsidRPr="00E74114" w:rsidR="00E74114">
        <w:rPr>
          <w:rFonts w:eastAsia="Calibri"/>
        </w:rPr>
        <w:t>.</w:t>
      </w:r>
    </w:p>
    <w:p w:rsidR="00B05B18" w:rsidP="00730BEF" w:rsidRDefault="00DB53F8" w14:paraId="3393B32A" w14:textId="2232BF5D">
      <w:r w:rsidRPr="00DB53F8">
        <w:rPr>
          <w:rFonts w:eastAsia="Calibri"/>
        </w:rPr>
        <w:t xml:space="preserve">Based on the assumptions previously discussed, we provide an estimate of the total annual burden associated with a QCDR self-nominating to be considered </w:t>
      </w:r>
      <w:r w:rsidR="00E74114">
        <w:rPr>
          <w:rFonts w:eastAsia="Calibri"/>
        </w:rPr>
        <w:t>for approval.</w:t>
      </w:r>
    </w:p>
    <w:p w:rsidRPr="00732012" w:rsidR="00B05B18" w:rsidP="007F35A5" w:rsidRDefault="00B05B18" w14:paraId="0DAD826A" w14:textId="26CB3566">
      <w:pPr>
        <w:spacing w:after="0"/>
        <w:jc w:val="center"/>
        <w:rPr>
          <w:b/>
          <w:bCs/>
        </w:rPr>
      </w:pPr>
      <w:r>
        <w:rPr>
          <w:b/>
          <w:bCs/>
        </w:rPr>
        <w:t>TABLE 4</w:t>
      </w:r>
      <w:r w:rsidRPr="00732012">
        <w:rPr>
          <w:b/>
          <w:bCs/>
        </w:rPr>
        <w:t>: Estimated Burden for QCDR Self-Nomination</w:t>
      </w:r>
    </w:p>
    <w:tbl>
      <w:tblPr>
        <w:tblW w:w="9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90"/>
        <w:gridCol w:w="1530"/>
        <w:gridCol w:w="1530"/>
      </w:tblGrid>
      <w:tr w:rsidRPr="00C47150" w:rsidR="00B05B18" w:rsidTr="004B3AFB" w14:paraId="0A5EC646" w14:textId="77777777">
        <w:trPr>
          <w:trHeight w:val="540"/>
          <w:tblHeader/>
        </w:trPr>
        <w:tc>
          <w:tcPr>
            <w:tcW w:w="6290" w:type="dxa"/>
            <w:shd w:val="clear" w:color="auto" w:fill="auto"/>
            <w:vAlign w:val="center"/>
          </w:tcPr>
          <w:p w:rsidRPr="00B05B18" w:rsidR="00B05B18" w:rsidP="00743AF8" w:rsidRDefault="00B05B18" w14:paraId="5470D3F4" w14:textId="0CAD45A2">
            <w:pPr>
              <w:spacing w:after="0"/>
              <w:rPr>
                <w:b/>
                <w:sz w:val="20"/>
                <w:szCs w:val="20"/>
              </w:rPr>
            </w:pPr>
            <w:r w:rsidRPr="00B05B18">
              <w:rPr>
                <w:b/>
                <w:sz w:val="20"/>
                <w:szCs w:val="20"/>
              </w:rPr>
              <w:t>Burden and Respondent Descriptions</w:t>
            </w:r>
          </w:p>
        </w:tc>
        <w:tc>
          <w:tcPr>
            <w:tcW w:w="1530" w:type="dxa"/>
          </w:tcPr>
          <w:p w:rsidRPr="007C52BE" w:rsidR="00B05B18" w:rsidP="00743AF8" w:rsidRDefault="00B05B18" w14:paraId="0780215E" w14:textId="7DE94E31">
            <w:pPr>
              <w:spacing w:after="0"/>
              <w:rPr>
                <w:b/>
                <w:bCs/>
                <w:sz w:val="20"/>
                <w:szCs w:val="20"/>
              </w:rPr>
            </w:pPr>
            <w:r>
              <w:rPr>
                <w:b/>
                <w:bCs/>
                <w:sz w:val="20"/>
                <w:szCs w:val="20"/>
              </w:rPr>
              <w:t>Minimum Burden</w:t>
            </w:r>
            <w:r w:rsidR="00DD0D93">
              <w:rPr>
                <w:b/>
                <w:bCs/>
                <w:sz w:val="20"/>
                <w:szCs w:val="20"/>
              </w:rPr>
              <w:t xml:space="preserve"> Estimate</w:t>
            </w:r>
          </w:p>
        </w:tc>
        <w:tc>
          <w:tcPr>
            <w:tcW w:w="1530" w:type="dxa"/>
            <w:shd w:val="clear" w:color="auto" w:fill="auto"/>
            <w:vAlign w:val="center"/>
          </w:tcPr>
          <w:p w:rsidRPr="007C52BE" w:rsidR="00B05B18" w:rsidP="00743AF8" w:rsidRDefault="00B05B18" w14:paraId="598CD1F0" w14:textId="65D5E639">
            <w:pPr>
              <w:spacing w:after="0"/>
              <w:rPr>
                <w:b/>
                <w:bCs/>
                <w:sz w:val="20"/>
                <w:szCs w:val="20"/>
              </w:rPr>
            </w:pPr>
            <w:r>
              <w:rPr>
                <w:b/>
                <w:bCs/>
                <w:sz w:val="20"/>
                <w:szCs w:val="20"/>
              </w:rPr>
              <w:t xml:space="preserve">Maximum </w:t>
            </w:r>
            <w:r w:rsidRPr="007C52BE">
              <w:rPr>
                <w:b/>
                <w:bCs/>
                <w:sz w:val="20"/>
                <w:szCs w:val="20"/>
              </w:rPr>
              <w:t>Burden</w:t>
            </w:r>
            <w:r w:rsidR="00DD0D93">
              <w:rPr>
                <w:b/>
                <w:bCs/>
                <w:sz w:val="20"/>
                <w:szCs w:val="20"/>
              </w:rPr>
              <w:t xml:space="preserve"> Estimate</w:t>
            </w:r>
          </w:p>
        </w:tc>
      </w:tr>
      <w:tr w:rsidRPr="00C47150" w:rsidR="009668CC" w:rsidTr="004B3AFB" w14:paraId="7BA1ADDF" w14:textId="77777777">
        <w:trPr>
          <w:trHeight w:val="268"/>
        </w:trPr>
        <w:tc>
          <w:tcPr>
            <w:tcW w:w="6290" w:type="dxa"/>
            <w:shd w:val="clear" w:color="auto" w:fill="auto"/>
          </w:tcPr>
          <w:p w:rsidRPr="007C52BE" w:rsidR="009668CC" w:rsidP="009668CC" w:rsidRDefault="009668CC" w14:paraId="70E915FC" w14:textId="77777777">
            <w:pPr>
              <w:spacing w:after="0"/>
              <w:rPr>
                <w:sz w:val="20"/>
                <w:szCs w:val="20"/>
              </w:rPr>
            </w:pPr>
            <w:r>
              <w:rPr>
                <w:sz w:val="20"/>
                <w:szCs w:val="20"/>
              </w:rPr>
              <w:t xml:space="preserve"># of QCDR Simplified </w:t>
            </w:r>
            <w:r w:rsidRPr="007C52BE">
              <w:rPr>
                <w:sz w:val="20"/>
                <w:szCs w:val="20"/>
              </w:rPr>
              <w:t>Self-Nominati</w:t>
            </w:r>
            <w:r>
              <w:rPr>
                <w:sz w:val="20"/>
                <w:szCs w:val="20"/>
              </w:rPr>
              <w:t xml:space="preserve">on Applications submitted </w:t>
            </w:r>
            <w:r w:rsidRPr="007C52BE">
              <w:rPr>
                <w:sz w:val="20"/>
                <w:szCs w:val="20"/>
              </w:rPr>
              <w:t>(a)</w:t>
            </w:r>
          </w:p>
        </w:tc>
        <w:tc>
          <w:tcPr>
            <w:tcW w:w="1530" w:type="dxa"/>
          </w:tcPr>
          <w:p w:rsidR="009668CC" w:rsidP="009668CC" w:rsidRDefault="003F437B" w14:paraId="38FD6B58" w14:textId="746E19E3">
            <w:pPr>
              <w:spacing w:after="0"/>
              <w:rPr>
                <w:sz w:val="20"/>
                <w:szCs w:val="20"/>
              </w:rPr>
            </w:pPr>
            <w:r>
              <w:rPr>
                <w:rFonts w:eastAsia="Calibri"/>
                <w:sz w:val="20"/>
                <w:szCs w:val="20"/>
              </w:rPr>
              <w:t>90</w:t>
            </w:r>
          </w:p>
        </w:tc>
        <w:tc>
          <w:tcPr>
            <w:tcW w:w="1530" w:type="dxa"/>
            <w:shd w:val="clear" w:color="auto" w:fill="auto"/>
          </w:tcPr>
          <w:p w:rsidR="009668CC" w:rsidP="009668CC" w:rsidRDefault="009668CC" w14:paraId="6D0BE01D" w14:textId="252BB98B">
            <w:pPr>
              <w:spacing w:after="0"/>
              <w:rPr>
                <w:sz w:val="20"/>
                <w:szCs w:val="20"/>
              </w:rPr>
            </w:pPr>
            <w:r w:rsidRPr="009C4D33">
              <w:rPr>
                <w:rFonts w:eastAsia="Calibri"/>
                <w:sz w:val="20"/>
                <w:szCs w:val="20"/>
              </w:rPr>
              <w:t>0</w:t>
            </w:r>
          </w:p>
        </w:tc>
      </w:tr>
      <w:tr w:rsidRPr="00C47150" w:rsidR="009668CC" w:rsidTr="004B3AFB" w14:paraId="029539CB" w14:textId="77777777">
        <w:trPr>
          <w:trHeight w:val="268"/>
        </w:trPr>
        <w:tc>
          <w:tcPr>
            <w:tcW w:w="6290" w:type="dxa"/>
            <w:shd w:val="clear" w:color="auto" w:fill="auto"/>
          </w:tcPr>
          <w:p w:rsidRPr="007C52BE" w:rsidR="009668CC" w:rsidP="009668CC" w:rsidRDefault="009668CC" w14:paraId="04982F3D" w14:textId="77777777">
            <w:pPr>
              <w:spacing w:after="0"/>
              <w:rPr>
                <w:sz w:val="20"/>
                <w:szCs w:val="20"/>
              </w:rPr>
            </w:pPr>
            <w:r w:rsidRPr="007C52BE">
              <w:rPr>
                <w:sz w:val="20"/>
                <w:szCs w:val="20"/>
              </w:rPr>
              <w:t># of QCDR</w:t>
            </w:r>
            <w:r>
              <w:rPr>
                <w:sz w:val="20"/>
                <w:szCs w:val="20"/>
              </w:rPr>
              <w:t xml:space="preserve"> Full</w:t>
            </w:r>
            <w:r w:rsidRPr="007C52BE">
              <w:rPr>
                <w:sz w:val="20"/>
                <w:szCs w:val="20"/>
              </w:rPr>
              <w:t xml:space="preserve"> Self-Nominati</w:t>
            </w:r>
            <w:r>
              <w:rPr>
                <w:sz w:val="20"/>
                <w:szCs w:val="20"/>
              </w:rPr>
              <w:t xml:space="preserve">on Applications submitted </w:t>
            </w:r>
            <w:r w:rsidRPr="007C52BE">
              <w:rPr>
                <w:sz w:val="20"/>
                <w:szCs w:val="20"/>
              </w:rPr>
              <w:t>(</w:t>
            </w:r>
            <w:r>
              <w:rPr>
                <w:sz w:val="20"/>
                <w:szCs w:val="20"/>
              </w:rPr>
              <w:t>b</w:t>
            </w:r>
            <w:r w:rsidRPr="007C52BE">
              <w:rPr>
                <w:sz w:val="20"/>
                <w:szCs w:val="20"/>
              </w:rPr>
              <w:t>)</w:t>
            </w:r>
          </w:p>
        </w:tc>
        <w:tc>
          <w:tcPr>
            <w:tcW w:w="1530" w:type="dxa"/>
          </w:tcPr>
          <w:p w:rsidR="009668CC" w:rsidP="009668CC" w:rsidRDefault="001C4C7C" w14:paraId="5D58E7F0" w14:textId="43F28F57">
            <w:pPr>
              <w:spacing w:after="0"/>
              <w:rPr>
                <w:sz w:val="20"/>
                <w:szCs w:val="20"/>
              </w:rPr>
            </w:pPr>
            <w:r>
              <w:rPr>
                <w:rFonts w:eastAsia="Calibri"/>
                <w:sz w:val="20"/>
                <w:szCs w:val="20"/>
              </w:rPr>
              <w:t>0</w:t>
            </w:r>
          </w:p>
        </w:tc>
        <w:tc>
          <w:tcPr>
            <w:tcW w:w="1530" w:type="dxa"/>
            <w:shd w:val="clear" w:color="auto" w:fill="auto"/>
          </w:tcPr>
          <w:p w:rsidRPr="007C52BE" w:rsidR="009668CC" w:rsidP="009668CC" w:rsidRDefault="003F437B" w14:paraId="36C6C58B" w14:textId="3EE414F2">
            <w:pPr>
              <w:spacing w:after="0"/>
              <w:rPr>
                <w:sz w:val="20"/>
                <w:szCs w:val="20"/>
              </w:rPr>
            </w:pPr>
            <w:r>
              <w:rPr>
                <w:rFonts w:eastAsia="Calibri"/>
                <w:sz w:val="20"/>
                <w:szCs w:val="20"/>
              </w:rPr>
              <w:t>90</w:t>
            </w:r>
          </w:p>
        </w:tc>
      </w:tr>
      <w:tr w:rsidRPr="00C47150" w:rsidR="00127A77" w:rsidTr="004B3AFB" w14:paraId="4F125F86" w14:textId="77777777">
        <w:trPr>
          <w:trHeight w:val="233"/>
        </w:trPr>
        <w:tc>
          <w:tcPr>
            <w:tcW w:w="6290" w:type="dxa"/>
            <w:shd w:val="clear" w:color="auto" w:fill="D9D9D9" w:themeFill="background1" w:themeFillShade="D9"/>
          </w:tcPr>
          <w:p w:rsidRPr="00127A77" w:rsidR="00127A77" w:rsidP="009668CC" w:rsidRDefault="00127A77" w14:paraId="5D9F27BF" w14:textId="3E646897">
            <w:pPr>
              <w:spacing w:after="0"/>
              <w:rPr>
                <w:b/>
                <w:bCs/>
                <w:sz w:val="20"/>
                <w:szCs w:val="20"/>
              </w:rPr>
            </w:pPr>
            <w:r w:rsidRPr="00127A77">
              <w:rPr>
                <w:b/>
                <w:bCs/>
                <w:sz w:val="20"/>
                <w:szCs w:val="20"/>
              </w:rPr>
              <w:t>Total Applications</w:t>
            </w:r>
            <w:r w:rsidR="009B3F0A">
              <w:rPr>
                <w:b/>
                <w:bCs/>
                <w:sz w:val="20"/>
                <w:szCs w:val="20"/>
              </w:rPr>
              <w:t xml:space="preserve"> </w:t>
            </w:r>
          </w:p>
        </w:tc>
        <w:tc>
          <w:tcPr>
            <w:tcW w:w="1530" w:type="dxa"/>
            <w:shd w:val="clear" w:color="auto" w:fill="D9D9D9" w:themeFill="background1" w:themeFillShade="D9"/>
          </w:tcPr>
          <w:p w:rsidRPr="00127A77" w:rsidR="00127A77" w:rsidP="009668CC" w:rsidRDefault="003F437B" w14:paraId="3DC4A8F2" w14:textId="4F046EF1">
            <w:pPr>
              <w:spacing w:after="0"/>
              <w:rPr>
                <w:rFonts w:eastAsia="Calibri"/>
                <w:b/>
                <w:bCs/>
                <w:sz w:val="20"/>
                <w:szCs w:val="20"/>
              </w:rPr>
            </w:pPr>
            <w:r>
              <w:rPr>
                <w:rFonts w:eastAsia="Calibri"/>
                <w:b/>
                <w:bCs/>
                <w:sz w:val="20"/>
                <w:szCs w:val="20"/>
              </w:rPr>
              <w:t>90</w:t>
            </w:r>
          </w:p>
        </w:tc>
        <w:tc>
          <w:tcPr>
            <w:tcW w:w="1530" w:type="dxa"/>
            <w:shd w:val="clear" w:color="auto" w:fill="D9D9D9" w:themeFill="background1" w:themeFillShade="D9"/>
          </w:tcPr>
          <w:p w:rsidRPr="00127A77" w:rsidR="00127A77" w:rsidP="009668CC" w:rsidRDefault="003F437B" w14:paraId="3C922E98" w14:textId="7820E405">
            <w:pPr>
              <w:spacing w:after="0"/>
              <w:rPr>
                <w:rFonts w:eastAsia="Calibri"/>
                <w:b/>
                <w:bCs/>
                <w:sz w:val="20"/>
                <w:szCs w:val="20"/>
              </w:rPr>
            </w:pPr>
            <w:r>
              <w:rPr>
                <w:rFonts w:eastAsia="Calibri"/>
                <w:b/>
                <w:bCs/>
                <w:sz w:val="20"/>
                <w:szCs w:val="20"/>
              </w:rPr>
              <w:t>90</w:t>
            </w:r>
          </w:p>
        </w:tc>
      </w:tr>
      <w:tr w:rsidRPr="00C47150" w:rsidR="009668CC" w:rsidTr="004B3AFB" w14:paraId="075CD4E7" w14:textId="77777777">
        <w:trPr>
          <w:trHeight w:val="233"/>
        </w:trPr>
        <w:tc>
          <w:tcPr>
            <w:tcW w:w="6290" w:type="dxa"/>
            <w:shd w:val="clear" w:color="auto" w:fill="auto"/>
          </w:tcPr>
          <w:p w:rsidRPr="007C52BE" w:rsidR="009668CC" w:rsidP="009668CC" w:rsidRDefault="009668CC" w14:paraId="31D6E17C" w14:textId="77777777">
            <w:pPr>
              <w:spacing w:after="0"/>
              <w:rPr>
                <w:sz w:val="20"/>
                <w:szCs w:val="20"/>
              </w:rPr>
            </w:pPr>
            <w:r>
              <w:rPr>
                <w:sz w:val="20"/>
                <w:szCs w:val="20"/>
              </w:rPr>
              <w:t xml:space="preserve">Total Annual </w:t>
            </w:r>
            <w:r w:rsidRPr="007C52BE">
              <w:rPr>
                <w:sz w:val="20"/>
                <w:szCs w:val="20"/>
              </w:rPr>
              <w:t xml:space="preserve">Hours Per QCDR </w:t>
            </w:r>
            <w:r>
              <w:rPr>
                <w:sz w:val="20"/>
                <w:szCs w:val="20"/>
              </w:rPr>
              <w:t>for Simplified Process (c</w:t>
            </w:r>
            <w:r w:rsidRPr="007C52BE">
              <w:rPr>
                <w:sz w:val="20"/>
                <w:szCs w:val="20"/>
              </w:rPr>
              <w:t>)</w:t>
            </w:r>
          </w:p>
        </w:tc>
        <w:tc>
          <w:tcPr>
            <w:tcW w:w="1530" w:type="dxa"/>
          </w:tcPr>
          <w:p w:rsidR="009668CC" w:rsidP="009668CC" w:rsidRDefault="00906CDC" w14:paraId="1B95297E" w14:textId="20D8972B">
            <w:pPr>
              <w:spacing w:after="0"/>
              <w:rPr>
                <w:sz w:val="20"/>
                <w:szCs w:val="20"/>
              </w:rPr>
            </w:pPr>
            <w:r>
              <w:rPr>
                <w:rFonts w:eastAsia="Calibri"/>
                <w:sz w:val="20"/>
                <w:szCs w:val="20"/>
              </w:rPr>
              <w:t>9</w:t>
            </w:r>
            <w:r w:rsidR="005E5277">
              <w:rPr>
                <w:rFonts w:eastAsia="Calibri"/>
                <w:sz w:val="20"/>
                <w:szCs w:val="20"/>
              </w:rPr>
              <w:t>.5</w:t>
            </w:r>
          </w:p>
        </w:tc>
        <w:tc>
          <w:tcPr>
            <w:tcW w:w="1530" w:type="dxa"/>
            <w:shd w:val="clear" w:color="auto" w:fill="auto"/>
          </w:tcPr>
          <w:p w:rsidR="009668CC" w:rsidP="009668CC" w:rsidRDefault="00906CDC" w14:paraId="44659047" w14:textId="302C1022">
            <w:pPr>
              <w:spacing w:after="0"/>
              <w:rPr>
                <w:sz w:val="20"/>
                <w:szCs w:val="20"/>
              </w:rPr>
            </w:pPr>
            <w:r>
              <w:rPr>
                <w:rFonts w:eastAsia="Calibri"/>
                <w:sz w:val="20"/>
                <w:szCs w:val="20"/>
              </w:rPr>
              <w:t>9</w:t>
            </w:r>
            <w:r w:rsidR="005E5277">
              <w:rPr>
                <w:rFonts w:eastAsia="Calibri"/>
                <w:sz w:val="20"/>
                <w:szCs w:val="20"/>
              </w:rPr>
              <w:t>.5</w:t>
            </w:r>
          </w:p>
        </w:tc>
      </w:tr>
      <w:tr w:rsidRPr="00C47150" w:rsidR="009668CC" w:rsidTr="004B3AFB" w14:paraId="3205F8C0" w14:textId="77777777">
        <w:trPr>
          <w:trHeight w:val="233"/>
        </w:trPr>
        <w:tc>
          <w:tcPr>
            <w:tcW w:w="6290" w:type="dxa"/>
            <w:shd w:val="clear" w:color="auto" w:fill="auto"/>
            <w:hideMark/>
          </w:tcPr>
          <w:p w:rsidRPr="007C52BE" w:rsidR="009668CC" w:rsidP="009668CC" w:rsidRDefault="009668CC" w14:paraId="0F6064FB" w14:textId="77777777">
            <w:pPr>
              <w:spacing w:after="0"/>
              <w:rPr>
                <w:sz w:val="20"/>
                <w:szCs w:val="20"/>
              </w:rPr>
            </w:pPr>
            <w:r w:rsidRPr="007C52BE">
              <w:rPr>
                <w:sz w:val="20"/>
                <w:szCs w:val="20"/>
              </w:rPr>
              <w:t xml:space="preserve">Total Annual Hours Per QCDR </w:t>
            </w:r>
            <w:r>
              <w:rPr>
                <w:sz w:val="20"/>
                <w:szCs w:val="20"/>
              </w:rPr>
              <w:t xml:space="preserve">for Full Process </w:t>
            </w:r>
            <w:r w:rsidRPr="007C52BE">
              <w:rPr>
                <w:sz w:val="20"/>
                <w:szCs w:val="20"/>
              </w:rPr>
              <w:t>(</w:t>
            </w:r>
            <w:r>
              <w:rPr>
                <w:sz w:val="20"/>
                <w:szCs w:val="20"/>
              </w:rPr>
              <w:t>d</w:t>
            </w:r>
            <w:r w:rsidRPr="007C52BE">
              <w:rPr>
                <w:sz w:val="20"/>
                <w:szCs w:val="20"/>
              </w:rPr>
              <w:t>)</w:t>
            </w:r>
          </w:p>
        </w:tc>
        <w:tc>
          <w:tcPr>
            <w:tcW w:w="1530" w:type="dxa"/>
          </w:tcPr>
          <w:p w:rsidR="009668CC" w:rsidP="009668CC" w:rsidRDefault="00906CDC" w14:paraId="000EBA78" w14:textId="2573B515">
            <w:pPr>
              <w:spacing w:after="0"/>
              <w:rPr>
                <w:sz w:val="20"/>
                <w:szCs w:val="20"/>
              </w:rPr>
            </w:pPr>
            <w:r>
              <w:rPr>
                <w:rFonts w:eastAsia="Calibri"/>
                <w:sz w:val="20"/>
                <w:szCs w:val="20"/>
              </w:rPr>
              <w:t>11.5</w:t>
            </w:r>
          </w:p>
        </w:tc>
        <w:tc>
          <w:tcPr>
            <w:tcW w:w="1530" w:type="dxa"/>
            <w:shd w:val="clear" w:color="auto" w:fill="auto"/>
            <w:hideMark/>
          </w:tcPr>
          <w:p w:rsidRPr="007C52BE" w:rsidR="009668CC" w:rsidP="009668CC" w:rsidRDefault="00906CDC" w14:paraId="5014336F" w14:textId="62F69A1A">
            <w:pPr>
              <w:spacing w:after="0"/>
              <w:rPr>
                <w:sz w:val="20"/>
                <w:szCs w:val="20"/>
              </w:rPr>
            </w:pPr>
            <w:r>
              <w:rPr>
                <w:rFonts w:eastAsia="Calibri"/>
                <w:sz w:val="20"/>
                <w:szCs w:val="20"/>
              </w:rPr>
              <w:t>11.5</w:t>
            </w:r>
          </w:p>
        </w:tc>
      </w:tr>
      <w:tr w:rsidRPr="00C47150" w:rsidR="00440E8D" w:rsidTr="00E53E05" w14:paraId="7EF03E0C" w14:textId="77777777">
        <w:trPr>
          <w:trHeight w:val="260"/>
        </w:trPr>
        <w:tc>
          <w:tcPr>
            <w:tcW w:w="6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C34F8" w:rsidR="00440E8D" w:rsidP="00440E8D" w:rsidRDefault="00440E8D" w14:paraId="2CB167A2" w14:textId="2982CF7B">
            <w:pPr>
              <w:spacing w:after="0"/>
              <w:rPr>
                <w:sz w:val="20"/>
                <w:szCs w:val="20"/>
              </w:rPr>
            </w:pPr>
            <w:r w:rsidRPr="00871E51">
              <w:rPr>
                <w:rFonts w:eastAsia="Calibri"/>
                <w:b/>
                <w:bCs/>
                <w:sz w:val="20"/>
                <w:szCs w:val="20"/>
              </w:rPr>
              <w:t>Annual Hours for Self-nomination (e) = (a) * (c) and (b) * (d)</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C34F8" w:rsidR="00440E8D" w:rsidP="00440E8D" w:rsidRDefault="00440E8D" w14:paraId="2CE16EC5" w14:textId="1A5E7B13">
            <w:pPr>
              <w:spacing w:after="0"/>
              <w:rPr>
                <w:rFonts w:eastAsia="Calibri"/>
                <w:sz w:val="20"/>
                <w:szCs w:val="20"/>
              </w:rPr>
            </w:pPr>
            <w:r w:rsidRPr="00871E51">
              <w:rPr>
                <w:rFonts w:eastAsia="Calibri"/>
                <w:b/>
                <w:bCs/>
                <w:sz w:val="20"/>
                <w:szCs w:val="20"/>
              </w:rPr>
              <w:t>855</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C34F8" w:rsidR="00440E8D" w:rsidP="00440E8D" w:rsidRDefault="00440E8D" w14:paraId="5F6348E4" w14:textId="35A45621">
            <w:pPr>
              <w:spacing w:after="0"/>
              <w:rPr>
                <w:rFonts w:eastAsia="Calibri"/>
                <w:sz w:val="20"/>
                <w:szCs w:val="20"/>
              </w:rPr>
            </w:pPr>
            <w:r w:rsidRPr="00871E51">
              <w:rPr>
                <w:rFonts w:eastAsia="Calibri"/>
                <w:b/>
                <w:bCs/>
                <w:sz w:val="20"/>
                <w:szCs w:val="20"/>
              </w:rPr>
              <w:t>1,035</w:t>
            </w:r>
          </w:p>
        </w:tc>
      </w:tr>
      <w:tr w:rsidRPr="00C47150" w:rsidR="00440E8D" w:rsidTr="00E53E05" w14:paraId="0BAEDE9A" w14:textId="77777777">
        <w:trPr>
          <w:trHeight w:val="260"/>
        </w:trPr>
        <w:tc>
          <w:tcPr>
            <w:tcW w:w="6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7C52BE" w:rsidR="00440E8D" w:rsidP="00440E8D" w:rsidRDefault="00440E8D" w14:paraId="2A24B38B" w14:textId="4DA16FD9">
            <w:pPr>
              <w:spacing w:after="0"/>
              <w:rPr>
                <w:b/>
                <w:bCs/>
                <w:sz w:val="20"/>
                <w:szCs w:val="20"/>
              </w:rPr>
            </w:pPr>
            <w:r w:rsidRPr="00871E51">
              <w:rPr>
                <w:rFonts w:eastAsia="Calibri"/>
                <w:b/>
                <w:bCs/>
                <w:sz w:val="20"/>
                <w:szCs w:val="20"/>
              </w:rPr>
              <w:t># of Hours per Completion of Targeted Audit (</w:t>
            </w:r>
            <w:r w:rsidR="004A65FD">
              <w:rPr>
                <w:rFonts w:eastAsia="Calibri"/>
                <w:b/>
                <w:bCs/>
                <w:sz w:val="20"/>
                <w:szCs w:val="20"/>
              </w:rPr>
              <w:t>f</w:t>
            </w:r>
            <w:r w:rsidRPr="00871E51">
              <w:rPr>
                <w:rFonts w:eastAsia="Calibri"/>
                <w:b/>
                <w:bCs/>
                <w:sz w:val="20"/>
                <w:szCs w:val="20"/>
              </w:rPr>
              <w:t>)</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440E8D" w:rsidP="00440E8D" w:rsidRDefault="00440E8D" w14:paraId="5D08B482" w14:textId="72184B2F">
            <w:pPr>
              <w:spacing w:after="0"/>
              <w:rPr>
                <w:b/>
                <w:bCs/>
                <w:sz w:val="20"/>
                <w:szCs w:val="20"/>
              </w:rPr>
            </w:pPr>
            <w:r w:rsidRPr="00871E51">
              <w:rPr>
                <w:rFonts w:eastAsia="Calibri"/>
                <w:b/>
                <w:bCs/>
                <w:sz w:val="20"/>
                <w:szCs w:val="20"/>
              </w:rPr>
              <w:t>5</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7C52BE" w:rsidR="00440E8D" w:rsidP="00440E8D" w:rsidRDefault="00440E8D" w14:paraId="3201D756" w14:textId="29093C57">
            <w:pPr>
              <w:spacing w:after="0"/>
              <w:rPr>
                <w:b/>
                <w:bCs/>
                <w:sz w:val="20"/>
                <w:szCs w:val="20"/>
              </w:rPr>
            </w:pPr>
            <w:r w:rsidRPr="00871E51">
              <w:rPr>
                <w:rFonts w:eastAsia="Calibri"/>
                <w:b/>
                <w:bCs/>
                <w:sz w:val="20"/>
                <w:szCs w:val="20"/>
              </w:rPr>
              <w:t>10</w:t>
            </w:r>
          </w:p>
        </w:tc>
      </w:tr>
      <w:tr w:rsidRPr="00C47150" w:rsidR="00440E8D" w:rsidTr="00E53E05" w14:paraId="1206FFE9"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C52BE" w:rsidR="00440E8D" w:rsidP="00440E8D" w:rsidRDefault="00440E8D" w14:paraId="7332E092" w14:textId="454CC201">
            <w:pPr>
              <w:spacing w:after="0"/>
              <w:rPr>
                <w:b/>
                <w:bCs/>
                <w:sz w:val="20"/>
                <w:szCs w:val="20"/>
              </w:rPr>
            </w:pPr>
            <w:r w:rsidRPr="00871E51">
              <w:rPr>
                <w:rFonts w:eastAsia="Calibri"/>
                <w:b/>
                <w:bCs/>
                <w:sz w:val="20"/>
                <w:szCs w:val="20"/>
              </w:rPr>
              <w:t>Annual Hours for Completion of 20 Targeted Audits (</w:t>
            </w:r>
            <w:r w:rsidR="004A65FD">
              <w:rPr>
                <w:rFonts w:eastAsia="Calibri"/>
                <w:b/>
                <w:bCs/>
                <w:sz w:val="20"/>
                <w:szCs w:val="20"/>
              </w:rPr>
              <w:t>g</w:t>
            </w:r>
            <w:r w:rsidRPr="00871E51">
              <w:rPr>
                <w:rFonts w:eastAsia="Calibri"/>
                <w:b/>
                <w:bCs/>
                <w:sz w:val="20"/>
                <w:szCs w:val="20"/>
              </w:rPr>
              <w:t>)</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50D29" w:rsidR="00440E8D" w:rsidP="00440E8D" w:rsidRDefault="00440E8D" w14:paraId="01DE306D" w14:textId="249C593C">
            <w:pPr>
              <w:spacing w:after="0"/>
              <w:rPr>
                <w:rFonts w:eastAsia="Calibri"/>
                <w:b/>
                <w:bCs/>
                <w:sz w:val="20"/>
                <w:szCs w:val="20"/>
              </w:rPr>
            </w:pPr>
            <w:r w:rsidRPr="00871E51">
              <w:rPr>
                <w:rFonts w:eastAsia="Calibri"/>
                <w:b/>
                <w:bCs/>
                <w:sz w:val="20"/>
                <w:szCs w:val="20"/>
              </w:rPr>
              <w:t>100</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50D29" w:rsidR="00440E8D" w:rsidP="00440E8D" w:rsidRDefault="00440E8D" w14:paraId="43F46657" w14:textId="1D1817A9">
            <w:pPr>
              <w:spacing w:after="0"/>
              <w:rPr>
                <w:rFonts w:eastAsia="Calibri"/>
                <w:b/>
                <w:bCs/>
                <w:sz w:val="20"/>
                <w:szCs w:val="20"/>
              </w:rPr>
            </w:pPr>
            <w:r w:rsidRPr="00871E51">
              <w:rPr>
                <w:rFonts w:eastAsia="Calibri"/>
                <w:b/>
                <w:bCs/>
                <w:sz w:val="20"/>
                <w:szCs w:val="20"/>
              </w:rPr>
              <w:t>200</w:t>
            </w:r>
          </w:p>
        </w:tc>
      </w:tr>
      <w:tr w:rsidRPr="00C47150" w:rsidR="00440E8D" w:rsidTr="00E53E05" w14:paraId="622255C6"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7C52BE" w:rsidR="00440E8D" w:rsidP="00440E8D" w:rsidRDefault="00440E8D" w14:paraId="6823CC4A" w14:textId="2CBB88F7">
            <w:pPr>
              <w:spacing w:after="0"/>
              <w:rPr>
                <w:b/>
                <w:bCs/>
                <w:sz w:val="20"/>
                <w:szCs w:val="20"/>
              </w:rPr>
            </w:pPr>
            <w:r w:rsidRPr="00871E51">
              <w:rPr>
                <w:rFonts w:eastAsia="Calibri"/>
                <w:b/>
                <w:bCs/>
                <w:sz w:val="20"/>
                <w:szCs w:val="20"/>
              </w:rPr>
              <w:t># of Hours per Submission of Participation Plan (</w:t>
            </w:r>
            <w:r w:rsidR="004A65FD">
              <w:rPr>
                <w:rFonts w:eastAsia="Calibri"/>
                <w:b/>
                <w:bCs/>
                <w:sz w:val="20"/>
                <w:szCs w:val="20"/>
              </w:rPr>
              <w:t>h</w:t>
            </w:r>
            <w:r w:rsidRPr="00871E51">
              <w:rPr>
                <w:rFonts w:eastAsia="Calibri"/>
                <w:b/>
                <w:bCs/>
                <w:sz w:val="20"/>
                <w:szCs w:val="20"/>
              </w:rPr>
              <w:t>)</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C52BE" w:rsidR="00440E8D" w:rsidP="00440E8D" w:rsidRDefault="00440E8D" w14:paraId="406119FC" w14:textId="1D70A8EB">
            <w:pPr>
              <w:spacing w:after="0"/>
              <w:rPr>
                <w:b/>
                <w:bCs/>
                <w:sz w:val="20"/>
                <w:szCs w:val="20"/>
              </w:rPr>
            </w:pPr>
            <w:r w:rsidRPr="00871E51">
              <w:rPr>
                <w:rFonts w:eastAsia="Calibri"/>
                <w:b/>
                <w:bCs/>
                <w:sz w:val="20"/>
                <w:szCs w:val="20"/>
              </w:rPr>
              <w:t>3</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7C52BE" w:rsidR="00440E8D" w:rsidP="00440E8D" w:rsidRDefault="00440E8D" w14:paraId="682EAFFC" w14:textId="3BF8078B">
            <w:pPr>
              <w:spacing w:after="0"/>
              <w:rPr>
                <w:b/>
                <w:bCs/>
                <w:sz w:val="20"/>
                <w:szCs w:val="20"/>
              </w:rPr>
            </w:pPr>
            <w:r w:rsidRPr="00871E51">
              <w:rPr>
                <w:rFonts w:eastAsia="Calibri"/>
                <w:b/>
                <w:bCs/>
                <w:sz w:val="20"/>
                <w:szCs w:val="20"/>
              </w:rPr>
              <w:t>3</w:t>
            </w:r>
          </w:p>
        </w:tc>
      </w:tr>
      <w:tr w:rsidRPr="00871E51" w:rsidR="00102ED0" w:rsidTr="00102ED0" w14:paraId="7490AB46"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102ED0" w:rsidP="00102ED0" w:rsidRDefault="00102ED0" w14:paraId="6421A889" w14:textId="31823516">
            <w:pPr>
              <w:spacing w:after="0"/>
              <w:rPr>
                <w:rFonts w:eastAsia="Calibri"/>
                <w:b/>
                <w:bCs/>
                <w:sz w:val="20"/>
                <w:szCs w:val="20"/>
              </w:rPr>
            </w:pPr>
            <w:r w:rsidRPr="00871E51">
              <w:rPr>
                <w:rFonts w:eastAsia="Calibri"/>
                <w:b/>
                <w:bCs/>
                <w:sz w:val="20"/>
                <w:szCs w:val="20"/>
              </w:rPr>
              <w:t>Annual Hours for Submission of 10 Participation Plans (</w:t>
            </w:r>
            <w:r w:rsidR="009D3CB3">
              <w:rPr>
                <w:rFonts w:eastAsia="Calibri"/>
                <w:b/>
                <w:bCs/>
                <w:sz w:val="20"/>
                <w:szCs w:val="20"/>
              </w:rPr>
              <w:t>i</w:t>
            </w:r>
            <w:r w:rsidRPr="00871E51">
              <w:rPr>
                <w:rFonts w:eastAsia="Calibri"/>
                <w:b/>
                <w:bCs/>
                <w:sz w:val="20"/>
                <w:szCs w:val="20"/>
              </w:rPr>
              <w:t>)</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71E51" w:rsidR="00102ED0" w:rsidP="00102ED0" w:rsidRDefault="00102ED0" w14:paraId="7A4B7D89" w14:textId="77777777">
            <w:pPr>
              <w:spacing w:after="0"/>
              <w:rPr>
                <w:rFonts w:eastAsia="Calibri"/>
                <w:b/>
                <w:bCs/>
                <w:sz w:val="20"/>
                <w:szCs w:val="20"/>
              </w:rPr>
            </w:pPr>
            <w:r w:rsidRPr="00871E51">
              <w:rPr>
                <w:rFonts w:eastAsia="Calibri"/>
                <w:b/>
                <w:bCs/>
                <w:sz w:val="20"/>
                <w:szCs w:val="20"/>
              </w:rPr>
              <w:t>30</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102ED0" w:rsidP="00102ED0" w:rsidRDefault="00102ED0" w14:paraId="3D1BF4F2" w14:textId="77777777">
            <w:pPr>
              <w:spacing w:after="0"/>
              <w:rPr>
                <w:rFonts w:eastAsia="Calibri"/>
                <w:b/>
                <w:bCs/>
                <w:sz w:val="20"/>
                <w:szCs w:val="20"/>
              </w:rPr>
            </w:pPr>
            <w:r w:rsidRPr="00871E51">
              <w:rPr>
                <w:rFonts w:eastAsia="Calibri"/>
                <w:b/>
                <w:bCs/>
                <w:sz w:val="20"/>
                <w:szCs w:val="20"/>
              </w:rPr>
              <w:t>30</w:t>
            </w:r>
          </w:p>
        </w:tc>
      </w:tr>
      <w:tr w:rsidRPr="00871E51" w:rsidR="00102ED0" w:rsidTr="00102ED0" w14:paraId="512A7538"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102ED0" w:rsidDel="00E765D8" w:rsidP="00102ED0" w:rsidRDefault="00102ED0" w14:paraId="6D078195" w14:textId="6B3B6029">
            <w:pPr>
              <w:spacing w:after="0"/>
              <w:rPr>
                <w:rFonts w:eastAsia="Calibri"/>
                <w:b/>
                <w:bCs/>
                <w:sz w:val="20"/>
                <w:szCs w:val="20"/>
              </w:rPr>
            </w:pPr>
            <w:r w:rsidRPr="00871E51">
              <w:rPr>
                <w:rFonts w:eastAsia="Calibri"/>
                <w:b/>
                <w:bCs/>
                <w:sz w:val="20"/>
                <w:szCs w:val="20"/>
              </w:rPr>
              <w:t>Total Annual Time (Hours) (</w:t>
            </w:r>
            <w:r w:rsidR="009D3CB3">
              <w:rPr>
                <w:rFonts w:eastAsia="Calibri"/>
                <w:b/>
                <w:bCs/>
                <w:sz w:val="20"/>
                <w:szCs w:val="20"/>
              </w:rPr>
              <w:t>j</w:t>
            </w:r>
            <w:r w:rsidRPr="00871E51">
              <w:rPr>
                <w:rFonts w:eastAsia="Calibri"/>
                <w:b/>
                <w:bCs/>
                <w:sz w:val="20"/>
                <w:szCs w:val="20"/>
              </w:rPr>
              <w:t>)</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71E51" w:rsidR="00102ED0" w:rsidP="00102ED0" w:rsidRDefault="00102ED0" w14:paraId="5403135C" w14:textId="77777777">
            <w:pPr>
              <w:spacing w:after="0"/>
              <w:rPr>
                <w:rFonts w:eastAsia="Calibri"/>
                <w:b/>
                <w:bCs/>
                <w:sz w:val="20"/>
                <w:szCs w:val="20"/>
              </w:rPr>
            </w:pPr>
            <w:r w:rsidRPr="00871E51">
              <w:rPr>
                <w:rFonts w:eastAsia="Calibri"/>
                <w:b/>
                <w:bCs/>
                <w:sz w:val="20"/>
                <w:szCs w:val="20"/>
              </w:rPr>
              <w:t>985</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102ED0" w:rsidP="00102ED0" w:rsidRDefault="00102ED0" w14:paraId="150A8F5C" w14:textId="77777777">
            <w:pPr>
              <w:spacing w:after="0"/>
              <w:rPr>
                <w:rFonts w:eastAsia="Calibri"/>
                <w:b/>
                <w:bCs/>
                <w:sz w:val="20"/>
                <w:szCs w:val="20"/>
              </w:rPr>
            </w:pPr>
            <w:r w:rsidRPr="00871E51">
              <w:rPr>
                <w:rFonts w:eastAsia="Calibri"/>
                <w:b/>
                <w:bCs/>
                <w:sz w:val="20"/>
                <w:szCs w:val="20"/>
              </w:rPr>
              <w:t>1,265</w:t>
            </w:r>
          </w:p>
        </w:tc>
      </w:tr>
      <w:tr w:rsidRPr="00996931" w:rsidR="00102ED0" w:rsidTr="001376EC" w14:paraId="4D5AEEBF"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102ED0" w14:paraId="64DFB30B" w14:textId="5FE4F68F">
            <w:pPr>
              <w:spacing w:after="0"/>
              <w:rPr>
                <w:rFonts w:eastAsia="Calibri"/>
                <w:sz w:val="20"/>
                <w:szCs w:val="20"/>
              </w:rPr>
            </w:pPr>
            <w:r w:rsidRPr="001376EC">
              <w:rPr>
                <w:rFonts w:eastAsia="Calibri"/>
                <w:sz w:val="20"/>
                <w:szCs w:val="20"/>
              </w:rPr>
              <w:t>Cost Per Simplified Process Per QCDR (@ computer systems analyst’s labor rate of $95.22/hr) (</w:t>
            </w:r>
            <w:r w:rsidR="009D3CB3">
              <w:rPr>
                <w:rFonts w:eastAsia="Calibri"/>
                <w:sz w:val="20"/>
                <w:szCs w:val="20"/>
              </w:rPr>
              <w:t>k</w:t>
            </w:r>
            <w:r w:rsidRPr="001376EC">
              <w:rPr>
                <w:rFonts w:eastAsia="Calibri"/>
                <w:sz w:val="20"/>
                <w:szCs w:val="20"/>
              </w:rPr>
              <w:t>) = (c) * $95.22/hr</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1376EC" w:rsidR="00102ED0" w:rsidP="00102ED0" w:rsidRDefault="00102ED0" w14:paraId="74E494B2" w14:textId="77777777">
            <w:pPr>
              <w:spacing w:after="0"/>
              <w:rPr>
                <w:rFonts w:eastAsia="Calibri"/>
                <w:sz w:val="20"/>
                <w:szCs w:val="20"/>
              </w:rPr>
            </w:pPr>
            <w:r w:rsidRPr="001376EC">
              <w:rPr>
                <w:rFonts w:eastAsia="Calibri"/>
                <w:sz w:val="20"/>
                <w:szCs w:val="20"/>
              </w:rPr>
              <w:t>$904.60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102ED0" w14:paraId="0029597E" w14:textId="77777777">
            <w:pPr>
              <w:spacing w:after="0"/>
              <w:rPr>
                <w:rFonts w:eastAsia="Calibri"/>
                <w:sz w:val="20"/>
                <w:szCs w:val="20"/>
              </w:rPr>
            </w:pPr>
            <w:r w:rsidRPr="001376EC">
              <w:rPr>
                <w:rFonts w:eastAsia="Calibri"/>
                <w:sz w:val="20"/>
                <w:szCs w:val="20"/>
              </w:rPr>
              <w:t>$904.60</w:t>
            </w:r>
          </w:p>
        </w:tc>
      </w:tr>
      <w:tr w:rsidRPr="00996931" w:rsidR="00102ED0" w:rsidTr="001376EC" w14:paraId="064F3219"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102ED0" w14:paraId="3485E32A" w14:textId="6DD3BAEA">
            <w:pPr>
              <w:spacing w:after="0"/>
              <w:rPr>
                <w:rFonts w:eastAsia="Calibri"/>
                <w:sz w:val="20"/>
                <w:szCs w:val="20"/>
              </w:rPr>
            </w:pPr>
            <w:r w:rsidRPr="001376EC">
              <w:rPr>
                <w:rFonts w:eastAsia="Calibri"/>
                <w:sz w:val="20"/>
                <w:szCs w:val="20"/>
              </w:rPr>
              <w:t>Cost Per Full Process Per QCDR (@ computer systems analyst’s labor rate of $95.22/hr) (</w:t>
            </w:r>
            <w:r w:rsidR="009D3CB3">
              <w:rPr>
                <w:rFonts w:eastAsia="Calibri"/>
                <w:sz w:val="20"/>
                <w:szCs w:val="20"/>
              </w:rPr>
              <w:t>l</w:t>
            </w:r>
            <w:r w:rsidRPr="001376EC">
              <w:rPr>
                <w:rFonts w:eastAsia="Calibri"/>
                <w:sz w:val="20"/>
                <w:szCs w:val="20"/>
              </w:rPr>
              <w:t>) = (d) * $95.22/hr</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1376EC" w:rsidR="00102ED0" w:rsidP="00102ED0" w:rsidRDefault="00102ED0" w14:paraId="0F6898F4" w14:textId="77777777">
            <w:pPr>
              <w:spacing w:after="0"/>
              <w:rPr>
                <w:rFonts w:eastAsia="Calibri"/>
                <w:sz w:val="20"/>
                <w:szCs w:val="20"/>
              </w:rPr>
            </w:pPr>
            <w:r w:rsidRPr="001376EC">
              <w:rPr>
                <w:rFonts w:eastAsia="Calibri"/>
                <w:sz w:val="20"/>
                <w:szCs w:val="20"/>
              </w:rPr>
              <w:t>$1,095.03</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102ED0" w14:paraId="3AC08230" w14:textId="77777777">
            <w:pPr>
              <w:spacing w:after="0"/>
              <w:rPr>
                <w:rFonts w:eastAsia="Calibri"/>
                <w:sz w:val="20"/>
                <w:szCs w:val="20"/>
              </w:rPr>
            </w:pPr>
            <w:r w:rsidRPr="001376EC">
              <w:rPr>
                <w:rFonts w:eastAsia="Calibri"/>
                <w:sz w:val="20"/>
                <w:szCs w:val="20"/>
              </w:rPr>
              <w:t>$1,095.03</w:t>
            </w:r>
          </w:p>
        </w:tc>
      </w:tr>
      <w:tr w:rsidRPr="00996931" w:rsidR="00102ED0" w:rsidTr="001376EC" w14:paraId="7F741032"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102ED0" w14:paraId="2741A793" w14:textId="6FAE7FA4">
            <w:pPr>
              <w:spacing w:after="0"/>
              <w:rPr>
                <w:rFonts w:eastAsia="Calibri"/>
                <w:sz w:val="20"/>
                <w:szCs w:val="20"/>
              </w:rPr>
            </w:pPr>
            <w:r w:rsidRPr="001376EC">
              <w:rPr>
                <w:rFonts w:eastAsia="Calibri"/>
                <w:sz w:val="20"/>
                <w:szCs w:val="20"/>
              </w:rPr>
              <w:t>Cost Per Targeted Audit (@ computer systems analyst’s labor rate of $95.22/hr) (</w:t>
            </w:r>
            <w:r w:rsidR="009D3CB3">
              <w:rPr>
                <w:rFonts w:eastAsia="Calibri"/>
                <w:sz w:val="20"/>
                <w:szCs w:val="20"/>
              </w:rPr>
              <w:t>m</w:t>
            </w:r>
            <w:r w:rsidRPr="001376EC">
              <w:rPr>
                <w:rFonts w:eastAsia="Calibri"/>
                <w:sz w:val="20"/>
                <w:szCs w:val="20"/>
              </w:rPr>
              <w:t>) = (</w:t>
            </w:r>
            <w:r w:rsidR="006E7CE4">
              <w:rPr>
                <w:rFonts w:eastAsia="Calibri"/>
                <w:sz w:val="20"/>
                <w:szCs w:val="20"/>
              </w:rPr>
              <w:t>f</w:t>
            </w:r>
            <w:r w:rsidRPr="001376EC">
              <w:rPr>
                <w:rFonts w:eastAsia="Calibri"/>
                <w:sz w:val="20"/>
                <w:szCs w:val="20"/>
              </w:rPr>
              <w:t xml:space="preserve">) * $95.22/hr </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1376EC" w:rsidR="00102ED0" w:rsidP="00102ED0" w:rsidRDefault="00102ED0" w14:paraId="1CC6789D" w14:textId="77777777">
            <w:pPr>
              <w:spacing w:after="0"/>
              <w:rPr>
                <w:rFonts w:eastAsia="Calibri"/>
                <w:sz w:val="20"/>
                <w:szCs w:val="20"/>
              </w:rPr>
            </w:pPr>
            <w:r w:rsidRPr="001376EC">
              <w:rPr>
                <w:rFonts w:eastAsia="Calibri"/>
                <w:sz w:val="20"/>
                <w:szCs w:val="20"/>
              </w:rPr>
              <w:t>$476.10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102ED0" w14:paraId="050DDA15" w14:textId="77777777">
            <w:pPr>
              <w:spacing w:after="0"/>
              <w:rPr>
                <w:rFonts w:eastAsia="Calibri"/>
                <w:sz w:val="20"/>
                <w:szCs w:val="20"/>
              </w:rPr>
            </w:pPr>
            <w:r w:rsidRPr="001376EC">
              <w:rPr>
                <w:rFonts w:eastAsia="Calibri"/>
                <w:sz w:val="20"/>
                <w:szCs w:val="20"/>
              </w:rPr>
              <w:t>$952.20</w:t>
            </w:r>
          </w:p>
        </w:tc>
      </w:tr>
      <w:tr w:rsidRPr="00996931" w:rsidR="00102ED0" w:rsidTr="001376EC" w14:paraId="76AF459C"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102ED0" w14:paraId="229E53B0" w14:textId="4D430C9D">
            <w:pPr>
              <w:spacing w:after="0"/>
              <w:rPr>
                <w:rFonts w:eastAsia="Calibri"/>
                <w:sz w:val="20"/>
                <w:szCs w:val="20"/>
              </w:rPr>
            </w:pPr>
            <w:r w:rsidRPr="001376EC">
              <w:rPr>
                <w:rFonts w:eastAsia="Calibri"/>
                <w:sz w:val="20"/>
                <w:szCs w:val="20"/>
              </w:rPr>
              <w:t>Cost Per Participation Plan (@ computer systems analyst’s labor rate of $95.22/hr) (</w:t>
            </w:r>
            <w:r w:rsidR="009D3CB3">
              <w:rPr>
                <w:rFonts w:eastAsia="Calibri"/>
                <w:sz w:val="20"/>
                <w:szCs w:val="20"/>
              </w:rPr>
              <w:t>n</w:t>
            </w:r>
            <w:r w:rsidRPr="001376EC">
              <w:rPr>
                <w:rFonts w:eastAsia="Calibri"/>
                <w:sz w:val="20"/>
                <w:szCs w:val="20"/>
              </w:rPr>
              <w:t>) = (</w:t>
            </w:r>
            <w:r w:rsidR="006E7CE4">
              <w:rPr>
                <w:rFonts w:eastAsia="Calibri"/>
                <w:sz w:val="20"/>
                <w:szCs w:val="20"/>
              </w:rPr>
              <w:t>h</w:t>
            </w:r>
            <w:r w:rsidRPr="001376EC">
              <w:rPr>
                <w:rFonts w:eastAsia="Calibri"/>
                <w:sz w:val="20"/>
                <w:szCs w:val="20"/>
              </w:rPr>
              <w:t>) * $95.22/hr</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1376EC" w:rsidR="00102ED0" w:rsidP="00102ED0" w:rsidRDefault="00102ED0" w14:paraId="2EFD54CA" w14:textId="77777777">
            <w:pPr>
              <w:spacing w:after="0"/>
              <w:rPr>
                <w:rFonts w:eastAsia="Calibri"/>
                <w:sz w:val="20"/>
                <w:szCs w:val="20"/>
              </w:rPr>
            </w:pPr>
            <w:r w:rsidRPr="001376EC">
              <w:rPr>
                <w:rFonts w:eastAsia="Calibri"/>
                <w:sz w:val="20"/>
                <w:szCs w:val="20"/>
              </w:rPr>
              <w:t>$285.70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102ED0" w14:paraId="47AA98A8" w14:textId="77777777">
            <w:pPr>
              <w:spacing w:after="0"/>
              <w:rPr>
                <w:rFonts w:eastAsia="Calibri"/>
                <w:sz w:val="20"/>
                <w:szCs w:val="20"/>
              </w:rPr>
            </w:pPr>
            <w:r w:rsidRPr="001376EC">
              <w:rPr>
                <w:rFonts w:eastAsia="Calibri"/>
                <w:sz w:val="20"/>
                <w:szCs w:val="20"/>
              </w:rPr>
              <w:t>$285.70</w:t>
            </w:r>
          </w:p>
        </w:tc>
      </w:tr>
      <w:tr w:rsidRPr="00871E51" w:rsidR="00102ED0" w:rsidTr="00102ED0" w14:paraId="0F9E131F"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102ED0" w:rsidP="00102ED0" w:rsidRDefault="00102ED0" w14:paraId="3D0E770B" w14:textId="26BAD705">
            <w:pPr>
              <w:spacing w:after="0"/>
              <w:rPr>
                <w:rFonts w:eastAsia="Calibri"/>
                <w:b/>
                <w:bCs/>
                <w:sz w:val="20"/>
                <w:szCs w:val="20"/>
              </w:rPr>
            </w:pPr>
            <w:r w:rsidRPr="00871E51">
              <w:rPr>
                <w:rFonts w:eastAsia="Calibri"/>
                <w:b/>
                <w:bCs/>
                <w:sz w:val="20"/>
                <w:szCs w:val="20"/>
              </w:rPr>
              <w:t>Total Annual Cost (</w:t>
            </w:r>
            <w:r w:rsidR="009D3CB3">
              <w:rPr>
                <w:rFonts w:eastAsia="Calibri"/>
                <w:b/>
                <w:bCs/>
                <w:sz w:val="20"/>
                <w:szCs w:val="20"/>
              </w:rPr>
              <w:t>o</w:t>
            </w:r>
            <w:r w:rsidRPr="00871E51">
              <w:rPr>
                <w:rFonts w:eastAsia="Calibri"/>
                <w:b/>
                <w:bCs/>
                <w:sz w:val="20"/>
                <w:szCs w:val="20"/>
              </w:rPr>
              <w:t>) = (a) * (</w:t>
            </w:r>
            <w:r w:rsidR="007F5E91">
              <w:rPr>
                <w:rFonts w:eastAsia="Calibri"/>
                <w:b/>
                <w:bCs/>
                <w:sz w:val="20"/>
                <w:szCs w:val="20"/>
              </w:rPr>
              <w:t>k</w:t>
            </w:r>
            <w:r w:rsidRPr="00871E51">
              <w:rPr>
                <w:rFonts w:eastAsia="Calibri"/>
                <w:b/>
                <w:bCs/>
                <w:sz w:val="20"/>
                <w:szCs w:val="20"/>
              </w:rPr>
              <w:t>) + (</w:t>
            </w:r>
            <w:r w:rsidR="000764A5">
              <w:rPr>
                <w:rFonts w:eastAsia="Calibri"/>
                <w:b/>
                <w:bCs/>
                <w:sz w:val="20"/>
                <w:szCs w:val="20"/>
              </w:rPr>
              <w:t>f</w:t>
            </w:r>
            <w:r w:rsidRPr="00871E51">
              <w:rPr>
                <w:rFonts w:eastAsia="Calibri"/>
                <w:b/>
                <w:bCs/>
                <w:sz w:val="20"/>
                <w:szCs w:val="20"/>
              </w:rPr>
              <w:t xml:space="preserve">) * </w:t>
            </w:r>
            <w:r w:rsidR="00B90121">
              <w:rPr>
                <w:rFonts w:eastAsia="Calibri"/>
                <w:b/>
                <w:bCs/>
                <w:sz w:val="20"/>
                <w:szCs w:val="20"/>
              </w:rPr>
              <w:t>2</w:t>
            </w:r>
            <w:r w:rsidR="000764A5">
              <w:rPr>
                <w:rFonts w:eastAsia="Calibri"/>
                <w:b/>
                <w:bCs/>
                <w:sz w:val="20"/>
                <w:szCs w:val="20"/>
              </w:rPr>
              <w:t xml:space="preserve">0 + </w:t>
            </w:r>
            <w:r w:rsidRPr="00871E51">
              <w:rPr>
                <w:rFonts w:eastAsia="Calibri"/>
                <w:b/>
                <w:bCs/>
                <w:sz w:val="20"/>
                <w:szCs w:val="20"/>
              </w:rPr>
              <w:t>(</w:t>
            </w:r>
            <w:r w:rsidR="00520404">
              <w:rPr>
                <w:rFonts w:eastAsia="Calibri"/>
                <w:b/>
                <w:bCs/>
                <w:sz w:val="20"/>
                <w:szCs w:val="20"/>
              </w:rPr>
              <w:t>n</w:t>
            </w:r>
            <w:r w:rsidRPr="00871E51">
              <w:rPr>
                <w:rFonts w:eastAsia="Calibri"/>
                <w:b/>
                <w:bCs/>
                <w:sz w:val="20"/>
                <w:szCs w:val="20"/>
              </w:rPr>
              <w:t>)</w:t>
            </w:r>
            <w:r w:rsidR="00520404">
              <w:rPr>
                <w:rFonts w:eastAsia="Calibri"/>
                <w:b/>
                <w:bCs/>
                <w:sz w:val="20"/>
                <w:szCs w:val="20"/>
              </w:rPr>
              <w:t>*</w:t>
            </w:r>
            <w:r w:rsidR="001C4129">
              <w:rPr>
                <w:rFonts w:eastAsia="Calibri"/>
                <w:b/>
                <w:bCs/>
                <w:sz w:val="20"/>
                <w:szCs w:val="20"/>
              </w:rPr>
              <w:t>10</w:t>
            </w:r>
            <w:r w:rsidR="00077766">
              <w:rPr>
                <w:rFonts w:eastAsia="Calibri"/>
                <w:b/>
                <w:bCs/>
                <w:sz w:val="20"/>
                <w:szCs w:val="20"/>
              </w:rPr>
              <w:t xml:space="preserve"> (min</w:t>
            </w:r>
            <w:r w:rsidR="00D74D26">
              <w:rPr>
                <w:rFonts w:eastAsia="Calibri"/>
                <w:b/>
                <w:bCs/>
                <w:sz w:val="20"/>
                <w:szCs w:val="20"/>
              </w:rPr>
              <w:t>.</w:t>
            </w:r>
            <w:r w:rsidR="00077766">
              <w:rPr>
                <w:rFonts w:eastAsia="Calibri"/>
                <w:b/>
                <w:bCs/>
                <w:sz w:val="20"/>
                <w:szCs w:val="20"/>
              </w:rPr>
              <w:t>)</w:t>
            </w:r>
            <w:r w:rsidRPr="00871E51">
              <w:rPr>
                <w:rFonts w:eastAsia="Calibri"/>
                <w:b/>
                <w:bCs/>
                <w:sz w:val="20"/>
                <w:szCs w:val="20"/>
              </w:rPr>
              <w:t xml:space="preserve"> </w:t>
            </w:r>
            <w:r w:rsidR="008E7E69">
              <w:rPr>
                <w:rFonts w:eastAsia="Calibri"/>
                <w:b/>
                <w:bCs/>
                <w:sz w:val="20"/>
                <w:szCs w:val="20"/>
              </w:rPr>
              <w:t>and</w:t>
            </w:r>
            <w:r w:rsidR="004A6487">
              <w:rPr>
                <w:rFonts w:eastAsia="Calibri"/>
                <w:b/>
                <w:bCs/>
                <w:sz w:val="20"/>
                <w:szCs w:val="20"/>
              </w:rPr>
              <w:t xml:space="preserve"> (b)</w:t>
            </w:r>
            <w:r w:rsidR="0078481B">
              <w:rPr>
                <w:rFonts w:eastAsia="Calibri"/>
                <w:b/>
                <w:bCs/>
                <w:sz w:val="20"/>
                <w:szCs w:val="20"/>
              </w:rPr>
              <w:t>*</w:t>
            </w:r>
            <w:r w:rsidR="008E7E69">
              <w:rPr>
                <w:rFonts w:eastAsia="Calibri"/>
                <w:b/>
                <w:bCs/>
                <w:sz w:val="20"/>
                <w:szCs w:val="20"/>
              </w:rPr>
              <w:t>(</w:t>
            </w:r>
            <w:r w:rsidR="00D42D4B">
              <w:rPr>
                <w:rFonts w:eastAsia="Calibri"/>
                <w:b/>
                <w:bCs/>
                <w:sz w:val="20"/>
                <w:szCs w:val="20"/>
              </w:rPr>
              <w:t>l</w:t>
            </w:r>
            <w:r w:rsidR="008E7E69">
              <w:rPr>
                <w:rFonts w:eastAsia="Calibri"/>
                <w:b/>
                <w:bCs/>
                <w:sz w:val="20"/>
                <w:szCs w:val="20"/>
              </w:rPr>
              <w:t>)</w:t>
            </w:r>
            <w:r w:rsidR="00D42D4B">
              <w:rPr>
                <w:rFonts w:eastAsia="Calibri"/>
                <w:b/>
                <w:bCs/>
                <w:sz w:val="20"/>
                <w:szCs w:val="20"/>
              </w:rPr>
              <w:t xml:space="preserve"> + </w:t>
            </w:r>
            <w:r w:rsidRPr="00871E51">
              <w:rPr>
                <w:rFonts w:eastAsia="Calibri"/>
                <w:b/>
                <w:bCs/>
                <w:sz w:val="20"/>
                <w:szCs w:val="20"/>
              </w:rPr>
              <w:t>(</w:t>
            </w:r>
            <w:r w:rsidR="00231A63">
              <w:rPr>
                <w:rFonts w:eastAsia="Calibri"/>
                <w:b/>
                <w:bCs/>
                <w:sz w:val="20"/>
                <w:szCs w:val="20"/>
              </w:rPr>
              <w:t>m</w:t>
            </w:r>
            <w:r w:rsidRPr="00871E51">
              <w:rPr>
                <w:rFonts w:eastAsia="Calibri"/>
                <w:b/>
                <w:bCs/>
                <w:sz w:val="20"/>
                <w:szCs w:val="20"/>
              </w:rPr>
              <w:t>) * 20 + (</w:t>
            </w:r>
            <w:r w:rsidR="00D74D26">
              <w:rPr>
                <w:rFonts w:eastAsia="Calibri"/>
                <w:b/>
                <w:bCs/>
                <w:sz w:val="20"/>
                <w:szCs w:val="20"/>
              </w:rPr>
              <w:t>n</w:t>
            </w:r>
            <w:r w:rsidRPr="00871E51">
              <w:rPr>
                <w:rFonts w:eastAsia="Calibri"/>
                <w:b/>
                <w:bCs/>
                <w:sz w:val="20"/>
                <w:szCs w:val="20"/>
              </w:rPr>
              <w:t>) * 10</w:t>
            </w:r>
            <w:r w:rsidR="00D74D26">
              <w:rPr>
                <w:rFonts w:eastAsia="Calibri"/>
                <w:b/>
                <w:bCs/>
                <w:sz w:val="20"/>
                <w:szCs w:val="20"/>
              </w:rPr>
              <w:t xml:space="preserve"> (max.)</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71E51" w:rsidR="00102ED0" w:rsidP="00102ED0" w:rsidRDefault="00102ED0" w14:paraId="6EF9C71F" w14:textId="77777777">
            <w:pPr>
              <w:spacing w:after="0"/>
              <w:rPr>
                <w:rFonts w:eastAsia="Calibri"/>
                <w:b/>
                <w:bCs/>
                <w:sz w:val="20"/>
                <w:szCs w:val="20"/>
              </w:rPr>
            </w:pPr>
            <w:r w:rsidRPr="00871E51">
              <w:rPr>
                <w:rFonts w:eastAsia="Calibri"/>
                <w:b/>
                <w:bCs/>
                <w:sz w:val="20"/>
                <w:szCs w:val="20"/>
              </w:rPr>
              <w:t>$93,792</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102ED0" w:rsidP="00102ED0" w:rsidRDefault="00102ED0" w14:paraId="7F58E033" w14:textId="77777777">
            <w:pPr>
              <w:spacing w:after="0"/>
              <w:rPr>
                <w:rFonts w:eastAsia="Calibri"/>
                <w:b/>
                <w:bCs/>
                <w:sz w:val="20"/>
                <w:szCs w:val="20"/>
              </w:rPr>
            </w:pPr>
            <w:r w:rsidRPr="00871E51">
              <w:rPr>
                <w:rFonts w:eastAsia="Calibri"/>
                <w:b/>
                <w:bCs/>
                <w:sz w:val="20"/>
                <w:szCs w:val="20"/>
              </w:rPr>
              <w:t>$120,454</w:t>
            </w:r>
          </w:p>
        </w:tc>
      </w:tr>
    </w:tbl>
    <w:p w:rsidR="00B05B18" w:rsidP="00B05B18" w:rsidRDefault="00B05B18" w14:paraId="6FB24F07" w14:textId="6AF67D26"/>
    <w:p w:rsidRPr="00041A6A" w:rsidR="002A669C" w:rsidP="00891FD8" w:rsidRDefault="000E7E06" w14:paraId="14BACB7A" w14:textId="3A4B21CF">
      <w:pPr>
        <w:pStyle w:val="Heading3"/>
      </w:pPr>
      <w:r>
        <w:t xml:space="preserve">Burden Estimate for the </w:t>
      </w:r>
      <w:r w:rsidRPr="00041A6A" w:rsidR="002A669C">
        <w:t xml:space="preserve">Open Authorization </w:t>
      </w:r>
      <w:r w:rsidRPr="00041A6A" w:rsidR="00360243">
        <w:t xml:space="preserve">(OAuth) </w:t>
      </w:r>
      <w:r w:rsidRPr="00041A6A" w:rsidR="002A669C">
        <w:t>Credentialing and Token Request Process</w:t>
      </w:r>
    </w:p>
    <w:p w:rsidR="002A669C" w:rsidP="002A669C" w:rsidRDefault="00F237AB" w14:paraId="07174314" w14:textId="0977A8DF">
      <w:r>
        <w:t xml:space="preserve">Beginning with the CY </w:t>
      </w:r>
      <w:r w:rsidR="00E92AC0">
        <w:t>2021 MIPS performance period/2023 MIPS payment year, t</w:t>
      </w:r>
      <w:r w:rsidR="00E933A5">
        <w:t xml:space="preserve">he </w:t>
      </w:r>
      <w:r w:rsidR="00F45B05">
        <w:t xml:space="preserve">OAuth Credentialing and </w:t>
      </w:r>
      <w:r w:rsidR="007F2C6B">
        <w:t xml:space="preserve">Token Request Process </w:t>
      </w:r>
      <w:r w:rsidR="00BF7A88">
        <w:t xml:space="preserve">is available to all </w:t>
      </w:r>
      <w:r w:rsidR="00AC5FEC">
        <w:t>submitter type</w:t>
      </w:r>
      <w:r w:rsidR="002A537D">
        <w:t xml:space="preserve">s </w:t>
      </w:r>
      <w:r w:rsidR="00990EFA">
        <w:t>who are approved to submit data via the direct submission type.</w:t>
      </w:r>
      <w:r w:rsidR="00925227">
        <w:t xml:space="preserve"> </w:t>
      </w:r>
      <w:r w:rsidR="002A669C">
        <w:t xml:space="preserve">Individual </w:t>
      </w:r>
      <w:r w:rsidRPr="003B2895" w:rsidR="003B2895">
        <w:t>clinicians or groups may submit their quality measures using the direct submission type via the MIPS CQM</w:t>
      </w:r>
      <w:r w:rsidR="00DD147F">
        <w:t xml:space="preserve">, </w:t>
      </w:r>
      <w:r w:rsidRPr="003B2895" w:rsidR="003B2895">
        <w:t xml:space="preserve">QCDR or eCQM collection types as well as their Promoting Interoperability measures and improvement activities through the same direct submission type.  </w:t>
      </w:r>
      <w:r w:rsidRPr="00E12445" w:rsidR="00E12445">
        <w:t xml:space="preserve">The burden associated with this ICR belongs only to </w:t>
      </w:r>
      <w:r w:rsidRPr="00E12445" w:rsidR="00E12445">
        <w:lastRenderedPageBreak/>
        <w:t>the application developer; QPP participants will not be required to do anything additional to submit their data.  For third party intermediaries, OAuth Credentialing will allow QPP participants to use their own QPP credentials to login through the third</w:t>
      </w:r>
      <w:r w:rsidR="00EC3279">
        <w:t>-</w:t>
      </w:r>
      <w:r w:rsidRPr="00E12445" w:rsidR="00E12445">
        <w:t>party intermediary’s application to submit their data and view performance feedback from QPP</w:t>
      </w:r>
      <w:r w:rsidR="00E12445">
        <w:t>.</w:t>
      </w:r>
      <w:r w:rsidR="002A669C">
        <w:t xml:space="preserve"> </w:t>
      </w:r>
      <w:r w:rsidRPr="00397C02" w:rsidR="00397C02">
        <w:t>Entities that receive approval for their applications through this process will be able to provide QPP participants a more comprehensive and less administratively burdensome experience using the direct submission type</w:t>
      </w:r>
      <w:r w:rsidR="002A669C">
        <w:t xml:space="preserve">.  </w:t>
      </w:r>
    </w:p>
    <w:p w:rsidR="002A669C" w:rsidP="002A669C" w:rsidRDefault="00244567" w14:paraId="2275088B" w14:textId="6E744F78">
      <w:r>
        <w:t xml:space="preserve">For interested parties to submit </w:t>
      </w:r>
      <w:r w:rsidR="00675AAB">
        <w:t xml:space="preserve">their </w:t>
      </w:r>
      <w:r w:rsidR="005E7A43">
        <w:t>request for token process, w</w:t>
      </w:r>
      <w:r w:rsidR="002A669C">
        <w:t xml:space="preserve">e estimate </w:t>
      </w:r>
      <w:r w:rsidR="00D86511">
        <w:t xml:space="preserve">that </w:t>
      </w:r>
      <w:r w:rsidR="002A669C">
        <w:t>it would take approximately 1 hour at $9</w:t>
      </w:r>
      <w:r w:rsidR="00D86511">
        <w:t>5.22</w:t>
      </w:r>
      <w:r w:rsidR="002A669C">
        <w:t>/hr for a computer systems analyst (or their equivalent) to provide documentation and any follow-up communication via email.</w:t>
      </w:r>
    </w:p>
    <w:p w:rsidRPr="002A669C" w:rsidR="002A669C" w:rsidP="002A669C" w:rsidRDefault="00C31EAA" w14:paraId="363367DF" w14:textId="6194BCAF">
      <w:r>
        <w:t>As shown in Table 5, w</w:t>
      </w:r>
      <w:r w:rsidR="002A669C">
        <w:t xml:space="preserve">e </w:t>
      </w:r>
      <w:r>
        <w:t xml:space="preserve">are not making any changes to </w:t>
      </w:r>
      <w:r w:rsidR="007B7A7B">
        <w:t xml:space="preserve">our </w:t>
      </w:r>
      <w:r>
        <w:t xml:space="preserve">currently </w:t>
      </w:r>
      <w:r w:rsidR="007B7A7B">
        <w:t xml:space="preserve">approved estimate </w:t>
      </w:r>
      <w:r w:rsidR="00976E76">
        <w:t xml:space="preserve">of </w:t>
      </w:r>
      <w:r w:rsidR="00EE368E">
        <w:t xml:space="preserve">15 </w:t>
      </w:r>
      <w:r w:rsidR="00271A64">
        <w:t>submitter type</w:t>
      </w:r>
      <w:r w:rsidR="008E692F">
        <w:t xml:space="preserve">s to complete this process </w:t>
      </w:r>
      <w:r w:rsidR="002A669C">
        <w:t xml:space="preserve">for the </w:t>
      </w:r>
      <w:r w:rsidR="00135074">
        <w:t xml:space="preserve">CY </w:t>
      </w:r>
      <w:r w:rsidR="002A669C">
        <w:t>202</w:t>
      </w:r>
      <w:r w:rsidR="00135074">
        <w:t>2</w:t>
      </w:r>
      <w:r w:rsidR="002A669C">
        <w:t xml:space="preserve"> MIPS performance period</w:t>
      </w:r>
      <w:r w:rsidR="00135074">
        <w:t>/2024 MIPS payment year</w:t>
      </w:r>
      <w:r w:rsidR="00135A30">
        <w:t>.</w:t>
      </w:r>
      <w:r w:rsidR="002A669C">
        <w:t xml:space="preserve"> </w:t>
      </w:r>
      <w:r w:rsidR="00135A30">
        <w:t xml:space="preserve"> In aggregate</w:t>
      </w:r>
      <w:r w:rsidR="002A669C">
        <w:t xml:space="preserve">, </w:t>
      </w:r>
      <w:r w:rsidR="000D1381">
        <w:t xml:space="preserve">we estimate </w:t>
      </w:r>
      <w:r w:rsidR="002A669C">
        <w:t>it would take 1 hour at $9</w:t>
      </w:r>
      <w:r w:rsidR="00FE1C5A">
        <w:t>5.22</w:t>
      </w:r>
      <w:r w:rsidR="002A669C">
        <w:t>/hr for a computer systems analyst (or their equivalent) to complete the process.  We estimate an annual burden of 15 hours (15 vendors x 1 hr) at a cost of $1,</w:t>
      </w:r>
      <w:r w:rsidR="002E1C13">
        <w:t>428</w:t>
      </w:r>
      <w:r w:rsidR="002A669C">
        <w:t xml:space="preserve"> (15 hr x $9</w:t>
      </w:r>
      <w:r w:rsidR="00FE1C5A">
        <w:t>5.22</w:t>
      </w:r>
      <w:r w:rsidR="002A669C">
        <w:t>/hr) or $9</w:t>
      </w:r>
      <w:r w:rsidR="002E1C13">
        <w:t>5.22</w:t>
      </w:r>
      <w:r w:rsidR="002A669C">
        <w:t xml:space="preserve"> per organization ($1,</w:t>
      </w:r>
      <w:r w:rsidR="002E1C13">
        <w:t>428</w:t>
      </w:r>
      <w:r w:rsidR="002A669C">
        <w:t>/15 vendors).</w:t>
      </w:r>
    </w:p>
    <w:p w:rsidRPr="00284473" w:rsidR="002B769B" w:rsidP="002B769B" w:rsidRDefault="002B769B" w14:paraId="5C79ED9A" w14:textId="07DA3A32">
      <w:pPr>
        <w:keepNext/>
        <w:spacing w:after="0"/>
        <w:jc w:val="center"/>
        <w:rPr>
          <w:rFonts w:eastAsia="Calibri"/>
          <w:b/>
          <w:bCs/>
        </w:rPr>
      </w:pPr>
      <w:r w:rsidRPr="00927D80">
        <w:rPr>
          <w:rFonts w:eastAsia="Calibri"/>
          <w:b/>
          <w:bCs/>
        </w:rPr>
        <w:t xml:space="preserve">TABLE </w:t>
      </w:r>
      <w:r>
        <w:rPr>
          <w:rFonts w:eastAsia="Calibri"/>
          <w:b/>
          <w:bCs/>
        </w:rPr>
        <w:t>5</w:t>
      </w:r>
      <w:r w:rsidRPr="00927D80">
        <w:rPr>
          <w:rFonts w:eastAsia="Calibri"/>
          <w:b/>
          <w:bCs/>
        </w:rPr>
        <w:t>:  Estimated Burden for the OAuth Credentialing and Token Request</w:t>
      </w:r>
      <w:r w:rsidRPr="00284473">
        <w:rPr>
          <w:rFonts w:eastAsia="Calibri"/>
          <w:b/>
          <w:bCs/>
        </w:rPr>
        <w:t xml:space="preserve"> Process</w:t>
      </w:r>
    </w:p>
    <w:tbl>
      <w:tblPr>
        <w:tblW w:w="8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90"/>
        <w:gridCol w:w="1319"/>
      </w:tblGrid>
      <w:tr w:rsidRPr="00B52AB3" w:rsidR="002B769B" w:rsidTr="00493F4D" w14:paraId="30E58231" w14:textId="77777777">
        <w:trPr>
          <w:tblHeader/>
          <w:jc w:val="center"/>
        </w:trPr>
        <w:tc>
          <w:tcPr>
            <w:tcW w:w="7290" w:type="dxa"/>
            <w:tcBorders>
              <w:top w:val="single" w:color="auto" w:sz="4" w:space="0"/>
              <w:left w:val="single" w:color="auto" w:sz="4" w:space="0"/>
              <w:bottom w:val="single" w:color="auto" w:sz="4" w:space="0"/>
              <w:right w:val="single" w:color="auto" w:sz="4" w:space="0"/>
            </w:tcBorders>
            <w:vAlign w:val="center"/>
            <w:hideMark/>
          </w:tcPr>
          <w:p w:rsidRPr="00284473" w:rsidR="002B769B" w:rsidP="00493F4D" w:rsidRDefault="00493F4D" w14:paraId="4C9D092E" w14:textId="2401872A">
            <w:pPr>
              <w:keepNext/>
              <w:spacing w:after="0"/>
              <w:rPr>
                <w:rFonts w:eastAsia="Calibri"/>
                <w:b/>
                <w:bCs/>
                <w:sz w:val="20"/>
                <w:szCs w:val="20"/>
              </w:rPr>
            </w:pPr>
            <w:r w:rsidRPr="00B05B18">
              <w:rPr>
                <w:b/>
                <w:sz w:val="20"/>
                <w:szCs w:val="20"/>
              </w:rPr>
              <w:t>Burden and Respondent Descriptions</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3F761A8E" w14:textId="77777777">
            <w:pPr>
              <w:keepNext/>
              <w:spacing w:after="0"/>
              <w:jc w:val="center"/>
              <w:rPr>
                <w:rFonts w:eastAsia="Calibri"/>
                <w:b/>
                <w:bCs/>
                <w:sz w:val="20"/>
                <w:szCs w:val="20"/>
              </w:rPr>
            </w:pPr>
            <w:r w:rsidRPr="00284473">
              <w:rPr>
                <w:rFonts w:eastAsia="Calibri"/>
                <w:b/>
                <w:bCs/>
                <w:sz w:val="20"/>
                <w:szCs w:val="20"/>
              </w:rPr>
              <w:t>Burden Estimate</w:t>
            </w:r>
          </w:p>
        </w:tc>
      </w:tr>
      <w:tr w:rsidRPr="00B52AB3" w:rsidR="002B769B" w:rsidTr="009672C1" w14:paraId="4E1D362B" w14:textId="77777777">
        <w:trPr>
          <w:jc w:val="center"/>
        </w:trPr>
        <w:tc>
          <w:tcPr>
            <w:tcW w:w="7290"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6FC06C03" w14:textId="4E96212B">
            <w:pPr>
              <w:keepNext/>
              <w:spacing w:after="0"/>
              <w:rPr>
                <w:rFonts w:eastAsia="Calibri"/>
                <w:sz w:val="20"/>
                <w:szCs w:val="20"/>
              </w:rPr>
            </w:pPr>
            <w:r w:rsidRPr="00284473">
              <w:rPr>
                <w:rFonts w:eastAsia="Calibri"/>
                <w:sz w:val="20"/>
                <w:szCs w:val="20"/>
              </w:rPr>
              <w:t xml:space="preserve"># of </w:t>
            </w:r>
            <w:r>
              <w:rPr>
                <w:rFonts w:eastAsia="Calibri"/>
                <w:sz w:val="20"/>
                <w:szCs w:val="20"/>
              </w:rPr>
              <w:t xml:space="preserve">Organizations </w:t>
            </w:r>
            <w:r w:rsidRPr="00284473">
              <w:rPr>
                <w:rFonts w:eastAsia="Calibri"/>
                <w:sz w:val="20"/>
                <w:szCs w:val="20"/>
              </w:rPr>
              <w:t>(a)</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43FCA39A" w14:textId="77777777">
            <w:pPr>
              <w:keepNext/>
              <w:spacing w:after="0"/>
              <w:jc w:val="right"/>
              <w:rPr>
                <w:rFonts w:eastAsia="Calibri"/>
                <w:sz w:val="20"/>
                <w:szCs w:val="20"/>
              </w:rPr>
            </w:pPr>
            <w:r w:rsidRPr="00284473">
              <w:rPr>
                <w:rFonts w:eastAsia="Calibri"/>
                <w:sz w:val="20"/>
                <w:szCs w:val="20"/>
              </w:rPr>
              <w:t>15</w:t>
            </w:r>
          </w:p>
        </w:tc>
      </w:tr>
      <w:tr w:rsidRPr="00B52AB3" w:rsidR="002B769B" w:rsidTr="009672C1" w14:paraId="5C4FAA91" w14:textId="77777777">
        <w:trPr>
          <w:jc w:val="center"/>
        </w:trPr>
        <w:tc>
          <w:tcPr>
            <w:tcW w:w="7290"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51B3E6B0" w14:textId="77777777">
            <w:pPr>
              <w:keepNext/>
              <w:spacing w:after="0"/>
              <w:rPr>
                <w:rFonts w:eastAsia="Calibri"/>
                <w:sz w:val="20"/>
                <w:szCs w:val="20"/>
              </w:rPr>
            </w:pPr>
            <w:r w:rsidRPr="00284473">
              <w:rPr>
                <w:rFonts w:eastAsia="Calibri"/>
                <w:sz w:val="20"/>
                <w:szCs w:val="20"/>
              </w:rPr>
              <w:t xml:space="preserve">Total Annual Hours Per Organization to Submit (b) </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7DA5CA52" w14:textId="77777777">
            <w:pPr>
              <w:keepNext/>
              <w:spacing w:after="0"/>
              <w:jc w:val="right"/>
              <w:rPr>
                <w:rFonts w:eastAsia="Calibri"/>
                <w:sz w:val="20"/>
                <w:szCs w:val="20"/>
              </w:rPr>
            </w:pPr>
            <w:r w:rsidRPr="00284473">
              <w:rPr>
                <w:rFonts w:eastAsia="Calibri"/>
                <w:sz w:val="20"/>
                <w:szCs w:val="20"/>
              </w:rPr>
              <w:t>1</w:t>
            </w:r>
          </w:p>
        </w:tc>
      </w:tr>
      <w:tr w:rsidRPr="00B52AB3" w:rsidR="002B769B" w:rsidTr="009672C1" w14:paraId="4DCA13DC" w14:textId="77777777">
        <w:trPr>
          <w:jc w:val="center"/>
        </w:trPr>
        <w:tc>
          <w:tcPr>
            <w:tcW w:w="7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84473" w:rsidR="002B769B" w:rsidP="009672C1" w:rsidRDefault="002B769B" w14:paraId="774F6366" w14:textId="77777777">
            <w:pPr>
              <w:keepNext/>
              <w:spacing w:after="0"/>
              <w:rPr>
                <w:rFonts w:eastAsia="Calibri"/>
                <w:b/>
                <w:bCs/>
                <w:sz w:val="20"/>
                <w:szCs w:val="20"/>
              </w:rPr>
            </w:pPr>
            <w:r w:rsidRPr="00284473">
              <w:rPr>
                <w:rFonts w:eastAsia="Calibri"/>
                <w:b/>
                <w:bCs/>
                <w:sz w:val="20"/>
                <w:szCs w:val="20"/>
              </w:rPr>
              <w:t>Total Annual Hours (c) = (a)*(b)</w:t>
            </w:r>
          </w:p>
        </w:tc>
        <w:tc>
          <w:tcPr>
            <w:tcW w:w="131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84473" w:rsidR="002B769B" w:rsidP="009672C1" w:rsidRDefault="002B769B" w14:paraId="3BA54162" w14:textId="77777777">
            <w:pPr>
              <w:keepNext/>
              <w:spacing w:after="0"/>
              <w:jc w:val="right"/>
              <w:rPr>
                <w:rFonts w:eastAsia="Calibri"/>
                <w:b/>
                <w:bCs/>
                <w:sz w:val="20"/>
                <w:szCs w:val="20"/>
              </w:rPr>
            </w:pPr>
            <w:r w:rsidRPr="00284473">
              <w:rPr>
                <w:rFonts w:eastAsia="Calibri"/>
                <w:b/>
                <w:bCs/>
                <w:sz w:val="20"/>
                <w:szCs w:val="20"/>
              </w:rPr>
              <w:t>15</w:t>
            </w:r>
          </w:p>
        </w:tc>
      </w:tr>
      <w:tr w:rsidRPr="00B52AB3" w:rsidR="002B769B" w:rsidTr="009672C1" w14:paraId="125D9186" w14:textId="77777777">
        <w:trPr>
          <w:jc w:val="center"/>
        </w:trPr>
        <w:tc>
          <w:tcPr>
            <w:tcW w:w="7290"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5C68AECB" w14:textId="68D7AD16">
            <w:pPr>
              <w:keepNext/>
              <w:spacing w:after="0"/>
              <w:rPr>
                <w:rFonts w:eastAsia="Calibri"/>
                <w:sz w:val="20"/>
                <w:szCs w:val="20"/>
              </w:rPr>
            </w:pPr>
            <w:r w:rsidRPr="00284473">
              <w:rPr>
                <w:rFonts w:eastAsia="Calibri"/>
                <w:sz w:val="20"/>
                <w:szCs w:val="20"/>
              </w:rPr>
              <w:t>Cost Per Organization (@ computer systems analyst’s labor rate of $9</w:t>
            </w:r>
            <w:r w:rsidR="00FB62D7">
              <w:rPr>
                <w:rFonts w:eastAsia="Calibri"/>
                <w:sz w:val="20"/>
                <w:szCs w:val="20"/>
              </w:rPr>
              <w:t>5.22</w:t>
            </w:r>
            <w:r w:rsidRPr="00284473">
              <w:rPr>
                <w:rFonts w:eastAsia="Calibri"/>
                <w:sz w:val="20"/>
                <w:szCs w:val="20"/>
              </w:rPr>
              <w:t xml:space="preserve">/hr.) (d)  </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370693B7" w14:textId="06086D2A">
            <w:pPr>
              <w:keepNext/>
              <w:spacing w:after="0"/>
              <w:jc w:val="right"/>
              <w:rPr>
                <w:rFonts w:eastAsia="Calibri"/>
                <w:sz w:val="20"/>
                <w:szCs w:val="20"/>
              </w:rPr>
            </w:pPr>
            <w:r w:rsidRPr="00284473">
              <w:rPr>
                <w:rFonts w:eastAsia="Calibri"/>
                <w:sz w:val="20"/>
                <w:szCs w:val="20"/>
              </w:rPr>
              <w:t>$9</w:t>
            </w:r>
            <w:r w:rsidR="00623EB4">
              <w:rPr>
                <w:rFonts w:eastAsia="Calibri"/>
                <w:sz w:val="20"/>
                <w:szCs w:val="20"/>
              </w:rPr>
              <w:t>5</w:t>
            </w:r>
            <w:r w:rsidRPr="00284473">
              <w:rPr>
                <w:rFonts w:eastAsia="Calibri"/>
                <w:sz w:val="20"/>
                <w:szCs w:val="20"/>
              </w:rPr>
              <w:t>.</w:t>
            </w:r>
            <w:r w:rsidR="00623EB4">
              <w:rPr>
                <w:rFonts w:eastAsia="Calibri"/>
                <w:sz w:val="20"/>
                <w:szCs w:val="20"/>
              </w:rPr>
              <w:t>22</w:t>
            </w:r>
            <w:r w:rsidRPr="00284473">
              <w:rPr>
                <w:rFonts w:eastAsia="Calibri"/>
                <w:sz w:val="20"/>
                <w:szCs w:val="20"/>
              </w:rPr>
              <w:t xml:space="preserve">/hr </w:t>
            </w:r>
          </w:p>
        </w:tc>
      </w:tr>
      <w:tr w:rsidRPr="002B769B" w:rsidR="002B769B" w:rsidTr="009672C1" w14:paraId="4C6772FA" w14:textId="77777777">
        <w:trPr>
          <w:jc w:val="center"/>
        </w:trPr>
        <w:tc>
          <w:tcPr>
            <w:tcW w:w="7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B769B" w:rsidR="002B769B" w:rsidP="009672C1" w:rsidRDefault="002B769B" w14:paraId="2AA48471" w14:textId="77777777">
            <w:pPr>
              <w:keepNext/>
              <w:spacing w:after="0"/>
              <w:rPr>
                <w:rFonts w:eastAsia="Calibri"/>
                <w:b/>
                <w:bCs/>
                <w:sz w:val="20"/>
                <w:szCs w:val="20"/>
              </w:rPr>
            </w:pPr>
            <w:r w:rsidRPr="002B769B">
              <w:rPr>
                <w:rFonts w:eastAsia="Calibri"/>
                <w:b/>
                <w:bCs/>
                <w:sz w:val="20"/>
                <w:szCs w:val="20"/>
              </w:rPr>
              <w:t>Total Annual Cost (e) = (a)*(d)</w:t>
            </w:r>
          </w:p>
        </w:tc>
        <w:tc>
          <w:tcPr>
            <w:tcW w:w="131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B769B" w:rsidR="002B769B" w:rsidP="009672C1" w:rsidRDefault="002B769B" w14:paraId="0479B6D3" w14:textId="0C509544">
            <w:pPr>
              <w:keepNext/>
              <w:spacing w:after="0"/>
              <w:jc w:val="right"/>
              <w:rPr>
                <w:rFonts w:eastAsia="Calibri"/>
                <w:b/>
                <w:bCs/>
                <w:sz w:val="20"/>
                <w:szCs w:val="20"/>
              </w:rPr>
            </w:pPr>
            <w:r w:rsidRPr="002B769B">
              <w:rPr>
                <w:rFonts w:eastAsia="Calibri"/>
                <w:b/>
                <w:bCs/>
                <w:sz w:val="20"/>
                <w:szCs w:val="20"/>
              </w:rPr>
              <w:t>$1,</w:t>
            </w:r>
            <w:r w:rsidR="00623EB4">
              <w:rPr>
                <w:rFonts w:eastAsia="Calibri"/>
                <w:b/>
                <w:bCs/>
                <w:sz w:val="20"/>
                <w:szCs w:val="20"/>
              </w:rPr>
              <w:t>428</w:t>
            </w:r>
          </w:p>
        </w:tc>
      </w:tr>
    </w:tbl>
    <w:p w:rsidRPr="002B769B" w:rsidR="002A669C" w:rsidP="00B05B18" w:rsidRDefault="002A669C" w14:paraId="0D2BFD57" w14:textId="77777777">
      <w:pPr>
        <w:rPr>
          <w:b/>
          <w:bCs/>
        </w:rPr>
      </w:pPr>
    </w:p>
    <w:p w:rsidRPr="00041A6A" w:rsidR="00B05B18" w:rsidP="00891FD8" w:rsidRDefault="00B05B18" w14:paraId="50273D17" w14:textId="38A64CA3">
      <w:pPr>
        <w:pStyle w:val="Heading3"/>
      </w:pPr>
      <w:r w:rsidRPr="00041A6A">
        <w:t>Burden Estimate for the Quality Performance Category</w:t>
      </w:r>
    </w:p>
    <w:p w:rsidR="002B769B" w:rsidP="00730BEF" w:rsidRDefault="00BD098D" w14:paraId="0E782F13" w14:textId="38CE87B6">
      <w:pPr>
        <w:rPr>
          <w:rFonts w:eastAsia="Calibri"/>
        </w:rPr>
      </w:pPr>
      <w:r w:rsidRPr="00BD098D">
        <w:rPr>
          <w:rFonts w:eastAsia="Calibri"/>
        </w:rPr>
        <w:t>Under our current policies, two groups of clinicians must submit quality data under MIPS: those who submit as MIPS eligible clinicians and those who opt to submit data voluntarily but are not subject to MIPS payment adjustments.  Clinicians are ineligible for MIPS payment adjustments if they are newly enrolled to Medicare; are QPs; are partial QPs who elect to not participate in MIPS; are not one of the clinician types included in the definition for MIPS eligible clinician; or do not exceed the low-volume threshold as an individual or as a group</w:t>
      </w:r>
      <w:r w:rsidR="002B769B">
        <w:rPr>
          <w:rFonts w:eastAsia="Calibri"/>
        </w:rPr>
        <w:t>.</w:t>
      </w:r>
    </w:p>
    <w:p w:rsidRPr="00617569" w:rsidR="00617569" w:rsidP="00730BEF" w:rsidRDefault="0016102D" w14:paraId="2CADF926" w14:textId="157BD11B">
      <w:pPr>
        <w:rPr>
          <w:rFonts w:eastAsia="Calibri"/>
        </w:rPr>
      </w:pPr>
      <w:r w:rsidRPr="0016102D">
        <w:rPr>
          <w:rFonts w:eastAsia="Calibri"/>
        </w:rPr>
        <w:t>To determine which QPs should be excluded from MIPS, we used the</w:t>
      </w:r>
      <w:r w:rsidR="00F403A8">
        <w:rPr>
          <w:rFonts w:eastAsia="Calibri"/>
        </w:rPr>
        <w:t xml:space="preserve"> </w:t>
      </w:r>
      <w:r w:rsidRPr="00E610CD" w:rsidR="00F403A8">
        <w:rPr>
          <w:rFonts w:eastAsia="Calibri"/>
          <w:snapToGrid w:val="0"/>
        </w:rPr>
        <w:t>Advanced APM payment and patient percentages from the APM Participant List for the final snapshot date for the 2019 QP performance period.</w:t>
      </w:r>
      <w:r w:rsidRPr="0016102D">
        <w:rPr>
          <w:rFonts w:eastAsia="Calibri"/>
        </w:rPr>
        <w:t xml:space="preserve"> From this data, we calculated the QP determinations as described in the Qualifying APM Participant (QP) definition at § 414.1305 for the 202</w:t>
      </w:r>
      <w:r w:rsidR="00860FED">
        <w:rPr>
          <w:rFonts w:eastAsia="Calibri"/>
        </w:rPr>
        <w:t>2</w:t>
      </w:r>
      <w:r w:rsidRPr="0016102D">
        <w:rPr>
          <w:rFonts w:eastAsia="Calibri"/>
        </w:rPr>
        <w:t xml:space="preserve"> QP </w:t>
      </w:r>
      <w:r w:rsidR="00D8279B">
        <w:rPr>
          <w:rFonts w:eastAsia="Calibri"/>
        </w:rPr>
        <w:t>p</w:t>
      </w:r>
      <w:r w:rsidRPr="0016102D">
        <w:rPr>
          <w:rFonts w:eastAsia="Calibri"/>
        </w:rPr>
        <w:t xml:space="preserve">erformance </w:t>
      </w:r>
      <w:r w:rsidR="00D8279B">
        <w:rPr>
          <w:rFonts w:eastAsia="Calibri"/>
        </w:rPr>
        <w:t>p</w:t>
      </w:r>
      <w:r w:rsidRPr="0016102D">
        <w:rPr>
          <w:rFonts w:eastAsia="Calibri"/>
        </w:rPr>
        <w:t xml:space="preserve">eriod. Due to data limitations, we could not identify specific clinicians who have not yet enrolled in APMs, but who may become QPs in the </w:t>
      </w:r>
      <w:r w:rsidR="006653AC">
        <w:rPr>
          <w:rFonts w:eastAsia="Calibri"/>
        </w:rPr>
        <w:t xml:space="preserve">CY </w:t>
      </w:r>
      <w:r w:rsidRPr="0016102D">
        <w:rPr>
          <w:rFonts w:eastAsia="Calibri"/>
        </w:rPr>
        <w:t>202</w:t>
      </w:r>
      <w:r w:rsidR="006653AC">
        <w:rPr>
          <w:rFonts w:eastAsia="Calibri"/>
        </w:rPr>
        <w:t>2</w:t>
      </w:r>
      <w:r w:rsidRPr="0016102D">
        <w:rPr>
          <w:rFonts w:eastAsia="Calibri"/>
        </w:rPr>
        <w:t xml:space="preserve"> </w:t>
      </w:r>
      <w:r w:rsidR="00F47A81">
        <w:rPr>
          <w:rFonts w:eastAsia="Calibri"/>
        </w:rPr>
        <w:t xml:space="preserve">MIPS </w:t>
      </w:r>
      <w:r w:rsidR="00D8279B">
        <w:rPr>
          <w:rFonts w:eastAsia="Calibri"/>
        </w:rPr>
        <w:t>p</w:t>
      </w:r>
      <w:r w:rsidRPr="0016102D">
        <w:rPr>
          <w:rFonts w:eastAsia="Calibri"/>
        </w:rPr>
        <w:t xml:space="preserve">erformance </w:t>
      </w:r>
      <w:r w:rsidR="00D8279B">
        <w:rPr>
          <w:rFonts w:eastAsia="Calibri"/>
        </w:rPr>
        <w:t>p</w:t>
      </w:r>
      <w:r w:rsidRPr="0016102D">
        <w:rPr>
          <w:rFonts w:eastAsia="Calibri"/>
        </w:rPr>
        <w:t>eriod</w:t>
      </w:r>
      <w:r w:rsidR="00F40360">
        <w:rPr>
          <w:rFonts w:eastAsia="Calibri"/>
        </w:rPr>
        <w:t xml:space="preserve">/2024 MIPS payment year </w:t>
      </w:r>
      <w:r w:rsidRPr="0016102D">
        <w:rPr>
          <w:rFonts w:eastAsia="Calibri"/>
        </w:rPr>
        <w:t>(and therefore will no longer need to submit data to MIPS); hence, our model may underestimate or overestimate the number of respondents</w:t>
      </w:r>
      <w:r w:rsidRPr="00617569" w:rsidR="00617569">
        <w:rPr>
          <w:rFonts w:eastAsia="Calibri"/>
        </w:rPr>
        <w:t xml:space="preserve">. </w:t>
      </w:r>
    </w:p>
    <w:p w:rsidR="007E0215" w:rsidP="00730BEF" w:rsidRDefault="00A264A7" w14:paraId="465E3E1B" w14:textId="6E513166">
      <w:pPr>
        <w:rPr>
          <w:rFonts w:eastAsia="Calibri"/>
        </w:rPr>
      </w:pPr>
      <w:r w:rsidRPr="00A264A7">
        <w:rPr>
          <w:rFonts w:eastAsia="Calibri"/>
        </w:rPr>
        <w:t>In th</w:t>
      </w:r>
      <w:r w:rsidR="004520E8">
        <w:rPr>
          <w:rFonts w:eastAsia="Calibri"/>
        </w:rPr>
        <w:t>e CY 202</w:t>
      </w:r>
      <w:r w:rsidR="00995DB9">
        <w:rPr>
          <w:rFonts w:eastAsia="Calibri"/>
        </w:rPr>
        <w:t>2</w:t>
      </w:r>
      <w:r w:rsidR="004520E8">
        <w:rPr>
          <w:rFonts w:eastAsia="Calibri"/>
        </w:rPr>
        <w:t xml:space="preserve"> PFS </w:t>
      </w:r>
      <w:r w:rsidR="00995DB9">
        <w:rPr>
          <w:rFonts w:eastAsia="Calibri"/>
        </w:rPr>
        <w:t>proposed</w:t>
      </w:r>
      <w:r w:rsidRPr="00A264A7">
        <w:rPr>
          <w:rFonts w:eastAsia="Calibri"/>
        </w:rPr>
        <w:t xml:space="preserve"> rule</w:t>
      </w:r>
      <w:r w:rsidR="003C3A67">
        <w:rPr>
          <w:rFonts w:eastAsia="Calibri"/>
        </w:rPr>
        <w:t xml:space="preserve"> (86 FR 39391</w:t>
      </w:r>
      <w:r w:rsidR="001711C0">
        <w:rPr>
          <w:rFonts w:eastAsia="Calibri"/>
        </w:rPr>
        <w:t xml:space="preserve"> through 39392</w:t>
      </w:r>
      <w:r w:rsidR="003C3A67">
        <w:rPr>
          <w:rFonts w:eastAsia="Calibri"/>
        </w:rPr>
        <w:t>)</w:t>
      </w:r>
      <w:r w:rsidRPr="00A264A7">
        <w:rPr>
          <w:rFonts w:eastAsia="Calibri"/>
        </w:rPr>
        <w:t xml:space="preserve">, we </w:t>
      </w:r>
      <w:r w:rsidR="00A52F78">
        <w:rPr>
          <w:rFonts w:eastAsia="Calibri"/>
        </w:rPr>
        <w:t>propose to extend</w:t>
      </w:r>
      <w:r w:rsidR="008E5745">
        <w:rPr>
          <w:rFonts w:eastAsia="Calibri"/>
        </w:rPr>
        <w:t xml:space="preserve"> </w:t>
      </w:r>
      <w:r w:rsidRPr="00A264A7">
        <w:rPr>
          <w:rFonts w:eastAsia="Calibri"/>
        </w:rPr>
        <w:t xml:space="preserve">the CMS Web Interface measures as a collection type/submission type </w:t>
      </w:r>
      <w:r w:rsidR="008E5745">
        <w:rPr>
          <w:rFonts w:eastAsia="Calibri"/>
        </w:rPr>
        <w:t>for</w:t>
      </w:r>
      <w:r w:rsidRPr="00A264A7">
        <w:rPr>
          <w:rFonts w:eastAsia="Calibri"/>
        </w:rPr>
        <w:t xml:space="preserve"> the </w:t>
      </w:r>
      <w:r w:rsidR="008E5745">
        <w:rPr>
          <w:rFonts w:eastAsia="Calibri"/>
        </w:rPr>
        <w:t xml:space="preserve">CY </w:t>
      </w:r>
      <w:r w:rsidRPr="00A264A7">
        <w:rPr>
          <w:rFonts w:eastAsia="Calibri"/>
        </w:rPr>
        <w:t xml:space="preserve">2022 </w:t>
      </w:r>
      <w:r w:rsidR="006B58BA">
        <w:rPr>
          <w:rFonts w:eastAsia="Calibri"/>
        </w:rPr>
        <w:t xml:space="preserve">MIPS </w:t>
      </w:r>
      <w:r w:rsidRPr="00A264A7">
        <w:rPr>
          <w:rFonts w:eastAsia="Calibri"/>
        </w:rPr>
        <w:t>performance period</w:t>
      </w:r>
      <w:r w:rsidR="00DE45D7">
        <w:rPr>
          <w:rFonts w:eastAsia="Calibri"/>
        </w:rPr>
        <w:t>/2024 MIPS payment year</w:t>
      </w:r>
      <w:r w:rsidRPr="00A264A7">
        <w:rPr>
          <w:rFonts w:eastAsia="Calibri"/>
        </w:rPr>
        <w:t xml:space="preserve">. </w:t>
      </w:r>
      <w:r w:rsidRPr="00A30CAC" w:rsidR="00A30CAC">
        <w:rPr>
          <w:rFonts w:eastAsia="Calibri"/>
        </w:rPr>
        <w:t xml:space="preserve">Additionally, we are proposing to sunset the CMS </w:t>
      </w:r>
      <w:r w:rsidRPr="00A30CAC" w:rsidR="00A30CAC">
        <w:rPr>
          <w:rFonts w:eastAsia="Calibri"/>
        </w:rPr>
        <w:lastRenderedPageBreak/>
        <w:t xml:space="preserve">Web Interface measures as a collection type/submission type starting with the CY 2023 MIPS performance period/2025 MIPS payment year. </w:t>
      </w:r>
      <w:r w:rsidR="00A30CAC">
        <w:rPr>
          <w:rFonts w:eastAsia="Calibri"/>
        </w:rPr>
        <w:t xml:space="preserve"> </w:t>
      </w:r>
      <w:r w:rsidRPr="00A264A7">
        <w:rPr>
          <w:rFonts w:eastAsia="Calibri"/>
        </w:rPr>
        <w:t xml:space="preserve">As a result, groups of 25 or more clinicians that previously submitted quality performance data via the CMS Web Interface will be required to use an alternate collection type beginning with the </w:t>
      </w:r>
      <w:r w:rsidR="00E543D9">
        <w:rPr>
          <w:rFonts w:eastAsia="Calibri"/>
        </w:rPr>
        <w:t xml:space="preserve">CY </w:t>
      </w:r>
      <w:r w:rsidRPr="00A264A7">
        <w:rPr>
          <w:rFonts w:eastAsia="Calibri"/>
        </w:rPr>
        <w:t>202</w:t>
      </w:r>
      <w:r w:rsidR="00E543D9">
        <w:rPr>
          <w:rFonts w:eastAsia="Calibri"/>
        </w:rPr>
        <w:t>3</w:t>
      </w:r>
      <w:r w:rsidRPr="00A264A7">
        <w:rPr>
          <w:rFonts w:eastAsia="Calibri"/>
        </w:rPr>
        <w:t xml:space="preserve"> </w:t>
      </w:r>
      <w:r w:rsidR="00E543D9">
        <w:rPr>
          <w:rFonts w:eastAsia="Calibri"/>
        </w:rPr>
        <w:t xml:space="preserve">MIPS </w:t>
      </w:r>
      <w:r w:rsidRPr="00A264A7">
        <w:rPr>
          <w:rFonts w:eastAsia="Calibri"/>
        </w:rPr>
        <w:t xml:space="preserve">performance period, which will have to be either the MIPS CQM and QCDR or eCQM collection type.  While we know that 111 groups submitted quality performance data via the CMS Web Interface in the </w:t>
      </w:r>
      <w:r w:rsidR="00E543D9">
        <w:rPr>
          <w:rFonts w:eastAsia="Calibri"/>
        </w:rPr>
        <w:t xml:space="preserve">CY </w:t>
      </w:r>
      <w:r w:rsidRPr="00A264A7">
        <w:rPr>
          <w:rFonts w:eastAsia="Calibri"/>
        </w:rPr>
        <w:t>2019 MIPS performance period</w:t>
      </w:r>
      <w:r w:rsidR="00E543D9">
        <w:rPr>
          <w:rFonts w:eastAsia="Calibri"/>
        </w:rPr>
        <w:t>/2021 MIPS payment year</w:t>
      </w:r>
      <w:r w:rsidRPr="00A264A7">
        <w:rPr>
          <w:rFonts w:eastAsia="Calibri"/>
        </w:rPr>
        <w:t xml:space="preserve">, we are not able to ascertain what alternative collection type(s) the groups would elect.  In order to estimate the number of groups that will select each of these collection types, we first clustered the number of groups which submitted data via the CMS Web Interface collection type during the </w:t>
      </w:r>
      <w:r w:rsidR="001E2232">
        <w:rPr>
          <w:rFonts w:eastAsia="Calibri"/>
        </w:rPr>
        <w:t xml:space="preserve">CY </w:t>
      </w:r>
      <w:r w:rsidRPr="00A264A7">
        <w:rPr>
          <w:rFonts w:eastAsia="Calibri"/>
        </w:rPr>
        <w:t>2019 MIPS performance period</w:t>
      </w:r>
      <w:r w:rsidR="001E2232">
        <w:rPr>
          <w:rFonts w:eastAsia="Calibri"/>
        </w:rPr>
        <w:t>/2021 MIPS payment year</w:t>
      </w:r>
      <w:r w:rsidRPr="00A264A7">
        <w:rPr>
          <w:rFonts w:eastAsia="Calibri"/>
        </w:rPr>
        <w:t xml:space="preserve"> by practice size (between 25 and 49 clinicians, between 50 and 99 clinicians, etc.).  Then, for each cluster, we allocated these groups to each of the MIPS CQM and QCDR and eCQM collection types based on the percent of TINs that submitted MIPS data via these two collection types.  For example, of the 1,6</w:t>
      </w:r>
      <w:r w:rsidR="00DD73A9">
        <w:rPr>
          <w:rFonts w:eastAsia="Calibri"/>
        </w:rPr>
        <w:t>29</w:t>
      </w:r>
      <w:r w:rsidRPr="00A264A7">
        <w:rPr>
          <w:rFonts w:eastAsia="Calibri"/>
        </w:rPr>
        <w:t xml:space="preserve"> TINs with a practice size of 25 to 49 clinicians which submitted data for the</w:t>
      </w:r>
      <w:r w:rsidR="00B04D3F">
        <w:rPr>
          <w:rFonts w:eastAsia="Calibri"/>
        </w:rPr>
        <w:t xml:space="preserve"> CY</w:t>
      </w:r>
      <w:r w:rsidRPr="00A264A7">
        <w:rPr>
          <w:rFonts w:eastAsia="Calibri"/>
        </w:rPr>
        <w:t xml:space="preserve"> 2019 MIPS performance period</w:t>
      </w:r>
      <w:r w:rsidR="00B04D3F">
        <w:rPr>
          <w:rFonts w:eastAsia="Calibri"/>
        </w:rPr>
        <w:t>/2021 MIPS payment year</w:t>
      </w:r>
      <w:r w:rsidRPr="00A264A7">
        <w:rPr>
          <w:rFonts w:eastAsia="Calibri"/>
        </w:rPr>
        <w:t>, 1,0</w:t>
      </w:r>
      <w:r w:rsidR="00647542">
        <w:rPr>
          <w:rFonts w:eastAsia="Calibri"/>
        </w:rPr>
        <w:t>6</w:t>
      </w:r>
      <w:r w:rsidRPr="00A264A7">
        <w:rPr>
          <w:rFonts w:eastAsia="Calibri"/>
        </w:rPr>
        <w:t>6 (6</w:t>
      </w:r>
      <w:r w:rsidR="00742CB7">
        <w:rPr>
          <w:rFonts w:eastAsia="Calibri"/>
        </w:rPr>
        <w:t>5</w:t>
      </w:r>
      <w:r w:rsidRPr="00A264A7">
        <w:rPr>
          <w:rFonts w:eastAsia="Calibri"/>
        </w:rPr>
        <w:t xml:space="preserve"> percent) submitted data via the MIPS CQM and QCDR collection type and 5</w:t>
      </w:r>
      <w:r w:rsidR="000C2D57">
        <w:rPr>
          <w:rFonts w:eastAsia="Calibri"/>
        </w:rPr>
        <w:t>63</w:t>
      </w:r>
      <w:r w:rsidRPr="00A264A7">
        <w:rPr>
          <w:rFonts w:eastAsia="Calibri"/>
        </w:rPr>
        <w:t xml:space="preserve"> (3</w:t>
      </w:r>
      <w:r w:rsidR="001142D4">
        <w:rPr>
          <w:rFonts w:eastAsia="Calibri"/>
        </w:rPr>
        <w:t>5</w:t>
      </w:r>
      <w:r w:rsidRPr="00A264A7">
        <w:rPr>
          <w:rFonts w:eastAsia="Calibri"/>
        </w:rPr>
        <w:t xml:space="preserve"> percent) submitted data via the eCQM collection type.  We applied these percentages to the </w:t>
      </w:r>
      <w:r w:rsidR="002E5E8C">
        <w:rPr>
          <w:rFonts w:eastAsia="Calibri"/>
        </w:rPr>
        <w:t>7</w:t>
      </w:r>
      <w:r w:rsidRPr="00A264A7">
        <w:rPr>
          <w:rFonts w:eastAsia="Calibri"/>
        </w:rPr>
        <w:t xml:space="preserve"> TINs with a practice size of 25 to 49 clinicians which submitted data via the CMS Web Interface collection type for the </w:t>
      </w:r>
      <w:r w:rsidR="00F020B4">
        <w:rPr>
          <w:rFonts w:eastAsia="Calibri"/>
        </w:rPr>
        <w:t xml:space="preserve">CY </w:t>
      </w:r>
      <w:r w:rsidRPr="00A264A7">
        <w:rPr>
          <w:rFonts w:eastAsia="Calibri"/>
        </w:rPr>
        <w:t>2019 MIPS performance period</w:t>
      </w:r>
      <w:r w:rsidR="00F020B4">
        <w:rPr>
          <w:rFonts w:eastAsia="Calibri"/>
        </w:rPr>
        <w:t>/2021 MIPS payment year</w:t>
      </w:r>
      <w:r w:rsidRPr="00A264A7">
        <w:rPr>
          <w:rFonts w:eastAsia="Calibri"/>
        </w:rPr>
        <w:t xml:space="preserve"> to estimate that </w:t>
      </w:r>
      <w:r w:rsidR="00F766EF">
        <w:rPr>
          <w:rFonts w:eastAsia="Calibri"/>
        </w:rPr>
        <w:t>4</w:t>
      </w:r>
      <w:r w:rsidRPr="00A264A7">
        <w:rPr>
          <w:rFonts w:eastAsia="Calibri"/>
        </w:rPr>
        <w:t xml:space="preserve"> (</w:t>
      </w:r>
      <w:r w:rsidR="000C5907">
        <w:rPr>
          <w:rFonts w:eastAsia="Calibri"/>
        </w:rPr>
        <w:t>7</w:t>
      </w:r>
      <w:r w:rsidRPr="00A264A7">
        <w:rPr>
          <w:rFonts w:eastAsia="Calibri"/>
        </w:rPr>
        <w:t xml:space="preserve"> TINs x 0.</w:t>
      </w:r>
      <w:r w:rsidR="00D40821">
        <w:rPr>
          <w:rFonts w:eastAsia="Calibri"/>
        </w:rPr>
        <w:t>56</w:t>
      </w:r>
      <w:r w:rsidRPr="00A264A7">
        <w:rPr>
          <w:rFonts w:eastAsia="Calibri"/>
        </w:rPr>
        <w:t xml:space="preserve">) would elect to submit data via the MIPS CQM and QCDR collection type and the remaining </w:t>
      </w:r>
      <w:r w:rsidR="00FF024E">
        <w:rPr>
          <w:rFonts w:eastAsia="Calibri"/>
        </w:rPr>
        <w:t>3</w:t>
      </w:r>
      <w:r w:rsidRPr="00A264A7">
        <w:rPr>
          <w:rFonts w:eastAsia="Calibri"/>
        </w:rPr>
        <w:t xml:space="preserve"> (</w:t>
      </w:r>
      <w:r w:rsidR="00FF024E">
        <w:rPr>
          <w:rFonts w:eastAsia="Calibri"/>
        </w:rPr>
        <w:t>7</w:t>
      </w:r>
      <w:r w:rsidRPr="00A264A7">
        <w:rPr>
          <w:rFonts w:eastAsia="Calibri"/>
        </w:rPr>
        <w:t xml:space="preserve"> TINs x 0.</w:t>
      </w:r>
      <w:r w:rsidR="00FF024E">
        <w:rPr>
          <w:rFonts w:eastAsia="Calibri"/>
        </w:rPr>
        <w:t>44</w:t>
      </w:r>
      <w:r w:rsidRPr="00A264A7">
        <w:rPr>
          <w:rFonts w:eastAsia="Calibri"/>
        </w:rPr>
        <w:t xml:space="preserve">) would elect to submit data via the eCQM collection type.  In total, beginning with the </w:t>
      </w:r>
      <w:r w:rsidR="00D40FF7">
        <w:rPr>
          <w:rFonts w:eastAsia="Calibri"/>
        </w:rPr>
        <w:t xml:space="preserve">CY </w:t>
      </w:r>
      <w:r w:rsidRPr="00A264A7">
        <w:rPr>
          <w:rFonts w:eastAsia="Calibri"/>
        </w:rPr>
        <w:t>202</w:t>
      </w:r>
      <w:r w:rsidR="00D40FF7">
        <w:rPr>
          <w:rFonts w:eastAsia="Calibri"/>
        </w:rPr>
        <w:t>3 MIPS</w:t>
      </w:r>
      <w:r w:rsidRPr="00A264A7">
        <w:rPr>
          <w:rFonts w:eastAsia="Calibri"/>
        </w:rPr>
        <w:t xml:space="preserve"> performance period</w:t>
      </w:r>
      <w:r w:rsidR="00B1117C">
        <w:rPr>
          <w:rFonts w:eastAsia="Calibri"/>
        </w:rPr>
        <w:t>/2025 MIPS payment year</w:t>
      </w:r>
      <w:r w:rsidRPr="00A264A7">
        <w:rPr>
          <w:rFonts w:eastAsia="Calibri"/>
        </w:rPr>
        <w:t xml:space="preserve">, we estimate that </w:t>
      </w:r>
      <w:r w:rsidR="00F461C6">
        <w:rPr>
          <w:rFonts w:eastAsia="Calibri"/>
        </w:rPr>
        <w:t>64</w:t>
      </w:r>
      <w:r w:rsidRPr="00A264A7">
        <w:rPr>
          <w:rFonts w:eastAsia="Calibri"/>
        </w:rPr>
        <w:t xml:space="preserve"> of the 111 groups that submitted data via the CMS Web Interface collection type for the </w:t>
      </w:r>
      <w:r w:rsidR="002A5279">
        <w:rPr>
          <w:rFonts w:eastAsia="Calibri"/>
        </w:rPr>
        <w:t xml:space="preserve">CY </w:t>
      </w:r>
      <w:r w:rsidRPr="00A264A7">
        <w:rPr>
          <w:rFonts w:eastAsia="Calibri"/>
        </w:rPr>
        <w:t>2019 MIPS performance period</w:t>
      </w:r>
      <w:r w:rsidR="002A5279">
        <w:rPr>
          <w:rFonts w:eastAsia="Calibri"/>
        </w:rPr>
        <w:t>/2021 MIPS payment year</w:t>
      </w:r>
      <w:r w:rsidRPr="00A264A7">
        <w:rPr>
          <w:rFonts w:eastAsia="Calibri"/>
        </w:rPr>
        <w:t xml:space="preserve"> will submit quality data via the MIPS CQM and QCDR collection type and </w:t>
      </w:r>
      <w:r w:rsidR="009E30DF">
        <w:rPr>
          <w:rFonts w:eastAsia="Calibri"/>
        </w:rPr>
        <w:t>50</w:t>
      </w:r>
      <w:r w:rsidRPr="00A264A7">
        <w:rPr>
          <w:rFonts w:eastAsia="Calibri"/>
        </w:rPr>
        <w:t xml:space="preserve"> groups will now submit quality data via the eCQM collection type.  Note that the </w:t>
      </w:r>
      <w:r w:rsidR="00A445C9">
        <w:rPr>
          <w:rFonts w:eastAsia="Calibri"/>
        </w:rPr>
        <w:t>estimate of</w:t>
      </w:r>
      <w:r w:rsidRPr="00A264A7">
        <w:rPr>
          <w:rFonts w:eastAsia="Calibri"/>
        </w:rPr>
        <w:t xml:space="preserve"> 11</w:t>
      </w:r>
      <w:r w:rsidR="003D401B">
        <w:rPr>
          <w:rFonts w:eastAsia="Calibri"/>
        </w:rPr>
        <w:t>4</w:t>
      </w:r>
      <w:r w:rsidRPr="00A264A7">
        <w:rPr>
          <w:rFonts w:eastAsia="Calibri"/>
        </w:rPr>
        <w:t xml:space="preserve"> groups is an increase of </w:t>
      </w:r>
      <w:r w:rsidR="009271EC">
        <w:rPr>
          <w:rFonts w:eastAsia="Calibri"/>
        </w:rPr>
        <w:t>114</w:t>
      </w:r>
      <w:r w:rsidRPr="00A264A7">
        <w:rPr>
          <w:rFonts w:eastAsia="Calibri"/>
        </w:rPr>
        <w:t xml:space="preserve"> from our currently approved estimate of </w:t>
      </w:r>
      <w:r w:rsidR="00C467F5">
        <w:rPr>
          <w:rFonts w:eastAsia="Calibri"/>
        </w:rPr>
        <w:t>0</w:t>
      </w:r>
      <w:r w:rsidRPr="00A264A7">
        <w:rPr>
          <w:rFonts w:eastAsia="Calibri"/>
        </w:rPr>
        <w:t xml:space="preserve"> groups</w:t>
      </w:r>
      <w:r w:rsidR="000F4DF0">
        <w:rPr>
          <w:rFonts w:eastAsia="Calibri"/>
        </w:rPr>
        <w:t xml:space="preserve"> </w:t>
      </w:r>
      <w:r w:rsidR="00CD6B3A">
        <w:rPr>
          <w:rFonts w:eastAsia="Calibri"/>
        </w:rPr>
        <w:t>for the CY 2022 MIPS performance period/2024 MIPS payment year</w:t>
      </w:r>
      <w:r w:rsidR="00A3064A">
        <w:rPr>
          <w:rFonts w:eastAsia="Calibri"/>
        </w:rPr>
        <w:t>.</w:t>
      </w:r>
      <w:r w:rsidRPr="00A264A7">
        <w:rPr>
          <w:rFonts w:eastAsia="Calibri"/>
        </w:rPr>
        <w:t xml:space="preserve">  We also performed this analysis to determine the number of clinicians that would be affected and would need to submit quality data via an alternate collection type beginning with the </w:t>
      </w:r>
      <w:r w:rsidR="00581A9E">
        <w:rPr>
          <w:rFonts w:eastAsia="Calibri"/>
        </w:rPr>
        <w:t xml:space="preserve">CY </w:t>
      </w:r>
      <w:r w:rsidRPr="00A264A7">
        <w:rPr>
          <w:rFonts w:eastAsia="Calibri"/>
        </w:rPr>
        <w:t>202</w:t>
      </w:r>
      <w:r w:rsidR="00581A9E">
        <w:rPr>
          <w:rFonts w:eastAsia="Calibri"/>
        </w:rPr>
        <w:t>3 MIPS</w:t>
      </w:r>
      <w:r w:rsidRPr="00A264A7">
        <w:rPr>
          <w:rFonts w:eastAsia="Calibri"/>
        </w:rPr>
        <w:t xml:space="preserve"> performance period</w:t>
      </w:r>
      <w:r w:rsidR="00581A9E">
        <w:rPr>
          <w:rFonts w:eastAsia="Calibri"/>
        </w:rPr>
        <w:t>/2025 MIPS payment year</w:t>
      </w:r>
      <w:r w:rsidRPr="00A264A7">
        <w:rPr>
          <w:rFonts w:eastAsia="Calibri"/>
        </w:rPr>
        <w:t>.  In total, of the estimated 45,599 individual clinicians affected by this provision, we estimate that 11,432 would submit quality data as part of a group via the MIPS CQM and QCDR collection type and 34,167 would submit quality data as part of a group via the eCQM collection type</w:t>
      </w:r>
      <w:r w:rsidRPr="007E0215" w:rsidR="007E0215">
        <w:rPr>
          <w:rFonts w:eastAsia="Calibri"/>
        </w:rPr>
        <w:t xml:space="preserve">.  These </w:t>
      </w:r>
      <w:r w:rsidR="0052171D">
        <w:rPr>
          <w:rFonts w:eastAsia="Calibri"/>
        </w:rPr>
        <w:t xml:space="preserve">respondent </w:t>
      </w:r>
      <w:r w:rsidRPr="007E0215" w:rsidR="007E0215">
        <w:rPr>
          <w:rFonts w:eastAsia="Calibri"/>
        </w:rPr>
        <w:t xml:space="preserve">estimates are reflected in Tables </w:t>
      </w:r>
      <w:r w:rsidR="007E0215">
        <w:rPr>
          <w:rFonts w:eastAsia="Calibri"/>
        </w:rPr>
        <w:t>6</w:t>
      </w:r>
      <w:r w:rsidRPr="007E0215" w:rsidR="007E0215">
        <w:rPr>
          <w:rFonts w:eastAsia="Calibri"/>
        </w:rPr>
        <w:t xml:space="preserve"> and </w:t>
      </w:r>
      <w:r w:rsidR="007E0215">
        <w:rPr>
          <w:rFonts w:eastAsia="Calibri"/>
        </w:rPr>
        <w:t>8</w:t>
      </w:r>
      <w:r w:rsidRPr="007E0215" w:rsidR="007E0215">
        <w:rPr>
          <w:rFonts w:eastAsia="Calibri"/>
        </w:rPr>
        <w:t xml:space="preserve"> and the associated changes in burden are reflected in </w:t>
      </w:r>
      <w:r w:rsidRPr="0052171D" w:rsidR="007E0215">
        <w:rPr>
          <w:rFonts w:eastAsia="Calibri"/>
        </w:rPr>
        <w:t xml:space="preserve">Tables </w:t>
      </w:r>
      <w:r w:rsidRPr="0052171D" w:rsidR="0052171D">
        <w:rPr>
          <w:rFonts w:eastAsia="Calibri"/>
        </w:rPr>
        <w:t>11 and 12</w:t>
      </w:r>
      <w:r w:rsidRPr="0052171D" w:rsidR="007E0215">
        <w:rPr>
          <w:rFonts w:eastAsia="Calibri"/>
        </w:rPr>
        <w:t>.</w:t>
      </w:r>
      <w:r w:rsidRPr="007E0215" w:rsidR="007E0215">
        <w:rPr>
          <w:rFonts w:eastAsia="Calibri"/>
        </w:rPr>
        <w:t xml:space="preserve">  </w:t>
      </w:r>
    </w:p>
    <w:p w:rsidRPr="00617569" w:rsidR="00617569" w:rsidP="00730BEF" w:rsidRDefault="007E0215" w14:paraId="7A09389E" w14:textId="44D119C8">
      <w:pPr>
        <w:rPr>
          <w:rFonts w:eastAsia="Calibri"/>
        </w:rPr>
      </w:pPr>
      <w:r w:rsidRPr="007E0215">
        <w:rPr>
          <w:rFonts w:eastAsia="Calibri"/>
        </w:rPr>
        <w:t xml:space="preserve">In the CY 2019 PFS final rule, </w:t>
      </w:r>
      <w:r w:rsidRPr="00E3492F" w:rsidR="00E3492F">
        <w:rPr>
          <w:rFonts w:eastAsia="Calibri"/>
        </w:rPr>
        <w:t>we limi</w:t>
      </w:r>
      <w:r w:rsidR="00E16878">
        <w:rPr>
          <w:rFonts w:eastAsia="Calibri"/>
        </w:rPr>
        <w:t>t</w:t>
      </w:r>
      <w:r w:rsidR="00CF1FBE">
        <w:rPr>
          <w:rFonts w:eastAsia="Calibri"/>
        </w:rPr>
        <w:t>ed</w:t>
      </w:r>
      <w:r w:rsidRPr="00E3492F" w:rsidR="00E3492F">
        <w:rPr>
          <w:rFonts w:eastAsia="Calibri"/>
        </w:rPr>
        <w:t xml:space="preserve"> the Medicare Part B claims collection type to small practices beginning with the 2021 MIPS payment year and allowing clinicians in small practices to report Medicare Part B claims as a group or as individuals (83 FR 59752).  For th</w:t>
      </w:r>
      <w:r w:rsidR="00E3492F">
        <w:rPr>
          <w:rFonts w:eastAsia="Calibri"/>
        </w:rPr>
        <w:t>e CY 202</w:t>
      </w:r>
      <w:r w:rsidR="0091223D">
        <w:rPr>
          <w:rFonts w:eastAsia="Calibri"/>
        </w:rPr>
        <w:t>2</w:t>
      </w:r>
      <w:r w:rsidR="00E3492F">
        <w:rPr>
          <w:rFonts w:eastAsia="Calibri"/>
        </w:rPr>
        <w:t xml:space="preserve"> PFS</w:t>
      </w:r>
      <w:r w:rsidRPr="00E3492F" w:rsidR="00E3492F">
        <w:rPr>
          <w:rFonts w:eastAsia="Calibri"/>
        </w:rPr>
        <w:t xml:space="preserve"> </w:t>
      </w:r>
      <w:r w:rsidR="0091223D">
        <w:rPr>
          <w:rFonts w:eastAsia="Calibri"/>
        </w:rPr>
        <w:t>proposed</w:t>
      </w:r>
      <w:r w:rsidRPr="00E3492F" w:rsidR="00E3492F">
        <w:rPr>
          <w:rFonts w:eastAsia="Calibri"/>
        </w:rPr>
        <w:t xml:space="preserve"> rule, we </w:t>
      </w:r>
      <w:r w:rsidR="00E3492F">
        <w:rPr>
          <w:rFonts w:eastAsia="Calibri"/>
        </w:rPr>
        <w:t>used</w:t>
      </w:r>
      <w:r w:rsidRPr="00E3492F" w:rsidR="00E3492F">
        <w:rPr>
          <w:rFonts w:eastAsia="Calibri"/>
        </w:rPr>
        <w:t xml:space="preserve"> 2019 MIPS performance period respondent data</w:t>
      </w:r>
      <w:r w:rsidR="0091223D">
        <w:rPr>
          <w:rFonts w:eastAsia="Calibri"/>
        </w:rPr>
        <w:t>.</w:t>
      </w:r>
      <w:r w:rsidRPr="00617569" w:rsidR="00617569">
        <w:rPr>
          <w:rFonts w:eastAsia="Calibri"/>
        </w:rPr>
        <w:t xml:space="preserve">  </w:t>
      </w:r>
    </w:p>
    <w:p w:rsidRPr="00617569" w:rsidR="00617569" w:rsidP="00730BEF" w:rsidRDefault="004520E8" w14:paraId="4ECDED79" w14:textId="08C5BEEE">
      <w:pPr>
        <w:rPr>
          <w:rFonts w:eastAsia="Calibri"/>
        </w:rPr>
      </w:pPr>
      <w:r w:rsidRPr="004520E8">
        <w:rPr>
          <w:rFonts w:eastAsia="Calibri"/>
        </w:rPr>
        <w:t>We assume that 100 percent of ACO APM Entities will submit quality data to CMS as required under their models.  While we do not believe there is additional reporting for ACO APM entities, consistent with assumptions used in the CY 20</w:t>
      </w:r>
      <w:r w:rsidR="008D015D">
        <w:rPr>
          <w:rFonts w:eastAsia="Calibri"/>
        </w:rPr>
        <w:t>20</w:t>
      </w:r>
      <w:r w:rsidRPr="004520E8">
        <w:rPr>
          <w:rFonts w:eastAsia="Calibri"/>
        </w:rPr>
        <w:t xml:space="preserve"> and CY 202</w:t>
      </w:r>
      <w:r w:rsidR="008D015D">
        <w:rPr>
          <w:rFonts w:eastAsia="Calibri"/>
        </w:rPr>
        <w:t>1</w:t>
      </w:r>
      <w:r w:rsidRPr="004520E8">
        <w:rPr>
          <w:rFonts w:eastAsia="Calibri"/>
        </w:rPr>
        <w:t xml:space="preserve"> PFS final rules (8</w:t>
      </w:r>
      <w:r w:rsidR="002050F7">
        <w:rPr>
          <w:rFonts w:eastAsia="Calibri"/>
        </w:rPr>
        <w:t>4</w:t>
      </w:r>
      <w:r w:rsidRPr="004520E8">
        <w:rPr>
          <w:rFonts w:eastAsia="Calibri"/>
        </w:rPr>
        <w:t xml:space="preserve"> FR </w:t>
      </w:r>
      <w:r w:rsidRPr="004520E8" w:rsidR="00AB1AE3">
        <w:rPr>
          <w:rFonts w:eastAsia="Calibri"/>
        </w:rPr>
        <w:t>6</w:t>
      </w:r>
      <w:r w:rsidR="00AB1AE3">
        <w:rPr>
          <w:rFonts w:eastAsia="Calibri"/>
        </w:rPr>
        <w:t>3122</w:t>
      </w:r>
      <w:r w:rsidRPr="004520E8" w:rsidR="00AB1AE3">
        <w:rPr>
          <w:rFonts w:eastAsia="Calibri"/>
        </w:rPr>
        <w:t xml:space="preserve"> and</w:t>
      </w:r>
      <w:r w:rsidRPr="004520E8">
        <w:rPr>
          <w:rFonts w:eastAsia="Calibri"/>
        </w:rPr>
        <w:t xml:space="preserve"> 8</w:t>
      </w:r>
      <w:r w:rsidR="00F57FB2">
        <w:rPr>
          <w:rFonts w:eastAsia="Calibri"/>
        </w:rPr>
        <w:t>5</w:t>
      </w:r>
      <w:r w:rsidRPr="004520E8">
        <w:rPr>
          <w:rFonts w:eastAsia="Calibri"/>
        </w:rPr>
        <w:t xml:space="preserve"> FR </w:t>
      </w:r>
      <w:r w:rsidR="00B605C6">
        <w:rPr>
          <w:rFonts w:eastAsia="Calibri"/>
        </w:rPr>
        <w:t>84972</w:t>
      </w:r>
      <w:r w:rsidRPr="004520E8">
        <w:rPr>
          <w:rFonts w:eastAsia="Calibri"/>
        </w:rPr>
        <w:t>), we include all quality data voluntarily submitted by MIPS APM participants made at the individual or TIN-level in our respondent estimates.  As stated in th</w:t>
      </w:r>
      <w:r>
        <w:rPr>
          <w:rFonts w:eastAsia="Calibri"/>
        </w:rPr>
        <w:t>e CY 202</w:t>
      </w:r>
      <w:r w:rsidR="00953C80">
        <w:rPr>
          <w:rFonts w:eastAsia="Calibri"/>
        </w:rPr>
        <w:t>2</w:t>
      </w:r>
      <w:r>
        <w:rPr>
          <w:rFonts w:eastAsia="Calibri"/>
        </w:rPr>
        <w:t xml:space="preserve"> PFS </w:t>
      </w:r>
      <w:r w:rsidR="00953C80">
        <w:rPr>
          <w:rFonts w:eastAsia="Calibri"/>
        </w:rPr>
        <w:t>proposed</w:t>
      </w:r>
      <w:r w:rsidRPr="004520E8">
        <w:rPr>
          <w:rFonts w:eastAsia="Calibri"/>
        </w:rPr>
        <w:t xml:space="preserve"> rule</w:t>
      </w:r>
      <w:r w:rsidR="005E2455">
        <w:rPr>
          <w:rFonts w:eastAsia="Calibri"/>
        </w:rPr>
        <w:t xml:space="preserve"> (86 FR 39480)</w:t>
      </w:r>
      <w:r w:rsidRPr="004520E8">
        <w:rPr>
          <w:rFonts w:eastAsia="Calibri"/>
        </w:rPr>
        <w:t xml:space="preserve">, we assume non-ACO APM Entities will participate through </w:t>
      </w:r>
      <w:r w:rsidRPr="004520E8">
        <w:rPr>
          <w:rFonts w:eastAsia="Calibri"/>
        </w:rPr>
        <w:lastRenderedPageBreak/>
        <w:t xml:space="preserve">traditional MIPS and submit as an individual or group rather than as an entity. To estimate who will be a MIPS APM participant in the </w:t>
      </w:r>
      <w:r w:rsidR="000377C2">
        <w:rPr>
          <w:rFonts w:eastAsia="Calibri"/>
        </w:rPr>
        <w:t xml:space="preserve">CY </w:t>
      </w:r>
      <w:r w:rsidRPr="004520E8">
        <w:rPr>
          <w:rFonts w:eastAsia="Calibri"/>
        </w:rPr>
        <w:t>202</w:t>
      </w:r>
      <w:r w:rsidR="000377C2">
        <w:rPr>
          <w:rFonts w:eastAsia="Calibri"/>
        </w:rPr>
        <w:t>2</w:t>
      </w:r>
      <w:r w:rsidRPr="004520E8">
        <w:rPr>
          <w:rFonts w:eastAsia="Calibri"/>
        </w:rPr>
        <w:t xml:space="preserve"> </w:t>
      </w:r>
      <w:r w:rsidR="0055173A">
        <w:rPr>
          <w:rFonts w:eastAsia="Calibri"/>
        </w:rPr>
        <w:t xml:space="preserve">and CY 2023 </w:t>
      </w:r>
      <w:r w:rsidRPr="004520E8">
        <w:rPr>
          <w:rFonts w:eastAsia="Calibri"/>
        </w:rPr>
        <w:t>MIPS performance period</w:t>
      </w:r>
      <w:r w:rsidR="0055173A">
        <w:rPr>
          <w:rFonts w:eastAsia="Calibri"/>
        </w:rPr>
        <w:t>s</w:t>
      </w:r>
      <w:r w:rsidR="000377C2">
        <w:rPr>
          <w:rFonts w:eastAsia="Calibri"/>
        </w:rPr>
        <w:t xml:space="preserve">/2024 </w:t>
      </w:r>
      <w:r w:rsidR="0055173A">
        <w:rPr>
          <w:rFonts w:eastAsia="Calibri"/>
        </w:rPr>
        <w:t xml:space="preserve">and 2025 </w:t>
      </w:r>
      <w:r w:rsidR="000377C2">
        <w:rPr>
          <w:rFonts w:eastAsia="Calibri"/>
        </w:rPr>
        <w:t>MIPS payment year</w:t>
      </w:r>
      <w:r w:rsidR="0055173A">
        <w:rPr>
          <w:rFonts w:eastAsia="Calibri"/>
        </w:rPr>
        <w:t>s</w:t>
      </w:r>
      <w:r w:rsidRPr="004520E8">
        <w:rPr>
          <w:rFonts w:eastAsia="Calibri"/>
        </w:rPr>
        <w:t xml:space="preserve">, we used the </w:t>
      </w:r>
      <w:r w:rsidR="00C742E7">
        <w:rPr>
          <w:rFonts w:eastAsia="Calibri"/>
        </w:rPr>
        <w:t xml:space="preserve">final </w:t>
      </w:r>
      <w:r w:rsidRPr="004520E8">
        <w:rPr>
          <w:rFonts w:eastAsia="Calibri"/>
        </w:rPr>
        <w:t xml:space="preserve">snapshot data </w:t>
      </w:r>
      <w:r w:rsidR="00AB1AE3">
        <w:rPr>
          <w:rFonts w:eastAsia="Calibri"/>
        </w:rPr>
        <w:t xml:space="preserve">from </w:t>
      </w:r>
      <w:r w:rsidRPr="004520E8" w:rsidR="00AB1AE3">
        <w:rPr>
          <w:rFonts w:eastAsia="Calibri"/>
        </w:rPr>
        <w:t>the</w:t>
      </w:r>
      <w:r w:rsidRPr="004520E8">
        <w:rPr>
          <w:rFonts w:eastAsia="Calibri"/>
        </w:rPr>
        <w:t xml:space="preserve"> 20</w:t>
      </w:r>
      <w:r w:rsidR="009222E4">
        <w:rPr>
          <w:rFonts w:eastAsia="Calibri"/>
        </w:rPr>
        <w:t>19</w:t>
      </w:r>
      <w:r w:rsidRPr="004520E8">
        <w:rPr>
          <w:rFonts w:eastAsia="Calibri"/>
        </w:rPr>
        <w:t xml:space="preserve"> QP performance period. </w:t>
      </w:r>
      <w:r w:rsidRPr="008248D5" w:rsidR="008248D5">
        <w:rPr>
          <w:rFonts w:eastAsia="Calibri"/>
        </w:rPr>
        <w:t>We elected to use this data source because the APM participant list for the 2019 final snapshot can reliably be used for MIPS APM participant projections.</w:t>
      </w:r>
      <w:r w:rsidR="008248D5">
        <w:rPr>
          <w:rFonts w:eastAsia="Calibri"/>
        </w:rPr>
        <w:t xml:space="preserve"> </w:t>
      </w:r>
      <w:r w:rsidRPr="004520E8">
        <w:rPr>
          <w:rFonts w:eastAsia="Calibri"/>
        </w:rPr>
        <w:t>Based on this information, if we determine that a MIPS eligible clinician will not be scored as a MIPS APM, then their reporting assumption is based on their reporting as a group or individual for the CY 2019 MIPS performance period</w:t>
      </w:r>
      <w:r w:rsidR="002D16A2">
        <w:rPr>
          <w:rFonts w:eastAsia="Calibri"/>
        </w:rPr>
        <w:t>/2021 MIPS payment year</w:t>
      </w:r>
      <w:r w:rsidRPr="009C4D33" w:rsidR="00EC6457">
        <w:rPr>
          <w:rFonts w:eastAsia="Calibri"/>
        </w:rPr>
        <w:t>.</w:t>
      </w:r>
    </w:p>
    <w:p w:rsidRPr="00617569" w:rsidR="00617569" w:rsidP="00730BEF" w:rsidRDefault="007E0215" w14:paraId="4D1C2056" w14:textId="1D24FC24">
      <w:pPr>
        <w:rPr>
          <w:rFonts w:eastAsia="Calibri"/>
        </w:rPr>
      </w:pPr>
      <w:r w:rsidRPr="007E0215">
        <w:rPr>
          <w:rFonts w:eastAsia="Calibri"/>
        </w:rPr>
        <w:t xml:space="preserve">Our burden estimates for the quality performance category do not include the burden for the quality data that APM Entities submit to fulfill the requirements of their APMs.  The burden is excluded as sections 1899(e) (42 U.S.C. 1395jjj(e)) state that the Shared Savings Program </w:t>
      </w:r>
      <w:r w:rsidR="00AB1AE3">
        <w:rPr>
          <w:rFonts w:eastAsia="Calibri"/>
        </w:rPr>
        <w:t xml:space="preserve">is </w:t>
      </w:r>
      <w:r w:rsidRPr="007E0215" w:rsidR="00AB1AE3">
        <w:rPr>
          <w:rFonts w:eastAsia="Calibri"/>
        </w:rPr>
        <w:t>not</w:t>
      </w:r>
      <w:r w:rsidRPr="007E0215">
        <w:rPr>
          <w:rFonts w:eastAsia="Calibri"/>
        </w:rPr>
        <w:t xml:space="preserve"> subject to the PRA.</w:t>
      </w:r>
      <w:r>
        <w:rPr>
          <w:rFonts w:eastAsia="Calibri"/>
        </w:rPr>
        <w:t xml:space="preserve">  </w:t>
      </w:r>
      <w:r w:rsidRPr="007E0215">
        <w:rPr>
          <w:rFonts w:eastAsia="Calibri"/>
        </w:rPr>
        <w:t xml:space="preserve">Tables </w:t>
      </w:r>
      <w:r>
        <w:rPr>
          <w:rFonts w:eastAsia="Calibri"/>
        </w:rPr>
        <w:t>6</w:t>
      </w:r>
      <w:r w:rsidRPr="007E0215">
        <w:rPr>
          <w:rFonts w:eastAsia="Calibri"/>
        </w:rPr>
        <w:t xml:space="preserve">, </w:t>
      </w:r>
      <w:r>
        <w:rPr>
          <w:rFonts w:eastAsia="Calibri"/>
        </w:rPr>
        <w:t>7,</w:t>
      </w:r>
      <w:r w:rsidRPr="007E0215">
        <w:rPr>
          <w:rFonts w:eastAsia="Calibri"/>
        </w:rPr>
        <w:t xml:space="preserve"> and </w:t>
      </w:r>
      <w:r>
        <w:rPr>
          <w:rFonts w:eastAsia="Calibri"/>
        </w:rPr>
        <w:t>8</w:t>
      </w:r>
      <w:r w:rsidRPr="007E0215">
        <w:rPr>
          <w:rFonts w:eastAsia="Calibri"/>
        </w:rPr>
        <w:t xml:space="preserve"> explain our revised estimates of the number of organizations (including groups, virtual groups, and individual MIPS eligible clinicians) submitting data on behalf of clinicians segregated by collection type</w:t>
      </w:r>
      <w:r w:rsidRPr="00617569" w:rsidR="00617569">
        <w:rPr>
          <w:rFonts w:eastAsia="Calibri"/>
        </w:rPr>
        <w:t xml:space="preserve">. </w:t>
      </w:r>
    </w:p>
    <w:p w:rsidRPr="00617569" w:rsidR="00617569" w:rsidP="00730BEF" w:rsidRDefault="00617569" w14:paraId="4B1153DD" w14:textId="65111292">
      <w:pPr>
        <w:rPr>
          <w:rFonts w:eastAsia="Calibri"/>
        </w:rPr>
      </w:pPr>
      <w:r w:rsidRPr="00617569">
        <w:rPr>
          <w:rFonts w:eastAsia="Calibri"/>
        </w:rPr>
        <w:t>Table</w:t>
      </w:r>
      <w:r w:rsidR="00BF4A90">
        <w:rPr>
          <w:rFonts w:eastAsia="Calibri"/>
        </w:rPr>
        <w:t>s</w:t>
      </w:r>
      <w:r w:rsidRPr="00617569">
        <w:rPr>
          <w:rFonts w:eastAsia="Calibri"/>
        </w:rPr>
        <w:t xml:space="preserve"> </w:t>
      </w:r>
      <w:r w:rsidR="005014D8">
        <w:rPr>
          <w:rFonts w:eastAsia="Calibri"/>
        </w:rPr>
        <w:t>6</w:t>
      </w:r>
      <w:r w:rsidR="0008060F">
        <w:rPr>
          <w:rFonts w:eastAsia="Calibri"/>
        </w:rPr>
        <w:t>A</w:t>
      </w:r>
      <w:r w:rsidR="00BF4A90">
        <w:rPr>
          <w:rFonts w:eastAsia="Calibri"/>
        </w:rPr>
        <w:t xml:space="preserve"> and 6B</w:t>
      </w:r>
      <w:r w:rsidRPr="00617569">
        <w:rPr>
          <w:rFonts w:eastAsia="Calibri"/>
        </w:rPr>
        <w:t xml:space="preserve"> </w:t>
      </w:r>
      <w:r w:rsidRPr="00D51E23" w:rsidR="00D51E23">
        <w:rPr>
          <w:rFonts w:eastAsia="Calibri"/>
        </w:rPr>
        <w:t xml:space="preserve">provides our estimated counts of clinicians that will submit quality performance category data as MIPS individual clinicians or groups in the </w:t>
      </w:r>
      <w:r w:rsidR="007E6E4C">
        <w:rPr>
          <w:rFonts w:eastAsia="Calibri"/>
        </w:rPr>
        <w:t xml:space="preserve">CY </w:t>
      </w:r>
      <w:r w:rsidRPr="00D51E23" w:rsidR="00D51E23">
        <w:rPr>
          <w:rFonts w:eastAsia="Calibri"/>
        </w:rPr>
        <w:t>202</w:t>
      </w:r>
      <w:r w:rsidR="007E6E4C">
        <w:rPr>
          <w:rFonts w:eastAsia="Calibri"/>
        </w:rPr>
        <w:t>2</w:t>
      </w:r>
      <w:r w:rsidRPr="00D51E23" w:rsidR="00D51E23">
        <w:rPr>
          <w:rFonts w:eastAsia="Calibri"/>
        </w:rPr>
        <w:t xml:space="preserve"> and 202</w:t>
      </w:r>
      <w:r w:rsidR="007E6E4C">
        <w:rPr>
          <w:rFonts w:eastAsia="Calibri"/>
        </w:rPr>
        <w:t>3</w:t>
      </w:r>
      <w:r w:rsidRPr="00D51E23" w:rsidR="00D51E23">
        <w:rPr>
          <w:rFonts w:eastAsia="Calibri"/>
        </w:rPr>
        <w:t xml:space="preserve"> MIPS performance periods</w:t>
      </w:r>
      <w:r w:rsidR="007E6E4C">
        <w:rPr>
          <w:rFonts w:eastAsia="Calibri"/>
        </w:rPr>
        <w:t>/2024 and 2025 MIPS payment years</w:t>
      </w:r>
      <w:r w:rsidRPr="00D51E23" w:rsidR="00D51E23">
        <w:rPr>
          <w:rFonts w:eastAsia="Calibri"/>
        </w:rPr>
        <w:t xml:space="preserve"> based on data from the </w:t>
      </w:r>
      <w:r w:rsidR="007E6E4C">
        <w:rPr>
          <w:rFonts w:eastAsia="Calibri"/>
        </w:rPr>
        <w:t xml:space="preserve">CY </w:t>
      </w:r>
      <w:r w:rsidRPr="00D51E23" w:rsidR="00D51E23">
        <w:rPr>
          <w:rFonts w:eastAsia="Calibri"/>
        </w:rPr>
        <w:t>2019 MIPS performance period</w:t>
      </w:r>
      <w:r w:rsidR="007E6E4C">
        <w:rPr>
          <w:rFonts w:eastAsia="Calibri"/>
        </w:rPr>
        <w:t>/2021 MIPS payment year</w:t>
      </w:r>
      <w:r w:rsidR="00D51E23">
        <w:rPr>
          <w:rFonts w:eastAsia="Calibri"/>
        </w:rPr>
        <w:t>.</w:t>
      </w:r>
    </w:p>
    <w:p w:rsidR="00617569" w:rsidP="00730BEF" w:rsidRDefault="005A4F62" w14:paraId="72CB3034" w14:textId="64D2F64C">
      <w:pPr>
        <w:rPr>
          <w:rFonts w:eastAsia="Calibri"/>
        </w:rPr>
      </w:pPr>
      <w:r w:rsidRPr="005A4F62">
        <w:rPr>
          <w:rFonts w:eastAsia="Calibri"/>
        </w:rPr>
        <w:t xml:space="preserve">For the </w:t>
      </w:r>
      <w:r w:rsidR="001D6823">
        <w:rPr>
          <w:rFonts w:eastAsia="Calibri"/>
        </w:rPr>
        <w:t xml:space="preserve">CY </w:t>
      </w:r>
      <w:r w:rsidRPr="005A4F62">
        <w:rPr>
          <w:rFonts w:eastAsia="Calibri"/>
        </w:rPr>
        <w:t>202</w:t>
      </w:r>
      <w:r w:rsidR="001D6823">
        <w:rPr>
          <w:rFonts w:eastAsia="Calibri"/>
        </w:rPr>
        <w:t>2</w:t>
      </w:r>
      <w:r w:rsidRPr="005A4F62">
        <w:rPr>
          <w:rFonts w:eastAsia="Calibri"/>
        </w:rPr>
        <w:t xml:space="preserve"> MIPS performance period</w:t>
      </w:r>
      <w:r w:rsidR="001D6823">
        <w:rPr>
          <w:rFonts w:eastAsia="Calibri"/>
        </w:rPr>
        <w:t>/2024 MIPS payment year</w:t>
      </w:r>
      <w:r w:rsidRPr="005A4F62">
        <w:rPr>
          <w:rFonts w:eastAsia="Calibri"/>
        </w:rPr>
        <w:t xml:space="preserve">, respondents will have the option to submit quality performance category data via Medicare Part B claims, direct, and log in and upload submission types, and Web Interface.  For the </w:t>
      </w:r>
      <w:r w:rsidR="000E28F2">
        <w:rPr>
          <w:rFonts w:eastAsia="Calibri"/>
        </w:rPr>
        <w:t xml:space="preserve">CY </w:t>
      </w:r>
      <w:r w:rsidRPr="005A4F62">
        <w:rPr>
          <w:rFonts w:eastAsia="Calibri"/>
        </w:rPr>
        <w:t>202</w:t>
      </w:r>
      <w:r w:rsidR="000E28F2">
        <w:rPr>
          <w:rFonts w:eastAsia="Calibri"/>
        </w:rPr>
        <w:t>3</w:t>
      </w:r>
      <w:r w:rsidRPr="005A4F62">
        <w:rPr>
          <w:rFonts w:eastAsia="Calibri"/>
        </w:rPr>
        <w:t xml:space="preserve"> MIPS performance period</w:t>
      </w:r>
      <w:r w:rsidR="000E28F2">
        <w:rPr>
          <w:rFonts w:eastAsia="Calibri"/>
        </w:rPr>
        <w:t>/2025 MIPS payment year</w:t>
      </w:r>
      <w:r w:rsidRPr="005A4F62">
        <w:rPr>
          <w:rFonts w:eastAsia="Calibri"/>
        </w:rPr>
        <w:t>, respondents will no longer have the option to submit quality performance category data via the Web Interface.  We estimate the burden for collecting data via collection type: Medicare Part B claims, QCDR and MIPS CQMs, eCQMs, and the CMS Web Interface.  We believe that, while estimating burden by submission type may be better aligned with the way clinicians participate with the Quality Payment Program, it is more important to reduce confusion and enable greater transparency by maintain consistency with previous rulemaking</w:t>
      </w:r>
      <w:r w:rsidRPr="00617569" w:rsidR="00617569">
        <w:rPr>
          <w:rFonts w:eastAsia="Calibri"/>
        </w:rPr>
        <w:t xml:space="preserve">. </w:t>
      </w:r>
    </w:p>
    <w:p w:rsidRPr="00617569" w:rsidR="00841FC2" w:rsidP="00730BEF" w:rsidRDefault="00285F98" w14:paraId="2A3BBB8F" w14:textId="50CC7F62">
      <w:pPr>
        <w:rPr>
          <w:rFonts w:eastAsia="Calibri"/>
        </w:rPr>
      </w:pPr>
      <w:r w:rsidRPr="00285F98">
        <w:rPr>
          <w:rFonts w:eastAsia="Calibri"/>
        </w:rPr>
        <w:t xml:space="preserve">For the CY 2023 MIPS performance period/2025 MIPS payment year, we propose in </w:t>
      </w:r>
      <w:r w:rsidR="004B7F77">
        <w:rPr>
          <w:rFonts w:eastAsia="Calibri"/>
        </w:rPr>
        <w:t xml:space="preserve">the CY 2022 PFS proposed </w:t>
      </w:r>
      <w:r w:rsidRPr="00285F98">
        <w:rPr>
          <w:rFonts w:eastAsia="Calibri"/>
        </w:rPr>
        <w:t xml:space="preserve">rule that clinicians in MIPS would have the option to submit measures and activities in MVPs.  </w:t>
      </w:r>
      <w:r w:rsidRPr="00AE7767">
        <w:rPr>
          <w:rFonts w:eastAsia="Calibri"/>
        </w:rPr>
        <w:t xml:space="preserve">We refer readers to </w:t>
      </w:r>
      <w:r w:rsidRPr="001376EC">
        <w:rPr>
          <w:rFonts w:eastAsia="Calibri"/>
        </w:rPr>
        <w:t>th</w:t>
      </w:r>
      <w:r w:rsidRPr="001376EC" w:rsidR="00B312B7">
        <w:rPr>
          <w:rFonts w:eastAsia="Calibri"/>
        </w:rPr>
        <w:t>e CY 2022 PFS proposed</w:t>
      </w:r>
      <w:r w:rsidRPr="001376EC">
        <w:rPr>
          <w:rFonts w:eastAsia="Calibri"/>
        </w:rPr>
        <w:t xml:space="preserve"> rule</w:t>
      </w:r>
      <w:r w:rsidRPr="00AE7767">
        <w:rPr>
          <w:rFonts w:eastAsia="Calibri"/>
        </w:rPr>
        <w:t xml:space="preserve"> for additional details on the proposed reporting requirements for MVPs</w:t>
      </w:r>
      <w:r w:rsidR="00801ED5">
        <w:rPr>
          <w:rFonts w:eastAsia="Calibri"/>
        </w:rPr>
        <w:t xml:space="preserve"> (</w:t>
      </w:r>
      <w:r w:rsidR="00F934B3">
        <w:rPr>
          <w:rFonts w:eastAsia="Calibri"/>
        </w:rPr>
        <w:t>86 FR 39367 through 39371</w:t>
      </w:r>
      <w:r w:rsidR="00801ED5">
        <w:rPr>
          <w:rFonts w:eastAsia="Calibri"/>
        </w:rPr>
        <w:t>)</w:t>
      </w:r>
      <w:r w:rsidRPr="00AE7767">
        <w:rPr>
          <w:rFonts w:eastAsia="Calibri"/>
        </w:rPr>
        <w:t xml:space="preserve">. For the quality performance category of MVPs, we assume that MVP Participants would choose to report via the Medicare Part B claims, QCDR, MIPS CQMs, and eCQMs collection type.  Table </w:t>
      </w:r>
      <w:r w:rsidRPr="00AE7767" w:rsidR="004056FC">
        <w:rPr>
          <w:rFonts w:eastAsia="Calibri"/>
        </w:rPr>
        <w:t>15</w:t>
      </w:r>
      <w:r w:rsidRPr="00AE7767">
        <w:rPr>
          <w:rFonts w:eastAsia="Calibri"/>
        </w:rPr>
        <w:t xml:space="preserve"> </w:t>
      </w:r>
      <w:r w:rsidRPr="001376EC">
        <w:rPr>
          <w:rFonts w:eastAsia="Calibri"/>
        </w:rPr>
        <w:t>of th</w:t>
      </w:r>
      <w:r w:rsidRPr="001376EC" w:rsidR="008C272D">
        <w:rPr>
          <w:rFonts w:eastAsia="Calibri"/>
        </w:rPr>
        <w:t>e CY 2022 PFS proposed</w:t>
      </w:r>
      <w:r w:rsidRPr="001376EC">
        <w:rPr>
          <w:rFonts w:eastAsia="Calibri"/>
        </w:rPr>
        <w:t xml:space="preserve"> rule</w:t>
      </w:r>
      <w:r w:rsidRPr="00AE7767">
        <w:rPr>
          <w:rFonts w:eastAsia="Calibri"/>
        </w:rPr>
        <w:t xml:space="preserve"> includes the estimated burden for collecting data for the quality performance category of MVPs.</w:t>
      </w:r>
    </w:p>
    <w:p w:rsidRPr="00617569" w:rsidR="00617569" w:rsidP="00730BEF" w:rsidRDefault="00617569" w14:paraId="780542CF" w14:textId="18F48145">
      <w:pPr>
        <w:rPr>
          <w:rFonts w:eastAsia="Calibri"/>
        </w:rPr>
      </w:pPr>
      <w:r w:rsidRPr="00617569">
        <w:rPr>
          <w:rFonts w:eastAsia="Calibri"/>
        </w:rPr>
        <w:t>Table</w:t>
      </w:r>
      <w:r w:rsidR="00C37885">
        <w:rPr>
          <w:rFonts w:eastAsia="Calibri"/>
        </w:rPr>
        <w:t>s</w:t>
      </w:r>
      <w:r w:rsidRPr="00617569">
        <w:rPr>
          <w:rFonts w:eastAsia="Calibri"/>
        </w:rPr>
        <w:t xml:space="preserve"> </w:t>
      </w:r>
      <w:r w:rsidR="005014D8">
        <w:rPr>
          <w:rFonts w:eastAsia="Calibri"/>
        </w:rPr>
        <w:t>6</w:t>
      </w:r>
      <w:r w:rsidR="00C37885">
        <w:rPr>
          <w:rFonts w:eastAsia="Calibri"/>
        </w:rPr>
        <w:t>A and 6B</w:t>
      </w:r>
      <w:r w:rsidRPr="00617569">
        <w:rPr>
          <w:rFonts w:eastAsia="Calibri"/>
        </w:rPr>
        <w:t xml:space="preserve"> </w:t>
      </w:r>
      <w:r w:rsidRPr="00E5087C" w:rsidR="00E5087C">
        <w:rPr>
          <w:rFonts w:eastAsia="Calibri"/>
        </w:rPr>
        <w:t>shows that</w:t>
      </w:r>
      <w:r w:rsidR="00EE3D1F">
        <w:rPr>
          <w:rFonts w:eastAsia="Calibri"/>
        </w:rPr>
        <w:t>,</w:t>
      </w:r>
      <w:r w:rsidR="002B68CF">
        <w:rPr>
          <w:rFonts w:eastAsia="Calibri"/>
        </w:rPr>
        <w:t xml:space="preserve"> </w:t>
      </w:r>
      <w:r w:rsidRPr="00EE3D1F" w:rsidR="00EE3D1F">
        <w:rPr>
          <w:rFonts w:eastAsia="Calibri"/>
        </w:rPr>
        <w:t>using participation data from the</w:t>
      </w:r>
      <w:r w:rsidR="00BB1313">
        <w:rPr>
          <w:rFonts w:eastAsia="Calibri"/>
        </w:rPr>
        <w:t xml:space="preserve"> CY</w:t>
      </w:r>
      <w:r w:rsidRPr="00EE3D1F" w:rsidR="00EE3D1F">
        <w:rPr>
          <w:rFonts w:eastAsia="Calibri"/>
        </w:rPr>
        <w:t xml:space="preserve"> 2019 MIPS performance period</w:t>
      </w:r>
      <w:r w:rsidR="00EE1712">
        <w:rPr>
          <w:rFonts w:eastAsia="Calibri"/>
        </w:rPr>
        <w:t xml:space="preserve">/2021 MIPS </w:t>
      </w:r>
      <w:r w:rsidR="00806F68">
        <w:rPr>
          <w:rFonts w:eastAsia="Calibri"/>
        </w:rPr>
        <w:t>payment year</w:t>
      </w:r>
      <w:r w:rsidRPr="00EE3D1F" w:rsidR="00EE3D1F">
        <w:rPr>
          <w:rFonts w:eastAsia="Calibri"/>
        </w:rPr>
        <w:t xml:space="preserve"> combined with the estimate of QPs for the </w:t>
      </w:r>
      <w:r w:rsidR="00565372">
        <w:rPr>
          <w:rFonts w:eastAsia="Calibri"/>
        </w:rPr>
        <w:t xml:space="preserve">CY </w:t>
      </w:r>
      <w:r w:rsidRPr="00EE3D1F" w:rsidR="00EE3D1F">
        <w:rPr>
          <w:rFonts w:eastAsia="Calibri"/>
        </w:rPr>
        <w:t>202</w:t>
      </w:r>
      <w:r w:rsidR="00565372">
        <w:rPr>
          <w:rFonts w:eastAsia="Calibri"/>
        </w:rPr>
        <w:t>2</w:t>
      </w:r>
      <w:r w:rsidR="000D2A9D">
        <w:rPr>
          <w:rFonts w:eastAsia="Calibri"/>
        </w:rPr>
        <w:t xml:space="preserve"> </w:t>
      </w:r>
      <w:r w:rsidR="001975BA">
        <w:rPr>
          <w:rFonts w:eastAsia="Calibri"/>
        </w:rPr>
        <w:t>MIPS</w:t>
      </w:r>
      <w:r w:rsidRPr="00EE3D1F" w:rsidR="00EE3D1F">
        <w:rPr>
          <w:rFonts w:eastAsia="Calibri"/>
        </w:rPr>
        <w:t xml:space="preserve"> performance period</w:t>
      </w:r>
      <w:r w:rsidR="001975BA">
        <w:rPr>
          <w:rFonts w:eastAsia="Calibri"/>
        </w:rPr>
        <w:t>/2024 MIPS payment year</w:t>
      </w:r>
      <w:r w:rsidRPr="00EE3D1F" w:rsidR="00EE3D1F">
        <w:rPr>
          <w:rFonts w:eastAsia="Calibri"/>
        </w:rPr>
        <w:t>, we estimate a total of 6</w:t>
      </w:r>
      <w:r w:rsidR="00A8732D">
        <w:rPr>
          <w:rFonts w:eastAsia="Calibri"/>
        </w:rPr>
        <w:t>25,703</w:t>
      </w:r>
      <w:r w:rsidRPr="00EE3D1F" w:rsidR="00EE3D1F">
        <w:rPr>
          <w:rFonts w:eastAsia="Calibri"/>
        </w:rPr>
        <w:t xml:space="preserve"> clinicians will submit quality data as individuals or groups in each of the </w:t>
      </w:r>
      <w:r w:rsidR="0036040B">
        <w:rPr>
          <w:rFonts w:eastAsia="Calibri"/>
        </w:rPr>
        <w:t xml:space="preserve">CY </w:t>
      </w:r>
      <w:r w:rsidRPr="00EE3D1F" w:rsidR="00EE3D1F">
        <w:rPr>
          <w:rFonts w:eastAsia="Calibri"/>
        </w:rPr>
        <w:t>202</w:t>
      </w:r>
      <w:r w:rsidR="00A6559A">
        <w:rPr>
          <w:rFonts w:eastAsia="Calibri"/>
        </w:rPr>
        <w:t>2</w:t>
      </w:r>
      <w:r w:rsidRPr="00EE3D1F" w:rsidR="00EE3D1F">
        <w:rPr>
          <w:rFonts w:eastAsia="Calibri"/>
        </w:rPr>
        <w:t xml:space="preserve"> and 202</w:t>
      </w:r>
      <w:r w:rsidR="00A6559A">
        <w:rPr>
          <w:rFonts w:eastAsia="Calibri"/>
        </w:rPr>
        <w:t>3</w:t>
      </w:r>
      <w:r w:rsidRPr="00EE3D1F" w:rsidR="00EE3D1F">
        <w:rPr>
          <w:rFonts w:eastAsia="Calibri"/>
        </w:rPr>
        <w:t xml:space="preserve"> MIPS performance periods</w:t>
      </w:r>
      <w:r w:rsidR="00A6559A">
        <w:rPr>
          <w:rFonts w:eastAsia="Calibri"/>
        </w:rPr>
        <w:t>/2024 and 2025 MIPS payment years</w:t>
      </w:r>
      <w:r w:rsidRPr="00EE3D1F" w:rsidR="00EE3D1F">
        <w:rPr>
          <w:rFonts w:eastAsia="Calibri"/>
        </w:rPr>
        <w:t xml:space="preserve">, a decrease of </w:t>
      </w:r>
      <w:r w:rsidR="00B56979">
        <w:rPr>
          <w:rFonts w:eastAsia="Calibri"/>
        </w:rPr>
        <w:t>25,811</w:t>
      </w:r>
      <w:r w:rsidRPr="00EE3D1F" w:rsidR="00EE3D1F">
        <w:rPr>
          <w:rFonts w:eastAsia="Calibri"/>
        </w:rPr>
        <w:t xml:space="preserve"> clinicians when compared to our estimate of </w:t>
      </w:r>
      <w:r w:rsidR="00AC12E1">
        <w:rPr>
          <w:rFonts w:eastAsia="Calibri"/>
        </w:rPr>
        <w:t>651,514</w:t>
      </w:r>
      <w:r w:rsidRPr="00EE3D1F" w:rsidR="00EE3D1F">
        <w:rPr>
          <w:rFonts w:eastAsia="Calibri"/>
        </w:rPr>
        <w:t xml:space="preserve"> clinicians in the CY 202</w:t>
      </w:r>
      <w:r w:rsidR="00575B12">
        <w:rPr>
          <w:rFonts w:eastAsia="Calibri"/>
        </w:rPr>
        <w:t>1</w:t>
      </w:r>
      <w:r w:rsidRPr="00EE3D1F" w:rsidR="00EE3D1F">
        <w:rPr>
          <w:rFonts w:eastAsia="Calibri"/>
        </w:rPr>
        <w:t xml:space="preserve"> PFS final rule (8</w:t>
      </w:r>
      <w:r w:rsidR="00F20D3D">
        <w:rPr>
          <w:rFonts w:eastAsia="Calibri"/>
        </w:rPr>
        <w:t>5</w:t>
      </w:r>
      <w:r w:rsidRPr="00EE3D1F" w:rsidR="00EE3D1F">
        <w:rPr>
          <w:rFonts w:eastAsia="Calibri"/>
        </w:rPr>
        <w:t xml:space="preserve"> FR </w:t>
      </w:r>
      <w:r w:rsidR="00F20D3D">
        <w:rPr>
          <w:rFonts w:eastAsia="Calibri"/>
        </w:rPr>
        <w:t>84972</w:t>
      </w:r>
      <w:r w:rsidRPr="00EE3D1F" w:rsidR="00EE3D1F">
        <w:rPr>
          <w:rFonts w:eastAsia="Calibri"/>
        </w:rPr>
        <w:t xml:space="preserve">).  For the </w:t>
      </w:r>
      <w:r w:rsidR="00FD5FB5">
        <w:rPr>
          <w:rFonts w:eastAsia="Calibri"/>
        </w:rPr>
        <w:t xml:space="preserve">CY </w:t>
      </w:r>
      <w:r w:rsidRPr="00EE3D1F" w:rsidR="00EE3D1F">
        <w:rPr>
          <w:rFonts w:eastAsia="Calibri"/>
        </w:rPr>
        <w:t>202</w:t>
      </w:r>
      <w:r w:rsidR="00FD5FB5">
        <w:rPr>
          <w:rFonts w:eastAsia="Calibri"/>
        </w:rPr>
        <w:t>2</w:t>
      </w:r>
      <w:r w:rsidRPr="00EE3D1F" w:rsidR="00EE3D1F">
        <w:rPr>
          <w:rFonts w:eastAsia="Calibri"/>
        </w:rPr>
        <w:t xml:space="preserve"> </w:t>
      </w:r>
      <w:r w:rsidR="00FD5FB5">
        <w:rPr>
          <w:rFonts w:eastAsia="Calibri"/>
        </w:rPr>
        <w:t xml:space="preserve">MIPS </w:t>
      </w:r>
      <w:r w:rsidRPr="00EE3D1F" w:rsidR="00EE3D1F">
        <w:rPr>
          <w:rFonts w:eastAsia="Calibri"/>
        </w:rPr>
        <w:t>performance period</w:t>
      </w:r>
      <w:r w:rsidR="00FD5FB5">
        <w:rPr>
          <w:rFonts w:eastAsia="Calibri"/>
        </w:rPr>
        <w:t>/2024 MIPS payment year</w:t>
      </w:r>
      <w:r w:rsidRPr="00EE3D1F" w:rsidR="00EE3D1F">
        <w:rPr>
          <w:rFonts w:eastAsia="Calibri"/>
        </w:rPr>
        <w:t>, we estimate 2</w:t>
      </w:r>
      <w:r w:rsidR="000D49B1">
        <w:rPr>
          <w:rFonts w:eastAsia="Calibri"/>
        </w:rPr>
        <w:t>8,252</w:t>
      </w:r>
      <w:r w:rsidRPr="00EE3D1F" w:rsidR="00EE3D1F">
        <w:rPr>
          <w:rFonts w:eastAsia="Calibri"/>
        </w:rPr>
        <w:t xml:space="preserve"> clinicians will submit data as individuals for the Medicare Part B claims collection type; 2</w:t>
      </w:r>
      <w:r w:rsidR="00294649">
        <w:rPr>
          <w:rFonts w:eastAsia="Calibri"/>
        </w:rPr>
        <w:t>79,247</w:t>
      </w:r>
      <w:r w:rsidRPr="00EE3D1F" w:rsidR="00EE3D1F">
        <w:rPr>
          <w:rFonts w:eastAsia="Calibri"/>
        </w:rPr>
        <w:t xml:space="preserve"> clinicians will </w:t>
      </w:r>
      <w:r w:rsidRPr="00EE3D1F" w:rsidR="00EE3D1F">
        <w:rPr>
          <w:rFonts w:eastAsia="Calibri"/>
        </w:rPr>
        <w:lastRenderedPageBreak/>
        <w:t>submit data as individuals or as part of groups for the MIPS CQM and QCDR collection type; 2</w:t>
      </w:r>
      <w:r w:rsidR="00C5584E">
        <w:rPr>
          <w:rFonts w:eastAsia="Calibri"/>
        </w:rPr>
        <w:t>73,819</w:t>
      </w:r>
      <w:r w:rsidRPr="00EE3D1F" w:rsidR="00EE3D1F">
        <w:rPr>
          <w:rFonts w:eastAsia="Calibri"/>
        </w:rPr>
        <w:t xml:space="preserve"> clinicians will submit data as individuals or as part of groups via eCQM collection types; and 4</w:t>
      </w:r>
      <w:r w:rsidR="004C60D2">
        <w:rPr>
          <w:rFonts w:eastAsia="Calibri"/>
        </w:rPr>
        <w:t>4,385</w:t>
      </w:r>
      <w:r w:rsidRPr="00EE3D1F" w:rsidR="00EE3D1F">
        <w:rPr>
          <w:rFonts w:eastAsia="Calibri"/>
        </w:rPr>
        <w:t xml:space="preserve"> clinicians will submit as part of groups via the CMS Web Interface.  For the </w:t>
      </w:r>
      <w:r w:rsidR="00C91769">
        <w:rPr>
          <w:rFonts w:eastAsia="Calibri"/>
        </w:rPr>
        <w:t xml:space="preserve">CY </w:t>
      </w:r>
      <w:r w:rsidRPr="00EE3D1F" w:rsidR="00EE3D1F">
        <w:rPr>
          <w:rFonts w:eastAsia="Calibri"/>
        </w:rPr>
        <w:t>202</w:t>
      </w:r>
      <w:r w:rsidR="00C91769">
        <w:rPr>
          <w:rFonts w:eastAsia="Calibri"/>
        </w:rPr>
        <w:t>3 MIPS</w:t>
      </w:r>
      <w:r w:rsidRPr="00EE3D1F" w:rsidR="00EE3D1F">
        <w:rPr>
          <w:rFonts w:eastAsia="Calibri"/>
        </w:rPr>
        <w:t xml:space="preserve"> performance period</w:t>
      </w:r>
      <w:r w:rsidR="00C91769">
        <w:rPr>
          <w:rFonts w:eastAsia="Calibri"/>
        </w:rPr>
        <w:t>/2025 MIPS payment year</w:t>
      </w:r>
      <w:r w:rsidRPr="00EE3D1F" w:rsidR="00EE3D1F">
        <w:rPr>
          <w:rFonts w:eastAsia="Calibri"/>
        </w:rPr>
        <w:t>, we estimate 2</w:t>
      </w:r>
      <w:r w:rsidR="0094508F">
        <w:rPr>
          <w:rFonts w:eastAsia="Calibri"/>
        </w:rPr>
        <w:t>5,427</w:t>
      </w:r>
      <w:r w:rsidRPr="00EE3D1F" w:rsidR="00EE3D1F">
        <w:rPr>
          <w:rFonts w:eastAsia="Calibri"/>
        </w:rPr>
        <w:t xml:space="preserve"> clinicians will submit data as individuals for the Medicare Part B claims collection type; 2</w:t>
      </w:r>
      <w:r w:rsidR="00167428">
        <w:rPr>
          <w:rFonts w:eastAsia="Calibri"/>
        </w:rPr>
        <w:t>88,637</w:t>
      </w:r>
      <w:r w:rsidRPr="00EE3D1F" w:rsidR="00EE3D1F">
        <w:rPr>
          <w:rFonts w:eastAsia="Calibri"/>
        </w:rPr>
        <w:t xml:space="preserve"> clinicians will submit data as individuals or as part of groups for the MIPS CQM and QCDR collection type; 3</w:t>
      </w:r>
      <w:r w:rsidR="004E7434">
        <w:rPr>
          <w:rFonts w:eastAsia="Calibri"/>
        </w:rPr>
        <w:t>11,326</w:t>
      </w:r>
      <w:r w:rsidRPr="00EE3D1F" w:rsidR="00EE3D1F">
        <w:rPr>
          <w:rFonts w:eastAsia="Calibri"/>
        </w:rPr>
        <w:t xml:space="preserve"> clinicians will submit data as individuals or as part of groups via the eCQM collection type</w:t>
      </w:r>
      <w:r w:rsidR="002D18FF">
        <w:rPr>
          <w:rFonts w:eastAsia="Calibri"/>
        </w:rPr>
        <w:t>.</w:t>
      </w:r>
    </w:p>
    <w:p w:rsidRPr="00292878" w:rsidR="004F199C" w:rsidP="00730BEF" w:rsidRDefault="00617569" w14:paraId="5385B32B" w14:textId="0DA96BAA">
      <w:r w:rsidRPr="00617569">
        <w:rPr>
          <w:rFonts w:eastAsia="Calibri"/>
        </w:rPr>
        <w:t>Table</w:t>
      </w:r>
      <w:r w:rsidR="00B50702">
        <w:rPr>
          <w:rFonts w:eastAsia="Calibri"/>
        </w:rPr>
        <w:t>s</w:t>
      </w:r>
      <w:r w:rsidRPr="00617569">
        <w:rPr>
          <w:rFonts w:eastAsia="Calibri"/>
        </w:rPr>
        <w:t xml:space="preserve"> </w:t>
      </w:r>
      <w:r w:rsidR="005014D8">
        <w:rPr>
          <w:rFonts w:eastAsia="Calibri"/>
        </w:rPr>
        <w:t>6</w:t>
      </w:r>
      <w:r w:rsidR="00B50702">
        <w:rPr>
          <w:rFonts w:eastAsia="Calibri"/>
        </w:rPr>
        <w:t>A and 6B</w:t>
      </w:r>
      <w:r w:rsidRPr="00617569">
        <w:rPr>
          <w:rFonts w:eastAsia="Calibri"/>
        </w:rPr>
        <w:t xml:space="preserve"> provide estimates of the number of clinicians to collect quality measures data via each collection type, regardless of whether they decide to submit as individual clinicians or as part of groups</w:t>
      </w:r>
      <w:r w:rsidR="00E73BF4">
        <w:rPr>
          <w:rFonts w:eastAsia="Calibri"/>
        </w:rPr>
        <w:t xml:space="preserve"> for the CY 2022 and CY 2023 MIPS performance periods/2024 and 2025 MIPS payment years, respectively</w:t>
      </w:r>
      <w:r w:rsidRPr="00617569">
        <w:rPr>
          <w:rFonts w:eastAsia="Calibri"/>
        </w:rPr>
        <w:t>.  Because our burden estimates for quality data submission assume that burden is reduced when clinicians elect to submit as part of a group, we also separately estimate the expected number of clinicians to submit as individuals or part of groups.</w:t>
      </w:r>
      <w:r w:rsidRPr="00292878" w:rsidR="00743AF8">
        <w:t xml:space="preserve"> </w:t>
      </w:r>
    </w:p>
    <w:p w:rsidRPr="00292878" w:rsidR="004F199C" w:rsidP="004F199C" w:rsidRDefault="004F199C" w14:paraId="2229F3D3" w14:textId="20F5384C">
      <w:pPr>
        <w:keepNext/>
        <w:spacing w:after="0"/>
        <w:jc w:val="center"/>
        <w:rPr>
          <w:b/>
          <w:bCs/>
        </w:rPr>
      </w:pPr>
      <w:r w:rsidRPr="00292878">
        <w:rPr>
          <w:b/>
          <w:bCs/>
        </w:rPr>
        <w:t xml:space="preserve">TABLE </w:t>
      </w:r>
      <w:r w:rsidR="005014D8">
        <w:rPr>
          <w:b/>
          <w:bCs/>
        </w:rPr>
        <w:t>6</w:t>
      </w:r>
      <w:r w:rsidR="00A96E06">
        <w:rPr>
          <w:b/>
          <w:bCs/>
        </w:rPr>
        <w:t>A</w:t>
      </w:r>
      <w:r w:rsidRPr="00292878">
        <w:rPr>
          <w:b/>
          <w:bCs/>
        </w:rPr>
        <w:t>:  Estimated Number of Clinicians Submitting Quality Performance Category Data by Collection Type</w:t>
      </w:r>
      <w:r w:rsidR="00D15988">
        <w:rPr>
          <w:b/>
          <w:bCs/>
        </w:rPr>
        <w:t xml:space="preserve">, </w:t>
      </w:r>
      <w:r w:rsidR="00E82ECA">
        <w:rPr>
          <w:b/>
          <w:bCs/>
        </w:rPr>
        <w:t xml:space="preserve">CY </w:t>
      </w:r>
      <w:r w:rsidR="00D15988">
        <w:rPr>
          <w:b/>
          <w:bCs/>
        </w:rPr>
        <w:t>202</w:t>
      </w:r>
      <w:r w:rsidR="009468A5">
        <w:rPr>
          <w:b/>
          <w:bCs/>
        </w:rPr>
        <w:t>2</w:t>
      </w:r>
      <w:r w:rsidR="00E82ECA">
        <w:rPr>
          <w:b/>
          <w:bCs/>
        </w:rPr>
        <w:t xml:space="preserve"> MIPS </w:t>
      </w:r>
      <w:r w:rsidR="00E24FBA">
        <w:rPr>
          <w:b/>
          <w:bCs/>
        </w:rPr>
        <w:t>P</w:t>
      </w:r>
      <w:r w:rsidR="00E82ECA">
        <w:rPr>
          <w:b/>
          <w:bCs/>
        </w:rPr>
        <w:t xml:space="preserve">erformance </w:t>
      </w:r>
      <w:r w:rsidR="00E24FBA">
        <w:rPr>
          <w:b/>
          <w:bCs/>
        </w:rPr>
        <w:t>P</w:t>
      </w:r>
      <w:r w:rsidR="00E82ECA">
        <w:rPr>
          <w:b/>
          <w:bCs/>
        </w:rPr>
        <w:t>eriod</w:t>
      </w:r>
      <w:r w:rsidR="00143534">
        <w:rPr>
          <w:b/>
          <w:bCs/>
        </w:rPr>
        <w:t xml:space="preserve">/2024 MIPS </w:t>
      </w:r>
      <w:r w:rsidR="00E24FBA">
        <w:rPr>
          <w:b/>
          <w:bCs/>
        </w:rPr>
        <w:t>Payment Year</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92"/>
        <w:gridCol w:w="1273"/>
        <w:gridCol w:w="1440"/>
        <w:gridCol w:w="1350"/>
        <w:gridCol w:w="1440"/>
        <w:gridCol w:w="1350"/>
      </w:tblGrid>
      <w:tr w:rsidRPr="00292878" w:rsidR="004F199C" w:rsidTr="009064EF" w14:paraId="6FEBD168" w14:textId="77777777">
        <w:trPr>
          <w:trHeight w:val="540"/>
          <w:tblHeader/>
        </w:trPr>
        <w:tc>
          <w:tcPr>
            <w:tcW w:w="2592" w:type="dxa"/>
            <w:shd w:val="clear" w:color="auto" w:fill="auto"/>
            <w:vAlign w:val="center"/>
            <w:hideMark/>
          </w:tcPr>
          <w:p w:rsidRPr="00292878" w:rsidR="004F199C" w:rsidP="004F199C" w:rsidRDefault="004F199C" w14:paraId="3E7BAB1C" w14:textId="66DFC313">
            <w:pPr>
              <w:keepNext/>
              <w:spacing w:after="0"/>
              <w:jc w:val="center"/>
              <w:rPr>
                <w:b/>
              </w:rPr>
            </w:pPr>
            <w:bookmarkStart w:name="_Hlk515452638" w:id="4"/>
            <w:r w:rsidRPr="00292878">
              <w:rPr>
                <w:b/>
                <w:sz w:val="20"/>
              </w:rPr>
              <w:t>Data Description</w:t>
            </w:r>
          </w:p>
        </w:tc>
        <w:tc>
          <w:tcPr>
            <w:tcW w:w="1273" w:type="dxa"/>
            <w:shd w:val="clear" w:color="auto" w:fill="auto"/>
            <w:vAlign w:val="center"/>
            <w:hideMark/>
          </w:tcPr>
          <w:p w:rsidRPr="00292878" w:rsidR="004F199C" w:rsidP="004F199C" w:rsidRDefault="004F199C" w14:paraId="296039A0" w14:textId="77777777">
            <w:pPr>
              <w:keepNext/>
              <w:spacing w:after="0"/>
              <w:ind w:left="14"/>
              <w:jc w:val="center"/>
              <w:rPr>
                <w:b/>
                <w:bCs/>
                <w:sz w:val="20"/>
                <w:szCs w:val="20"/>
              </w:rPr>
            </w:pPr>
            <w:r w:rsidRPr="00292878">
              <w:rPr>
                <w:b/>
                <w:bCs/>
                <w:sz w:val="20"/>
                <w:szCs w:val="20"/>
              </w:rPr>
              <w:t>Claims</w:t>
            </w:r>
          </w:p>
        </w:tc>
        <w:tc>
          <w:tcPr>
            <w:tcW w:w="1440" w:type="dxa"/>
            <w:shd w:val="clear" w:color="auto" w:fill="auto"/>
            <w:vAlign w:val="center"/>
            <w:hideMark/>
          </w:tcPr>
          <w:p w:rsidRPr="00292878" w:rsidR="004F199C" w:rsidP="004F199C" w:rsidRDefault="004F199C" w14:paraId="6B8F6A8A" w14:textId="43FFCB01">
            <w:pPr>
              <w:keepNext/>
              <w:spacing w:after="0"/>
              <w:jc w:val="center"/>
              <w:rPr>
                <w:b/>
                <w:bCs/>
                <w:sz w:val="20"/>
                <w:szCs w:val="20"/>
              </w:rPr>
            </w:pPr>
            <w:r w:rsidRPr="00292878">
              <w:rPr>
                <w:b/>
                <w:bCs/>
                <w:sz w:val="20"/>
                <w:szCs w:val="20"/>
              </w:rPr>
              <w:t>QCDR/</w:t>
            </w:r>
            <w:r w:rsidR="00037FF8">
              <w:rPr>
                <w:b/>
                <w:bCs/>
                <w:sz w:val="20"/>
                <w:szCs w:val="20"/>
              </w:rPr>
              <w:t>MIPS CQM</w:t>
            </w:r>
          </w:p>
        </w:tc>
        <w:tc>
          <w:tcPr>
            <w:tcW w:w="1350" w:type="dxa"/>
            <w:shd w:val="clear" w:color="auto" w:fill="auto"/>
            <w:vAlign w:val="center"/>
            <w:hideMark/>
          </w:tcPr>
          <w:p w:rsidRPr="00292878" w:rsidR="004F199C" w:rsidP="004F199C" w:rsidRDefault="004F199C" w14:paraId="77F731E8" w14:textId="77777777">
            <w:pPr>
              <w:keepNext/>
              <w:spacing w:after="0"/>
              <w:jc w:val="center"/>
              <w:rPr>
                <w:b/>
                <w:bCs/>
                <w:sz w:val="20"/>
                <w:szCs w:val="20"/>
              </w:rPr>
            </w:pPr>
            <w:r w:rsidRPr="00292878">
              <w:rPr>
                <w:b/>
                <w:bCs/>
                <w:sz w:val="20"/>
                <w:szCs w:val="20"/>
              </w:rPr>
              <w:t>eCQM</w:t>
            </w:r>
          </w:p>
        </w:tc>
        <w:tc>
          <w:tcPr>
            <w:tcW w:w="1440" w:type="dxa"/>
            <w:shd w:val="clear" w:color="auto" w:fill="auto"/>
            <w:vAlign w:val="center"/>
            <w:hideMark/>
          </w:tcPr>
          <w:p w:rsidRPr="00292878" w:rsidR="004F199C" w:rsidP="004F199C" w:rsidRDefault="004F199C" w14:paraId="61428232" w14:textId="77777777">
            <w:pPr>
              <w:keepNext/>
              <w:spacing w:after="0"/>
              <w:jc w:val="center"/>
              <w:rPr>
                <w:b/>
                <w:bCs/>
                <w:sz w:val="20"/>
                <w:szCs w:val="20"/>
              </w:rPr>
            </w:pPr>
            <w:r w:rsidRPr="00292878">
              <w:rPr>
                <w:b/>
                <w:bCs/>
                <w:sz w:val="20"/>
                <w:szCs w:val="20"/>
              </w:rPr>
              <w:t>CMS Web Interface</w:t>
            </w:r>
          </w:p>
        </w:tc>
        <w:tc>
          <w:tcPr>
            <w:tcW w:w="1350" w:type="dxa"/>
            <w:vAlign w:val="center"/>
          </w:tcPr>
          <w:p w:rsidRPr="00292878" w:rsidR="004F199C" w:rsidP="004F199C" w:rsidRDefault="004F199C" w14:paraId="4F89AE2D" w14:textId="77777777">
            <w:pPr>
              <w:keepNext/>
              <w:spacing w:after="0"/>
              <w:ind w:left="14"/>
              <w:jc w:val="center"/>
              <w:rPr>
                <w:b/>
                <w:bCs/>
                <w:sz w:val="20"/>
                <w:szCs w:val="20"/>
              </w:rPr>
            </w:pPr>
            <w:r w:rsidRPr="00292878">
              <w:rPr>
                <w:b/>
                <w:bCs/>
                <w:sz w:val="20"/>
                <w:szCs w:val="20"/>
              </w:rPr>
              <w:t>Total</w:t>
            </w:r>
          </w:p>
        </w:tc>
      </w:tr>
      <w:tr w:rsidRPr="00292878" w:rsidR="002B076B" w:rsidTr="00E53E05" w14:paraId="67379FD5" w14:textId="77777777">
        <w:trPr>
          <w:trHeight w:val="557"/>
        </w:trPr>
        <w:tc>
          <w:tcPr>
            <w:tcW w:w="2592" w:type="dxa"/>
            <w:tcBorders>
              <w:top w:val="single" w:color="auto" w:sz="4" w:space="0"/>
              <w:left w:val="single" w:color="auto" w:sz="4" w:space="0"/>
              <w:bottom w:val="single" w:color="auto" w:sz="4" w:space="0"/>
              <w:right w:val="single" w:color="auto" w:sz="4" w:space="0"/>
            </w:tcBorders>
            <w:shd w:val="clear" w:color="auto" w:fill="auto"/>
            <w:hideMark/>
          </w:tcPr>
          <w:p w:rsidRPr="00455FBB" w:rsidR="002B076B" w:rsidP="002B076B" w:rsidRDefault="002B076B" w14:paraId="44CD738C" w14:textId="7A7D6C62">
            <w:pPr>
              <w:keepNext/>
              <w:spacing w:after="0"/>
              <w:rPr>
                <w:sz w:val="20"/>
                <w:szCs w:val="20"/>
              </w:rPr>
            </w:pPr>
            <w:r w:rsidRPr="00712384">
              <w:rPr>
                <w:sz w:val="20"/>
                <w:szCs w:val="20"/>
              </w:rPr>
              <w:t>202</w:t>
            </w:r>
            <w:r>
              <w:rPr>
                <w:sz w:val="20"/>
                <w:szCs w:val="20"/>
              </w:rPr>
              <w:t>2</w:t>
            </w:r>
            <w:r w:rsidRPr="00712384">
              <w:rPr>
                <w:sz w:val="20"/>
                <w:szCs w:val="20"/>
              </w:rPr>
              <w:t xml:space="preserve"> MIPS performance period (excludes QPs) (a)</w:t>
            </w:r>
          </w:p>
        </w:tc>
        <w:tc>
          <w:tcPr>
            <w:tcW w:w="127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55FBB" w:rsidR="002B076B" w:rsidP="002B076B" w:rsidRDefault="002B076B" w14:paraId="18D6A9F0" w14:textId="38B3F552">
            <w:pPr>
              <w:keepNext/>
              <w:spacing w:after="0"/>
              <w:jc w:val="center"/>
              <w:rPr>
                <w:sz w:val="20"/>
                <w:szCs w:val="20"/>
              </w:rPr>
            </w:pPr>
            <w:r w:rsidRPr="00871E51">
              <w:rPr>
                <w:color w:val="000000"/>
                <w:sz w:val="20"/>
                <w:szCs w:val="20"/>
              </w:rPr>
              <w:t>28,252</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55FBB" w:rsidR="002B076B" w:rsidP="002B076B" w:rsidRDefault="002B076B" w14:paraId="7E421B20" w14:textId="6AD71F3B">
            <w:pPr>
              <w:keepNext/>
              <w:spacing w:after="0"/>
              <w:jc w:val="center"/>
              <w:rPr>
                <w:sz w:val="20"/>
                <w:szCs w:val="20"/>
              </w:rPr>
            </w:pPr>
            <w:r w:rsidRPr="00871E51">
              <w:rPr>
                <w:color w:val="000000"/>
                <w:sz w:val="20"/>
                <w:szCs w:val="20"/>
              </w:rPr>
              <w:t>279,247</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55FBB" w:rsidR="002B076B" w:rsidP="002B076B" w:rsidRDefault="002B076B" w14:paraId="49178AA4" w14:textId="59D60F78">
            <w:pPr>
              <w:keepNext/>
              <w:spacing w:after="0"/>
              <w:jc w:val="center"/>
              <w:rPr>
                <w:sz w:val="20"/>
                <w:szCs w:val="20"/>
              </w:rPr>
            </w:pPr>
            <w:r w:rsidRPr="00871E51">
              <w:rPr>
                <w:color w:val="000000"/>
                <w:sz w:val="20"/>
                <w:szCs w:val="20"/>
              </w:rPr>
              <w:t>273,819</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55FBB" w:rsidR="002B076B" w:rsidP="002B076B" w:rsidRDefault="002B076B" w14:paraId="272EA4B3" w14:textId="041C644F">
            <w:pPr>
              <w:keepNext/>
              <w:spacing w:after="0"/>
              <w:jc w:val="center"/>
              <w:rPr>
                <w:sz w:val="20"/>
                <w:szCs w:val="20"/>
              </w:rPr>
            </w:pPr>
            <w:r w:rsidRPr="00871E51">
              <w:rPr>
                <w:color w:val="000000"/>
                <w:sz w:val="20"/>
                <w:szCs w:val="20"/>
              </w:rPr>
              <w:t>44,385</w:t>
            </w:r>
          </w:p>
        </w:tc>
        <w:tc>
          <w:tcPr>
            <w:tcW w:w="1350" w:type="dxa"/>
            <w:tcBorders>
              <w:top w:val="single" w:color="auto" w:sz="4" w:space="0"/>
              <w:left w:val="single" w:color="auto" w:sz="4" w:space="0"/>
              <w:bottom w:val="single" w:color="auto" w:sz="4" w:space="0"/>
              <w:right w:val="single" w:color="auto" w:sz="4" w:space="0"/>
            </w:tcBorders>
            <w:vAlign w:val="center"/>
          </w:tcPr>
          <w:p w:rsidRPr="00455FBB" w:rsidR="002B076B" w:rsidP="002B076B" w:rsidRDefault="002B076B" w14:paraId="437128D1" w14:textId="5040EBE3">
            <w:pPr>
              <w:keepNext/>
              <w:spacing w:after="0"/>
              <w:ind w:left="14"/>
              <w:jc w:val="center"/>
              <w:rPr>
                <w:sz w:val="20"/>
                <w:szCs w:val="20"/>
              </w:rPr>
            </w:pPr>
            <w:r w:rsidRPr="00871E51">
              <w:rPr>
                <w:color w:val="000000"/>
                <w:sz w:val="20"/>
                <w:szCs w:val="20"/>
              </w:rPr>
              <w:t>625,703</w:t>
            </w:r>
          </w:p>
        </w:tc>
      </w:tr>
      <w:tr w:rsidRPr="00292878" w:rsidR="00D6431F" w:rsidTr="00E53E05" w14:paraId="49B1BAF0" w14:textId="77777777">
        <w:trPr>
          <w:trHeight w:val="458"/>
        </w:trPr>
        <w:tc>
          <w:tcPr>
            <w:tcW w:w="2592" w:type="dxa"/>
            <w:tcBorders>
              <w:top w:val="single" w:color="auto" w:sz="4" w:space="0"/>
              <w:left w:val="single" w:color="auto" w:sz="4" w:space="0"/>
              <w:bottom w:val="single" w:color="auto" w:sz="4" w:space="0"/>
              <w:right w:val="single" w:color="auto" w:sz="4" w:space="0"/>
            </w:tcBorders>
            <w:shd w:val="clear" w:color="auto" w:fill="auto"/>
          </w:tcPr>
          <w:p w:rsidRPr="00455FBB" w:rsidR="00D6431F" w:rsidDel="00C37C3D" w:rsidP="00D6431F" w:rsidRDefault="00D6431F" w14:paraId="5BFB9A46" w14:textId="65A63E5A">
            <w:pPr>
              <w:keepNext/>
              <w:spacing w:after="0"/>
              <w:rPr>
                <w:sz w:val="20"/>
                <w:szCs w:val="20"/>
              </w:rPr>
            </w:pPr>
            <w:r>
              <w:rPr>
                <w:sz w:val="20"/>
                <w:szCs w:val="20"/>
              </w:rPr>
              <w:t>*</w:t>
            </w:r>
            <w:r w:rsidR="00543EFD">
              <w:rPr>
                <w:sz w:val="20"/>
                <w:szCs w:val="20"/>
              </w:rPr>
              <w:t xml:space="preserve">Currently </w:t>
            </w:r>
            <w:r w:rsidR="00473B6C">
              <w:rPr>
                <w:sz w:val="20"/>
                <w:szCs w:val="20"/>
              </w:rPr>
              <w:t xml:space="preserve">approved </w:t>
            </w:r>
            <w:r w:rsidRPr="00712384">
              <w:rPr>
                <w:sz w:val="20"/>
                <w:szCs w:val="20"/>
              </w:rPr>
              <w:t>202</w:t>
            </w:r>
            <w:r w:rsidR="00172763">
              <w:rPr>
                <w:sz w:val="20"/>
                <w:szCs w:val="20"/>
              </w:rPr>
              <w:t>2</w:t>
            </w:r>
            <w:r w:rsidRPr="00712384">
              <w:rPr>
                <w:sz w:val="20"/>
                <w:szCs w:val="20"/>
              </w:rPr>
              <w:t xml:space="preserve"> MIPS performance period (excludes QPs) (b)</w:t>
            </w:r>
          </w:p>
        </w:tc>
        <w:tc>
          <w:tcPr>
            <w:tcW w:w="127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55FBB" w:rsidR="00D6431F" w:rsidP="00D6431F" w:rsidRDefault="00D6431F" w14:paraId="5E5A5ED9" w14:textId="35B2E933">
            <w:pPr>
              <w:keepNext/>
              <w:spacing w:after="0"/>
              <w:jc w:val="center"/>
              <w:rPr>
                <w:sz w:val="20"/>
                <w:szCs w:val="20"/>
              </w:rPr>
            </w:pPr>
            <w:r w:rsidRPr="00871E51">
              <w:rPr>
                <w:color w:val="000000"/>
                <w:sz w:val="20"/>
                <w:szCs w:val="20"/>
              </w:rPr>
              <w:t>29,273</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55FBB" w:rsidR="00D6431F" w:rsidP="00D6431F" w:rsidRDefault="00D6431F" w14:paraId="4BF5887E" w14:textId="2BA90F96">
            <w:pPr>
              <w:keepNext/>
              <w:spacing w:after="0"/>
              <w:jc w:val="center"/>
              <w:rPr>
                <w:sz w:val="20"/>
                <w:szCs w:val="20"/>
              </w:rPr>
            </w:pPr>
            <w:r w:rsidRPr="00871E51">
              <w:rPr>
                <w:color w:val="000000"/>
                <w:sz w:val="20"/>
                <w:szCs w:val="20"/>
              </w:rPr>
              <w:t>295,941</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55FBB" w:rsidR="00D6431F" w:rsidP="00D6431F" w:rsidRDefault="00D6431F" w14:paraId="25822590" w14:textId="0FC7C0F7">
            <w:pPr>
              <w:keepNext/>
              <w:spacing w:after="0"/>
              <w:jc w:val="center"/>
              <w:rPr>
                <w:sz w:val="20"/>
                <w:szCs w:val="20"/>
              </w:rPr>
            </w:pPr>
            <w:r w:rsidRPr="00871E51">
              <w:rPr>
                <w:color w:val="000000"/>
                <w:sz w:val="20"/>
                <w:szCs w:val="20"/>
              </w:rPr>
              <w:t>326,300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55FBB" w:rsidR="00D6431F" w:rsidP="00D6431F" w:rsidRDefault="00D6431F" w14:paraId="0CE7CC59" w14:textId="7D42848A">
            <w:pPr>
              <w:keepNext/>
              <w:spacing w:after="0"/>
              <w:jc w:val="center"/>
              <w:rPr>
                <w:sz w:val="20"/>
                <w:szCs w:val="20"/>
              </w:rPr>
            </w:pPr>
            <w:r w:rsidRPr="00871E51">
              <w:rPr>
                <w:color w:val="000000"/>
                <w:sz w:val="20"/>
                <w:szCs w:val="20"/>
              </w:rPr>
              <w:t>0</w:t>
            </w:r>
          </w:p>
        </w:tc>
        <w:tc>
          <w:tcPr>
            <w:tcW w:w="1350" w:type="dxa"/>
            <w:tcBorders>
              <w:top w:val="single" w:color="auto" w:sz="4" w:space="0"/>
              <w:left w:val="single" w:color="auto" w:sz="4" w:space="0"/>
              <w:bottom w:val="single" w:color="auto" w:sz="4" w:space="0"/>
              <w:right w:val="single" w:color="auto" w:sz="4" w:space="0"/>
            </w:tcBorders>
            <w:vAlign w:val="center"/>
          </w:tcPr>
          <w:p w:rsidRPr="00455FBB" w:rsidR="00D6431F" w:rsidP="00D6431F" w:rsidRDefault="00D6431F" w14:paraId="33972D4D" w14:textId="7BE3A6E7">
            <w:pPr>
              <w:keepNext/>
              <w:spacing w:after="0"/>
              <w:ind w:left="14"/>
              <w:jc w:val="center"/>
              <w:rPr>
                <w:sz w:val="20"/>
                <w:szCs w:val="20"/>
              </w:rPr>
            </w:pPr>
            <w:r w:rsidRPr="00871E51">
              <w:rPr>
                <w:color w:val="000000"/>
                <w:sz w:val="20"/>
                <w:szCs w:val="20"/>
              </w:rPr>
              <w:t>651,514</w:t>
            </w:r>
          </w:p>
        </w:tc>
      </w:tr>
      <w:tr w:rsidRPr="006B4818" w:rsidR="00CC06C4" w:rsidTr="00E53E05" w14:paraId="2240F765" w14:textId="77777777">
        <w:trPr>
          <w:trHeight w:val="332"/>
        </w:trPr>
        <w:tc>
          <w:tcPr>
            <w:tcW w:w="2592" w:type="dxa"/>
            <w:tcBorders>
              <w:top w:val="single" w:color="auto" w:sz="4" w:space="0"/>
              <w:left w:val="single" w:color="auto" w:sz="4" w:space="0"/>
              <w:bottom w:val="single" w:color="auto" w:sz="4" w:space="0"/>
              <w:right w:val="single" w:color="auto" w:sz="4" w:space="0"/>
            </w:tcBorders>
            <w:shd w:val="clear" w:color="auto" w:fill="auto"/>
          </w:tcPr>
          <w:p w:rsidRPr="00455FBB" w:rsidR="00CC06C4" w:rsidDel="00C37C3D" w:rsidP="00CC06C4" w:rsidRDefault="00CC06C4" w14:paraId="425D6C78" w14:textId="5860ABD7">
            <w:pPr>
              <w:keepNext/>
              <w:spacing w:after="0"/>
              <w:rPr>
                <w:sz w:val="20"/>
                <w:szCs w:val="20"/>
              </w:rPr>
            </w:pPr>
            <w:r w:rsidRPr="00712384">
              <w:rPr>
                <w:sz w:val="20"/>
                <w:szCs w:val="20"/>
              </w:rPr>
              <w:t>Difference (c)=(a)-(b)</w:t>
            </w:r>
          </w:p>
        </w:tc>
        <w:tc>
          <w:tcPr>
            <w:tcW w:w="1273" w:type="dxa"/>
            <w:shd w:val="clear" w:color="auto" w:fill="auto"/>
            <w:noWrap/>
            <w:vAlign w:val="center"/>
          </w:tcPr>
          <w:p w:rsidRPr="00455FBB" w:rsidR="00CC06C4" w:rsidP="00CC06C4" w:rsidRDefault="00CC06C4" w14:paraId="151704EC" w14:textId="6786E706">
            <w:pPr>
              <w:keepNext/>
              <w:spacing w:after="0"/>
              <w:jc w:val="center"/>
              <w:rPr>
                <w:sz w:val="20"/>
                <w:szCs w:val="20"/>
              </w:rPr>
            </w:pPr>
            <w:r w:rsidRPr="00871E51">
              <w:rPr>
                <w:color w:val="000000"/>
                <w:sz w:val="20"/>
                <w:szCs w:val="20"/>
              </w:rPr>
              <w:t>-1,021</w:t>
            </w:r>
          </w:p>
        </w:tc>
        <w:tc>
          <w:tcPr>
            <w:tcW w:w="1440" w:type="dxa"/>
            <w:shd w:val="clear" w:color="auto" w:fill="auto"/>
            <w:noWrap/>
            <w:vAlign w:val="center"/>
          </w:tcPr>
          <w:p w:rsidRPr="00455FBB" w:rsidR="00CC06C4" w:rsidP="00CC06C4" w:rsidRDefault="00CC06C4" w14:paraId="2F249698" w14:textId="3D59BBCE">
            <w:pPr>
              <w:keepNext/>
              <w:spacing w:after="0"/>
              <w:jc w:val="center"/>
              <w:rPr>
                <w:sz w:val="20"/>
                <w:szCs w:val="20"/>
              </w:rPr>
            </w:pPr>
            <w:r w:rsidRPr="00871E51">
              <w:rPr>
                <w:color w:val="000000"/>
                <w:sz w:val="20"/>
                <w:szCs w:val="20"/>
              </w:rPr>
              <w:t>-16,694</w:t>
            </w:r>
          </w:p>
        </w:tc>
        <w:tc>
          <w:tcPr>
            <w:tcW w:w="1350" w:type="dxa"/>
            <w:shd w:val="clear" w:color="auto" w:fill="auto"/>
            <w:noWrap/>
            <w:vAlign w:val="center"/>
          </w:tcPr>
          <w:p w:rsidRPr="00455FBB" w:rsidR="00CC06C4" w:rsidP="00CC06C4" w:rsidRDefault="00CC06C4" w14:paraId="29B21C4A" w14:textId="36869385">
            <w:pPr>
              <w:keepNext/>
              <w:spacing w:after="0"/>
              <w:jc w:val="center"/>
              <w:rPr>
                <w:sz w:val="20"/>
                <w:szCs w:val="20"/>
              </w:rPr>
            </w:pPr>
            <w:r w:rsidRPr="00871E51">
              <w:rPr>
                <w:color w:val="000000"/>
                <w:sz w:val="20"/>
                <w:szCs w:val="20"/>
              </w:rPr>
              <w:t>-52,481</w:t>
            </w:r>
          </w:p>
        </w:tc>
        <w:tc>
          <w:tcPr>
            <w:tcW w:w="1440" w:type="dxa"/>
            <w:shd w:val="clear" w:color="auto" w:fill="auto"/>
            <w:noWrap/>
            <w:vAlign w:val="center"/>
          </w:tcPr>
          <w:p w:rsidRPr="00455FBB" w:rsidR="00CC06C4" w:rsidP="00CC06C4" w:rsidRDefault="0004737C" w14:paraId="30F3F8E8" w14:textId="5F277E70">
            <w:pPr>
              <w:keepNext/>
              <w:spacing w:after="0"/>
              <w:jc w:val="center"/>
              <w:rPr>
                <w:sz w:val="20"/>
                <w:szCs w:val="20"/>
              </w:rPr>
            </w:pPr>
            <w:r>
              <w:rPr>
                <w:color w:val="000000"/>
                <w:sz w:val="20"/>
                <w:szCs w:val="20"/>
              </w:rPr>
              <w:t>+</w:t>
            </w:r>
            <w:r w:rsidRPr="00871E51" w:rsidR="00CC06C4">
              <w:rPr>
                <w:color w:val="000000"/>
                <w:sz w:val="20"/>
                <w:szCs w:val="20"/>
              </w:rPr>
              <w:t>44,385</w:t>
            </w:r>
          </w:p>
        </w:tc>
        <w:tc>
          <w:tcPr>
            <w:tcW w:w="1350" w:type="dxa"/>
            <w:vAlign w:val="center"/>
          </w:tcPr>
          <w:p w:rsidRPr="00455FBB" w:rsidR="00CC06C4" w:rsidP="00CC06C4" w:rsidRDefault="00CC06C4" w14:paraId="1AA0B4B3" w14:textId="2A6EA81E">
            <w:pPr>
              <w:keepNext/>
              <w:spacing w:after="0"/>
              <w:ind w:left="14"/>
              <w:jc w:val="center"/>
              <w:rPr>
                <w:sz w:val="20"/>
                <w:szCs w:val="20"/>
              </w:rPr>
            </w:pPr>
            <w:r w:rsidRPr="00871E51">
              <w:rPr>
                <w:color w:val="000000"/>
                <w:sz w:val="20"/>
                <w:szCs w:val="20"/>
              </w:rPr>
              <w:t>-25,811</w:t>
            </w:r>
          </w:p>
        </w:tc>
      </w:tr>
      <w:bookmarkEnd w:id="4"/>
    </w:tbl>
    <w:p w:rsidR="00A53A0D" w:rsidP="00FF6C71" w:rsidRDefault="00A53A0D" w14:paraId="7803276E" w14:textId="057C1854">
      <w:pPr>
        <w:jc w:val="both"/>
        <w:rPr>
          <w:sz w:val="20"/>
        </w:rPr>
      </w:pPr>
    </w:p>
    <w:p w:rsidRPr="00292878" w:rsidR="00D15988" w:rsidP="00D15988" w:rsidRDefault="00D15988" w14:paraId="08569F56" w14:textId="1957566A">
      <w:pPr>
        <w:keepNext/>
        <w:spacing w:after="0"/>
        <w:jc w:val="center"/>
        <w:rPr>
          <w:b/>
          <w:bCs/>
        </w:rPr>
      </w:pPr>
      <w:r w:rsidRPr="00292878">
        <w:rPr>
          <w:b/>
          <w:bCs/>
        </w:rPr>
        <w:t xml:space="preserve">TABLE </w:t>
      </w:r>
      <w:r>
        <w:rPr>
          <w:b/>
          <w:bCs/>
        </w:rPr>
        <w:t>6B</w:t>
      </w:r>
      <w:r w:rsidRPr="00292878">
        <w:rPr>
          <w:b/>
          <w:bCs/>
        </w:rPr>
        <w:t>:  Estimated Number of Clinicians Submitting Quality Performance Category Data by Collection Type</w:t>
      </w:r>
      <w:r>
        <w:rPr>
          <w:b/>
          <w:bCs/>
        </w:rPr>
        <w:t xml:space="preserve">, </w:t>
      </w:r>
      <w:r w:rsidR="0093230C">
        <w:rPr>
          <w:b/>
          <w:bCs/>
        </w:rPr>
        <w:t xml:space="preserve">CY </w:t>
      </w:r>
      <w:r>
        <w:rPr>
          <w:b/>
          <w:bCs/>
        </w:rPr>
        <w:t>202</w:t>
      </w:r>
      <w:r w:rsidR="00143534">
        <w:rPr>
          <w:b/>
          <w:bCs/>
        </w:rPr>
        <w:t xml:space="preserve">3 MIPS </w:t>
      </w:r>
      <w:r w:rsidR="00DA7228">
        <w:rPr>
          <w:b/>
          <w:bCs/>
        </w:rPr>
        <w:t>P</w:t>
      </w:r>
      <w:r w:rsidR="00143534">
        <w:rPr>
          <w:b/>
          <w:bCs/>
        </w:rPr>
        <w:t xml:space="preserve">erformance </w:t>
      </w:r>
      <w:r w:rsidR="00DA7228">
        <w:rPr>
          <w:b/>
          <w:bCs/>
        </w:rPr>
        <w:t>P</w:t>
      </w:r>
      <w:r w:rsidR="00143534">
        <w:rPr>
          <w:b/>
          <w:bCs/>
        </w:rPr>
        <w:t xml:space="preserve">eriod/2025 MIPS </w:t>
      </w:r>
      <w:r w:rsidR="00DA7228">
        <w:rPr>
          <w:b/>
          <w:bCs/>
        </w:rPr>
        <w:t>P</w:t>
      </w:r>
      <w:r w:rsidR="00143534">
        <w:rPr>
          <w:b/>
          <w:bCs/>
        </w:rPr>
        <w:t xml:space="preserve">ayment </w:t>
      </w:r>
      <w:r w:rsidR="00DA7228">
        <w:rPr>
          <w:b/>
          <w:bCs/>
        </w:rPr>
        <w:t>Year</w:t>
      </w:r>
    </w:p>
    <w:tbl>
      <w:tblPr>
        <w:tblStyle w:val="TableGrid"/>
        <w:tblW w:w="9445" w:type="dxa"/>
        <w:tblLook w:val="04A0" w:firstRow="1" w:lastRow="0" w:firstColumn="1" w:lastColumn="0" w:noHBand="0" w:noVBand="1"/>
      </w:tblPr>
      <w:tblGrid>
        <w:gridCol w:w="2254"/>
        <w:gridCol w:w="1316"/>
        <w:gridCol w:w="1516"/>
        <w:gridCol w:w="1516"/>
        <w:gridCol w:w="1327"/>
        <w:gridCol w:w="1516"/>
      </w:tblGrid>
      <w:tr w:rsidR="004800C5" w:rsidTr="00EB5476" w14:paraId="7188797A" w14:textId="77777777">
        <w:trPr>
          <w:cantSplit/>
          <w:tblHeader/>
        </w:trPr>
        <w:tc>
          <w:tcPr>
            <w:tcW w:w="2254" w:type="dxa"/>
            <w:vAlign w:val="center"/>
          </w:tcPr>
          <w:p w:rsidRPr="00CC1878" w:rsidR="004800C5" w:rsidP="004800C5" w:rsidRDefault="004800C5" w14:paraId="54D13A76" w14:textId="029F0757">
            <w:pPr>
              <w:rPr>
                <w:sz w:val="20"/>
                <w:szCs w:val="20"/>
              </w:rPr>
            </w:pPr>
            <w:r w:rsidRPr="00292878">
              <w:rPr>
                <w:b/>
                <w:sz w:val="20"/>
              </w:rPr>
              <w:t>Data Description</w:t>
            </w:r>
          </w:p>
        </w:tc>
        <w:tc>
          <w:tcPr>
            <w:tcW w:w="1316" w:type="dxa"/>
            <w:vAlign w:val="center"/>
          </w:tcPr>
          <w:p w:rsidRPr="00E3760B" w:rsidR="004800C5" w:rsidP="004800C5" w:rsidRDefault="004800C5" w14:paraId="79BC9622" w14:textId="29E9574B">
            <w:pPr>
              <w:jc w:val="center"/>
              <w:rPr>
                <w:sz w:val="20"/>
                <w:szCs w:val="20"/>
              </w:rPr>
            </w:pPr>
            <w:r w:rsidRPr="00292878">
              <w:rPr>
                <w:b/>
                <w:bCs/>
                <w:sz w:val="20"/>
                <w:szCs w:val="20"/>
              </w:rPr>
              <w:t>Claims</w:t>
            </w:r>
          </w:p>
        </w:tc>
        <w:tc>
          <w:tcPr>
            <w:tcW w:w="1516" w:type="dxa"/>
            <w:vAlign w:val="center"/>
          </w:tcPr>
          <w:p w:rsidRPr="00696E89" w:rsidR="004800C5" w:rsidP="004800C5" w:rsidRDefault="004800C5" w14:paraId="52D88B50" w14:textId="77C6A50C">
            <w:pPr>
              <w:jc w:val="center"/>
              <w:rPr>
                <w:sz w:val="20"/>
                <w:szCs w:val="20"/>
              </w:rPr>
            </w:pPr>
            <w:r w:rsidRPr="00292878">
              <w:rPr>
                <w:b/>
                <w:bCs/>
                <w:sz w:val="20"/>
                <w:szCs w:val="20"/>
              </w:rPr>
              <w:t>QCDR/</w:t>
            </w:r>
            <w:r>
              <w:rPr>
                <w:b/>
                <w:bCs/>
                <w:sz w:val="20"/>
                <w:szCs w:val="20"/>
              </w:rPr>
              <w:t>MIPS CQM</w:t>
            </w:r>
          </w:p>
        </w:tc>
        <w:tc>
          <w:tcPr>
            <w:tcW w:w="1516" w:type="dxa"/>
            <w:vAlign w:val="center"/>
          </w:tcPr>
          <w:p w:rsidRPr="00696E89" w:rsidR="004800C5" w:rsidP="004800C5" w:rsidRDefault="004800C5" w14:paraId="58656ABB" w14:textId="1AB6B52C">
            <w:pPr>
              <w:jc w:val="center"/>
              <w:rPr>
                <w:sz w:val="20"/>
                <w:szCs w:val="20"/>
              </w:rPr>
            </w:pPr>
            <w:r w:rsidRPr="00292878">
              <w:rPr>
                <w:b/>
                <w:bCs/>
                <w:sz w:val="20"/>
                <w:szCs w:val="20"/>
              </w:rPr>
              <w:t>eCQM</w:t>
            </w:r>
          </w:p>
        </w:tc>
        <w:tc>
          <w:tcPr>
            <w:tcW w:w="1327" w:type="dxa"/>
            <w:vAlign w:val="center"/>
          </w:tcPr>
          <w:p w:rsidRPr="00E3760B" w:rsidR="004800C5" w:rsidP="004800C5" w:rsidRDefault="004800C5" w14:paraId="45BC6CA3" w14:textId="6E511D8B">
            <w:pPr>
              <w:jc w:val="center"/>
              <w:rPr>
                <w:sz w:val="20"/>
                <w:szCs w:val="20"/>
              </w:rPr>
            </w:pPr>
            <w:r w:rsidRPr="00292878">
              <w:rPr>
                <w:b/>
                <w:bCs/>
                <w:sz w:val="20"/>
                <w:szCs w:val="20"/>
              </w:rPr>
              <w:t>CMS Web Interface</w:t>
            </w:r>
          </w:p>
        </w:tc>
        <w:tc>
          <w:tcPr>
            <w:tcW w:w="1516" w:type="dxa"/>
            <w:vAlign w:val="center"/>
          </w:tcPr>
          <w:p w:rsidRPr="00E3760B" w:rsidR="004800C5" w:rsidP="004800C5" w:rsidRDefault="004800C5" w14:paraId="68A087D9" w14:textId="38E73F0E">
            <w:pPr>
              <w:jc w:val="center"/>
              <w:rPr>
                <w:sz w:val="20"/>
                <w:szCs w:val="20"/>
              </w:rPr>
            </w:pPr>
            <w:r w:rsidRPr="00292878">
              <w:rPr>
                <w:b/>
                <w:bCs/>
                <w:sz w:val="20"/>
                <w:szCs w:val="20"/>
              </w:rPr>
              <w:t>Total</w:t>
            </w:r>
          </w:p>
        </w:tc>
      </w:tr>
      <w:tr w:rsidR="00B87888" w:rsidTr="00E53E05" w14:paraId="7C326BB5" w14:textId="082467A6">
        <w:tc>
          <w:tcPr>
            <w:tcW w:w="2254" w:type="dxa"/>
          </w:tcPr>
          <w:p w:rsidR="00B87888" w:rsidP="00B87888" w:rsidRDefault="00B87888" w14:paraId="3AC3B8DC" w14:textId="3E4A2AA1">
            <w:pPr>
              <w:rPr>
                <w:sz w:val="20"/>
              </w:rPr>
            </w:pPr>
            <w:r w:rsidRPr="00CC1878">
              <w:rPr>
                <w:sz w:val="20"/>
                <w:szCs w:val="20"/>
              </w:rPr>
              <w:t>202</w:t>
            </w:r>
            <w:r>
              <w:rPr>
                <w:sz w:val="20"/>
                <w:szCs w:val="20"/>
              </w:rPr>
              <w:t>3</w:t>
            </w:r>
            <w:r w:rsidRPr="00CC1878">
              <w:rPr>
                <w:sz w:val="20"/>
                <w:szCs w:val="20"/>
              </w:rPr>
              <w:t xml:space="preserve"> MIPS performance period </w:t>
            </w:r>
            <w:r w:rsidR="00EF43A5">
              <w:rPr>
                <w:sz w:val="20"/>
                <w:szCs w:val="20"/>
              </w:rPr>
              <w:t>prior to MVP and Web Interface adjustments</w:t>
            </w:r>
            <w:r w:rsidRPr="00CC1878" w:rsidR="00EF43A5">
              <w:rPr>
                <w:sz w:val="20"/>
                <w:szCs w:val="20"/>
              </w:rPr>
              <w:t xml:space="preserve"> </w:t>
            </w:r>
            <w:r w:rsidRPr="00CC1878">
              <w:rPr>
                <w:sz w:val="20"/>
                <w:szCs w:val="20"/>
              </w:rPr>
              <w:t>(excludes QPs) (</w:t>
            </w:r>
            <w:r w:rsidR="00A30F4E">
              <w:rPr>
                <w:sz w:val="20"/>
                <w:szCs w:val="20"/>
              </w:rPr>
              <w:t>a</w:t>
            </w:r>
            <w:r w:rsidRPr="00CC1878">
              <w:rPr>
                <w:sz w:val="20"/>
                <w:szCs w:val="20"/>
              </w:rPr>
              <w:t>)</w:t>
            </w:r>
          </w:p>
        </w:tc>
        <w:tc>
          <w:tcPr>
            <w:tcW w:w="1316" w:type="dxa"/>
            <w:vAlign w:val="center"/>
          </w:tcPr>
          <w:p w:rsidR="00B87888" w:rsidP="00B87888" w:rsidRDefault="00B87888" w14:paraId="0197AFFC" w14:textId="3E524ADD">
            <w:pPr>
              <w:jc w:val="center"/>
              <w:rPr>
                <w:sz w:val="20"/>
              </w:rPr>
            </w:pPr>
            <w:r w:rsidRPr="00871E51">
              <w:rPr>
                <w:color w:val="000000"/>
                <w:sz w:val="20"/>
                <w:szCs w:val="20"/>
              </w:rPr>
              <w:t>28,252</w:t>
            </w:r>
          </w:p>
        </w:tc>
        <w:tc>
          <w:tcPr>
            <w:tcW w:w="1516" w:type="dxa"/>
            <w:vAlign w:val="center"/>
          </w:tcPr>
          <w:p w:rsidR="00B87888" w:rsidP="00B87888" w:rsidRDefault="00B87888" w14:paraId="334704C7" w14:textId="760EDB18">
            <w:pPr>
              <w:jc w:val="center"/>
              <w:rPr>
                <w:sz w:val="20"/>
              </w:rPr>
            </w:pPr>
            <w:r w:rsidRPr="00871E51">
              <w:rPr>
                <w:color w:val="000000"/>
                <w:sz w:val="20"/>
                <w:szCs w:val="20"/>
              </w:rPr>
              <w:t>295,941</w:t>
            </w:r>
          </w:p>
        </w:tc>
        <w:tc>
          <w:tcPr>
            <w:tcW w:w="1516" w:type="dxa"/>
            <w:vAlign w:val="center"/>
          </w:tcPr>
          <w:p w:rsidR="00B87888" w:rsidP="00B87888" w:rsidRDefault="00B87888" w14:paraId="468F22E8" w14:textId="32F82D9E">
            <w:pPr>
              <w:jc w:val="center"/>
              <w:rPr>
                <w:sz w:val="20"/>
              </w:rPr>
            </w:pPr>
            <w:r w:rsidRPr="00871E51">
              <w:rPr>
                <w:color w:val="000000"/>
                <w:sz w:val="20"/>
                <w:szCs w:val="20"/>
              </w:rPr>
              <w:t>326,300</w:t>
            </w:r>
          </w:p>
        </w:tc>
        <w:tc>
          <w:tcPr>
            <w:tcW w:w="1327" w:type="dxa"/>
            <w:vAlign w:val="center"/>
          </w:tcPr>
          <w:p w:rsidR="00B87888" w:rsidP="00B87888" w:rsidRDefault="00B87888" w14:paraId="7C3AF0BD" w14:textId="75FAD0A6">
            <w:pPr>
              <w:jc w:val="center"/>
              <w:rPr>
                <w:sz w:val="20"/>
              </w:rPr>
            </w:pPr>
            <w:r w:rsidRPr="00871E51">
              <w:rPr>
                <w:color w:val="000000"/>
                <w:sz w:val="20"/>
                <w:szCs w:val="20"/>
              </w:rPr>
              <w:t>0</w:t>
            </w:r>
          </w:p>
        </w:tc>
        <w:tc>
          <w:tcPr>
            <w:tcW w:w="1516" w:type="dxa"/>
            <w:vAlign w:val="center"/>
          </w:tcPr>
          <w:p w:rsidR="00B87888" w:rsidP="00B87888" w:rsidRDefault="00B87888" w14:paraId="77A9085E" w14:textId="322370BC">
            <w:pPr>
              <w:jc w:val="center"/>
              <w:rPr>
                <w:sz w:val="20"/>
              </w:rPr>
            </w:pPr>
            <w:r w:rsidRPr="00871E51">
              <w:rPr>
                <w:color w:val="000000"/>
                <w:sz w:val="20"/>
                <w:szCs w:val="20"/>
              </w:rPr>
              <w:t>650,493</w:t>
            </w:r>
          </w:p>
        </w:tc>
      </w:tr>
      <w:tr w:rsidR="00DA5F60" w:rsidTr="00E53E05" w14:paraId="13DE6E73" w14:textId="77777777">
        <w:tc>
          <w:tcPr>
            <w:tcW w:w="2254" w:type="dxa"/>
          </w:tcPr>
          <w:p w:rsidRPr="00CC1878" w:rsidR="00DA5F60" w:rsidP="00DA5F60" w:rsidRDefault="00DA5F60" w14:paraId="6CE5E68C" w14:textId="21B9A9C4">
            <w:pPr>
              <w:rPr>
                <w:sz w:val="20"/>
                <w:szCs w:val="20"/>
              </w:rPr>
            </w:pPr>
            <w:r w:rsidRPr="00871E51">
              <w:rPr>
                <w:sz w:val="20"/>
                <w:szCs w:val="20"/>
              </w:rPr>
              <w:t xml:space="preserve"> Adjustment for Web Interface Sunset (</w:t>
            </w:r>
            <w:r w:rsidR="00A30F4E">
              <w:rPr>
                <w:sz w:val="20"/>
                <w:szCs w:val="20"/>
              </w:rPr>
              <w:t>b</w:t>
            </w:r>
            <w:r w:rsidRPr="00871E51">
              <w:rPr>
                <w:sz w:val="20"/>
                <w:szCs w:val="20"/>
              </w:rPr>
              <w:t>)</w:t>
            </w:r>
          </w:p>
        </w:tc>
        <w:tc>
          <w:tcPr>
            <w:tcW w:w="1316" w:type="dxa"/>
            <w:vAlign w:val="center"/>
          </w:tcPr>
          <w:p w:rsidRPr="00684DFD" w:rsidR="00DA5F60" w:rsidP="00DA5F60" w:rsidRDefault="00DA5F60" w14:paraId="4ACA6AB7" w14:textId="22F92359">
            <w:pPr>
              <w:jc w:val="center"/>
              <w:rPr>
                <w:sz w:val="20"/>
                <w:szCs w:val="20"/>
              </w:rPr>
            </w:pPr>
            <w:r w:rsidRPr="00871E51">
              <w:rPr>
                <w:color w:val="000000"/>
                <w:sz w:val="20"/>
                <w:szCs w:val="20"/>
              </w:rPr>
              <w:t>0</w:t>
            </w:r>
          </w:p>
        </w:tc>
        <w:tc>
          <w:tcPr>
            <w:tcW w:w="1516" w:type="dxa"/>
            <w:vAlign w:val="center"/>
          </w:tcPr>
          <w:p w:rsidRPr="00696E89" w:rsidR="00DA5F60" w:rsidP="00DA5F60" w:rsidRDefault="00DA5F60" w14:paraId="526CD103" w14:textId="4ACDC621">
            <w:pPr>
              <w:jc w:val="center"/>
              <w:rPr>
                <w:sz w:val="20"/>
                <w:szCs w:val="20"/>
              </w:rPr>
            </w:pPr>
            <w:r w:rsidRPr="00871E51">
              <w:rPr>
                <w:color w:val="000000"/>
                <w:sz w:val="20"/>
                <w:szCs w:val="20"/>
              </w:rPr>
              <w:t>24,767</w:t>
            </w:r>
          </w:p>
        </w:tc>
        <w:tc>
          <w:tcPr>
            <w:tcW w:w="1516" w:type="dxa"/>
            <w:vAlign w:val="center"/>
          </w:tcPr>
          <w:p w:rsidRPr="00696E89" w:rsidR="00DA5F60" w:rsidP="00DA5F60" w:rsidRDefault="00DA5F60" w14:paraId="339B3476" w14:textId="5336ADB0">
            <w:pPr>
              <w:jc w:val="center"/>
              <w:rPr>
                <w:sz w:val="20"/>
                <w:szCs w:val="20"/>
              </w:rPr>
            </w:pPr>
            <w:r w:rsidRPr="00871E51">
              <w:rPr>
                <w:color w:val="000000"/>
                <w:sz w:val="20"/>
                <w:szCs w:val="20"/>
              </w:rPr>
              <w:t>19,618</w:t>
            </w:r>
          </w:p>
        </w:tc>
        <w:tc>
          <w:tcPr>
            <w:tcW w:w="1327" w:type="dxa"/>
            <w:vAlign w:val="center"/>
          </w:tcPr>
          <w:p w:rsidRPr="00CC1878" w:rsidR="00DA5F60" w:rsidP="00DA5F60" w:rsidRDefault="00DA5F60" w14:paraId="64385A92" w14:textId="73B220A3">
            <w:pPr>
              <w:jc w:val="center"/>
              <w:rPr>
                <w:sz w:val="20"/>
                <w:szCs w:val="20"/>
              </w:rPr>
            </w:pPr>
            <w:r w:rsidRPr="00871E51">
              <w:rPr>
                <w:color w:val="000000"/>
                <w:sz w:val="20"/>
                <w:szCs w:val="20"/>
              </w:rPr>
              <w:t>0</w:t>
            </w:r>
          </w:p>
        </w:tc>
        <w:tc>
          <w:tcPr>
            <w:tcW w:w="1516" w:type="dxa"/>
            <w:vAlign w:val="center"/>
          </w:tcPr>
          <w:p w:rsidRPr="00CC1878" w:rsidR="00DA5F60" w:rsidP="00DA5F60" w:rsidRDefault="00DA5F60" w14:paraId="60F78CB9" w14:textId="139AF60B">
            <w:pPr>
              <w:jc w:val="center"/>
              <w:rPr>
                <w:bCs/>
                <w:sz w:val="20"/>
                <w:szCs w:val="20"/>
              </w:rPr>
            </w:pPr>
            <w:r w:rsidRPr="00871E51">
              <w:rPr>
                <w:color w:val="000000"/>
                <w:sz w:val="20"/>
                <w:szCs w:val="20"/>
              </w:rPr>
              <w:t>44,385</w:t>
            </w:r>
          </w:p>
        </w:tc>
      </w:tr>
      <w:tr w:rsidR="00F828A9" w:rsidTr="00E53E05" w14:paraId="0A70F088" w14:textId="77777777">
        <w:tc>
          <w:tcPr>
            <w:tcW w:w="2254" w:type="dxa"/>
          </w:tcPr>
          <w:p w:rsidRPr="00CC1878" w:rsidR="00F828A9" w:rsidP="00F828A9" w:rsidRDefault="00F828A9" w14:paraId="20D686A5" w14:textId="0F21FA7F">
            <w:pPr>
              <w:rPr>
                <w:sz w:val="20"/>
                <w:szCs w:val="20"/>
              </w:rPr>
            </w:pPr>
            <w:r w:rsidRPr="00871E51">
              <w:rPr>
                <w:sz w:val="20"/>
                <w:szCs w:val="20"/>
              </w:rPr>
              <w:t xml:space="preserve"> Adjustment for Shift to MVP (10% reduction) (</w:t>
            </w:r>
            <w:r w:rsidR="00A30F4E">
              <w:rPr>
                <w:sz w:val="20"/>
                <w:szCs w:val="20"/>
              </w:rPr>
              <w:t>c</w:t>
            </w:r>
            <w:r w:rsidRPr="00871E51">
              <w:rPr>
                <w:sz w:val="20"/>
                <w:szCs w:val="20"/>
              </w:rPr>
              <w:t>) = ((</w:t>
            </w:r>
            <w:r w:rsidR="00A30F4E">
              <w:rPr>
                <w:sz w:val="20"/>
                <w:szCs w:val="20"/>
              </w:rPr>
              <w:t>a</w:t>
            </w:r>
            <w:r w:rsidRPr="00871E51">
              <w:rPr>
                <w:sz w:val="20"/>
                <w:szCs w:val="20"/>
              </w:rPr>
              <w:t>) + (</w:t>
            </w:r>
            <w:r w:rsidR="00A30F4E">
              <w:rPr>
                <w:sz w:val="20"/>
                <w:szCs w:val="20"/>
              </w:rPr>
              <w:t>b</w:t>
            </w:r>
            <w:r w:rsidRPr="00871E51">
              <w:rPr>
                <w:sz w:val="20"/>
                <w:szCs w:val="20"/>
              </w:rPr>
              <w:t>)) * -.1</w:t>
            </w:r>
          </w:p>
        </w:tc>
        <w:tc>
          <w:tcPr>
            <w:tcW w:w="1316" w:type="dxa"/>
            <w:vAlign w:val="center"/>
          </w:tcPr>
          <w:p w:rsidRPr="00684DFD" w:rsidR="00F828A9" w:rsidP="00F828A9" w:rsidRDefault="00F828A9" w14:paraId="60F82575" w14:textId="5ECDF3A7">
            <w:pPr>
              <w:jc w:val="center"/>
              <w:rPr>
                <w:sz w:val="20"/>
                <w:szCs w:val="20"/>
              </w:rPr>
            </w:pPr>
            <w:r w:rsidRPr="00871E51">
              <w:rPr>
                <w:color w:val="000000"/>
                <w:sz w:val="20"/>
                <w:szCs w:val="20"/>
              </w:rPr>
              <w:t>-2,825</w:t>
            </w:r>
          </w:p>
        </w:tc>
        <w:tc>
          <w:tcPr>
            <w:tcW w:w="1516" w:type="dxa"/>
            <w:vAlign w:val="center"/>
          </w:tcPr>
          <w:p w:rsidRPr="00696E89" w:rsidR="00F828A9" w:rsidP="00F828A9" w:rsidRDefault="00F828A9" w14:paraId="2AC1D837" w14:textId="1E0928DC">
            <w:pPr>
              <w:jc w:val="center"/>
              <w:rPr>
                <w:sz w:val="20"/>
                <w:szCs w:val="20"/>
              </w:rPr>
            </w:pPr>
            <w:r w:rsidRPr="00871E51">
              <w:rPr>
                <w:color w:val="000000"/>
                <w:sz w:val="20"/>
                <w:szCs w:val="20"/>
              </w:rPr>
              <w:t>-32,071</w:t>
            </w:r>
          </w:p>
        </w:tc>
        <w:tc>
          <w:tcPr>
            <w:tcW w:w="1516" w:type="dxa"/>
            <w:vAlign w:val="center"/>
          </w:tcPr>
          <w:p w:rsidRPr="00696E89" w:rsidR="00F828A9" w:rsidP="00F828A9" w:rsidRDefault="00F828A9" w14:paraId="6990803B" w14:textId="60713592">
            <w:pPr>
              <w:jc w:val="center"/>
              <w:rPr>
                <w:sz w:val="20"/>
                <w:szCs w:val="20"/>
              </w:rPr>
            </w:pPr>
            <w:r w:rsidRPr="00871E51">
              <w:rPr>
                <w:color w:val="000000"/>
                <w:sz w:val="20"/>
                <w:szCs w:val="20"/>
              </w:rPr>
              <w:t>-34,592</w:t>
            </w:r>
          </w:p>
        </w:tc>
        <w:tc>
          <w:tcPr>
            <w:tcW w:w="1327" w:type="dxa"/>
            <w:vAlign w:val="center"/>
          </w:tcPr>
          <w:p w:rsidRPr="00CC1878" w:rsidR="00F828A9" w:rsidP="00F828A9" w:rsidRDefault="00F828A9" w14:paraId="679457DC" w14:textId="7220FDF9">
            <w:pPr>
              <w:jc w:val="center"/>
              <w:rPr>
                <w:sz w:val="20"/>
                <w:szCs w:val="20"/>
              </w:rPr>
            </w:pPr>
            <w:r w:rsidRPr="00871E51">
              <w:rPr>
                <w:color w:val="000000"/>
                <w:sz w:val="20"/>
                <w:szCs w:val="20"/>
              </w:rPr>
              <w:t>0</w:t>
            </w:r>
          </w:p>
        </w:tc>
        <w:tc>
          <w:tcPr>
            <w:tcW w:w="1516" w:type="dxa"/>
            <w:vAlign w:val="center"/>
          </w:tcPr>
          <w:p w:rsidRPr="00CC1878" w:rsidR="00F828A9" w:rsidP="00F828A9" w:rsidRDefault="00F828A9" w14:paraId="40FB7980" w14:textId="76BC34C9">
            <w:pPr>
              <w:jc w:val="center"/>
              <w:rPr>
                <w:bCs/>
                <w:sz w:val="20"/>
                <w:szCs w:val="20"/>
              </w:rPr>
            </w:pPr>
            <w:r w:rsidRPr="00871E51">
              <w:rPr>
                <w:color w:val="000000"/>
                <w:sz w:val="20"/>
                <w:szCs w:val="20"/>
              </w:rPr>
              <w:t>-69,488</w:t>
            </w:r>
          </w:p>
        </w:tc>
      </w:tr>
      <w:tr w:rsidR="00183A4D" w:rsidTr="00E53E05" w14:paraId="516E65CB" w14:textId="77777777">
        <w:tc>
          <w:tcPr>
            <w:tcW w:w="2254" w:type="dxa"/>
          </w:tcPr>
          <w:p w:rsidRPr="00CC1878" w:rsidR="00183A4D" w:rsidP="00183A4D" w:rsidRDefault="00183A4D" w14:paraId="6A3B69DD" w14:textId="739B164D">
            <w:pPr>
              <w:rPr>
                <w:sz w:val="20"/>
                <w:szCs w:val="20"/>
              </w:rPr>
            </w:pPr>
            <w:r w:rsidRPr="00871E51">
              <w:rPr>
                <w:sz w:val="20"/>
                <w:szCs w:val="20"/>
              </w:rPr>
              <w:t>2023 after adjustments (</w:t>
            </w:r>
            <w:r w:rsidR="00A30F4E">
              <w:rPr>
                <w:sz w:val="20"/>
                <w:szCs w:val="20"/>
              </w:rPr>
              <w:t>d</w:t>
            </w:r>
            <w:r w:rsidRPr="00871E51">
              <w:rPr>
                <w:sz w:val="20"/>
                <w:szCs w:val="20"/>
              </w:rPr>
              <w:t>) = (</w:t>
            </w:r>
            <w:r w:rsidR="00C16D6F">
              <w:rPr>
                <w:sz w:val="20"/>
                <w:szCs w:val="20"/>
              </w:rPr>
              <w:t>a</w:t>
            </w:r>
            <w:r w:rsidRPr="00871E51">
              <w:rPr>
                <w:sz w:val="20"/>
                <w:szCs w:val="20"/>
              </w:rPr>
              <w:t>) + (</w:t>
            </w:r>
            <w:r w:rsidR="00C16D6F">
              <w:rPr>
                <w:sz w:val="20"/>
                <w:szCs w:val="20"/>
              </w:rPr>
              <w:t>b</w:t>
            </w:r>
            <w:r w:rsidRPr="00871E51">
              <w:rPr>
                <w:sz w:val="20"/>
                <w:szCs w:val="20"/>
              </w:rPr>
              <w:t>) + (</w:t>
            </w:r>
            <w:r w:rsidR="00C16D6F">
              <w:rPr>
                <w:sz w:val="20"/>
                <w:szCs w:val="20"/>
              </w:rPr>
              <w:t>c</w:t>
            </w:r>
            <w:r w:rsidRPr="00871E51">
              <w:rPr>
                <w:sz w:val="20"/>
                <w:szCs w:val="20"/>
              </w:rPr>
              <w:t xml:space="preserve">) </w:t>
            </w:r>
          </w:p>
        </w:tc>
        <w:tc>
          <w:tcPr>
            <w:tcW w:w="1316" w:type="dxa"/>
            <w:vAlign w:val="center"/>
          </w:tcPr>
          <w:p w:rsidRPr="00684DFD" w:rsidR="00183A4D" w:rsidP="00183A4D" w:rsidRDefault="00183A4D" w14:paraId="04593E8C" w14:textId="4E7E2DCE">
            <w:pPr>
              <w:jc w:val="center"/>
              <w:rPr>
                <w:sz w:val="20"/>
                <w:szCs w:val="20"/>
              </w:rPr>
            </w:pPr>
            <w:r w:rsidRPr="00871E51">
              <w:rPr>
                <w:color w:val="000000"/>
                <w:sz w:val="20"/>
                <w:szCs w:val="20"/>
              </w:rPr>
              <w:t>25,427</w:t>
            </w:r>
          </w:p>
        </w:tc>
        <w:tc>
          <w:tcPr>
            <w:tcW w:w="1516" w:type="dxa"/>
            <w:vAlign w:val="center"/>
          </w:tcPr>
          <w:p w:rsidRPr="00696E89" w:rsidR="00183A4D" w:rsidP="00183A4D" w:rsidRDefault="00183A4D" w14:paraId="6EC12C9D" w14:textId="59B00BE7">
            <w:pPr>
              <w:jc w:val="center"/>
              <w:rPr>
                <w:sz w:val="20"/>
                <w:szCs w:val="20"/>
              </w:rPr>
            </w:pPr>
            <w:r w:rsidRPr="00871E51">
              <w:rPr>
                <w:color w:val="000000"/>
                <w:sz w:val="20"/>
                <w:szCs w:val="20"/>
              </w:rPr>
              <w:t>288,637</w:t>
            </w:r>
          </w:p>
        </w:tc>
        <w:tc>
          <w:tcPr>
            <w:tcW w:w="1516" w:type="dxa"/>
            <w:vAlign w:val="center"/>
          </w:tcPr>
          <w:p w:rsidRPr="00696E89" w:rsidR="00183A4D" w:rsidP="00183A4D" w:rsidRDefault="00183A4D" w14:paraId="03D9863D" w14:textId="51C5957A">
            <w:pPr>
              <w:jc w:val="center"/>
              <w:rPr>
                <w:sz w:val="20"/>
                <w:szCs w:val="20"/>
              </w:rPr>
            </w:pPr>
            <w:r w:rsidRPr="00871E51">
              <w:rPr>
                <w:color w:val="000000"/>
                <w:sz w:val="20"/>
                <w:szCs w:val="20"/>
              </w:rPr>
              <w:t>311,326</w:t>
            </w:r>
          </w:p>
        </w:tc>
        <w:tc>
          <w:tcPr>
            <w:tcW w:w="1327" w:type="dxa"/>
            <w:vAlign w:val="center"/>
          </w:tcPr>
          <w:p w:rsidRPr="00CC1878" w:rsidR="00183A4D" w:rsidP="00183A4D" w:rsidRDefault="00183A4D" w14:paraId="4AFF87BC" w14:textId="24044D20">
            <w:pPr>
              <w:jc w:val="center"/>
              <w:rPr>
                <w:sz w:val="20"/>
                <w:szCs w:val="20"/>
              </w:rPr>
            </w:pPr>
            <w:r w:rsidRPr="00871E51">
              <w:rPr>
                <w:color w:val="000000"/>
                <w:sz w:val="20"/>
                <w:szCs w:val="20"/>
              </w:rPr>
              <w:t>0</w:t>
            </w:r>
          </w:p>
        </w:tc>
        <w:tc>
          <w:tcPr>
            <w:tcW w:w="1516" w:type="dxa"/>
            <w:vAlign w:val="center"/>
          </w:tcPr>
          <w:p w:rsidRPr="00CC1878" w:rsidR="00183A4D" w:rsidP="00183A4D" w:rsidRDefault="00183A4D" w14:paraId="48070C44" w14:textId="540F9C5D">
            <w:pPr>
              <w:jc w:val="center"/>
              <w:rPr>
                <w:bCs/>
                <w:sz w:val="20"/>
                <w:szCs w:val="20"/>
              </w:rPr>
            </w:pPr>
            <w:r w:rsidRPr="00871E51">
              <w:rPr>
                <w:color w:val="000000"/>
                <w:sz w:val="20"/>
                <w:szCs w:val="20"/>
              </w:rPr>
              <w:t>625,390</w:t>
            </w:r>
          </w:p>
        </w:tc>
      </w:tr>
      <w:tr w:rsidR="00D00D1C" w:rsidTr="00E53E05" w14:paraId="53D4A110" w14:textId="560FC7DB">
        <w:tc>
          <w:tcPr>
            <w:tcW w:w="2254" w:type="dxa"/>
          </w:tcPr>
          <w:p w:rsidR="00D00D1C" w:rsidP="00D00D1C" w:rsidRDefault="00D00D1C" w14:paraId="355AF212" w14:textId="14A89CAA">
            <w:pPr>
              <w:rPr>
                <w:sz w:val="20"/>
              </w:rPr>
            </w:pPr>
            <w:r w:rsidRPr="00CC1878">
              <w:rPr>
                <w:sz w:val="20"/>
                <w:szCs w:val="20"/>
              </w:rPr>
              <w:t xml:space="preserve">* </w:t>
            </w:r>
            <w:r w:rsidR="00473B6C">
              <w:rPr>
                <w:sz w:val="20"/>
                <w:szCs w:val="20"/>
              </w:rPr>
              <w:t xml:space="preserve">Currently approved </w:t>
            </w:r>
            <w:r w:rsidRPr="00CC1878">
              <w:rPr>
                <w:sz w:val="20"/>
                <w:szCs w:val="20"/>
              </w:rPr>
              <w:t>202</w:t>
            </w:r>
            <w:r>
              <w:rPr>
                <w:sz w:val="20"/>
                <w:szCs w:val="20"/>
              </w:rPr>
              <w:t>2</w:t>
            </w:r>
            <w:r w:rsidRPr="00CC1878">
              <w:rPr>
                <w:sz w:val="20"/>
                <w:szCs w:val="20"/>
              </w:rPr>
              <w:t xml:space="preserve"> MIPS performance period (excludes QPs) (</w:t>
            </w:r>
            <w:r>
              <w:rPr>
                <w:sz w:val="20"/>
                <w:szCs w:val="20"/>
              </w:rPr>
              <w:t>e</w:t>
            </w:r>
            <w:r w:rsidRPr="00CC1878">
              <w:rPr>
                <w:sz w:val="20"/>
                <w:szCs w:val="20"/>
              </w:rPr>
              <w:t>)</w:t>
            </w:r>
          </w:p>
        </w:tc>
        <w:tc>
          <w:tcPr>
            <w:tcW w:w="1316" w:type="dxa"/>
            <w:vAlign w:val="center"/>
          </w:tcPr>
          <w:p w:rsidR="00D00D1C" w:rsidP="00D00D1C" w:rsidRDefault="00D00D1C" w14:paraId="7D0564FE" w14:textId="238EDA5C">
            <w:pPr>
              <w:jc w:val="center"/>
              <w:rPr>
                <w:sz w:val="20"/>
              </w:rPr>
            </w:pPr>
            <w:r w:rsidRPr="00871E51">
              <w:rPr>
                <w:color w:val="000000"/>
                <w:sz w:val="20"/>
                <w:szCs w:val="20"/>
              </w:rPr>
              <w:t>29,273</w:t>
            </w:r>
          </w:p>
        </w:tc>
        <w:tc>
          <w:tcPr>
            <w:tcW w:w="1516" w:type="dxa"/>
            <w:vAlign w:val="center"/>
          </w:tcPr>
          <w:p w:rsidR="00D00D1C" w:rsidP="00D00D1C" w:rsidRDefault="00D00D1C" w14:paraId="530056EA" w14:textId="3A5BC288">
            <w:pPr>
              <w:jc w:val="center"/>
              <w:rPr>
                <w:sz w:val="20"/>
              </w:rPr>
            </w:pPr>
            <w:r w:rsidRPr="00871E51">
              <w:rPr>
                <w:color w:val="000000"/>
                <w:sz w:val="20"/>
                <w:szCs w:val="20"/>
              </w:rPr>
              <w:t>295,941</w:t>
            </w:r>
          </w:p>
        </w:tc>
        <w:tc>
          <w:tcPr>
            <w:tcW w:w="1516" w:type="dxa"/>
            <w:vAlign w:val="center"/>
          </w:tcPr>
          <w:p w:rsidR="00D00D1C" w:rsidP="00D00D1C" w:rsidRDefault="00D00D1C" w14:paraId="4F13258D" w14:textId="6D429D57">
            <w:pPr>
              <w:jc w:val="center"/>
              <w:rPr>
                <w:sz w:val="20"/>
              </w:rPr>
            </w:pPr>
            <w:r w:rsidRPr="00871E51">
              <w:rPr>
                <w:color w:val="000000"/>
                <w:sz w:val="20"/>
                <w:szCs w:val="20"/>
              </w:rPr>
              <w:t>326,300</w:t>
            </w:r>
          </w:p>
        </w:tc>
        <w:tc>
          <w:tcPr>
            <w:tcW w:w="1327" w:type="dxa"/>
            <w:vAlign w:val="center"/>
          </w:tcPr>
          <w:p w:rsidR="00D00D1C" w:rsidP="00D00D1C" w:rsidRDefault="00D00D1C" w14:paraId="2C946432" w14:textId="2F9B0CD1">
            <w:pPr>
              <w:jc w:val="center"/>
              <w:rPr>
                <w:sz w:val="20"/>
              </w:rPr>
            </w:pPr>
            <w:r w:rsidRPr="00871E51">
              <w:rPr>
                <w:color w:val="000000"/>
                <w:sz w:val="20"/>
                <w:szCs w:val="20"/>
              </w:rPr>
              <w:t>0</w:t>
            </w:r>
          </w:p>
        </w:tc>
        <w:tc>
          <w:tcPr>
            <w:tcW w:w="1516" w:type="dxa"/>
            <w:vAlign w:val="center"/>
          </w:tcPr>
          <w:p w:rsidR="00D00D1C" w:rsidP="00D00D1C" w:rsidRDefault="00D00D1C" w14:paraId="36730695" w14:textId="6A476B4A">
            <w:pPr>
              <w:jc w:val="center"/>
              <w:rPr>
                <w:sz w:val="20"/>
              </w:rPr>
            </w:pPr>
            <w:r w:rsidRPr="00871E51">
              <w:rPr>
                <w:color w:val="000000"/>
                <w:sz w:val="20"/>
                <w:szCs w:val="20"/>
              </w:rPr>
              <w:t>651,514</w:t>
            </w:r>
          </w:p>
        </w:tc>
      </w:tr>
      <w:tr w:rsidR="00F605F3" w:rsidTr="00E53E05" w14:paraId="1E080DCB" w14:textId="30457C67">
        <w:trPr>
          <w:trHeight w:val="305"/>
        </w:trPr>
        <w:tc>
          <w:tcPr>
            <w:tcW w:w="2254" w:type="dxa"/>
          </w:tcPr>
          <w:p w:rsidR="00F605F3" w:rsidP="00F605F3" w:rsidRDefault="00F605F3" w14:paraId="1F33C6EB" w14:textId="5F44CB86">
            <w:pPr>
              <w:jc w:val="both"/>
              <w:rPr>
                <w:sz w:val="20"/>
              </w:rPr>
            </w:pPr>
            <w:r w:rsidRPr="00CC1878">
              <w:rPr>
                <w:sz w:val="20"/>
                <w:szCs w:val="20"/>
              </w:rPr>
              <w:t>Difference (</w:t>
            </w:r>
            <w:r>
              <w:rPr>
                <w:sz w:val="20"/>
                <w:szCs w:val="20"/>
              </w:rPr>
              <w:t>f</w:t>
            </w:r>
            <w:r w:rsidRPr="00CC1878">
              <w:rPr>
                <w:sz w:val="20"/>
                <w:szCs w:val="20"/>
              </w:rPr>
              <w:t>)=(</w:t>
            </w:r>
            <w:r>
              <w:rPr>
                <w:sz w:val="20"/>
                <w:szCs w:val="20"/>
              </w:rPr>
              <w:t>d</w:t>
            </w:r>
            <w:r w:rsidRPr="00CC1878">
              <w:rPr>
                <w:sz w:val="20"/>
                <w:szCs w:val="20"/>
              </w:rPr>
              <w:t>)-(</w:t>
            </w:r>
            <w:r>
              <w:rPr>
                <w:sz w:val="20"/>
                <w:szCs w:val="20"/>
              </w:rPr>
              <w:t>e</w:t>
            </w:r>
            <w:r w:rsidRPr="00CC1878">
              <w:rPr>
                <w:sz w:val="20"/>
                <w:szCs w:val="20"/>
              </w:rPr>
              <w:t>)</w:t>
            </w:r>
          </w:p>
        </w:tc>
        <w:tc>
          <w:tcPr>
            <w:tcW w:w="1316" w:type="dxa"/>
            <w:vAlign w:val="center"/>
          </w:tcPr>
          <w:p w:rsidR="00F605F3" w:rsidP="00F605F3" w:rsidRDefault="00F605F3" w14:paraId="2062F2A0" w14:textId="50EBED05">
            <w:pPr>
              <w:jc w:val="center"/>
              <w:rPr>
                <w:sz w:val="20"/>
              </w:rPr>
            </w:pPr>
            <w:r w:rsidRPr="00871E51">
              <w:rPr>
                <w:color w:val="000000"/>
                <w:sz w:val="20"/>
                <w:szCs w:val="20"/>
              </w:rPr>
              <w:t>-3,846</w:t>
            </w:r>
          </w:p>
        </w:tc>
        <w:tc>
          <w:tcPr>
            <w:tcW w:w="1516" w:type="dxa"/>
            <w:vAlign w:val="center"/>
          </w:tcPr>
          <w:p w:rsidR="00F605F3" w:rsidP="00F605F3" w:rsidRDefault="00F605F3" w14:paraId="0F02A205" w14:textId="05F0AB51">
            <w:pPr>
              <w:jc w:val="center"/>
              <w:rPr>
                <w:sz w:val="20"/>
              </w:rPr>
            </w:pPr>
            <w:r w:rsidRPr="00871E51">
              <w:rPr>
                <w:color w:val="000000"/>
                <w:sz w:val="20"/>
                <w:szCs w:val="20"/>
              </w:rPr>
              <w:t>-7,304</w:t>
            </w:r>
          </w:p>
        </w:tc>
        <w:tc>
          <w:tcPr>
            <w:tcW w:w="1516" w:type="dxa"/>
            <w:vAlign w:val="center"/>
          </w:tcPr>
          <w:p w:rsidR="00F605F3" w:rsidP="00F605F3" w:rsidRDefault="00F605F3" w14:paraId="730E4EA3" w14:textId="7CE8F560">
            <w:pPr>
              <w:jc w:val="center"/>
              <w:rPr>
                <w:sz w:val="20"/>
              </w:rPr>
            </w:pPr>
            <w:r w:rsidRPr="00871E51">
              <w:rPr>
                <w:color w:val="000000"/>
                <w:sz w:val="20"/>
                <w:szCs w:val="20"/>
              </w:rPr>
              <w:t>-14,974</w:t>
            </w:r>
          </w:p>
        </w:tc>
        <w:tc>
          <w:tcPr>
            <w:tcW w:w="1327" w:type="dxa"/>
            <w:vAlign w:val="center"/>
          </w:tcPr>
          <w:p w:rsidR="00F605F3" w:rsidP="00F605F3" w:rsidRDefault="00F605F3" w14:paraId="06EBC598" w14:textId="596E16AD">
            <w:pPr>
              <w:jc w:val="center"/>
              <w:rPr>
                <w:sz w:val="20"/>
              </w:rPr>
            </w:pPr>
            <w:r w:rsidRPr="00871E51">
              <w:rPr>
                <w:color w:val="000000"/>
                <w:sz w:val="20"/>
                <w:szCs w:val="20"/>
              </w:rPr>
              <w:t>0</w:t>
            </w:r>
          </w:p>
        </w:tc>
        <w:tc>
          <w:tcPr>
            <w:tcW w:w="1516" w:type="dxa"/>
            <w:vAlign w:val="center"/>
          </w:tcPr>
          <w:p w:rsidR="00F605F3" w:rsidP="00F605F3" w:rsidRDefault="00F605F3" w14:paraId="74C25BB3" w14:textId="5CB54515">
            <w:pPr>
              <w:jc w:val="center"/>
              <w:rPr>
                <w:sz w:val="20"/>
              </w:rPr>
            </w:pPr>
            <w:r w:rsidRPr="00871E51">
              <w:rPr>
                <w:color w:val="000000"/>
                <w:sz w:val="20"/>
                <w:szCs w:val="20"/>
              </w:rPr>
              <w:t>-26,124</w:t>
            </w:r>
          </w:p>
        </w:tc>
      </w:tr>
    </w:tbl>
    <w:p w:rsidR="009064EF" w:rsidP="00FF6C71" w:rsidRDefault="005014D8" w14:paraId="47C0EA1C" w14:textId="31282F90">
      <w:pPr>
        <w:jc w:val="both"/>
        <w:rPr>
          <w:sz w:val="20"/>
        </w:rPr>
      </w:pPr>
      <w:r>
        <w:rPr>
          <w:sz w:val="20"/>
        </w:rPr>
        <w:t xml:space="preserve">*Currently </w:t>
      </w:r>
      <w:r w:rsidR="009A5036">
        <w:rPr>
          <w:sz w:val="20"/>
        </w:rPr>
        <w:t>a</w:t>
      </w:r>
      <w:r>
        <w:rPr>
          <w:sz w:val="20"/>
        </w:rPr>
        <w:t>pproved</w:t>
      </w:r>
      <w:r w:rsidR="009A5036">
        <w:rPr>
          <w:sz w:val="20"/>
        </w:rPr>
        <w:t xml:space="preserve"> </w:t>
      </w:r>
      <w:r w:rsidRPr="00871E51" w:rsidR="009A5036">
        <w:rPr>
          <w:rFonts w:eastAsia="Calibri"/>
          <w:sz w:val="20"/>
          <w:szCs w:val="20"/>
        </w:rPr>
        <w:t>by OMB under control number 0938-1314 (CMS-10621) from the CY 2021 PFS final rule.</w:t>
      </w:r>
    </w:p>
    <w:p w:rsidRPr="00FF6C71" w:rsidR="00FF6C71" w:rsidP="00730BEF" w:rsidRDefault="002D29D0" w14:paraId="001B9D0E" w14:textId="45BE977E">
      <w:pPr>
        <w:rPr>
          <w:rFonts w:eastAsia="Calibri"/>
        </w:rPr>
      </w:pPr>
      <w:r w:rsidRPr="002D29D0">
        <w:rPr>
          <w:rFonts w:eastAsia="Calibri"/>
        </w:rPr>
        <w:lastRenderedPageBreak/>
        <w:t xml:space="preserve">Because MIPS eligible clinicians may submit data for multiple collection types for a single performance category, the estimated numbers of individual clinicians and groups to collect via the various collection types are not mutually exclusive and reflect the occurrence of individual clinicians or groups that collected data via multiple collection types during the </w:t>
      </w:r>
      <w:r w:rsidR="00591587">
        <w:rPr>
          <w:rFonts w:eastAsia="Calibri"/>
        </w:rPr>
        <w:t xml:space="preserve">CY </w:t>
      </w:r>
      <w:r w:rsidRPr="002D29D0">
        <w:rPr>
          <w:rFonts w:eastAsia="Calibri"/>
        </w:rPr>
        <w:t>2019 MIPS performance period</w:t>
      </w:r>
      <w:r w:rsidR="00591587">
        <w:rPr>
          <w:rFonts w:eastAsia="Calibri"/>
        </w:rPr>
        <w:t>/2021 MIPS payment year</w:t>
      </w:r>
      <w:r w:rsidRPr="002D29D0">
        <w:rPr>
          <w:rFonts w:eastAsia="Calibri"/>
        </w:rPr>
        <w:t>.  We captured the burden of any eligible clinician that may have historically collected via multiple collection types, as we assume they will continue to collect via multiple collection types and that our MIPS scoring methodology will take the highest score where the same measure is submitted via multiple collection types</w:t>
      </w:r>
      <w:r w:rsidRPr="00FF6C71" w:rsidR="00FF6C71">
        <w:rPr>
          <w:rFonts w:eastAsia="Calibri"/>
        </w:rPr>
        <w:t xml:space="preserve">.  </w:t>
      </w:r>
    </w:p>
    <w:p w:rsidR="00A53456" w:rsidP="00730BEF" w:rsidRDefault="00FF6C71" w14:paraId="63C4E63B" w14:textId="3B09D073">
      <w:pPr>
        <w:rPr>
          <w:rFonts w:eastAsia="Calibri"/>
        </w:rPr>
      </w:pPr>
      <w:r w:rsidRPr="00FF6C71">
        <w:rPr>
          <w:rFonts w:eastAsia="Calibri"/>
        </w:rPr>
        <w:t>Table</w:t>
      </w:r>
      <w:r w:rsidR="00141AAD">
        <w:rPr>
          <w:rFonts w:eastAsia="Calibri"/>
        </w:rPr>
        <w:t>s</w:t>
      </w:r>
      <w:r w:rsidRPr="00FF6C71">
        <w:rPr>
          <w:rFonts w:eastAsia="Calibri"/>
        </w:rPr>
        <w:t xml:space="preserve"> </w:t>
      </w:r>
      <w:r w:rsidR="005014D8">
        <w:rPr>
          <w:rFonts w:eastAsia="Calibri"/>
        </w:rPr>
        <w:t>7</w:t>
      </w:r>
      <w:r w:rsidR="00141AAD">
        <w:rPr>
          <w:rFonts w:eastAsia="Calibri"/>
        </w:rPr>
        <w:t>A and 7B</w:t>
      </w:r>
      <w:r w:rsidRPr="00FF6C71">
        <w:rPr>
          <w:rFonts w:eastAsia="Calibri"/>
        </w:rPr>
        <w:t xml:space="preserve"> </w:t>
      </w:r>
      <w:r w:rsidRPr="00906350" w:rsidR="00906350">
        <w:rPr>
          <w:rFonts w:eastAsia="Calibri"/>
        </w:rPr>
        <w:t xml:space="preserve">use methods similar to those described to estimate the number of clinicians that will submit data as individual clinicians via each collection type in the </w:t>
      </w:r>
      <w:r w:rsidR="00E431F8">
        <w:rPr>
          <w:rFonts w:eastAsia="Calibri"/>
        </w:rPr>
        <w:t xml:space="preserve">CY </w:t>
      </w:r>
      <w:r w:rsidRPr="00906350" w:rsidR="00906350">
        <w:rPr>
          <w:rFonts w:eastAsia="Calibri"/>
        </w:rPr>
        <w:t>202</w:t>
      </w:r>
      <w:r w:rsidR="00E431F8">
        <w:rPr>
          <w:rFonts w:eastAsia="Calibri"/>
        </w:rPr>
        <w:t>2</w:t>
      </w:r>
      <w:r w:rsidRPr="00906350" w:rsidR="00906350">
        <w:rPr>
          <w:rFonts w:eastAsia="Calibri"/>
        </w:rPr>
        <w:t xml:space="preserve"> and 202</w:t>
      </w:r>
      <w:r w:rsidR="00E431F8">
        <w:rPr>
          <w:rFonts w:eastAsia="Calibri"/>
        </w:rPr>
        <w:t>3</w:t>
      </w:r>
      <w:r w:rsidRPr="00906350" w:rsidR="00906350">
        <w:rPr>
          <w:rFonts w:eastAsia="Calibri"/>
        </w:rPr>
        <w:t xml:space="preserve"> MIPS performance periods</w:t>
      </w:r>
      <w:r w:rsidR="00E431F8">
        <w:rPr>
          <w:rFonts w:eastAsia="Calibri"/>
        </w:rPr>
        <w:t>/2024 and 2025 MIPS payment years</w:t>
      </w:r>
      <w:r w:rsidR="0090528F">
        <w:rPr>
          <w:rFonts w:eastAsia="Calibri"/>
        </w:rPr>
        <w:t>, respectively</w:t>
      </w:r>
      <w:r w:rsidRPr="00906350" w:rsidR="00906350">
        <w:rPr>
          <w:rFonts w:eastAsia="Calibri"/>
        </w:rPr>
        <w:t xml:space="preserve">.  For the </w:t>
      </w:r>
      <w:r w:rsidR="001E65DF">
        <w:rPr>
          <w:rFonts w:eastAsia="Calibri"/>
        </w:rPr>
        <w:t xml:space="preserve">CY </w:t>
      </w:r>
      <w:r w:rsidRPr="00906350" w:rsidR="00906350">
        <w:rPr>
          <w:rFonts w:eastAsia="Calibri"/>
        </w:rPr>
        <w:t xml:space="preserve">2022 </w:t>
      </w:r>
      <w:r w:rsidR="001E65DF">
        <w:rPr>
          <w:rFonts w:eastAsia="Calibri"/>
        </w:rPr>
        <w:t xml:space="preserve">MIPS </w:t>
      </w:r>
      <w:r w:rsidRPr="00906350" w:rsidR="00906350">
        <w:rPr>
          <w:rFonts w:eastAsia="Calibri"/>
        </w:rPr>
        <w:t>performance period</w:t>
      </w:r>
      <w:r w:rsidR="001E65DF">
        <w:rPr>
          <w:rFonts w:eastAsia="Calibri"/>
        </w:rPr>
        <w:t xml:space="preserve">/2024 MIPS payment </w:t>
      </w:r>
      <w:r w:rsidR="00CD7506">
        <w:rPr>
          <w:rFonts w:eastAsia="Calibri"/>
        </w:rPr>
        <w:t>year</w:t>
      </w:r>
      <w:r w:rsidRPr="00906350" w:rsidR="00906350">
        <w:rPr>
          <w:rFonts w:eastAsia="Calibri"/>
        </w:rPr>
        <w:t xml:space="preserve">, we estimate that approximately </w:t>
      </w:r>
      <w:r w:rsidRPr="001222BE" w:rsidR="001222BE">
        <w:rPr>
          <w:rFonts w:eastAsia="Calibri"/>
        </w:rPr>
        <w:t xml:space="preserve">28,252 </w:t>
      </w:r>
      <w:r w:rsidRPr="00906350" w:rsidR="00906350">
        <w:rPr>
          <w:rFonts w:eastAsia="Calibri"/>
        </w:rPr>
        <w:t xml:space="preserve">clinicians will submit data as individuals using the Medicare Part B claims collection type; approximately </w:t>
      </w:r>
      <w:r w:rsidRPr="00933A9A" w:rsidR="00933A9A">
        <w:rPr>
          <w:rFonts w:eastAsia="Calibri"/>
        </w:rPr>
        <w:t xml:space="preserve">40,507 </w:t>
      </w:r>
      <w:r w:rsidRPr="00906350" w:rsidR="00906350">
        <w:rPr>
          <w:rFonts w:eastAsia="Calibri"/>
        </w:rPr>
        <w:t xml:space="preserve">clinicians will submit data as individuals using MIPS CQM and QCDR collection type; and approximately </w:t>
      </w:r>
      <w:r w:rsidRPr="000F017D" w:rsidR="000F017D">
        <w:rPr>
          <w:rFonts w:eastAsia="Calibri"/>
        </w:rPr>
        <w:t xml:space="preserve">40,446 </w:t>
      </w:r>
      <w:r w:rsidRPr="00906350" w:rsidR="00906350">
        <w:rPr>
          <w:rFonts w:eastAsia="Calibri"/>
        </w:rPr>
        <w:t xml:space="preserve">clinicians will submit data as individuals using eCQMs collection type.  Based on data from the </w:t>
      </w:r>
      <w:r w:rsidR="005A5FC5">
        <w:rPr>
          <w:rFonts w:eastAsia="Calibri"/>
        </w:rPr>
        <w:t xml:space="preserve">CY </w:t>
      </w:r>
      <w:r w:rsidRPr="00906350" w:rsidR="00906350">
        <w:rPr>
          <w:rFonts w:eastAsia="Calibri"/>
        </w:rPr>
        <w:t>2019 MIPS performance period</w:t>
      </w:r>
      <w:r w:rsidR="005A5FC5">
        <w:rPr>
          <w:rFonts w:eastAsia="Calibri"/>
        </w:rPr>
        <w:t>/2021 MIPS payment year</w:t>
      </w:r>
      <w:r w:rsidRPr="00906350" w:rsidR="00906350">
        <w:rPr>
          <w:rFonts w:eastAsia="Calibri"/>
        </w:rPr>
        <w:t xml:space="preserve">, these are decreases </w:t>
      </w:r>
      <w:r w:rsidRPr="00AB62F6" w:rsidR="00AB62F6">
        <w:rPr>
          <w:rFonts w:eastAsia="Calibri"/>
        </w:rPr>
        <w:t>these are decreases of -1,021, -833, and -1,809 respondents from the currently approved estimates of 29,273, 41,340, and 42,255 for the Medicare Part B claims, MIPS CQM and QCDR, and eCQM collection types, respectively.</w:t>
      </w:r>
    </w:p>
    <w:p w:rsidRPr="00871E51" w:rsidR="00A53456" w:rsidP="00653C95" w:rsidRDefault="00A53456" w14:paraId="13C160C5" w14:textId="30262ECA">
      <w:pPr>
        <w:rPr>
          <w:rFonts w:eastAsia="Calibri"/>
        </w:rPr>
      </w:pPr>
      <w:r>
        <w:rPr>
          <w:rFonts w:eastAsia="Calibri"/>
        </w:rPr>
        <w:t>F</w:t>
      </w:r>
      <w:r w:rsidRPr="00760A84">
        <w:rPr>
          <w:rFonts w:eastAsia="Calibri"/>
        </w:rPr>
        <w:t>or the CY 2023 MIPS performance period/2025 MIPS payment year, we estimate that approximately 25,427 clinicians will submit data as individuals using the Medicare Part B claims collection type; approximately 36,456 clinicians will submit data as individuals using MIPS CQM and QCDR collection type; and approximately 36,401 clinicians will submit data as individuals using eCQMs collection type.  Based on performance data from the CY 2019 MIPS performance period/2021 MIPS payment year, these are decreases of -3,846, -4,884, and -5,854 respondents from the currently approved estimates of 29,273, 41,340, and 42,255 for the Medicare Part B claims, MIPS CQM and QCDR, and eCQM collection types, respectively.</w:t>
      </w:r>
    </w:p>
    <w:p w:rsidRPr="00292878" w:rsidR="004F199C" w:rsidP="00730BEF" w:rsidRDefault="004F199C" w14:paraId="0998D3E1" w14:textId="586481D4"/>
    <w:p w:rsidRPr="00292878" w:rsidR="004F199C" w:rsidP="004F199C" w:rsidRDefault="004F199C" w14:paraId="7584E1AE" w14:textId="0466CA65">
      <w:pPr>
        <w:keepNext/>
        <w:spacing w:after="0"/>
        <w:jc w:val="center"/>
      </w:pPr>
      <w:r w:rsidRPr="00292878">
        <w:rPr>
          <w:b/>
          <w:bCs/>
        </w:rPr>
        <w:t xml:space="preserve">TABLE </w:t>
      </w:r>
      <w:r w:rsidR="005014D8">
        <w:rPr>
          <w:b/>
          <w:bCs/>
        </w:rPr>
        <w:t>7</w:t>
      </w:r>
      <w:r w:rsidR="00D15988">
        <w:rPr>
          <w:b/>
          <w:bCs/>
        </w:rPr>
        <w:t>A</w:t>
      </w:r>
      <w:r w:rsidRPr="00292878">
        <w:rPr>
          <w:b/>
          <w:bCs/>
        </w:rPr>
        <w:t xml:space="preserve">: Estimated Number of Clinicians Submitting Quality Performance </w:t>
      </w:r>
      <w:r w:rsidRPr="00292878">
        <w:rPr>
          <w:b/>
        </w:rPr>
        <w:br/>
      </w:r>
      <w:r w:rsidRPr="00292878">
        <w:rPr>
          <w:b/>
          <w:bCs/>
        </w:rPr>
        <w:t>Category Data as Individuals by Collection Type</w:t>
      </w:r>
      <w:r w:rsidR="00D15988">
        <w:rPr>
          <w:b/>
          <w:bCs/>
        </w:rPr>
        <w:t xml:space="preserve">, </w:t>
      </w:r>
      <w:r w:rsidR="00B17296">
        <w:rPr>
          <w:b/>
          <w:bCs/>
        </w:rPr>
        <w:t xml:space="preserve">CY </w:t>
      </w:r>
      <w:r w:rsidR="00D15988">
        <w:rPr>
          <w:b/>
          <w:bCs/>
        </w:rPr>
        <w:t>202</w:t>
      </w:r>
      <w:r w:rsidR="00B17296">
        <w:rPr>
          <w:b/>
          <w:bCs/>
        </w:rPr>
        <w:t>2 MIPS Performance Period/202</w:t>
      </w:r>
      <w:r w:rsidRPr="003A5937" w:rsidR="006A5A8C">
        <w:rPr>
          <w:b/>
        </w:rPr>
        <w:t>4</w:t>
      </w:r>
      <w:r w:rsidR="00B17296">
        <w:rPr>
          <w:b/>
          <w:bCs/>
        </w:rPr>
        <w:t xml:space="preserve"> MIPS Payment Year</w:t>
      </w:r>
    </w:p>
    <w:tbl>
      <w:tblPr>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3"/>
        <w:gridCol w:w="1316"/>
        <w:gridCol w:w="1440"/>
        <w:gridCol w:w="1350"/>
        <w:gridCol w:w="1440"/>
        <w:gridCol w:w="1516"/>
      </w:tblGrid>
      <w:tr w:rsidRPr="00292878" w:rsidR="004F199C" w:rsidTr="003B1A98" w14:paraId="73792C9F" w14:textId="77777777">
        <w:trPr>
          <w:trHeight w:val="765"/>
          <w:jc w:val="center"/>
        </w:trPr>
        <w:tc>
          <w:tcPr>
            <w:tcW w:w="2383" w:type="dxa"/>
            <w:shd w:val="clear" w:color="auto" w:fill="auto"/>
            <w:vAlign w:val="center"/>
            <w:hideMark/>
          </w:tcPr>
          <w:p w:rsidRPr="00292878" w:rsidR="004F199C" w:rsidP="004F199C" w:rsidRDefault="004F199C" w14:paraId="05D2C614" w14:textId="61CA7597">
            <w:pPr>
              <w:keepNext/>
              <w:spacing w:after="0"/>
              <w:jc w:val="center"/>
              <w:rPr>
                <w:b/>
                <w:sz w:val="20"/>
                <w:szCs w:val="20"/>
              </w:rPr>
            </w:pPr>
            <w:r w:rsidRPr="00292878">
              <w:rPr>
                <w:b/>
                <w:sz w:val="20"/>
                <w:szCs w:val="20"/>
              </w:rPr>
              <w:t>Data Description</w:t>
            </w:r>
          </w:p>
        </w:tc>
        <w:tc>
          <w:tcPr>
            <w:tcW w:w="1316" w:type="dxa"/>
            <w:shd w:val="clear" w:color="auto" w:fill="auto"/>
            <w:vAlign w:val="center"/>
            <w:hideMark/>
          </w:tcPr>
          <w:p w:rsidRPr="00292878" w:rsidR="004F199C" w:rsidP="004F199C" w:rsidRDefault="004F199C" w14:paraId="0205961B" w14:textId="77777777">
            <w:pPr>
              <w:keepNext/>
              <w:spacing w:after="0"/>
              <w:jc w:val="center"/>
              <w:rPr>
                <w:b/>
                <w:bCs/>
                <w:sz w:val="20"/>
                <w:szCs w:val="20"/>
              </w:rPr>
            </w:pPr>
            <w:r w:rsidRPr="00292878">
              <w:rPr>
                <w:b/>
                <w:bCs/>
                <w:sz w:val="20"/>
                <w:szCs w:val="20"/>
              </w:rPr>
              <w:t>Claims</w:t>
            </w:r>
          </w:p>
        </w:tc>
        <w:tc>
          <w:tcPr>
            <w:tcW w:w="1440" w:type="dxa"/>
            <w:shd w:val="clear" w:color="auto" w:fill="auto"/>
            <w:vAlign w:val="center"/>
            <w:hideMark/>
          </w:tcPr>
          <w:p w:rsidRPr="00292878" w:rsidR="004F199C" w:rsidP="004F199C" w:rsidRDefault="004F199C" w14:paraId="2B5C3D10" w14:textId="0C86B19A">
            <w:pPr>
              <w:keepNext/>
              <w:spacing w:after="0"/>
              <w:jc w:val="center"/>
              <w:rPr>
                <w:b/>
                <w:bCs/>
                <w:sz w:val="20"/>
                <w:szCs w:val="20"/>
              </w:rPr>
            </w:pPr>
            <w:r w:rsidRPr="00292878">
              <w:rPr>
                <w:b/>
                <w:bCs/>
                <w:sz w:val="20"/>
                <w:szCs w:val="20"/>
              </w:rPr>
              <w:t>QCDR/</w:t>
            </w:r>
            <w:r w:rsidR="00037FF8">
              <w:rPr>
                <w:b/>
                <w:bCs/>
                <w:sz w:val="20"/>
                <w:szCs w:val="20"/>
              </w:rPr>
              <w:t>MIPS CQM</w:t>
            </w:r>
          </w:p>
        </w:tc>
        <w:tc>
          <w:tcPr>
            <w:tcW w:w="1350" w:type="dxa"/>
            <w:shd w:val="clear" w:color="auto" w:fill="auto"/>
            <w:vAlign w:val="center"/>
            <w:hideMark/>
          </w:tcPr>
          <w:p w:rsidRPr="00292878" w:rsidR="004F199C" w:rsidP="004F199C" w:rsidRDefault="004F199C" w14:paraId="0C9F4B96" w14:textId="77777777">
            <w:pPr>
              <w:keepNext/>
              <w:spacing w:after="0"/>
              <w:jc w:val="center"/>
              <w:rPr>
                <w:b/>
                <w:bCs/>
                <w:sz w:val="20"/>
                <w:szCs w:val="20"/>
              </w:rPr>
            </w:pPr>
            <w:r w:rsidRPr="00292878">
              <w:rPr>
                <w:b/>
                <w:bCs/>
                <w:sz w:val="20"/>
                <w:szCs w:val="20"/>
              </w:rPr>
              <w:t>eCQM</w:t>
            </w:r>
          </w:p>
        </w:tc>
        <w:tc>
          <w:tcPr>
            <w:tcW w:w="1440" w:type="dxa"/>
            <w:shd w:val="clear" w:color="auto" w:fill="auto"/>
            <w:vAlign w:val="center"/>
            <w:hideMark/>
          </w:tcPr>
          <w:p w:rsidRPr="00292878" w:rsidR="004F199C" w:rsidP="004F199C" w:rsidRDefault="004F199C" w14:paraId="56236985" w14:textId="77777777">
            <w:pPr>
              <w:keepNext/>
              <w:spacing w:after="0"/>
              <w:jc w:val="center"/>
              <w:rPr>
                <w:b/>
                <w:bCs/>
                <w:sz w:val="20"/>
                <w:szCs w:val="20"/>
              </w:rPr>
            </w:pPr>
            <w:r w:rsidRPr="00292878">
              <w:rPr>
                <w:b/>
                <w:bCs/>
                <w:sz w:val="20"/>
                <w:szCs w:val="20"/>
              </w:rPr>
              <w:t>CMS Web Interface</w:t>
            </w:r>
          </w:p>
        </w:tc>
        <w:tc>
          <w:tcPr>
            <w:tcW w:w="1516" w:type="dxa"/>
            <w:vAlign w:val="center"/>
          </w:tcPr>
          <w:p w:rsidRPr="00292878" w:rsidR="004F199C" w:rsidP="004F199C" w:rsidRDefault="004F199C" w14:paraId="2793FDB7" w14:textId="77777777">
            <w:pPr>
              <w:keepNext/>
              <w:spacing w:after="0"/>
              <w:jc w:val="center"/>
              <w:rPr>
                <w:b/>
                <w:bCs/>
                <w:sz w:val="20"/>
                <w:szCs w:val="20"/>
              </w:rPr>
            </w:pPr>
            <w:r w:rsidRPr="00292878">
              <w:rPr>
                <w:b/>
                <w:bCs/>
                <w:sz w:val="20"/>
                <w:szCs w:val="20"/>
              </w:rPr>
              <w:t>Total</w:t>
            </w:r>
          </w:p>
        </w:tc>
      </w:tr>
      <w:tr w:rsidRPr="00292878" w:rsidR="003B1A98" w:rsidTr="003B1A98" w14:paraId="061391B8" w14:textId="77777777">
        <w:trPr>
          <w:trHeight w:val="458"/>
          <w:jc w:val="center"/>
        </w:trPr>
        <w:tc>
          <w:tcPr>
            <w:tcW w:w="2383" w:type="dxa"/>
            <w:tcBorders>
              <w:top w:val="single" w:color="auto" w:sz="4" w:space="0"/>
              <w:left w:val="single" w:color="auto" w:sz="4" w:space="0"/>
              <w:bottom w:val="single" w:color="auto" w:sz="4" w:space="0"/>
              <w:right w:val="single" w:color="auto" w:sz="4" w:space="0"/>
            </w:tcBorders>
            <w:shd w:val="clear" w:color="auto" w:fill="auto"/>
            <w:hideMark/>
          </w:tcPr>
          <w:p w:rsidRPr="005014D8" w:rsidR="003B1A98" w:rsidP="003B1A98" w:rsidRDefault="003B1A98" w14:paraId="0AB1B31F" w14:textId="726AB8D3">
            <w:pPr>
              <w:keepNext/>
              <w:spacing w:after="0"/>
              <w:rPr>
                <w:sz w:val="20"/>
                <w:szCs w:val="20"/>
              </w:rPr>
            </w:pPr>
            <w:r w:rsidRPr="005014D8">
              <w:rPr>
                <w:sz w:val="20"/>
                <w:szCs w:val="20"/>
              </w:rPr>
              <w:t>202</w:t>
            </w:r>
            <w:r>
              <w:rPr>
                <w:sz w:val="20"/>
                <w:szCs w:val="20"/>
              </w:rPr>
              <w:t>2</w:t>
            </w:r>
            <w:r w:rsidRPr="005014D8">
              <w:rPr>
                <w:sz w:val="20"/>
                <w:szCs w:val="20"/>
              </w:rPr>
              <w:t xml:space="preserve"> MIPS Performance Period (excludes QPs) (a)</w:t>
            </w:r>
          </w:p>
        </w:tc>
        <w:tc>
          <w:tcPr>
            <w:tcW w:w="1316" w:type="dxa"/>
            <w:tcBorders>
              <w:top w:val="single" w:color="auto" w:sz="4" w:space="0"/>
              <w:left w:val="single" w:color="auto" w:sz="4" w:space="0"/>
              <w:bottom w:val="single" w:color="auto" w:sz="4" w:space="0"/>
              <w:right w:val="single" w:color="auto" w:sz="4" w:space="0"/>
            </w:tcBorders>
            <w:shd w:val="clear" w:color="auto" w:fill="auto"/>
            <w:noWrap/>
          </w:tcPr>
          <w:p w:rsidRPr="003B1A98" w:rsidR="003B1A98" w:rsidP="003B1A98" w:rsidRDefault="003B1A98" w14:paraId="5E315A57" w14:textId="03416267">
            <w:pPr>
              <w:keepNext/>
              <w:spacing w:after="0"/>
              <w:jc w:val="center"/>
              <w:rPr>
                <w:rFonts w:eastAsia="Calibri"/>
                <w:sz w:val="20"/>
                <w:szCs w:val="20"/>
              </w:rPr>
            </w:pPr>
            <w:r w:rsidRPr="003B1A98">
              <w:rPr>
                <w:rFonts w:eastAsia="Calibri"/>
                <w:sz w:val="20"/>
                <w:szCs w:val="20"/>
              </w:rPr>
              <w:t>28,252</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3B1A98" w:rsidR="003B1A98" w:rsidP="003B1A98" w:rsidRDefault="003B1A98" w14:paraId="2663B0A5" w14:textId="7E68C4AF">
            <w:pPr>
              <w:keepNext/>
              <w:spacing w:after="0"/>
              <w:jc w:val="center"/>
              <w:rPr>
                <w:rFonts w:eastAsia="Calibri"/>
                <w:sz w:val="20"/>
                <w:szCs w:val="20"/>
              </w:rPr>
            </w:pPr>
            <w:r w:rsidRPr="003B1A98">
              <w:rPr>
                <w:rFonts w:eastAsia="Calibri"/>
                <w:sz w:val="20"/>
                <w:szCs w:val="20"/>
              </w:rPr>
              <w:t>40,507</w:t>
            </w:r>
          </w:p>
        </w:tc>
        <w:tc>
          <w:tcPr>
            <w:tcW w:w="1350" w:type="dxa"/>
            <w:tcBorders>
              <w:top w:val="single" w:color="auto" w:sz="4" w:space="0"/>
              <w:left w:val="single" w:color="auto" w:sz="4" w:space="0"/>
              <w:bottom w:val="single" w:color="auto" w:sz="4" w:space="0"/>
              <w:right w:val="single" w:color="auto" w:sz="4" w:space="0"/>
            </w:tcBorders>
            <w:shd w:val="clear" w:color="auto" w:fill="auto"/>
            <w:noWrap/>
          </w:tcPr>
          <w:p w:rsidRPr="003B1A98" w:rsidR="003B1A98" w:rsidP="003B1A98" w:rsidRDefault="003B1A98" w14:paraId="597C7924" w14:textId="1DFC0962">
            <w:pPr>
              <w:keepNext/>
              <w:spacing w:after="0"/>
              <w:jc w:val="center"/>
              <w:rPr>
                <w:rFonts w:eastAsia="Calibri"/>
                <w:sz w:val="20"/>
                <w:szCs w:val="20"/>
              </w:rPr>
            </w:pPr>
            <w:r w:rsidRPr="003B1A98">
              <w:rPr>
                <w:rFonts w:eastAsia="Calibri"/>
                <w:sz w:val="20"/>
                <w:szCs w:val="20"/>
              </w:rPr>
              <w:t>40,446</w:t>
            </w:r>
          </w:p>
        </w:tc>
        <w:tc>
          <w:tcPr>
            <w:tcW w:w="1440" w:type="dxa"/>
            <w:tcBorders>
              <w:top w:val="single" w:color="auto" w:sz="4" w:space="0"/>
              <w:left w:val="single" w:color="auto" w:sz="4" w:space="0"/>
              <w:bottom w:val="single" w:color="auto" w:sz="4" w:space="0"/>
              <w:right w:val="single" w:color="auto" w:sz="4" w:space="0"/>
            </w:tcBorders>
            <w:shd w:val="clear" w:color="auto" w:fill="auto"/>
            <w:noWrap/>
            <w:hideMark/>
          </w:tcPr>
          <w:p w:rsidRPr="003B1A98" w:rsidR="003B1A98" w:rsidP="003B1A98" w:rsidRDefault="003B1A98" w14:paraId="174033B2" w14:textId="6900C153">
            <w:pPr>
              <w:keepNext/>
              <w:spacing w:after="0"/>
              <w:jc w:val="center"/>
              <w:rPr>
                <w:rFonts w:eastAsia="Calibri"/>
                <w:sz w:val="20"/>
                <w:szCs w:val="20"/>
              </w:rPr>
            </w:pPr>
            <w:r w:rsidRPr="003B1A98">
              <w:rPr>
                <w:rFonts w:eastAsia="Calibri"/>
                <w:sz w:val="20"/>
                <w:szCs w:val="20"/>
              </w:rPr>
              <w:t>0</w:t>
            </w:r>
          </w:p>
        </w:tc>
        <w:tc>
          <w:tcPr>
            <w:tcW w:w="1516" w:type="dxa"/>
            <w:tcBorders>
              <w:top w:val="single" w:color="auto" w:sz="4" w:space="0"/>
              <w:left w:val="single" w:color="auto" w:sz="4" w:space="0"/>
              <w:bottom w:val="single" w:color="auto" w:sz="4" w:space="0"/>
              <w:right w:val="single" w:color="auto" w:sz="4" w:space="0"/>
            </w:tcBorders>
            <w:shd w:val="clear" w:color="auto" w:fill="auto"/>
          </w:tcPr>
          <w:p w:rsidRPr="003B1A98" w:rsidR="003B1A98" w:rsidP="003B1A98" w:rsidRDefault="003B1A98" w14:paraId="150BF06F" w14:textId="5D058D5A">
            <w:pPr>
              <w:keepNext/>
              <w:spacing w:after="0"/>
              <w:jc w:val="center"/>
              <w:rPr>
                <w:rFonts w:eastAsia="Calibri"/>
                <w:sz w:val="20"/>
                <w:szCs w:val="20"/>
              </w:rPr>
            </w:pPr>
            <w:r w:rsidRPr="003B1A98">
              <w:rPr>
                <w:rFonts w:eastAsia="Calibri"/>
                <w:sz w:val="20"/>
                <w:szCs w:val="20"/>
              </w:rPr>
              <w:t>109,205</w:t>
            </w:r>
          </w:p>
        </w:tc>
      </w:tr>
      <w:tr w:rsidRPr="00292878" w:rsidR="00E5546D" w:rsidTr="003B1A98" w14:paraId="3A10D0FF" w14:textId="77777777">
        <w:trPr>
          <w:trHeight w:val="440"/>
          <w:jc w:val="center"/>
        </w:trPr>
        <w:tc>
          <w:tcPr>
            <w:tcW w:w="2383" w:type="dxa"/>
            <w:tcBorders>
              <w:top w:val="single" w:color="auto" w:sz="4" w:space="0"/>
              <w:left w:val="single" w:color="auto" w:sz="4" w:space="0"/>
              <w:bottom w:val="single" w:color="auto" w:sz="4" w:space="0"/>
              <w:right w:val="single" w:color="auto" w:sz="4" w:space="0"/>
            </w:tcBorders>
            <w:shd w:val="clear" w:color="auto" w:fill="auto"/>
          </w:tcPr>
          <w:p w:rsidRPr="005014D8" w:rsidR="00E5546D" w:rsidP="00E5546D" w:rsidRDefault="00E5546D" w14:paraId="37C9E695" w14:textId="390CADBB">
            <w:pPr>
              <w:keepNext/>
              <w:spacing w:after="0"/>
              <w:rPr>
                <w:sz w:val="20"/>
                <w:szCs w:val="20"/>
              </w:rPr>
            </w:pPr>
            <w:r w:rsidRPr="005014D8">
              <w:rPr>
                <w:sz w:val="20"/>
                <w:szCs w:val="20"/>
              </w:rPr>
              <w:t xml:space="preserve">* </w:t>
            </w:r>
            <w:r>
              <w:rPr>
                <w:sz w:val="20"/>
                <w:szCs w:val="20"/>
              </w:rPr>
              <w:t xml:space="preserve">Currently approved </w:t>
            </w:r>
            <w:r w:rsidRPr="005014D8">
              <w:rPr>
                <w:sz w:val="20"/>
                <w:szCs w:val="20"/>
              </w:rPr>
              <w:t>202</w:t>
            </w:r>
            <w:r>
              <w:rPr>
                <w:sz w:val="20"/>
                <w:szCs w:val="20"/>
              </w:rPr>
              <w:t>2</w:t>
            </w:r>
            <w:r w:rsidRPr="005014D8">
              <w:rPr>
                <w:sz w:val="20"/>
                <w:szCs w:val="20"/>
              </w:rPr>
              <w:t xml:space="preserve"> MIPS Performance Period (excludes QPs) (b)</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014D8" w:rsidR="00E5546D" w:rsidP="00E5546D" w:rsidRDefault="00E5546D" w14:paraId="579FB872" w14:textId="3671B853">
            <w:pPr>
              <w:keepNext/>
              <w:spacing w:after="0"/>
              <w:jc w:val="center"/>
              <w:rPr>
                <w:sz w:val="20"/>
                <w:szCs w:val="20"/>
              </w:rPr>
            </w:pPr>
            <w:r w:rsidRPr="00E3760B">
              <w:rPr>
                <w:rFonts w:eastAsia="Calibri"/>
                <w:sz w:val="20"/>
                <w:szCs w:val="20"/>
              </w:rPr>
              <w:t>29,273</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014D8" w:rsidR="00E5546D" w:rsidP="00E5546D" w:rsidRDefault="00E5546D" w14:paraId="2573D0D9" w14:textId="43B91661">
            <w:pPr>
              <w:keepNext/>
              <w:spacing w:after="0"/>
              <w:jc w:val="center"/>
              <w:rPr>
                <w:sz w:val="20"/>
                <w:szCs w:val="20"/>
              </w:rPr>
            </w:pPr>
            <w:r w:rsidRPr="00E3760B">
              <w:rPr>
                <w:rFonts w:eastAsia="Calibri"/>
                <w:sz w:val="20"/>
                <w:szCs w:val="20"/>
              </w:rPr>
              <w:t>41,340</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014D8" w:rsidR="00E5546D" w:rsidP="00E5546D" w:rsidRDefault="00E5546D" w14:paraId="671FC9BB" w14:textId="2E9C52FE">
            <w:pPr>
              <w:keepNext/>
              <w:spacing w:after="0"/>
              <w:jc w:val="center"/>
              <w:rPr>
                <w:sz w:val="20"/>
                <w:szCs w:val="20"/>
              </w:rPr>
            </w:pPr>
            <w:r w:rsidRPr="000B6F80">
              <w:rPr>
                <w:rFonts w:eastAsia="Calibri"/>
                <w:sz w:val="20"/>
                <w:szCs w:val="20"/>
              </w:rPr>
              <w:t>4</w:t>
            </w:r>
            <w:r w:rsidRPr="00E3760B">
              <w:rPr>
                <w:rFonts w:eastAsia="Calibri"/>
                <w:sz w:val="20"/>
                <w:szCs w:val="20"/>
              </w:rPr>
              <w:t>2,255</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014D8" w:rsidR="00E5546D" w:rsidP="00E5546D" w:rsidRDefault="00E5546D" w14:paraId="498AEDEA" w14:textId="3E28A640">
            <w:pPr>
              <w:keepNext/>
              <w:spacing w:after="0"/>
              <w:jc w:val="center"/>
              <w:rPr>
                <w:sz w:val="20"/>
                <w:szCs w:val="20"/>
              </w:rPr>
            </w:pPr>
            <w:r w:rsidRPr="000B6F80">
              <w:rPr>
                <w:rFonts w:eastAsia="Calibri"/>
                <w:sz w:val="20"/>
                <w:szCs w:val="20"/>
              </w:rPr>
              <w:t>0</w:t>
            </w:r>
          </w:p>
        </w:tc>
        <w:tc>
          <w:tcPr>
            <w:tcW w:w="1516" w:type="dxa"/>
            <w:tcBorders>
              <w:top w:val="single" w:color="auto" w:sz="4" w:space="0"/>
              <w:left w:val="single" w:color="auto" w:sz="4" w:space="0"/>
              <w:bottom w:val="single" w:color="auto" w:sz="4" w:space="0"/>
              <w:right w:val="single" w:color="auto" w:sz="4" w:space="0"/>
            </w:tcBorders>
            <w:vAlign w:val="center"/>
          </w:tcPr>
          <w:p w:rsidRPr="005014D8" w:rsidR="00E5546D" w:rsidP="00E5546D" w:rsidRDefault="00E5546D" w14:paraId="71D601D2" w14:textId="387EC622">
            <w:pPr>
              <w:keepNext/>
              <w:spacing w:after="0"/>
              <w:jc w:val="center"/>
              <w:rPr>
                <w:sz w:val="20"/>
                <w:szCs w:val="20"/>
              </w:rPr>
            </w:pPr>
            <w:r w:rsidRPr="00E3760B">
              <w:rPr>
                <w:rFonts w:eastAsia="Calibri"/>
                <w:sz w:val="20"/>
                <w:szCs w:val="20"/>
              </w:rPr>
              <w:t>112,868</w:t>
            </w:r>
          </w:p>
        </w:tc>
      </w:tr>
      <w:tr w:rsidRPr="006B4818" w:rsidR="002432E1" w:rsidTr="007F2557" w14:paraId="1F9BE284" w14:textId="77777777">
        <w:trPr>
          <w:trHeight w:val="242"/>
          <w:jc w:val="center"/>
        </w:trPr>
        <w:tc>
          <w:tcPr>
            <w:tcW w:w="2383" w:type="dxa"/>
            <w:tcBorders>
              <w:top w:val="single" w:color="auto" w:sz="4" w:space="0"/>
              <w:left w:val="single" w:color="auto" w:sz="4" w:space="0"/>
              <w:bottom w:val="single" w:color="auto" w:sz="4" w:space="0"/>
              <w:right w:val="single" w:color="auto" w:sz="4" w:space="0"/>
            </w:tcBorders>
            <w:shd w:val="clear" w:color="auto" w:fill="auto"/>
          </w:tcPr>
          <w:p w:rsidRPr="005014D8" w:rsidR="002432E1" w:rsidP="002432E1" w:rsidRDefault="002432E1" w14:paraId="322E9C48" w14:textId="7CC410D8">
            <w:pPr>
              <w:keepNext/>
              <w:spacing w:after="0"/>
              <w:rPr>
                <w:sz w:val="20"/>
                <w:szCs w:val="20"/>
              </w:rPr>
            </w:pPr>
            <w:r w:rsidRPr="005014D8">
              <w:rPr>
                <w:sz w:val="20"/>
                <w:szCs w:val="20"/>
              </w:rPr>
              <w:t>Difference (c)=(a)-(b)</w:t>
            </w:r>
          </w:p>
        </w:tc>
        <w:tc>
          <w:tcPr>
            <w:tcW w:w="1316" w:type="dxa"/>
            <w:tcBorders>
              <w:top w:val="single" w:color="auto" w:sz="4" w:space="0"/>
              <w:left w:val="single" w:color="auto" w:sz="4" w:space="0"/>
              <w:bottom w:val="single" w:color="auto" w:sz="4" w:space="0"/>
              <w:right w:val="single" w:color="auto" w:sz="4" w:space="0"/>
            </w:tcBorders>
            <w:shd w:val="clear" w:color="auto" w:fill="auto"/>
            <w:noWrap/>
          </w:tcPr>
          <w:p w:rsidRPr="007F2557" w:rsidR="002432E1" w:rsidP="002432E1" w:rsidRDefault="002432E1" w14:paraId="412E413C" w14:textId="477072A8">
            <w:pPr>
              <w:keepNext/>
              <w:spacing w:after="0"/>
              <w:jc w:val="center"/>
              <w:rPr>
                <w:rFonts w:eastAsia="Calibri"/>
                <w:sz w:val="20"/>
                <w:szCs w:val="20"/>
              </w:rPr>
            </w:pPr>
            <w:r w:rsidRPr="007F2557">
              <w:rPr>
                <w:rFonts w:eastAsia="Calibri"/>
                <w:sz w:val="20"/>
                <w:szCs w:val="20"/>
              </w:rPr>
              <w:t>-1,021</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7F2557" w:rsidR="002432E1" w:rsidP="002432E1" w:rsidRDefault="002432E1" w14:paraId="268974CA" w14:textId="3FEB622F">
            <w:pPr>
              <w:keepNext/>
              <w:spacing w:after="0"/>
              <w:jc w:val="center"/>
              <w:rPr>
                <w:rFonts w:eastAsia="Calibri"/>
                <w:sz w:val="20"/>
                <w:szCs w:val="20"/>
              </w:rPr>
            </w:pPr>
            <w:r w:rsidRPr="007F2557">
              <w:rPr>
                <w:rFonts w:eastAsia="Calibri"/>
                <w:sz w:val="20"/>
                <w:szCs w:val="20"/>
              </w:rPr>
              <w:t>-833</w:t>
            </w:r>
          </w:p>
        </w:tc>
        <w:tc>
          <w:tcPr>
            <w:tcW w:w="1350" w:type="dxa"/>
            <w:tcBorders>
              <w:top w:val="single" w:color="auto" w:sz="4" w:space="0"/>
              <w:left w:val="single" w:color="auto" w:sz="4" w:space="0"/>
              <w:bottom w:val="single" w:color="auto" w:sz="4" w:space="0"/>
              <w:right w:val="single" w:color="auto" w:sz="4" w:space="0"/>
            </w:tcBorders>
            <w:shd w:val="clear" w:color="auto" w:fill="auto"/>
            <w:noWrap/>
          </w:tcPr>
          <w:p w:rsidRPr="007F2557" w:rsidR="002432E1" w:rsidP="002432E1" w:rsidRDefault="002432E1" w14:paraId="025222A2" w14:textId="7B7CBC64">
            <w:pPr>
              <w:keepNext/>
              <w:spacing w:after="0"/>
              <w:jc w:val="center"/>
              <w:rPr>
                <w:rFonts w:eastAsia="Calibri"/>
                <w:sz w:val="20"/>
                <w:szCs w:val="20"/>
              </w:rPr>
            </w:pPr>
            <w:r w:rsidRPr="007F2557">
              <w:rPr>
                <w:rFonts w:eastAsia="Calibri"/>
                <w:sz w:val="20"/>
                <w:szCs w:val="20"/>
              </w:rPr>
              <w:t>-1,809</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7F2557" w:rsidR="002432E1" w:rsidP="002432E1" w:rsidRDefault="002432E1" w14:paraId="24074BA3" w14:textId="7B544036">
            <w:pPr>
              <w:keepNext/>
              <w:spacing w:after="0"/>
              <w:jc w:val="center"/>
              <w:rPr>
                <w:rFonts w:eastAsia="Calibri"/>
                <w:sz w:val="20"/>
                <w:szCs w:val="20"/>
              </w:rPr>
            </w:pPr>
            <w:r w:rsidRPr="007F2557">
              <w:rPr>
                <w:rFonts w:eastAsia="Calibri"/>
                <w:sz w:val="20"/>
                <w:szCs w:val="20"/>
              </w:rPr>
              <w:t>0</w:t>
            </w:r>
          </w:p>
        </w:tc>
        <w:tc>
          <w:tcPr>
            <w:tcW w:w="1516" w:type="dxa"/>
            <w:tcBorders>
              <w:top w:val="single" w:color="auto" w:sz="4" w:space="0"/>
              <w:left w:val="single" w:color="auto" w:sz="4" w:space="0"/>
              <w:bottom w:val="single" w:color="auto" w:sz="4" w:space="0"/>
              <w:right w:val="single" w:color="auto" w:sz="4" w:space="0"/>
            </w:tcBorders>
            <w:shd w:val="clear" w:color="auto" w:fill="auto"/>
          </w:tcPr>
          <w:p w:rsidRPr="007F2557" w:rsidR="002432E1" w:rsidP="002432E1" w:rsidRDefault="002432E1" w14:paraId="46ED7B31" w14:textId="6A30496E">
            <w:pPr>
              <w:keepNext/>
              <w:spacing w:after="0"/>
              <w:jc w:val="center"/>
              <w:rPr>
                <w:rFonts w:eastAsia="Calibri"/>
                <w:sz w:val="20"/>
                <w:szCs w:val="20"/>
              </w:rPr>
            </w:pPr>
            <w:r w:rsidRPr="007F2557">
              <w:rPr>
                <w:rFonts w:eastAsia="Calibri"/>
                <w:sz w:val="20"/>
                <w:szCs w:val="20"/>
              </w:rPr>
              <w:t>-3,663</w:t>
            </w:r>
          </w:p>
        </w:tc>
      </w:tr>
    </w:tbl>
    <w:p w:rsidR="00A53A0D" w:rsidP="005014D8" w:rsidRDefault="00A53A0D" w14:paraId="75E0B812" w14:textId="39B70F9A">
      <w:pPr>
        <w:jc w:val="both"/>
        <w:rPr>
          <w:sz w:val="20"/>
        </w:rPr>
      </w:pPr>
    </w:p>
    <w:p w:rsidRPr="00292878" w:rsidR="00D15988" w:rsidP="00D15988" w:rsidRDefault="00D15988" w14:paraId="72A162CB" w14:textId="10E3B299">
      <w:pPr>
        <w:keepNext/>
        <w:spacing w:after="0"/>
        <w:jc w:val="center"/>
      </w:pPr>
      <w:r w:rsidRPr="00292878">
        <w:rPr>
          <w:b/>
          <w:bCs/>
        </w:rPr>
        <w:lastRenderedPageBreak/>
        <w:t xml:space="preserve">TABLE </w:t>
      </w:r>
      <w:r>
        <w:rPr>
          <w:b/>
          <w:bCs/>
        </w:rPr>
        <w:t>7B</w:t>
      </w:r>
      <w:r w:rsidRPr="00292878">
        <w:rPr>
          <w:b/>
          <w:bCs/>
        </w:rPr>
        <w:t xml:space="preserve">: Estimated Number of Clinicians Submitting Quality Performance </w:t>
      </w:r>
      <w:r w:rsidRPr="00292878">
        <w:rPr>
          <w:b/>
        </w:rPr>
        <w:br/>
      </w:r>
      <w:r w:rsidRPr="00292878">
        <w:rPr>
          <w:b/>
          <w:bCs/>
        </w:rPr>
        <w:t>Category Data as Individuals by Collection Type</w:t>
      </w:r>
      <w:r>
        <w:rPr>
          <w:b/>
          <w:bCs/>
        </w:rPr>
        <w:t xml:space="preserve">, </w:t>
      </w:r>
      <w:bookmarkStart w:name="_Hlk76482579" w:id="5"/>
      <w:r w:rsidR="00B17296">
        <w:rPr>
          <w:b/>
          <w:bCs/>
        </w:rPr>
        <w:t xml:space="preserve">CY </w:t>
      </w:r>
      <w:r>
        <w:rPr>
          <w:b/>
          <w:bCs/>
        </w:rPr>
        <w:t>202</w:t>
      </w:r>
      <w:r w:rsidR="00B17296">
        <w:rPr>
          <w:b/>
          <w:bCs/>
        </w:rPr>
        <w:t>3 MIPS Performance Period/2025 MIPS Payment Year</w:t>
      </w:r>
      <w:bookmarkEnd w:id="5"/>
    </w:p>
    <w:tbl>
      <w:tblPr>
        <w:tblStyle w:val="TableGrid"/>
        <w:tblW w:w="9445" w:type="dxa"/>
        <w:jc w:val="center"/>
        <w:tblLook w:val="04A0" w:firstRow="1" w:lastRow="0" w:firstColumn="1" w:lastColumn="0" w:noHBand="0" w:noVBand="1"/>
      </w:tblPr>
      <w:tblGrid>
        <w:gridCol w:w="2605"/>
        <w:gridCol w:w="1260"/>
        <w:gridCol w:w="1440"/>
        <w:gridCol w:w="1350"/>
        <w:gridCol w:w="1440"/>
        <w:gridCol w:w="1350"/>
      </w:tblGrid>
      <w:tr w:rsidR="00657D10" w:rsidTr="0018360B" w14:paraId="65D1D456" w14:textId="77777777">
        <w:trPr>
          <w:jc w:val="center"/>
        </w:trPr>
        <w:tc>
          <w:tcPr>
            <w:tcW w:w="2605" w:type="dxa"/>
            <w:vAlign w:val="center"/>
          </w:tcPr>
          <w:p w:rsidRPr="00CC1878" w:rsidR="00657D10" w:rsidP="00657D10" w:rsidRDefault="00657D10" w14:paraId="2F253B8D" w14:textId="20030EE1">
            <w:pPr>
              <w:rPr>
                <w:sz w:val="20"/>
                <w:szCs w:val="20"/>
              </w:rPr>
            </w:pPr>
            <w:r w:rsidRPr="00292878">
              <w:rPr>
                <w:b/>
                <w:sz w:val="20"/>
                <w:szCs w:val="20"/>
              </w:rPr>
              <w:t>Data Description</w:t>
            </w:r>
          </w:p>
        </w:tc>
        <w:tc>
          <w:tcPr>
            <w:tcW w:w="1260" w:type="dxa"/>
            <w:vAlign w:val="center"/>
          </w:tcPr>
          <w:p w:rsidRPr="00E3760B" w:rsidR="00657D10" w:rsidP="00657D10" w:rsidRDefault="00657D10" w14:paraId="426A6CE9" w14:textId="305E98AB">
            <w:pPr>
              <w:jc w:val="center"/>
              <w:rPr>
                <w:rFonts w:eastAsia="Calibri"/>
                <w:sz w:val="20"/>
                <w:szCs w:val="20"/>
              </w:rPr>
            </w:pPr>
            <w:r w:rsidRPr="00292878">
              <w:rPr>
                <w:b/>
                <w:bCs/>
                <w:sz w:val="20"/>
                <w:szCs w:val="20"/>
              </w:rPr>
              <w:t>Claims</w:t>
            </w:r>
          </w:p>
        </w:tc>
        <w:tc>
          <w:tcPr>
            <w:tcW w:w="1440" w:type="dxa"/>
            <w:vAlign w:val="center"/>
          </w:tcPr>
          <w:p w:rsidRPr="00E3760B" w:rsidR="00657D10" w:rsidP="00657D10" w:rsidRDefault="00657D10" w14:paraId="07E0F493" w14:textId="3813A42D">
            <w:pPr>
              <w:jc w:val="center"/>
              <w:rPr>
                <w:rFonts w:eastAsia="Calibri"/>
                <w:sz w:val="20"/>
                <w:szCs w:val="20"/>
              </w:rPr>
            </w:pPr>
            <w:r w:rsidRPr="00292878">
              <w:rPr>
                <w:b/>
                <w:bCs/>
                <w:sz w:val="20"/>
                <w:szCs w:val="20"/>
              </w:rPr>
              <w:t>QCDR/</w:t>
            </w:r>
            <w:r>
              <w:rPr>
                <w:b/>
                <w:bCs/>
                <w:sz w:val="20"/>
                <w:szCs w:val="20"/>
              </w:rPr>
              <w:t>MIPS CQM</w:t>
            </w:r>
          </w:p>
        </w:tc>
        <w:tc>
          <w:tcPr>
            <w:tcW w:w="1350" w:type="dxa"/>
            <w:vAlign w:val="center"/>
          </w:tcPr>
          <w:p w:rsidRPr="00E3760B" w:rsidR="00657D10" w:rsidP="00657D10" w:rsidRDefault="00657D10" w14:paraId="5C135B48" w14:textId="648E13D5">
            <w:pPr>
              <w:jc w:val="center"/>
              <w:rPr>
                <w:rFonts w:eastAsia="Calibri"/>
                <w:sz w:val="20"/>
                <w:szCs w:val="20"/>
              </w:rPr>
            </w:pPr>
            <w:r w:rsidRPr="00292878">
              <w:rPr>
                <w:b/>
                <w:bCs/>
                <w:sz w:val="20"/>
                <w:szCs w:val="20"/>
              </w:rPr>
              <w:t>eCQM</w:t>
            </w:r>
          </w:p>
        </w:tc>
        <w:tc>
          <w:tcPr>
            <w:tcW w:w="1440" w:type="dxa"/>
            <w:vAlign w:val="center"/>
          </w:tcPr>
          <w:p w:rsidRPr="00E3760B" w:rsidR="00657D10" w:rsidP="00657D10" w:rsidRDefault="00657D10" w14:paraId="6DA1B59E" w14:textId="399BC924">
            <w:pPr>
              <w:jc w:val="center"/>
              <w:rPr>
                <w:rFonts w:eastAsia="Calibri"/>
                <w:sz w:val="20"/>
                <w:szCs w:val="20"/>
              </w:rPr>
            </w:pPr>
            <w:r w:rsidRPr="00292878">
              <w:rPr>
                <w:b/>
                <w:bCs/>
                <w:sz w:val="20"/>
                <w:szCs w:val="20"/>
              </w:rPr>
              <w:t>CMS Web Interface</w:t>
            </w:r>
          </w:p>
        </w:tc>
        <w:tc>
          <w:tcPr>
            <w:tcW w:w="1350" w:type="dxa"/>
            <w:vAlign w:val="center"/>
          </w:tcPr>
          <w:p w:rsidRPr="00E3760B" w:rsidR="00657D10" w:rsidP="00657D10" w:rsidRDefault="00657D10" w14:paraId="6FC14DC8" w14:textId="28804019">
            <w:pPr>
              <w:jc w:val="center"/>
              <w:rPr>
                <w:rFonts w:eastAsia="Calibri"/>
                <w:sz w:val="20"/>
                <w:szCs w:val="20"/>
              </w:rPr>
            </w:pPr>
            <w:r w:rsidRPr="00292878">
              <w:rPr>
                <w:b/>
                <w:bCs/>
                <w:sz w:val="20"/>
                <w:szCs w:val="20"/>
              </w:rPr>
              <w:t>Total</w:t>
            </w:r>
          </w:p>
        </w:tc>
      </w:tr>
      <w:tr w:rsidR="00DB0DD5" w:rsidTr="001376EC" w14:paraId="145225BD" w14:textId="77777777">
        <w:trPr>
          <w:jc w:val="center"/>
        </w:trPr>
        <w:tc>
          <w:tcPr>
            <w:tcW w:w="2605" w:type="dxa"/>
          </w:tcPr>
          <w:p w:rsidR="00DB0DD5" w:rsidP="00DB0DD5" w:rsidRDefault="00DB0DD5" w14:paraId="58DAAAB4" w14:textId="67A9C270">
            <w:pPr>
              <w:rPr>
                <w:sz w:val="20"/>
              </w:rPr>
            </w:pPr>
            <w:r w:rsidRPr="00CC1878">
              <w:rPr>
                <w:sz w:val="20"/>
                <w:szCs w:val="20"/>
              </w:rPr>
              <w:t>202</w:t>
            </w:r>
            <w:r>
              <w:rPr>
                <w:sz w:val="20"/>
                <w:szCs w:val="20"/>
              </w:rPr>
              <w:t>3</w:t>
            </w:r>
            <w:r w:rsidRPr="00CC1878">
              <w:rPr>
                <w:sz w:val="20"/>
                <w:szCs w:val="20"/>
              </w:rPr>
              <w:t xml:space="preserve"> MIPS performance period (excludes QPs) (</w:t>
            </w:r>
            <w:r>
              <w:rPr>
                <w:sz w:val="20"/>
                <w:szCs w:val="20"/>
              </w:rPr>
              <w:t>a</w:t>
            </w:r>
            <w:r w:rsidRPr="00CC1878">
              <w:rPr>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DB0DD5" w:rsidP="00DB0DD5" w:rsidRDefault="00DB0DD5" w14:paraId="57D3A111" w14:textId="6F68C6A2">
            <w:pPr>
              <w:jc w:val="center"/>
              <w:rPr>
                <w:sz w:val="20"/>
              </w:rPr>
            </w:pPr>
            <w:r w:rsidRPr="003B1A98">
              <w:rPr>
                <w:rFonts w:eastAsia="Calibri"/>
                <w:sz w:val="20"/>
                <w:szCs w:val="20"/>
              </w:rPr>
              <w:t>28,252</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00DB0DD5" w:rsidP="00DB0DD5" w:rsidRDefault="00DB0DD5" w14:paraId="6CD6F5AB" w14:textId="21992240">
            <w:pPr>
              <w:jc w:val="center"/>
              <w:rPr>
                <w:sz w:val="20"/>
              </w:rPr>
            </w:pPr>
            <w:r w:rsidRPr="003B1A98">
              <w:rPr>
                <w:rFonts w:eastAsia="Calibri"/>
                <w:sz w:val="20"/>
                <w:szCs w:val="20"/>
              </w:rPr>
              <w:t>40,507</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DB0DD5" w:rsidP="00DB0DD5" w:rsidRDefault="00DB0DD5" w14:paraId="0D9BA1ED" w14:textId="0AC3AC39">
            <w:pPr>
              <w:jc w:val="center"/>
              <w:rPr>
                <w:sz w:val="20"/>
              </w:rPr>
            </w:pPr>
            <w:r w:rsidRPr="003B1A98">
              <w:rPr>
                <w:rFonts w:eastAsia="Calibri"/>
                <w:sz w:val="20"/>
                <w:szCs w:val="20"/>
              </w:rPr>
              <w:t>40,446</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00DB0DD5" w:rsidP="00DB0DD5" w:rsidRDefault="00DB0DD5" w14:paraId="269FBDDE" w14:textId="0FB2B850">
            <w:pPr>
              <w:jc w:val="center"/>
              <w:rPr>
                <w:sz w:val="20"/>
              </w:rPr>
            </w:pPr>
            <w:r w:rsidRPr="003B1A98">
              <w:rPr>
                <w:rFonts w:eastAsia="Calibri"/>
                <w:sz w:val="20"/>
                <w:szCs w:val="20"/>
              </w:rPr>
              <w:t>0</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DB0DD5" w:rsidP="00DB0DD5" w:rsidRDefault="00DB0DD5" w14:paraId="5943AD09" w14:textId="565591FA">
            <w:pPr>
              <w:jc w:val="center"/>
              <w:rPr>
                <w:sz w:val="20"/>
              </w:rPr>
            </w:pPr>
            <w:r w:rsidRPr="003B1A98">
              <w:rPr>
                <w:rFonts w:eastAsia="Calibri"/>
                <w:sz w:val="20"/>
                <w:szCs w:val="20"/>
              </w:rPr>
              <w:t>109,205</w:t>
            </w:r>
          </w:p>
        </w:tc>
      </w:tr>
      <w:tr w:rsidR="00627317" w:rsidTr="00627317" w14:paraId="3182D9CC" w14:textId="77777777">
        <w:trPr>
          <w:jc w:val="center"/>
        </w:trPr>
        <w:tc>
          <w:tcPr>
            <w:tcW w:w="2605" w:type="dxa"/>
            <w:vAlign w:val="center"/>
          </w:tcPr>
          <w:p w:rsidRPr="00CC1878" w:rsidR="00627317" w:rsidP="00627317" w:rsidRDefault="00627317" w14:paraId="4FC45EEB" w14:textId="32E37A10">
            <w:pPr>
              <w:rPr>
                <w:sz w:val="20"/>
                <w:szCs w:val="20"/>
              </w:rPr>
            </w:pPr>
            <w:r w:rsidRPr="00627317">
              <w:rPr>
                <w:sz w:val="20"/>
                <w:szCs w:val="20"/>
              </w:rPr>
              <w:t>MVP adjustment (10% reduction) (</w:t>
            </w:r>
            <w:r w:rsidR="000F2AE3">
              <w:rPr>
                <w:sz w:val="20"/>
                <w:szCs w:val="20"/>
              </w:rPr>
              <w:t>b</w:t>
            </w:r>
            <w:r w:rsidRPr="00627317">
              <w:rPr>
                <w:sz w:val="20"/>
                <w:szCs w:val="20"/>
              </w:rPr>
              <w:t>) = (</w:t>
            </w:r>
            <w:r w:rsidR="009B36AF">
              <w:rPr>
                <w:sz w:val="20"/>
                <w:szCs w:val="20"/>
              </w:rPr>
              <w:t>a</w:t>
            </w:r>
            <w:r w:rsidRPr="00627317">
              <w:rPr>
                <w:sz w:val="20"/>
                <w:szCs w:val="20"/>
              </w:rPr>
              <w:t>)*- 0.1</w:t>
            </w:r>
          </w:p>
        </w:tc>
        <w:tc>
          <w:tcPr>
            <w:tcW w:w="1260" w:type="dxa"/>
          </w:tcPr>
          <w:p w:rsidRPr="00CC1878" w:rsidR="00627317" w:rsidP="00627317" w:rsidRDefault="00627317" w14:paraId="3B7A3CFB" w14:textId="0AA0D374">
            <w:pPr>
              <w:jc w:val="center"/>
              <w:rPr>
                <w:rFonts w:eastAsia="Calibri"/>
                <w:sz w:val="20"/>
                <w:szCs w:val="20"/>
              </w:rPr>
            </w:pPr>
            <w:r w:rsidRPr="00627317">
              <w:rPr>
                <w:rFonts w:eastAsia="Calibri"/>
                <w:sz w:val="20"/>
                <w:szCs w:val="20"/>
              </w:rPr>
              <w:t>-2,825</w:t>
            </w:r>
          </w:p>
        </w:tc>
        <w:tc>
          <w:tcPr>
            <w:tcW w:w="1440" w:type="dxa"/>
          </w:tcPr>
          <w:p w:rsidRPr="00CC1878" w:rsidR="00627317" w:rsidP="00627317" w:rsidRDefault="00627317" w14:paraId="5B823A54" w14:textId="56DCC874">
            <w:pPr>
              <w:jc w:val="center"/>
              <w:rPr>
                <w:rFonts w:eastAsia="Calibri"/>
                <w:sz w:val="20"/>
                <w:szCs w:val="20"/>
              </w:rPr>
            </w:pPr>
            <w:r w:rsidRPr="00627317">
              <w:rPr>
                <w:rFonts w:eastAsia="Calibri"/>
                <w:sz w:val="20"/>
                <w:szCs w:val="20"/>
              </w:rPr>
              <w:t>4,051</w:t>
            </w:r>
          </w:p>
        </w:tc>
        <w:tc>
          <w:tcPr>
            <w:tcW w:w="1350" w:type="dxa"/>
          </w:tcPr>
          <w:p w:rsidRPr="00CC1878" w:rsidR="00627317" w:rsidP="00627317" w:rsidRDefault="00627317" w14:paraId="2E049DDB" w14:textId="6F02F6A2">
            <w:pPr>
              <w:jc w:val="center"/>
              <w:rPr>
                <w:rFonts w:eastAsia="Calibri"/>
                <w:sz w:val="20"/>
                <w:szCs w:val="20"/>
              </w:rPr>
            </w:pPr>
            <w:r w:rsidRPr="00627317">
              <w:rPr>
                <w:rFonts w:eastAsia="Calibri"/>
                <w:sz w:val="20"/>
                <w:szCs w:val="20"/>
              </w:rPr>
              <w:t>-4,044</w:t>
            </w:r>
          </w:p>
        </w:tc>
        <w:tc>
          <w:tcPr>
            <w:tcW w:w="1440" w:type="dxa"/>
          </w:tcPr>
          <w:p w:rsidRPr="00CC1878" w:rsidR="00627317" w:rsidP="00627317" w:rsidRDefault="00627317" w14:paraId="02289F46" w14:textId="5FBCA5A7">
            <w:pPr>
              <w:jc w:val="center"/>
              <w:rPr>
                <w:rFonts w:eastAsia="Calibri"/>
                <w:sz w:val="20"/>
                <w:szCs w:val="20"/>
              </w:rPr>
            </w:pPr>
            <w:r w:rsidRPr="00627317">
              <w:rPr>
                <w:rFonts w:eastAsia="Calibri"/>
                <w:sz w:val="20"/>
                <w:szCs w:val="20"/>
              </w:rPr>
              <w:t>0</w:t>
            </w:r>
          </w:p>
        </w:tc>
        <w:tc>
          <w:tcPr>
            <w:tcW w:w="1350" w:type="dxa"/>
          </w:tcPr>
          <w:p w:rsidRPr="00CC1878" w:rsidR="00627317" w:rsidP="00627317" w:rsidRDefault="00627317" w14:paraId="6B72E332" w14:textId="632BDACC">
            <w:pPr>
              <w:jc w:val="center"/>
              <w:rPr>
                <w:rFonts w:eastAsia="Calibri"/>
                <w:sz w:val="20"/>
                <w:szCs w:val="20"/>
              </w:rPr>
            </w:pPr>
            <w:r w:rsidRPr="00627317">
              <w:rPr>
                <w:rFonts w:eastAsia="Calibri"/>
                <w:sz w:val="20"/>
                <w:szCs w:val="20"/>
              </w:rPr>
              <w:t>-10,920</w:t>
            </w:r>
          </w:p>
        </w:tc>
      </w:tr>
      <w:tr w:rsidR="00E25125" w:rsidTr="00E25125" w14:paraId="4E91775E" w14:textId="77777777">
        <w:trPr>
          <w:jc w:val="center"/>
        </w:trPr>
        <w:tc>
          <w:tcPr>
            <w:tcW w:w="2605" w:type="dxa"/>
            <w:vAlign w:val="center"/>
          </w:tcPr>
          <w:p w:rsidRPr="00CC1878" w:rsidR="00E25125" w:rsidP="00E25125" w:rsidRDefault="00E25125" w14:paraId="3544DE53" w14:textId="2D652C7D">
            <w:pPr>
              <w:rPr>
                <w:sz w:val="20"/>
                <w:szCs w:val="20"/>
              </w:rPr>
            </w:pPr>
            <w:r w:rsidRPr="00871E51">
              <w:rPr>
                <w:rFonts w:eastAsia="Calibri"/>
                <w:sz w:val="20"/>
                <w:szCs w:val="20"/>
              </w:rPr>
              <w:t>2023 MIPS Performance Period (excludes QPs) (</w:t>
            </w:r>
            <w:r w:rsidR="000F2AE3">
              <w:rPr>
                <w:rFonts w:eastAsia="Calibri"/>
                <w:sz w:val="20"/>
                <w:szCs w:val="20"/>
              </w:rPr>
              <w:t>c</w:t>
            </w:r>
            <w:r w:rsidRPr="00871E51">
              <w:rPr>
                <w:rFonts w:eastAsia="Calibri"/>
                <w:sz w:val="20"/>
                <w:szCs w:val="20"/>
              </w:rPr>
              <w:t>) = (</w:t>
            </w:r>
            <w:r w:rsidR="000F2AE3">
              <w:rPr>
                <w:rFonts w:eastAsia="Calibri"/>
                <w:sz w:val="20"/>
                <w:szCs w:val="20"/>
              </w:rPr>
              <w:t>a</w:t>
            </w:r>
            <w:r w:rsidRPr="00871E51">
              <w:rPr>
                <w:rFonts w:eastAsia="Calibri"/>
                <w:sz w:val="20"/>
                <w:szCs w:val="20"/>
              </w:rPr>
              <w:t>) + (</w:t>
            </w:r>
            <w:r w:rsidR="000F2AE3">
              <w:rPr>
                <w:rFonts w:eastAsia="Calibri"/>
                <w:sz w:val="20"/>
                <w:szCs w:val="20"/>
              </w:rPr>
              <w:t>b</w:t>
            </w:r>
            <w:r w:rsidRPr="00871E51">
              <w:rPr>
                <w:rFonts w:eastAsia="Calibri"/>
                <w:sz w:val="20"/>
                <w:szCs w:val="20"/>
              </w:rPr>
              <w:t>)</w:t>
            </w:r>
          </w:p>
        </w:tc>
        <w:tc>
          <w:tcPr>
            <w:tcW w:w="1260" w:type="dxa"/>
          </w:tcPr>
          <w:p w:rsidRPr="00CC1878" w:rsidR="00E25125" w:rsidP="00E25125" w:rsidRDefault="00E25125" w14:paraId="2E11EFFE" w14:textId="4A7D1B42">
            <w:pPr>
              <w:jc w:val="center"/>
              <w:rPr>
                <w:rFonts w:eastAsia="Calibri"/>
                <w:sz w:val="20"/>
                <w:szCs w:val="20"/>
              </w:rPr>
            </w:pPr>
            <w:r w:rsidRPr="00E53E05">
              <w:rPr>
                <w:rFonts w:eastAsia="Calibri"/>
                <w:sz w:val="20"/>
                <w:szCs w:val="20"/>
              </w:rPr>
              <w:t>25,427</w:t>
            </w:r>
          </w:p>
        </w:tc>
        <w:tc>
          <w:tcPr>
            <w:tcW w:w="1440" w:type="dxa"/>
          </w:tcPr>
          <w:p w:rsidRPr="00CC1878" w:rsidR="00E25125" w:rsidP="00E25125" w:rsidRDefault="00E25125" w14:paraId="0130B4F3" w14:textId="3C8B9E59">
            <w:pPr>
              <w:jc w:val="center"/>
              <w:rPr>
                <w:rFonts w:eastAsia="Calibri"/>
                <w:sz w:val="20"/>
                <w:szCs w:val="20"/>
              </w:rPr>
            </w:pPr>
            <w:r w:rsidRPr="00E53E05">
              <w:rPr>
                <w:rFonts w:eastAsia="Calibri"/>
                <w:sz w:val="20"/>
                <w:szCs w:val="20"/>
              </w:rPr>
              <w:t>36,456</w:t>
            </w:r>
          </w:p>
        </w:tc>
        <w:tc>
          <w:tcPr>
            <w:tcW w:w="1350" w:type="dxa"/>
          </w:tcPr>
          <w:p w:rsidRPr="00CC1878" w:rsidR="00E25125" w:rsidP="00E25125" w:rsidRDefault="00E25125" w14:paraId="449A814E" w14:textId="5346A156">
            <w:pPr>
              <w:jc w:val="center"/>
              <w:rPr>
                <w:rFonts w:eastAsia="Calibri"/>
                <w:sz w:val="20"/>
                <w:szCs w:val="20"/>
              </w:rPr>
            </w:pPr>
            <w:r w:rsidRPr="00E53E05">
              <w:rPr>
                <w:rFonts w:eastAsia="Calibri"/>
                <w:sz w:val="20"/>
                <w:szCs w:val="20"/>
              </w:rPr>
              <w:t>36,401</w:t>
            </w:r>
          </w:p>
        </w:tc>
        <w:tc>
          <w:tcPr>
            <w:tcW w:w="1440" w:type="dxa"/>
          </w:tcPr>
          <w:p w:rsidRPr="00CC1878" w:rsidR="00E25125" w:rsidP="00E25125" w:rsidRDefault="00E25125" w14:paraId="765F5B8F" w14:textId="57A83463">
            <w:pPr>
              <w:jc w:val="center"/>
              <w:rPr>
                <w:rFonts w:eastAsia="Calibri"/>
                <w:sz w:val="20"/>
                <w:szCs w:val="20"/>
              </w:rPr>
            </w:pPr>
            <w:r w:rsidRPr="00E53E05">
              <w:rPr>
                <w:rFonts w:eastAsia="Calibri"/>
                <w:sz w:val="20"/>
                <w:szCs w:val="20"/>
              </w:rPr>
              <w:t>0</w:t>
            </w:r>
          </w:p>
        </w:tc>
        <w:tc>
          <w:tcPr>
            <w:tcW w:w="1350" w:type="dxa"/>
          </w:tcPr>
          <w:p w:rsidRPr="00CC1878" w:rsidR="00E25125" w:rsidP="00E25125" w:rsidRDefault="00E25125" w14:paraId="43487A87" w14:textId="6AEE9321">
            <w:pPr>
              <w:jc w:val="center"/>
              <w:rPr>
                <w:rFonts w:eastAsia="Calibri"/>
                <w:sz w:val="20"/>
                <w:szCs w:val="20"/>
              </w:rPr>
            </w:pPr>
            <w:r w:rsidRPr="00E53E05">
              <w:rPr>
                <w:rFonts w:eastAsia="Calibri"/>
                <w:sz w:val="20"/>
                <w:szCs w:val="20"/>
              </w:rPr>
              <w:t>98,285</w:t>
            </w:r>
          </w:p>
        </w:tc>
      </w:tr>
      <w:tr w:rsidR="00E25125" w:rsidTr="00A53A0D" w14:paraId="2758D37B" w14:textId="77777777">
        <w:trPr>
          <w:jc w:val="center"/>
        </w:trPr>
        <w:tc>
          <w:tcPr>
            <w:tcW w:w="2605" w:type="dxa"/>
          </w:tcPr>
          <w:p w:rsidR="00E25125" w:rsidP="00E25125" w:rsidRDefault="00E25125" w14:paraId="2E7E739E" w14:textId="769530D5">
            <w:pPr>
              <w:rPr>
                <w:sz w:val="20"/>
              </w:rPr>
            </w:pPr>
            <w:r w:rsidRPr="00CC1878">
              <w:rPr>
                <w:sz w:val="20"/>
                <w:szCs w:val="20"/>
              </w:rPr>
              <w:t xml:space="preserve">* </w:t>
            </w:r>
            <w:r>
              <w:rPr>
                <w:sz w:val="20"/>
                <w:szCs w:val="20"/>
              </w:rPr>
              <w:t xml:space="preserve">Currently approved </w:t>
            </w:r>
            <w:r w:rsidRPr="00CC1878">
              <w:rPr>
                <w:sz w:val="20"/>
                <w:szCs w:val="20"/>
              </w:rPr>
              <w:t>202</w:t>
            </w:r>
            <w:r>
              <w:rPr>
                <w:sz w:val="20"/>
                <w:szCs w:val="20"/>
              </w:rPr>
              <w:t>2</w:t>
            </w:r>
            <w:r w:rsidRPr="00CC1878">
              <w:rPr>
                <w:sz w:val="20"/>
                <w:szCs w:val="20"/>
              </w:rPr>
              <w:t xml:space="preserve"> MIPS performance period (excludes QPs) (</w:t>
            </w:r>
            <w:r w:rsidR="003C7F2A">
              <w:rPr>
                <w:sz w:val="20"/>
                <w:szCs w:val="20"/>
              </w:rPr>
              <w:t>d</w:t>
            </w:r>
            <w:r w:rsidRPr="00CC1878">
              <w:rPr>
                <w:sz w:val="20"/>
                <w:szCs w:val="20"/>
              </w:rPr>
              <w:t>)</w:t>
            </w:r>
          </w:p>
        </w:tc>
        <w:tc>
          <w:tcPr>
            <w:tcW w:w="1260" w:type="dxa"/>
            <w:vAlign w:val="center"/>
          </w:tcPr>
          <w:p w:rsidR="00E25125" w:rsidP="00E25125" w:rsidRDefault="00245655" w14:paraId="44263177" w14:textId="547F4CAB">
            <w:pPr>
              <w:jc w:val="center"/>
              <w:rPr>
                <w:sz w:val="20"/>
              </w:rPr>
            </w:pPr>
            <w:r>
              <w:rPr>
                <w:rFonts w:eastAsia="Calibri"/>
                <w:sz w:val="20"/>
                <w:szCs w:val="20"/>
              </w:rPr>
              <w:t>29,273</w:t>
            </w:r>
          </w:p>
        </w:tc>
        <w:tc>
          <w:tcPr>
            <w:tcW w:w="1440" w:type="dxa"/>
            <w:vAlign w:val="center"/>
          </w:tcPr>
          <w:p w:rsidR="00E25125" w:rsidP="00E25125" w:rsidRDefault="00B30137" w14:paraId="08447D7F" w14:textId="32AD2E8A">
            <w:pPr>
              <w:jc w:val="center"/>
              <w:rPr>
                <w:sz w:val="20"/>
              </w:rPr>
            </w:pPr>
            <w:r>
              <w:rPr>
                <w:rFonts w:eastAsia="Calibri"/>
                <w:sz w:val="20"/>
                <w:szCs w:val="20"/>
              </w:rPr>
              <w:t>41,340</w:t>
            </w:r>
          </w:p>
        </w:tc>
        <w:tc>
          <w:tcPr>
            <w:tcW w:w="1350" w:type="dxa"/>
            <w:vAlign w:val="center"/>
          </w:tcPr>
          <w:p w:rsidR="00E25125" w:rsidP="00E25125" w:rsidRDefault="00B30137" w14:paraId="468F2DC1" w14:textId="38DF259F">
            <w:pPr>
              <w:jc w:val="center"/>
              <w:rPr>
                <w:sz w:val="20"/>
              </w:rPr>
            </w:pPr>
            <w:r>
              <w:rPr>
                <w:rFonts w:eastAsia="Calibri"/>
                <w:sz w:val="20"/>
                <w:szCs w:val="20"/>
              </w:rPr>
              <w:t>42,555</w:t>
            </w:r>
          </w:p>
        </w:tc>
        <w:tc>
          <w:tcPr>
            <w:tcW w:w="1440" w:type="dxa"/>
            <w:vAlign w:val="center"/>
          </w:tcPr>
          <w:p w:rsidR="00E25125" w:rsidP="00E25125" w:rsidRDefault="00E25125" w14:paraId="7DDB1CED" w14:textId="7876D9D5">
            <w:pPr>
              <w:jc w:val="center"/>
              <w:rPr>
                <w:sz w:val="20"/>
              </w:rPr>
            </w:pPr>
            <w:r w:rsidRPr="00CC1878">
              <w:rPr>
                <w:rFonts w:eastAsia="Calibri"/>
                <w:sz w:val="20"/>
                <w:szCs w:val="20"/>
              </w:rPr>
              <w:t>0</w:t>
            </w:r>
          </w:p>
        </w:tc>
        <w:tc>
          <w:tcPr>
            <w:tcW w:w="1350" w:type="dxa"/>
            <w:vAlign w:val="center"/>
          </w:tcPr>
          <w:p w:rsidR="00E25125" w:rsidP="00E25125" w:rsidRDefault="00A26C78" w14:paraId="59F1ABCE" w14:textId="63B31528">
            <w:pPr>
              <w:jc w:val="center"/>
              <w:rPr>
                <w:sz w:val="20"/>
              </w:rPr>
            </w:pPr>
            <w:r>
              <w:rPr>
                <w:rFonts w:eastAsia="Calibri"/>
                <w:sz w:val="20"/>
                <w:szCs w:val="20"/>
              </w:rPr>
              <w:t>112,868</w:t>
            </w:r>
          </w:p>
        </w:tc>
      </w:tr>
      <w:tr w:rsidR="00E25125" w:rsidTr="00A53A0D" w14:paraId="1EDA6DE8" w14:textId="77777777">
        <w:trPr>
          <w:trHeight w:val="305"/>
          <w:jc w:val="center"/>
        </w:trPr>
        <w:tc>
          <w:tcPr>
            <w:tcW w:w="2605" w:type="dxa"/>
          </w:tcPr>
          <w:p w:rsidR="00E25125" w:rsidP="00E25125" w:rsidRDefault="00E25125" w14:paraId="15B5E0C4" w14:textId="2BCE1783">
            <w:pPr>
              <w:jc w:val="both"/>
              <w:rPr>
                <w:sz w:val="20"/>
              </w:rPr>
            </w:pPr>
            <w:r w:rsidRPr="00CC1878">
              <w:rPr>
                <w:sz w:val="20"/>
                <w:szCs w:val="20"/>
              </w:rPr>
              <w:t>Difference (</w:t>
            </w:r>
            <w:r w:rsidR="006444B2">
              <w:rPr>
                <w:sz w:val="20"/>
                <w:szCs w:val="20"/>
              </w:rPr>
              <w:t>e</w:t>
            </w:r>
            <w:r w:rsidRPr="00CC1878">
              <w:rPr>
                <w:sz w:val="20"/>
                <w:szCs w:val="20"/>
              </w:rPr>
              <w:t>)=(</w:t>
            </w:r>
            <w:r w:rsidR="00CD0451">
              <w:rPr>
                <w:sz w:val="20"/>
                <w:szCs w:val="20"/>
              </w:rPr>
              <w:t>c</w:t>
            </w:r>
            <w:r w:rsidRPr="00CC1878">
              <w:rPr>
                <w:sz w:val="20"/>
                <w:szCs w:val="20"/>
              </w:rPr>
              <w:t>)-(</w:t>
            </w:r>
            <w:r w:rsidR="00CD0451">
              <w:rPr>
                <w:sz w:val="20"/>
                <w:szCs w:val="20"/>
              </w:rPr>
              <w:t>d</w:t>
            </w:r>
            <w:r w:rsidRPr="00CC1878">
              <w:rPr>
                <w:sz w:val="20"/>
                <w:szCs w:val="20"/>
              </w:rPr>
              <w:t>)</w:t>
            </w:r>
          </w:p>
        </w:tc>
        <w:tc>
          <w:tcPr>
            <w:tcW w:w="1260" w:type="dxa"/>
            <w:vAlign w:val="center"/>
          </w:tcPr>
          <w:p w:rsidR="00E25125" w:rsidP="00E25125" w:rsidRDefault="00E25125" w14:paraId="7D7C72D3" w14:textId="683F9BE9">
            <w:pPr>
              <w:jc w:val="center"/>
              <w:rPr>
                <w:sz w:val="20"/>
              </w:rPr>
            </w:pPr>
            <w:r w:rsidRPr="00E3760B">
              <w:rPr>
                <w:rFonts w:eastAsia="Calibri"/>
                <w:sz w:val="20"/>
                <w:szCs w:val="20"/>
              </w:rPr>
              <w:t>-</w:t>
            </w:r>
            <w:r w:rsidR="00EB5525">
              <w:rPr>
                <w:rFonts w:eastAsia="Calibri"/>
                <w:sz w:val="20"/>
                <w:szCs w:val="20"/>
              </w:rPr>
              <w:t>3,846</w:t>
            </w:r>
          </w:p>
        </w:tc>
        <w:tc>
          <w:tcPr>
            <w:tcW w:w="1440" w:type="dxa"/>
            <w:vAlign w:val="center"/>
          </w:tcPr>
          <w:p w:rsidR="00E25125" w:rsidP="00E25125" w:rsidRDefault="00E25125" w14:paraId="2A4E0EA0" w14:textId="6B4D2790">
            <w:pPr>
              <w:jc w:val="center"/>
              <w:rPr>
                <w:sz w:val="20"/>
              </w:rPr>
            </w:pPr>
            <w:r w:rsidRPr="00E3760B">
              <w:rPr>
                <w:rFonts w:eastAsia="Calibri"/>
                <w:sz w:val="20"/>
                <w:szCs w:val="20"/>
              </w:rPr>
              <w:t>-</w:t>
            </w:r>
            <w:r w:rsidR="00481A31">
              <w:rPr>
                <w:rFonts w:eastAsia="Calibri"/>
                <w:sz w:val="20"/>
                <w:szCs w:val="20"/>
              </w:rPr>
              <w:t>4,884</w:t>
            </w:r>
          </w:p>
        </w:tc>
        <w:tc>
          <w:tcPr>
            <w:tcW w:w="1350" w:type="dxa"/>
            <w:vAlign w:val="center"/>
          </w:tcPr>
          <w:p w:rsidR="00E25125" w:rsidP="00E25125" w:rsidRDefault="004C4E56" w14:paraId="0F93E147" w14:textId="09F3AB10">
            <w:pPr>
              <w:jc w:val="center"/>
              <w:rPr>
                <w:sz w:val="20"/>
              </w:rPr>
            </w:pPr>
            <w:r>
              <w:rPr>
                <w:rFonts w:eastAsia="Calibri"/>
                <w:sz w:val="20"/>
                <w:szCs w:val="20"/>
              </w:rPr>
              <w:t>-5,854</w:t>
            </w:r>
          </w:p>
        </w:tc>
        <w:tc>
          <w:tcPr>
            <w:tcW w:w="1440" w:type="dxa"/>
            <w:vAlign w:val="center"/>
          </w:tcPr>
          <w:p w:rsidR="00E25125" w:rsidP="00E25125" w:rsidRDefault="00E25125" w14:paraId="37360968" w14:textId="7E32486D">
            <w:pPr>
              <w:jc w:val="center"/>
              <w:rPr>
                <w:sz w:val="20"/>
              </w:rPr>
            </w:pPr>
            <w:r w:rsidRPr="00E3760B">
              <w:rPr>
                <w:rFonts w:eastAsia="Calibri"/>
                <w:sz w:val="20"/>
                <w:szCs w:val="20"/>
              </w:rPr>
              <w:t>0</w:t>
            </w:r>
          </w:p>
        </w:tc>
        <w:tc>
          <w:tcPr>
            <w:tcW w:w="1350" w:type="dxa"/>
            <w:vAlign w:val="center"/>
          </w:tcPr>
          <w:p w:rsidR="00E25125" w:rsidP="00E25125" w:rsidRDefault="00E25125" w14:paraId="2F139F7E" w14:textId="63F64014">
            <w:pPr>
              <w:jc w:val="center"/>
              <w:rPr>
                <w:sz w:val="20"/>
              </w:rPr>
            </w:pPr>
            <w:r w:rsidRPr="00E3760B">
              <w:rPr>
                <w:rFonts w:eastAsia="Calibri"/>
                <w:sz w:val="20"/>
                <w:szCs w:val="20"/>
              </w:rPr>
              <w:t>-</w:t>
            </w:r>
            <w:r w:rsidR="00BA1D1C">
              <w:rPr>
                <w:rFonts w:eastAsia="Calibri"/>
                <w:sz w:val="20"/>
                <w:szCs w:val="20"/>
              </w:rPr>
              <w:t>14,583</w:t>
            </w:r>
          </w:p>
        </w:tc>
      </w:tr>
    </w:tbl>
    <w:p w:rsidR="005014D8" w:rsidP="00657D10" w:rsidRDefault="005014D8" w14:paraId="01F4215A" w14:textId="7905331A">
      <w:pPr>
        <w:spacing w:before="120"/>
        <w:jc w:val="both"/>
        <w:rPr>
          <w:sz w:val="20"/>
        </w:rPr>
      </w:pPr>
      <w:r>
        <w:rPr>
          <w:sz w:val="20"/>
        </w:rPr>
        <w:t xml:space="preserve">*Currently </w:t>
      </w:r>
      <w:r w:rsidRPr="00871E51" w:rsidR="00587CAB">
        <w:rPr>
          <w:rFonts w:eastAsia="Calibri"/>
          <w:sz w:val="20"/>
          <w:szCs w:val="20"/>
        </w:rPr>
        <w:t>approved by OMB under control number 0938-1314 (CMS-10621).</w:t>
      </w:r>
    </w:p>
    <w:p w:rsidR="006D311A" w:rsidP="00730BEF" w:rsidRDefault="005014D8" w14:paraId="1A1A833C" w14:textId="7EE89168">
      <w:pPr>
        <w:keepNext/>
        <w:spacing w:after="0"/>
      </w:pPr>
      <w:r w:rsidRPr="005014D8">
        <w:rPr>
          <w:rFonts w:eastAsia="Calibri"/>
        </w:rPr>
        <w:t xml:space="preserve">Consistent with the policy finalized in the CY 2018 Quality Payment Program final rule that for MIPS eligible clinicians who collect measures via Medicare Part B claims, MIPS CQM, eCQM, or QCDR collection types and submit more than the required number of measures (82 FR 53735 through 54736), we will score the clinician on the required measures with the highest assigned measure achievement points and thus, the same clinician may be counted as a respondent for more than one collection type.  Therefore, our columns in Table </w:t>
      </w:r>
      <w:r>
        <w:rPr>
          <w:rFonts w:eastAsia="Calibri"/>
        </w:rPr>
        <w:t>7</w:t>
      </w:r>
      <w:r w:rsidRPr="005014D8">
        <w:rPr>
          <w:rFonts w:eastAsia="Calibri"/>
        </w:rPr>
        <w:t xml:space="preserve"> are not mutually exclusive</w:t>
      </w:r>
      <w:r w:rsidR="006D311A">
        <w:t>.</w:t>
      </w:r>
    </w:p>
    <w:p w:rsidR="006D311A" w:rsidP="00730BEF" w:rsidRDefault="006D311A" w14:paraId="63C90E4B" w14:textId="77777777">
      <w:pPr>
        <w:keepNext/>
        <w:spacing w:after="0"/>
      </w:pPr>
    </w:p>
    <w:p w:rsidR="006D311A" w:rsidP="00730BEF" w:rsidRDefault="006D311A" w14:paraId="062961AD" w14:textId="00F5EB3A">
      <w:pPr>
        <w:keepNext/>
        <w:spacing w:after="0"/>
      </w:pPr>
      <w:r>
        <w:t>Table</w:t>
      </w:r>
      <w:r w:rsidR="00AF4220">
        <w:t>s</w:t>
      </w:r>
      <w:r>
        <w:t xml:space="preserve"> </w:t>
      </w:r>
      <w:r w:rsidR="005014D8">
        <w:t>8</w:t>
      </w:r>
      <w:r w:rsidR="00AF4220">
        <w:t>A and 8B</w:t>
      </w:r>
      <w:r>
        <w:t xml:space="preserve"> </w:t>
      </w:r>
      <w:r w:rsidRPr="00EC5267" w:rsidR="00EC5267">
        <w:rPr>
          <w:rFonts w:eastAsia="Calibri"/>
        </w:rPr>
        <w:t xml:space="preserve">provide our estimated counts of groups or virtual groups that will submit quality data on behalf of clinicians for each collection type in the </w:t>
      </w:r>
      <w:r w:rsidR="00A679E7">
        <w:rPr>
          <w:rFonts w:eastAsia="Calibri"/>
        </w:rPr>
        <w:t xml:space="preserve">CY </w:t>
      </w:r>
      <w:r w:rsidRPr="00EC5267" w:rsidR="00EC5267">
        <w:rPr>
          <w:rFonts w:eastAsia="Calibri"/>
        </w:rPr>
        <w:t>202</w:t>
      </w:r>
      <w:r w:rsidR="00A679E7">
        <w:rPr>
          <w:rFonts w:eastAsia="Calibri"/>
        </w:rPr>
        <w:t>2</w:t>
      </w:r>
      <w:r w:rsidRPr="00EC5267" w:rsidR="00EC5267">
        <w:rPr>
          <w:rFonts w:eastAsia="Calibri"/>
        </w:rPr>
        <w:t xml:space="preserve"> and 202</w:t>
      </w:r>
      <w:r w:rsidR="00A679E7">
        <w:rPr>
          <w:rFonts w:eastAsia="Calibri"/>
        </w:rPr>
        <w:t>3</w:t>
      </w:r>
      <w:r w:rsidRPr="00EC5267" w:rsidR="00EC5267">
        <w:rPr>
          <w:rFonts w:eastAsia="Calibri"/>
        </w:rPr>
        <w:t xml:space="preserve"> MIPS performance periods</w:t>
      </w:r>
      <w:r w:rsidR="00E05223">
        <w:rPr>
          <w:rFonts w:eastAsia="Calibri"/>
        </w:rPr>
        <w:t>/2024 and 2025 MIPS payment years</w:t>
      </w:r>
      <w:r w:rsidR="0090528F">
        <w:rPr>
          <w:rFonts w:eastAsia="Calibri"/>
        </w:rPr>
        <w:t>, respectively</w:t>
      </w:r>
      <w:r w:rsidRPr="00EC5267" w:rsidR="00EC5267">
        <w:rPr>
          <w:rFonts w:eastAsia="Calibri"/>
        </w:rPr>
        <w:t xml:space="preserve">.  We assume that groups that submitted quality data as groups in the </w:t>
      </w:r>
      <w:r w:rsidR="0089512B">
        <w:rPr>
          <w:rFonts w:eastAsia="Calibri"/>
        </w:rPr>
        <w:t xml:space="preserve">CY </w:t>
      </w:r>
      <w:r w:rsidRPr="00EC5267" w:rsidR="00EC5267">
        <w:rPr>
          <w:rFonts w:eastAsia="Calibri"/>
        </w:rPr>
        <w:t>2019 MIPS performance period</w:t>
      </w:r>
      <w:r w:rsidR="0089512B">
        <w:rPr>
          <w:rFonts w:eastAsia="Calibri"/>
        </w:rPr>
        <w:t>/2021 MIPS payment year</w:t>
      </w:r>
      <w:r w:rsidRPr="00EC5267" w:rsidR="00EC5267">
        <w:rPr>
          <w:rFonts w:eastAsia="Calibri"/>
        </w:rPr>
        <w:t xml:space="preserve"> will continue to submit quality data either as groups or virtual groups for the same collection types as they did as a group or TIN within a virtual group for the </w:t>
      </w:r>
      <w:r w:rsidR="0071213F">
        <w:rPr>
          <w:rFonts w:eastAsia="Calibri"/>
        </w:rPr>
        <w:t xml:space="preserve">CY </w:t>
      </w:r>
      <w:r w:rsidRPr="00EC5267" w:rsidR="00EC5267">
        <w:rPr>
          <w:rFonts w:eastAsia="Calibri"/>
        </w:rPr>
        <w:t>202</w:t>
      </w:r>
      <w:r w:rsidR="0071213F">
        <w:rPr>
          <w:rFonts w:eastAsia="Calibri"/>
        </w:rPr>
        <w:t>2</w:t>
      </w:r>
      <w:r w:rsidRPr="00EC5267" w:rsidR="00EC5267">
        <w:rPr>
          <w:rFonts w:eastAsia="Calibri"/>
        </w:rPr>
        <w:t xml:space="preserve"> and 202</w:t>
      </w:r>
      <w:r w:rsidR="0071213F">
        <w:rPr>
          <w:rFonts w:eastAsia="Calibri"/>
        </w:rPr>
        <w:t>3</w:t>
      </w:r>
      <w:r w:rsidRPr="00EC5267" w:rsidR="00EC5267">
        <w:rPr>
          <w:rFonts w:eastAsia="Calibri"/>
        </w:rPr>
        <w:t xml:space="preserve"> MIPS performance periods</w:t>
      </w:r>
      <w:r w:rsidR="0071213F">
        <w:rPr>
          <w:rFonts w:eastAsia="Calibri"/>
        </w:rPr>
        <w:t>/2024 and 2025 MIPS payment years</w:t>
      </w:r>
      <w:r w:rsidRPr="00EC5267" w:rsidR="00EC5267">
        <w:rPr>
          <w:rFonts w:eastAsia="Calibri"/>
        </w:rPr>
        <w:t xml:space="preserve">.  Specifically, for the </w:t>
      </w:r>
      <w:r w:rsidR="00281CA9">
        <w:rPr>
          <w:rFonts w:eastAsia="Calibri"/>
        </w:rPr>
        <w:t xml:space="preserve">CY </w:t>
      </w:r>
      <w:r w:rsidRPr="00EC5267" w:rsidR="00EC5267">
        <w:rPr>
          <w:rFonts w:eastAsia="Calibri"/>
        </w:rPr>
        <w:t>202</w:t>
      </w:r>
      <w:r w:rsidR="00281CA9">
        <w:rPr>
          <w:rFonts w:eastAsia="Calibri"/>
        </w:rPr>
        <w:t>2</w:t>
      </w:r>
      <w:r w:rsidRPr="00EC5267" w:rsidR="00EC5267">
        <w:rPr>
          <w:rFonts w:eastAsia="Calibri"/>
        </w:rPr>
        <w:t xml:space="preserve"> </w:t>
      </w:r>
      <w:r w:rsidR="00281CA9">
        <w:rPr>
          <w:rFonts w:eastAsia="Calibri"/>
        </w:rPr>
        <w:t xml:space="preserve">MIPS </w:t>
      </w:r>
      <w:r w:rsidRPr="00EC5267" w:rsidR="00EC5267">
        <w:rPr>
          <w:rFonts w:eastAsia="Calibri"/>
        </w:rPr>
        <w:t>performance period</w:t>
      </w:r>
      <w:r w:rsidR="00DF06D6">
        <w:rPr>
          <w:rFonts w:eastAsia="Calibri"/>
        </w:rPr>
        <w:t>/2024 MIPS payment year,</w:t>
      </w:r>
      <w:r w:rsidRPr="00EC5267" w:rsidR="00EC5267">
        <w:rPr>
          <w:rFonts w:eastAsia="Calibri"/>
        </w:rPr>
        <w:t xml:space="preserve"> we estimate that 11,5</w:t>
      </w:r>
      <w:r w:rsidR="000E3949">
        <w:rPr>
          <w:rFonts w:eastAsia="Calibri"/>
        </w:rPr>
        <w:t>2</w:t>
      </w:r>
      <w:r w:rsidRPr="00EC5267" w:rsidR="00EC5267">
        <w:rPr>
          <w:rFonts w:eastAsia="Calibri"/>
        </w:rPr>
        <w:t>9 groups and virtual groups will submit data for the MIPS CQM and QCDR collection type</w:t>
      </w:r>
      <w:r w:rsidR="00372917">
        <w:rPr>
          <w:rFonts w:eastAsia="Calibri"/>
        </w:rPr>
        <w:t>,</w:t>
      </w:r>
      <w:r w:rsidRPr="00EC5267" w:rsidR="00EC5267">
        <w:rPr>
          <w:rFonts w:eastAsia="Calibri"/>
        </w:rPr>
        <w:t xml:space="preserve"> 8,1</w:t>
      </w:r>
      <w:r w:rsidR="003449E4">
        <w:rPr>
          <w:rFonts w:eastAsia="Calibri"/>
        </w:rPr>
        <w:t>27</w:t>
      </w:r>
      <w:r w:rsidRPr="00EC5267" w:rsidR="00EC5267">
        <w:rPr>
          <w:rFonts w:eastAsia="Calibri"/>
        </w:rPr>
        <w:t xml:space="preserve"> groups and virtual groups will submit for eCQM collection types</w:t>
      </w:r>
      <w:r w:rsidR="00372917">
        <w:rPr>
          <w:rFonts w:eastAsia="Calibri"/>
        </w:rPr>
        <w:t>,</w:t>
      </w:r>
      <w:r w:rsidRPr="00EC5267" w:rsidR="00EC5267">
        <w:rPr>
          <w:rFonts w:eastAsia="Calibri"/>
        </w:rPr>
        <w:t xml:space="preserve"> and 11</w:t>
      </w:r>
      <w:r w:rsidR="00671BD1">
        <w:rPr>
          <w:rFonts w:eastAsia="Calibri"/>
        </w:rPr>
        <w:t>4</w:t>
      </w:r>
      <w:r w:rsidRPr="00EC5267" w:rsidR="00EC5267">
        <w:rPr>
          <w:rFonts w:eastAsia="Calibri"/>
        </w:rPr>
        <w:t xml:space="preserve"> groups will submit data via the CMS Web Interface.  These are </w:t>
      </w:r>
      <w:r w:rsidR="004E64E1">
        <w:rPr>
          <w:rFonts w:eastAsia="Calibri"/>
        </w:rPr>
        <w:t>de</w:t>
      </w:r>
      <w:r w:rsidRPr="00EC5267" w:rsidR="00EC5267">
        <w:rPr>
          <w:rFonts w:eastAsia="Calibri"/>
        </w:rPr>
        <w:t xml:space="preserve">creases </w:t>
      </w:r>
      <w:r w:rsidR="001C33D8">
        <w:rPr>
          <w:rFonts w:eastAsia="Calibri"/>
        </w:rPr>
        <w:t xml:space="preserve">of -75 and -93 </w:t>
      </w:r>
      <w:r w:rsidR="00DD0278">
        <w:rPr>
          <w:rFonts w:eastAsia="Calibri"/>
        </w:rPr>
        <w:t xml:space="preserve">respondents </w:t>
      </w:r>
      <w:r w:rsidRPr="00EC5267" w:rsidR="00EC5267">
        <w:rPr>
          <w:rFonts w:eastAsia="Calibri"/>
        </w:rPr>
        <w:t>from the currently approved estimates of 11,604</w:t>
      </w:r>
      <w:r w:rsidR="00FB4BFD">
        <w:rPr>
          <w:rFonts w:eastAsia="Calibri"/>
        </w:rPr>
        <w:t>, and</w:t>
      </w:r>
      <w:r w:rsidRPr="00EC5267" w:rsidR="00EC5267">
        <w:rPr>
          <w:rFonts w:eastAsia="Calibri"/>
        </w:rPr>
        <w:t xml:space="preserve"> </w:t>
      </w:r>
      <w:r w:rsidRPr="00FB4BFD" w:rsidR="00FB4BFD">
        <w:rPr>
          <w:rFonts w:eastAsia="Calibri"/>
        </w:rPr>
        <w:t xml:space="preserve">8,220 </w:t>
      </w:r>
      <w:r w:rsidRPr="00EC5267" w:rsidR="00EC5267">
        <w:rPr>
          <w:rFonts w:eastAsia="Calibri"/>
        </w:rPr>
        <w:t xml:space="preserve">groups and virtual groups for the MIPS CQM and QCDR </w:t>
      </w:r>
      <w:r w:rsidR="00C5298B">
        <w:rPr>
          <w:rFonts w:eastAsia="Calibri"/>
        </w:rPr>
        <w:t xml:space="preserve">and </w:t>
      </w:r>
      <w:r w:rsidRPr="00EC5267" w:rsidR="00EC5267">
        <w:rPr>
          <w:rFonts w:eastAsia="Calibri"/>
        </w:rPr>
        <w:t>eCQM collection types</w:t>
      </w:r>
      <w:r w:rsidR="00C5298B">
        <w:rPr>
          <w:rFonts w:eastAsia="Calibri"/>
        </w:rPr>
        <w:t xml:space="preserve">, and </w:t>
      </w:r>
      <w:r w:rsidRPr="00871E51" w:rsidR="00316DFB">
        <w:rPr>
          <w:rFonts w:eastAsia="Calibri"/>
        </w:rPr>
        <w:t xml:space="preserve">an increase </w:t>
      </w:r>
      <w:r w:rsidR="00316DFB">
        <w:rPr>
          <w:rFonts w:eastAsia="Calibri"/>
        </w:rPr>
        <w:t xml:space="preserve">of +114 groups </w:t>
      </w:r>
      <w:r w:rsidRPr="00871E51" w:rsidR="00316DFB">
        <w:rPr>
          <w:rFonts w:eastAsia="Calibri"/>
        </w:rPr>
        <w:t>from the currently approved estimates of 0 groups for the CMS Web Interface collection types, respectively</w:t>
      </w:r>
      <w:r w:rsidRPr="00EC5267" w:rsidR="00EC5267">
        <w:rPr>
          <w:rFonts w:eastAsia="Calibri"/>
        </w:rPr>
        <w:t xml:space="preserve">. </w:t>
      </w:r>
      <w:r w:rsidR="009B35F4">
        <w:rPr>
          <w:rFonts w:eastAsia="Calibri"/>
        </w:rPr>
        <w:t>F</w:t>
      </w:r>
      <w:r w:rsidRPr="00871E51" w:rsidR="009B35F4">
        <w:rPr>
          <w:rFonts w:eastAsia="Calibri"/>
        </w:rPr>
        <w:t>or the CY 2023 MIPS performance period/2025 MIPS payment year we estimate that 10,4</w:t>
      </w:r>
      <w:r w:rsidR="009B35F4">
        <w:rPr>
          <w:rFonts w:eastAsia="Calibri"/>
        </w:rPr>
        <w:t>3</w:t>
      </w:r>
      <w:r w:rsidRPr="00871E51" w:rsidR="009B35F4">
        <w:rPr>
          <w:rFonts w:eastAsia="Calibri"/>
        </w:rPr>
        <w:t>4 groups and virtual groups will submit data for the MIPS CQM and QCDR collection type</w:t>
      </w:r>
      <w:r w:rsidR="00E12A03">
        <w:rPr>
          <w:rFonts w:eastAsia="Calibri"/>
        </w:rPr>
        <w:t>,</w:t>
      </w:r>
      <w:r w:rsidRPr="00871E51" w:rsidR="009B35F4">
        <w:rPr>
          <w:rFonts w:eastAsia="Calibri"/>
        </w:rPr>
        <w:t xml:space="preserve"> and 7,3</w:t>
      </w:r>
      <w:r w:rsidR="009B35F4">
        <w:rPr>
          <w:rFonts w:eastAsia="Calibri"/>
        </w:rPr>
        <w:t>5</w:t>
      </w:r>
      <w:r w:rsidRPr="00871E51" w:rsidR="009B35F4">
        <w:rPr>
          <w:rFonts w:eastAsia="Calibri"/>
        </w:rPr>
        <w:t xml:space="preserve">9 groups and virtual groups will submit for eCQM collection types. </w:t>
      </w:r>
      <w:r w:rsidRPr="00C43118" w:rsidR="009B35F4">
        <w:rPr>
          <w:rFonts w:eastAsia="Calibri"/>
        </w:rPr>
        <w:t>These are decreases of -</w:t>
      </w:r>
      <w:r w:rsidR="009B35F4">
        <w:rPr>
          <w:rFonts w:eastAsia="Calibri"/>
        </w:rPr>
        <w:t>1,170</w:t>
      </w:r>
      <w:r w:rsidRPr="00C43118" w:rsidR="009B35F4">
        <w:rPr>
          <w:rFonts w:eastAsia="Calibri"/>
        </w:rPr>
        <w:t xml:space="preserve"> and -</w:t>
      </w:r>
      <w:r w:rsidR="009B35F4">
        <w:rPr>
          <w:rFonts w:eastAsia="Calibri"/>
        </w:rPr>
        <w:t>861</w:t>
      </w:r>
      <w:r w:rsidRPr="00C43118" w:rsidR="009B35F4">
        <w:rPr>
          <w:rFonts w:eastAsia="Calibri"/>
        </w:rPr>
        <w:t xml:space="preserve"> respondents from the currently approved estimates of 11,604, and 8,220 groups and virtual groups for the MIPS CQM and QCDR and eCQM collection types</w:t>
      </w:r>
      <w:r w:rsidR="009B35F4">
        <w:rPr>
          <w:rFonts w:eastAsia="Calibri"/>
        </w:rPr>
        <w:t>, respectively.</w:t>
      </w:r>
      <w:r w:rsidRPr="00C43118" w:rsidR="009B35F4">
        <w:rPr>
          <w:rFonts w:eastAsia="Calibri"/>
        </w:rPr>
        <w:t xml:space="preserve"> </w:t>
      </w:r>
      <w:r w:rsidRPr="002D3318" w:rsidR="009B35F4">
        <w:rPr>
          <w:rFonts w:eastAsia="Calibri"/>
        </w:rPr>
        <w:t>The reason for the difference in estimated number of respondents from the estimates for the CY 2022 MIPS performance period/2024 MIPS payment year describe above, is due to the sunset of the CMS Web Interface as a collection type and the implementation of MVPs beginning with the CY 2023 MIPS performance period/2025 MIPS payment year.</w:t>
      </w:r>
      <w:r w:rsidRPr="00871E51" w:rsidR="009B35F4">
        <w:rPr>
          <w:rFonts w:eastAsia="Calibri"/>
        </w:rPr>
        <w:t xml:space="preserve"> </w:t>
      </w:r>
      <w:r w:rsidR="002A3301">
        <w:rPr>
          <w:rFonts w:eastAsia="Calibri"/>
        </w:rPr>
        <w:t xml:space="preserve">In </w:t>
      </w:r>
      <w:r w:rsidR="00EC5267">
        <w:rPr>
          <w:rFonts w:eastAsia="Calibri"/>
        </w:rPr>
        <w:t xml:space="preserve">the CY 2021 PFS final rule, </w:t>
      </w:r>
      <w:r w:rsidRPr="00EC5267" w:rsidR="00EC5267">
        <w:rPr>
          <w:rFonts w:eastAsia="Calibri"/>
        </w:rPr>
        <w:t xml:space="preserve">we </w:t>
      </w:r>
      <w:r w:rsidR="00B94C82">
        <w:rPr>
          <w:rFonts w:eastAsia="Calibri"/>
        </w:rPr>
        <w:t>finalized</w:t>
      </w:r>
      <w:r w:rsidRPr="00EC5267" w:rsidR="00EC5267">
        <w:rPr>
          <w:rFonts w:eastAsia="Calibri"/>
        </w:rPr>
        <w:t xml:space="preserve"> </w:t>
      </w:r>
      <w:r w:rsidR="002A6EE9">
        <w:rPr>
          <w:rFonts w:eastAsia="Calibri"/>
        </w:rPr>
        <w:lastRenderedPageBreak/>
        <w:t xml:space="preserve">the APM </w:t>
      </w:r>
      <w:r w:rsidR="00981D27">
        <w:rPr>
          <w:rFonts w:eastAsia="Calibri"/>
        </w:rPr>
        <w:t xml:space="preserve">Performance Pathway, </w:t>
      </w:r>
      <w:r w:rsidRPr="00EC5267" w:rsidR="00EC5267">
        <w:rPr>
          <w:rFonts w:eastAsia="Calibri"/>
        </w:rPr>
        <w:t xml:space="preserve">an alternate measure set consisting of the CMS Web Interface measures for the </w:t>
      </w:r>
      <w:r w:rsidR="00206E29">
        <w:rPr>
          <w:rFonts w:eastAsia="Calibri"/>
        </w:rPr>
        <w:t xml:space="preserve">CY </w:t>
      </w:r>
      <w:r w:rsidRPr="00EC5267" w:rsidR="00EC5267">
        <w:rPr>
          <w:rFonts w:eastAsia="Calibri"/>
        </w:rPr>
        <w:t>2021 MIPS performance period</w:t>
      </w:r>
      <w:r w:rsidR="00206E29">
        <w:rPr>
          <w:rFonts w:eastAsia="Calibri"/>
        </w:rPr>
        <w:t>/2023 MIPS payment year</w:t>
      </w:r>
      <w:r w:rsidR="00466BF6">
        <w:rPr>
          <w:rFonts w:eastAsia="Calibri"/>
        </w:rPr>
        <w:t xml:space="preserve"> (85 FR 84859 through </w:t>
      </w:r>
      <w:r w:rsidR="00BD7FF4">
        <w:rPr>
          <w:rFonts w:eastAsia="Calibri"/>
        </w:rPr>
        <w:t>84864</w:t>
      </w:r>
      <w:r w:rsidR="00466BF6">
        <w:rPr>
          <w:rFonts w:eastAsia="Calibri"/>
        </w:rPr>
        <w:t>)</w:t>
      </w:r>
      <w:r w:rsidRPr="00EC5267" w:rsidR="00EC5267">
        <w:rPr>
          <w:rFonts w:eastAsia="Calibri"/>
        </w:rPr>
        <w:t>.</w:t>
      </w:r>
      <w:r w:rsidR="002A3301">
        <w:rPr>
          <w:rFonts w:eastAsia="Calibri"/>
        </w:rPr>
        <w:t xml:space="preserve"> </w:t>
      </w:r>
      <w:r w:rsidRPr="00950069" w:rsidR="00081F2D">
        <w:t>We assume ACO APM Entities will submit data through the APM Performance Pathway</w:t>
      </w:r>
      <w:r w:rsidRPr="00950069" w:rsidR="00081F2D">
        <w:rPr>
          <w:rFonts w:eastAsia="Calibri"/>
        </w:rPr>
        <w:t xml:space="preserve"> </w:t>
      </w:r>
      <w:r w:rsidR="00F662A2">
        <w:rPr>
          <w:rFonts w:eastAsia="Calibri"/>
        </w:rPr>
        <w:t>and</w:t>
      </w:r>
      <w:r w:rsidRPr="00EC5267" w:rsidR="00EC5267">
        <w:rPr>
          <w:rFonts w:eastAsia="Calibri"/>
        </w:rPr>
        <w:t xml:space="preserve"> non-ACO APM Entities would participate through traditional MIPS and base our estimates on submissions received in the </w:t>
      </w:r>
      <w:r w:rsidR="00F662A2">
        <w:rPr>
          <w:rFonts w:eastAsia="Calibri"/>
        </w:rPr>
        <w:t xml:space="preserve">CY </w:t>
      </w:r>
      <w:r w:rsidRPr="00EC5267" w:rsidR="00EC5267">
        <w:rPr>
          <w:rFonts w:eastAsia="Calibri"/>
        </w:rPr>
        <w:t>2019 MIPS performance period</w:t>
      </w:r>
      <w:r w:rsidR="00F662A2">
        <w:rPr>
          <w:rFonts w:eastAsia="Calibri"/>
        </w:rPr>
        <w:t>/2021 MIPS payment year</w:t>
      </w:r>
      <w:r w:rsidR="005014D8">
        <w:rPr>
          <w:rFonts w:eastAsia="Calibri"/>
        </w:rPr>
        <w:t>.</w:t>
      </w:r>
    </w:p>
    <w:p w:rsidR="00FD19D7" w:rsidP="00D778C9" w:rsidRDefault="00FD19D7" w14:paraId="5410C7B5" w14:textId="77777777">
      <w:pPr>
        <w:keepNext/>
        <w:spacing w:after="0"/>
        <w:rPr>
          <w:rFonts w:eastAsia="Calibri"/>
        </w:rPr>
      </w:pPr>
    </w:p>
    <w:p w:rsidRPr="00292878" w:rsidR="004F199C" w:rsidP="001D69F5" w:rsidRDefault="004F199C" w14:paraId="2DC3FA91" w14:textId="448A1591">
      <w:pPr>
        <w:keepNext/>
        <w:spacing w:after="0"/>
        <w:ind w:firstLine="720"/>
        <w:jc w:val="center"/>
      </w:pPr>
      <w:r w:rsidRPr="00292878">
        <w:rPr>
          <w:b/>
          <w:bCs/>
        </w:rPr>
        <w:t xml:space="preserve">TABLE </w:t>
      </w:r>
      <w:r w:rsidR="005014D8">
        <w:rPr>
          <w:b/>
          <w:bCs/>
        </w:rPr>
        <w:t>8</w:t>
      </w:r>
      <w:r w:rsidR="00D15988">
        <w:rPr>
          <w:b/>
          <w:bCs/>
        </w:rPr>
        <w:t>A</w:t>
      </w:r>
      <w:r w:rsidRPr="00292878">
        <w:rPr>
          <w:b/>
          <w:bCs/>
        </w:rPr>
        <w:t>: Estimated Number of Groups and Virtual Groups Submitting Quality Performance Category Data by Collection Type on Behalf of Clinicians</w:t>
      </w:r>
      <w:r w:rsidR="00D15988">
        <w:rPr>
          <w:b/>
          <w:bCs/>
        </w:rPr>
        <w:t xml:space="preserve">, </w:t>
      </w:r>
      <w:r w:rsidRPr="007F5CFF" w:rsidR="007F5CFF">
        <w:rPr>
          <w:b/>
          <w:bCs/>
        </w:rPr>
        <w:t>CY 2022 MIPS Performance Period/202</w:t>
      </w:r>
      <w:r w:rsidR="008E2985">
        <w:rPr>
          <w:b/>
          <w:bCs/>
        </w:rPr>
        <w:t>4</w:t>
      </w:r>
      <w:r w:rsidRPr="007F5CFF" w:rsidR="007F5CFF">
        <w:rPr>
          <w:b/>
          <w:bCs/>
        </w:rPr>
        <w:t xml:space="preserve"> MIPS Payment Year</w:t>
      </w:r>
    </w:p>
    <w:tbl>
      <w:tblPr>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05"/>
        <w:gridCol w:w="1260"/>
        <w:gridCol w:w="1440"/>
        <w:gridCol w:w="1350"/>
        <w:gridCol w:w="1440"/>
        <w:gridCol w:w="1350"/>
      </w:tblGrid>
      <w:tr w:rsidRPr="00292878" w:rsidR="004F199C" w:rsidTr="00A53A0D" w14:paraId="34021060" w14:textId="77777777">
        <w:trPr>
          <w:trHeight w:val="540"/>
          <w:tblHeader/>
          <w:jc w:val="center"/>
        </w:trPr>
        <w:tc>
          <w:tcPr>
            <w:tcW w:w="2605" w:type="dxa"/>
            <w:shd w:val="clear" w:color="auto" w:fill="auto"/>
            <w:vAlign w:val="center"/>
            <w:hideMark/>
          </w:tcPr>
          <w:p w:rsidRPr="00292878" w:rsidR="004F199C" w:rsidP="004F199C" w:rsidRDefault="004F199C" w14:paraId="52706ADD" w14:textId="632A91B6">
            <w:pPr>
              <w:keepNext/>
              <w:spacing w:after="0"/>
              <w:jc w:val="center"/>
              <w:rPr>
                <w:b/>
                <w:sz w:val="20"/>
                <w:szCs w:val="20"/>
              </w:rPr>
            </w:pPr>
            <w:r w:rsidRPr="00292878">
              <w:rPr>
                <w:b/>
                <w:sz w:val="20"/>
                <w:szCs w:val="20"/>
              </w:rPr>
              <w:t>Data Description</w:t>
            </w:r>
          </w:p>
        </w:tc>
        <w:tc>
          <w:tcPr>
            <w:tcW w:w="1260" w:type="dxa"/>
            <w:shd w:val="clear" w:color="auto" w:fill="auto"/>
            <w:vAlign w:val="center"/>
            <w:hideMark/>
          </w:tcPr>
          <w:p w:rsidRPr="00292878" w:rsidR="004F199C" w:rsidP="004F199C" w:rsidRDefault="004F199C" w14:paraId="3DC07721" w14:textId="77777777">
            <w:pPr>
              <w:keepNext/>
              <w:spacing w:after="0"/>
              <w:jc w:val="center"/>
              <w:rPr>
                <w:b/>
                <w:bCs/>
                <w:sz w:val="20"/>
                <w:szCs w:val="20"/>
              </w:rPr>
            </w:pPr>
            <w:r w:rsidRPr="00292878">
              <w:rPr>
                <w:b/>
                <w:bCs/>
                <w:sz w:val="20"/>
                <w:szCs w:val="20"/>
              </w:rPr>
              <w:t>Claims</w:t>
            </w:r>
          </w:p>
        </w:tc>
        <w:tc>
          <w:tcPr>
            <w:tcW w:w="1440" w:type="dxa"/>
            <w:shd w:val="clear" w:color="auto" w:fill="auto"/>
            <w:vAlign w:val="center"/>
            <w:hideMark/>
          </w:tcPr>
          <w:p w:rsidRPr="00292878" w:rsidR="004F199C" w:rsidP="004F199C" w:rsidRDefault="004F199C" w14:paraId="1BA6F479" w14:textId="734BED3E">
            <w:pPr>
              <w:keepNext/>
              <w:spacing w:after="0"/>
              <w:jc w:val="center"/>
              <w:rPr>
                <w:b/>
                <w:bCs/>
                <w:sz w:val="20"/>
                <w:szCs w:val="20"/>
              </w:rPr>
            </w:pPr>
            <w:r w:rsidRPr="00292878">
              <w:rPr>
                <w:b/>
                <w:bCs/>
                <w:sz w:val="20"/>
                <w:szCs w:val="20"/>
              </w:rPr>
              <w:t>QCDR/</w:t>
            </w:r>
            <w:r w:rsidR="00037FF8">
              <w:rPr>
                <w:b/>
                <w:bCs/>
                <w:sz w:val="20"/>
                <w:szCs w:val="20"/>
              </w:rPr>
              <w:t>MIPS CQM</w:t>
            </w:r>
          </w:p>
        </w:tc>
        <w:tc>
          <w:tcPr>
            <w:tcW w:w="1350" w:type="dxa"/>
            <w:shd w:val="clear" w:color="auto" w:fill="auto"/>
            <w:vAlign w:val="center"/>
            <w:hideMark/>
          </w:tcPr>
          <w:p w:rsidRPr="00292878" w:rsidR="004F199C" w:rsidP="004F199C" w:rsidRDefault="004F199C" w14:paraId="6EFD845F" w14:textId="77777777">
            <w:pPr>
              <w:keepNext/>
              <w:spacing w:after="0"/>
              <w:jc w:val="center"/>
              <w:rPr>
                <w:b/>
                <w:bCs/>
                <w:sz w:val="20"/>
                <w:szCs w:val="20"/>
              </w:rPr>
            </w:pPr>
            <w:r w:rsidRPr="00292878">
              <w:rPr>
                <w:b/>
                <w:bCs/>
                <w:sz w:val="20"/>
                <w:szCs w:val="20"/>
              </w:rPr>
              <w:t>eCQM</w:t>
            </w:r>
          </w:p>
        </w:tc>
        <w:tc>
          <w:tcPr>
            <w:tcW w:w="1440" w:type="dxa"/>
            <w:shd w:val="clear" w:color="auto" w:fill="auto"/>
            <w:vAlign w:val="center"/>
            <w:hideMark/>
          </w:tcPr>
          <w:p w:rsidRPr="00292878" w:rsidR="004F199C" w:rsidP="004F199C" w:rsidRDefault="004F199C" w14:paraId="0ECC161E" w14:textId="77777777">
            <w:pPr>
              <w:keepNext/>
              <w:spacing w:after="0"/>
              <w:jc w:val="center"/>
              <w:rPr>
                <w:b/>
                <w:bCs/>
                <w:sz w:val="20"/>
                <w:szCs w:val="20"/>
              </w:rPr>
            </w:pPr>
            <w:r w:rsidRPr="00292878">
              <w:rPr>
                <w:b/>
                <w:bCs/>
                <w:sz w:val="20"/>
                <w:szCs w:val="20"/>
              </w:rPr>
              <w:t>CMS Web Interface</w:t>
            </w:r>
          </w:p>
        </w:tc>
        <w:tc>
          <w:tcPr>
            <w:tcW w:w="1350" w:type="dxa"/>
            <w:vAlign w:val="center"/>
          </w:tcPr>
          <w:p w:rsidRPr="00292878" w:rsidR="004F199C" w:rsidP="004F199C" w:rsidRDefault="004F199C" w14:paraId="46793C10" w14:textId="77777777">
            <w:pPr>
              <w:keepNext/>
              <w:spacing w:after="0"/>
              <w:jc w:val="center"/>
              <w:rPr>
                <w:b/>
                <w:bCs/>
                <w:sz w:val="20"/>
                <w:szCs w:val="20"/>
              </w:rPr>
            </w:pPr>
            <w:r w:rsidRPr="00292878">
              <w:rPr>
                <w:b/>
                <w:bCs/>
                <w:sz w:val="20"/>
                <w:szCs w:val="20"/>
              </w:rPr>
              <w:t>Total</w:t>
            </w:r>
          </w:p>
        </w:tc>
      </w:tr>
      <w:tr w:rsidRPr="00292878" w:rsidR="00B13B21" w:rsidTr="00A53A0D" w14:paraId="4B121922" w14:textId="77777777">
        <w:trPr>
          <w:trHeight w:val="422"/>
          <w:jc w:val="center"/>
        </w:trPr>
        <w:tc>
          <w:tcPr>
            <w:tcW w:w="2605" w:type="dxa"/>
            <w:shd w:val="clear" w:color="auto" w:fill="auto"/>
            <w:vAlign w:val="center"/>
            <w:hideMark/>
          </w:tcPr>
          <w:p w:rsidRPr="00374339" w:rsidR="00B13B21" w:rsidP="00B13B21" w:rsidRDefault="00B13B21" w14:paraId="4E3AEF31" w14:textId="5536B1B3">
            <w:pPr>
              <w:keepNext/>
              <w:spacing w:after="0"/>
              <w:rPr>
                <w:sz w:val="20"/>
                <w:szCs w:val="20"/>
              </w:rPr>
            </w:pPr>
            <w:r w:rsidRPr="002C289E">
              <w:rPr>
                <w:rFonts w:eastAsia="Calibri"/>
                <w:sz w:val="20"/>
                <w:szCs w:val="20"/>
              </w:rPr>
              <w:t>202</w:t>
            </w:r>
            <w:r w:rsidR="007F5CFF">
              <w:rPr>
                <w:rFonts w:eastAsia="Calibri"/>
                <w:sz w:val="20"/>
                <w:szCs w:val="20"/>
              </w:rPr>
              <w:t>2</w:t>
            </w:r>
            <w:r w:rsidRPr="002C289E">
              <w:rPr>
                <w:rFonts w:eastAsia="Calibri"/>
                <w:sz w:val="20"/>
                <w:szCs w:val="20"/>
              </w:rPr>
              <w:t xml:space="preserve"> MIPS performance period (excludes QPs) (a)</w:t>
            </w:r>
          </w:p>
        </w:tc>
        <w:tc>
          <w:tcPr>
            <w:tcW w:w="1260" w:type="dxa"/>
            <w:shd w:val="clear" w:color="auto" w:fill="auto"/>
            <w:noWrap/>
            <w:vAlign w:val="center"/>
            <w:hideMark/>
          </w:tcPr>
          <w:p w:rsidRPr="00374339" w:rsidR="00B13B21" w:rsidP="00B13B21" w:rsidRDefault="00B13B21" w14:paraId="45F70D1B" w14:textId="6AA02598">
            <w:pPr>
              <w:keepNext/>
              <w:spacing w:after="0"/>
              <w:jc w:val="center"/>
              <w:rPr>
                <w:sz w:val="20"/>
                <w:szCs w:val="20"/>
              </w:rPr>
            </w:pPr>
            <w:r w:rsidRPr="00682F96">
              <w:rPr>
                <w:rFonts w:eastAsia="Calibri"/>
                <w:sz w:val="20"/>
                <w:szCs w:val="20"/>
              </w:rPr>
              <w:t>0</w:t>
            </w:r>
          </w:p>
        </w:tc>
        <w:tc>
          <w:tcPr>
            <w:tcW w:w="1440" w:type="dxa"/>
            <w:shd w:val="clear" w:color="auto" w:fill="auto"/>
            <w:noWrap/>
            <w:vAlign w:val="center"/>
            <w:hideMark/>
          </w:tcPr>
          <w:p w:rsidRPr="00374339" w:rsidR="00B13B21" w:rsidP="00B13B21" w:rsidRDefault="00B13B21" w14:paraId="31BEAAA3" w14:textId="2E4C1178">
            <w:pPr>
              <w:keepNext/>
              <w:spacing w:after="0"/>
              <w:jc w:val="center"/>
              <w:rPr>
                <w:sz w:val="20"/>
                <w:szCs w:val="20"/>
              </w:rPr>
            </w:pPr>
            <w:r w:rsidRPr="00682F96">
              <w:rPr>
                <w:rFonts w:eastAsia="Calibri"/>
                <w:sz w:val="20"/>
                <w:szCs w:val="20"/>
              </w:rPr>
              <w:t>11,</w:t>
            </w:r>
            <w:r w:rsidRPr="00E3760B">
              <w:rPr>
                <w:rFonts w:eastAsia="Calibri"/>
                <w:sz w:val="20"/>
                <w:szCs w:val="20"/>
              </w:rPr>
              <w:t>5</w:t>
            </w:r>
            <w:r w:rsidR="00C641C5">
              <w:rPr>
                <w:rFonts w:eastAsia="Calibri"/>
                <w:sz w:val="20"/>
                <w:szCs w:val="20"/>
              </w:rPr>
              <w:t>2</w:t>
            </w:r>
            <w:r w:rsidRPr="00E3760B">
              <w:rPr>
                <w:rFonts w:eastAsia="Calibri"/>
                <w:sz w:val="20"/>
                <w:szCs w:val="20"/>
              </w:rPr>
              <w:t>9</w:t>
            </w:r>
          </w:p>
        </w:tc>
        <w:tc>
          <w:tcPr>
            <w:tcW w:w="1350" w:type="dxa"/>
            <w:shd w:val="clear" w:color="auto" w:fill="auto"/>
            <w:noWrap/>
            <w:vAlign w:val="center"/>
            <w:hideMark/>
          </w:tcPr>
          <w:p w:rsidRPr="00374339" w:rsidR="00B13B21" w:rsidP="00B13B21" w:rsidRDefault="00B13B21" w14:paraId="7AA50348" w14:textId="37470295">
            <w:pPr>
              <w:keepNext/>
              <w:spacing w:after="0"/>
              <w:jc w:val="center"/>
              <w:rPr>
                <w:sz w:val="20"/>
                <w:szCs w:val="20"/>
              </w:rPr>
            </w:pPr>
            <w:r w:rsidRPr="00E3760B">
              <w:rPr>
                <w:rFonts w:eastAsia="Calibri"/>
                <w:sz w:val="20"/>
                <w:szCs w:val="20"/>
              </w:rPr>
              <w:t>8,1</w:t>
            </w:r>
            <w:r w:rsidR="00C641C5">
              <w:rPr>
                <w:rFonts w:eastAsia="Calibri"/>
                <w:sz w:val="20"/>
                <w:szCs w:val="20"/>
              </w:rPr>
              <w:t>27</w:t>
            </w:r>
          </w:p>
        </w:tc>
        <w:tc>
          <w:tcPr>
            <w:tcW w:w="1440" w:type="dxa"/>
            <w:shd w:val="clear" w:color="auto" w:fill="auto"/>
            <w:noWrap/>
            <w:vAlign w:val="center"/>
            <w:hideMark/>
          </w:tcPr>
          <w:p w:rsidRPr="00374339" w:rsidR="00B13B21" w:rsidP="00B13B21" w:rsidRDefault="00B13B21" w14:paraId="277BD9B8" w14:textId="3A3AEDBD">
            <w:pPr>
              <w:keepNext/>
              <w:spacing w:after="0"/>
              <w:jc w:val="center"/>
              <w:rPr>
                <w:sz w:val="20"/>
                <w:szCs w:val="20"/>
              </w:rPr>
            </w:pPr>
            <w:r w:rsidRPr="00E3760B">
              <w:rPr>
                <w:rFonts w:eastAsia="Calibri"/>
                <w:sz w:val="20"/>
                <w:szCs w:val="20"/>
              </w:rPr>
              <w:t>11</w:t>
            </w:r>
            <w:r w:rsidR="00C641C5">
              <w:rPr>
                <w:rFonts w:eastAsia="Calibri"/>
                <w:sz w:val="20"/>
                <w:szCs w:val="20"/>
              </w:rPr>
              <w:t>4</w:t>
            </w:r>
          </w:p>
        </w:tc>
        <w:tc>
          <w:tcPr>
            <w:tcW w:w="1350" w:type="dxa"/>
            <w:vAlign w:val="center"/>
          </w:tcPr>
          <w:p w:rsidRPr="00374339" w:rsidR="00B13B21" w:rsidP="00B13B21" w:rsidRDefault="00B13B21" w14:paraId="555C255C" w14:textId="01BF3CD0">
            <w:pPr>
              <w:keepNext/>
              <w:spacing w:after="0"/>
              <w:jc w:val="center"/>
              <w:rPr>
                <w:sz w:val="20"/>
                <w:szCs w:val="20"/>
              </w:rPr>
            </w:pPr>
            <w:r w:rsidRPr="00682F96">
              <w:rPr>
                <w:rFonts w:eastAsia="Calibri"/>
                <w:sz w:val="20"/>
                <w:szCs w:val="20"/>
              </w:rPr>
              <w:t>1</w:t>
            </w:r>
            <w:r w:rsidRPr="00E3760B">
              <w:rPr>
                <w:rFonts w:eastAsia="Calibri"/>
                <w:sz w:val="20"/>
                <w:szCs w:val="20"/>
              </w:rPr>
              <w:t>9,</w:t>
            </w:r>
            <w:r w:rsidR="00F37E79">
              <w:rPr>
                <w:rFonts w:eastAsia="Calibri"/>
                <w:sz w:val="20"/>
                <w:szCs w:val="20"/>
              </w:rPr>
              <w:t>770</w:t>
            </w:r>
          </w:p>
        </w:tc>
      </w:tr>
      <w:tr w:rsidRPr="00292878" w:rsidR="00B13B21" w:rsidTr="00A53A0D" w14:paraId="02276BE8" w14:textId="77777777">
        <w:trPr>
          <w:trHeight w:val="413"/>
          <w:jc w:val="center"/>
        </w:trPr>
        <w:tc>
          <w:tcPr>
            <w:tcW w:w="2605" w:type="dxa"/>
            <w:shd w:val="clear" w:color="auto" w:fill="auto"/>
            <w:vAlign w:val="center"/>
            <w:hideMark/>
          </w:tcPr>
          <w:p w:rsidRPr="00374339" w:rsidR="00B13B21" w:rsidP="00B13B21" w:rsidRDefault="00B13B21" w14:paraId="105AF79C" w14:textId="208CA02D">
            <w:pPr>
              <w:keepNext/>
              <w:spacing w:after="0"/>
              <w:rPr>
                <w:sz w:val="20"/>
                <w:szCs w:val="20"/>
              </w:rPr>
            </w:pPr>
            <w:r w:rsidRPr="002C289E">
              <w:rPr>
                <w:rFonts w:eastAsia="Calibri"/>
                <w:sz w:val="20"/>
                <w:szCs w:val="20"/>
              </w:rPr>
              <w:t>*</w:t>
            </w:r>
            <w:r w:rsidR="006B46C9">
              <w:rPr>
                <w:rFonts w:eastAsia="Calibri"/>
                <w:sz w:val="20"/>
                <w:szCs w:val="20"/>
              </w:rPr>
              <w:t xml:space="preserve">Currently approved </w:t>
            </w:r>
            <w:r w:rsidRPr="002C289E">
              <w:rPr>
                <w:rFonts w:eastAsia="Calibri"/>
                <w:sz w:val="20"/>
                <w:szCs w:val="20"/>
              </w:rPr>
              <w:t>202</w:t>
            </w:r>
            <w:r w:rsidR="00132E94">
              <w:rPr>
                <w:rFonts w:eastAsia="Calibri"/>
                <w:sz w:val="20"/>
                <w:szCs w:val="20"/>
              </w:rPr>
              <w:t>2</w:t>
            </w:r>
            <w:r w:rsidRPr="002C289E">
              <w:rPr>
                <w:rFonts w:eastAsia="Calibri"/>
                <w:sz w:val="20"/>
                <w:szCs w:val="20"/>
              </w:rPr>
              <w:t xml:space="preserve"> MIPS performance period (b)</w:t>
            </w:r>
          </w:p>
        </w:tc>
        <w:tc>
          <w:tcPr>
            <w:tcW w:w="1260" w:type="dxa"/>
            <w:shd w:val="clear" w:color="auto" w:fill="auto"/>
            <w:noWrap/>
            <w:vAlign w:val="center"/>
            <w:hideMark/>
          </w:tcPr>
          <w:p w:rsidRPr="00374339" w:rsidR="00B13B21" w:rsidP="00B13B21" w:rsidRDefault="00B13B21" w14:paraId="0CD9CF60" w14:textId="78E7C018">
            <w:pPr>
              <w:keepNext/>
              <w:spacing w:after="0"/>
              <w:jc w:val="center"/>
              <w:rPr>
                <w:sz w:val="20"/>
                <w:szCs w:val="20"/>
              </w:rPr>
            </w:pPr>
            <w:r w:rsidRPr="00682F96">
              <w:rPr>
                <w:rFonts w:eastAsia="Calibri"/>
                <w:sz w:val="20"/>
                <w:szCs w:val="20"/>
              </w:rPr>
              <w:t>0</w:t>
            </w:r>
          </w:p>
        </w:tc>
        <w:tc>
          <w:tcPr>
            <w:tcW w:w="1440" w:type="dxa"/>
            <w:shd w:val="clear" w:color="auto" w:fill="auto"/>
            <w:noWrap/>
            <w:vAlign w:val="center"/>
            <w:hideMark/>
          </w:tcPr>
          <w:p w:rsidRPr="00374339" w:rsidR="00B13B21" w:rsidP="00B13B21" w:rsidRDefault="00E643C1" w14:paraId="1AF55617" w14:textId="4DE9A30F">
            <w:pPr>
              <w:keepNext/>
              <w:spacing w:after="0"/>
              <w:jc w:val="center"/>
              <w:rPr>
                <w:sz w:val="20"/>
                <w:szCs w:val="20"/>
              </w:rPr>
            </w:pPr>
            <w:r>
              <w:rPr>
                <w:rFonts w:eastAsia="Calibri"/>
                <w:sz w:val="20"/>
                <w:szCs w:val="20"/>
              </w:rPr>
              <w:t>11,604</w:t>
            </w:r>
          </w:p>
        </w:tc>
        <w:tc>
          <w:tcPr>
            <w:tcW w:w="1350" w:type="dxa"/>
            <w:shd w:val="clear" w:color="auto" w:fill="auto"/>
            <w:noWrap/>
            <w:vAlign w:val="center"/>
            <w:hideMark/>
          </w:tcPr>
          <w:p w:rsidRPr="00374339" w:rsidR="00B13B21" w:rsidP="00B13B21" w:rsidRDefault="00E643C1" w14:paraId="50F47D62" w14:textId="17215696">
            <w:pPr>
              <w:keepNext/>
              <w:spacing w:after="0"/>
              <w:jc w:val="center"/>
              <w:rPr>
                <w:sz w:val="20"/>
                <w:szCs w:val="20"/>
              </w:rPr>
            </w:pPr>
            <w:r>
              <w:rPr>
                <w:rFonts w:eastAsia="Calibri"/>
                <w:sz w:val="20"/>
                <w:szCs w:val="20"/>
              </w:rPr>
              <w:t>8,220</w:t>
            </w:r>
          </w:p>
        </w:tc>
        <w:tc>
          <w:tcPr>
            <w:tcW w:w="1440" w:type="dxa"/>
            <w:shd w:val="clear" w:color="auto" w:fill="auto"/>
            <w:noWrap/>
            <w:vAlign w:val="center"/>
            <w:hideMark/>
          </w:tcPr>
          <w:p w:rsidRPr="00374339" w:rsidR="00B13B21" w:rsidP="00B13B21" w:rsidRDefault="00570BCE" w14:paraId="4E7AE7F3" w14:textId="1F93F7CB">
            <w:pPr>
              <w:keepNext/>
              <w:spacing w:after="0"/>
              <w:jc w:val="center"/>
              <w:rPr>
                <w:sz w:val="20"/>
                <w:szCs w:val="20"/>
              </w:rPr>
            </w:pPr>
            <w:r>
              <w:rPr>
                <w:rFonts w:eastAsia="Calibri"/>
                <w:sz w:val="20"/>
                <w:szCs w:val="20"/>
              </w:rPr>
              <w:t xml:space="preserve">0 </w:t>
            </w:r>
          </w:p>
        </w:tc>
        <w:tc>
          <w:tcPr>
            <w:tcW w:w="1350" w:type="dxa"/>
            <w:vAlign w:val="center"/>
          </w:tcPr>
          <w:p w:rsidRPr="00374339" w:rsidR="00B13B21" w:rsidP="00B13B21" w:rsidRDefault="00EC12FB" w14:paraId="5C213CD4" w14:textId="0A95EE28">
            <w:pPr>
              <w:keepNext/>
              <w:spacing w:after="0"/>
              <w:jc w:val="center"/>
              <w:rPr>
                <w:sz w:val="20"/>
                <w:szCs w:val="20"/>
              </w:rPr>
            </w:pPr>
            <w:r>
              <w:rPr>
                <w:rFonts w:eastAsia="Calibri"/>
                <w:sz w:val="20"/>
                <w:szCs w:val="20"/>
              </w:rPr>
              <w:t>19,824</w:t>
            </w:r>
          </w:p>
        </w:tc>
      </w:tr>
      <w:tr w:rsidRPr="00292878" w:rsidR="00B13B21" w:rsidTr="00A53A0D" w14:paraId="3F662172" w14:textId="77777777">
        <w:trPr>
          <w:trHeight w:val="260"/>
          <w:jc w:val="center"/>
        </w:trPr>
        <w:tc>
          <w:tcPr>
            <w:tcW w:w="2605" w:type="dxa"/>
            <w:shd w:val="clear" w:color="auto" w:fill="auto"/>
            <w:vAlign w:val="center"/>
            <w:hideMark/>
          </w:tcPr>
          <w:p w:rsidRPr="00374339" w:rsidR="00B13B21" w:rsidP="00B13B21" w:rsidRDefault="00B13B21" w14:paraId="3D63636C" w14:textId="0B2495E4">
            <w:pPr>
              <w:keepNext/>
              <w:spacing w:after="0"/>
              <w:rPr>
                <w:sz w:val="20"/>
                <w:szCs w:val="20"/>
              </w:rPr>
            </w:pPr>
            <w:r w:rsidRPr="002C289E">
              <w:rPr>
                <w:rFonts w:eastAsia="Calibri"/>
                <w:sz w:val="20"/>
                <w:szCs w:val="20"/>
              </w:rPr>
              <w:t>Difference (c)=(a)-(b)</w:t>
            </w:r>
          </w:p>
        </w:tc>
        <w:tc>
          <w:tcPr>
            <w:tcW w:w="1260" w:type="dxa"/>
            <w:shd w:val="clear" w:color="auto" w:fill="auto"/>
            <w:noWrap/>
            <w:vAlign w:val="center"/>
            <w:hideMark/>
          </w:tcPr>
          <w:p w:rsidRPr="00374339" w:rsidR="00B13B21" w:rsidP="00B13B21" w:rsidRDefault="00B13B21" w14:paraId="28E9EC4C" w14:textId="7CC480E6">
            <w:pPr>
              <w:keepNext/>
              <w:spacing w:after="0"/>
              <w:jc w:val="center"/>
              <w:rPr>
                <w:sz w:val="20"/>
                <w:szCs w:val="20"/>
              </w:rPr>
            </w:pPr>
            <w:r w:rsidRPr="00682F96">
              <w:rPr>
                <w:rFonts w:eastAsia="Calibri"/>
                <w:sz w:val="20"/>
                <w:szCs w:val="20"/>
              </w:rPr>
              <w:t>0</w:t>
            </w:r>
          </w:p>
        </w:tc>
        <w:tc>
          <w:tcPr>
            <w:tcW w:w="1440" w:type="dxa"/>
            <w:shd w:val="clear" w:color="auto" w:fill="auto"/>
            <w:noWrap/>
            <w:vAlign w:val="center"/>
            <w:hideMark/>
          </w:tcPr>
          <w:p w:rsidRPr="00374339" w:rsidR="00B13B21" w:rsidP="00B13B21" w:rsidRDefault="00404300" w14:paraId="311AE3B8" w14:textId="4A49FF8B">
            <w:pPr>
              <w:keepNext/>
              <w:spacing w:after="0"/>
              <w:jc w:val="center"/>
              <w:rPr>
                <w:sz w:val="20"/>
                <w:szCs w:val="20"/>
              </w:rPr>
            </w:pPr>
            <w:r>
              <w:rPr>
                <w:rFonts w:eastAsia="Calibri"/>
                <w:sz w:val="20"/>
                <w:szCs w:val="20"/>
              </w:rPr>
              <w:t>-75</w:t>
            </w:r>
          </w:p>
        </w:tc>
        <w:tc>
          <w:tcPr>
            <w:tcW w:w="1350" w:type="dxa"/>
            <w:shd w:val="clear" w:color="auto" w:fill="auto"/>
            <w:noWrap/>
            <w:vAlign w:val="center"/>
            <w:hideMark/>
          </w:tcPr>
          <w:p w:rsidRPr="00374339" w:rsidR="00B13B21" w:rsidP="00B13B21" w:rsidRDefault="00404300" w14:paraId="6F9EE7F3" w14:textId="2E382E63">
            <w:pPr>
              <w:keepNext/>
              <w:spacing w:after="0"/>
              <w:jc w:val="center"/>
              <w:rPr>
                <w:sz w:val="20"/>
                <w:szCs w:val="20"/>
              </w:rPr>
            </w:pPr>
            <w:r>
              <w:rPr>
                <w:rFonts w:eastAsia="Calibri"/>
                <w:sz w:val="20"/>
                <w:szCs w:val="20"/>
              </w:rPr>
              <w:t>-93</w:t>
            </w:r>
          </w:p>
        </w:tc>
        <w:tc>
          <w:tcPr>
            <w:tcW w:w="1440" w:type="dxa"/>
            <w:shd w:val="clear" w:color="auto" w:fill="auto"/>
            <w:noWrap/>
            <w:vAlign w:val="center"/>
            <w:hideMark/>
          </w:tcPr>
          <w:p w:rsidRPr="00374339" w:rsidR="00B13B21" w:rsidP="00B13B21" w:rsidRDefault="00B13B21" w14:paraId="3E355AE0" w14:textId="3C585CE3">
            <w:pPr>
              <w:keepNext/>
              <w:spacing w:after="0"/>
              <w:jc w:val="center"/>
              <w:rPr>
                <w:sz w:val="20"/>
                <w:szCs w:val="20"/>
              </w:rPr>
            </w:pPr>
            <w:r w:rsidRPr="00E3760B">
              <w:rPr>
                <w:rFonts w:eastAsia="Calibri"/>
                <w:sz w:val="20"/>
                <w:szCs w:val="20"/>
              </w:rPr>
              <w:t>+</w:t>
            </w:r>
            <w:r w:rsidR="0070170E">
              <w:rPr>
                <w:rFonts w:eastAsia="Calibri"/>
                <w:sz w:val="20"/>
                <w:szCs w:val="20"/>
              </w:rPr>
              <w:t>114</w:t>
            </w:r>
          </w:p>
        </w:tc>
        <w:tc>
          <w:tcPr>
            <w:tcW w:w="1350" w:type="dxa"/>
            <w:vAlign w:val="center"/>
          </w:tcPr>
          <w:p w:rsidRPr="00374339" w:rsidR="00B13B21" w:rsidP="00B13B21" w:rsidRDefault="006D0FE3" w14:paraId="1FEC181F" w14:textId="325C58A1">
            <w:pPr>
              <w:keepNext/>
              <w:spacing w:after="0"/>
              <w:jc w:val="center"/>
              <w:rPr>
                <w:sz w:val="20"/>
                <w:szCs w:val="20"/>
              </w:rPr>
            </w:pPr>
            <w:r>
              <w:rPr>
                <w:rFonts w:eastAsia="Calibri"/>
                <w:sz w:val="20"/>
                <w:szCs w:val="20"/>
              </w:rPr>
              <w:t>-54</w:t>
            </w:r>
          </w:p>
        </w:tc>
      </w:tr>
    </w:tbl>
    <w:p w:rsidR="00A53A0D" w:rsidP="005014D8" w:rsidRDefault="00A53A0D" w14:paraId="6CEFF99D" w14:textId="787F4AE3">
      <w:pPr>
        <w:jc w:val="both"/>
        <w:rPr>
          <w:sz w:val="20"/>
        </w:rPr>
      </w:pPr>
    </w:p>
    <w:p w:rsidRPr="00292878" w:rsidR="00D15988" w:rsidP="00D15988" w:rsidRDefault="00D15988" w14:paraId="40AE0825" w14:textId="006A2988">
      <w:pPr>
        <w:keepNext/>
        <w:spacing w:after="0"/>
        <w:ind w:firstLine="720"/>
        <w:jc w:val="center"/>
      </w:pPr>
      <w:r w:rsidRPr="00292878">
        <w:rPr>
          <w:b/>
          <w:bCs/>
        </w:rPr>
        <w:t xml:space="preserve">TABLE </w:t>
      </w:r>
      <w:r>
        <w:rPr>
          <w:b/>
          <w:bCs/>
        </w:rPr>
        <w:t>8B</w:t>
      </w:r>
      <w:r w:rsidRPr="00292878">
        <w:rPr>
          <w:b/>
          <w:bCs/>
        </w:rPr>
        <w:t>: Estimated Number of Groups and Virtual Groups Submitting Quality Performance Category Data by Collection Type on Behalf of Clinicians</w:t>
      </w:r>
      <w:r>
        <w:rPr>
          <w:b/>
          <w:bCs/>
        </w:rPr>
        <w:t xml:space="preserve">, </w:t>
      </w:r>
      <w:r w:rsidRPr="00AF3087" w:rsidR="00AF3087">
        <w:rPr>
          <w:b/>
          <w:bCs/>
        </w:rPr>
        <w:t>CY 2023 MIPS Performance Period/2025 MIPS Payment Year</w:t>
      </w:r>
    </w:p>
    <w:tbl>
      <w:tblPr>
        <w:tblStyle w:val="TableGrid"/>
        <w:tblW w:w="9445" w:type="dxa"/>
        <w:jc w:val="center"/>
        <w:tblLook w:val="04A0" w:firstRow="1" w:lastRow="0" w:firstColumn="1" w:lastColumn="0" w:noHBand="0" w:noVBand="1"/>
      </w:tblPr>
      <w:tblGrid>
        <w:gridCol w:w="3955"/>
        <w:gridCol w:w="1080"/>
        <w:gridCol w:w="1350"/>
        <w:gridCol w:w="900"/>
        <w:gridCol w:w="1170"/>
        <w:gridCol w:w="990"/>
      </w:tblGrid>
      <w:tr w:rsidR="00657D10" w:rsidTr="007F64F4" w14:paraId="38951C74" w14:textId="77777777">
        <w:trPr>
          <w:cantSplit/>
          <w:tblHeader/>
          <w:jc w:val="center"/>
        </w:trPr>
        <w:tc>
          <w:tcPr>
            <w:tcW w:w="3955" w:type="dxa"/>
            <w:vAlign w:val="center"/>
          </w:tcPr>
          <w:p w:rsidRPr="00CC1878" w:rsidR="00657D10" w:rsidP="00657D10" w:rsidRDefault="00657D10" w14:paraId="35AF5B87" w14:textId="02C3FB86">
            <w:pPr>
              <w:rPr>
                <w:sz w:val="20"/>
                <w:szCs w:val="20"/>
              </w:rPr>
            </w:pPr>
            <w:r w:rsidRPr="00292878">
              <w:rPr>
                <w:b/>
                <w:sz w:val="20"/>
                <w:szCs w:val="20"/>
              </w:rPr>
              <w:t>Data Description</w:t>
            </w:r>
          </w:p>
        </w:tc>
        <w:tc>
          <w:tcPr>
            <w:tcW w:w="1080" w:type="dxa"/>
            <w:vAlign w:val="center"/>
          </w:tcPr>
          <w:p w:rsidRPr="00E3760B" w:rsidR="00657D10" w:rsidP="00657D10" w:rsidRDefault="00657D10" w14:paraId="2357254F" w14:textId="3394EA45">
            <w:pPr>
              <w:jc w:val="center"/>
              <w:rPr>
                <w:rFonts w:eastAsia="Calibri"/>
                <w:sz w:val="20"/>
                <w:szCs w:val="20"/>
              </w:rPr>
            </w:pPr>
            <w:r w:rsidRPr="00292878">
              <w:rPr>
                <w:b/>
                <w:bCs/>
                <w:sz w:val="20"/>
                <w:szCs w:val="20"/>
              </w:rPr>
              <w:t>Claims</w:t>
            </w:r>
          </w:p>
        </w:tc>
        <w:tc>
          <w:tcPr>
            <w:tcW w:w="1350" w:type="dxa"/>
            <w:vAlign w:val="center"/>
          </w:tcPr>
          <w:p w:rsidRPr="00A84883" w:rsidR="00657D10" w:rsidP="00657D10" w:rsidRDefault="00657D10" w14:paraId="613F0451" w14:textId="03AF767B">
            <w:pPr>
              <w:jc w:val="center"/>
              <w:rPr>
                <w:rFonts w:eastAsia="Calibri"/>
                <w:sz w:val="20"/>
                <w:szCs w:val="20"/>
              </w:rPr>
            </w:pPr>
            <w:r w:rsidRPr="00292878">
              <w:rPr>
                <w:b/>
                <w:bCs/>
                <w:sz w:val="20"/>
                <w:szCs w:val="20"/>
              </w:rPr>
              <w:t>QCDR/</w:t>
            </w:r>
            <w:r w:rsidR="007F64F4">
              <w:rPr>
                <w:b/>
                <w:bCs/>
                <w:sz w:val="20"/>
                <w:szCs w:val="20"/>
              </w:rPr>
              <w:br/>
            </w:r>
            <w:r>
              <w:rPr>
                <w:b/>
                <w:bCs/>
                <w:sz w:val="20"/>
                <w:szCs w:val="20"/>
              </w:rPr>
              <w:t>MIPS CQM</w:t>
            </w:r>
          </w:p>
        </w:tc>
        <w:tc>
          <w:tcPr>
            <w:tcW w:w="900" w:type="dxa"/>
            <w:vAlign w:val="center"/>
          </w:tcPr>
          <w:p w:rsidRPr="00A84883" w:rsidR="00657D10" w:rsidP="00657D10" w:rsidRDefault="00657D10" w14:paraId="49956F3E" w14:textId="67CC1516">
            <w:pPr>
              <w:jc w:val="center"/>
              <w:rPr>
                <w:rFonts w:eastAsia="Calibri"/>
                <w:sz w:val="20"/>
                <w:szCs w:val="20"/>
              </w:rPr>
            </w:pPr>
            <w:r w:rsidRPr="00292878">
              <w:rPr>
                <w:b/>
                <w:bCs/>
                <w:sz w:val="20"/>
                <w:szCs w:val="20"/>
              </w:rPr>
              <w:t>eCQM</w:t>
            </w:r>
          </w:p>
        </w:tc>
        <w:tc>
          <w:tcPr>
            <w:tcW w:w="1170" w:type="dxa"/>
            <w:vAlign w:val="center"/>
          </w:tcPr>
          <w:p w:rsidRPr="00E3760B" w:rsidR="00657D10" w:rsidP="00657D10" w:rsidRDefault="00657D10" w14:paraId="04D972DF" w14:textId="1B51E4CE">
            <w:pPr>
              <w:jc w:val="center"/>
              <w:rPr>
                <w:rFonts w:eastAsia="Calibri"/>
                <w:sz w:val="20"/>
                <w:szCs w:val="20"/>
              </w:rPr>
            </w:pPr>
            <w:r w:rsidRPr="00292878">
              <w:rPr>
                <w:b/>
                <w:bCs/>
                <w:sz w:val="20"/>
                <w:szCs w:val="20"/>
              </w:rPr>
              <w:t>CMS Web Interface</w:t>
            </w:r>
          </w:p>
        </w:tc>
        <w:tc>
          <w:tcPr>
            <w:tcW w:w="990" w:type="dxa"/>
            <w:vAlign w:val="center"/>
          </w:tcPr>
          <w:p w:rsidRPr="00E3760B" w:rsidR="00657D10" w:rsidP="00657D10" w:rsidRDefault="00657D10" w14:paraId="25188438" w14:textId="2FC37752">
            <w:pPr>
              <w:jc w:val="center"/>
              <w:rPr>
                <w:rFonts w:eastAsia="Calibri"/>
                <w:sz w:val="20"/>
                <w:szCs w:val="20"/>
              </w:rPr>
            </w:pPr>
            <w:r w:rsidRPr="00292878">
              <w:rPr>
                <w:b/>
                <w:bCs/>
                <w:sz w:val="20"/>
                <w:szCs w:val="20"/>
              </w:rPr>
              <w:t>Total</w:t>
            </w:r>
          </w:p>
        </w:tc>
      </w:tr>
      <w:tr w:rsidR="00320E81" w:rsidTr="007F64F4" w14:paraId="33D72609" w14:textId="77777777">
        <w:trPr>
          <w:jc w:val="center"/>
        </w:trPr>
        <w:tc>
          <w:tcPr>
            <w:tcW w:w="3955" w:type="dxa"/>
          </w:tcPr>
          <w:p w:rsidR="00320E81" w:rsidP="00320E81" w:rsidRDefault="00320E81" w14:paraId="6C4FC92A" w14:textId="517130F7">
            <w:pPr>
              <w:rPr>
                <w:sz w:val="20"/>
              </w:rPr>
            </w:pPr>
            <w:r w:rsidRPr="00CC1878">
              <w:rPr>
                <w:sz w:val="20"/>
                <w:szCs w:val="20"/>
              </w:rPr>
              <w:t>202</w:t>
            </w:r>
            <w:r>
              <w:rPr>
                <w:sz w:val="20"/>
                <w:szCs w:val="20"/>
              </w:rPr>
              <w:t>3</w:t>
            </w:r>
            <w:r w:rsidRPr="00CC1878">
              <w:rPr>
                <w:sz w:val="20"/>
                <w:szCs w:val="20"/>
              </w:rPr>
              <w:t xml:space="preserve"> MIPS performance period (excludes QPs) (</w:t>
            </w:r>
            <w:r>
              <w:rPr>
                <w:sz w:val="20"/>
                <w:szCs w:val="20"/>
              </w:rPr>
              <w:t>a</w:t>
            </w:r>
            <w:r w:rsidRPr="00CC1878">
              <w:rPr>
                <w:sz w:val="20"/>
                <w:szCs w:val="20"/>
              </w:rPr>
              <w:t>)</w:t>
            </w:r>
          </w:p>
        </w:tc>
        <w:tc>
          <w:tcPr>
            <w:tcW w:w="1080" w:type="dxa"/>
            <w:vAlign w:val="center"/>
          </w:tcPr>
          <w:p w:rsidR="00320E81" w:rsidP="00320E81" w:rsidRDefault="00320E81" w14:paraId="4BE54752" w14:textId="5A98AA0C">
            <w:pPr>
              <w:jc w:val="center"/>
              <w:rPr>
                <w:sz w:val="20"/>
              </w:rPr>
            </w:pPr>
            <w:r w:rsidRPr="00E3760B">
              <w:rPr>
                <w:rFonts w:eastAsia="Calibri"/>
                <w:sz w:val="20"/>
                <w:szCs w:val="20"/>
              </w:rPr>
              <w:t>0</w:t>
            </w:r>
          </w:p>
        </w:tc>
        <w:tc>
          <w:tcPr>
            <w:tcW w:w="1350" w:type="dxa"/>
            <w:shd w:val="clear" w:color="auto" w:fill="auto"/>
            <w:vAlign w:val="center"/>
          </w:tcPr>
          <w:p w:rsidR="00320E81" w:rsidP="00320E81" w:rsidRDefault="00320E81" w14:paraId="35EDE065" w14:textId="1C68C174">
            <w:pPr>
              <w:jc w:val="center"/>
              <w:rPr>
                <w:sz w:val="20"/>
              </w:rPr>
            </w:pPr>
            <w:r w:rsidRPr="00682F96">
              <w:rPr>
                <w:rFonts w:eastAsia="Calibri"/>
                <w:sz w:val="20"/>
                <w:szCs w:val="20"/>
              </w:rPr>
              <w:t>11,</w:t>
            </w:r>
            <w:r w:rsidRPr="00E3760B">
              <w:rPr>
                <w:rFonts w:eastAsia="Calibri"/>
                <w:sz w:val="20"/>
                <w:szCs w:val="20"/>
              </w:rPr>
              <w:t>5</w:t>
            </w:r>
            <w:r>
              <w:rPr>
                <w:rFonts w:eastAsia="Calibri"/>
                <w:sz w:val="20"/>
                <w:szCs w:val="20"/>
              </w:rPr>
              <w:t>2</w:t>
            </w:r>
            <w:r w:rsidRPr="00E3760B">
              <w:rPr>
                <w:rFonts w:eastAsia="Calibri"/>
                <w:sz w:val="20"/>
                <w:szCs w:val="20"/>
              </w:rPr>
              <w:t>9</w:t>
            </w:r>
          </w:p>
        </w:tc>
        <w:tc>
          <w:tcPr>
            <w:tcW w:w="900" w:type="dxa"/>
            <w:shd w:val="clear" w:color="auto" w:fill="auto"/>
            <w:vAlign w:val="center"/>
          </w:tcPr>
          <w:p w:rsidR="00320E81" w:rsidP="00320E81" w:rsidRDefault="00320E81" w14:paraId="01C640BC" w14:textId="79D22FD7">
            <w:pPr>
              <w:jc w:val="center"/>
              <w:rPr>
                <w:sz w:val="20"/>
              </w:rPr>
            </w:pPr>
            <w:r w:rsidRPr="00E3760B">
              <w:rPr>
                <w:rFonts w:eastAsia="Calibri"/>
                <w:sz w:val="20"/>
                <w:szCs w:val="20"/>
              </w:rPr>
              <w:t>8,1</w:t>
            </w:r>
            <w:r>
              <w:rPr>
                <w:rFonts w:eastAsia="Calibri"/>
                <w:sz w:val="20"/>
                <w:szCs w:val="20"/>
              </w:rPr>
              <w:t>27</w:t>
            </w:r>
          </w:p>
        </w:tc>
        <w:tc>
          <w:tcPr>
            <w:tcW w:w="1170" w:type="dxa"/>
            <w:shd w:val="clear" w:color="auto" w:fill="auto"/>
            <w:vAlign w:val="center"/>
          </w:tcPr>
          <w:p w:rsidR="00320E81" w:rsidP="00320E81" w:rsidRDefault="00320E81" w14:paraId="2DAE2F0F" w14:textId="0F824DDC">
            <w:pPr>
              <w:jc w:val="center"/>
              <w:rPr>
                <w:sz w:val="20"/>
              </w:rPr>
            </w:pPr>
            <w:r w:rsidRPr="00E3760B">
              <w:rPr>
                <w:rFonts w:eastAsia="Calibri"/>
                <w:sz w:val="20"/>
                <w:szCs w:val="20"/>
              </w:rPr>
              <w:t>11</w:t>
            </w:r>
            <w:r>
              <w:rPr>
                <w:rFonts w:eastAsia="Calibri"/>
                <w:sz w:val="20"/>
                <w:szCs w:val="20"/>
              </w:rPr>
              <w:t>4</w:t>
            </w:r>
          </w:p>
        </w:tc>
        <w:tc>
          <w:tcPr>
            <w:tcW w:w="990" w:type="dxa"/>
            <w:vAlign w:val="center"/>
          </w:tcPr>
          <w:p w:rsidR="00320E81" w:rsidP="00320E81" w:rsidRDefault="00320E81" w14:paraId="0E50263A" w14:textId="14F1A30D">
            <w:pPr>
              <w:jc w:val="center"/>
              <w:rPr>
                <w:sz w:val="20"/>
              </w:rPr>
            </w:pPr>
            <w:r w:rsidRPr="00682F96">
              <w:rPr>
                <w:rFonts w:eastAsia="Calibri"/>
                <w:sz w:val="20"/>
                <w:szCs w:val="20"/>
              </w:rPr>
              <w:t>1</w:t>
            </w:r>
            <w:r w:rsidRPr="00E3760B">
              <w:rPr>
                <w:rFonts w:eastAsia="Calibri"/>
                <w:sz w:val="20"/>
                <w:szCs w:val="20"/>
              </w:rPr>
              <w:t>9,</w:t>
            </w:r>
            <w:r>
              <w:rPr>
                <w:rFonts w:eastAsia="Calibri"/>
                <w:sz w:val="20"/>
                <w:szCs w:val="20"/>
              </w:rPr>
              <w:t>770</w:t>
            </w:r>
          </w:p>
        </w:tc>
      </w:tr>
      <w:tr w:rsidR="009C7311" w:rsidTr="007F64F4" w14:paraId="614B97F3" w14:textId="77777777">
        <w:trPr>
          <w:jc w:val="center"/>
        </w:trPr>
        <w:tc>
          <w:tcPr>
            <w:tcW w:w="3955" w:type="dxa"/>
          </w:tcPr>
          <w:p w:rsidRPr="00CC1878" w:rsidR="009C7311" w:rsidP="009C7311" w:rsidRDefault="009C7311" w14:paraId="0E8ECD91" w14:textId="27C54BFD">
            <w:pPr>
              <w:rPr>
                <w:sz w:val="20"/>
                <w:szCs w:val="20"/>
              </w:rPr>
            </w:pPr>
            <w:r w:rsidRPr="00F85184">
              <w:rPr>
                <w:sz w:val="20"/>
                <w:szCs w:val="20"/>
              </w:rPr>
              <w:t>Adjustment for Web Interface</w:t>
            </w:r>
            <w:r w:rsidR="004658B1">
              <w:rPr>
                <w:sz w:val="20"/>
                <w:szCs w:val="20"/>
              </w:rPr>
              <w:t xml:space="preserve"> (b)</w:t>
            </w:r>
          </w:p>
        </w:tc>
        <w:tc>
          <w:tcPr>
            <w:tcW w:w="1080" w:type="dxa"/>
            <w:tcBorders>
              <w:top w:val="single" w:color="auto" w:sz="4" w:space="0"/>
              <w:left w:val="single" w:color="auto" w:sz="4" w:space="0"/>
              <w:bottom w:val="single" w:color="auto" w:sz="4" w:space="0"/>
              <w:right w:val="single" w:color="auto" w:sz="4" w:space="0"/>
            </w:tcBorders>
          </w:tcPr>
          <w:p w:rsidRPr="00E3760B" w:rsidR="009C7311" w:rsidP="009C7311" w:rsidRDefault="009C7311" w14:paraId="1770EDBF" w14:textId="5103CBC3">
            <w:pPr>
              <w:jc w:val="center"/>
              <w:rPr>
                <w:rFonts w:eastAsia="Calibri"/>
                <w:sz w:val="20"/>
                <w:szCs w:val="20"/>
              </w:rPr>
            </w:pPr>
            <w:r w:rsidRPr="00871E51">
              <w:rPr>
                <w:sz w:val="20"/>
                <w:szCs w:val="20"/>
              </w:rPr>
              <w:t>0</w:t>
            </w:r>
          </w:p>
        </w:tc>
        <w:tc>
          <w:tcPr>
            <w:tcW w:w="1350" w:type="dxa"/>
            <w:tcBorders>
              <w:top w:val="single" w:color="auto" w:sz="4" w:space="0"/>
              <w:left w:val="single" w:color="auto" w:sz="4" w:space="0"/>
              <w:bottom w:val="single" w:color="auto" w:sz="4" w:space="0"/>
              <w:right w:val="single" w:color="auto" w:sz="4" w:space="0"/>
            </w:tcBorders>
          </w:tcPr>
          <w:p w:rsidRPr="00A84883" w:rsidR="009C7311" w:rsidP="009C7311" w:rsidRDefault="009C7311" w14:paraId="625D8975" w14:textId="19ACE384">
            <w:pPr>
              <w:jc w:val="center"/>
              <w:rPr>
                <w:rFonts w:eastAsia="Calibri"/>
                <w:sz w:val="20"/>
                <w:szCs w:val="20"/>
              </w:rPr>
            </w:pPr>
            <w:r w:rsidRPr="00871E51">
              <w:rPr>
                <w:sz w:val="20"/>
                <w:szCs w:val="20"/>
              </w:rPr>
              <w:t>64</w:t>
            </w:r>
          </w:p>
        </w:tc>
        <w:tc>
          <w:tcPr>
            <w:tcW w:w="900" w:type="dxa"/>
            <w:tcBorders>
              <w:top w:val="single" w:color="auto" w:sz="4" w:space="0"/>
              <w:left w:val="single" w:color="auto" w:sz="4" w:space="0"/>
              <w:bottom w:val="single" w:color="auto" w:sz="4" w:space="0"/>
              <w:right w:val="single" w:color="auto" w:sz="4" w:space="0"/>
            </w:tcBorders>
          </w:tcPr>
          <w:p w:rsidRPr="00A84883" w:rsidR="009C7311" w:rsidP="009C7311" w:rsidRDefault="009C7311" w14:paraId="396F3BE0" w14:textId="18A0F31B">
            <w:pPr>
              <w:jc w:val="center"/>
              <w:rPr>
                <w:rFonts w:eastAsia="Calibri"/>
                <w:sz w:val="20"/>
                <w:szCs w:val="20"/>
              </w:rPr>
            </w:pPr>
            <w:r w:rsidRPr="00871E51">
              <w:rPr>
                <w:sz w:val="20"/>
                <w:szCs w:val="20"/>
              </w:rPr>
              <w:t>50</w:t>
            </w:r>
          </w:p>
        </w:tc>
        <w:tc>
          <w:tcPr>
            <w:tcW w:w="1170" w:type="dxa"/>
            <w:tcBorders>
              <w:top w:val="single" w:color="auto" w:sz="4" w:space="0"/>
              <w:left w:val="single" w:color="auto" w:sz="4" w:space="0"/>
              <w:bottom w:val="single" w:color="auto" w:sz="4" w:space="0"/>
              <w:right w:val="single" w:color="auto" w:sz="4" w:space="0"/>
            </w:tcBorders>
          </w:tcPr>
          <w:p w:rsidRPr="00E3760B" w:rsidR="009C7311" w:rsidP="009C7311" w:rsidRDefault="009C7311" w14:paraId="7B58C934" w14:textId="719B1677">
            <w:pPr>
              <w:jc w:val="center"/>
              <w:rPr>
                <w:rFonts w:eastAsia="Calibri"/>
                <w:sz w:val="20"/>
                <w:szCs w:val="20"/>
              </w:rPr>
            </w:pPr>
            <w:r w:rsidRPr="00871E51">
              <w:rPr>
                <w:sz w:val="20"/>
                <w:szCs w:val="20"/>
              </w:rPr>
              <w:t>-114</w:t>
            </w:r>
          </w:p>
        </w:tc>
        <w:tc>
          <w:tcPr>
            <w:tcW w:w="990" w:type="dxa"/>
            <w:tcBorders>
              <w:top w:val="single" w:color="auto" w:sz="4" w:space="0"/>
              <w:left w:val="single" w:color="auto" w:sz="4" w:space="0"/>
              <w:bottom w:val="single" w:color="auto" w:sz="4" w:space="0"/>
              <w:right w:val="single" w:color="auto" w:sz="4" w:space="0"/>
            </w:tcBorders>
          </w:tcPr>
          <w:p w:rsidRPr="00E3760B" w:rsidR="009C7311" w:rsidP="009C7311" w:rsidRDefault="009C7311" w14:paraId="182BBF03" w14:textId="65B9D441">
            <w:pPr>
              <w:jc w:val="center"/>
              <w:rPr>
                <w:rFonts w:eastAsia="Calibri"/>
                <w:sz w:val="20"/>
                <w:szCs w:val="20"/>
              </w:rPr>
            </w:pPr>
            <w:r w:rsidRPr="00871E51">
              <w:rPr>
                <w:sz w:val="20"/>
                <w:szCs w:val="20"/>
              </w:rPr>
              <w:t>0</w:t>
            </w:r>
          </w:p>
        </w:tc>
      </w:tr>
      <w:tr w:rsidR="00E403A9" w:rsidTr="007F64F4" w14:paraId="6611F558" w14:textId="77777777">
        <w:trPr>
          <w:jc w:val="center"/>
        </w:trPr>
        <w:tc>
          <w:tcPr>
            <w:tcW w:w="3955" w:type="dxa"/>
          </w:tcPr>
          <w:p w:rsidRPr="00CC1878" w:rsidR="00E403A9" w:rsidP="00E403A9" w:rsidRDefault="00E403A9" w14:paraId="0ECDF4A8" w14:textId="02D22A0D">
            <w:pPr>
              <w:rPr>
                <w:sz w:val="20"/>
                <w:szCs w:val="20"/>
              </w:rPr>
            </w:pPr>
            <w:r w:rsidRPr="00871E51">
              <w:rPr>
                <w:rFonts w:eastAsia="Calibri"/>
                <w:sz w:val="20"/>
                <w:szCs w:val="20"/>
              </w:rPr>
              <w:t>Adjustment for MVPs (10%)</w:t>
            </w:r>
            <w:r w:rsidR="004658B1">
              <w:rPr>
                <w:rFonts w:eastAsia="Calibri"/>
                <w:sz w:val="20"/>
                <w:szCs w:val="20"/>
              </w:rPr>
              <w:t xml:space="preserve"> (c)</w:t>
            </w:r>
            <w:r w:rsidR="00356765">
              <w:rPr>
                <w:rFonts w:eastAsia="Calibri"/>
                <w:sz w:val="20"/>
                <w:szCs w:val="20"/>
              </w:rPr>
              <w:t xml:space="preserve"> = </w:t>
            </w:r>
            <w:r w:rsidR="000307CC">
              <w:rPr>
                <w:rFonts w:eastAsia="Calibri"/>
                <w:sz w:val="20"/>
                <w:szCs w:val="20"/>
              </w:rPr>
              <w:t>(a) + (b)</w:t>
            </w:r>
            <w:r w:rsidR="00163247">
              <w:rPr>
                <w:rFonts w:eastAsia="Calibri"/>
                <w:sz w:val="20"/>
                <w:szCs w:val="20"/>
              </w:rPr>
              <w:t xml:space="preserve"> </w:t>
            </w:r>
            <w:r w:rsidR="006739B4">
              <w:rPr>
                <w:rFonts w:eastAsia="Calibri"/>
                <w:sz w:val="20"/>
                <w:szCs w:val="20"/>
              </w:rPr>
              <w:t>*</w:t>
            </w:r>
            <w:r w:rsidR="00163247">
              <w:rPr>
                <w:rFonts w:eastAsia="Calibri"/>
                <w:sz w:val="20"/>
                <w:szCs w:val="20"/>
              </w:rPr>
              <w:t xml:space="preserve"> 0.1</w:t>
            </w:r>
          </w:p>
        </w:tc>
        <w:tc>
          <w:tcPr>
            <w:tcW w:w="1080" w:type="dxa"/>
            <w:tcBorders>
              <w:top w:val="single" w:color="auto" w:sz="4" w:space="0"/>
              <w:left w:val="single" w:color="auto" w:sz="4" w:space="0"/>
              <w:bottom w:val="single" w:color="auto" w:sz="4" w:space="0"/>
              <w:right w:val="single" w:color="auto" w:sz="4" w:space="0"/>
            </w:tcBorders>
          </w:tcPr>
          <w:p w:rsidRPr="00E3760B" w:rsidR="00E403A9" w:rsidP="00E403A9" w:rsidRDefault="00E403A9" w14:paraId="0E2F9C56" w14:textId="033CB69C">
            <w:pPr>
              <w:jc w:val="center"/>
              <w:rPr>
                <w:rFonts w:eastAsia="Calibri"/>
                <w:sz w:val="20"/>
                <w:szCs w:val="20"/>
              </w:rPr>
            </w:pPr>
            <w:r w:rsidRPr="00871E51">
              <w:rPr>
                <w:sz w:val="20"/>
                <w:szCs w:val="20"/>
              </w:rPr>
              <w:t>0</w:t>
            </w:r>
          </w:p>
        </w:tc>
        <w:tc>
          <w:tcPr>
            <w:tcW w:w="1350" w:type="dxa"/>
            <w:tcBorders>
              <w:top w:val="single" w:color="auto" w:sz="4" w:space="0"/>
              <w:left w:val="single" w:color="auto" w:sz="4" w:space="0"/>
              <w:bottom w:val="single" w:color="auto" w:sz="4" w:space="0"/>
              <w:right w:val="single" w:color="auto" w:sz="4" w:space="0"/>
            </w:tcBorders>
          </w:tcPr>
          <w:p w:rsidRPr="00A84883" w:rsidR="00E403A9" w:rsidP="00E403A9" w:rsidRDefault="00E403A9" w14:paraId="538D57C6" w14:textId="4B364315">
            <w:pPr>
              <w:jc w:val="center"/>
              <w:rPr>
                <w:rFonts w:eastAsia="Calibri"/>
                <w:sz w:val="20"/>
                <w:szCs w:val="20"/>
              </w:rPr>
            </w:pPr>
            <w:r w:rsidRPr="00871E51">
              <w:rPr>
                <w:sz w:val="20"/>
                <w:szCs w:val="20"/>
              </w:rPr>
              <w:t>-1,159</w:t>
            </w:r>
          </w:p>
        </w:tc>
        <w:tc>
          <w:tcPr>
            <w:tcW w:w="900" w:type="dxa"/>
            <w:tcBorders>
              <w:top w:val="single" w:color="auto" w:sz="4" w:space="0"/>
              <w:left w:val="single" w:color="auto" w:sz="4" w:space="0"/>
              <w:bottom w:val="single" w:color="auto" w:sz="4" w:space="0"/>
              <w:right w:val="single" w:color="auto" w:sz="4" w:space="0"/>
            </w:tcBorders>
          </w:tcPr>
          <w:p w:rsidRPr="00A84883" w:rsidR="00E403A9" w:rsidP="00E403A9" w:rsidRDefault="00E403A9" w14:paraId="706D1A2C" w14:textId="7BB8503F">
            <w:pPr>
              <w:jc w:val="center"/>
              <w:rPr>
                <w:rFonts w:eastAsia="Calibri"/>
                <w:sz w:val="20"/>
                <w:szCs w:val="20"/>
              </w:rPr>
            </w:pPr>
            <w:r w:rsidRPr="00871E51">
              <w:rPr>
                <w:sz w:val="20"/>
                <w:szCs w:val="20"/>
              </w:rPr>
              <w:t>-817.7</w:t>
            </w:r>
          </w:p>
        </w:tc>
        <w:tc>
          <w:tcPr>
            <w:tcW w:w="1170" w:type="dxa"/>
            <w:tcBorders>
              <w:top w:val="single" w:color="auto" w:sz="4" w:space="0"/>
              <w:left w:val="single" w:color="auto" w:sz="4" w:space="0"/>
              <w:bottom w:val="single" w:color="auto" w:sz="4" w:space="0"/>
              <w:right w:val="single" w:color="auto" w:sz="4" w:space="0"/>
            </w:tcBorders>
          </w:tcPr>
          <w:p w:rsidRPr="00E3760B" w:rsidR="00E403A9" w:rsidP="00E403A9" w:rsidRDefault="00E403A9" w14:paraId="2492029F" w14:textId="68EB8D00">
            <w:pPr>
              <w:jc w:val="center"/>
              <w:rPr>
                <w:rFonts w:eastAsia="Calibri"/>
                <w:sz w:val="20"/>
                <w:szCs w:val="20"/>
              </w:rPr>
            </w:pPr>
            <w:r w:rsidRPr="00871E51">
              <w:rPr>
                <w:sz w:val="20"/>
                <w:szCs w:val="20"/>
              </w:rPr>
              <w:t>0</w:t>
            </w:r>
          </w:p>
        </w:tc>
        <w:tc>
          <w:tcPr>
            <w:tcW w:w="990" w:type="dxa"/>
            <w:tcBorders>
              <w:top w:val="single" w:color="auto" w:sz="4" w:space="0"/>
              <w:left w:val="single" w:color="auto" w:sz="4" w:space="0"/>
              <w:bottom w:val="single" w:color="auto" w:sz="4" w:space="0"/>
              <w:right w:val="single" w:color="auto" w:sz="4" w:space="0"/>
            </w:tcBorders>
          </w:tcPr>
          <w:p w:rsidRPr="00E3760B" w:rsidR="00E403A9" w:rsidP="00E403A9" w:rsidRDefault="00E403A9" w14:paraId="107B5253" w14:textId="2124E3BB">
            <w:pPr>
              <w:jc w:val="center"/>
              <w:rPr>
                <w:rFonts w:eastAsia="Calibri"/>
                <w:sz w:val="20"/>
                <w:szCs w:val="20"/>
              </w:rPr>
            </w:pPr>
            <w:r w:rsidRPr="00871E51">
              <w:rPr>
                <w:sz w:val="20"/>
                <w:szCs w:val="20"/>
              </w:rPr>
              <w:t>-1</w:t>
            </w:r>
            <w:r w:rsidR="003A658D">
              <w:rPr>
                <w:sz w:val="20"/>
                <w:szCs w:val="20"/>
              </w:rPr>
              <w:t>,</w:t>
            </w:r>
            <w:r w:rsidRPr="00871E51">
              <w:rPr>
                <w:sz w:val="20"/>
                <w:szCs w:val="20"/>
              </w:rPr>
              <w:t>977</w:t>
            </w:r>
          </w:p>
        </w:tc>
      </w:tr>
      <w:tr w:rsidR="00D957F0" w:rsidTr="007F64F4" w14:paraId="74ADA9A9" w14:textId="77777777">
        <w:trPr>
          <w:jc w:val="center"/>
        </w:trPr>
        <w:tc>
          <w:tcPr>
            <w:tcW w:w="3955" w:type="dxa"/>
          </w:tcPr>
          <w:p w:rsidRPr="00CC1878" w:rsidR="00D957F0" w:rsidP="00D957F0" w:rsidRDefault="00D957F0" w14:paraId="45A9BECD" w14:textId="47CE692F">
            <w:pPr>
              <w:rPr>
                <w:sz w:val="20"/>
                <w:szCs w:val="20"/>
              </w:rPr>
            </w:pPr>
            <w:r w:rsidRPr="00871E51">
              <w:rPr>
                <w:rFonts w:eastAsia="Calibri"/>
                <w:sz w:val="20"/>
                <w:szCs w:val="20"/>
              </w:rPr>
              <w:t>2023 MIPS performance period (excludes QPs) – Adjusted.</w:t>
            </w:r>
            <w:r>
              <w:rPr>
                <w:rFonts w:eastAsia="Calibri"/>
                <w:sz w:val="20"/>
                <w:szCs w:val="20"/>
              </w:rPr>
              <w:t xml:space="preserve"> (d) = (a) + (b) + (c)</w:t>
            </w:r>
          </w:p>
        </w:tc>
        <w:tc>
          <w:tcPr>
            <w:tcW w:w="1080" w:type="dxa"/>
            <w:tcBorders>
              <w:top w:val="single" w:color="auto" w:sz="4" w:space="0"/>
              <w:left w:val="single" w:color="auto" w:sz="4" w:space="0"/>
              <w:bottom w:val="single" w:color="auto" w:sz="4" w:space="0"/>
              <w:right w:val="single" w:color="auto" w:sz="4" w:space="0"/>
            </w:tcBorders>
          </w:tcPr>
          <w:p w:rsidRPr="00682F96" w:rsidR="00D957F0" w:rsidP="00D957F0" w:rsidRDefault="00D957F0" w14:paraId="1C09874F" w14:textId="3637EA9C">
            <w:pPr>
              <w:jc w:val="center"/>
              <w:rPr>
                <w:rFonts w:eastAsia="Calibri"/>
                <w:sz w:val="20"/>
                <w:szCs w:val="20"/>
              </w:rPr>
            </w:pPr>
            <w:r w:rsidRPr="00871E51">
              <w:rPr>
                <w:sz w:val="20"/>
                <w:szCs w:val="20"/>
              </w:rPr>
              <w:t>0</w:t>
            </w:r>
          </w:p>
        </w:tc>
        <w:tc>
          <w:tcPr>
            <w:tcW w:w="1350" w:type="dxa"/>
            <w:tcBorders>
              <w:top w:val="single" w:color="auto" w:sz="4" w:space="0"/>
              <w:left w:val="single" w:color="auto" w:sz="4" w:space="0"/>
              <w:bottom w:val="single" w:color="auto" w:sz="4" w:space="0"/>
              <w:right w:val="single" w:color="auto" w:sz="4" w:space="0"/>
            </w:tcBorders>
          </w:tcPr>
          <w:p w:rsidRPr="00A84883" w:rsidR="00D957F0" w:rsidP="00D957F0" w:rsidRDefault="00D957F0" w14:paraId="34989B18" w14:textId="1A302DAD">
            <w:pPr>
              <w:jc w:val="center"/>
              <w:rPr>
                <w:rFonts w:eastAsia="Calibri"/>
                <w:sz w:val="20"/>
                <w:szCs w:val="20"/>
              </w:rPr>
            </w:pPr>
            <w:r w:rsidRPr="00871E51">
              <w:rPr>
                <w:sz w:val="20"/>
                <w:szCs w:val="20"/>
              </w:rPr>
              <w:t>10,4</w:t>
            </w:r>
            <w:r>
              <w:rPr>
                <w:sz w:val="20"/>
                <w:szCs w:val="20"/>
              </w:rPr>
              <w:t>3</w:t>
            </w:r>
            <w:r w:rsidRPr="00871E51">
              <w:rPr>
                <w:sz w:val="20"/>
                <w:szCs w:val="20"/>
              </w:rPr>
              <w:t>4</w:t>
            </w:r>
          </w:p>
        </w:tc>
        <w:tc>
          <w:tcPr>
            <w:tcW w:w="900" w:type="dxa"/>
            <w:tcBorders>
              <w:top w:val="single" w:color="auto" w:sz="4" w:space="0"/>
              <w:left w:val="single" w:color="auto" w:sz="4" w:space="0"/>
              <w:bottom w:val="single" w:color="auto" w:sz="4" w:space="0"/>
              <w:right w:val="single" w:color="auto" w:sz="4" w:space="0"/>
            </w:tcBorders>
          </w:tcPr>
          <w:p w:rsidRPr="00A84883" w:rsidR="00D957F0" w:rsidP="00D957F0" w:rsidRDefault="00D957F0" w14:paraId="5D82C6CD" w14:textId="455518DE">
            <w:pPr>
              <w:jc w:val="center"/>
              <w:rPr>
                <w:rFonts w:eastAsia="Calibri"/>
                <w:sz w:val="20"/>
                <w:szCs w:val="20"/>
              </w:rPr>
            </w:pPr>
            <w:r w:rsidRPr="00871E51">
              <w:rPr>
                <w:sz w:val="20"/>
                <w:szCs w:val="20"/>
              </w:rPr>
              <w:t>7,3</w:t>
            </w:r>
            <w:r>
              <w:rPr>
                <w:sz w:val="20"/>
                <w:szCs w:val="20"/>
              </w:rPr>
              <w:t>5</w:t>
            </w:r>
            <w:r w:rsidRPr="00871E51">
              <w:rPr>
                <w:sz w:val="20"/>
                <w:szCs w:val="20"/>
              </w:rPr>
              <w:t>9</w:t>
            </w:r>
          </w:p>
        </w:tc>
        <w:tc>
          <w:tcPr>
            <w:tcW w:w="1170" w:type="dxa"/>
            <w:tcBorders>
              <w:top w:val="single" w:color="auto" w:sz="4" w:space="0"/>
              <w:left w:val="single" w:color="auto" w:sz="4" w:space="0"/>
              <w:bottom w:val="single" w:color="auto" w:sz="4" w:space="0"/>
              <w:right w:val="single" w:color="auto" w:sz="4" w:space="0"/>
            </w:tcBorders>
          </w:tcPr>
          <w:p w:rsidRPr="00682F96" w:rsidR="00D957F0" w:rsidP="00D957F0" w:rsidRDefault="00D957F0" w14:paraId="7D119391" w14:textId="6CA7E060">
            <w:pPr>
              <w:jc w:val="center"/>
              <w:rPr>
                <w:rFonts w:eastAsia="Calibri"/>
                <w:sz w:val="20"/>
                <w:szCs w:val="20"/>
              </w:rPr>
            </w:pPr>
            <w:r w:rsidRPr="00871E51">
              <w:rPr>
                <w:sz w:val="20"/>
                <w:szCs w:val="20"/>
              </w:rPr>
              <w:t>0</w:t>
            </w:r>
          </w:p>
        </w:tc>
        <w:tc>
          <w:tcPr>
            <w:tcW w:w="990" w:type="dxa"/>
            <w:tcBorders>
              <w:top w:val="single" w:color="auto" w:sz="4" w:space="0"/>
              <w:left w:val="single" w:color="auto" w:sz="4" w:space="0"/>
              <w:bottom w:val="single" w:color="auto" w:sz="4" w:space="0"/>
              <w:right w:val="single" w:color="auto" w:sz="4" w:space="0"/>
            </w:tcBorders>
          </w:tcPr>
          <w:p w:rsidRPr="00682F96" w:rsidR="00D957F0" w:rsidP="00D957F0" w:rsidRDefault="00D957F0" w14:paraId="26570D80" w14:textId="7F57BA02">
            <w:pPr>
              <w:jc w:val="center"/>
              <w:rPr>
                <w:rFonts w:eastAsia="Calibri"/>
                <w:sz w:val="20"/>
                <w:szCs w:val="20"/>
              </w:rPr>
            </w:pPr>
            <w:r w:rsidRPr="00871E51">
              <w:rPr>
                <w:sz w:val="20"/>
                <w:szCs w:val="20"/>
              </w:rPr>
              <w:t>17,</w:t>
            </w:r>
            <w:r>
              <w:rPr>
                <w:sz w:val="20"/>
                <w:szCs w:val="20"/>
              </w:rPr>
              <w:t>79</w:t>
            </w:r>
            <w:r w:rsidRPr="00871E51">
              <w:rPr>
                <w:sz w:val="20"/>
                <w:szCs w:val="20"/>
              </w:rPr>
              <w:t>3</w:t>
            </w:r>
          </w:p>
        </w:tc>
      </w:tr>
      <w:tr w:rsidR="00BC42EE" w:rsidTr="007F64F4" w14:paraId="414308EF" w14:textId="77777777">
        <w:trPr>
          <w:jc w:val="center"/>
        </w:trPr>
        <w:tc>
          <w:tcPr>
            <w:tcW w:w="3955" w:type="dxa"/>
          </w:tcPr>
          <w:p w:rsidR="00BC42EE" w:rsidP="00BC42EE" w:rsidRDefault="00BC42EE" w14:paraId="5FDAEC21" w14:textId="388D06FC">
            <w:pPr>
              <w:rPr>
                <w:sz w:val="20"/>
              </w:rPr>
            </w:pPr>
            <w:r w:rsidRPr="00CC1878">
              <w:rPr>
                <w:sz w:val="20"/>
                <w:szCs w:val="20"/>
              </w:rPr>
              <w:t xml:space="preserve">* </w:t>
            </w:r>
            <w:r>
              <w:rPr>
                <w:sz w:val="20"/>
                <w:szCs w:val="20"/>
              </w:rPr>
              <w:t xml:space="preserve">Currently approved </w:t>
            </w:r>
            <w:r w:rsidRPr="00CC1878">
              <w:rPr>
                <w:sz w:val="20"/>
                <w:szCs w:val="20"/>
              </w:rPr>
              <w:t>202</w:t>
            </w:r>
            <w:r>
              <w:rPr>
                <w:sz w:val="20"/>
                <w:szCs w:val="20"/>
              </w:rPr>
              <w:t>2</w:t>
            </w:r>
            <w:r w:rsidRPr="00CC1878">
              <w:rPr>
                <w:sz w:val="20"/>
                <w:szCs w:val="20"/>
              </w:rPr>
              <w:t xml:space="preserve"> MIPS performance period (excludes QPs) (</w:t>
            </w:r>
            <w:r>
              <w:rPr>
                <w:sz w:val="20"/>
                <w:szCs w:val="20"/>
              </w:rPr>
              <w:t>e</w:t>
            </w:r>
            <w:r w:rsidRPr="00CC1878">
              <w:rPr>
                <w:sz w:val="20"/>
                <w:szCs w:val="20"/>
              </w:rPr>
              <w:t>)</w:t>
            </w:r>
          </w:p>
        </w:tc>
        <w:tc>
          <w:tcPr>
            <w:tcW w:w="1080" w:type="dxa"/>
            <w:tcBorders>
              <w:top w:val="single" w:color="auto" w:sz="4" w:space="0"/>
              <w:left w:val="single" w:color="auto" w:sz="4" w:space="0"/>
              <w:bottom w:val="single" w:color="auto" w:sz="4" w:space="0"/>
              <w:right w:val="single" w:color="auto" w:sz="4" w:space="0"/>
            </w:tcBorders>
          </w:tcPr>
          <w:p w:rsidR="00BC42EE" w:rsidP="00BC42EE" w:rsidRDefault="00BC42EE" w14:paraId="6CA1850D" w14:textId="1551B79C">
            <w:pPr>
              <w:jc w:val="center"/>
              <w:rPr>
                <w:sz w:val="20"/>
              </w:rPr>
            </w:pPr>
            <w:r w:rsidRPr="00871E51">
              <w:rPr>
                <w:sz w:val="20"/>
                <w:szCs w:val="20"/>
              </w:rPr>
              <w:t>0</w:t>
            </w:r>
          </w:p>
        </w:tc>
        <w:tc>
          <w:tcPr>
            <w:tcW w:w="1350" w:type="dxa"/>
            <w:tcBorders>
              <w:top w:val="single" w:color="auto" w:sz="4" w:space="0"/>
              <w:left w:val="single" w:color="auto" w:sz="4" w:space="0"/>
              <w:bottom w:val="single" w:color="auto" w:sz="4" w:space="0"/>
              <w:right w:val="single" w:color="auto" w:sz="4" w:space="0"/>
            </w:tcBorders>
          </w:tcPr>
          <w:p w:rsidR="00BC42EE" w:rsidP="00BC42EE" w:rsidRDefault="00BC42EE" w14:paraId="0B7A467A" w14:textId="7AFD88C7">
            <w:pPr>
              <w:jc w:val="center"/>
              <w:rPr>
                <w:sz w:val="20"/>
              </w:rPr>
            </w:pPr>
            <w:r w:rsidRPr="00871E51">
              <w:rPr>
                <w:sz w:val="20"/>
                <w:szCs w:val="20"/>
              </w:rPr>
              <w:t>11,604</w:t>
            </w:r>
          </w:p>
        </w:tc>
        <w:tc>
          <w:tcPr>
            <w:tcW w:w="900" w:type="dxa"/>
            <w:tcBorders>
              <w:top w:val="single" w:color="auto" w:sz="4" w:space="0"/>
              <w:left w:val="single" w:color="auto" w:sz="4" w:space="0"/>
              <w:bottom w:val="single" w:color="auto" w:sz="4" w:space="0"/>
              <w:right w:val="single" w:color="auto" w:sz="4" w:space="0"/>
            </w:tcBorders>
          </w:tcPr>
          <w:p w:rsidR="00BC42EE" w:rsidP="00BC42EE" w:rsidRDefault="00BC42EE" w14:paraId="6CEE6872" w14:textId="6B752178">
            <w:pPr>
              <w:jc w:val="center"/>
              <w:rPr>
                <w:sz w:val="20"/>
              </w:rPr>
            </w:pPr>
            <w:r w:rsidRPr="00871E51">
              <w:rPr>
                <w:sz w:val="20"/>
                <w:szCs w:val="20"/>
              </w:rPr>
              <w:t>8,220</w:t>
            </w:r>
          </w:p>
        </w:tc>
        <w:tc>
          <w:tcPr>
            <w:tcW w:w="1170" w:type="dxa"/>
            <w:tcBorders>
              <w:top w:val="single" w:color="auto" w:sz="4" w:space="0"/>
              <w:left w:val="single" w:color="auto" w:sz="4" w:space="0"/>
              <w:bottom w:val="single" w:color="auto" w:sz="4" w:space="0"/>
              <w:right w:val="single" w:color="auto" w:sz="4" w:space="0"/>
            </w:tcBorders>
          </w:tcPr>
          <w:p w:rsidR="00BC42EE" w:rsidP="00BC42EE" w:rsidRDefault="00BC42EE" w14:paraId="1129CB1D" w14:textId="0791D715">
            <w:pPr>
              <w:jc w:val="center"/>
              <w:rPr>
                <w:sz w:val="20"/>
              </w:rPr>
            </w:pPr>
            <w:r w:rsidRPr="00871E51">
              <w:rPr>
                <w:sz w:val="20"/>
                <w:szCs w:val="20"/>
              </w:rPr>
              <w:t>0</w:t>
            </w:r>
          </w:p>
        </w:tc>
        <w:tc>
          <w:tcPr>
            <w:tcW w:w="990" w:type="dxa"/>
            <w:tcBorders>
              <w:top w:val="single" w:color="auto" w:sz="4" w:space="0"/>
              <w:left w:val="single" w:color="auto" w:sz="4" w:space="0"/>
              <w:bottom w:val="single" w:color="auto" w:sz="4" w:space="0"/>
              <w:right w:val="single" w:color="auto" w:sz="4" w:space="0"/>
            </w:tcBorders>
          </w:tcPr>
          <w:p w:rsidR="00BC42EE" w:rsidP="00BC42EE" w:rsidRDefault="00BC42EE" w14:paraId="0B61C804" w14:textId="00F4F60F">
            <w:pPr>
              <w:jc w:val="center"/>
              <w:rPr>
                <w:sz w:val="20"/>
              </w:rPr>
            </w:pPr>
            <w:r w:rsidRPr="00871E51">
              <w:rPr>
                <w:sz w:val="20"/>
                <w:szCs w:val="20"/>
              </w:rPr>
              <w:t>19,824</w:t>
            </w:r>
          </w:p>
        </w:tc>
      </w:tr>
      <w:tr w:rsidR="00302229" w:rsidTr="007F64F4" w14:paraId="3C5D1166" w14:textId="77777777">
        <w:trPr>
          <w:trHeight w:val="305"/>
          <w:jc w:val="center"/>
        </w:trPr>
        <w:tc>
          <w:tcPr>
            <w:tcW w:w="3955" w:type="dxa"/>
          </w:tcPr>
          <w:p w:rsidR="00302229" w:rsidP="00302229" w:rsidRDefault="00302229" w14:paraId="43BA9D9A" w14:textId="77777777">
            <w:pPr>
              <w:jc w:val="both"/>
              <w:rPr>
                <w:sz w:val="20"/>
              </w:rPr>
            </w:pPr>
            <w:r w:rsidRPr="00CC1878">
              <w:rPr>
                <w:sz w:val="20"/>
                <w:szCs w:val="20"/>
              </w:rPr>
              <w:t>Difference (</w:t>
            </w:r>
            <w:r>
              <w:rPr>
                <w:sz w:val="20"/>
                <w:szCs w:val="20"/>
              </w:rPr>
              <w:t>f</w:t>
            </w:r>
            <w:r w:rsidRPr="00CC1878">
              <w:rPr>
                <w:sz w:val="20"/>
                <w:szCs w:val="20"/>
              </w:rPr>
              <w:t>)=(</w:t>
            </w:r>
            <w:r>
              <w:rPr>
                <w:sz w:val="20"/>
                <w:szCs w:val="20"/>
              </w:rPr>
              <w:t>d</w:t>
            </w:r>
            <w:r w:rsidRPr="00CC1878">
              <w:rPr>
                <w:sz w:val="20"/>
                <w:szCs w:val="20"/>
              </w:rPr>
              <w:t>)-(</w:t>
            </w:r>
            <w:r>
              <w:rPr>
                <w:sz w:val="20"/>
                <w:szCs w:val="20"/>
              </w:rPr>
              <w:t>e</w:t>
            </w:r>
            <w:r w:rsidRPr="00CC1878">
              <w:rPr>
                <w:sz w:val="20"/>
                <w:szCs w:val="20"/>
              </w:rPr>
              <w:t>)</w:t>
            </w:r>
          </w:p>
        </w:tc>
        <w:tc>
          <w:tcPr>
            <w:tcW w:w="1080" w:type="dxa"/>
            <w:tcBorders>
              <w:top w:val="single" w:color="auto" w:sz="4" w:space="0"/>
              <w:left w:val="single" w:color="auto" w:sz="4" w:space="0"/>
              <w:bottom w:val="single" w:color="auto" w:sz="4" w:space="0"/>
              <w:right w:val="single" w:color="auto" w:sz="4" w:space="0"/>
            </w:tcBorders>
          </w:tcPr>
          <w:p w:rsidR="00302229" w:rsidP="00302229" w:rsidRDefault="00302229" w14:paraId="693D028C" w14:textId="50903E1E">
            <w:pPr>
              <w:jc w:val="center"/>
              <w:rPr>
                <w:sz w:val="20"/>
              </w:rPr>
            </w:pPr>
            <w:r w:rsidRPr="00871E51">
              <w:rPr>
                <w:sz w:val="20"/>
                <w:szCs w:val="20"/>
              </w:rPr>
              <w:t>0</w:t>
            </w:r>
          </w:p>
        </w:tc>
        <w:tc>
          <w:tcPr>
            <w:tcW w:w="1350" w:type="dxa"/>
            <w:tcBorders>
              <w:top w:val="single" w:color="auto" w:sz="4" w:space="0"/>
              <w:left w:val="single" w:color="auto" w:sz="4" w:space="0"/>
              <w:bottom w:val="single" w:color="auto" w:sz="4" w:space="0"/>
              <w:right w:val="single" w:color="auto" w:sz="4" w:space="0"/>
            </w:tcBorders>
          </w:tcPr>
          <w:p w:rsidR="00302229" w:rsidP="00302229" w:rsidRDefault="00302229" w14:paraId="64979A63" w14:textId="48ABE63B">
            <w:pPr>
              <w:jc w:val="center"/>
              <w:rPr>
                <w:sz w:val="20"/>
              </w:rPr>
            </w:pPr>
            <w:r w:rsidRPr="00871E51">
              <w:rPr>
                <w:sz w:val="20"/>
                <w:szCs w:val="20"/>
              </w:rPr>
              <w:t>-1,1</w:t>
            </w:r>
            <w:r>
              <w:rPr>
                <w:sz w:val="20"/>
                <w:szCs w:val="20"/>
              </w:rPr>
              <w:t>7</w:t>
            </w:r>
            <w:r w:rsidRPr="00871E51">
              <w:rPr>
                <w:sz w:val="20"/>
                <w:szCs w:val="20"/>
              </w:rPr>
              <w:t>0</w:t>
            </w:r>
          </w:p>
        </w:tc>
        <w:tc>
          <w:tcPr>
            <w:tcW w:w="900" w:type="dxa"/>
            <w:tcBorders>
              <w:top w:val="single" w:color="auto" w:sz="4" w:space="0"/>
              <w:left w:val="single" w:color="auto" w:sz="4" w:space="0"/>
              <w:bottom w:val="single" w:color="auto" w:sz="4" w:space="0"/>
              <w:right w:val="single" w:color="auto" w:sz="4" w:space="0"/>
            </w:tcBorders>
          </w:tcPr>
          <w:p w:rsidR="00302229" w:rsidP="00302229" w:rsidRDefault="00302229" w14:paraId="270AA687" w14:textId="05AC48DE">
            <w:pPr>
              <w:jc w:val="center"/>
              <w:rPr>
                <w:sz w:val="20"/>
              </w:rPr>
            </w:pPr>
            <w:r w:rsidRPr="00871E51">
              <w:rPr>
                <w:sz w:val="20"/>
                <w:szCs w:val="20"/>
              </w:rPr>
              <w:t>-8</w:t>
            </w:r>
            <w:r>
              <w:rPr>
                <w:sz w:val="20"/>
                <w:szCs w:val="20"/>
              </w:rPr>
              <w:t>6</w:t>
            </w:r>
            <w:r w:rsidRPr="00871E51">
              <w:rPr>
                <w:sz w:val="20"/>
                <w:szCs w:val="20"/>
              </w:rPr>
              <w:t>1</w:t>
            </w:r>
          </w:p>
        </w:tc>
        <w:tc>
          <w:tcPr>
            <w:tcW w:w="1170" w:type="dxa"/>
            <w:tcBorders>
              <w:top w:val="single" w:color="auto" w:sz="4" w:space="0"/>
              <w:left w:val="single" w:color="auto" w:sz="4" w:space="0"/>
              <w:bottom w:val="single" w:color="auto" w:sz="4" w:space="0"/>
              <w:right w:val="single" w:color="auto" w:sz="4" w:space="0"/>
            </w:tcBorders>
          </w:tcPr>
          <w:p w:rsidR="00302229" w:rsidP="00302229" w:rsidRDefault="00302229" w14:paraId="5EA3455C" w14:textId="3D74218C">
            <w:pPr>
              <w:jc w:val="center"/>
              <w:rPr>
                <w:sz w:val="20"/>
              </w:rPr>
            </w:pPr>
            <w:r w:rsidRPr="00871E51">
              <w:rPr>
                <w:sz w:val="20"/>
                <w:szCs w:val="20"/>
              </w:rPr>
              <w:t>0</w:t>
            </w:r>
          </w:p>
        </w:tc>
        <w:tc>
          <w:tcPr>
            <w:tcW w:w="990" w:type="dxa"/>
            <w:tcBorders>
              <w:top w:val="single" w:color="auto" w:sz="4" w:space="0"/>
              <w:left w:val="single" w:color="auto" w:sz="4" w:space="0"/>
              <w:bottom w:val="single" w:color="auto" w:sz="4" w:space="0"/>
              <w:right w:val="single" w:color="auto" w:sz="4" w:space="0"/>
            </w:tcBorders>
          </w:tcPr>
          <w:p w:rsidR="00302229" w:rsidP="00302229" w:rsidRDefault="00302229" w14:paraId="38A8BCBB" w14:textId="2B37DAD7">
            <w:pPr>
              <w:jc w:val="center"/>
              <w:rPr>
                <w:sz w:val="20"/>
              </w:rPr>
            </w:pPr>
            <w:r w:rsidRPr="00871E51">
              <w:rPr>
                <w:sz w:val="20"/>
                <w:szCs w:val="20"/>
              </w:rPr>
              <w:t>-2,0</w:t>
            </w:r>
            <w:r>
              <w:rPr>
                <w:sz w:val="20"/>
                <w:szCs w:val="20"/>
              </w:rPr>
              <w:t>3</w:t>
            </w:r>
            <w:r w:rsidRPr="00871E51">
              <w:rPr>
                <w:sz w:val="20"/>
                <w:szCs w:val="20"/>
              </w:rPr>
              <w:t>1</w:t>
            </w:r>
          </w:p>
        </w:tc>
      </w:tr>
    </w:tbl>
    <w:p w:rsidR="005014D8" w:rsidP="00657D10" w:rsidRDefault="005014D8" w14:paraId="2FD13073" w14:textId="18D341ED">
      <w:pPr>
        <w:spacing w:before="120"/>
        <w:jc w:val="both"/>
        <w:rPr>
          <w:sz w:val="20"/>
        </w:rPr>
      </w:pPr>
      <w:r>
        <w:rPr>
          <w:sz w:val="20"/>
        </w:rPr>
        <w:t xml:space="preserve">*Currently </w:t>
      </w:r>
      <w:r w:rsidR="00132E94">
        <w:rPr>
          <w:sz w:val="20"/>
        </w:rPr>
        <w:t>a</w:t>
      </w:r>
      <w:r>
        <w:rPr>
          <w:sz w:val="20"/>
        </w:rPr>
        <w:t>pproved</w:t>
      </w:r>
      <w:r w:rsidR="00132E94">
        <w:rPr>
          <w:sz w:val="20"/>
        </w:rPr>
        <w:t xml:space="preserve"> </w:t>
      </w:r>
      <w:r w:rsidRPr="00871E51" w:rsidR="00132E94">
        <w:rPr>
          <w:rFonts w:eastAsia="Calibri"/>
          <w:sz w:val="20"/>
          <w:szCs w:val="20"/>
        </w:rPr>
        <w:t xml:space="preserve">by OMB under control number 0938-1314 (CMS-10621) from the CY 2021 PFS </w:t>
      </w:r>
      <w:r w:rsidR="00132E94">
        <w:rPr>
          <w:rFonts w:eastAsia="Calibri"/>
          <w:sz w:val="20"/>
          <w:szCs w:val="20"/>
        </w:rPr>
        <w:t>final r</w:t>
      </w:r>
      <w:r w:rsidRPr="00871E51" w:rsidR="00132E94">
        <w:rPr>
          <w:rFonts w:eastAsia="Calibri"/>
          <w:sz w:val="20"/>
          <w:szCs w:val="20"/>
        </w:rPr>
        <w:t>ule.</w:t>
      </w:r>
    </w:p>
    <w:p w:rsidRPr="003428D4" w:rsidR="00FD19D7" w:rsidP="00730BEF" w:rsidRDefault="00E86703" w14:paraId="66171B01" w14:textId="3A458F13">
      <w:pPr>
        <w:rPr>
          <w:rFonts w:eastAsia="Calibri"/>
        </w:rPr>
      </w:pPr>
      <w:r w:rsidRPr="00E86703">
        <w:rPr>
          <w:rFonts w:eastAsia="Calibri"/>
        </w:rPr>
        <w:t>The burden associated with the submission of quality performance category data have some limitations.  We believe it is difficult to quantify the burden accurately because clinicians and groups may have different processes for integrating quality data submission into their practices’ workflows.  Moreover, the time needed for a clinician to review quality measures and other information, select measures applicable to their patients and the services they furnish, and incorporate the use of quality measures into the practice workflows is expected to vary along with the number of measures that are potentially applicable to a given clinician’s practice and by the collection type.  For example, clinicians submitting data via the Medicare Part B claims collection type need to integrate the capture of quality data codes for each encounter whereas clinicians submitting via the eCQM collection types may have quality measures automated as part of their EHR implementation</w:t>
      </w:r>
      <w:r w:rsidR="00FD19D7">
        <w:rPr>
          <w:rFonts w:eastAsia="Calibri"/>
        </w:rPr>
        <w:t>.</w:t>
      </w:r>
    </w:p>
    <w:p w:rsidRPr="00B17713" w:rsidR="00FD19D7" w:rsidP="000B16B7" w:rsidRDefault="00311FB2" w14:paraId="7F9A24FB" w14:textId="7B94D013">
      <w:pPr>
        <w:keepNext/>
        <w:keepLines/>
        <w:rPr>
          <w:rFonts w:eastAsia="Calibri"/>
        </w:rPr>
      </w:pPr>
      <w:r w:rsidRPr="00311FB2">
        <w:rPr>
          <w:rFonts w:eastAsia="Calibri"/>
        </w:rPr>
        <w:lastRenderedPageBreak/>
        <w:t>We believe the burden associated with submitting quality measures data will vary depending on the collection type selected by the clinician, group, or third-party.  As such, we separately estimated the burden for clinicians, groups, and third parties to submit quality measures data by the collection type used.  For the purposes of our burden estimates for the Medicare Part B claims, MIPS CQM and QCDR, and eCQM collection types, we also assume that, on average, each clinician or group will submit 6 quality measures</w:t>
      </w:r>
      <w:r w:rsidRPr="00AD36DE" w:rsidR="00AD36DE">
        <w:rPr>
          <w:rFonts w:eastAsia="Calibri"/>
        </w:rPr>
        <w:t xml:space="preserve">. </w:t>
      </w:r>
      <w:r w:rsidR="00A3749B">
        <w:rPr>
          <w:rFonts w:eastAsia="Calibri"/>
        </w:rPr>
        <w:t xml:space="preserve">In the CY 2022 PFS proposed rule, </w:t>
      </w:r>
      <w:r w:rsidRPr="00871E51" w:rsidR="00A3749B">
        <w:t xml:space="preserve">we propose that except as provided in paragraph § 414.1365(c)(1)(i), an MVP Participant must select and report 4 quality measures, including 1 outcome measure (or, if an outcome measure is not available, 1 high priority measure, included in the MVP.  </w:t>
      </w:r>
    </w:p>
    <w:p w:rsidR="006B22A9" w:rsidP="0043521C" w:rsidRDefault="00C351ED" w14:paraId="12E32A07" w14:textId="35737421">
      <w:pPr>
        <w:pStyle w:val="Heading4"/>
        <w:numPr>
          <w:ilvl w:val="3"/>
          <w:numId w:val="23"/>
        </w:numPr>
        <w:tabs>
          <w:tab w:val="clear" w:pos="720"/>
          <w:tab w:val="left" w:pos="900"/>
        </w:tabs>
      </w:pPr>
      <w:r w:rsidRPr="00041A6A">
        <w:t xml:space="preserve">Burden </w:t>
      </w:r>
      <w:r w:rsidRPr="000E7E06">
        <w:t xml:space="preserve">for </w:t>
      </w:r>
      <w:r w:rsidRPr="000E7E06" w:rsidR="006B4818">
        <w:t>Quality Payment Program Identity Management Application Process</w:t>
      </w:r>
    </w:p>
    <w:p w:rsidR="00FD19D7" w:rsidP="00730BEF" w:rsidRDefault="00FD19D7" w14:paraId="353B1117" w14:textId="4B1FE514">
      <w:pPr>
        <w:rPr>
          <w:rFonts w:eastAsia="Calibri"/>
        </w:rPr>
      </w:pPr>
      <w:r w:rsidRPr="003428D4">
        <w:rPr>
          <w:rFonts w:eastAsia="Calibri"/>
        </w:rPr>
        <w:t>For an individual, group, or third-party to submit MIPS quality, improvement activities, or Promoting Interoperability performance category data using either the log in and upload or the log in and attest submission type or to access feedback reports, the submitter must have a CMS</w:t>
      </w:r>
      <w:r w:rsidR="002B68CF">
        <w:rPr>
          <w:rFonts w:eastAsia="Calibri"/>
        </w:rPr>
        <w:t xml:space="preserve"> </w:t>
      </w:r>
      <w:r w:rsidR="004E1925">
        <w:rPr>
          <w:rFonts w:eastAsia="Calibri"/>
        </w:rPr>
        <w:t xml:space="preserve">Healthcare Quality Information System (HCQIS) Access Roles and Profile (HARP) system </w:t>
      </w:r>
      <w:r w:rsidRPr="003428D4">
        <w:rPr>
          <w:rFonts w:eastAsia="Calibri"/>
        </w:rPr>
        <w:t>user account.  Once the user account is created, registration is not required again for future years.</w:t>
      </w:r>
    </w:p>
    <w:p w:rsidR="00C351ED" w:rsidP="00730BEF" w:rsidRDefault="006B4818" w14:paraId="12E1517F" w14:textId="58937CA1">
      <w:r w:rsidRPr="006B4818">
        <w:t xml:space="preserve">Based on </w:t>
      </w:r>
      <w:r w:rsidR="0025296A">
        <w:t xml:space="preserve">our assumption that </w:t>
      </w:r>
      <w:r w:rsidR="00FC5C99">
        <w:t xml:space="preserve">the number of </w:t>
      </w:r>
      <w:r w:rsidRPr="006B4818">
        <w:t xml:space="preserve">eligible clinicians, groups, or </w:t>
      </w:r>
      <w:r w:rsidRPr="006B4818" w:rsidR="00AB1AE3">
        <w:t>third parties</w:t>
      </w:r>
      <w:r w:rsidRPr="006B4818">
        <w:t xml:space="preserve"> </w:t>
      </w:r>
      <w:r w:rsidR="00FC5C99">
        <w:t xml:space="preserve">that </w:t>
      </w:r>
      <w:r w:rsidRPr="006B4818">
        <w:t xml:space="preserve">will register for new accounts </w:t>
      </w:r>
      <w:r w:rsidR="00FC5C99">
        <w:t>will not change substantially from</w:t>
      </w:r>
      <w:r w:rsidRPr="006B4818">
        <w:t xml:space="preserve"> the </w:t>
      </w:r>
      <w:r w:rsidR="00300E13">
        <w:t xml:space="preserve">CY </w:t>
      </w:r>
      <w:r w:rsidRPr="006B4818">
        <w:t>2019 MIPS performance</w:t>
      </w:r>
      <w:r w:rsidR="00FD19D7">
        <w:t xml:space="preserve"> period</w:t>
      </w:r>
      <w:r w:rsidR="00F56609">
        <w:t>/2021 MIPS payment year</w:t>
      </w:r>
      <w:r w:rsidR="00FC5C99">
        <w:t xml:space="preserve">, our estimate </w:t>
      </w:r>
      <w:r w:rsidR="00AA4D3F">
        <w:t>of 3,741 new TINs remains unchanged</w:t>
      </w:r>
      <w:r w:rsidR="00FD19D7">
        <w:t>.  As shown in Table 9</w:t>
      </w:r>
      <w:r w:rsidR="00EF3F3F">
        <w:t>,</w:t>
      </w:r>
      <w:r w:rsidRPr="006B4818">
        <w:t xml:space="preserve"> it would take 1 hour at $</w:t>
      </w:r>
      <w:r w:rsidR="004B6DDE">
        <w:t>9</w:t>
      </w:r>
      <w:r w:rsidR="00EF3F3F">
        <w:t>5.22</w:t>
      </w:r>
      <w:r w:rsidRPr="006B4818">
        <w:t xml:space="preserve">/hr for a computer systems analyst (or their equivalent) to obtain an account for the </w:t>
      </w:r>
      <w:r w:rsidR="004E1925">
        <w:t>HARP system</w:t>
      </w:r>
      <w:r w:rsidRPr="006B4818">
        <w:t>.  In aggregate we estimate an annual burden of 3,741 hours (3,741 registrations x 1 hr/registration) at a cost of $3</w:t>
      </w:r>
      <w:r w:rsidR="00107D7D">
        <w:t>56,218</w:t>
      </w:r>
      <w:r w:rsidRPr="006B4818">
        <w:t xml:space="preserve"> (3,741 hr x $</w:t>
      </w:r>
      <w:r w:rsidR="004B6DDE">
        <w:t>9</w:t>
      </w:r>
      <w:r w:rsidR="00EF3F3F">
        <w:t>5.22</w:t>
      </w:r>
      <w:r w:rsidRPr="006B4818">
        <w:t>/hr) or $</w:t>
      </w:r>
      <w:r w:rsidR="004B6DDE">
        <w:t>9</w:t>
      </w:r>
      <w:r w:rsidR="00107D7D">
        <w:t>5.22</w:t>
      </w:r>
      <w:r w:rsidRPr="006B4818">
        <w:t xml:space="preserve"> per registration.</w:t>
      </w:r>
      <w:r w:rsidR="00C351ED">
        <w:t xml:space="preserve"> </w:t>
      </w:r>
    </w:p>
    <w:p w:rsidRPr="00732012" w:rsidR="00C351ED" w:rsidP="00F37138" w:rsidRDefault="00C351ED" w14:paraId="48EC091E" w14:textId="7EB4223D">
      <w:pPr>
        <w:keepNext/>
        <w:keepLines/>
        <w:spacing w:after="0"/>
        <w:jc w:val="center"/>
        <w:rPr>
          <w:b/>
          <w:bCs/>
        </w:rPr>
      </w:pPr>
      <w:r w:rsidRPr="00C47150">
        <w:rPr>
          <w:b/>
          <w:bCs/>
        </w:rPr>
        <w:t xml:space="preserve">TABLE </w:t>
      </w:r>
      <w:r w:rsidR="00FD19D7">
        <w:rPr>
          <w:b/>
          <w:bCs/>
        </w:rPr>
        <w:t>9</w:t>
      </w:r>
      <w:r w:rsidRPr="00C47150">
        <w:rPr>
          <w:b/>
          <w:bCs/>
        </w:rPr>
        <w:t xml:space="preserve">:  </w:t>
      </w:r>
      <w:r w:rsidRPr="00732012">
        <w:rPr>
          <w:b/>
          <w:bCs/>
        </w:rPr>
        <w:t xml:space="preserve">Estimated Burden for </w:t>
      </w:r>
      <w:r w:rsidR="006B4818">
        <w:rPr>
          <w:b/>
          <w:bCs/>
        </w:rPr>
        <w:t>Quality Payment Program Identity Management Application Process</w:t>
      </w:r>
    </w:p>
    <w:tbl>
      <w:tblPr>
        <w:tblW w:w="9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97"/>
        <w:gridCol w:w="1123"/>
      </w:tblGrid>
      <w:tr w:rsidRPr="00732012" w:rsidR="00C351ED" w:rsidTr="007F64F4" w14:paraId="3A9F9226" w14:textId="77777777">
        <w:trPr>
          <w:cantSplit/>
          <w:trHeight w:val="315"/>
        </w:trPr>
        <w:tc>
          <w:tcPr>
            <w:tcW w:w="8597" w:type="dxa"/>
            <w:shd w:val="clear" w:color="auto" w:fill="auto"/>
            <w:vAlign w:val="center"/>
            <w:hideMark/>
          </w:tcPr>
          <w:p w:rsidRPr="00C351ED" w:rsidR="00C351ED" w:rsidP="00F37138" w:rsidRDefault="00C351ED" w14:paraId="2226A6BB" w14:textId="6889A0D7">
            <w:pPr>
              <w:keepNext/>
              <w:keepLines/>
              <w:spacing w:after="0"/>
              <w:rPr>
                <w:b/>
                <w:sz w:val="20"/>
                <w:szCs w:val="20"/>
              </w:rPr>
            </w:pPr>
            <w:r w:rsidRPr="00C351ED">
              <w:rPr>
                <w:b/>
                <w:sz w:val="20"/>
                <w:szCs w:val="20"/>
              </w:rPr>
              <w:t>Burden and Respondent Descriptions</w:t>
            </w:r>
          </w:p>
        </w:tc>
        <w:tc>
          <w:tcPr>
            <w:tcW w:w="1123" w:type="dxa"/>
            <w:shd w:val="clear" w:color="auto" w:fill="auto"/>
            <w:vAlign w:val="center"/>
            <w:hideMark/>
          </w:tcPr>
          <w:p w:rsidRPr="00732012" w:rsidR="00C351ED" w:rsidP="00F37138" w:rsidRDefault="00C351ED" w14:paraId="3FD71DD0" w14:textId="77777777">
            <w:pPr>
              <w:keepNext/>
              <w:keepLines/>
              <w:spacing w:after="0"/>
              <w:jc w:val="center"/>
              <w:rPr>
                <w:b/>
                <w:bCs/>
                <w:sz w:val="20"/>
                <w:szCs w:val="20"/>
              </w:rPr>
            </w:pPr>
            <w:r w:rsidRPr="00732012">
              <w:rPr>
                <w:b/>
                <w:bCs/>
                <w:sz w:val="20"/>
                <w:szCs w:val="20"/>
              </w:rPr>
              <w:t>Burden Estimate</w:t>
            </w:r>
          </w:p>
        </w:tc>
      </w:tr>
      <w:tr w:rsidRPr="00732012" w:rsidR="00C351ED" w:rsidTr="007F64F4" w14:paraId="7A5825BF" w14:textId="77777777">
        <w:trPr>
          <w:cantSplit/>
          <w:trHeight w:val="188"/>
        </w:trPr>
        <w:tc>
          <w:tcPr>
            <w:tcW w:w="8597" w:type="dxa"/>
            <w:shd w:val="clear" w:color="auto" w:fill="auto"/>
            <w:hideMark/>
          </w:tcPr>
          <w:p w:rsidRPr="00732012" w:rsidR="00C351ED" w:rsidP="00F37138" w:rsidRDefault="00C351ED" w14:paraId="16B690A0" w14:textId="70EA2AE6">
            <w:pPr>
              <w:keepNext/>
              <w:keepLines/>
              <w:spacing w:after="0"/>
              <w:rPr>
                <w:sz w:val="20"/>
                <w:szCs w:val="20"/>
              </w:rPr>
            </w:pPr>
            <w:r w:rsidRPr="00732012">
              <w:rPr>
                <w:sz w:val="20"/>
                <w:szCs w:val="20"/>
              </w:rPr>
              <w:t xml:space="preserve"># of New TINs </w:t>
            </w:r>
            <w:r w:rsidR="006B4818">
              <w:rPr>
                <w:sz w:val="20"/>
                <w:szCs w:val="20"/>
              </w:rPr>
              <w:t>completing the Identity Management Application Process</w:t>
            </w:r>
            <w:r w:rsidRPr="001B7241" w:rsidR="006B4818">
              <w:rPr>
                <w:sz w:val="20"/>
                <w:szCs w:val="20"/>
              </w:rPr>
              <w:t xml:space="preserve"> </w:t>
            </w:r>
            <w:r w:rsidRPr="00732012">
              <w:rPr>
                <w:sz w:val="20"/>
                <w:szCs w:val="20"/>
              </w:rPr>
              <w:t>(a)</w:t>
            </w:r>
          </w:p>
        </w:tc>
        <w:tc>
          <w:tcPr>
            <w:tcW w:w="1123" w:type="dxa"/>
            <w:shd w:val="clear" w:color="auto" w:fill="auto"/>
            <w:hideMark/>
          </w:tcPr>
          <w:p w:rsidRPr="00732012" w:rsidR="00C351ED" w:rsidP="00F37138" w:rsidRDefault="00C351ED" w14:paraId="74D71546" w14:textId="77777777">
            <w:pPr>
              <w:keepNext/>
              <w:keepLines/>
              <w:spacing w:after="0"/>
              <w:rPr>
                <w:sz w:val="20"/>
                <w:szCs w:val="20"/>
              </w:rPr>
            </w:pPr>
            <w:r w:rsidRPr="00732012">
              <w:rPr>
                <w:sz w:val="20"/>
                <w:szCs w:val="20"/>
              </w:rPr>
              <w:t>3,741</w:t>
            </w:r>
          </w:p>
        </w:tc>
      </w:tr>
      <w:tr w:rsidRPr="00732012" w:rsidR="00C351ED" w:rsidTr="007F64F4" w14:paraId="7F3BDBAD" w14:textId="77777777">
        <w:trPr>
          <w:cantSplit/>
          <w:trHeight w:val="215"/>
        </w:trPr>
        <w:tc>
          <w:tcPr>
            <w:tcW w:w="8597" w:type="dxa"/>
            <w:shd w:val="clear" w:color="auto" w:fill="auto"/>
            <w:hideMark/>
          </w:tcPr>
          <w:p w:rsidRPr="00732012" w:rsidR="00C351ED" w:rsidP="00F37138" w:rsidRDefault="006B4818" w14:paraId="22AD1264" w14:textId="3E35EA56">
            <w:pPr>
              <w:keepNext/>
              <w:keepLines/>
              <w:spacing w:after="0"/>
              <w:rPr>
                <w:sz w:val="20"/>
                <w:szCs w:val="20"/>
              </w:rPr>
            </w:pPr>
            <w:r>
              <w:rPr>
                <w:sz w:val="20"/>
                <w:szCs w:val="20"/>
              </w:rPr>
              <w:t>Total Hours Per Application</w:t>
            </w:r>
            <w:r w:rsidRPr="00732012" w:rsidR="00C351ED">
              <w:rPr>
                <w:sz w:val="20"/>
                <w:szCs w:val="20"/>
              </w:rPr>
              <w:t xml:space="preserve"> (b)</w:t>
            </w:r>
          </w:p>
        </w:tc>
        <w:tc>
          <w:tcPr>
            <w:tcW w:w="1123" w:type="dxa"/>
            <w:shd w:val="clear" w:color="auto" w:fill="auto"/>
            <w:hideMark/>
          </w:tcPr>
          <w:p w:rsidRPr="00732012" w:rsidR="00C351ED" w:rsidP="00F37138" w:rsidRDefault="00C351ED" w14:paraId="64A73F7F" w14:textId="77777777">
            <w:pPr>
              <w:keepNext/>
              <w:keepLines/>
              <w:spacing w:after="0"/>
              <w:rPr>
                <w:sz w:val="20"/>
                <w:szCs w:val="20"/>
              </w:rPr>
            </w:pPr>
            <w:r w:rsidRPr="00732012">
              <w:rPr>
                <w:sz w:val="20"/>
                <w:szCs w:val="20"/>
              </w:rPr>
              <w:t>1</w:t>
            </w:r>
          </w:p>
        </w:tc>
      </w:tr>
      <w:tr w:rsidRPr="00732012" w:rsidR="00C351ED" w:rsidTr="007F64F4" w14:paraId="7D9F31CA" w14:textId="77777777">
        <w:trPr>
          <w:cantSplit/>
          <w:trHeight w:val="260"/>
        </w:trPr>
        <w:tc>
          <w:tcPr>
            <w:tcW w:w="8597" w:type="dxa"/>
            <w:shd w:val="clear" w:color="auto" w:fill="D9D9D9" w:themeFill="background1" w:themeFillShade="D9"/>
            <w:hideMark/>
          </w:tcPr>
          <w:p w:rsidRPr="00732012" w:rsidR="00C351ED" w:rsidP="00F37138" w:rsidRDefault="006B4818" w14:paraId="3667754F" w14:textId="6E92F186">
            <w:pPr>
              <w:keepNext/>
              <w:keepLines/>
              <w:spacing w:after="0"/>
              <w:rPr>
                <w:sz w:val="20"/>
                <w:szCs w:val="20"/>
              </w:rPr>
            </w:pPr>
            <w:r w:rsidRPr="001B7241">
              <w:rPr>
                <w:sz w:val="20"/>
                <w:szCs w:val="20"/>
              </w:rPr>
              <w:t xml:space="preserve">Total Annual Hours for </w:t>
            </w:r>
            <w:r>
              <w:rPr>
                <w:sz w:val="20"/>
                <w:szCs w:val="20"/>
              </w:rPr>
              <w:t>completing the Identity Management Application Process</w:t>
            </w:r>
            <w:r w:rsidRPr="001B7241">
              <w:rPr>
                <w:sz w:val="20"/>
                <w:szCs w:val="20"/>
              </w:rPr>
              <w:t xml:space="preserve"> (c) = (a)*(b)</w:t>
            </w:r>
          </w:p>
        </w:tc>
        <w:tc>
          <w:tcPr>
            <w:tcW w:w="1123" w:type="dxa"/>
            <w:shd w:val="clear" w:color="auto" w:fill="D9D9D9" w:themeFill="background1" w:themeFillShade="D9"/>
            <w:hideMark/>
          </w:tcPr>
          <w:p w:rsidRPr="00732012" w:rsidR="00C351ED" w:rsidP="00F37138" w:rsidRDefault="00C351ED" w14:paraId="3A0C1C1C" w14:textId="1508F10F">
            <w:pPr>
              <w:keepNext/>
              <w:keepLines/>
              <w:spacing w:after="0"/>
              <w:rPr>
                <w:sz w:val="20"/>
                <w:szCs w:val="20"/>
              </w:rPr>
            </w:pPr>
            <w:r w:rsidRPr="00732012">
              <w:rPr>
                <w:sz w:val="20"/>
                <w:szCs w:val="20"/>
              </w:rPr>
              <w:t>3</w:t>
            </w:r>
            <w:r w:rsidR="00320E81">
              <w:rPr>
                <w:sz w:val="20"/>
                <w:szCs w:val="20"/>
              </w:rPr>
              <w:t>,</w:t>
            </w:r>
            <w:r w:rsidRPr="00732012">
              <w:rPr>
                <w:sz w:val="20"/>
                <w:szCs w:val="20"/>
              </w:rPr>
              <w:t>741</w:t>
            </w:r>
          </w:p>
        </w:tc>
      </w:tr>
      <w:tr w:rsidRPr="00732012" w:rsidR="00C351ED" w:rsidTr="007F64F4" w14:paraId="6AC98AB3" w14:textId="77777777">
        <w:trPr>
          <w:cantSplit/>
          <w:trHeight w:val="314"/>
        </w:trPr>
        <w:tc>
          <w:tcPr>
            <w:tcW w:w="8597" w:type="dxa"/>
            <w:shd w:val="clear" w:color="auto" w:fill="auto"/>
            <w:hideMark/>
          </w:tcPr>
          <w:p w:rsidRPr="00732012" w:rsidR="00C351ED" w:rsidP="00C351ED" w:rsidRDefault="00C351ED" w14:paraId="5F46077F" w14:textId="6FCBA71C">
            <w:pPr>
              <w:spacing w:after="0"/>
              <w:rPr>
                <w:sz w:val="20"/>
                <w:szCs w:val="20"/>
              </w:rPr>
            </w:pPr>
            <w:r w:rsidRPr="00732012">
              <w:rPr>
                <w:sz w:val="20"/>
                <w:szCs w:val="20"/>
              </w:rPr>
              <w:t xml:space="preserve">Cost Per </w:t>
            </w:r>
            <w:r w:rsidR="006B4818">
              <w:rPr>
                <w:sz w:val="20"/>
                <w:szCs w:val="20"/>
              </w:rPr>
              <w:t>Application</w:t>
            </w:r>
            <w:r w:rsidRPr="00732012">
              <w:rPr>
                <w:sz w:val="20"/>
                <w:szCs w:val="20"/>
              </w:rPr>
              <w:t xml:space="preserve"> @ computer systems analyst’s labor rate of $</w:t>
            </w:r>
            <w:r w:rsidR="00B17713">
              <w:rPr>
                <w:sz w:val="20"/>
                <w:szCs w:val="20"/>
              </w:rPr>
              <w:t>9</w:t>
            </w:r>
            <w:r w:rsidR="00F56609">
              <w:rPr>
                <w:sz w:val="20"/>
                <w:szCs w:val="20"/>
              </w:rPr>
              <w:t>5.22</w:t>
            </w:r>
            <w:r w:rsidRPr="00732012">
              <w:rPr>
                <w:sz w:val="20"/>
                <w:szCs w:val="20"/>
              </w:rPr>
              <w:t>/hr.) (d)</w:t>
            </w:r>
          </w:p>
        </w:tc>
        <w:tc>
          <w:tcPr>
            <w:tcW w:w="1123" w:type="dxa"/>
            <w:shd w:val="clear" w:color="auto" w:fill="auto"/>
            <w:hideMark/>
          </w:tcPr>
          <w:p w:rsidRPr="00732012" w:rsidR="00C351ED" w:rsidP="00C351ED" w:rsidRDefault="00C351ED" w14:paraId="1C9A6962" w14:textId="72D6E012">
            <w:pPr>
              <w:spacing w:after="0"/>
              <w:rPr>
                <w:sz w:val="20"/>
                <w:szCs w:val="20"/>
              </w:rPr>
            </w:pPr>
            <w:r w:rsidRPr="00732012">
              <w:rPr>
                <w:sz w:val="20"/>
                <w:szCs w:val="20"/>
              </w:rPr>
              <w:t>$</w:t>
            </w:r>
            <w:r w:rsidR="0091252A">
              <w:rPr>
                <w:sz w:val="20"/>
                <w:szCs w:val="20"/>
              </w:rPr>
              <w:t>9</w:t>
            </w:r>
            <w:r w:rsidR="00357E02">
              <w:rPr>
                <w:sz w:val="20"/>
                <w:szCs w:val="20"/>
              </w:rPr>
              <w:t>5.22</w:t>
            </w:r>
          </w:p>
        </w:tc>
      </w:tr>
      <w:tr w:rsidRPr="00732012" w:rsidR="00C351ED" w:rsidTr="007F64F4" w14:paraId="6A5A5AF5" w14:textId="77777777">
        <w:trPr>
          <w:cantSplit/>
          <w:trHeight w:val="242"/>
        </w:trPr>
        <w:tc>
          <w:tcPr>
            <w:tcW w:w="8597" w:type="dxa"/>
            <w:shd w:val="clear" w:color="auto" w:fill="D9D9D9" w:themeFill="background1" w:themeFillShade="D9"/>
            <w:hideMark/>
          </w:tcPr>
          <w:p w:rsidRPr="00732012" w:rsidR="00C351ED" w:rsidP="00C351ED" w:rsidRDefault="00C351ED" w14:paraId="50DAD469" w14:textId="0042BBE6">
            <w:pPr>
              <w:spacing w:after="0"/>
              <w:rPr>
                <w:sz w:val="20"/>
                <w:szCs w:val="20"/>
              </w:rPr>
            </w:pPr>
            <w:r w:rsidRPr="00732012">
              <w:rPr>
                <w:sz w:val="20"/>
                <w:szCs w:val="20"/>
              </w:rPr>
              <w:t xml:space="preserve">Total Annual Cost for </w:t>
            </w:r>
            <w:r w:rsidR="006B4818">
              <w:rPr>
                <w:sz w:val="20"/>
                <w:szCs w:val="20"/>
              </w:rPr>
              <w:t>completing the Identity Management Application Process</w:t>
            </w:r>
            <w:r w:rsidRPr="001B7241" w:rsidR="006B4818">
              <w:rPr>
                <w:sz w:val="20"/>
                <w:szCs w:val="20"/>
              </w:rPr>
              <w:t xml:space="preserve"> </w:t>
            </w:r>
            <w:r w:rsidRPr="00732012">
              <w:rPr>
                <w:sz w:val="20"/>
                <w:szCs w:val="20"/>
              </w:rPr>
              <w:t>(e) = (a)*(d)</w:t>
            </w:r>
          </w:p>
        </w:tc>
        <w:tc>
          <w:tcPr>
            <w:tcW w:w="1123" w:type="dxa"/>
            <w:shd w:val="clear" w:color="auto" w:fill="D9D9D9" w:themeFill="background1" w:themeFillShade="D9"/>
            <w:hideMark/>
          </w:tcPr>
          <w:p w:rsidRPr="00732012" w:rsidR="00C351ED" w:rsidP="00C351ED" w:rsidRDefault="00C351ED" w14:paraId="7613A2D2" w14:textId="385EF8F8">
            <w:pPr>
              <w:spacing w:after="0"/>
              <w:rPr>
                <w:sz w:val="20"/>
                <w:szCs w:val="20"/>
              </w:rPr>
            </w:pPr>
            <w:r w:rsidRPr="00732012">
              <w:rPr>
                <w:sz w:val="20"/>
                <w:szCs w:val="20"/>
              </w:rPr>
              <w:t>$3</w:t>
            </w:r>
            <w:r w:rsidR="00357E02">
              <w:rPr>
                <w:sz w:val="20"/>
                <w:szCs w:val="20"/>
              </w:rPr>
              <w:t>56,218</w:t>
            </w:r>
          </w:p>
        </w:tc>
      </w:tr>
    </w:tbl>
    <w:p w:rsidR="00C351ED" w:rsidP="00C351ED" w:rsidRDefault="00C351ED" w14:paraId="6E9AA822" w14:textId="7EEA43D2">
      <w:pPr>
        <w:ind w:firstLine="720"/>
      </w:pPr>
    </w:p>
    <w:p w:rsidRPr="0043521C" w:rsidR="00C351ED" w:rsidP="0043521C" w:rsidRDefault="00C351ED" w14:paraId="028821FD" w14:textId="48A31166">
      <w:pPr>
        <w:pStyle w:val="Heading4"/>
        <w:numPr>
          <w:ilvl w:val="3"/>
          <w:numId w:val="23"/>
        </w:numPr>
        <w:tabs>
          <w:tab w:val="clear" w:pos="720"/>
          <w:tab w:val="left" w:pos="900"/>
        </w:tabs>
      </w:pPr>
      <w:r w:rsidRPr="0043521C">
        <w:t xml:space="preserve">Burden for Quality Data Submission by Clinicians: </w:t>
      </w:r>
      <w:r w:rsidRPr="0043521C" w:rsidR="00532B06">
        <w:br/>
      </w:r>
      <w:r w:rsidRPr="0043521C" w:rsidR="00925739">
        <w:t xml:space="preserve">Medicare Part B </w:t>
      </w:r>
      <w:r w:rsidRPr="0043521C">
        <w:t>Claims-Based Collection Type</w:t>
      </w:r>
    </w:p>
    <w:p w:rsidRPr="00942FC4" w:rsidR="00942FC4" w:rsidP="00730BEF" w:rsidRDefault="00942FC4" w14:paraId="3210B6B5" w14:textId="2834D703">
      <w:pPr>
        <w:rPr>
          <w:rFonts w:eastAsia="Calibri"/>
        </w:rPr>
      </w:pPr>
      <w:r w:rsidRPr="00942FC4">
        <w:rPr>
          <w:rFonts w:eastAsia="Calibri"/>
        </w:rPr>
        <w:t xml:space="preserve">As noted in Table </w:t>
      </w:r>
      <w:r w:rsidR="00930268">
        <w:rPr>
          <w:rFonts w:eastAsia="Calibri"/>
        </w:rPr>
        <w:t>10</w:t>
      </w:r>
      <w:r w:rsidRPr="00942FC4">
        <w:rPr>
          <w:rFonts w:eastAsia="Calibri"/>
        </w:rPr>
        <w:t xml:space="preserve"> </w:t>
      </w:r>
      <w:r w:rsidRPr="00B17713" w:rsidR="00B17713">
        <w:rPr>
          <w:rFonts w:eastAsia="Calibri"/>
        </w:rPr>
        <w:t xml:space="preserve">based on </w:t>
      </w:r>
      <w:r w:rsidR="003014BE">
        <w:rPr>
          <w:rFonts w:eastAsia="Calibri"/>
        </w:rPr>
        <w:t xml:space="preserve">CY </w:t>
      </w:r>
      <w:r w:rsidRPr="00B17713" w:rsidR="00B17713">
        <w:rPr>
          <w:rFonts w:eastAsia="Calibri"/>
        </w:rPr>
        <w:t>201</w:t>
      </w:r>
      <w:r w:rsidR="003014BE">
        <w:rPr>
          <w:rFonts w:eastAsia="Calibri"/>
        </w:rPr>
        <w:t>9</w:t>
      </w:r>
      <w:r w:rsidRPr="00B17713" w:rsidR="00B17713">
        <w:rPr>
          <w:rFonts w:eastAsia="Calibri"/>
        </w:rPr>
        <w:t xml:space="preserve"> MIPS performance period</w:t>
      </w:r>
      <w:r w:rsidR="003014BE">
        <w:rPr>
          <w:rFonts w:eastAsia="Calibri"/>
        </w:rPr>
        <w:t>/2021 MIPS payment year</w:t>
      </w:r>
      <w:r w:rsidRPr="00B17713" w:rsidR="00B17713">
        <w:rPr>
          <w:rFonts w:eastAsia="Calibri"/>
        </w:rPr>
        <w:t xml:space="preserve"> data, we assume that </w:t>
      </w:r>
      <w:r w:rsidR="00810D9C">
        <w:rPr>
          <w:rFonts w:eastAsia="Calibri"/>
        </w:rPr>
        <w:t>28,252</w:t>
      </w:r>
      <w:r w:rsidRPr="00B17713" w:rsidR="00B17713">
        <w:rPr>
          <w:rFonts w:eastAsia="Calibri"/>
        </w:rPr>
        <w:t xml:space="preserve"> individual clinicians will collect and submit quality data via the Medicare Part B claims collection type</w:t>
      </w:r>
      <w:r w:rsidR="00B17713">
        <w:rPr>
          <w:rFonts w:eastAsia="Calibri"/>
        </w:rPr>
        <w:t xml:space="preserve">, a decrease of </w:t>
      </w:r>
      <w:r w:rsidR="002649E1">
        <w:rPr>
          <w:rFonts w:eastAsia="Calibri"/>
        </w:rPr>
        <w:t>1,021</w:t>
      </w:r>
      <w:r w:rsidRPr="00B17713" w:rsidR="00B17713">
        <w:rPr>
          <w:rFonts w:eastAsia="Calibri"/>
        </w:rPr>
        <w:t xml:space="preserve"> from </w:t>
      </w:r>
      <w:r w:rsidR="00B17713">
        <w:rPr>
          <w:rFonts w:eastAsia="Calibri"/>
        </w:rPr>
        <w:t xml:space="preserve">the currently approved estimate of </w:t>
      </w:r>
      <w:r w:rsidR="00D4006F">
        <w:rPr>
          <w:rFonts w:eastAsia="Calibri"/>
        </w:rPr>
        <w:t xml:space="preserve">29,273 </w:t>
      </w:r>
      <w:r w:rsidR="00C52260">
        <w:rPr>
          <w:rFonts w:eastAsia="Calibri"/>
        </w:rPr>
        <w:t xml:space="preserve">respondents </w:t>
      </w:r>
      <w:r w:rsidRPr="00B17713" w:rsidR="00B17713">
        <w:rPr>
          <w:rFonts w:eastAsia="Calibri"/>
        </w:rPr>
        <w:t xml:space="preserve">based on more recent data and our methodology of accounting only for clinicians in small practices who submitted such claims data in the </w:t>
      </w:r>
      <w:r w:rsidR="00E9578D">
        <w:rPr>
          <w:rFonts w:eastAsia="Calibri"/>
        </w:rPr>
        <w:t xml:space="preserve">CY </w:t>
      </w:r>
      <w:r w:rsidRPr="00B17713" w:rsidR="00B17713">
        <w:rPr>
          <w:rFonts w:eastAsia="Calibri"/>
        </w:rPr>
        <w:t>201</w:t>
      </w:r>
      <w:r w:rsidR="00E9578D">
        <w:rPr>
          <w:rFonts w:eastAsia="Calibri"/>
        </w:rPr>
        <w:t>9</w:t>
      </w:r>
      <w:r w:rsidRPr="00B17713" w:rsidR="00B17713">
        <w:rPr>
          <w:rFonts w:eastAsia="Calibri"/>
        </w:rPr>
        <w:t xml:space="preserve"> MIPS performance period</w:t>
      </w:r>
      <w:r w:rsidR="00294A46">
        <w:rPr>
          <w:rFonts w:eastAsia="Calibri"/>
        </w:rPr>
        <w:t>/2021 MIPS payment year</w:t>
      </w:r>
      <w:r w:rsidRPr="00B17713" w:rsidR="00B17713">
        <w:rPr>
          <w:rFonts w:eastAsia="Calibri"/>
        </w:rPr>
        <w:t xml:space="preserve"> rather than all clinicians who submitted quality data codes to us for the Medicare Part B claims collection type</w:t>
      </w:r>
      <w:r w:rsidRPr="001B6F36" w:rsidR="001B6F36">
        <w:rPr>
          <w:rFonts w:eastAsia="Calibri"/>
        </w:rPr>
        <w:t xml:space="preserve">.  </w:t>
      </w:r>
    </w:p>
    <w:p w:rsidRPr="00942FC4" w:rsidR="00942FC4" w:rsidP="00730BEF" w:rsidRDefault="00942FC4" w14:paraId="5386FD25" w14:textId="1504FBF7">
      <w:pPr>
        <w:rPr>
          <w:rFonts w:eastAsia="Calibri"/>
        </w:rPr>
      </w:pPr>
      <w:r w:rsidRPr="00942FC4">
        <w:rPr>
          <w:rFonts w:eastAsia="Calibri"/>
        </w:rPr>
        <w:lastRenderedPageBreak/>
        <w:t xml:space="preserve">As shown in Table </w:t>
      </w:r>
      <w:r>
        <w:rPr>
          <w:rFonts w:eastAsia="Calibri"/>
        </w:rPr>
        <w:t>10</w:t>
      </w:r>
      <w:r w:rsidRPr="00942FC4">
        <w:rPr>
          <w:rFonts w:eastAsia="Calibri"/>
        </w:rPr>
        <w:t xml:space="preserve">, </w:t>
      </w:r>
      <w:r w:rsidRPr="00B17713" w:rsidR="00B17713">
        <w:rPr>
          <w:rFonts w:eastAsia="Calibri"/>
        </w:rPr>
        <w:t>consistent with our currently approved per response time figures, we estimate that the burden of quality data submission using Medicare Part B claims will range from 0.15 hours (9 minutes) at a cost of $1</w:t>
      </w:r>
      <w:r w:rsidR="00BF01B7">
        <w:rPr>
          <w:rFonts w:eastAsia="Calibri"/>
        </w:rPr>
        <w:t>4.28</w:t>
      </w:r>
      <w:r w:rsidRPr="00B17713" w:rsidR="00B17713">
        <w:rPr>
          <w:rFonts w:eastAsia="Calibri"/>
        </w:rPr>
        <w:t xml:space="preserve"> (0.15 hr x $9</w:t>
      </w:r>
      <w:r w:rsidR="00BF01B7">
        <w:rPr>
          <w:rFonts w:eastAsia="Calibri"/>
        </w:rPr>
        <w:t>5.22</w:t>
      </w:r>
      <w:r w:rsidRPr="00B17713" w:rsidR="00B17713">
        <w:rPr>
          <w:rFonts w:eastAsia="Calibri"/>
        </w:rPr>
        <w:t>/hr) to 7.2 hours at a cost of $6</w:t>
      </w:r>
      <w:r w:rsidR="00A63696">
        <w:rPr>
          <w:rFonts w:eastAsia="Calibri"/>
        </w:rPr>
        <w:t>85.58</w:t>
      </w:r>
      <w:r w:rsidRPr="00B17713" w:rsidR="00B17713">
        <w:rPr>
          <w:rFonts w:eastAsia="Calibri"/>
        </w:rPr>
        <w:t xml:space="preserve"> (7.2 hr x $9</w:t>
      </w:r>
      <w:r w:rsidR="00260B76">
        <w:rPr>
          <w:rFonts w:eastAsia="Calibri"/>
        </w:rPr>
        <w:t>5.22</w:t>
      </w:r>
      <w:r w:rsidRPr="00B17713" w:rsidR="00B17713">
        <w:rPr>
          <w:rFonts w:eastAsia="Calibri"/>
        </w:rPr>
        <w:t>/hr). The burden will involve becoming familiar with MIPS quality measure specifications.  We believe that the start-up cost for a clinician’s practice to review measure specifications is 7 hours, consisting of 3 hours at $11</w:t>
      </w:r>
      <w:r w:rsidR="009C396E">
        <w:rPr>
          <w:rFonts w:eastAsia="Calibri"/>
        </w:rPr>
        <w:t>4.24</w:t>
      </w:r>
      <w:r w:rsidRPr="00B17713" w:rsidR="00B17713">
        <w:rPr>
          <w:rFonts w:eastAsia="Calibri"/>
        </w:rPr>
        <w:t>/hr for a medical and health services manager, 1 hour at $21</w:t>
      </w:r>
      <w:r w:rsidR="006E2653">
        <w:rPr>
          <w:rFonts w:eastAsia="Calibri"/>
        </w:rPr>
        <w:t>7.32</w:t>
      </w:r>
      <w:r w:rsidRPr="00B17713" w:rsidR="00B17713">
        <w:rPr>
          <w:rFonts w:eastAsia="Calibri"/>
        </w:rPr>
        <w:t>/hr for a physician, 1 hour at $4</w:t>
      </w:r>
      <w:r w:rsidR="00C67FE0">
        <w:rPr>
          <w:rFonts w:eastAsia="Calibri"/>
        </w:rPr>
        <w:t>8.16</w:t>
      </w:r>
      <w:r w:rsidRPr="00B17713" w:rsidR="00B17713">
        <w:rPr>
          <w:rFonts w:eastAsia="Calibri"/>
        </w:rPr>
        <w:t>/hr for an LPN, 1 hour at $9</w:t>
      </w:r>
      <w:r w:rsidR="00EF21DD">
        <w:rPr>
          <w:rFonts w:eastAsia="Calibri"/>
        </w:rPr>
        <w:t>5.22</w:t>
      </w:r>
      <w:r w:rsidRPr="00B17713" w:rsidR="00B17713">
        <w:rPr>
          <w:rFonts w:eastAsia="Calibri"/>
        </w:rPr>
        <w:t>/hr for a computer systems analyst, and 1 hour at $</w:t>
      </w:r>
      <w:r w:rsidR="00BD0177">
        <w:rPr>
          <w:rFonts w:eastAsia="Calibri"/>
        </w:rPr>
        <w:t>40.02</w:t>
      </w:r>
      <w:r w:rsidRPr="00B17713" w:rsidR="00B17713">
        <w:rPr>
          <w:rFonts w:eastAsia="Calibri"/>
        </w:rPr>
        <w:t>/hr for a billing and posting clerk.  We are not revising our currently approved per response time estimates</w:t>
      </w:r>
      <w:r w:rsidRPr="005B4144" w:rsidR="005B4144">
        <w:rPr>
          <w:rFonts w:eastAsia="Calibri"/>
        </w:rPr>
        <w:t>.</w:t>
      </w:r>
    </w:p>
    <w:p w:rsidRPr="00942FC4" w:rsidR="00942FC4" w:rsidP="00730BEF" w:rsidRDefault="00942FC4" w14:paraId="7CAA5818" w14:textId="77777777">
      <w:pPr>
        <w:rPr>
          <w:rFonts w:eastAsia="Calibri"/>
        </w:rPr>
      </w:pPr>
      <w:r w:rsidRPr="00942FC4">
        <w:rPr>
          <w:rFonts w:eastAsia="Calibri"/>
        </w:rPr>
        <w:t xml:space="preserve">The estimate for reviewing and incorporating measure specifications for the claims collection type is higher than that of QCDRs/Registries or eCQM collection types due to the more manual, and therefore, more burdensome nature of Medicare Part B claims measures. </w:t>
      </w:r>
    </w:p>
    <w:p w:rsidR="00B17713" w:rsidP="00730BEF" w:rsidRDefault="00E85FD2" w14:paraId="48F38D92" w14:textId="13147CEE">
      <w:pPr>
        <w:rPr>
          <w:rFonts w:eastAsia="Calibri"/>
        </w:rPr>
      </w:pPr>
      <w:r>
        <w:rPr>
          <w:rFonts w:eastAsia="Calibri"/>
        </w:rPr>
        <w:t>For the CY 2022 MIPS performance period/2024 MIPS payment year, c</w:t>
      </w:r>
      <w:r w:rsidRPr="000709BE" w:rsidR="000709BE">
        <w:rPr>
          <w:rFonts w:eastAsia="Calibri"/>
        </w:rPr>
        <w:t xml:space="preserve">onsidering both data submission and start-up requirements, the estimated time (per clinician) ranges from a minimum of 7.15 hours (0.15 hr + 7 hr) to a maximum of 14.2 hours (7.2 hr + 7 hr). In this regard the total annual time ranges from </w:t>
      </w:r>
      <w:r w:rsidRPr="00306E88" w:rsidR="00306E88">
        <w:rPr>
          <w:rFonts w:eastAsia="Calibri"/>
        </w:rPr>
        <w:t>202,002 hours (7.15 hr x 28,252 clinicians) to 401,178 hours (14.2 hr x 28,252 clinicians)</w:t>
      </w:r>
      <w:r w:rsidRPr="000709BE" w:rsidR="000709BE">
        <w:rPr>
          <w:rFonts w:eastAsia="Calibri"/>
        </w:rPr>
        <w:t>.  The estimated annual cost (per clinician) ranges from $7</w:t>
      </w:r>
      <w:r w:rsidR="005E0176">
        <w:rPr>
          <w:rFonts w:eastAsia="Calibri"/>
        </w:rPr>
        <w:t>58</w:t>
      </w:r>
      <w:r w:rsidRPr="000709BE" w:rsidR="000709BE">
        <w:rPr>
          <w:rFonts w:eastAsia="Calibri"/>
        </w:rPr>
        <w:t xml:space="preserve"> [(0.15 hr x $9</w:t>
      </w:r>
      <w:r w:rsidR="005E0176">
        <w:rPr>
          <w:rFonts w:eastAsia="Calibri"/>
        </w:rPr>
        <w:t>5.22</w:t>
      </w:r>
      <w:r w:rsidRPr="000709BE" w:rsidR="000709BE">
        <w:rPr>
          <w:rFonts w:eastAsia="Calibri"/>
        </w:rPr>
        <w:t>/hr) + (3 hr x $11</w:t>
      </w:r>
      <w:r w:rsidR="001C6451">
        <w:rPr>
          <w:rFonts w:eastAsia="Calibri"/>
        </w:rPr>
        <w:t>4.24</w:t>
      </w:r>
      <w:r w:rsidRPr="000709BE" w:rsidR="000709BE">
        <w:rPr>
          <w:rFonts w:eastAsia="Calibri"/>
        </w:rPr>
        <w:t>/hr) + (1 hr x $9</w:t>
      </w:r>
      <w:r w:rsidR="001C6451">
        <w:rPr>
          <w:rFonts w:eastAsia="Calibri"/>
        </w:rPr>
        <w:t>5.22</w:t>
      </w:r>
      <w:r w:rsidRPr="000709BE" w:rsidR="000709BE">
        <w:rPr>
          <w:rFonts w:eastAsia="Calibri"/>
        </w:rPr>
        <w:t>/hr) + (1 hr x $4</w:t>
      </w:r>
      <w:r w:rsidR="001C6451">
        <w:rPr>
          <w:rFonts w:eastAsia="Calibri"/>
        </w:rPr>
        <w:t>8.16</w:t>
      </w:r>
      <w:r w:rsidRPr="000709BE" w:rsidR="000709BE">
        <w:rPr>
          <w:rFonts w:eastAsia="Calibri"/>
        </w:rPr>
        <w:t>/hr) + (1 hr x $</w:t>
      </w:r>
      <w:r w:rsidR="001C6451">
        <w:rPr>
          <w:rFonts w:eastAsia="Calibri"/>
        </w:rPr>
        <w:t>40.02</w:t>
      </w:r>
      <w:r w:rsidRPr="000709BE" w:rsidR="000709BE">
        <w:rPr>
          <w:rFonts w:eastAsia="Calibri"/>
        </w:rPr>
        <w:t>/hr) + (1 hr x $21</w:t>
      </w:r>
      <w:r w:rsidR="00E570BE">
        <w:rPr>
          <w:rFonts w:eastAsia="Calibri"/>
        </w:rPr>
        <w:t>7.32</w:t>
      </w:r>
      <w:r w:rsidRPr="000709BE" w:rsidR="000709BE">
        <w:rPr>
          <w:rFonts w:eastAsia="Calibri"/>
        </w:rPr>
        <w:t>/hr)] to a maximum of $1,</w:t>
      </w:r>
      <w:r w:rsidR="00A419E5">
        <w:rPr>
          <w:rFonts w:eastAsia="Calibri"/>
        </w:rPr>
        <w:t>429</w:t>
      </w:r>
      <w:r w:rsidRPr="000709BE" w:rsidR="000709BE">
        <w:rPr>
          <w:rFonts w:eastAsia="Calibri"/>
        </w:rPr>
        <w:t xml:space="preserve"> [(7.2 hr x $9</w:t>
      </w:r>
      <w:r w:rsidR="00DE2B70">
        <w:rPr>
          <w:rFonts w:eastAsia="Calibri"/>
        </w:rPr>
        <w:t>5.22</w:t>
      </w:r>
      <w:r w:rsidRPr="000709BE" w:rsidR="000709BE">
        <w:rPr>
          <w:rFonts w:eastAsia="Calibri"/>
        </w:rPr>
        <w:t>/hr) + (3 hr x $11</w:t>
      </w:r>
      <w:r w:rsidR="00EB64AF">
        <w:rPr>
          <w:rFonts w:eastAsia="Calibri"/>
        </w:rPr>
        <w:t>4.24</w:t>
      </w:r>
      <w:r w:rsidRPr="000709BE" w:rsidR="000709BE">
        <w:rPr>
          <w:rFonts w:eastAsia="Calibri"/>
        </w:rPr>
        <w:t>/hr) + (1 hr x $9</w:t>
      </w:r>
      <w:r w:rsidR="00EB64AF">
        <w:rPr>
          <w:rFonts w:eastAsia="Calibri"/>
        </w:rPr>
        <w:t>5.22</w:t>
      </w:r>
      <w:r w:rsidRPr="000709BE" w:rsidR="000709BE">
        <w:rPr>
          <w:rFonts w:eastAsia="Calibri"/>
        </w:rPr>
        <w:t>/hr) + (1 hr x $</w:t>
      </w:r>
      <w:r w:rsidR="00933FBD">
        <w:rPr>
          <w:rFonts w:eastAsia="Calibri"/>
        </w:rPr>
        <w:t>48.16</w:t>
      </w:r>
      <w:r w:rsidRPr="000709BE" w:rsidR="000709BE">
        <w:rPr>
          <w:rFonts w:eastAsia="Calibri"/>
        </w:rPr>
        <w:t>/hr) + (1 hr x $</w:t>
      </w:r>
      <w:r w:rsidR="00933FBD">
        <w:rPr>
          <w:rFonts w:eastAsia="Calibri"/>
        </w:rPr>
        <w:t>40.02</w:t>
      </w:r>
      <w:r w:rsidRPr="000709BE" w:rsidR="000709BE">
        <w:rPr>
          <w:rFonts w:eastAsia="Calibri"/>
        </w:rPr>
        <w:t>/hr) + (1 hr x $21</w:t>
      </w:r>
      <w:r w:rsidR="00933FBD">
        <w:rPr>
          <w:rFonts w:eastAsia="Calibri"/>
        </w:rPr>
        <w:t>7.32</w:t>
      </w:r>
      <w:r w:rsidRPr="000709BE" w:rsidR="000709BE">
        <w:rPr>
          <w:rFonts w:eastAsia="Calibri"/>
        </w:rPr>
        <w:t>/hr)].  The total annual cost ranges from a minimum of $21,</w:t>
      </w:r>
      <w:r w:rsidR="004036A8">
        <w:rPr>
          <w:rFonts w:eastAsia="Calibri"/>
        </w:rPr>
        <w:t>407,105</w:t>
      </w:r>
      <w:r w:rsidRPr="000709BE" w:rsidR="000709BE">
        <w:rPr>
          <w:rFonts w:eastAsia="Calibri"/>
        </w:rPr>
        <w:t xml:space="preserve"> (2</w:t>
      </w:r>
      <w:r w:rsidR="00E36301">
        <w:rPr>
          <w:rFonts w:eastAsia="Calibri"/>
        </w:rPr>
        <w:t>8,252</w:t>
      </w:r>
      <w:r w:rsidRPr="000709BE" w:rsidR="000709BE">
        <w:rPr>
          <w:rFonts w:eastAsia="Calibri"/>
        </w:rPr>
        <w:t xml:space="preserve"> clinicians x $7</w:t>
      </w:r>
      <w:r w:rsidR="007E683C">
        <w:rPr>
          <w:rFonts w:eastAsia="Calibri"/>
        </w:rPr>
        <w:t>58</w:t>
      </w:r>
      <w:r w:rsidRPr="000709BE" w:rsidR="000709BE">
        <w:rPr>
          <w:rFonts w:eastAsia="Calibri"/>
        </w:rPr>
        <w:t>) to a maximum of $40,</w:t>
      </w:r>
      <w:r w:rsidR="007A590A">
        <w:rPr>
          <w:rFonts w:eastAsia="Calibri"/>
        </w:rPr>
        <w:t>372,</w:t>
      </w:r>
      <w:r w:rsidR="0065765D">
        <w:rPr>
          <w:rFonts w:eastAsia="Calibri"/>
        </w:rPr>
        <w:t>673</w:t>
      </w:r>
      <w:r w:rsidRPr="000709BE" w:rsidR="000709BE">
        <w:rPr>
          <w:rFonts w:eastAsia="Calibri"/>
        </w:rPr>
        <w:t xml:space="preserve"> (2</w:t>
      </w:r>
      <w:r w:rsidR="00AA4839">
        <w:rPr>
          <w:rFonts w:eastAsia="Calibri"/>
        </w:rPr>
        <w:t>8,252</w:t>
      </w:r>
      <w:r w:rsidRPr="000709BE" w:rsidR="000709BE">
        <w:rPr>
          <w:rFonts w:eastAsia="Calibri"/>
        </w:rPr>
        <w:t xml:space="preserve"> clinicians x $1,</w:t>
      </w:r>
      <w:r w:rsidR="00AA4839">
        <w:rPr>
          <w:rFonts w:eastAsia="Calibri"/>
        </w:rPr>
        <w:t>429</w:t>
      </w:r>
      <w:r w:rsidRPr="000709BE" w:rsidR="000709BE">
        <w:rPr>
          <w:rFonts w:eastAsia="Calibri"/>
        </w:rPr>
        <w:t>)</w:t>
      </w:r>
      <w:r w:rsidR="00B17713">
        <w:rPr>
          <w:rFonts w:eastAsia="Calibri"/>
        </w:rPr>
        <w:t>.</w:t>
      </w:r>
    </w:p>
    <w:p w:rsidR="00AC53AE" w:rsidP="00730BEF" w:rsidRDefault="00AC53AE" w14:paraId="514BD595" w14:textId="503FC34B">
      <w:pPr>
        <w:rPr>
          <w:rFonts w:eastAsia="Calibri"/>
        </w:rPr>
      </w:pPr>
      <w:r>
        <w:rPr>
          <w:rFonts w:eastAsia="Calibri"/>
        </w:rPr>
        <w:t>F</w:t>
      </w:r>
      <w:r w:rsidRPr="00871E51">
        <w:rPr>
          <w:rFonts w:eastAsia="Calibri"/>
        </w:rPr>
        <w:t>or purposes of calculating total burden associated with the Claims collection type for the CY 2023 MIPS performance period/2025 MIPS payment year</w:t>
      </w:r>
      <w:r>
        <w:rPr>
          <w:rFonts w:eastAsia="Calibri"/>
        </w:rPr>
        <w:t>,</w:t>
      </w:r>
      <w:r w:rsidRPr="00871E51">
        <w:rPr>
          <w:rFonts w:eastAsia="Calibri"/>
        </w:rPr>
        <w:t xml:space="preserve"> only the maximum burden is used. The decrease i</w:t>
      </w:r>
      <w:r>
        <w:rPr>
          <w:rFonts w:eastAsia="Calibri"/>
        </w:rPr>
        <w:t>n</w:t>
      </w:r>
      <w:r w:rsidRPr="00871E51">
        <w:rPr>
          <w:rFonts w:eastAsia="Calibri"/>
        </w:rPr>
        <w:t xml:space="preserve"> the number of annual respondents results in an estimated total annual time</w:t>
      </w:r>
      <w:r>
        <w:rPr>
          <w:rFonts w:eastAsia="Calibri"/>
        </w:rPr>
        <w:t xml:space="preserve"> </w:t>
      </w:r>
      <w:r w:rsidRPr="00871E51">
        <w:rPr>
          <w:rFonts w:eastAsia="Calibri"/>
        </w:rPr>
        <w:t>of 361,06</w:t>
      </w:r>
      <w:r w:rsidR="002C3145">
        <w:rPr>
          <w:rFonts w:eastAsia="Calibri"/>
        </w:rPr>
        <w:t>3</w:t>
      </w:r>
      <w:r>
        <w:rPr>
          <w:rFonts w:eastAsia="Calibri"/>
        </w:rPr>
        <w:t xml:space="preserve"> hours</w:t>
      </w:r>
      <w:r w:rsidRPr="00871E51">
        <w:rPr>
          <w:rFonts w:eastAsia="Calibri"/>
        </w:rPr>
        <w:t xml:space="preserve"> (14.2 hr x 25,427 clinicians</w:t>
      </w:r>
      <w:r>
        <w:rPr>
          <w:rFonts w:eastAsia="Calibri"/>
        </w:rPr>
        <w:t>)</w:t>
      </w:r>
      <w:r w:rsidRPr="00871E51">
        <w:rPr>
          <w:rFonts w:eastAsia="Calibri"/>
        </w:rPr>
        <w:t xml:space="preserve"> for the CY 2023 MIPS performance period/2025 MIPS payment year.  Using the currently approved unchanged estimate for cost per respondent, the total annual cost for the CY 2023 MIPS performance period/2025 MIPS payment year is $36,</w:t>
      </w:r>
      <w:r>
        <w:rPr>
          <w:rFonts w:eastAsia="Calibri"/>
        </w:rPr>
        <w:t>335,</w:t>
      </w:r>
      <w:r w:rsidR="00B375A5">
        <w:rPr>
          <w:rFonts w:eastAsia="Calibri"/>
        </w:rPr>
        <w:t>692</w:t>
      </w:r>
      <w:r w:rsidRPr="00871E51">
        <w:rPr>
          <w:rFonts w:eastAsia="Calibri"/>
        </w:rPr>
        <w:t xml:space="preserve"> (25,427 clinicians x $1,42</w:t>
      </w:r>
      <w:r>
        <w:rPr>
          <w:rFonts w:eastAsia="Calibri"/>
        </w:rPr>
        <w:t>9</w:t>
      </w:r>
      <w:r w:rsidR="0065765D">
        <w:rPr>
          <w:rFonts w:eastAsia="Calibri"/>
        </w:rPr>
        <w:t xml:space="preserve"> </w:t>
      </w:r>
      <w:r w:rsidRPr="00871E51">
        <w:rPr>
          <w:rFonts w:eastAsia="Calibri"/>
        </w:rPr>
        <w:t xml:space="preserve">per respondent).  </w:t>
      </w:r>
    </w:p>
    <w:p w:rsidRPr="00942FC4" w:rsidR="00942FC4" w:rsidP="00730BEF" w:rsidRDefault="00942FC4" w14:paraId="31175B28" w14:textId="04D64F13">
      <w:pPr>
        <w:rPr>
          <w:rFonts w:eastAsia="Calibri"/>
        </w:rPr>
      </w:pPr>
      <w:r w:rsidRPr="00942FC4">
        <w:rPr>
          <w:rFonts w:eastAsia="Calibri"/>
        </w:rPr>
        <w:t xml:space="preserve">Table </w:t>
      </w:r>
      <w:r>
        <w:rPr>
          <w:rFonts w:eastAsia="Calibri"/>
        </w:rPr>
        <w:t>10</w:t>
      </w:r>
      <w:r w:rsidRPr="00942FC4">
        <w:rPr>
          <w:rFonts w:eastAsia="Calibri"/>
        </w:rPr>
        <w:t xml:space="preserve"> summarizes the range of total annual burden associated with clinicians submitting quality data via Medicare Part B claims</w:t>
      </w:r>
      <w:r w:rsidR="00E961D3">
        <w:rPr>
          <w:rFonts w:eastAsia="Calibri"/>
        </w:rPr>
        <w:t xml:space="preserve"> for both </w:t>
      </w:r>
      <w:r w:rsidRPr="00321200" w:rsidR="00321200">
        <w:rPr>
          <w:rFonts w:eastAsia="Calibri"/>
        </w:rPr>
        <w:t>the CY 2022 and 2023 MIPS performance periods/2024 and 2025 MIPS payment years</w:t>
      </w:r>
      <w:r w:rsidRPr="00942FC4">
        <w:rPr>
          <w:rFonts w:eastAsia="Calibri"/>
        </w:rPr>
        <w:t xml:space="preserve">.  </w:t>
      </w:r>
    </w:p>
    <w:p w:rsidRPr="00732012" w:rsidR="00C351ED" w:rsidP="00A43641" w:rsidRDefault="00C351ED" w14:paraId="4A56D872" w14:textId="1C2C5230">
      <w:pPr>
        <w:keepLines/>
        <w:spacing w:after="0"/>
        <w:jc w:val="center"/>
        <w:rPr>
          <w:b/>
          <w:bCs/>
        </w:rPr>
      </w:pPr>
      <w:r w:rsidRPr="00C47150">
        <w:rPr>
          <w:b/>
          <w:bCs/>
        </w:rPr>
        <w:t xml:space="preserve">TABLE </w:t>
      </w:r>
      <w:r w:rsidR="00B3371F">
        <w:rPr>
          <w:b/>
          <w:bCs/>
        </w:rPr>
        <w:t>10</w:t>
      </w:r>
      <w:r w:rsidRPr="00C47150">
        <w:rPr>
          <w:b/>
          <w:bCs/>
        </w:rPr>
        <w:t xml:space="preserve">: </w:t>
      </w:r>
      <w:r w:rsidR="001B3AA6">
        <w:rPr>
          <w:b/>
          <w:bCs/>
        </w:rPr>
        <w:t xml:space="preserve">Estimated </w:t>
      </w:r>
      <w:r w:rsidRPr="00732012">
        <w:rPr>
          <w:b/>
          <w:bCs/>
        </w:rPr>
        <w:t xml:space="preserve">Burden for Quality Performance Category: </w:t>
      </w:r>
      <w:r w:rsidR="00334306">
        <w:rPr>
          <w:b/>
          <w:bCs/>
        </w:rPr>
        <w:br/>
      </w:r>
      <w:r w:rsidRPr="00732012">
        <w:rPr>
          <w:b/>
          <w:bCs/>
        </w:rPr>
        <w:t>Clinicians Using the Claims Collection Type</w:t>
      </w:r>
    </w:p>
    <w:tbl>
      <w:tblPr>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5"/>
        <w:gridCol w:w="1620"/>
        <w:gridCol w:w="1440"/>
        <w:gridCol w:w="2070"/>
        <w:gridCol w:w="2070"/>
      </w:tblGrid>
      <w:tr w:rsidRPr="00732012" w:rsidR="00C15DF2" w:rsidTr="00FD01F5" w14:paraId="654BD251" w14:textId="73ABC69B">
        <w:trPr>
          <w:cantSplit/>
          <w:trHeight w:val="530"/>
          <w:tblHeader/>
          <w:jc w:val="center"/>
        </w:trPr>
        <w:tc>
          <w:tcPr>
            <w:tcW w:w="3055" w:type="dxa"/>
            <w:shd w:val="clear" w:color="auto" w:fill="auto"/>
            <w:vAlign w:val="center"/>
            <w:hideMark/>
          </w:tcPr>
          <w:p w:rsidRPr="00C351ED" w:rsidR="00C15DF2" w:rsidP="00A43641" w:rsidRDefault="00C15DF2" w14:paraId="00BA7BA3" w14:textId="69830F03">
            <w:pPr>
              <w:keepLines/>
              <w:spacing w:after="0"/>
              <w:rPr>
                <w:b/>
                <w:sz w:val="20"/>
                <w:szCs w:val="20"/>
              </w:rPr>
            </w:pPr>
            <w:r w:rsidRPr="00732012">
              <w:rPr>
                <w:sz w:val="20"/>
                <w:szCs w:val="20"/>
              </w:rPr>
              <w:t> </w:t>
            </w:r>
            <w:r w:rsidRPr="00C351ED">
              <w:rPr>
                <w:b/>
                <w:sz w:val="20"/>
                <w:szCs w:val="20"/>
              </w:rPr>
              <w:t>Burden and Respondent Descriptions</w:t>
            </w:r>
          </w:p>
        </w:tc>
        <w:tc>
          <w:tcPr>
            <w:tcW w:w="1620" w:type="dxa"/>
            <w:shd w:val="clear" w:color="auto" w:fill="auto"/>
            <w:vAlign w:val="center"/>
            <w:hideMark/>
          </w:tcPr>
          <w:p w:rsidRPr="00732012" w:rsidR="00C15DF2" w:rsidP="00A43641" w:rsidRDefault="00C15DF2" w14:paraId="0D25D71D" w14:textId="70BFCA6D">
            <w:pPr>
              <w:keepLines/>
              <w:spacing w:after="0"/>
              <w:rPr>
                <w:b/>
                <w:bCs/>
                <w:sz w:val="20"/>
                <w:szCs w:val="20"/>
              </w:rPr>
            </w:pPr>
            <w:r w:rsidRPr="00732012">
              <w:rPr>
                <w:b/>
                <w:bCs/>
                <w:sz w:val="20"/>
                <w:szCs w:val="20"/>
              </w:rPr>
              <w:t>Minimum Burden</w:t>
            </w:r>
            <w:r w:rsidR="00664592">
              <w:rPr>
                <w:b/>
                <w:bCs/>
                <w:sz w:val="20"/>
                <w:szCs w:val="20"/>
              </w:rPr>
              <w:t xml:space="preserve"> Estimate</w:t>
            </w:r>
          </w:p>
        </w:tc>
        <w:tc>
          <w:tcPr>
            <w:tcW w:w="1440" w:type="dxa"/>
            <w:shd w:val="clear" w:color="auto" w:fill="auto"/>
            <w:vAlign w:val="center"/>
            <w:hideMark/>
          </w:tcPr>
          <w:p w:rsidRPr="00732012" w:rsidR="00C15DF2" w:rsidP="00A43641" w:rsidRDefault="00C15DF2" w14:paraId="7FBA1E2B" w14:textId="574B0D2F">
            <w:pPr>
              <w:keepLines/>
              <w:spacing w:after="0"/>
              <w:rPr>
                <w:b/>
                <w:bCs/>
                <w:sz w:val="20"/>
                <w:szCs w:val="20"/>
              </w:rPr>
            </w:pPr>
            <w:r w:rsidRPr="00732012">
              <w:rPr>
                <w:b/>
                <w:bCs/>
                <w:sz w:val="20"/>
                <w:szCs w:val="20"/>
              </w:rPr>
              <w:t>Median Burden</w:t>
            </w:r>
            <w:r w:rsidR="00664592">
              <w:rPr>
                <w:b/>
                <w:bCs/>
                <w:sz w:val="20"/>
                <w:szCs w:val="20"/>
              </w:rPr>
              <w:t xml:space="preserve"> Estimate</w:t>
            </w:r>
          </w:p>
        </w:tc>
        <w:tc>
          <w:tcPr>
            <w:tcW w:w="2070" w:type="dxa"/>
            <w:shd w:val="clear" w:color="auto" w:fill="auto"/>
            <w:vAlign w:val="center"/>
            <w:hideMark/>
          </w:tcPr>
          <w:p w:rsidRPr="00732012" w:rsidR="00C15DF2" w:rsidP="00A43641" w:rsidRDefault="00C15DF2" w14:paraId="22244A87" w14:textId="02AFDA6A">
            <w:pPr>
              <w:keepLines/>
              <w:spacing w:after="0"/>
              <w:rPr>
                <w:b/>
                <w:bCs/>
                <w:sz w:val="20"/>
                <w:szCs w:val="20"/>
              </w:rPr>
            </w:pPr>
            <w:r w:rsidRPr="00732012">
              <w:rPr>
                <w:b/>
                <w:bCs/>
                <w:sz w:val="20"/>
                <w:szCs w:val="20"/>
              </w:rPr>
              <w:t>Maximum Burden Estimate</w:t>
            </w:r>
            <w:r w:rsidR="00B44900">
              <w:rPr>
                <w:b/>
                <w:bCs/>
                <w:sz w:val="20"/>
                <w:szCs w:val="20"/>
              </w:rPr>
              <w:t xml:space="preserve"> (2022 Performance Period)</w:t>
            </w:r>
          </w:p>
        </w:tc>
        <w:tc>
          <w:tcPr>
            <w:tcW w:w="2070" w:type="dxa"/>
          </w:tcPr>
          <w:p w:rsidRPr="00732012" w:rsidR="00C15DF2" w:rsidP="00A43641" w:rsidRDefault="00B44900" w14:paraId="1FEF145C" w14:textId="32EA96A3">
            <w:pPr>
              <w:keepLines/>
              <w:spacing w:after="0"/>
              <w:rPr>
                <w:b/>
                <w:bCs/>
                <w:sz w:val="20"/>
                <w:szCs w:val="20"/>
              </w:rPr>
            </w:pPr>
            <w:r w:rsidRPr="00732012">
              <w:rPr>
                <w:b/>
                <w:bCs/>
                <w:sz w:val="20"/>
                <w:szCs w:val="20"/>
              </w:rPr>
              <w:t>Maximum Burden Estimate</w:t>
            </w:r>
            <w:r>
              <w:rPr>
                <w:b/>
                <w:bCs/>
                <w:sz w:val="20"/>
                <w:szCs w:val="20"/>
              </w:rPr>
              <w:t xml:space="preserve"> (2023 Performance Period)</w:t>
            </w:r>
          </w:p>
        </w:tc>
      </w:tr>
      <w:tr w:rsidRPr="00732012" w:rsidR="00B26904" w:rsidTr="00FD01F5" w14:paraId="1AA9F1F7" w14:textId="34A3CAC7">
        <w:trPr>
          <w:cantSplit/>
          <w:trHeight w:val="315"/>
          <w:jc w:val="center"/>
        </w:trPr>
        <w:tc>
          <w:tcPr>
            <w:tcW w:w="3055" w:type="dxa"/>
            <w:tcBorders>
              <w:top w:val="single" w:color="auto" w:sz="4" w:space="0"/>
              <w:left w:val="single" w:color="auto" w:sz="4" w:space="0"/>
              <w:bottom w:val="single" w:color="auto" w:sz="4" w:space="0"/>
              <w:right w:val="single" w:color="auto" w:sz="4" w:space="0"/>
            </w:tcBorders>
            <w:shd w:val="clear" w:color="auto" w:fill="auto"/>
            <w:hideMark/>
          </w:tcPr>
          <w:p w:rsidRPr="00732012" w:rsidR="00B26904" w:rsidP="00B26904" w:rsidRDefault="00B26904" w14:paraId="28D04CE3" w14:textId="77777777">
            <w:pPr>
              <w:keepLines/>
              <w:spacing w:after="0"/>
              <w:rPr>
                <w:sz w:val="20"/>
                <w:szCs w:val="20"/>
              </w:rPr>
            </w:pPr>
            <w:r w:rsidRPr="00732012">
              <w:rPr>
                <w:sz w:val="20"/>
                <w:szCs w:val="20"/>
              </w:rPr>
              <w:t># of Clinicians (a)</w:t>
            </w:r>
          </w:p>
        </w:tc>
        <w:tc>
          <w:tcPr>
            <w:tcW w:w="1620" w:type="dxa"/>
            <w:tcBorders>
              <w:top w:val="single" w:color="auto" w:sz="4" w:space="0"/>
              <w:left w:val="single" w:color="auto" w:sz="4" w:space="0"/>
              <w:bottom w:val="single" w:color="auto" w:sz="4" w:space="0"/>
              <w:right w:val="single" w:color="auto" w:sz="4" w:space="0"/>
            </w:tcBorders>
            <w:shd w:val="clear" w:color="auto" w:fill="auto"/>
            <w:noWrap/>
          </w:tcPr>
          <w:p w:rsidRPr="00E538DA" w:rsidR="00B26904" w:rsidP="00B26904" w:rsidRDefault="00B26904" w14:paraId="5A2263AD" w14:textId="2E23C945">
            <w:pPr>
              <w:keepLines/>
              <w:spacing w:after="0"/>
              <w:rPr>
                <w:sz w:val="20"/>
                <w:szCs w:val="20"/>
              </w:rPr>
            </w:pPr>
            <w:r w:rsidRPr="00871E51">
              <w:rPr>
                <w:rFonts w:eastAsia="Calibri"/>
                <w:sz w:val="20"/>
                <w:szCs w:val="20"/>
              </w:rPr>
              <w:t>28,252</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E538DA" w:rsidR="00B26904" w:rsidP="00B26904" w:rsidRDefault="00B26904" w14:paraId="7456BB10" w14:textId="2DED390E">
            <w:pPr>
              <w:keepLines/>
              <w:spacing w:after="0"/>
              <w:rPr>
                <w:sz w:val="20"/>
                <w:szCs w:val="20"/>
              </w:rPr>
            </w:pPr>
            <w:r w:rsidRPr="00871E51">
              <w:rPr>
                <w:rFonts w:eastAsia="Calibri"/>
                <w:sz w:val="20"/>
                <w:szCs w:val="20"/>
              </w:rPr>
              <w:t>28,252</w:t>
            </w:r>
          </w:p>
        </w:tc>
        <w:tc>
          <w:tcPr>
            <w:tcW w:w="2070" w:type="dxa"/>
            <w:tcBorders>
              <w:top w:val="single" w:color="auto" w:sz="4" w:space="0"/>
              <w:left w:val="single" w:color="auto" w:sz="4" w:space="0"/>
              <w:bottom w:val="single" w:color="auto" w:sz="4" w:space="0"/>
              <w:right w:val="single" w:color="auto" w:sz="4" w:space="0"/>
            </w:tcBorders>
            <w:shd w:val="clear" w:color="auto" w:fill="auto"/>
            <w:noWrap/>
          </w:tcPr>
          <w:p w:rsidRPr="00E538DA" w:rsidR="00B26904" w:rsidP="00B26904" w:rsidRDefault="00B26904" w14:paraId="3E533F23" w14:textId="00B29187">
            <w:pPr>
              <w:keepLines/>
              <w:spacing w:after="0"/>
              <w:rPr>
                <w:sz w:val="20"/>
                <w:szCs w:val="20"/>
              </w:rPr>
            </w:pPr>
            <w:r w:rsidRPr="00871E51">
              <w:rPr>
                <w:rFonts w:eastAsia="Calibri"/>
                <w:sz w:val="20"/>
                <w:szCs w:val="20"/>
              </w:rPr>
              <w:t>28,252</w:t>
            </w:r>
          </w:p>
        </w:tc>
        <w:tc>
          <w:tcPr>
            <w:tcW w:w="2070" w:type="dxa"/>
            <w:tcBorders>
              <w:top w:val="single" w:color="auto" w:sz="4" w:space="0"/>
              <w:left w:val="single" w:color="auto" w:sz="4" w:space="0"/>
              <w:bottom w:val="single" w:color="auto" w:sz="4" w:space="0"/>
              <w:right w:val="single" w:color="auto" w:sz="4" w:space="0"/>
            </w:tcBorders>
          </w:tcPr>
          <w:p w:rsidRPr="00AE480E" w:rsidR="00B26904" w:rsidP="00B26904" w:rsidRDefault="00B26904" w14:paraId="0AA7079E" w14:textId="1E78C281">
            <w:pPr>
              <w:keepLines/>
              <w:spacing w:after="0"/>
              <w:rPr>
                <w:sz w:val="20"/>
              </w:rPr>
            </w:pPr>
            <w:r w:rsidRPr="00871E51">
              <w:rPr>
                <w:rFonts w:eastAsia="Calibri"/>
                <w:sz w:val="20"/>
                <w:szCs w:val="20"/>
              </w:rPr>
              <w:t>25,427</w:t>
            </w:r>
          </w:p>
        </w:tc>
      </w:tr>
      <w:tr w:rsidRPr="00732012" w:rsidR="00591967" w:rsidTr="00FD01F5" w14:paraId="36D8AB84" w14:textId="2D91D0A0">
        <w:trPr>
          <w:cantSplit/>
          <w:trHeight w:val="358"/>
          <w:jc w:val="center"/>
        </w:trPr>
        <w:tc>
          <w:tcPr>
            <w:tcW w:w="3055" w:type="dxa"/>
            <w:shd w:val="clear" w:color="auto" w:fill="auto"/>
            <w:hideMark/>
          </w:tcPr>
          <w:p w:rsidRPr="00732012" w:rsidR="00591967" w:rsidP="00591967" w:rsidRDefault="00591967" w14:paraId="04B458D1" w14:textId="65217394">
            <w:pPr>
              <w:keepLines/>
              <w:spacing w:after="0"/>
              <w:rPr>
                <w:sz w:val="20"/>
                <w:szCs w:val="20"/>
              </w:rPr>
            </w:pPr>
            <w:r w:rsidRPr="00732012">
              <w:rPr>
                <w:sz w:val="20"/>
                <w:szCs w:val="20"/>
              </w:rPr>
              <w:t>Hours Per Clinician to Submit Quality Data (b)</w:t>
            </w:r>
          </w:p>
        </w:tc>
        <w:tc>
          <w:tcPr>
            <w:tcW w:w="1620" w:type="dxa"/>
            <w:shd w:val="clear" w:color="auto" w:fill="auto"/>
            <w:hideMark/>
          </w:tcPr>
          <w:p w:rsidRPr="00732012" w:rsidR="00591967" w:rsidP="00591967" w:rsidRDefault="00591967" w14:paraId="15BFF35D" w14:textId="5DDDFCEB">
            <w:pPr>
              <w:keepLines/>
              <w:spacing w:after="0"/>
              <w:rPr>
                <w:sz w:val="20"/>
                <w:szCs w:val="20"/>
              </w:rPr>
            </w:pPr>
            <w:r w:rsidRPr="003428D4">
              <w:rPr>
                <w:rFonts w:eastAsia="Calibri"/>
                <w:sz w:val="20"/>
                <w:szCs w:val="20"/>
              </w:rPr>
              <w:t>0.15</w:t>
            </w:r>
          </w:p>
        </w:tc>
        <w:tc>
          <w:tcPr>
            <w:tcW w:w="1440" w:type="dxa"/>
            <w:shd w:val="clear" w:color="auto" w:fill="auto"/>
            <w:hideMark/>
          </w:tcPr>
          <w:p w:rsidRPr="00732012" w:rsidR="00591967" w:rsidP="00591967" w:rsidRDefault="00591967" w14:paraId="7FE7FB6A" w14:textId="39FD400E">
            <w:pPr>
              <w:keepLines/>
              <w:spacing w:after="0"/>
              <w:rPr>
                <w:sz w:val="20"/>
                <w:szCs w:val="20"/>
              </w:rPr>
            </w:pPr>
            <w:r w:rsidRPr="003428D4">
              <w:rPr>
                <w:rFonts w:eastAsia="Calibri"/>
                <w:sz w:val="20"/>
                <w:szCs w:val="20"/>
              </w:rPr>
              <w:t>1.05</w:t>
            </w:r>
          </w:p>
        </w:tc>
        <w:tc>
          <w:tcPr>
            <w:tcW w:w="2070" w:type="dxa"/>
            <w:shd w:val="clear" w:color="auto" w:fill="auto"/>
            <w:hideMark/>
          </w:tcPr>
          <w:p w:rsidRPr="00732012" w:rsidR="00591967" w:rsidP="00591967" w:rsidRDefault="00591967" w14:paraId="01A52066" w14:textId="66B8AA3E">
            <w:pPr>
              <w:keepLines/>
              <w:spacing w:after="0"/>
              <w:rPr>
                <w:sz w:val="20"/>
                <w:szCs w:val="20"/>
              </w:rPr>
            </w:pPr>
            <w:r w:rsidRPr="003428D4">
              <w:rPr>
                <w:rFonts w:eastAsia="Calibri"/>
                <w:sz w:val="20"/>
                <w:szCs w:val="20"/>
              </w:rPr>
              <w:t>7.2</w:t>
            </w:r>
          </w:p>
        </w:tc>
        <w:tc>
          <w:tcPr>
            <w:tcW w:w="2070" w:type="dxa"/>
          </w:tcPr>
          <w:p w:rsidRPr="003428D4" w:rsidR="00591967" w:rsidP="00591967" w:rsidRDefault="00591967" w14:paraId="4DFD555A" w14:textId="43A35236">
            <w:pPr>
              <w:keepLines/>
              <w:spacing w:after="0"/>
              <w:rPr>
                <w:rFonts w:eastAsia="Calibri"/>
                <w:sz w:val="20"/>
                <w:szCs w:val="20"/>
              </w:rPr>
            </w:pPr>
            <w:r w:rsidRPr="00871E51">
              <w:rPr>
                <w:rFonts w:eastAsia="Calibri"/>
                <w:sz w:val="20"/>
                <w:szCs w:val="20"/>
              </w:rPr>
              <w:t>7.2</w:t>
            </w:r>
          </w:p>
        </w:tc>
      </w:tr>
      <w:tr w:rsidRPr="00732012" w:rsidR="00591967" w:rsidTr="00FD01F5" w14:paraId="2BC8F339" w14:textId="47AD0FE2">
        <w:trPr>
          <w:cantSplit/>
          <w:trHeight w:val="525"/>
          <w:jc w:val="center"/>
        </w:trPr>
        <w:tc>
          <w:tcPr>
            <w:tcW w:w="3055" w:type="dxa"/>
            <w:shd w:val="clear" w:color="auto" w:fill="auto"/>
            <w:hideMark/>
          </w:tcPr>
          <w:p w:rsidRPr="00732012" w:rsidR="00591967" w:rsidP="00591967" w:rsidRDefault="00591967" w14:paraId="3138C537" w14:textId="4D4212E7">
            <w:pPr>
              <w:keepLines/>
              <w:spacing w:after="0"/>
              <w:rPr>
                <w:sz w:val="20"/>
                <w:szCs w:val="20"/>
              </w:rPr>
            </w:pPr>
            <w:r w:rsidRPr="00732012">
              <w:rPr>
                <w:sz w:val="20"/>
                <w:szCs w:val="20"/>
              </w:rPr>
              <w:t xml:space="preserve"># of Hours </w:t>
            </w:r>
            <w:r>
              <w:rPr>
                <w:sz w:val="20"/>
                <w:szCs w:val="20"/>
              </w:rPr>
              <w:t>Medical and health services manager</w:t>
            </w:r>
            <w:r w:rsidRPr="00732012">
              <w:rPr>
                <w:sz w:val="20"/>
                <w:szCs w:val="20"/>
              </w:rPr>
              <w:t xml:space="preserve"> Review Measure Specifications (c)</w:t>
            </w:r>
          </w:p>
        </w:tc>
        <w:tc>
          <w:tcPr>
            <w:tcW w:w="1620" w:type="dxa"/>
            <w:shd w:val="clear" w:color="auto" w:fill="auto"/>
            <w:hideMark/>
          </w:tcPr>
          <w:p w:rsidRPr="00732012" w:rsidR="00591967" w:rsidP="00591967" w:rsidRDefault="00591967" w14:paraId="69F2A140" w14:textId="11F401CF">
            <w:pPr>
              <w:keepLines/>
              <w:spacing w:after="0"/>
              <w:rPr>
                <w:sz w:val="20"/>
                <w:szCs w:val="20"/>
              </w:rPr>
            </w:pPr>
            <w:r w:rsidRPr="003428D4">
              <w:rPr>
                <w:rFonts w:eastAsia="Calibri"/>
                <w:sz w:val="20"/>
                <w:szCs w:val="20"/>
              </w:rPr>
              <w:t>3</w:t>
            </w:r>
          </w:p>
        </w:tc>
        <w:tc>
          <w:tcPr>
            <w:tcW w:w="1440" w:type="dxa"/>
            <w:shd w:val="clear" w:color="auto" w:fill="auto"/>
            <w:hideMark/>
          </w:tcPr>
          <w:p w:rsidRPr="00732012" w:rsidR="00591967" w:rsidP="00591967" w:rsidRDefault="00591967" w14:paraId="1C20FF06" w14:textId="740EFAFE">
            <w:pPr>
              <w:keepLines/>
              <w:spacing w:after="0"/>
              <w:rPr>
                <w:sz w:val="20"/>
                <w:szCs w:val="20"/>
              </w:rPr>
            </w:pPr>
            <w:r w:rsidRPr="003428D4">
              <w:rPr>
                <w:rFonts w:eastAsia="Calibri"/>
                <w:sz w:val="20"/>
                <w:szCs w:val="20"/>
              </w:rPr>
              <w:t>3</w:t>
            </w:r>
          </w:p>
        </w:tc>
        <w:tc>
          <w:tcPr>
            <w:tcW w:w="2070" w:type="dxa"/>
            <w:shd w:val="clear" w:color="auto" w:fill="auto"/>
            <w:hideMark/>
          </w:tcPr>
          <w:p w:rsidRPr="00732012" w:rsidR="00591967" w:rsidP="00591967" w:rsidRDefault="00591967" w14:paraId="38E45CCD" w14:textId="40F0C713">
            <w:pPr>
              <w:keepLines/>
              <w:spacing w:after="0"/>
              <w:rPr>
                <w:sz w:val="20"/>
                <w:szCs w:val="20"/>
              </w:rPr>
            </w:pPr>
            <w:r w:rsidRPr="003428D4">
              <w:rPr>
                <w:rFonts w:eastAsia="Calibri"/>
                <w:sz w:val="20"/>
                <w:szCs w:val="20"/>
              </w:rPr>
              <w:t>3</w:t>
            </w:r>
          </w:p>
        </w:tc>
        <w:tc>
          <w:tcPr>
            <w:tcW w:w="2070" w:type="dxa"/>
          </w:tcPr>
          <w:p w:rsidRPr="003428D4" w:rsidR="00591967" w:rsidP="00591967" w:rsidRDefault="00591967" w14:paraId="55473F65" w14:textId="6B95B41C">
            <w:pPr>
              <w:keepLines/>
              <w:spacing w:after="0"/>
              <w:rPr>
                <w:rFonts w:eastAsia="Calibri"/>
                <w:sz w:val="20"/>
                <w:szCs w:val="20"/>
              </w:rPr>
            </w:pPr>
            <w:r w:rsidRPr="00871E51">
              <w:rPr>
                <w:rFonts w:eastAsia="Calibri"/>
                <w:sz w:val="20"/>
                <w:szCs w:val="20"/>
              </w:rPr>
              <w:t>3</w:t>
            </w:r>
          </w:p>
        </w:tc>
      </w:tr>
      <w:tr w:rsidRPr="00732012" w:rsidR="00591967" w:rsidTr="00FD01F5" w14:paraId="507376EA" w14:textId="4F21E1A9">
        <w:trPr>
          <w:cantSplit/>
          <w:trHeight w:val="520"/>
          <w:jc w:val="center"/>
        </w:trPr>
        <w:tc>
          <w:tcPr>
            <w:tcW w:w="3055" w:type="dxa"/>
            <w:shd w:val="clear" w:color="auto" w:fill="auto"/>
            <w:hideMark/>
          </w:tcPr>
          <w:p w:rsidRPr="00732012" w:rsidR="00591967" w:rsidP="00591967" w:rsidRDefault="00591967" w14:paraId="5727A7E0" w14:textId="77777777">
            <w:pPr>
              <w:keepLines/>
              <w:spacing w:after="0"/>
              <w:rPr>
                <w:sz w:val="20"/>
                <w:szCs w:val="20"/>
              </w:rPr>
            </w:pPr>
            <w:r w:rsidRPr="00732012">
              <w:rPr>
                <w:sz w:val="20"/>
                <w:szCs w:val="20"/>
              </w:rPr>
              <w:lastRenderedPageBreak/>
              <w:t># of Hours Computer Systems Analyst Review Measure Specifications (d)</w:t>
            </w:r>
          </w:p>
        </w:tc>
        <w:tc>
          <w:tcPr>
            <w:tcW w:w="1620" w:type="dxa"/>
            <w:shd w:val="clear" w:color="auto" w:fill="auto"/>
            <w:hideMark/>
          </w:tcPr>
          <w:p w:rsidRPr="00732012" w:rsidR="00591967" w:rsidP="00591967" w:rsidRDefault="00591967" w14:paraId="276011DF" w14:textId="7FAD17C2">
            <w:pPr>
              <w:keepLines/>
              <w:spacing w:after="0"/>
              <w:rPr>
                <w:sz w:val="20"/>
                <w:szCs w:val="20"/>
              </w:rPr>
            </w:pPr>
            <w:r w:rsidRPr="003428D4">
              <w:rPr>
                <w:rFonts w:eastAsia="Calibri"/>
                <w:sz w:val="20"/>
                <w:szCs w:val="20"/>
              </w:rPr>
              <w:t>1</w:t>
            </w:r>
          </w:p>
        </w:tc>
        <w:tc>
          <w:tcPr>
            <w:tcW w:w="1440" w:type="dxa"/>
            <w:shd w:val="clear" w:color="auto" w:fill="auto"/>
            <w:hideMark/>
          </w:tcPr>
          <w:p w:rsidRPr="00732012" w:rsidR="00591967" w:rsidP="00591967" w:rsidRDefault="00591967" w14:paraId="2B9A5528" w14:textId="68C70BEC">
            <w:pPr>
              <w:keepLines/>
              <w:spacing w:after="0"/>
              <w:rPr>
                <w:sz w:val="20"/>
                <w:szCs w:val="20"/>
              </w:rPr>
            </w:pPr>
            <w:r w:rsidRPr="003428D4">
              <w:rPr>
                <w:rFonts w:eastAsia="Calibri"/>
                <w:sz w:val="20"/>
                <w:szCs w:val="20"/>
              </w:rPr>
              <w:t>1</w:t>
            </w:r>
          </w:p>
        </w:tc>
        <w:tc>
          <w:tcPr>
            <w:tcW w:w="2070" w:type="dxa"/>
            <w:shd w:val="clear" w:color="auto" w:fill="auto"/>
            <w:hideMark/>
          </w:tcPr>
          <w:p w:rsidRPr="00732012" w:rsidR="00591967" w:rsidP="00591967" w:rsidRDefault="00591967" w14:paraId="5AC19B66" w14:textId="14A6E3FE">
            <w:pPr>
              <w:keepLines/>
              <w:spacing w:after="0"/>
              <w:rPr>
                <w:sz w:val="20"/>
                <w:szCs w:val="20"/>
              </w:rPr>
            </w:pPr>
            <w:r w:rsidRPr="003428D4">
              <w:rPr>
                <w:rFonts w:eastAsia="Calibri"/>
                <w:sz w:val="20"/>
                <w:szCs w:val="20"/>
              </w:rPr>
              <w:t>1</w:t>
            </w:r>
          </w:p>
        </w:tc>
        <w:tc>
          <w:tcPr>
            <w:tcW w:w="2070" w:type="dxa"/>
          </w:tcPr>
          <w:p w:rsidRPr="003428D4" w:rsidR="00591967" w:rsidP="00591967" w:rsidRDefault="00591967" w14:paraId="61DB0030" w14:textId="692B95D9">
            <w:pPr>
              <w:keepLines/>
              <w:spacing w:after="0"/>
              <w:rPr>
                <w:rFonts w:eastAsia="Calibri"/>
                <w:sz w:val="20"/>
                <w:szCs w:val="20"/>
              </w:rPr>
            </w:pPr>
            <w:r w:rsidRPr="00871E51">
              <w:rPr>
                <w:rFonts w:eastAsia="Calibri"/>
                <w:sz w:val="20"/>
                <w:szCs w:val="20"/>
              </w:rPr>
              <w:t>1</w:t>
            </w:r>
          </w:p>
        </w:tc>
      </w:tr>
      <w:tr w:rsidRPr="00732012" w:rsidR="00591967" w:rsidTr="00FD01F5" w14:paraId="214A14BE" w14:textId="6C3E7A2E">
        <w:trPr>
          <w:cantSplit/>
          <w:trHeight w:val="525"/>
          <w:jc w:val="center"/>
        </w:trPr>
        <w:tc>
          <w:tcPr>
            <w:tcW w:w="3055" w:type="dxa"/>
            <w:shd w:val="clear" w:color="auto" w:fill="auto"/>
            <w:hideMark/>
          </w:tcPr>
          <w:p w:rsidRPr="00732012" w:rsidR="00591967" w:rsidP="00591967" w:rsidRDefault="00591967" w14:paraId="78A5C732" w14:textId="77777777">
            <w:pPr>
              <w:keepLines/>
              <w:spacing w:after="0"/>
              <w:rPr>
                <w:sz w:val="20"/>
                <w:szCs w:val="20"/>
              </w:rPr>
            </w:pPr>
            <w:r w:rsidRPr="00732012">
              <w:rPr>
                <w:sz w:val="20"/>
                <w:szCs w:val="20"/>
              </w:rPr>
              <w:t xml:space="preserve"> # of Hours LPN Review Measure Specifications (e)</w:t>
            </w:r>
          </w:p>
        </w:tc>
        <w:tc>
          <w:tcPr>
            <w:tcW w:w="1620" w:type="dxa"/>
            <w:shd w:val="clear" w:color="auto" w:fill="auto"/>
            <w:hideMark/>
          </w:tcPr>
          <w:p w:rsidRPr="00732012" w:rsidR="00591967" w:rsidP="00591967" w:rsidRDefault="00591967" w14:paraId="0AD7C15A" w14:textId="525EE490">
            <w:pPr>
              <w:keepLines/>
              <w:spacing w:after="0"/>
              <w:rPr>
                <w:sz w:val="20"/>
                <w:szCs w:val="20"/>
              </w:rPr>
            </w:pPr>
            <w:r w:rsidRPr="003428D4">
              <w:rPr>
                <w:rFonts w:eastAsia="Calibri"/>
                <w:sz w:val="20"/>
                <w:szCs w:val="20"/>
              </w:rPr>
              <w:t>1</w:t>
            </w:r>
          </w:p>
        </w:tc>
        <w:tc>
          <w:tcPr>
            <w:tcW w:w="1440" w:type="dxa"/>
            <w:shd w:val="clear" w:color="auto" w:fill="auto"/>
            <w:hideMark/>
          </w:tcPr>
          <w:p w:rsidRPr="00732012" w:rsidR="00591967" w:rsidP="00591967" w:rsidRDefault="00591967" w14:paraId="12215AA9" w14:textId="6BE2AB23">
            <w:pPr>
              <w:keepLines/>
              <w:spacing w:after="0"/>
              <w:rPr>
                <w:sz w:val="20"/>
                <w:szCs w:val="20"/>
              </w:rPr>
            </w:pPr>
            <w:r w:rsidRPr="003428D4">
              <w:rPr>
                <w:rFonts w:eastAsia="Calibri"/>
                <w:sz w:val="20"/>
                <w:szCs w:val="20"/>
              </w:rPr>
              <w:t>1</w:t>
            </w:r>
          </w:p>
        </w:tc>
        <w:tc>
          <w:tcPr>
            <w:tcW w:w="2070" w:type="dxa"/>
            <w:shd w:val="clear" w:color="auto" w:fill="auto"/>
            <w:hideMark/>
          </w:tcPr>
          <w:p w:rsidRPr="00732012" w:rsidR="00591967" w:rsidP="00591967" w:rsidRDefault="00591967" w14:paraId="249FCB61" w14:textId="4530D517">
            <w:pPr>
              <w:keepLines/>
              <w:spacing w:after="0"/>
              <w:rPr>
                <w:sz w:val="20"/>
                <w:szCs w:val="20"/>
              </w:rPr>
            </w:pPr>
            <w:r w:rsidRPr="003428D4">
              <w:rPr>
                <w:rFonts w:eastAsia="Calibri"/>
                <w:sz w:val="20"/>
                <w:szCs w:val="20"/>
              </w:rPr>
              <w:t>1</w:t>
            </w:r>
          </w:p>
        </w:tc>
        <w:tc>
          <w:tcPr>
            <w:tcW w:w="2070" w:type="dxa"/>
          </w:tcPr>
          <w:p w:rsidRPr="003428D4" w:rsidR="00591967" w:rsidP="00591967" w:rsidRDefault="00591967" w14:paraId="33E22CE0" w14:textId="48209374">
            <w:pPr>
              <w:keepLines/>
              <w:spacing w:after="0"/>
              <w:rPr>
                <w:rFonts w:eastAsia="Calibri"/>
                <w:sz w:val="20"/>
                <w:szCs w:val="20"/>
              </w:rPr>
            </w:pPr>
            <w:r w:rsidRPr="00871E51">
              <w:rPr>
                <w:rFonts w:eastAsia="Calibri"/>
                <w:sz w:val="20"/>
                <w:szCs w:val="20"/>
              </w:rPr>
              <w:t>1</w:t>
            </w:r>
          </w:p>
        </w:tc>
      </w:tr>
      <w:tr w:rsidRPr="00732012" w:rsidR="00591967" w:rsidTr="00FD01F5" w14:paraId="0681AC2D" w14:textId="03B18CE5">
        <w:trPr>
          <w:cantSplit/>
          <w:trHeight w:val="525"/>
          <w:jc w:val="center"/>
        </w:trPr>
        <w:tc>
          <w:tcPr>
            <w:tcW w:w="3055" w:type="dxa"/>
            <w:shd w:val="clear" w:color="auto" w:fill="auto"/>
            <w:hideMark/>
          </w:tcPr>
          <w:p w:rsidRPr="00732012" w:rsidR="00591967" w:rsidP="00591967" w:rsidRDefault="00591967" w14:paraId="320A81F5" w14:textId="77777777">
            <w:pPr>
              <w:keepLines/>
              <w:spacing w:after="0"/>
              <w:rPr>
                <w:sz w:val="20"/>
                <w:szCs w:val="20"/>
              </w:rPr>
            </w:pPr>
            <w:r w:rsidRPr="00732012">
              <w:rPr>
                <w:sz w:val="20"/>
                <w:szCs w:val="20"/>
              </w:rPr>
              <w:t xml:space="preserve"> # of Hours Billing Clerk Review Measure Specifications (f)</w:t>
            </w:r>
          </w:p>
        </w:tc>
        <w:tc>
          <w:tcPr>
            <w:tcW w:w="1620" w:type="dxa"/>
            <w:shd w:val="clear" w:color="auto" w:fill="auto"/>
            <w:hideMark/>
          </w:tcPr>
          <w:p w:rsidRPr="00732012" w:rsidR="00591967" w:rsidP="00591967" w:rsidRDefault="00591967" w14:paraId="5828720A" w14:textId="2775A21D">
            <w:pPr>
              <w:keepLines/>
              <w:spacing w:after="0"/>
              <w:rPr>
                <w:sz w:val="20"/>
                <w:szCs w:val="20"/>
              </w:rPr>
            </w:pPr>
            <w:r w:rsidRPr="003428D4">
              <w:rPr>
                <w:rFonts w:eastAsia="Calibri"/>
                <w:sz w:val="20"/>
                <w:szCs w:val="20"/>
              </w:rPr>
              <w:t>1</w:t>
            </w:r>
          </w:p>
        </w:tc>
        <w:tc>
          <w:tcPr>
            <w:tcW w:w="1440" w:type="dxa"/>
            <w:shd w:val="clear" w:color="auto" w:fill="auto"/>
            <w:hideMark/>
          </w:tcPr>
          <w:p w:rsidRPr="00732012" w:rsidR="00591967" w:rsidP="00591967" w:rsidRDefault="00591967" w14:paraId="22ABC1E7" w14:textId="2C52B7DD">
            <w:pPr>
              <w:keepLines/>
              <w:spacing w:after="0"/>
              <w:rPr>
                <w:sz w:val="20"/>
                <w:szCs w:val="20"/>
              </w:rPr>
            </w:pPr>
            <w:r w:rsidRPr="003428D4">
              <w:rPr>
                <w:rFonts w:eastAsia="Calibri"/>
                <w:sz w:val="20"/>
                <w:szCs w:val="20"/>
              </w:rPr>
              <w:t>1</w:t>
            </w:r>
          </w:p>
        </w:tc>
        <w:tc>
          <w:tcPr>
            <w:tcW w:w="2070" w:type="dxa"/>
            <w:shd w:val="clear" w:color="auto" w:fill="auto"/>
            <w:hideMark/>
          </w:tcPr>
          <w:p w:rsidRPr="00732012" w:rsidR="00591967" w:rsidP="00591967" w:rsidRDefault="00591967" w14:paraId="323A6D59" w14:textId="32963BD6">
            <w:pPr>
              <w:keepLines/>
              <w:spacing w:after="0"/>
              <w:rPr>
                <w:sz w:val="20"/>
                <w:szCs w:val="20"/>
              </w:rPr>
            </w:pPr>
            <w:r w:rsidRPr="003428D4">
              <w:rPr>
                <w:rFonts w:eastAsia="Calibri"/>
                <w:sz w:val="20"/>
                <w:szCs w:val="20"/>
              </w:rPr>
              <w:t>1</w:t>
            </w:r>
          </w:p>
        </w:tc>
        <w:tc>
          <w:tcPr>
            <w:tcW w:w="2070" w:type="dxa"/>
          </w:tcPr>
          <w:p w:rsidRPr="003428D4" w:rsidR="00591967" w:rsidP="00591967" w:rsidRDefault="00591967" w14:paraId="4D76DE7E" w14:textId="24C59904">
            <w:pPr>
              <w:keepLines/>
              <w:spacing w:after="0"/>
              <w:rPr>
                <w:rFonts w:eastAsia="Calibri"/>
                <w:sz w:val="20"/>
                <w:szCs w:val="20"/>
              </w:rPr>
            </w:pPr>
            <w:r w:rsidRPr="00871E51">
              <w:rPr>
                <w:rFonts w:eastAsia="Calibri"/>
                <w:sz w:val="20"/>
                <w:szCs w:val="20"/>
              </w:rPr>
              <w:t>1</w:t>
            </w:r>
          </w:p>
        </w:tc>
      </w:tr>
      <w:tr w:rsidRPr="00732012" w:rsidR="00591967" w:rsidTr="00FD01F5" w14:paraId="289074F4" w14:textId="0A512110">
        <w:trPr>
          <w:cantSplit/>
          <w:trHeight w:val="502"/>
          <w:jc w:val="center"/>
        </w:trPr>
        <w:tc>
          <w:tcPr>
            <w:tcW w:w="3055" w:type="dxa"/>
            <w:shd w:val="clear" w:color="auto" w:fill="auto"/>
            <w:hideMark/>
          </w:tcPr>
          <w:p w:rsidRPr="00732012" w:rsidR="00591967" w:rsidP="00591967" w:rsidRDefault="00591967" w14:paraId="37B700B5" w14:textId="77777777">
            <w:pPr>
              <w:keepLines/>
              <w:spacing w:after="0"/>
              <w:rPr>
                <w:sz w:val="20"/>
                <w:szCs w:val="20"/>
              </w:rPr>
            </w:pPr>
            <w:r w:rsidRPr="00732012">
              <w:rPr>
                <w:sz w:val="20"/>
                <w:szCs w:val="20"/>
              </w:rPr>
              <w:t># of Hours Clinician Review Measure Specifications (g)</w:t>
            </w:r>
          </w:p>
        </w:tc>
        <w:tc>
          <w:tcPr>
            <w:tcW w:w="1620" w:type="dxa"/>
            <w:shd w:val="clear" w:color="auto" w:fill="auto"/>
            <w:hideMark/>
          </w:tcPr>
          <w:p w:rsidRPr="00732012" w:rsidR="00591967" w:rsidP="00591967" w:rsidRDefault="00591967" w14:paraId="02A2E8BD" w14:textId="49337652">
            <w:pPr>
              <w:keepLines/>
              <w:spacing w:after="0"/>
              <w:rPr>
                <w:sz w:val="20"/>
                <w:szCs w:val="20"/>
              </w:rPr>
            </w:pPr>
            <w:r w:rsidRPr="003428D4">
              <w:rPr>
                <w:rFonts w:eastAsia="Calibri"/>
                <w:sz w:val="20"/>
                <w:szCs w:val="20"/>
              </w:rPr>
              <w:t>1</w:t>
            </w:r>
          </w:p>
        </w:tc>
        <w:tc>
          <w:tcPr>
            <w:tcW w:w="1440" w:type="dxa"/>
            <w:shd w:val="clear" w:color="auto" w:fill="auto"/>
            <w:hideMark/>
          </w:tcPr>
          <w:p w:rsidRPr="00732012" w:rsidR="00591967" w:rsidP="00591967" w:rsidRDefault="00591967" w14:paraId="3EC74AFD" w14:textId="31F278A9">
            <w:pPr>
              <w:keepLines/>
              <w:spacing w:after="0"/>
              <w:rPr>
                <w:sz w:val="20"/>
                <w:szCs w:val="20"/>
              </w:rPr>
            </w:pPr>
            <w:r w:rsidRPr="003428D4">
              <w:rPr>
                <w:rFonts w:eastAsia="Calibri"/>
                <w:sz w:val="20"/>
                <w:szCs w:val="20"/>
              </w:rPr>
              <w:t>1</w:t>
            </w:r>
          </w:p>
        </w:tc>
        <w:tc>
          <w:tcPr>
            <w:tcW w:w="2070" w:type="dxa"/>
            <w:shd w:val="clear" w:color="auto" w:fill="auto"/>
            <w:hideMark/>
          </w:tcPr>
          <w:p w:rsidRPr="00732012" w:rsidR="00591967" w:rsidP="00591967" w:rsidRDefault="00591967" w14:paraId="7E94ABD1" w14:textId="608F8F06">
            <w:pPr>
              <w:keepLines/>
              <w:spacing w:after="0"/>
              <w:rPr>
                <w:sz w:val="20"/>
                <w:szCs w:val="20"/>
              </w:rPr>
            </w:pPr>
            <w:r w:rsidRPr="003428D4">
              <w:rPr>
                <w:rFonts w:eastAsia="Calibri"/>
                <w:sz w:val="20"/>
                <w:szCs w:val="20"/>
              </w:rPr>
              <w:t>1</w:t>
            </w:r>
          </w:p>
        </w:tc>
        <w:tc>
          <w:tcPr>
            <w:tcW w:w="2070" w:type="dxa"/>
          </w:tcPr>
          <w:p w:rsidRPr="003428D4" w:rsidR="00591967" w:rsidP="00591967" w:rsidRDefault="00591967" w14:paraId="656E219A" w14:textId="4B8BFA0E">
            <w:pPr>
              <w:keepLines/>
              <w:spacing w:after="0"/>
              <w:rPr>
                <w:rFonts w:eastAsia="Calibri"/>
                <w:sz w:val="20"/>
                <w:szCs w:val="20"/>
              </w:rPr>
            </w:pPr>
            <w:r w:rsidRPr="00871E51">
              <w:rPr>
                <w:rFonts w:eastAsia="Calibri"/>
                <w:sz w:val="20"/>
                <w:szCs w:val="20"/>
              </w:rPr>
              <w:t>1</w:t>
            </w:r>
          </w:p>
        </w:tc>
      </w:tr>
      <w:tr w:rsidRPr="00732012" w:rsidR="00591967" w:rsidTr="00FD01F5" w14:paraId="3D37EF86" w14:textId="1BBEC9AA">
        <w:trPr>
          <w:cantSplit/>
          <w:trHeight w:val="525"/>
          <w:jc w:val="center"/>
        </w:trPr>
        <w:tc>
          <w:tcPr>
            <w:tcW w:w="3055" w:type="dxa"/>
            <w:shd w:val="clear" w:color="auto" w:fill="auto"/>
            <w:hideMark/>
          </w:tcPr>
          <w:p w:rsidRPr="00732012" w:rsidR="00591967" w:rsidP="00591967" w:rsidRDefault="00591967" w14:paraId="48E36A37" w14:textId="77777777">
            <w:pPr>
              <w:keepLines/>
              <w:spacing w:after="0"/>
              <w:rPr>
                <w:sz w:val="20"/>
                <w:szCs w:val="20"/>
              </w:rPr>
            </w:pPr>
            <w:r w:rsidRPr="00732012">
              <w:rPr>
                <w:sz w:val="20"/>
                <w:szCs w:val="20"/>
              </w:rPr>
              <w:t>Annual Hours per Clinician (h) = (b)+(c)+(d)+(e)+(f)+(g)</w:t>
            </w:r>
          </w:p>
        </w:tc>
        <w:tc>
          <w:tcPr>
            <w:tcW w:w="1620" w:type="dxa"/>
            <w:shd w:val="clear" w:color="auto" w:fill="auto"/>
            <w:hideMark/>
          </w:tcPr>
          <w:p w:rsidRPr="00732012" w:rsidR="00591967" w:rsidP="00591967" w:rsidRDefault="00591967" w14:paraId="576E94F3" w14:textId="7BA22CC6">
            <w:pPr>
              <w:keepLines/>
              <w:spacing w:after="0"/>
              <w:rPr>
                <w:sz w:val="20"/>
                <w:szCs w:val="20"/>
              </w:rPr>
            </w:pPr>
            <w:r w:rsidRPr="003428D4">
              <w:rPr>
                <w:rFonts w:eastAsia="Calibri"/>
                <w:sz w:val="20"/>
                <w:szCs w:val="20"/>
              </w:rPr>
              <w:t>7.15</w:t>
            </w:r>
          </w:p>
        </w:tc>
        <w:tc>
          <w:tcPr>
            <w:tcW w:w="1440" w:type="dxa"/>
            <w:shd w:val="clear" w:color="auto" w:fill="auto"/>
            <w:hideMark/>
          </w:tcPr>
          <w:p w:rsidRPr="00732012" w:rsidR="00591967" w:rsidP="00591967" w:rsidRDefault="00591967" w14:paraId="4855075E" w14:textId="6E13874E">
            <w:pPr>
              <w:keepLines/>
              <w:spacing w:after="0"/>
              <w:rPr>
                <w:sz w:val="20"/>
                <w:szCs w:val="20"/>
              </w:rPr>
            </w:pPr>
            <w:r w:rsidRPr="003428D4">
              <w:rPr>
                <w:rFonts w:eastAsia="Calibri"/>
                <w:sz w:val="20"/>
                <w:szCs w:val="20"/>
              </w:rPr>
              <w:t>8.05</w:t>
            </w:r>
          </w:p>
        </w:tc>
        <w:tc>
          <w:tcPr>
            <w:tcW w:w="2070" w:type="dxa"/>
            <w:shd w:val="clear" w:color="auto" w:fill="auto"/>
            <w:hideMark/>
          </w:tcPr>
          <w:p w:rsidRPr="00732012" w:rsidR="00591967" w:rsidP="00591967" w:rsidRDefault="00591967" w14:paraId="010879DE" w14:textId="03ED656A">
            <w:pPr>
              <w:keepLines/>
              <w:spacing w:after="0"/>
              <w:rPr>
                <w:sz w:val="20"/>
                <w:szCs w:val="20"/>
              </w:rPr>
            </w:pPr>
            <w:r w:rsidRPr="003428D4">
              <w:rPr>
                <w:rFonts w:eastAsia="Calibri"/>
                <w:sz w:val="20"/>
                <w:szCs w:val="20"/>
              </w:rPr>
              <w:t>14.2</w:t>
            </w:r>
            <w:r w:rsidR="00E26F63">
              <w:rPr>
                <w:rFonts w:eastAsia="Calibri"/>
                <w:sz w:val="20"/>
                <w:szCs w:val="20"/>
              </w:rPr>
              <w:t>*</w:t>
            </w:r>
          </w:p>
        </w:tc>
        <w:tc>
          <w:tcPr>
            <w:tcW w:w="2070" w:type="dxa"/>
          </w:tcPr>
          <w:p w:rsidRPr="003428D4" w:rsidR="00591967" w:rsidP="00591967" w:rsidRDefault="00591967" w14:paraId="014B4FD6" w14:textId="45584B7B">
            <w:pPr>
              <w:keepLines/>
              <w:spacing w:after="0"/>
              <w:rPr>
                <w:rFonts w:eastAsia="Calibri"/>
                <w:sz w:val="20"/>
                <w:szCs w:val="20"/>
              </w:rPr>
            </w:pPr>
            <w:r w:rsidRPr="00871E51">
              <w:rPr>
                <w:rFonts w:eastAsia="Calibri"/>
                <w:sz w:val="20"/>
                <w:szCs w:val="20"/>
              </w:rPr>
              <w:t>14.2</w:t>
            </w:r>
            <w:r w:rsidR="00E26F63">
              <w:rPr>
                <w:rFonts w:eastAsia="Calibri"/>
                <w:sz w:val="20"/>
                <w:szCs w:val="20"/>
              </w:rPr>
              <w:t>*</w:t>
            </w:r>
          </w:p>
        </w:tc>
      </w:tr>
      <w:tr w:rsidRPr="00732012" w:rsidR="00DA40CA" w:rsidTr="00FD01F5" w14:paraId="6D6A47A8" w14:textId="6A17E254">
        <w:trPr>
          <w:cantSplit/>
          <w:trHeight w:val="525"/>
          <w:jc w:val="center"/>
        </w:trPr>
        <w:tc>
          <w:tcPr>
            <w:tcW w:w="3055" w:type="dxa"/>
            <w:shd w:val="clear" w:color="auto" w:fill="E7E6E6" w:themeFill="background2"/>
            <w:hideMark/>
          </w:tcPr>
          <w:p w:rsidRPr="00732012" w:rsidR="006A7BF8" w:rsidP="006A7BF8" w:rsidRDefault="006A7BF8" w14:paraId="25ECB229" w14:textId="695E44B2">
            <w:pPr>
              <w:keepLines/>
              <w:spacing w:after="0"/>
              <w:rPr>
                <w:b/>
                <w:bCs/>
                <w:sz w:val="20"/>
                <w:szCs w:val="20"/>
              </w:rPr>
            </w:pPr>
            <w:r w:rsidRPr="00732012">
              <w:rPr>
                <w:b/>
                <w:bCs/>
                <w:sz w:val="20"/>
                <w:szCs w:val="20"/>
              </w:rPr>
              <w:t>Total Annual Hours (i) = (a)*(h)</w:t>
            </w:r>
          </w:p>
        </w:tc>
        <w:tc>
          <w:tcPr>
            <w:tcW w:w="162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04D97" w:rsidR="006A7BF8" w:rsidP="006A7BF8" w:rsidRDefault="006A7BF8" w14:paraId="047BA2F8" w14:textId="5D858770">
            <w:pPr>
              <w:keepLines/>
              <w:spacing w:after="0"/>
              <w:rPr>
                <w:b/>
                <w:bCs/>
                <w:sz w:val="20"/>
                <w:szCs w:val="20"/>
              </w:rPr>
            </w:pPr>
            <w:r w:rsidRPr="00871E51">
              <w:rPr>
                <w:rFonts w:eastAsia="Calibri"/>
                <w:b/>
                <w:bCs/>
                <w:sz w:val="20"/>
                <w:szCs w:val="20"/>
              </w:rPr>
              <w:t>202,002</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04D97" w:rsidR="006A7BF8" w:rsidP="006A7BF8" w:rsidRDefault="006A7BF8" w14:paraId="1627AFEE" w14:textId="66A9B1A6">
            <w:pPr>
              <w:keepLines/>
              <w:spacing w:after="0"/>
              <w:rPr>
                <w:b/>
                <w:bCs/>
                <w:sz w:val="20"/>
                <w:szCs w:val="20"/>
              </w:rPr>
            </w:pPr>
            <w:r w:rsidRPr="00871E51">
              <w:rPr>
                <w:rFonts w:eastAsia="Calibri"/>
                <w:b/>
                <w:bCs/>
                <w:sz w:val="20"/>
                <w:szCs w:val="20"/>
              </w:rPr>
              <w:t>227,429</w:t>
            </w:r>
          </w:p>
        </w:tc>
        <w:tc>
          <w:tcPr>
            <w:tcW w:w="20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04D97" w:rsidR="006A7BF8" w:rsidP="006A7BF8" w:rsidRDefault="006A7BF8" w14:paraId="0B94FAE8" w14:textId="17110A12">
            <w:pPr>
              <w:keepLines/>
              <w:spacing w:after="0"/>
              <w:rPr>
                <w:b/>
                <w:bCs/>
                <w:sz w:val="20"/>
                <w:szCs w:val="20"/>
              </w:rPr>
            </w:pPr>
            <w:r w:rsidRPr="00871E51">
              <w:rPr>
                <w:rFonts w:eastAsia="Calibri"/>
                <w:b/>
                <w:bCs/>
                <w:sz w:val="20"/>
                <w:szCs w:val="20"/>
              </w:rPr>
              <w:t>401,178</w:t>
            </w:r>
          </w:p>
        </w:tc>
        <w:tc>
          <w:tcPr>
            <w:tcW w:w="20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7C08AE" w:rsidR="006A7BF8" w:rsidP="006A7BF8" w:rsidRDefault="00CF4734" w14:paraId="315290A6" w14:textId="3933F547">
            <w:pPr>
              <w:keepLines/>
              <w:spacing w:after="0"/>
              <w:rPr>
                <w:rFonts w:eastAsia="Calibri"/>
                <w:b/>
                <w:bCs/>
                <w:sz w:val="20"/>
                <w:szCs w:val="20"/>
              </w:rPr>
            </w:pPr>
            <w:r w:rsidRPr="007C08AE">
              <w:rPr>
                <w:rFonts w:eastAsia="Calibri"/>
                <w:b/>
                <w:bCs/>
                <w:sz w:val="20"/>
                <w:szCs w:val="20"/>
              </w:rPr>
              <w:t>361,06</w:t>
            </w:r>
            <w:r w:rsidRPr="007C08AE" w:rsidR="007F4A74">
              <w:rPr>
                <w:rFonts w:eastAsia="Calibri"/>
                <w:b/>
                <w:bCs/>
                <w:sz w:val="20"/>
                <w:szCs w:val="20"/>
              </w:rPr>
              <w:t>3</w:t>
            </w:r>
          </w:p>
        </w:tc>
      </w:tr>
      <w:tr w:rsidRPr="00732012" w:rsidR="003564CB" w:rsidTr="00FD01F5" w14:paraId="3637C460" w14:textId="2AEC5869">
        <w:trPr>
          <w:cantSplit/>
          <w:trHeight w:val="520"/>
          <w:jc w:val="center"/>
        </w:trPr>
        <w:tc>
          <w:tcPr>
            <w:tcW w:w="3055" w:type="dxa"/>
            <w:shd w:val="clear" w:color="auto" w:fill="auto"/>
            <w:hideMark/>
          </w:tcPr>
          <w:p w:rsidRPr="00B17713" w:rsidR="00641D6E" w:rsidP="00641D6E" w:rsidRDefault="00641D6E" w14:paraId="214BECC6" w14:textId="03BC0313">
            <w:pPr>
              <w:keepLines/>
              <w:spacing w:after="0"/>
              <w:rPr>
                <w:sz w:val="20"/>
                <w:szCs w:val="20"/>
              </w:rPr>
            </w:pPr>
            <w:r w:rsidRPr="00B17713">
              <w:rPr>
                <w:sz w:val="20"/>
                <w:szCs w:val="20"/>
              </w:rPr>
              <w:t>Cost to Submit Quality Data (@ computer systems analyst’s labor rate of $9</w:t>
            </w:r>
            <w:r>
              <w:rPr>
                <w:sz w:val="20"/>
                <w:szCs w:val="20"/>
              </w:rPr>
              <w:t>5.22</w:t>
            </w:r>
            <w:r w:rsidRPr="00B17713">
              <w:rPr>
                <w:sz w:val="20"/>
                <w:szCs w:val="20"/>
              </w:rPr>
              <w:t>/hr @ varying times) (j)</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B17713" w:rsidR="00641D6E" w:rsidP="00641D6E" w:rsidRDefault="00641D6E" w14:paraId="78C71B67" w14:textId="5ECE9BA9">
            <w:pPr>
              <w:keepLines/>
              <w:spacing w:after="0"/>
              <w:rPr>
                <w:sz w:val="20"/>
                <w:szCs w:val="20"/>
              </w:rPr>
            </w:pPr>
            <w:r w:rsidRPr="00871E51">
              <w:rPr>
                <w:rFonts w:eastAsia="Calibri"/>
                <w:sz w:val="20"/>
                <w:szCs w:val="20"/>
              </w:rPr>
              <w:t>$14.28</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17713" w:rsidR="00641D6E" w:rsidP="00641D6E" w:rsidRDefault="00641D6E" w14:paraId="09733675" w14:textId="37367F3B">
            <w:pPr>
              <w:keepLines/>
              <w:spacing w:after="0"/>
              <w:rPr>
                <w:sz w:val="20"/>
                <w:szCs w:val="20"/>
              </w:rPr>
            </w:pPr>
            <w:r w:rsidRPr="00871E51">
              <w:rPr>
                <w:rFonts w:eastAsia="Calibri"/>
                <w:sz w:val="20"/>
                <w:szCs w:val="20"/>
              </w:rPr>
              <w:t>$99.98</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B17713" w:rsidR="00641D6E" w:rsidP="00641D6E" w:rsidRDefault="00641D6E" w14:paraId="23FCD9AF" w14:textId="40BBD64C">
            <w:pPr>
              <w:keepLines/>
              <w:spacing w:after="0"/>
              <w:rPr>
                <w:sz w:val="20"/>
                <w:szCs w:val="20"/>
              </w:rPr>
            </w:pPr>
            <w:r w:rsidRPr="00871E51">
              <w:rPr>
                <w:rFonts w:eastAsia="Calibri"/>
                <w:sz w:val="20"/>
                <w:szCs w:val="20"/>
              </w:rPr>
              <w:t>$685.58</w:t>
            </w:r>
          </w:p>
        </w:tc>
        <w:tc>
          <w:tcPr>
            <w:tcW w:w="2070" w:type="dxa"/>
            <w:tcBorders>
              <w:top w:val="single" w:color="auto" w:sz="4" w:space="0"/>
              <w:left w:val="single" w:color="auto" w:sz="4" w:space="0"/>
              <w:bottom w:val="single" w:color="auto" w:sz="4" w:space="0"/>
              <w:right w:val="single" w:color="auto" w:sz="4" w:space="0"/>
            </w:tcBorders>
          </w:tcPr>
          <w:p w:rsidRPr="00B17713" w:rsidR="00641D6E" w:rsidP="00641D6E" w:rsidRDefault="00641D6E" w14:paraId="48088AFC" w14:textId="4C0B2E9A">
            <w:pPr>
              <w:keepLines/>
              <w:spacing w:after="0"/>
              <w:rPr>
                <w:sz w:val="20"/>
                <w:szCs w:val="20"/>
              </w:rPr>
            </w:pPr>
            <w:r w:rsidRPr="00871E51">
              <w:rPr>
                <w:rFonts w:eastAsia="Calibri"/>
                <w:sz w:val="20"/>
                <w:szCs w:val="20"/>
              </w:rPr>
              <w:t>$685.58</w:t>
            </w:r>
          </w:p>
        </w:tc>
      </w:tr>
      <w:tr w:rsidRPr="00732012" w:rsidR="00775480" w:rsidTr="00FD01F5" w14:paraId="77B72102" w14:textId="400C5969">
        <w:trPr>
          <w:cantSplit/>
          <w:trHeight w:val="520"/>
          <w:jc w:val="center"/>
        </w:trPr>
        <w:tc>
          <w:tcPr>
            <w:tcW w:w="3055" w:type="dxa"/>
            <w:shd w:val="clear" w:color="auto" w:fill="auto"/>
            <w:hideMark/>
          </w:tcPr>
          <w:p w:rsidRPr="00B17713" w:rsidR="00775480" w:rsidP="00775480" w:rsidRDefault="00775480" w14:paraId="14755A63" w14:textId="0118EF9D">
            <w:pPr>
              <w:keepLines/>
              <w:spacing w:after="0"/>
              <w:rPr>
                <w:sz w:val="20"/>
                <w:szCs w:val="20"/>
              </w:rPr>
            </w:pPr>
            <w:r w:rsidRPr="00B17713">
              <w:rPr>
                <w:sz w:val="20"/>
                <w:szCs w:val="20"/>
              </w:rPr>
              <w:t>Cost to Review Measure Specifications (@ medical and health services manager's labor rate of $1</w:t>
            </w:r>
            <w:r>
              <w:rPr>
                <w:sz w:val="20"/>
                <w:szCs w:val="20"/>
              </w:rPr>
              <w:t>14.24</w:t>
            </w:r>
            <w:r w:rsidRPr="00B17713">
              <w:rPr>
                <w:sz w:val="20"/>
                <w:szCs w:val="20"/>
              </w:rPr>
              <w:t>/hr @ 3 hr) (k)</w:t>
            </w:r>
          </w:p>
        </w:tc>
        <w:tc>
          <w:tcPr>
            <w:tcW w:w="1620" w:type="dxa"/>
            <w:shd w:val="clear" w:color="auto" w:fill="auto"/>
          </w:tcPr>
          <w:p w:rsidRPr="00B17713" w:rsidR="00775480" w:rsidP="00775480" w:rsidRDefault="00775480" w14:paraId="751954B0" w14:textId="34AD10E2">
            <w:pPr>
              <w:keepLines/>
              <w:spacing w:after="0"/>
              <w:rPr>
                <w:sz w:val="20"/>
                <w:szCs w:val="20"/>
              </w:rPr>
            </w:pPr>
            <w:r w:rsidRPr="00871E51">
              <w:rPr>
                <w:rFonts w:eastAsia="Calibri"/>
                <w:sz w:val="20"/>
                <w:szCs w:val="20"/>
              </w:rPr>
              <w:t>$342.72</w:t>
            </w:r>
          </w:p>
        </w:tc>
        <w:tc>
          <w:tcPr>
            <w:tcW w:w="1440" w:type="dxa"/>
            <w:shd w:val="clear" w:color="auto" w:fill="auto"/>
          </w:tcPr>
          <w:p w:rsidRPr="00B17713" w:rsidR="00775480" w:rsidP="00775480" w:rsidRDefault="00775480" w14:paraId="67D2E423" w14:textId="6E6D8671">
            <w:pPr>
              <w:keepLines/>
              <w:spacing w:after="0"/>
              <w:rPr>
                <w:sz w:val="20"/>
                <w:szCs w:val="20"/>
              </w:rPr>
            </w:pPr>
            <w:r w:rsidRPr="00871E51">
              <w:rPr>
                <w:rFonts w:eastAsia="Calibri"/>
                <w:sz w:val="20"/>
                <w:szCs w:val="20"/>
              </w:rPr>
              <w:t>$342.72</w:t>
            </w:r>
          </w:p>
        </w:tc>
        <w:tc>
          <w:tcPr>
            <w:tcW w:w="2070" w:type="dxa"/>
            <w:shd w:val="clear" w:color="auto" w:fill="auto"/>
          </w:tcPr>
          <w:p w:rsidRPr="00B17713" w:rsidR="00775480" w:rsidP="00775480" w:rsidRDefault="00775480" w14:paraId="20870AD4" w14:textId="7ACB884F">
            <w:pPr>
              <w:keepLines/>
              <w:spacing w:after="0"/>
              <w:rPr>
                <w:sz w:val="20"/>
                <w:szCs w:val="20"/>
              </w:rPr>
            </w:pPr>
            <w:r w:rsidRPr="00871E51">
              <w:rPr>
                <w:rFonts w:eastAsia="Calibri"/>
                <w:sz w:val="20"/>
                <w:szCs w:val="20"/>
              </w:rPr>
              <w:t>$342.72</w:t>
            </w:r>
          </w:p>
        </w:tc>
        <w:tc>
          <w:tcPr>
            <w:tcW w:w="2070" w:type="dxa"/>
          </w:tcPr>
          <w:p w:rsidRPr="00B17713" w:rsidR="00775480" w:rsidP="00775480" w:rsidRDefault="00775480" w14:paraId="34CEF6AC" w14:textId="482D3A98">
            <w:pPr>
              <w:keepLines/>
              <w:spacing w:after="0"/>
              <w:rPr>
                <w:sz w:val="20"/>
                <w:szCs w:val="20"/>
              </w:rPr>
            </w:pPr>
            <w:r w:rsidRPr="00871E51">
              <w:rPr>
                <w:rFonts w:eastAsia="Calibri"/>
                <w:sz w:val="20"/>
                <w:szCs w:val="20"/>
              </w:rPr>
              <w:t>$342.72</w:t>
            </w:r>
          </w:p>
        </w:tc>
      </w:tr>
      <w:tr w:rsidRPr="00732012" w:rsidR="00BC5BDD" w:rsidTr="00FD01F5" w14:paraId="470510B7" w14:textId="06019229">
        <w:trPr>
          <w:cantSplit/>
          <w:trHeight w:val="520"/>
          <w:jc w:val="center"/>
        </w:trPr>
        <w:tc>
          <w:tcPr>
            <w:tcW w:w="3055" w:type="dxa"/>
            <w:shd w:val="clear" w:color="auto" w:fill="auto"/>
            <w:hideMark/>
          </w:tcPr>
          <w:p w:rsidRPr="00B17713" w:rsidR="00BC5BDD" w:rsidP="00BC5BDD" w:rsidRDefault="00BC5BDD" w14:paraId="477A3A32" w14:textId="6D392C77">
            <w:pPr>
              <w:keepLines/>
              <w:spacing w:after="0"/>
              <w:rPr>
                <w:sz w:val="20"/>
                <w:szCs w:val="20"/>
              </w:rPr>
            </w:pPr>
            <w:r w:rsidRPr="00B17713">
              <w:rPr>
                <w:sz w:val="20"/>
                <w:szCs w:val="20"/>
              </w:rPr>
              <w:t>Cost to Review Measure Specifications (@ computer systems analyst’s labor rate of $9</w:t>
            </w:r>
            <w:r>
              <w:rPr>
                <w:sz w:val="20"/>
                <w:szCs w:val="20"/>
              </w:rPr>
              <w:t>5.22</w:t>
            </w:r>
            <w:r w:rsidRPr="00B17713">
              <w:rPr>
                <w:sz w:val="20"/>
                <w:szCs w:val="20"/>
              </w:rPr>
              <w:t>/hr @ 1 hr) (l)</w:t>
            </w:r>
          </w:p>
        </w:tc>
        <w:tc>
          <w:tcPr>
            <w:tcW w:w="1620" w:type="dxa"/>
            <w:shd w:val="clear" w:color="auto" w:fill="auto"/>
          </w:tcPr>
          <w:p w:rsidRPr="00B17713" w:rsidR="00BC5BDD" w:rsidP="00BC5BDD" w:rsidRDefault="00BC5BDD" w14:paraId="37175C5E" w14:textId="456BD57B">
            <w:pPr>
              <w:keepLines/>
              <w:spacing w:after="0"/>
              <w:rPr>
                <w:sz w:val="20"/>
                <w:szCs w:val="20"/>
              </w:rPr>
            </w:pPr>
            <w:r w:rsidRPr="00871E51">
              <w:rPr>
                <w:rFonts w:eastAsia="Calibri"/>
                <w:sz w:val="20"/>
                <w:szCs w:val="20"/>
              </w:rPr>
              <w:t>$95.22</w:t>
            </w:r>
          </w:p>
        </w:tc>
        <w:tc>
          <w:tcPr>
            <w:tcW w:w="1440" w:type="dxa"/>
            <w:shd w:val="clear" w:color="auto" w:fill="auto"/>
          </w:tcPr>
          <w:p w:rsidRPr="00B17713" w:rsidR="00BC5BDD" w:rsidP="00BC5BDD" w:rsidRDefault="00BC5BDD" w14:paraId="163F5193" w14:textId="54E99A16">
            <w:pPr>
              <w:keepLines/>
              <w:spacing w:after="0"/>
              <w:rPr>
                <w:sz w:val="20"/>
                <w:szCs w:val="20"/>
              </w:rPr>
            </w:pPr>
            <w:r w:rsidRPr="00871E51">
              <w:rPr>
                <w:rFonts w:eastAsia="Calibri"/>
                <w:sz w:val="20"/>
                <w:szCs w:val="20"/>
              </w:rPr>
              <w:t>$95.22</w:t>
            </w:r>
          </w:p>
        </w:tc>
        <w:tc>
          <w:tcPr>
            <w:tcW w:w="2070" w:type="dxa"/>
            <w:shd w:val="clear" w:color="auto" w:fill="auto"/>
          </w:tcPr>
          <w:p w:rsidRPr="00B17713" w:rsidR="00BC5BDD" w:rsidP="00BC5BDD" w:rsidRDefault="00BC5BDD" w14:paraId="16293C90" w14:textId="20C925FF">
            <w:pPr>
              <w:keepLines/>
              <w:spacing w:after="0"/>
              <w:rPr>
                <w:sz w:val="20"/>
                <w:szCs w:val="20"/>
              </w:rPr>
            </w:pPr>
            <w:r w:rsidRPr="00871E51">
              <w:rPr>
                <w:rFonts w:eastAsia="Calibri"/>
                <w:sz w:val="20"/>
                <w:szCs w:val="20"/>
              </w:rPr>
              <w:t>$95.22</w:t>
            </w:r>
          </w:p>
        </w:tc>
        <w:tc>
          <w:tcPr>
            <w:tcW w:w="2070" w:type="dxa"/>
          </w:tcPr>
          <w:p w:rsidRPr="00B17713" w:rsidR="00BC5BDD" w:rsidP="00BC5BDD" w:rsidRDefault="00BC5BDD" w14:paraId="0550DEFF" w14:textId="70962B79">
            <w:pPr>
              <w:keepLines/>
              <w:spacing w:after="0"/>
              <w:rPr>
                <w:sz w:val="20"/>
                <w:szCs w:val="20"/>
              </w:rPr>
            </w:pPr>
            <w:r w:rsidRPr="00871E51">
              <w:rPr>
                <w:rFonts w:eastAsia="Calibri"/>
                <w:sz w:val="20"/>
                <w:szCs w:val="20"/>
              </w:rPr>
              <w:t>$95.22</w:t>
            </w:r>
          </w:p>
        </w:tc>
      </w:tr>
      <w:tr w:rsidRPr="00732012" w:rsidR="003564CB" w:rsidTr="00FD01F5" w14:paraId="7C82E7FF" w14:textId="14F5E9B9">
        <w:trPr>
          <w:cantSplit/>
          <w:trHeight w:val="520"/>
          <w:jc w:val="center"/>
        </w:trPr>
        <w:tc>
          <w:tcPr>
            <w:tcW w:w="3055" w:type="dxa"/>
            <w:shd w:val="clear" w:color="auto" w:fill="auto"/>
            <w:hideMark/>
          </w:tcPr>
          <w:p w:rsidRPr="00B17713" w:rsidR="00E6194A" w:rsidP="00E6194A" w:rsidRDefault="00E6194A" w14:paraId="285F235C" w14:textId="7AF99771">
            <w:pPr>
              <w:keepLines/>
              <w:spacing w:after="0"/>
              <w:rPr>
                <w:sz w:val="20"/>
                <w:szCs w:val="20"/>
              </w:rPr>
            </w:pPr>
            <w:r w:rsidRPr="00B17713">
              <w:rPr>
                <w:sz w:val="20"/>
                <w:szCs w:val="20"/>
              </w:rPr>
              <w:t>Cost to Review Measu</w:t>
            </w:r>
            <w:r w:rsidR="00BE3D9A">
              <w:rPr>
                <w:sz w:val="20"/>
                <w:szCs w:val="20"/>
              </w:rPr>
              <w:t>r</w:t>
            </w:r>
            <w:r w:rsidRPr="00B17713">
              <w:rPr>
                <w:sz w:val="20"/>
                <w:szCs w:val="20"/>
              </w:rPr>
              <w:t>e Specifications (@ LPN's labor rate of $4</w:t>
            </w:r>
            <w:r>
              <w:rPr>
                <w:sz w:val="20"/>
                <w:szCs w:val="20"/>
              </w:rPr>
              <w:t>8.16</w:t>
            </w:r>
            <w:r w:rsidRPr="00B17713">
              <w:rPr>
                <w:sz w:val="20"/>
                <w:szCs w:val="20"/>
              </w:rPr>
              <w:t>/hr @1 hr) (m)</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B17713" w:rsidR="00E6194A" w:rsidP="00E6194A" w:rsidRDefault="00E6194A" w14:paraId="64DC42F5" w14:textId="249F5116">
            <w:pPr>
              <w:keepLines/>
              <w:spacing w:after="0"/>
              <w:rPr>
                <w:sz w:val="20"/>
                <w:szCs w:val="20"/>
              </w:rPr>
            </w:pPr>
            <w:r w:rsidRPr="00871E51">
              <w:rPr>
                <w:rFonts w:eastAsia="Calibri"/>
                <w:sz w:val="20"/>
                <w:szCs w:val="20"/>
              </w:rPr>
              <w:t>$48.16</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17713" w:rsidR="00E6194A" w:rsidP="00E6194A" w:rsidRDefault="00E6194A" w14:paraId="7101963B" w14:textId="0EF67756">
            <w:pPr>
              <w:keepLines/>
              <w:spacing w:after="0"/>
              <w:rPr>
                <w:sz w:val="20"/>
                <w:szCs w:val="20"/>
              </w:rPr>
            </w:pPr>
            <w:r w:rsidRPr="00871E51">
              <w:rPr>
                <w:rFonts w:eastAsia="Calibri"/>
                <w:sz w:val="20"/>
                <w:szCs w:val="20"/>
              </w:rPr>
              <w:t>$48.16</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B17713" w:rsidR="00E6194A" w:rsidP="00E6194A" w:rsidRDefault="00E6194A" w14:paraId="64ED3E7B" w14:textId="204CD684">
            <w:pPr>
              <w:keepLines/>
              <w:spacing w:after="0"/>
              <w:rPr>
                <w:sz w:val="20"/>
                <w:szCs w:val="20"/>
              </w:rPr>
            </w:pPr>
            <w:r w:rsidRPr="00871E51">
              <w:rPr>
                <w:rFonts w:eastAsia="Calibri"/>
                <w:sz w:val="20"/>
                <w:szCs w:val="20"/>
              </w:rPr>
              <w:t>$48.16</w:t>
            </w:r>
          </w:p>
        </w:tc>
        <w:tc>
          <w:tcPr>
            <w:tcW w:w="2070" w:type="dxa"/>
            <w:tcBorders>
              <w:top w:val="single" w:color="auto" w:sz="4" w:space="0"/>
              <w:left w:val="single" w:color="auto" w:sz="4" w:space="0"/>
              <w:bottom w:val="single" w:color="auto" w:sz="4" w:space="0"/>
              <w:right w:val="single" w:color="auto" w:sz="4" w:space="0"/>
            </w:tcBorders>
          </w:tcPr>
          <w:p w:rsidRPr="00B17713" w:rsidR="00E6194A" w:rsidP="00E6194A" w:rsidRDefault="00E6194A" w14:paraId="39141C14" w14:textId="706C8D46">
            <w:pPr>
              <w:keepLines/>
              <w:spacing w:after="0"/>
              <w:rPr>
                <w:sz w:val="20"/>
                <w:szCs w:val="20"/>
              </w:rPr>
            </w:pPr>
            <w:r w:rsidRPr="00871E51">
              <w:rPr>
                <w:rFonts w:eastAsia="Calibri"/>
                <w:sz w:val="20"/>
                <w:szCs w:val="20"/>
              </w:rPr>
              <w:t>$48.16</w:t>
            </w:r>
          </w:p>
        </w:tc>
      </w:tr>
      <w:tr w:rsidRPr="00732012" w:rsidR="003564CB" w:rsidTr="00FD01F5" w14:paraId="459D0BA8" w14:textId="123C7C1F">
        <w:trPr>
          <w:cantSplit/>
          <w:trHeight w:val="520"/>
          <w:jc w:val="center"/>
        </w:trPr>
        <w:tc>
          <w:tcPr>
            <w:tcW w:w="3055" w:type="dxa"/>
            <w:shd w:val="clear" w:color="auto" w:fill="auto"/>
            <w:hideMark/>
          </w:tcPr>
          <w:p w:rsidRPr="00B17713" w:rsidR="00E6782E" w:rsidP="00E6782E" w:rsidRDefault="00E6782E" w14:paraId="450B1061" w14:textId="3ECE493D">
            <w:pPr>
              <w:keepLines/>
              <w:spacing w:after="0"/>
              <w:rPr>
                <w:sz w:val="20"/>
                <w:szCs w:val="20"/>
              </w:rPr>
            </w:pPr>
            <w:r w:rsidRPr="00B17713">
              <w:rPr>
                <w:sz w:val="20"/>
                <w:szCs w:val="20"/>
              </w:rPr>
              <w:t>Cost to Review Measure Specifications (@ billing clerk’s labor rate of $</w:t>
            </w:r>
            <w:r>
              <w:rPr>
                <w:sz w:val="20"/>
                <w:szCs w:val="20"/>
              </w:rPr>
              <w:t>40.02</w:t>
            </w:r>
            <w:r w:rsidRPr="00B17713">
              <w:rPr>
                <w:sz w:val="20"/>
                <w:szCs w:val="20"/>
              </w:rPr>
              <w:t>/hr @ 1 hr) (n)</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B17713" w:rsidR="00E6782E" w:rsidP="00E6782E" w:rsidRDefault="00E6782E" w14:paraId="5480450F" w14:textId="0ADC8759">
            <w:pPr>
              <w:keepLines/>
              <w:spacing w:after="0"/>
              <w:rPr>
                <w:sz w:val="20"/>
                <w:szCs w:val="20"/>
              </w:rPr>
            </w:pPr>
            <w:r w:rsidRPr="00871E51">
              <w:rPr>
                <w:rFonts w:eastAsia="Calibri"/>
                <w:sz w:val="20"/>
                <w:szCs w:val="20"/>
              </w:rPr>
              <w:t>$40.02</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17713" w:rsidR="00E6782E" w:rsidP="00E6782E" w:rsidRDefault="00E6782E" w14:paraId="57E638E6" w14:textId="4941212C">
            <w:pPr>
              <w:keepLines/>
              <w:spacing w:after="0"/>
              <w:rPr>
                <w:sz w:val="20"/>
                <w:szCs w:val="20"/>
              </w:rPr>
            </w:pPr>
            <w:r w:rsidRPr="00871E51">
              <w:rPr>
                <w:rFonts w:eastAsia="Calibri"/>
                <w:sz w:val="20"/>
                <w:szCs w:val="20"/>
              </w:rPr>
              <w:t>$40.02</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B17713" w:rsidR="00E6782E" w:rsidP="00E6782E" w:rsidRDefault="00E6782E" w14:paraId="3621B156" w14:textId="62A26588">
            <w:pPr>
              <w:keepLines/>
              <w:spacing w:after="0"/>
              <w:rPr>
                <w:sz w:val="20"/>
                <w:szCs w:val="20"/>
              </w:rPr>
            </w:pPr>
            <w:r w:rsidRPr="00871E51">
              <w:rPr>
                <w:rFonts w:eastAsia="Calibri"/>
                <w:sz w:val="20"/>
                <w:szCs w:val="20"/>
              </w:rPr>
              <w:t>$40.02</w:t>
            </w:r>
          </w:p>
        </w:tc>
        <w:tc>
          <w:tcPr>
            <w:tcW w:w="2070" w:type="dxa"/>
            <w:tcBorders>
              <w:top w:val="single" w:color="auto" w:sz="4" w:space="0"/>
              <w:left w:val="single" w:color="auto" w:sz="4" w:space="0"/>
              <w:bottom w:val="single" w:color="auto" w:sz="4" w:space="0"/>
              <w:right w:val="single" w:color="auto" w:sz="4" w:space="0"/>
            </w:tcBorders>
          </w:tcPr>
          <w:p w:rsidRPr="00B17713" w:rsidR="00E6782E" w:rsidP="00E6782E" w:rsidRDefault="00E6782E" w14:paraId="35727C7E" w14:textId="06FBD76B">
            <w:pPr>
              <w:keepLines/>
              <w:spacing w:after="0"/>
              <w:rPr>
                <w:sz w:val="20"/>
                <w:szCs w:val="20"/>
              </w:rPr>
            </w:pPr>
            <w:r w:rsidRPr="00871E51">
              <w:rPr>
                <w:rFonts w:eastAsia="Calibri"/>
                <w:sz w:val="20"/>
                <w:szCs w:val="20"/>
              </w:rPr>
              <w:t>$40.02</w:t>
            </w:r>
          </w:p>
        </w:tc>
      </w:tr>
      <w:tr w:rsidRPr="00732012" w:rsidR="003564CB" w:rsidTr="00FD01F5" w14:paraId="42CF337B" w14:textId="39632B92">
        <w:trPr>
          <w:cantSplit/>
          <w:trHeight w:val="520"/>
          <w:jc w:val="center"/>
        </w:trPr>
        <w:tc>
          <w:tcPr>
            <w:tcW w:w="3055" w:type="dxa"/>
            <w:shd w:val="clear" w:color="auto" w:fill="auto"/>
            <w:hideMark/>
          </w:tcPr>
          <w:p w:rsidRPr="00B17713" w:rsidR="00485EFA" w:rsidP="00485EFA" w:rsidRDefault="00485EFA" w14:paraId="34D4F696" w14:textId="0B1DF65D">
            <w:pPr>
              <w:keepLines/>
              <w:spacing w:after="0"/>
              <w:rPr>
                <w:sz w:val="20"/>
                <w:szCs w:val="20"/>
              </w:rPr>
            </w:pPr>
            <w:r w:rsidRPr="00B17713">
              <w:rPr>
                <w:sz w:val="20"/>
                <w:szCs w:val="20"/>
              </w:rPr>
              <w:t>Cost to Review Measure Specifications (@ physician’s labor rate of $21</w:t>
            </w:r>
            <w:r>
              <w:rPr>
                <w:sz w:val="20"/>
                <w:szCs w:val="20"/>
              </w:rPr>
              <w:t>7.32</w:t>
            </w:r>
            <w:r w:rsidRPr="00B17713">
              <w:rPr>
                <w:sz w:val="20"/>
                <w:szCs w:val="20"/>
              </w:rPr>
              <w:t>/hr @ 1 hr) (o)</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B17713" w:rsidR="00485EFA" w:rsidP="00485EFA" w:rsidRDefault="00485EFA" w14:paraId="6904A810" w14:textId="17810D1A">
            <w:pPr>
              <w:keepLines/>
              <w:spacing w:after="0"/>
              <w:rPr>
                <w:sz w:val="20"/>
                <w:szCs w:val="20"/>
              </w:rPr>
            </w:pPr>
            <w:r w:rsidRPr="00871E51">
              <w:rPr>
                <w:rFonts w:eastAsia="Calibri"/>
                <w:sz w:val="20"/>
                <w:szCs w:val="20"/>
              </w:rPr>
              <w:t>$21</w:t>
            </w:r>
            <w:r>
              <w:rPr>
                <w:rFonts w:eastAsia="Calibri"/>
                <w:sz w:val="20"/>
                <w:szCs w:val="20"/>
              </w:rPr>
              <w:t>7.32</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17713" w:rsidR="00485EFA" w:rsidP="00485EFA" w:rsidRDefault="00485EFA" w14:paraId="72B06A44" w14:textId="4CE06494">
            <w:pPr>
              <w:keepLines/>
              <w:spacing w:after="0"/>
              <w:rPr>
                <w:sz w:val="20"/>
                <w:szCs w:val="20"/>
              </w:rPr>
            </w:pPr>
            <w:r w:rsidRPr="00871E51">
              <w:rPr>
                <w:rFonts w:eastAsia="Calibri"/>
                <w:sz w:val="20"/>
                <w:szCs w:val="20"/>
              </w:rPr>
              <w:t>$21</w:t>
            </w:r>
            <w:r>
              <w:rPr>
                <w:rFonts w:eastAsia="Calibri"/>
                <w:sz w:val="20"/>
                <w:szCs w:val="20"/>
              </w:rPr>
              <w:t>7.32</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B17713" w:rsidR="00485EFA" w:rsidP="00485EFA" w:rsidRDefault="00485EFA" w14:paraId="74E9A797" w14:textId="577F5C34">
            <w:pPr>
              <w:keepLines/>
              <w:spacing w:after="0"/>
              <w:rPr>
                <w:sz w:val="20"/>
                <w:szCs w:val="20"/>
              </w:rPr>
            </w:pPr>
            <w:r w:rsidRPr="00871E51">
              <w:rPr>
                <w:rFonts w:eastAsia="Calibri"/>
                <w:sz w:val="20"/>
                <w:szCs w:val="20"/>
              </w:rPr>
              <w:t>$21</w:t>
            </w:r>
            <w:r>
              <w:rPr>
                <w:rFonts w:eastAsia="Calibri"/>
                <w:sz w:val="20"/>
                <w:szCs w:val="20"/>
              </w:rPr>
              <w:t>7.32</w:t>
            </w:r>
          </w:p>
        </w:tc>
        <w:tc>
          <w:tcPr>
            <w:tcW w:w="2070" w:type="dxa"/>
            <w:tcBorders>
              <w:top w:val="single" w:color="auto" w:sz="4" w:space="0"/>
              <w:left w:val="single" w:color="auto" w:sz="4" w:space="0"/>
              <w:bottom w:val="single" w:color="auto" w:sz="4" w:space="0"/>
              <w:right w:val="single" w:color="auto" w:sz="4" w:space="0"/>
            </w:tcBorders>
          </w:tcPr>
          <w:p w:rsidRPr="00B17713" w:rsidR="00485EFA" w:rsidP="00485EFA" w:rsidRDefault="00485EFA" w14:paraId="2C8B47F9" w14:textId="2B3892DA">
            <w:pPr>
              <w:keepLines/>
              <w:spacing w:after="0"/>
              <w:rPr>
                <w:sz w:val="20"/>
                <w:szCs w:val="20"/>
              </w:rPr>
            </w:pPr>
            <w:r w:rsidRPr="00871E51">
              <w:rPr>
                <w:rFonts w:eastAsia="Calibri"/>
                <w:sz w:val="20"/>
                <w:szCs w:val="20"/>
              </w:rPr>
              <w:t>$21</w:t>
            </w:r>
            <w:r>
              <w:rPr>
                <w:rFonts w:eastAsia="Calibri"/>
                <w:sz w:val="20"/>
                <w:szCs w:val="20"/>
              </w:rPr>
              <w:t>7.32</w:t>
            </w:r>
          </w:p>
        </w:tc>
      </w:tr>
      <w:tr w:rsidRPr="00732012" w:rsidR="003564CB" w:rsidTr="00FD01F5" w14:paraId="37ED80F3" w14:textId="1F51E4B0">
        <w:trPr>
          <w:cantSplit/>
          <w:trHeight w:val="525"/>
          <w:jc w:val="center"/>
        </w:trPr>
        <w:tc>
          <w:tcPr>
            <w:tcW w:w="3055" w:type="dxa"/>
            <w:shd w:val="clear" w:color="auto" w:fill="auto"/>
            <w:hideMark/>
          </w:tcPr>
          <w:p w:rsidRPr="00B17713" w:rsidR="0076514A" w:rsidP="0076514A" w:rsidRDefault="00E019F5" w14:paraId="21F6D79E" w14:textId="353DCD20">
            <w:pPr>
              <w:keepLines/>
              <w:spacing w:after="0"/>
              <w:rPr>
                <w:sz w:val="20"/>
                <w:szCs w:val="20"/>
              </w:rPr>
            </w:pPr>
            <w:r>
              <w:rPr>
                <w:sz w:val="20"/>
                <w:szCs w:val="20"/>
              </w:rPr>
              <w:t>*</w:t>
            </w:r>
            <w:r w:rsidRPr="00B17713" w:rsidR="0076514A">
              <w:rPr>
                <w:sz w:val="20"/>
                <w:szCs w:val="20"/>
              </w:rPr>
              <w:t>Total Annual Cost Per Clinician (p) = (j)+(k)+(l)+(m)+(n)+(o)</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B17713" w:rsidR="0076514A" w:rsidP="0076514A" w:rsidRDefault="0076514A" w14:paraId="15BA8B63" w14:textId="4C0119F2">
            <w:pPr>
              <w:keepLines/>
              <w:spacing w:after="0"/>
              <w:rPr>
                <w:sz w:val="20"/>
                <w:szCs w:val="20"/>
              </w:rPr>
            </w:pPr>
            <w:r w:rsidRPr="00871E51">
              <w:rPr>
                <w:rFonts w:eastAsia="Calibri"/>
                <w:sz w:val="20"/>
                <w:szCs w:val="20"/>
              </w:rPr>
              <w:t>$75</w:t>
            </w:r>
            <w:r>
              <w:rPr>
                <w:rFonts w:eastAsia="Calibri"/>
                <w:sz w:val="20"/>
                <w:szCs w:val="20"/>
              </w:rPr>
              <w:t>8</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17713" w:rsidR="0076514A" w:rsidP="0076514A" w:rsidRDefault="0076514A" w14:paraId="30821747" w14:textId="614D37B2">
            <w:pPr>
              <w:keepLines/>
              <w:spacing w:after="0"/>
              <w:rPr>
                <w:sz w:val="20"/>
                <w:szCs w:val="20"/>
              </w:rPr>
            </w:pPr>
            <w:r w:rsidRPr="00871E51">
              <w:rPr>
                <w:rFonts w:eastAsia="Calibri"/>
                <w:sz w:val="20"/>
                <w:szCs w:val="20"/>
              </w:rPr>
              <w:t>$8</w:t>
            </w:r>
            <w:r>
              <w:rPr>
                <w:rFonts w:eastAsia="Calibri"/>
                <w:sz w:val="20"/>
                <w:szCs w:val="20"/>
              </w:rPr>
              <w:t>43</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B17713" w:rsidR="0076514A" w:rsidP="0076514A" w:rsidRDefault="0076514A" w14:paraId="09C3CF1F" w14:textId="6A5E9F3F">
            <w:pPr>
              <w:keepLines/>
              <w:spacing w:after="0"/>
              <w:rPr>
                <w:sz w:val="20"/>
                <w:szCs w:val="20"/>
              </w:rPr>
            </w:pPr>
            <w:r w:rsidRPr="00871E51">
              <w:rPr>
                <w:rFonts w:eastAsia="Calibri"/>
                <w:sz w:val="20"/>
                <w:szCs w:val="20"/>
              </w:rPr>
              <w:t>$1,42</w:t>
            </w:r>
            <w:r>
              <w:rPr>
                <w:rFonts w:eastAsia="Calibri"/>
                <w:sz w:val="20"/>
                <w:szCs w:val="20"/>
              </w:rPr>
              <w:t>9</w:t>
            </w:r>
          </w:p>
        </w:tc>
        <w:tc>
          <w:tcPr>
            <w:tcW w:w="2070" w:type="dxa"/>
            <w:tcBorders>
              <w:top w:val="single" w:color="auto" w:sz="4" w:space="0"/>
              <w:left w:val="single" w:color="auto" w:sz="4" w:space="0"/>
              <w:bottom w:val="single" w:color="auto" w:sz="4" w:space="0"/>
              <w:right w:val="single" w:color="auto" w:sz="4" w:space="0"/>
            </w:tcBorders>
          </w:tcPr>
          <w:p w:rsidRPr="00B17713" w:rsidR="0076514A" w:rsidP="0076514A" w:rsidRDefault="0076514A" w14:paraId="23BEE4F1" w14:textId="6FF666A5">
            <w:pPr>
              <w:keepLines/>
              <w:spacing w:after="0"/>
              <w:rPr>
                <w:sz w:val="20"/>
                <w:szCs w:val="20"/>
              </w:rPr>
            </w:pPr>
            <w:r w:rsidRPr="00871E51">
              <w:rPr>
                <w:rFonts w:eastAsia="Calibri"/>
                <w:sz w:val="20"/>
                <w:szCs w:val="20"/>
              </w:rPr>
              <w:t>$1,42</w:t>
            </w:r>
            <w:r>
              <w:rPr>
                <w:rFonts w:eastAsia="Calibri"/>
                <w:sz w:val="20"/>
                <w:szCs w:val="20"/>
              </w:rPr>
              <w:t>9</w:t>
            </w:r>
          </w:p>
        </w:tc>
      </w:tr>
      <w:tr w:rsidRPr="00732012" w:rsidR="00DA40CA" w:rsidTr="00FD01F5" w14:paraId="54D57C73" w14:textId="753A39FA">
        <w:trPr>
          <w:cantSplit/>
          <w:trHeight w:val="305"/>
          <w:jc w:val="center"/>
        </w:trPr>
        <w:tc>
          <w:tcPr>
            <w:tcW w:w="305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732012" w:rsidR="00DA40CA" w:rsidP="00DA40CA" w:rsidRDefault="00E019F5" w14:paraId="2D78B5F5" w14:textId="6600515A">
            <w:pPr>
              <w:keepLines/>
              <w:spacing w:after="0"/>
              <w:rPr>
                <w:b/>
                <w:bCs/>
                <w:sz w:val="20"/>
                <w:szCs w:val="20"/>
              </w:rPr>
            </w:pPr>
            <w:r>
              <w:rPr>
                <w:b/>
                <w:bCs/>
                <w:sz w:val="20"/>
                <w:szCs w:val="20"/>
              </w:rPr>
              <w:t>*</w:t>
            </w:r>
            <w:r w:rsidRPr="00732012" w:rsidR="00DA40CA">
              <w:rPr>
                <w:b/>
                <w:bCs/>
                <w:sz w:val="20"/>
                <w:szCs w:val="20"/>
              </w:rPr>
              <w:t>Total Annual Cost (q) = (a)*(p)</w:t>
            </w:r>
          </w:p>
        </w:tc>
        <w:tc>
          <w:tcPr>
            <w:tcW w:w="162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B17713" w:rsidR="00DA40CA" w:rsidP="00DA40CA" w:rsidRDefault="00DA40CA" w14:paraId="0AE93D04" w14:textId="4715AEC1">
            <w:pPr>
              <w:keepLines/>
              <w:spacing w:after="0"/>
              <w:rPr>
                <w:b/>
                <w:bCs/>
                <w:sz w:val="20"/>
                <w:szCs w:val="20"/>
              </w:rPr>
            </w:pPr>
            <w:r w:rsidRPr="00871E51">
              <w:rPr>
                <w:rFonts w:eastAsia="Calibri"/>
                <w:b/>
                <w:sz w:val="20"/>
                <w:szCs w:val="20"/>
              </w:rPr>
              <w:t>$</w:t>
            </w:r>
            <w:r w:rsidRPr="00871E51">
              <w:rPr>
                <w:rFonts w:eastAsia="Calibri"/>
                <w:b/>
                <w:bCs/>
                <w:sz w:val="20"/>
                <w:szCs w:val="20"/>
              </w:rPr>
              <w:t>21,</w:t>
            </w:r>
            <w:r>
              <w:rPr>
                <w:rFonts w:eastAsia="Calibri"/>
                <w:b/>
                <w:bCs/>
                <w:sz w:val="20"/>
                <w:szCs w:val="20"/>
              </w:rPr>
              <w:t>407,105</w:t>
            </w:r>
          </w:p>
        </w:tc>
        <w:tc>
          <w:tcPr>
            <w:tcW w:w="144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B17713" w:rsidR="00DA40CA" w:rsidP="00DA40CA" w:rsidRDefault="00DA40CA" w14:paraId="30D68118" w14:textId="25DDEB9F">
            <w:pPr>
              <w:keepLines/>
              <w:spacing w:after="0"/>
              <w:rPr>
                <w:b/>
                <w:bCs/>
                <w:sz w:val="20"/>
                <w:szCs w:val="20"/>
              </w:rPr>
            </w:pPr>
            <w:r w:rsidRPr="00871E51">
              <w:rPr>
                <w:rFonts w:eastAsia="Calibri"/>
                <w:b/>
                <w:sz w:val="20"/>
                <w:szCs w:val="20"/>
              </w:rPr>
              <w:t>$23,</w:t>
            </w:r>
            <w:r>
              <w:rPr>
                <w:rFonts w:eastAsia="Calibri"/>
                <w:b/>
                <w:sz w:val="20"/>
                <w:szCs w:val="20"/>
              </w:rPr>
              <w:t>828,302</w:t>
            </w:r>
          </w:p>
        </w:tc>
        <w:tc>
          <w:tcPr>
            <w:tcW w:w="207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B17713" w:rsidR="00DA40CA" w:rsidP="00DA40CA" w:rsidRDefault="00DA40CA" w14:paraId="302349DD" w14:textId="1687736E">
            <w:pPr>
              <w:keepLines/>
              <w:spacing w:after="0"/>
              <w:rPr>
                <w:b/>
                <w:bCs/>
                <w:sz w:val="20"/>
                <w:szCs w:val="20"/>
              </w:rPr>
            </w:pPr>
            <w:r w:rsidRPr="00871E51">
              <w:rPr>
                <w:rFonts w:eastAsia="Calibri"/>
                <w:b/>
                <w:sz w:val="20"/>
                <w:szCs w:val="20"/>
              </w:rPr>
              <w:t>$40,</w:t>
            </w:r>
            <w:r>
              <w:rPr>
                <w:rFonts w:eastAsia="Calibri"/>
                <w:b/>
                <w:sz w:val="20"/>
                <w:szCs w:val="20"/>
              </w:rPr>
              <w:t>372,</w:t>
            </w:r>
            <w:r w:rsidR="00B375A5">
              <w:rPr>
                <w:rFonts w:eastAsia="Calibri"/>
                <w:b/>
                <w:sz w:val="20"/>
                <w:szCs w:val="20"/>
              </w:rPr>
              <w:t>673</w:t>
            </w:r>
            <w:r w:rsidR="00E26F63">
              <w:rPr>
                <w:rFonts w:eastAsia="Calibri"/>
                <w:b/>
                <w:sz w:val="20"/>
                <w:szCs w:val="20"/>
              </w:rPr>
              <w:t>*</w:t>
            </w:r>
          </w:p>
        </w:tc>
        <w:tc>
          <w:tcPr>
            <w:tcW w:w="2070" w:type="dxa"/>
            <w:tcBorders>
              <w:top w:val="single" w:color="auto" w:sz="4" w:space="0"/>
              <w:left w:val="single" w:color="auto" w:sz="4" w:space="0"/>
              <w:bottom w:val="single" w:color="auto" w:sz="4" w:space="0"/>
              <w:right w:val="single" w:color="auto" w:sz="4" w:space="0"/>
            </w:tcBorders>
            <w:shd w:val="clear" w:color="auto" w:fill="E7E6E6" w:themeFill="background2"/>
          </w:tcPr>
          <w:p w:rsidRPr="00E3760B" w:rsidR="00DA40CA" w:rsidP="00DA40CA" w:rsidRDefault="00DA40CA" w14:paraId="55CF1F0F" w14:textId="47A71036">
            <w:pPr>
              <w:keepLines/>
              <w:spacing w:after="0"/>
              <w:rPr>
                <w:rFonts w:eastAsia="Calibri"/>
                <w:b/>
                <w:sz w:val="20"/>
                <w:szCs w:val="20"/>
              </w:rPr>
            </w:pPr>
            <w:r>
              <w:rPr>
                <w:rFonts w:eastAsia="Calibri"/>
                <w:b/>
                <w:sz w:val="20"/>
                <w:szCs w:val="20"/>
              </w:rPr>
              <w:t>$36,</w:t>
            </w:r>
            <w:r w:rsidR="00D6056E">
              <w:rPr>
                <w:rFonts w:eastAsia="Calibri"/>
                <w:b/>
                <w:sz w:val="20"/>
                <w:szCs w:val="20"/>
              </w:rPr>
              <w:t>3</w:t>
            </w:r>
            <w:r w:rsidR="00B375A5">
              <w:rPr>
                <w:rFonts w:eastAsia="Calibri"/>
                <w:b/>
                <w:sz w:val="20"/>
                <w:szCs w:val="20"/>
              </w:rPr>
              <w:t>5</w:t>
            </w:r>
            <w:r w:rsidR="00D6056E">
              <w:rPr>
                <w:rFonts w:eastAsia="Calibri"/>
                <w:b/>
                <w:sz w:val="20"/>
                <w:szCs w:val="20"/>
              </w:rPr>
              <w:t>5</w:t>
            </w:r>
            <w:r w:rsidR="00C47D4A">
              <w:rPr>
                <w:rFonts w:eastAsia="Calibri"/>
                <w:b/>
                <w:sz w:val="20"/>
                <w:szCs w:val="20"/>
              </w:rPr>
              <w:t>,</w:t>
            </w:r>
            <w:r w:rsidR="00B375A5">
              <w:rPr>
                <w:rFonts w:eastAsia="Calibri"/>
                <w:b/>
                <w:sz w:val="20"/>
                <w:szCs w:val="20"/>
              </w:rPr>
              <w:t>692</w:t>
            </w:r>
            <w:r w:rsidR="00E26F63">
              <w:rPr>
                <w:rFonts w:eastAsia="Calibri"/>
                <w:b/>
                <w:sz w:val="20"/>
                <w:szCs w:val="20"/>
              </w:rPr>
              <w:t>*</w:t>
            </w:r>
          </w:p>
        </w:tc>
      </w:tr>
    </w:tbl>
    <w:p w:rsidRPr="00180B53" w:rsidR="005B6434" w:rsidP="00180B53" w:rsidRDefault="00180B53" w14:paraId="51B1E895" w14:textId="19E1C897">
      <w:pPr>
        <w:keepNext/>
        <w:keepLines/>
        <w:widowControl w:val="0"/>
        <w:rPr>
          <w:rFonts w:eastAsia="Calibri"/>
          <w:sz w:val="20"/>
          <w:szCs w:val="20"/>
        </w:rPr>
      </w:pPr>
      <w:r w:rsidRPr="00871E51">
        <w:rPr>
          <w:rFonts w:eastAsia="Calibri"/>
          <w:sz w:val="20"/>
          <w:szCs w:val="20"/>
        </w:rPr>
        <w:t>*Due to burden for certain activities being estimated in fractions of hours, totals may not reflect the sum of individual rows due to rounding.</w:t>
      </w:r>
    </w:p>
    <w:p w:rsidRPr="00041A6A" w:rsidR="00C351ED" w:rsidP="00C45D11" w:rsidRDefault="00C351ED" w14:paraId="66F748FE" w14:textId="6DBEF460">
      <w:pPr>
        <w:pStyle w:val="Heading4"/>
        <w:numPr>
          <w:ilvl w:val="3"/>
          <w:numId w:val="23"/>
        </w:numPr>
        <w:tabs>
          <w:tab w:val="clear" w:pos="720"/>
          <w:tab w:val="left" w:pos="900"/>
        </w:tabs>
        <w:spacing w:before="200"/>
      </w:pPr>
      <w:r w:rsidRPr="00041A6A">
        <w:t>Burden for Quality Data Submission by Individuals</w:t>
      </w:r>
      <w:r w:rsidRPr="00041A6A" w:rsidR="001964ED">
        <w:t xml:space="preserve"> and</w:t>
      </w:r>
      <w:r w:rsidRPr="00041A6A">
        <w:t xml:space="preserve"> Groups: </w:t>
      </w:r>
      <w:r w:rsidR="00532B06">
        <w:br/>
      </w:r>
      <w:r w:rsidRPr="00041A6A" w:rsidR="00037FF8">
        <w:t>MIPS CQM</w:t>
      </w:r>
      <w:r w:rsidRPr="00041A6A">
        <w:t xml:space="preserve"> and QCDR Collection Types</w:t>
      </w:r>
    </w:p>
    <w:p w:rsidR="00B17713" w:rsidP="00CF4BB7" w:rsidRDefault="004A4CBE" w14:paraId="56D43508" w14:textId="0E29523C">
      <w:pPr>
        <w:rPr>
          <w:rFonts w:eastAsia="Calibri"/>
        </w:rPr>
      </w:pPr>
      <w:r>
        <w:rPr>
          <w:rFonts w:eastAsia="Calibri"/>
        </w:rPr>
        <w:t>In the CY 2022 PFS proposed rule, we propose to extend the CMS Web Interface as a collection type</w:t>
      </w:r>
      <w:r w:rsidR="009D524C">
        <w:rPr>
          <w:rFonts w:eastAsia="Calibri"/>
        </w:rPr>
        <w:t xml:space="preserve"> and submission type for the CY 2022 MIPS performance period/2024 MIPS payment year. </w:t>
      </w:r>
      <w:r w:rsidR="00B17713">
        <w:rPr>
          <w:rFonts w:eastAsia="Calibri"/>
        </w:rPr>
        <w:t>In the CY 202</w:t>
      </w:r>
      <w:r w:rsidR="009D524C">
        <w:rPr>
          <w:rFonts w:eastAsia="Calibri"/>
        </w:rPr>
        <w:t>2</w:t>
      </w:r>
      <w:r w:rsidR="00B17713">
        <w:rPr>
          <w:rFonts w:eastAsia="Calibri"/>
        </w:rPr>
        <w:t xml:space="preserve"> PFS </w:t>
      </w:r>
      <w:r w:rsidR="009D524C">
        <w:rPr>
          <w:rFonts w:eastAsia="Calibri"/>
        </w:rPr>
        <w:t>proposed</w:t>
      </w:r>
      <w:r w:rsidR="00B17713">
        <w:rPr>
          <w:rFonts w:eastAsia="Calibri"/>
        </w:rPr>
        <w:t xml:space="preserve"> rule, we</w:t>
      </w:r>
      <w:r w:rsidR="009D524C">
        <w:rPr>
          <w:rFonts w:eastAsia="Calibri"/>
        </w:rPr>
        <w:t xml:space="preserve"> also propose to</w:t>
      </w:r>
      <w:r w:rsidRPr="00B17713" w:rsidR="00B17713">
        <w:rPr>
          <w:rFonts w:eastAsia="Calibri"/>
        </w:rPr>
        <w:t xml:space="preserve"> sunset the CMS Web Interface measures as a collection type and submission type starting with the </w:t>
      </w:r>
      <w:r w:rsidR="006A4908">
        <w:rPr>
          <w:rFonts w:eastAsia="Calibri"/>
        </w:rPr>
        <w:t xml:space="preserve">CY </w:t>
      </w:r>
      <w:r w:rsidRPr="00B17713" w:rsidR="00B17713">
        <w:rPr>
          <w:rFonts w:eastAsia="Calibri"/>
        </w:rPr>
        <w:t>202</w:t>
      </w:r>
      <w:r w:rsidR="006A4908">
        <w:rPr>
          <w:rFonts w:eastAsia="Calibri"/>
        </w:rPr>
        <w:t>3 MIPS</w:t>
      </w:r>
      <w:r w:rsidRPr="00B17713" w:rsidR="00B17713">
        <w:rPr>
          <w:rFonts w:eastAsia="Calibri"/>
        </w:rPr>
        <w:t xml:space="preserve"> performance period</w:t>
      </w:r>
      <w:r w:rsidR="006A4908">
        <w:rPr>
          <w:rFonts w:eastAsia="Calibri"/>
        </w:rPr>
        <w:t>/2025 MIPS payment year</w:t>
      </w:r>
      <w:r w:rsidRPr="00B17713" w:rsidR="00B17713">
        <w:rPr>
          <w:rFonts w:eastAsia="Calibri"/>
        </w:rPr>
        <w:t xml:space="preserve">.  Using the methodology </w:t>
      </w:r>
      <w:r w:rsidR="00B17713">
        <w:rPr>
          <w:rFonts w:eastAsia="Calibri"/>
        </w:rPr>
        <w:t>previously described</w:t>
      </w:r>
      <w:r w:rsidRPr="00B17713" w:rsidR="00B17713">
        <w:rPr>
          <w:rFonts w:eastAsia="Calibri"/>
        </w:rPr>
        <w:t xml:space="preserve">, </w:t>
      </w:r>
      <w:r w:rsidRPr="006827A7" w:rsidR="006827A7">
        <w:rPr>
          <w:rFonts w:eastAsia="Calibri"/>
        </w:rPr>
        <w:t xml:space="preserve">for the </w:t>
      </w:r>
      <w:r w:rsidR="00C15DD5">
        <w:rPr>
          <w:rFonts w:eastAsia="Calibri"/>
        </w:rPr>
        <w:t xml:space="preserve">CY </w:t>
      </w:r>
      <w:r w:rsidRPr="006827A7" w:rsidR="006827A7">
        <w:rPr>
          <w:rFonts w:eastAsia="Calibri"/>
        </w:rPr>
        <w:t>202</w:t>
      </w:r>
      <w:r w:rsidR="00C15DD5">
        <w:rPr>
          <w:rFonts w:eastAsia="Calibri"/>
        </w:rPr>
        <w:t>3</w:t>
      </w:r>
      <w:r w:rsidRPr="006827A7" w:rsidR="006827A7">
        <w:rPr>
          <w:rFonts w:eastAsia="Calibri"/>
        </w:rPr>
        <w:t xml:space="preserve"> </w:t>
      </w:r>
      <w:r w:rsidRPr="006827A7" w:rsidR="006827A7">
        <w:rPr>
          <w:rFonts w:eastAsia="Calibri"/>
        </w:rPr>
        <w:lastRenderedPageBreak/>
        <w:t>MIPS performance period</w:t>
      </w:r>
      <w:r w:rsidR="00C15DD5">
        <w:rPr>
          <w:rFonts w:eastAsia="Calibri"/>
        </w:rPr>
        <w:t>/2025 MIPS payment year</w:t>
      </w:r>
      <w:r w:rsidRPr="006827A7" w:rsidR="006827A7">
        <w:rPr>
          <w:rFonts w:eastAsia="Calibri"/>
        </w:rPr>
        <w:t>, we estimate 45 additional groups will submit quality data via the MIPS CQM and QCDR collection type due to the sunsetting of the CMS Web Interface measures as a collection type/submission type</w:t>
      </w:r>
      <w:r w:rsidR="00C2665C">
        <w:rPr>
          <w:rFonts w:eastAsia="Calibri"/>
        </w:rPr>
        <w:t xml:space="preserve"> </w:t>
      </w:r>
      <w:r w:rsidR="0094446F">
        <w:rPr>
          <w:rFonts w:eastAsia="Calibri"/>
        </w:rPr>
        <w:t>beginning with the CY</w:t>
      </w:r>
      <w:r w:rsidRPr="006827A7" w:rsidR="006827A7">
        <w:rPr>
          <w:rFonts w:eastAsia="Calibri"/>
        </w:rPr>
        <w:t xml:space="preserve"> 202</w:t>
      </w:r>
      <w:r w:rsidR="0094446F">
        <w:rPr>
          <w:rFonts w:eastAsia="Calibri"/>
        </w:rPr>
        <w:t>3</w:t>
      </w:r>
      <w:r w:rsidRPr="006827A7" w:rsidR="006827A7">
        <w:rPr>
          <w:rFonts w:eastAsia="Calibri"/>
        </w:rPr>
        <w:t xml:space="preserve"> MIPS performance period</w:t>
      </w:r>
      <w:r w:rsidR="0094446F">
        <w:rPr>
          <w:rFonts w:eastAsia="Calibri"/>
        </w:rPr>
        <w:t>/2025 MIPS payment year</w:t>
      </w:r>
      <w:r w:rsidR="003F6059">
        <w:rPr>
          <w:rFonts w:eastAsia="Calibri"/>
        </w:rPr>
        <w:t>.</w:t>
      </w:r>
    </w:p>
    <w:p w:rsidRPr="00423A87" w:rsidR="00423A87" w:rsidP="00CF4BB7" w:rsidRDefault="00423A87" w14:paraId="51A7F991" w14:textId="7B1E2CCC">
      <w:pPr>
        <w:rPr>
          <w:rFonts w:eastAsia="Calibri"/>
        </w:rPr>
      </w:pPr>
      <w:r w:rsidRPr="00423A87">
        <w:rPr>
          <w:rFonts w:eastAsia="Calibri"/>
        </w:rPr>
        <w:t xml:space="preserve">As noted in Tables </w:t>
      </w:r>
      <w:r w:rsidR="00B17713">
        <w:rPr>
          <w:rFonts w:eastAsia="Calibri"/>
        </w:rPr>
        <w:t>6</w:t>
      </w:r>
      <w:r w:rsidR="006E4886">
        <w:rPr>
          <w:rFonts w:eastAsia="Calibri"/>
        </w:rPr>
        <w:t>A</w:t>
      </w:r>
      <w:r w:rsidRPr="00423A87">
        <w:rPr>
          <w:rFonts w:eastAsia="Calibri"/>
        </w:rPr>
        <w:t xml:space="preserve">, </w:t>
      </w:r>
      <w:r w:rsidR="00B17713">
        <w:rPr>
          <w:rFonts w:eastAsia="Calibri"/>
        </w:rPr>
        <w:t>7</w:t>
      </w:r>
      <w:r w:rsidR="006E4886">
        <w:rPr>
          <w:rFonts w:eastAsia="Calibri"/>
        </w:rPr>
        <w:t>A</w:t>
      </w:r>
      <w:r w:rsidRPr="00423A87">
        <w:rPr>
          <w:rFonts w:eastAsia="Calibri"/>
        </w:rPr>
        <w:t xml:space="preserve">, and </w:t>
      </w:r>
      <w:r w:rsidR="00B17713">
        <w:rPr>
          <w:rFonts w:eastAsia="Calibri"/>
        </w:rPr>
        <w:t>8</w:t>
      </w:r>
      <w:r w:rsidR="006E4886">
        <w:rPr>
          <w:rFonts w:eastAsia="Calibri"/>
        </w:rPr>
        <w:t>A</w:t>
      </w:r>
      <w:r w:rsidRPr="00423A87">
        <w:rPr>
          <w:rFonts w:eastAsia="Calibri"/>
        </w:rPr>
        <w:t xml:space="preserve">, </w:t>
      </w:r>
      <w:r w:rsidRPr="00F13BBE" w:rsidR="00F13BBE">
        <w:rPr>
          <w:rFonts w:eastAsia="Calibri"/>
        </w:rPr>
        <w:t xml:space="preserve">and based on </w:t>
      </w:r>
      <w:r w:rsidR="00397B58">
        <w:rPr>
          <w:rFonts w:eastAsia="Calibri"/>
        </w:rPr>
        <w:t xml:space="preserve">CY </w:t>
      </w:r>
      <w:r w:rsidRPr="00F13BBE" w:rsidR="00F13BBE">
        <w:rPr>
          <w:rFonts w:eastAsia="Calibri"/>
        </w:rPr>
        <w:t>2019 MIPS performance period</w:t>
      </w:r>
      <w:r w:rsidR="00397B58">
        <w:rPr>
          <w:rFonts w:eastAsia="Calibri"/>
        </w:rPr>
        <w:t>/2021 MIPS payment year</w:t>
      </w:r>
      <w:r w:rsidRPr="00F13BBE" w:rsidR="00F13BBE">
        <w:rPr>
          <w:rFonts w:eastAsia="Calibri"/>
        </w:rPr>
        <w:t xml:space="preserve"> data, we assume that </w:t>
      </w:r>
      <w:r w:rsidR="00265432">
        <w:rPr>
          <w:rFonts w:eastAsia="Calibri"/>
        </w:rPr>
        <w:t>40,507</w:t>
      </w:r>
      <w:r w:rsidRPr="00F13BBE" w:rsidR="00F13BBE">
        <w:rPr>
          <w:rFonts w:eastAsia="Calibri"/>
        </w:rPr>
        <w:t xml:space="preserve"> </w:t>
      </w:r>
      <w:r w:rsidR="00F51E87">
        <w:rPr>
          <w:rFonts w:eastAsia="Calibri"/>
        </w:rPr>
        <w:t xml:space="preserve">individual </w:t>
      </w:r>
      <w:r w:rsidRPr="00F13BBE" w:rsidR="00F13BBE">
        <w:rPr>
          <w:rFonts w:eastAsia="Calibri"/>
        </w:rPr>
        <w:t>clinicians and 11,5</w:t>
      </w:r>
      <w:r w:rsidR="00C4775C">
        <w:rPr>
          <w:rFonts w:eastAsia="Calibri"/>
        </w:rPr>
        <w:t>27</w:t>
      </w:r>
      <w:r w:rsidRPr="00F13BBE" w:rsidR="00F13BBE">
        <w:rPr>
          <w:rFonts w:eastAsia="Calibri"/>
        </w:rPr>
        <w:t xml:space="preserve"> groups and virtual groups</w:t>
      </w:r>
      <w:r w:rsidR="00F51E87">
        <w:rPr>
          <w:rFonts w:eastAsia="Calibri"/>
        </w:rPr>
        <w:t xml:space="preserve"> will submit quality data for the MIPS CQM and QCDR collection types in</w:t>
      </w:r>
      <w:r w:rsidRPr="00F13BBE" w:rsidR="00F51E87">
        <w:rPr>
          <w:rFonts w:eastAsia="Calibri"/>
        </w:rPr>
        <w:t xml:space="preserve"> the</w:t>
      </w:r>
      <w:r w:rsidR="00F51E87">
        <w:rPr>
          <w:rFonts w:eastAsia="Calibri"/>
        </w:rPr>
        <w:t xml:space="preserve"> CY</w:t>
      </w:r>
      <w:r w:rsidRPr="00F13BBE" w:rsidR="00F51E87">
        <w:rPr>
          <w:rFonts w:eastAsia="Calibri"/>
        </w:rPr>
        <w:t xml:space="preserve"> 202</w:t>
      </w:r>
      <w:r w:rsidR="00F51E87">
        <w:rPr>
          <w:rFonts w:eastAsia="Calibri"/>
        </w:rPr>
        <w:t>2 MIPS</w:t>
      </w:r>
      <w:r w:rsidRPr="00F13BBE" w:rsidR="00F51E87">
        <w:rPr>
          <w:rFonts w:eastAsia="Calibri"/>
        </w:rPr>
        <w:t xml:space="preserve"> performance period</w:t>
      </w:r>
      <w:r w:rsidR="00F51E87">
        <w:rPr>
          <w:rFonts w:eastAsia="Calibri"/>
        </w:rPr>
        <w:t>/2024 MIPS payment year</w:t>
      </w:r>
      <w:r w:rsidRPr="00F13BBE" w:rsidR="00F13BBE">
        <w:rPr>
          <w:rFonts w:eastAsia="Calibri"/>
        </w:rPr>
        <w:t xml:space="preserve">.  </w:t>
      </w:r>
      <w:r w:rsidR="007511F3">
        <w:rPr>
          <w:rFonts w:eastAsia="Calibri"/>
        </w:rPr>
        <w:t xml:space="preserve">Due to the proposed policy </w:t>
      </w:r>
      <w:r w:rsidR="00C76C1E">
        <w:rPr>
          <w:rFonts w:eastAsia="Calibri"/>
        </w:rPr>
        <w:t xml:space="preserve">for implementation of voluntary MVP reporting </w:t>
      </w:r>
      <w:r w:rsidR="007511F3">
        <w:rPr>
          <w:rFonts w:eastAsia="Calibri"/>
        </w:rPr>
        <w:t>in the CY 2022 PFS proposed rule</w:t>
      </w:r>
      <w:r w:rsidR="00BE2BE9">
        <w:rPr>
          <w:rFonts w:eastAsia="Calibri"/>
        </w:rPr>
        <w:t>,</w:t>
      </w:r>
      <w:r w:rsidR="00210F80">
        <w:rPr>
          <w:rFonts w:eastAsia="Calibri"/>
        </w:rPr>
        <w:t xml:space="preserve"> </w:t>
      </w:r>
      <w:r w:rsidR="00C24BCC">
        <w:rPr>
          <w:rFonts w:eastAsia="Calibri"/>
        </w:rPr>
        <w:t>f</w:t>
      </w:r>
      <w:r w:rsidRPr="00F13BBE" w:rsidR="00F13BBE">
        <w:rPr>
          <w:rFonts w:eastAsia="Calibri"/>
        </w:rPr>
        <w:t xml:space="preserve">or the </w:t>
      </w:r>
      <w:r w:rsidR="009203DD">
        <w:rPr>
          <w:rFonts w:eastAsia="Calibri"/>
        </w:rPr>
        <w:t xml:space="preserve">CY </w:t>
      </w:r>
      <w:r w:rsidRPr="00F13BBE" w:rsidR="00F13BBE">
        <w:rPr>
          <w:rFonts w:eastAsia="Calibri"/>
        </w:rPr>
        <w:t>202</w:t>
      </w:r>
      <w:r w:rsidR="009203DD">
        <w:rPr>
          <w:rFonts w:eastAsia="Calibri"/>
        </w:rPr>
        <w:t>3 MIPS</w:t>
      </w:r>
      <w:r w:rsidRPr="00F13BBE" w:rsidR="00F13BBE">
        <w:rPr>
          <w:rFonts w:eastAsia="Calibri"/>
        </w:rPr>
        <w:t xml:space="preserve"> performance period</w:t>
      </w:r>
      <w:r w:rsidR="009203DD">
        <w:rPr>
          <w:rFonts w:eastAsia="Calibri"/>
        </w:rPr>
        <w:t>/2025 MIPS payment year</w:t>
      </w:r>
      <w:r w:rsidRPr="00F13BBE" w:rsidR="00F13BBE">
        <w:rPr>
          <w:rFonts w:eastAsia="Calibri"/>
        </w:rPr>
        <w:t xml:space="preserve">, we assume that </w:t>
      </w:r>
      <w:r w:rsidR="000F02F5">
        <w:rPr>
          <w:rFonts w:eastAsia="Calibri"/>
        </w:rPr>
        <w:t xml:space="preserve">36,456 </w:t>
      </w:r>
      <w:r w:rsidR="004C475A">
        <w:rPr>
          <w:rFonts w:eastAsia="Calibri"/>
        </w:rPr>
        <w:t xml:space="preserve">individual </w:t>
      </w:r>
      <w:r w:rsidRPr="00F13BBE" w:rsidR="00F13BBE">
        <w:rPr>
          <w:rFonts w:eastAsia="Calibri"/>
        </w:rPr>
        <w:t xml:space="preserve">clinicians </w:t>
      </w:r>
      <w:r w:rsidR="004C475A">
        <w:rPr>
          <w:rFonts w:eastAsia="Calibri"/>
        </w:rPr>
        <w:t xml:space="preserve">and </w:t>
      </w:r>
      <w:r w:rsidRPr="00B102CE" w:rsidR="004C475A">
        <w:rPr>
          <w:rFonts w:eastAsia="Calibri"/>
        </w:rPr>
        <w:t>10,432</w:t>
      </w:r>
      <w:r w:rsidR="004C475A">
        <w:rPr>
          <w:rFonts w:eastAsia="Calibri"/>
        </w:rPr>
        <w:t xml:space="preserve"> </w:t>
      </w:r>
      <w:r w:rsidRPr="00F13BBE" w:rsidR="004C475A">
        <w:rPr>
          <w:rFonts w:eastAsia="Calibri"/>
        </w:rPr>
        <w:t>groups and virtual groups</w:t>
      </w:r>
      <w:r w:rsidR="004C475A">
        <w:rPr>
          <w:rFonts w:eastAsia="Calibri"/>
        </w:rPr>
        <w:t xml:space="preserve"> </w:t>
      </w:r>
      <w:r w:rsidRPr="00F13BBE" w:rsidR="00F13BBE">
        <w:rPr>
          <w:rFonts w:eastAsia="Calibri"/>
        </w:rPr>
        <w:t xml:space="preserve">will submit quality data   using </w:t>
      </w:r>
      <w:r w:rsidR="00277D0C">
        <w:rPr>
          <w:rFonts w:eastAsia="Calibri"/>
        </w:rPr>
        <w:t xml:space="preserve">the </w:t>
      </w:r>
      <w:r w:rsidRPr="00F13BBE" w:rsidR="00F13BBE">
        <w:rPr>
          <w:rFonts w:eastAsia="Calibri"/>
        </w:rPr>
        <w:t>MIPS CQM or QCDR collection types</w:t>
      </w:r>
      <w:r w:rsidR="00462F11">
        <w:rPr>
          <w:rFonts w:eastAsia="Calibri"/>
        </w:rPr>
        <w:t xml:space="preserve">. </w:t>
      </w:r>
      <w:r w:rsidRPr="00F13BBE" w:rsidR="00F13BBE">
        <w:rPr>
          <w:rFonts w:eastAsia="Calibri"/>
        </w:rPr>
        <w:t xml:space="preserve">  Given that the number of measures required is the same for clinicians and groups, we expect the burden to be the same for each respondent collecting data via MIPS CQM or QCDR, whether the clinician is participating in MIPS as an individual or group</w:t>
      </w:r>
      <w:r w:rsidR="00B17713">
        <w:rPr>
          <w:rFonts w:eastAsia="Calibri"/>
        </w:rPr>
        <w:t>.</w:t>
      </w:r>
    </w:p>
    <w:p w:rsidRPr="00B17713" w:rsidR="00B17713" w:rsidP="00B17713" w:rsidRDefault="00B17713" w14:paraId="389664B8" w14:textId="77777777">
      <w:pPr>
        <w:rPr>
          <w:rFonts w:eastAsia="Calibri"/>
        </w:rPr>
      </w:pPr>
      <w:r w:rsidRPr="00B17713">
        <w:rPr>
          <w:rFonts w:eastAsia="Calibri"/>
        </w:rPr>
        <w:t xml:space="preserve">Under the MIPS CQM and QCDR collection types, the individual clinician or group may either submit the quality measures data directly to us, log in and upload a file, or utilize a third-party intermediary to submit the data to us on the clinician’s or group’s behalf.  </w:t>
      </w:r>
    </w:p>
    <w:p w:rsidR="00350382" w:rsidP="00B17713" w:rsidRDefault="00B17713" w14:paraId="4CE15E62" w14:textId="5CB6A84D">
      <w:pPr>
        <w:rPr>
          <w:rFonts w:eastAsia="Calibri"/>
        </w:rPr>
      </w:pPr>
      <w:r w:rsidRPr="00B17713">
        <w:rPr>
          <w:rFonts w:eastAsia="Calibri"/>
        </w:rPr>
        <w:t>We estimate that the burden associated with the QCDR collection type is similar to the burden associated with the MIPS CQM collection type; therefore, we discuss the burden for both together below.  For MIPS CQM and QCDR collection types, we estimate an additional time for respondents (individual clinicians and groups) to become familiar with MIPS quality measure specifications and, in some cases, specialty measure sets and QCDR measures.  Therefore, we believe that the burden for an individual clinician or group to review measure specifications and submit quality data total 9</w:t>
      </w:r>
      <w:r w:rsidR="00530D01">
        <w:rPr>
          <w:rFonts w:eastAsia="Calibri"/>
        </w:rPr>
        <w:t>.08</w:t>
      </w:r>
      <w:r w:rsidRPr="00B17713">
        <w:rPr>
          <w:rFonts w:eastAsia="Calibri"/>
        </w:rPr>
        <w:t xml:space="preserve"> hours at </w:t>
      </w:r>
      <w:r w:rsidR="0055738B">
        <w:rPr>
          <w:rFonts w:eastAsia="Calibri"/>
        </w:rPr>
        <w:t xml:space="preserve">a cost of </w:t>
      </w:r>
      <w:r w:rsidRPr="00B17713">
        <w:rPr>
          <w:rFonts w:eastAsia="Calibri"/>
        </w:rPr>
        <w:t>$</w:t>
      </w:r>
      <w:r w:rsidR="0055738B">
        <w:rPr>
          <w:rFonts w:eastAsia="Calibri"/>
        </w:rPr>
        <w:t>922.76</w:t>
      </w:r>
      <w:r w:rsidR="00112DDF">
        <w:rPr>
          <w:rFonts w:eastAsia="Calibri"/>
        </w:rPr>
        <w:t xml:space="preserve"> per response</w:t>
      </w:r>
      <w:r w:rsidRPr="00B17713">
        <w:rPr>
          <w:rFonts w:eastAsia="Calibri"/>
        </w:rPr>
        <w:t>.  This consists of 3 hours at $9</w:t>
      </w:r>
      <w:r w:rsidR="0025773B">
        <w:rPr>
          <w:rFonts w:eastAsia="Calibri"/>
        </w:rPr>
        <w:t>5.22</w:t>
      </w:r>
      <w:r w:rsidRPr="00B17713">
        <w:rPr>
          <w:rFonts w:eastAsia="Calibri"/>
        </w:rPr>
        <w:t>/hr for a computer systems analyst (or their equivalent) to submit quality data along with 2 hours at $11</w:t>
      </w:r>
      <w:r w:rsidR="0025773B">
        <w:rPr>
          <w:rFonts w:eastAsia="Calibri"/>
        </w:rPr>
        <w:t>4.24</w:t>
      </w:r>
      <w:r w:rsidRPr="00B17713">
        <w:rPr>
          <w:rFonts w:eastAsia="Calibri"/>
        </w:rPr>
        <w:t>/hr for a medical and health services manager, 1 hour at $9</w:t>
      </w:r>
      <w:r w:rsidR="0025773B">
        <w:rPr>
          <w:rFonts w:eastAsia="Calibri"/>
        </w:rPr>
        <w:t>5.22</w:t>
      </w:r>
      <w:r w:rsidRPr="00B17713">
        <w:rPr>
          <w:rFonts w:eastAsia="Calibri"/>
        </w:rPr>
        <w:t>/hr for a computer systems analyst, 1 hour at $4</w:t>
      </w:r>
      <w:r w:rsidR="00E74637">
        <w:rPr>
          <w:rFonts w:eastAsia="Calibri"/>
        </w:rPr>
        <w:t>8.16</w:t>
      </w:r>
      <w:r w:rsidRPr="00B17713">
        <w:rPr>
          <w:rFonts w:eastAsia="Calibri"/>
        </w:rPr>
        <w:t>/hr for a LPN, 1 hour at $</w:t>
      </w:r>
      <w:r w:rsidR="00E74637">
        <w:rPr>
          <w:rFonts w:eastAsia="Calibri"/>
        </w:rPr>
        <w:t>40.02</w:t>
      </w:r>
      <w:r w:rsidRPr="00B17713">
        <w:rPr>
          <w:rFonts w:eastAsia="Calibri"/>
        </w:rPr>
        <w:t>/hr for a billing clerk, and 1 hour at $21</w:t>
      </w:r>
      <w:r w:rsidR="00E74637">
        <w:rPr>
          <w:rFonts w:eastAsia="Calibri"/>
        </w:rPr>
        <w:t>7.32</w:t>
      </w:r>
      <w:r w:rsidRPr="00B17713">
        <w:rPr>
          <w:rFonts w:eastAsia="Calibri"/>
        </w:rPr>
        <w:t>/hr for a physician to review measure specifications. Additionally, clinicians and groups who do not submit data directly will need to authorize or instruct the qualified registry or QCDR to submit quality measures’ results and numerator and denominator data on quality measures to us on their behalf.  We estimate that the time and effort associated with authorizing or instructing the quality registry or QCDR to submit this data will be approximately 5 minutes (0.083 hours) at $9</w:t>
      </w:r>
      <w:r w:rsidR="00A33926">
        <w:rPr>
          <w:rFonts w:eastAsia="Calibri"/>
        </w:rPr>
        <w:t>5.22</w:t>
      </w:r>
      <w:r w:rsidRPr="00B17713">
        <w:rPr>
          <w:rFonts w:eastAsia="Calibri"/>
        </w:rPr>
        <w:t>/hr for a computer systems analyst at a cost of $7.</w:t>
      </w:r>
      <w:r w:rsidR="00066FB6">
        <w:rPr>
          <w:rFonts w:eastAsia="Calibri"/>
        </w:rPr>
        <w:t>9</w:t>
      </w:r>
      <w:r w:rsidRPr="00B17713">
        <w:rPr>
          <w:rFonts w:eastAsia="Calibri"/>
        </w:rPr>
        <w:t>0 (0.083 hr x $9</w:t>
      </w:r>
      <w:r w:rsidR="00066FB6">
        <w:rPr>
          <w:rFonts w:eastAsia="Calibri"/>
        </w:rPr>
        <w:t>5.22</w:t>
      </w:r>
      <w:r w:rsidRPr="00B17713">
        <w:rPr>
          <w:rFonts w:eastAsia="Calibri"/>
        </w:rPr>
        <w:t>/hr). Overall</w:t>
      </w:r>
      <w:r w:rsidR="00E36F4F">
        <w:rPr>
          <w:rFonts w:eastAsia="Calibri"/>
        </w:rPr>
        <w:t>,</w:t>
      </w:r>
      <w:r w:rsidRPr="00B17713">
        <w:rPr>
          <w:rFonts w:eastAsia="Calibri"/>
        </w:rPr>
        <w:t xml:space="preserve"> we estimate a cost of $</w:t>
      </w:r>
      <w:r w:rsidR="004E6D65">
        <w:rPr>
          <w:rFonts w:eastAsia="Calibri"/>
        </w:rPr>
        <w:t>922.76</w:t>
      </w:r>
      <w:r w:rsidRPr="00B17713">
        <w:rPr>
          <w:rFonts w:eastAsia="Calibri"/>
        </w:rPr>
        <w:t>/response [(3 hr x $9</w:t>
      </w:r>
      <w:r w:rsidR="004E6D65">
        <w:rPr>
          <w:rFonts w:eastAsia="Calibri"/>
        </w:rPr>
        <w:t>5.22</w:t>
      </w:r>
      <w:r w:rsidRPr="00B17713">
        <w:rPr>
          <w:rFonts w:eastAsia="Calibri"/>
        </w:rPr>
        <w:t>/hr) + (2 hr x $11</w:t>
      </w:r>
      <w:r w:rsidR="004E6D65">
        <w:rPr>
          <w:rFonts w:eastAsia="Calibri"/>
        </w:rPr>
        <w:t>4.24</w:t>
      </w:r>
      <w:r w:rsidRPr="00B17713">
        <w:rPr>
          <w:rFonts w:eastAsia="Calibri"/>
        </w:rPr>
        <w:t>/hr) + (1 hr x $21</w:t>
      </w:r>
      <w:r w:rsidR="004E6D65">
        <w:rPr>
          <w:rFonts w:eastAsia="Calibri"/>
        </w:rPr>
        <w:t>7.32</w:t>
      </w:r>
      <w:r w:rsidRPr="00B17713">
        <w:rPr>
          <w:rFonts w:eastAsia="Calibri"/>
        </w:rPr>
        <w:t>/hr) + (1 hr x $9</w:t>
      </w:r>
      <w:r w:rsidR="004E6D65">
        <w:rPr>
          <w:rFonts w:eastAsia="Calibri"/>
        </w:rPr>
        <w:t>5.22</w:t>
      </w:r>
      <w:r w:rsidRPr="00B17713">
        <w:rPr>
          <w:rFonts w:eastAsia="Calibri"/>
        </w:rPr>
        <w:t>/hr) + (1 hr x $4</w:t>
      </w:r>
      <w:r w:rsidR="004E6D65">
        <w:rPr>
          <w:rFonts w:eastAsia="Calibri"/>
        </w:rPr>
        <w:t>8.</w:t>
      </w:r>
      <w:r w:rsidR="009871F7">
        <w:rPr>
          <w:rFonts w:eastAsia="Calibri"/>
        </w:rPr>
        <w:t>16</w:t>
      </w:r>
      <w:r w:rsidRPr="00B17713">
        <w:rPr>
          <w:rFonts w:eastAsia="Calibri"/>
        </w:rPr>
        <w:t>/hr) + (1 hr x $</w:t>
      </w:r>
      <w:r w:rsidR="009871F7">
        <w:rPr>
          <w:rFonts w:eastAsia="Calibri"/>
        </w:rPr>
        <w:t>40.02</w:t>
      </w:r>
      <w:r w:rsidRPr="00B17713">
        <w:rPr>
          <w:rFonts w:eastAsia="Calibri"/>
        </w:rPr>
        <w:t>/hr) + (0.083 hr x $9</w:t>
      </w:r>
      <w:r w:rsidR="009871F7">
        <w:rPr>
          <w:rFonts w:eastAsia="Calibri"/>
        </w:rPr>
        <w:t>5.22</w:t>
      </w:r>
      <w:r w:rsidRPr="00B17713">
        <w:rPr>
          <w:rFonts w:eastAsia="Calibri"/>
        </w:rPr>
        <w:t>/hr)]</w:t>
      </w:r>
      <w:r w:rsidRPr="00350382" w:rsidR="00350382">
        <w:rPr>
          <w:rFonts w:eastAsia="Calibri"/>
        </w:rPr>
        <w:t xml:space="preserve">.  </w:t>
      </w:r>
    </w:p>
    <w:p w:rsidRPr="00871E51" w:rsidR="002D76B5" w:rsidP="002D76B5" w:rsidRDefault="00584388" w14:paraId="4962B367" w14:textId="67C4D60B">
      <w:pPr>
        <w:widowControl w:val="0"/>
        <w:ind w:firstLine="720"/>
        <w:rPr>
          <w:rFonts w:eastAsia="Calibri"/>
        </w:rPr>
      </w:pPr>
      <w:r w:rsidRPr="00584388">
        <w:rPr>
          <w:rFonts w:eastAsia="Calibri"/>
        </w:rPr>
        <w:t>For the CY 2022 MIPS performance period/2024 MIPS payment year</w:t>
      </w:r>
      <w:r>
        <w:rPr>
          <w:rFonts w:eastAsia="Calibri"/>
        </w:rPr>
        <w:t>, i</w:t>
      </w:r>
      <w:r w:rsidRPr="006B20F0" w:rsidR="006B20F0">
        <w:rPr>
          <w:rFonts w:eastAsia="Calibri"/>
        </w:rPr>
        <w:t xml:space="preserve">n aggregate, we estimate a burden of </w:t>
      </w:r>
      <w:r w:rsidRPr="00871E51" w:rsidR="00C26A3A">
        <w:rPr>
          <w:rFonts w:eastAsia="Calibri"/>
        </w:rPr>
        <w:t xml:space="preserve">472,643 </w:t>
      </w:r>
      <w:r w:rsidRPr="006B20F0" w:rsidR="006B20F0">
        <w:rPr>
          <w:rFonts w:eastAsia="Calibri"/>
        </w:rPr>
        <w:t>hours [9.08</w:t>
      </w:r>
      <w:r w:rsidR="00A66D31">
        <w:rPr>
          <w:rFonts w:eastAsia="Calibri"/>
        </w:rPr>
        <w:t xml:space="preserve"> </w:t>
      </w:r>
      <w:r w:rsidRPr="006B20F0" w:rsidR="006B20F0">
        <w:rPr>
          <w:rFonts w:eastAsia="Calibri"/>
        </w:rPr>
        <w:t>hr/response x (4</w:t>
      </w:r>
      <w:r w:rsidR="00547BF0">
        <w:rPr>
          <w:rFonts w:eastAsia="Calibri"/>
        </w:rPr>
        <w:t>0,507</w:t>
      </w:r>
      <w:r w:rsidRPr="006B20F0" w:rsidR="006B20F0">
        <w:rPr>
          <w:rFonts w:eastAsia="Calibri"/>
        </w:rPr>
        <w:t xml:space="preserve"> clinicians submitting as individuals + 11,5</w:t>
      </w:r>
      <w:r w:rsidR="00B40762">
        <w:rPr>
          <w:rFonts w:eastAsia="Calibri"/>
        </w:rPr>
        <w:t>2</w:t>
      </w:r>
      <w:r w:rsidR="00F0525D">
        <w:rPr>
          <w:rFonts w:eastAsia="Calibri"/>
        </w:rPr>
        <w:t>9</w:t>
      </w:r>
      <w:r w:rsidR="00B40762">
        <w:rPr>
          <w:rFonts w:eastAsia="Calibri"/>
        </w:rPr>
        <w:t xml:space="preserve"> </w:t>
      </w:r>
      <w:r w:rsidRPr="006B20F0" w:rsidR="006B20F0">
        <w:rPr>
          <w:rFonts w:eastAsia="Calibri"/>
        </w:rPr>
        <w:t>groups submitting via QCDR or MIPS CQM on behalf of individual clinicians or 52,</w:t>
      </w:r>
      <w:r w:rsidR="00ED1FA6">
        <w:rPr>
          <w:rFonts w:eastAsia="Calibri"/>
        </w:rPr>
        <w:t>036</w:t>
      </w:r>
      <w:r w:rsidRPr="006B20F0" w:rsidR="006B20F0">
        <w:rPr>
          <w:rFonts w:eastAsia="Calibri"/>
        </w:rPr>
        <w:t xml:space="preserve"> responses)] at a cost of $4</w:t>
      </w:r>
      <w:r w:rsidR="00A835FC">
        <w:rPr>
          <w:rFonts w:eastAsia="Calibri"/>
        </w:rPr>
        <w:t>8,016,</w:t>
      </w:r>
      <w:r w:rsidR="00707913">
        <w:rPr>
          <w:rFonts w:eastAsia="Calibri"/>
        </w:rPr>
        <w:t>739</w:t>
      </w:r>
      <w:r w:rsidR="00A835FC">
        <w:rPr>
          <w:rFonts w:eastAsia="Calibri"/>
        </w:rPr>
        <w:t xml:space="preserve"> </w:t>
      </w:r>
      <w:r w:rsidRPr="006B20F0" w:rsidR="006B20F0">
        <w:rPr>
          <w:rFonts w:eastAsia="Calibri"/>
        </w:rPr>
        <w:t>(52</w:t>
      </w:r>
      <w:r w:rsidR="00530D01">
        <w:rPr>
          <w:rFonts w:eastAsia="Calibri"/>
        </w:rPr>
        <w:t>,036</w:t>
      </w:r>
      <w:r w:rsidRPr="006B20F0" w:rsidR="006B20F0">
        <w:rPr>
          <w:rFonts w:eastAsia="Calibri"/>
        </w:rPr>
        <w:t xml:space="preserve"> responses x $</w:t>
      </w:r>
      <w:r w:rsidR="00530D01">
        <w:rPr>
          <w:rFonts w:eastAsia="Calibri"/>
        </w:rPr>
        <w:t>922.76</w:t>
      </w:r>
      <w:r w:rsidRPr="006B20F0" w:rsidR="006B20F0">
        <w:rPr>
          <w:rFonts w:eastAsia="Calibri"/>
        </w:rPr>
        <w:t>/response) for the 2021 performance period</w:t>
      </w:r>
      <w:r w:rsidR="002D76B5">
        <w:rPr>
          <w:rFonts w:eastAsia="Calibri"/>
        </w:rPr>
        <w:t>.</w:t>
      </w:r>
      <w:r w:rsidRPr="002D76B5" w:rsidR="002D76B5">
        <w:rPr>
          <w:rFonts w:eastAsia="Calibri"/>
        </w:rPr>
        <w:t xml:space="preserve"> </w:t>
      </w:r>
      <w:r w:rsidRPr="00871E51" w:rsidR="002D76B5">
        <w:rPr>
          <w:rFonts w:eastAsia="Calibri"/>
        </w:rPr>
        <w:t>For the CY 2023 MIPS performance period/2025 MIPS payment year, in aggregate, we estimate a burden of 425,</w:t>
      </w:r>
      <w:r w:rsidR="00640D25">
        <w:rPr>
          <w:rFonts w:eastAsia="Calibri"/>
        </w:rPr>
        <w:t>902</w:t>
      </w:r>
      <w:r w:rsidRPr="00871E51" w:rsidR="002D76B5">
        <w:rPr>
          <w:rFonts w:eastAsia="Calibri"/>
        </w:rPr>
        <w:t xml:space="preserve"> hours [9.083 hr/response x (36,456 clinicians submitting as individuals + 10,43</w:t>
      </w:r>
      <w:r w:rsidR="00951B25">
        <w:rPr>
          <w:rFonts w:eastAsia="Calibri"/>
        </w:rPr>
        <w:t>4</w:t>
      </w:r>
      <w:r w:rsidRPr="00871E51" w:rsidR="002D76B5">
        <w:rPr>
          <w:rFonts w:eastAsia="Calibri"/>
        </w:rPr>
        <w:t xml:space="preserve"> groups submitting via QCDR or MIPS CQM on behalf of individual clinicians or 46,8</w:t>
      </w:r>
      <w:r w:rsidR="002D3E73">
        <w:rPr>
          <w:rFonts w:eastAsia="Calibri"/>
        </w:rPr>
        <w:t>90</w:t>
      </w:r>
      <w:r w:rsidRPr="00871E51" w:rsidR="002D76B5">
        <w:rPr>
          <w:rFonts w:eastAsia="Calibri"/>
        </w:rPr>
        <w:t xml:space="preserve"> responses)] at a cost of $4</w:t>
      </w:r>
      <w:r w:rsidR="002D76B5">
        <w:rPr>
          <w:rFonts w:eastAsia="Calibri"/>
        </w:rPr>
        <w:t>3,2</w:t>
      </w:r>
      <w:r w:rsidR="004D35F4">
        <w:rPr>
          <w:rFonts w:eastAsia="Calibri"/>
        </w:rPr>
        <w:t>68,216</w:t>
      </w:r>
      <w:r w:rsidRPr="00871E51" w:rsidR="002D76B5">
        <w:rPr>
          <w:rFonts w:eastAsia="Calibri"/>
        </w:rPr>
        <w:t xml:space="preserve"> (46,8</w:t>
      </w:r>
      <w:r w:rsidR="004D35F4">
        <w:rPr>
          <w:rFonts w:eastAsia="Calibri"/>
        </w:rPr>
        <w:t>90</w:t>
      </w:r>
      <w:r w:rsidRPr="00871E51" w:rsidR="002D76B5">
        <w:rPr>
          <w:rFonts w:eastAsia="Calibri"/>
        </w:rPr>
        <w:t xml:space="preserve"> responses x </w:t>
      </w:r>
      <w:r w:rsidRPr="00871E51" w:rsidR="002D76B5">
        <w:rPr>
          <w:rFonts w:eastAsia="Calibri"/>
        </w:rPr>
        <w:lastRenderedPageBreak/>
        <w:t>$9</w:t>
      </w:r>
      <w:r w:rsidR="002D76B5">
        <w:rPr>
          <w:rFonts w:eastAsia="Calibri"/>
        </w:rPr>
        <w:t>22.76</w:t>
      </w:r>
      <w:r w:rsidRPr="00871E51" w:rsidR="002D76B5">
        <w:rPr>
          <w:rFonts w:eastAsia="Calibri"/>
        </w:rPr>
        <w:t xml:space="preserve">/response). Based on these assumptions, we have estimated in Table </w:t>
      </w:r>
      <w:r w:rsidR="00D51664">
        <w:rPr>
          <w:rFonts w:eastAsia="Calibri"/>
        </w:rPr>
        <w:t>1</w:t>
      </w:r>
      <w:r w:rsidR="001D1174">
        <w:rPr>
          <w:rFonts w:eastAsia="Calibri"/>
        </w:rPr>
        <w:t>1</w:t>
      </w:r>
      <w:r w:rsidRPr="00871E51" w:rsidR="002D76B5">
        <w:rPr>
          <w:rFonts w:eastAsia="Calibri"/>
        </w:rPr>
        <w:t xml:space="preserve"> the burden for these submissions.</w:t>
      </w:r>
    </w:p>
    <w:p w:rsidRPr="00C47150" w:rsidR="00C351ED" w:rsidP="00F37138" w:rsidRDefault="00C351ED" w14:paraId="3F53AADF" w14:textId="73C739AC">
      <w:pPr>
        <w:keepNext/>
        <w:keepLines/>
        <w:spacing w:after="0"/>
        <w:jc w:val="center"/>
        <w:rPr>
          <w:b/>
        </w:rPr>
      </w:pPr>
      <w:r w:rsidRPr="00C47150">
        <w:rPr>
          <w:b/>
        </w:rPr>
        <w:t xml:space="preserve">TABLE </w:t>
      </w:r>
      <w:r w:rsidR="000B240C">
        <w:rPr>
          <w:b/>
        </w:rPr>
        <w:t>11</w:t>
      </w:r>
      <w:r w:rsidR="006B4818">
        <w:rPr>
          <w:b/>
        </w:rPr>
        <w:t>: Estimated Burden</w:t>
      </w:r>
      <w:r w:rsidRPr="00732012">
        <w:rPr>
          <w:b/>
        </w:rPr>
        <w:t xml:space="preserve"> </w:t>
      </w:r>
      <w:r w:rsidRPr="00C47150">
        <w:rPr>
          <w:b/>
        </w:rPr>
        <w:t xml:space="preserve">for Quality Performance Category: </w:t>
      </w:r>
      <w:r w:rsidR="00530A16">
        <w:rPr>
          <w:b/>
        </w:rPr>
        <w:br/>
      </w:r>
      <w:r w:rsidRPr="00C47150">
        <w:rPr>
          <w:b/>
        </w:rPr>
        <w:t xml:space="preserve">Clinicians (Participating Individually or as Part of a Group) Using the </w:t>
      </w:r>
      <w:r w:rsidR="00037FF8">
        <w:rPr>
          <w:b/>
        </w:rPr>
        <w:t>MIPS CQM</w:t>
      </w:r>
      <w:r w:rsidR="0052171D">
        <w:rPr>
          <w:b/>
        </w:rPr>
        <w:t xml:space="preserve"> and </w:t>
      </w:r>
      <w:r w:rsidRPr="00C47150">
        <w:rPr>
          <w:b/>
        </w:rPr>
        <w:t>QCDR Collection Type</w:t>
      </w: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85"/>
        <w:gridCol w:w="1849"/>
        <w:gridCol w:w="2016"/>
      </w:tblGrid>
      <w:tr w:rsidRPr="00C47150" w:rsidR="005F2E2C" w:rsidTr="00841679" w14:paraId="14827F76" w14:textId="6DDA0092">
        <w:trPr>
          <w:cantSplit/>
          <w:trHeight w:val="467"/>
          <w:tblHeader/>
          <w:jc w:val="center"/>
        </w:trPr>
        <w:tc>
          <w:tcPr>
            <w:tcW w:w="5485" w:type="dxa"/>
            <w:shd w:val="clear" w:color="auto" w:fill="auto"/>
            <w:vAlign w:val="center"/>
            <w:hideMark/>
          </w:tcPr>
          <w:p w:rsidRPr="00C351ED" w:rsidR="005F2E2C" w:rsidP="00F37138" w:rsidRDefault="005F2E2C" w14:paraId="07CF05E1" w14:textId="035601BB">
            <w:pPr>
              <w:keepNext/>
              <w:keepLines/>
              <w:spacing w:after="0"/>
              <w:rPr>
                <w:b/>
                <w:sz w:val="20"/>
                <w:szCs w:val="20"/>
              </w:rPr>
            </w:pPr>
            <w:r w:rsidRPr="001742C7">
              <w:rPr>
                <w:sz w:val="20"/>
                <w:szCs w:val="20"/>
              </w:rPr>
              <w:t> </w:t>
            </w:r>
            <w:r w:rsidRPr="00C351ED">
              <w:rPr>
                <w:b/>
                <w:sz w:val="20"/>
                <w:szCs w:val="20"/>
              </w:rPr>
              <w:t>Burden and Respondent Descriptions</w:t>
            </w:r>
          </w:p>
        </w:tc>
        <w:tc>
          <w:tcPr>
            <w:tcW w:w="1849" w:type="dxa"/>
            <w:shd w:val="clear" w:color="auto" w:fill="auto"/>
            <w:hideMark/>
          </w:tcPr>
          <w:p w:rsidRPr="001742C7" w:rsidR="005F2E2C" w:rsidP="00F37138" w:rsidRDefault="005F2E2C" w14:paraId="2C214C8D" w14:textId="59D22060">
            <w:pPr>
              <w:keepNext/>
              <w:keepLines/>
              <w:spacing w:after="0"/>
              <w:jc w:val="center"/>
              <w:rPr>
                <w:b/>
                <w:sz w:val="20"/>
                <w:szCs w:val="20"/>
              </w:rPr>
            </w:pPr>
            <w:r>
              <w:rPr>
                <w:b/>
                <w:sz w:val="20"/>
                <w:szCs w:val="20"/>
              </w:rPr>
              <w:t>202</w:t>
            </w:r>
            <w:r w:rsidR="00C65850">
              <w:rPr>
                <w:b/>
                <w:sz w:val="20"/>
                <w:szCs w:val="20"/>
              </w:rPr>
              <w:t>2</w:t>
            </w:r>
            <w:r>
              <w:rPr>
                <w:b/>
                <w:sz w:val="20"/>
                <w:szCs w:val="20"/>
              </w:rPr>
              <w:t xml:space="preserve"> Performance Period </w:t>
            </w:r>
            <w:r w:rsidRPr="00CC1878">
              <w:rPr>
                <w:b/>
                <w:sz w:val="20"/>
                <w:szCs w:val="20"/>
              </w:rPr>
              <w:t>Burden Estimate</w:t>
            </w:r>
          </w:p>
        </w:tc>
        <w:tc>
          <w:tcPr>
            <w:tcW w:w="2016" w:type="dxa"/>
          </w:tcPr>
          <w:p w:rsidRPr="001742C7" w:rsidR="005F2E2C" w:rsidP="00F37138" w:rsidRDefault="005F2E2C" w14:paraId="5F54DCBE" w14:textId="6D30DF69">
            <w:pPr>
              <w:keepNext/>
              <w:keepLines/>
              <w:spacing w:after="0"/>
              <w:jc w:val="center"/>
              <w:rPr>
                <w:b/>
                <w:sz w:val="20"/>
                <w:szCs w:val="20"/>
              </w:rPr>
            </w:pPr>
            <w:r>
              <w:rPr>
                <w:b/>
                <w:sz w:val="20"/>
                <w:szCs w:val="20"/>
              </w:rPr>
              <w:t>202</w:t>
            </w:r>
            <w:r w:rsidR="00C65850">
              <w:rPr>
                <w:b/>
                <w:sz w:val="20"/>
                <w:szCs w:val="20"/>
              </w:rPr>
              <w:t xml:space="preserve">3 </w:t>
            </w:r>
            <w:r>
              <w:rPr>
                <w:b/>
                <w:sz w:val="20"/>
                <w:szCs w:val="20"/>
              </w:rPr>
              <w:t xml:space="preserve">Performance Period </w:t>
            </w:r>
            <w:r w:rsidRPr="00CC1878">
              <w:rPr>
                <w:b/>
                <w:sz w:val="20"/>
                <w:szCs w:val="20"/>
              </w:rPr>
              <w:t>Burden Estimate</w:t>
            </w:r>
          </w:p>
        </w:tc>
      </w:tr>
      <w:tr w:rsidRPr="00C47150" w:rsidR="005F2E2C" w:rsidTr="00841679" w14:paraId="7607FF30" w14:textId="394BAF89">
        <w:trPr>
          <w:cantSplit/>
          <w:trHeight w:val="315"/>
          <w:jc w:val="center"/>
        </w:trPr>
        <w:tc>
          <w:tcPr>
            <w:tcW w:w="5485" w:type="dxa"/>
            <w:tcBorders>
              <w:top w:val="single" w:color="auto" w:sz="4" w:space="0"/>
              <w:left w:val="single" w:color="auto" w:sz="4" w:space="0"/>
              <w:bottom w:val="single" w:color="auto" w:sz="4" w:space="0"/>
              <w:right w:val="single" w:color="auto" w:sz="4" w:space="0"/>
            </w:tcBorders>
            <w:shd w:val="clear" w:color="auto" w:fill="auto"/>
            <w:hideMark/>
          </w:tcPr>
          <w:p w:rsidRPr="001742C7" w:rsidR="005F2E2C" w:rsidP="00F37138" w:rsidRDefault="005F2E2C" w14:paraId="6D609B38" w14:textId="77777777">
            <w:pPr>
              <w:keepNext/>
              <w:keepLines/>
              <w:spacing w:after="0"/>
              <w:rPr>
                <w:sz w:val="20"/>
                <w:szCs w:val="20"/>
              </w:rPr>
            </w:pPr>
            <w:r w:rsidRPr="00732012">
              <w:rPr>
                <w:sz w:val="20"/>
                <w:szCs w:val="20"/>
              </w:rPr>
              <w:t># of clinicians submitting as individuals (a)</w:t>
            </w:r>
          </w:p>
        </w:tc>
        <w:tc>
          <w:tcPr>
            <w:tcW w:w="1849" w:type="dxa"/>
            <w:tcBorders>
              <w:top w:val="single" w:color="auto" w:sz="4" w:space="0"/>
              <w:left w:val="single" w:color="auto" w:sz="4" w:space="0"/>
              <w:bottom w:val="single" w:color="auto" w:sz="4" w:space="0"/>
              <w:right w:val="single" w:color="auto" w:sz="4" w:space="0"/>
            </w:tcBorders>
            <w:shd w:val="clear" w:color="auto" w:fill="auto"/>
            <w:noWrap/>
          </w:tcPr>
          <w:p w:rsidRPr="00EC04A5" w:rsidR="005F2E2C" w:rsidP="00F37138" w:rsidRDefault="000338AC" w14:paraId="2E2FACE1" w14:textId="06F7A580">
            <w:pPr>
              <w:keepNext/>
              <w:keepLines/>
              <w:spacing w:after="0"/>
              <w:rPr>
                <w:sz w:val="20"/>
                <w:szCs w:val="20"/>
              </w:rPr>
            </w:pPr>
            <w:r>
              <w:rPr>
                <w:sz w:val="20"/>
                <w:szCs w:val="20"/>
              </w:rPr>
              <w:t>40,507</w:t>
            </w:r>
          </w:p>
        </w:tc>
        <w:tc>
          <w:tcPr>
            <w:tcW w:w="2016" w:type="dxa"/>
            <w:tcBorders>
              <w:top w:val="single" w:color="auto" w:sz="4" w:space="0"/>
              <w:left w:val="single" w:color="auto" w:sz="4" w:space="0"/>
              <w:bottom w:val="single" w:color="auto" w:sz="4" w:space="0"/>
              <w:right w:val="single" w:color="auto" w:sz="4" w:space="0"/>
            </w:tcBorders>
          </w:tcPr>
          <w:p w:rsidRPr="00EC04A5" w:rsidR="005F2E2C" w:rsidP="00F37138" w:rsidRDefault="00DA20F6" w14:paraId="2799FA61" w14:textId="6594D7C5">
            <w:pPr>
              <w:keepNext/>
              <w:keepLines/>
              <w:spacing w:after="0"/>
              <w:rPr>
                <w:sz w:val="20"/>
                <w:szCs w:val="20"/>
              </w:rPr>
            </w:pPr>
            <w:r>
              <w:rPr>
                <w:sz w:val="20"/>
                <w:szCs w:val="20"/>
              </w:rPr>
              <w:t>36,456</w:t>
            </w:r>
          </w:p>
        </w:tc>
      </w:tr>
      <w:tr w:rsidRPr="00C47150" w:rsidR="005F2E2C" w:rsidTr="00841679" w14:paraId="16B6B84E" w14:textId="4DD10242">
        <w:trPr>
          <w:cantSplit/>
          <w:trHeight w:val="525"/>
          <w:jc w:val="center"/>
        </w:trPr>
        <w:tc>
          <w:tcPr>
            <w:tcW w:w="5485" w:type="dxa"/>
            <w:tcBorders>
              <w:top w:val="single" w:color="auto" w:sz="4" w:space="0"/>
              <w:left w:val="single" w:color="auto" w:sz="4" w:space="0"/>
              <w:bottom w:val="single" w:color="auto" w:sz="4" w:space="0"/>
              <w:right w:val="single" w:color="auto" w:sz="4" w:space="0"/>
            </w:tcBorders>
            <w:shd w:val="clear" w:color="auto" w:fill="auto"/>
            <w:hideMark/>
          </w:tcPr>
          <w:p w:rsidRPr="001742C7" w:rsidR="005F2E2C" w:rsidP="00F37138" w:rsidRDefault="005F2E2C" w14:paraId="2BD5D145" w14:textId="33964798">
            <w:pPr>
              <w:keepNext/>
              <w:keepLines/>
              <w:spacing w:after="0"/>
              <w:rPr>
                <w:sz w:val="20"/>
                <w:szCs w:val="20"/>
              </w:rPr>
            </w:pPr>
            <w:r w:rsidRPr="00732012">
              <w:rPr>
                <w:sz w:val="20"/>
                <w:szCs w:val="20"/>
              </w:rPr>
              <w:t xml:space="preserve"># of groups submitting via QCDR or </w:t>
            </w:r>
            <w:r>
              <w:rPr>
                <w:sz w:val="20"/>
                <w:szCs w:val="20"/>
              </w:rPr>
              <w:t>MIPS CQM</w:t>
            </w:r>
            <w:r w:rsidRPr="00732012">
              <w:rPr>
                <w:sz w:val="20"/>
                <w:szCs w:val="20"/>
              </w:rPr>
              <w:t xml:space="preserve"> on behalf of individual clinicians (b) </w:t>
            </w:r>
          </w:p>
        </w:tc>
        <w:tc>
          <w:tcPr>
            <w:tcW w:w="1849" w:type="dxa"/>
            <w:tcBorders>
              <w:top w:val="single" w:color="auto" w:sz="4" w:space="0"/>
              <w:left w:val="single" w:color="auto" w:sz="4" w:space="0"/>
              <w:bottom w:val="single" w:color="auto" w:sz="4" w:space="0"/>
              <w:right w:val="single" w:color="auto" w:sz="4" w:space="0"/>
            </w:tcBorders>
            <w:shd w:val="clear" w:color="auto" w:fill="auto"/>
            <w:noWrap/>
          </w:tcPr>
          <w:p w:rsidRPr="00EC04A5" w:rsidR="005F2E2C" w:rsidP="00F37138" w:rsidRDefault="005F2E2C" w14:paraId="44CA0F38" w14:textId="055453F1">
            <w:pPr>
              <w:keepNext/>
              <w:keepLines/>
              <w:spacing w:after="0"/>
              <w:rPr>
                <w:sz w:val="20"/>
                <w:szCs w:val="20"/>
              </w:rPr>
            </w:pPr>
            <w:r w:rsidRPr="00E3760B">
              <w:rPr>
                <w:sz w:val="20"/>
                <w:szCs w:val="20"/>
              </w:rPr>
              <w:t>11,</w:t>
            </w:r>
            <w:r w:rsidR="00FF3DF6">
              <w:rPr>
                <w:sz w:val="20"/>
                <w:szCs w:val="20"/>
              </w:rPr>
              <w:t>52</w:t>
            </w:r>
            <w:r w:rsidR="003355CA">
              <w:rPr>
                <w:sz w:val="20"/>
                <w:szCs w:val="20"/>
              </w:rPr>
              <w:t>9</w:t>
            </w:r>
          </w:p>
        </w:tc>
        <w:tc>
          <w:tcPr>
            <w:tcW w:w="2016" w:type="dxa"/>
            <w:tcBorders>
              <w:top w:val="single" w:color="auto" w:sz="4" w:space="0"/>
              <w:left w:val="single" w:color="auto" w:sz="4" w:space="0"/>
              <w:bottom w:val="single" w:color="auto" w:sz="4" w:space="0"/>
              <w:right w:val="single" w:color="auto" w:sz="4" w:space="0"/>
            </w:tcBorders>
          </w:tcPr>
          <w:p w:rsidRPr="00EC04A5" w:rsidR="005F2E2C" w:rsidP="00F37138" w:rsidRDefault="005F2E2C" w14:paraId="66508D78" w14:textId="0F250644">
            <w:pPr>
              <w:keepNext/>
              <w:keepLines/>
              <w:spacing w:after="0"/>
              <w:rPr>
                <w:sz w:val="20"/>
                <w:szCs w:val="20"/>
              </w:rPr>
            </w:pPr>
            <w:r w:rsidRPr="00A84883">
              <w:rPr>
                <w:sz w:val="20"/>
                <w:szCs w:val="20"/>
              </w:rPr>
              <w:t>1</w:t>
            </w:r>
            <w:r w:rsidR="00FF3DF6">
              <w:rPr>
                <w:sz w:val="20"/>
                <w:szCs w:val="20"/>
              </w:rPr>
              <w:t>0,43</w:t>
            </w:r>
            <w:r w:rsidR="00533334">
              <w:rPr>
                <w:sz w:val="20"/>
                <w:szCs w:val="20"/>
              </w:rPr>
              <w:t>4</w:t>
            </w:r>
          </w:p>
        </w:tc>
      </w:tr>
      <w:tr w:rsidRPr="00C47150" w:rsidR="005F2E2C" w:rsidTr="00841679" w14:paraId="793A2CC7" w14:textId="614D04E4">
        <w:trPr>
          <w:cantSplit/>
          <w:trHeight w:val="525"/>
          <w:jc w:val="center"/>
        </w:trPr>
        <w:tc>
          <w:tcPr>
            <w:tcW w:w="5485" w:type="dxa"/>
            <w:tcBorders>
              <w:top w:val="single" w:color="auto" w:sz="4" w:space="0"/>
              <w:left w:val="single" w:color="auto" w:sz="4" w:space="0"/>
              <w:bottom w:val="single" w:color="auto" w:sz="4" w:space="0"/>
              <w:right w:val="single" w:color="auto" w:sz="4" w:space="0"/>
            </w:tcBorders>
            <w:shd w:val="clear" w:color="auto" w:fill="auto"/>
            <w:hideMark/>
          </w:tcPr>
          <w:p w:rsidRPr="001B2C82" w:rsidR="005F2E2C" w:rsidP="005F2E2C" w:rsidRDefault="005F2E2C" w14:paraId="7AC93D75" w14:textId="274559ED">
            <w:pPr>
              <w:spacing w:after="0"/>
              <w:rPr>
                <w:sz w:val="20"/>
                <w:szCs w:val="20"/>
              </w:rPr>
            </w:pPr>
            <w:r w:rsidRPr="001B2C82">
              <w:rPr>
                <w:sz w:val="20"/>
                <w:szCs w:val="20"/>
              </w:rPr>
              <w:t># of Respondents (groups and clinicians submitting as individuals) (c)=(a)+(b)</w:t>
            </w:r>
          </w:p>
        </w:tc>
        <w:tc>
          <w:tcPr>
            <w:tcW w:w="1849" w:type="dxa"/>
            <w:tcBorders>
              <w:top w:val="single" w:color="auto" w:sz="4" w:space="0"/>
              <w:left w:val="single" w:color="auto" w:sz="4" w:space="0"/>
              <w:bottom w:val="single" w:color="auto" w:sz="4" w:space="0"/>
              <w:right w:val="single" w:color="auto" w:sz="4" w:space="0"/>
            </w:tcBorders>
            <w:shd w:val="clear" w:color="auto" w:fill="auto"/>
            <w:noWrap/>
          </w:tcPr>
          <w:p w:rsidRPr="001B2C82" w:rsidR="005F2E2C" w:rsidP="005F2E2C" w:rsidRDefault="005F2E2C" w14:paraId="1547A964" w14:textId="700E13B3">
            <w:pPr>
              <w:spacing w:after="0"/>
              <w:rPr>
                <w:sz w:val="20"/>
                <w:szCs w:val="20"/>
              </w:rPr>
            </w:pPr>
            <w:r w:rsidRPr="001B2C82">
              <w:rPr>
                <w:sz w:val="20"/>
                <w:szCs w:val="20"/>
              </w:rPr>
              <w:t>52,</w:t>
            </w:r>
            <w:r w:rsidR="001C0129">
              <w:rPr>
                <w:sz w:val="20"/>
                <w:szCs w:val="20"/>
              </w:rPr>
              <w:t>036</w:t>
            </w:r>
          </w:p>
        </w:tc>
        <w:tc>
          <w:tcPr>
            <w:tcW w:w="2016" w:type="dxa"/>
            <w:tcBorders>
              <w:top w:val="single" w:color="auto" w:sz="4" w:space="0"/>
              <w:left w:val="single" w:color="auto" w:sz="4" w:space="0"/>
              <w:bottom w:val="single" w:color="auto" w:sz="4" w:space="0"/>
              <w:right w:val="single" w:color="auto" w:sz="4" w:space="0"/>
            </w:tcBorders>
          </w:tcPr>
          <w:p w:rsidR="005F2E2C" w:rsidP="005F2E2C" w:rsidRDefault="00155998" w14:paraId="6CE9B022" w14:textId="38141243">
            <w:pPr>
              <w:spacing w:after="0"/>
              <w:rPr>
                <w:sz w:val="20"/>
                <w:szCs w:val="20"/>
              </w:rPr>
            </w:pPr>
            <w:r w:rsidRPr="001B2C82">
              <w:rPr>
                <w:sz w:val="20"/>
                <w:szCs w:val="20"/>
              </w:rPr>
              <w:t>46,</w:t>
            </w:r>
            <w:r w:rsidR="0095117D">
              <w:rPr>
                <w:sz w:val="20"/>
                <w:szCs w:val="20"/>
              </w:rPr>
              <w:t>890</w:t>
            </w:r>
          </w:p>
          <w:p w:rsidRPr="00EC04A5" w:rsidR="005F2E2C" w:rsidP="005F2E2C" w:rsidRDefault="005F2E2C" w14:paraId="62C18301" w14:textId="0884E249">
            <w:pPr>
              <w:spacing w:after="0"/>
              <w:rPr>
                <w:sz w:val="20"/>
                <w:szCs w:val="20"/>
              </w:rPr>
            </w:pPr>
          </w:p>
        </w:tc>
      </w:tr>
      <w:tr w:rsidRPr="00C47150" w:rsidR="005F2E2C" w:rsidTr="00841679" w14:paraId="01C49441" w14:textId="2A4E6AEC">
        <w:trPr>
          <w:cantSplit/>
          <w:trHeight w:val="350"/>
          <w:jc w:val="center"/>
        </w:trPr>
        <w:tc>
          <w:tcPr>
            <w:tcW w:w="5485" w:type="dxa"/>
            <w:shd w:val="clear" w:color="auto" w:fill="auto"/>
            <w:hideMark/>
          </w:tcPr>
          <w:p w:rsidRPr="001742C7" w:rsidR="005F2E2C" w:rsidP="005F2E2C" w:rsidRDefault="005F2E2C" w14:paraId="47D4CB20" w14:textId="77777777">
            <w:pPr>
              <w:spacing w:after="0"/>
              <w:rPr>
                <w:sz w:val="20"/>
                <w:szCs w:val="20"/>
              </w:rPr>
            </w:pPr>
            <w:r w:rsidRPr="00732012">
              <w:rPr>
                <w:sz w:val="20"/>
                <w:szCs w:val="20"/>
              </w:rPr>
              <w:t xml:space="preserve">Hours Per Respondent to Report Quality Data (d) </w:t>
            </w:r>
          </w:p>
        </w:tc>
        <w:tc>
          <w:tcPr>
            <w:tcW w:w="1849" w:type="dxa"/>
            <w:shd w:val="clear" w:color="auto" w:fill="auto"/>
            <w:vAlign w:val="center"/>
            <w:hideMark/>
          </w:tcPr>
          <w:p w:rsidRPr="001742C7" w:rsidR="005F2E2C" w:rsidP="005F2E2C" w:rsidRDefault="005F2E2C" w14:paraId="498155C7" w14:textId="07906B8A">
            <w:pPr>
              <w:spacing w:after="0"/>
              <w:rPr>
                <w:sz w:val="20"/>
                <w:szCs w:val="20"/>
              </w:rPr>
            </w:pPr>
            <w:r w:rsidRPr="003428D4">
              <w:rPr>
                <w:rFonts w:eastAsia="Calibri"/>
                <w:sz w:val="20"/>
                <w:szCs w:val="20"/>
              </w:rPr>
              <w:t>3</w:t>
            </w:r>
          </w:p>
        </w:tc>
        <w:tc>
          <w:tcPr>
            <w:tcW w:w="2016" w:type="dxa"/>
            <w:vAlign w:val="center"/>
          </w:tcPr>
          <w:p w:rsidRPr="003428D4" w:rsidR="005F2E2C" w:rsidP="005F2E2C" w:rsidRDefault="005F2E2C" w14:paraId="1D68B83A" w14:textId="4AC2CC3A">
            <w:pPr>
              <w:spacing w:after="0"/>
              <w:rPr>
                <w:rFonts w:eastAsia="Calibri"/>
                <w:sz w:val="20"/>
                <w:szCs w:val="20"/>
              </w:rPr>
            </w:pPr>
            <w:r w:rsidRPr="003428D4">
              <w:rPr>
                <w:rFonts w:eastAsia="Calibri"/>
                <w:sz w:val="20"/>
                <w:szCs w:val="20"/>
              </w:rPr>
              <w:t>3</w:t>
            </w:r>
          </w:p>
        </w:tc>
      </w:tr>
      <w:tr w:rsidRPr="00C47150" w:rsidR="005F2E2C" w:rsidTr="00841679" w14:paraId="119E679C" w14:textId="56FF0FD2">
        <w:trPr>
          <w:cantSplit/>
          <w:trHeight w:val="350"/>
          <w:jc w:val="center"/>
        </w:trPr>
        <w:tc>
          <w:tcPr>
            <w:tcW w:w="5485" w:type="dxa"/>
            <w:shd w:val="clear" w:color="auto" w:fill="auto"/>
            <w:hideMark/>
          </w:tcPr>
          <w:p w:rsidRPr="001742C7" w:rsidR="005F2E2C" w:rsidP="005F2E2C" w:rsidRDefault="005F2E2C" w14:paraId="6D7836BC" w14:textId="667B52CB">
            <w:pPr>
              <w:spacing w:after="0"/>
              <w:rPr>
                <w:sz w:val="20"/>
                <w:szCs w:val="20"/>
              </w:rPr>
            </w:pPr>
            <w:r w:rsidRPr="00732012">
              <w:rPr>
                <w:sz w:val="20"/>
                <w:szCs w:val="20"/>
              </w:rPr>
              <w:t xml:space="preserve"># of Hours </w:t>
            </w:r>
            <w:r>
              <w:rPr>
                <w:sz w:val="20"/>
                <w:szCs w:val="20"/>
              </w:rPr>
              <w:t>Medical and health services manager</w:t>
            </w:r>
            <w:r w:rsidRPr="00732012">
              <w:rPr>
                <w:sz w:val="20"/>
                <w:szCs w:val="20"/>
              </w:rPr>
              <w:t xml:space="preserve"> Review Measure Specifications (e)</w:t>
            </w:r>
          </w:p>
        </w:tc>
        <w:tc>
          <w:tcPr>
            <w:tcW w:w="1849" w:type="dxa"/>
            <w:shd w:val="clear" w:color="auto" w:fill="auto"/>
            <w:vAlign w:val="center"/>
            <w:hideMark/>
          </w:tcPr>
          <w:p w:rsidRPr="001742C7" w:rsidR="005F2E2C" w:rsidP="005F2E2C" w:rsidRDefault="005F2E2C" w14:paraId="37D8C22F" w14:textId="4F6C4E13">
            <w:pPr>
              <w:spacing w:after="0"/>
              <w:rPr>
                <w:sz w:val="20"/>
                <w:szCs w:val="20"/>
              </w:rPr>
            </w:pPr>
            <w:r w:rsidRPr="003428D4">
              <w:rPr>
                <w:rFonts w:eastAsia="Calibri"/>
                <w:sz w:val="20"/>
                <w:szCs w:val="20"/>
              </w:rPr>
              <w:t>2</w:t>
            </w:r>
          </w:p>
        </w:tc>
        <w:tc>
          <w:tcPr>
            <w:tcW w:w="2016" w:type="dxa"/>
            <w:vAlign w:val="center"/>
          </w:tcPr>
          <w:p w:rsidRPr="003428D4" w:rsidR="005F2E2C" w:rsidP="005F2E2C" w:rsidRDefault="005F2E2C" w14:paraId="120ED012" w14:textId="2E21B85E">
            <w:pPr>
              <w:spacing w:after="0"/>
              <w:rPr>
                <w:rFonts w:eastAsia="Calibri"/>
                <w:sz w:val="20"/>
                <w:szCs w:val="20"/>
              </w:rPr>
            </w:pPr>
            <w:r w:rsidRPr="003428D4">
              <w:rPr>
                <w:rFonts w:eastAsia="Calibri"/>
                <w:sz w:val="20"/>
                <w:szCs w:val="20"/>
              </w:rPr>
              <w:t>2</w:t>
            </w:r>
          </w:p>
        </w:tc>
      </w:tr>
      <w:tr w:rsidRPr="00C47150" w:rsidR="005F2E2C" w:rsidTr="00841679" w14:paraId="19DE3DB2" w14:textId="22319ADA">
        <w:trPr>
          <w:cantSplit/>
          <w:trHeight w:val="525"/>
          <w:jc w:val="center"/>
        </w:trPr>
        <w:tc>
          <w:tcPr>
            <w:tcW w:w="5485" w:type="dxa"/>
            <w:shd w:val="clear" w:color="auto" w:fill="auto"/>
            <w:hideMark/>
          </w:tcPr>
          <w:p w:rsidRPr="001742C7" w:rsidR="005F2E2C" w:rsidP="005F2E2C" w:rsidRDefault="005F2E2C" w14:paraId="04F979AF" w14:textId="77777777">
            <w:pPr>
              <w:spacing w:after="0"/>
              <w:rPr>
                <w:sz w:val="20"/>
                <w:szCs w:val="20"/>
              </w:rPr>
            </w:pPr>
            <w:r w:rsidRPr="00732012">
              <w:rPr>
                <w:sz w:val="20"/>
                <w:szCs w:val="20"/>
              </w:rPr>
              <w:t># of Hours Computer Systems Analyst Review Measure Specifications (f)</w:t>
            </w:r>
          </w:p>
        </w:tc>
        <w:tc>
          <w:tcPr>
            <w:tcW w:w="1849" w:type="dxa"/>
            <w:shd w:val="clear" w:color="auto" w:fill="auto"/>
            <w:vAlign w:val="center"/>
            <w:hideMark/>
          </w:tcPr>
          <w:p w:rsidRPr="001742C7" w:rsidR="005F2E2C" w:rsidP="005F2E2C" w:rsidRDefault="005F2E2C" w14:paraId="71BDCFEA" w14:textId="4A74B557">
            <w:pPr>
              <w:spacing w:after="0"/>
              <w:rPr>
                <w:sz w:val="20"/>
                <w:szCs w:val="20"/>
              </w:rPr>
            </w:pPr>
            <w:r w:rsidRPr="003428D4">
              <w:rPr>
                <w:rFonts w:eastAsia="Calibri"/>
                <w:sz w:val="20"/>
                <w:szCs w:val="20"/>
              </w:rPr>
              <w:t>1</w:t>
            </w:r>
          </w:p>
        </w:tc>
        <w:tc>
          <w:tcPr>
            <w:tcW w:w="2016" w:type="dxa"/>
            <w:vAlign w:val="center"/>
          </w:tcPr>
          <w:p w:rsidRPr="003428D4" w:rsidR="005F2E2C" w:rsidP="005F2E2C" w:rsidRDefault="005F2E2C" w14:paraId="640E5983" w14:textId="5EAACC2F">
            <w:pPr>
              <w:spacing w:after="0"/>
              <w:rPr>
                <w:rFonts w:eastAsia="Calibri"/>
                <w:sz w:val="20"/>
                <w:szCs w:val="20"/>
              </w:rPr>
            </w:pPr>
            <w:r w:rsidRPr="003428D4">
              <w:rPr>
                <w:rFonts w:eastAsia="Calibri"/>
                <w:sz w:val="20"/>
                <w:szCs w:val="20"/>
              </w:rPr>
              <w:t>1</w:t>
            </w:r>
          </w:p>
        </w:tc>
      </w:tr>
      <w:tr w:rsidRPr="00C47150" w:rsidR="005F2E2C" w:rsidTr="00841679" w14:paraId="1E617F2B" w14:textId="0C6C26E4">
        <w:trPr>
          <w:cantSplit/>
          <w:trHeight w:val="315"/>
          <w:jc w:val="center"/>
        </w:trPr>
        <w:tc>
          <w:tcPr>
            <w:tcW w:w="5485" w:type="dxa"/>
            <w:shd w:val="clear" w:color="auto" w:fill="auto"/>
            <w:hideMark/>
          </w:tcPr>
          <w:p w:rsidRPr="001742C7" w:rsidR="005F2E2C" w:rsidP="005F2E2C" w:rsidRDefault="005F2E2C" w14:paraId="7DF18889" w14:textId="77777777">
            <w:pPr>
              <w:spacing w:after="0"/>
              <w:rPr>
                <w:sz w:val="20"/>
                <w:szCs w:val="20"/>
              </w:rPr>
            </w:pPr>
            <w:r w:rsidRPr="00732012">
              <w:rPr>
                <w:sz w:val="20"/>
                <w:szCs w:val="20"/>
              </w:rPr>
              <w:t># of Hours LPN Review Measure Specifications (g)</w:t>
            </w:r>
          </w:p>
        </w:tc>
        <w:tc>
          <w:tcPr>
            <w:tcW w:w="1849" w:type="dxa"/>
            <w:shd w:val="clear" w:color="auto" w:fill="auto"/>
            <w:vAlign w:val="center"/>
            <w:hideMark/>
          </w:tcPr>
          <w:p w:rsidRPr="001742C7" w:rsidR="005F2E2C" w:rsidP="005F2E2C" w:rsidRDefault="005F2E2C" w14:paraId="360FFCC9" w14:textId="7332F556">
            <w:pPr>
              <w:spacing w:after="0"/>
              <w:rPr>
                <w:sz w:val="20"/>
                <w:szCs w:val="20"/>
              </w:rPr>
            </w:pPr>
            <w:r w:rsidRPr="003428D4">
              <w:rPr>
                <w:rFonts w:eastAsia="Calibri"/>
                <w:sz w:val="20"/>
                <w:szCs w:val="20"/>
              </w:rPr>
              <w:t>1</w:t>
            </w:r>
          </w:p>
        </w:tc>
        <w:tc>
          <w:tcPr>
            <w:tcW w:w="2016" w:type="dxa"/>
            <w:vAlign w:val="center"/>
          </w:tcPr>
          <w:p w:rsidRPr="003428D4" w:rsidR="005F2E2C" w:rsidP="005F2E2C" w:rsidRDefault="005F2E2C" w14:paraId="2C1CA4AA" w14:textId="5967FF57">
            <w:pPr>
              <w:spacing w:after="0"/>
              <w:rPr>
                <w:rFonts w:eastAsia="Calibri"/>
                <w:sz w:val="20"/>
                <w:szCs w:val="20"/>
              </w:rPr>
            </w:pPr>
            <w:r w:rsidRPr="003428D4">
              <w:rPr>
                <w:rFonts w:eastAsia="Calibri"/>
                <w:sz w:val="20"/>
                <w:szCs w:val="20"/>
              </w:rPr>
              <w:t>1</w:t>
            </w:r>
          </w:p>
        </w:tc>
      </w:tr>
      <w:tr w:rsidRPr="00C47150" w:rsidR="005F2E2C" w:rsidTr="00841679" w14:paraId="748CE47C" w14:textId="753B9470">
        <w:trPr>
          <w:cantSplit/>
          <w:trHeight w:val="305"/>
          <w:jc w:val="center"/>
        </w:trPr>
        <w:tc>
          <w:tcPr>
            <w:tcW w:w="5485" w:type="dxa"/>
            <w:shd w:val="clear" w:color="auto" w:fill="auto"/>
            <w:hideMark/>
          </w:tcPr>
          <w:p w:rsidRPr="001742C7" w:rsidR="005F2E2C" w:rsidP="005F2E2C" w:rsidRDefault="005F2E2C" w14:paraId="1D58476D" w14:textId="77777777">
            <w:pPr>
              <w:spacing w:after="0"/>
              <w:rPr>
                <w:sz w:val="20"/>
                <w:szCs w:val="20"/>
              </w:rPr>
            </w:pPr>
            <w:r w:rsidRPr="00732012">
              <w:rPr>
                <w:sz w:val="20"/>
                <w:szCs w:val="20"/>
              </w:rPr>
              <w:t># of Hours Billing Clerk Review Measure Specifications (h)</w:t>
            </w:r>
          </w:p>
        </w:tc>
        <w:tc>
          <w:tcPr>
            <w:tcW w:w="1849" w:type="dxa"/>
            <w:shd w:val="clear" w:color="auto" w:fill="auto"/>
            <w:vAlign w:val="center"/>
            <w:hideMark/>
          </w:tcPr>
          <w:p w:rsidRPr="001742C7" w:rsidR="005F2E2C" w:rsidP="005F2E2C" w:rsidRDefault="005F2E2C" w14:paraId="5EB8D9EB" w14:textId="26EFC89D">
            <w:pPr>
              <w:spacing w:after="0"/>
              <w:rPr>
                <w:sz w:val="20"/>
                <w:szCs w:val="20"/>
              </w:rPr>
            </w:pPr>
            <w:r w:rsidRPr="003428D4">
              <w:rPr>
                <w:rFonts w:eastAsia="Calibri"/>
                <w:sz w:val="20"/>
                <w:szCs w:val="20"/>
              </w:rPr>
              <w:t>1</w:t>
            </w:r>
          </w:p>
        </w:tc>
        <w:tc>
          <w:tcPr>
            <w:tcW w:w="2016" w:type="dxa"/>
            <w:vAlign w:val="center"/>
          </w:tcPr>
          <w:p w:rsidRPr="003428D4" w:rsidR="005F2E2C" w:rsidP="005F2E2C" w:rsidRDefault="005F2E2C" w14:paraId="09BA8CBE" w14:textId="05BB8566">
            <w:pPr>
              <w:spacing w:after="0"/>
              <w:rPr>
                <w:rFonts w:eastAsia="Calibri"/>
                <w:sz w:val="20"/>
                <w:szCs w:val="20"/>
              </w:rPr>
            </w:pPr>
            <w:r w:rsidRPr="003428D4">
              <w:rPr>
                <w:rFonts w:eastAsia="Calibri"/>
                <w:sz w:val="20"/>
                <w:szCs w:val="20"/>
              </w:rPr>
              <w:t>1</w:t>
            </w:r>
          </w:p>
        </w:tc>
      </w:tr>
      <w:tr w:rsidRPr="00C47150" w:rsidR="005F2E2C" w:rsidTr="00841679" w14:paraId="2B7195DD" w14:textId="7C7DE589">
        <w:trPr>
          <w:cantSplit/>
          <w:trHeight w:val="350"/>
          <w:jc w:val="center"/>
        </w:trPr>
        <w:tc>
          <w:tcPr>
            <w:tcW w:w="5485" w:type="dxa"/>
            <w:shd w:val="clear" w:color="auto" w:fill="auto"/>
            <w:hideMark/>
          </w:tcPr>
          <w:p w:rsidRPr="001742C7" w:rsidR="005F2E2C" w:rsidP="005F2E2C" w:rsidRDefault="005F2E2C" w14:paraId="5C265A43" w14:textId="77777777">
            <w:pPr>
              <w:spacing w:after="0"/>
              <w:rPr>
                <w:sz w:val="20"/>
                <w:szCs w:val="20"/>
              </w:rPr>
            </w:pPr>
            <w:r w:rsidRPr="00732012">
              <w:rPr>
                <w:sz w:val="20"/>
                <w:szCs w:val="20"/>
              </w:rPr>
              <w:t># of Hours Clinician Review Measure Specifications (i)</w:t>
            </w:r>
          </w:p>
        </w:tc>
        <w:tc>
          <w:tcPr>
            <w:tcW w:w="1849" w:type="dxa"/>
            <w:shd w:val="clear" w:color="auto" w:fill="auto"/>
            <w:vAlign w:val="center"/>
            <w:hideMark/>
          </w:tcPr>
          <w:p w:rsidRPr="001742C7" w:rsidR="005F2E2C" w:rsidP="005F2E2C" w:rsidRDefault="005F2E2C" w14:paraId="4661A7DD" w14:textId="2AC896A2">
            <w:pPr>
              <w:spacing w:after="0"/>
              <w:rPr>
                <w:sz w:val="20"/>
                <w:szCs w:val="20"/>
              </w:rPr>
            </w:pPr>
            <w:r w:rsidRPr="003428D4">
              <w:rPr>
                <w:rFonts w:eastAsia="Calibri"/>
                <w:sz w:val="20"/>
                <w:szCs w:val="20"/>
              </w:rPr>
              <w:t>1</w:t>
            </w:r>
          </w:p>
        </w:tc>
        <w:tc>
          <w:tcPr>
            <w:tcW w:w="2016" w:type="dxa"/>
            <w:vAlign w:val="center"/>
          </w:tcPr>
          <w:p w:rsidRPr="003428D4" w:rsidR="005F2E2C" w:rsidP="005F2E2C" w:rsidRDefault="005F2E2C" w14:paraId="04DBB24F" w14:textId="05F956E6">
            <w:pPr>
              <w:spacing w:after="0"/>
              <w:rPr>
                <w:rFonts w:eastAsia="Calibri"/>
                <w:sz w:val="20"/>
                <w:szCs w:val="20"/>
              </w:rPr>
            </w:pPr>
            <w:r w:rsidRPr="003428D4">
              <w:rPr>
                <w:rFonts w:eastAsia="Calibri"/>
                <w:sz w:val="20"/>
                <w:szCs w:val="20"/>
              </w:rPr>
              <w:t>1</w:t>
            </w:r>
          </w:p>
        </w:tc>
      </w:tr>
      <w:tr w:rsidRPr="00C47150" w:rsidR="005F2E2C" w:rsidTr="00841679" w14:paraId="2272F756" w14:textId="6F3A5259">
        <w:trPr>
          <w:cantSplit/>
          <w:trHeight w:val="525"/>
          <w:jc w:val="center"/>
        </w:trPr>
        <w:tc>
          <w:tcPr>
            <w:tcW w:w="5485" w:type="dxa"/>
            <w:shd w:val="clear" w:color="auto" w:fill="auto"/>
            <w:hideMark/>
          </w:tcPr>
          <w:p w:rsidRPr="001742C7" w:rsidR="005F2E2C" w:rsidP="005F2E2C" w:rsidRDefault="005F2E2C" w14:paraId="3F8F0B30" w14:textId="77777777">
            <w:pPr>
              <w:spacing w:after="0"/>
              <w:rPr>
                <w:sz w:val="20"/>
                <w:szCs w:val="20"/>
              </w:rPr>
            </w:pPr>
            <w:r w:rsidRPr="00732012">
              <w:rPr>
                <w:sz w:val="20"/>
                <w:szCs w:val="20"/>
              </w:rPr>
              <w:t># of Hours Per Respondent to Authorize Qualified Registry to Report on Respondent's Behalf (j)</w:t>
            </w:r>
          </w:p>
        </w:tc>
        <w:tc>
          <w:tcPr>
            <w:tcW w:w="1849" w:type="dxa"/>
            <w:shd w:val="clear" w:color="auto" w:fill="auto"/>
            <w:vAlign w:val="center"/>
            <w:hideMark/>
          </w:tcPr>
          <w:p w:rsidRPr="001742C7" w:rsidR="005F2E2C" w:rsidP="005F2E2C" w:rsidRDefault="005F2E2C" w14:paraId="6DAD0A59" w14:textId="08CED8BE">
            <w:pPr>
              <w:spacing w:after="0"/>
              <w:rPr>
                <w:sz w:val="20"/>
                <w:szCs w:val="20"/>
              </w:rPr>
            </w:pPr>
            <w:r w:rsidRPr="003428D4">
              <w:rPr>
                <w:rFonts w:eastAsia="Calibri"/>
                <w:sz w:val="20"/>
                <w:szCs w:val="20"/>
              </w:rPr>
              <w:t>0.08</w:t>
            </w:r>
            <w:r w:rsidR="005B322F">
              <w:rPr>
                <w:rFonts w:eastAsia="Calibri"/>
                <w:sz w:val="20"/>
                <w:szCs w:val="20"/>
              </w:rPr>
              <w:t>3</w:t>
            </w:r>
          </w:p>
        </w:tc>
        <w:tc>
          <w:tcPr>
            <w:tcW w:w="2016" w:type="dxa"/>
            <w:vAlign w:val="center"/>
          </w:tcPr>
          <w:p w:rsidRPr="003428D4" w:rsidR="005F2E2C" w:rsidP="005F2E2C" w:rsidRDefault="005F2E2C" w14:paraId="2B76014A" w14:textId="025DAF25">
            <w:pPr>
              <w:spacing w:after="0"/>
              <w:rPr>
                <w:rFonts w:eastAsia="Calibri"/>
                <w:sz w:val="20"/>
                <w:szCs w:val="20"/>
              </w:rPr>
            </w:pPr>
            <w:r w:rsidRPr="003428D4">
              <w:rPr>
                <w:rFonts w:eastAsia="Calibri"/>
                <w:sz w:val="20"/>
                <w:szCs w:val="20"/>
              </w:rPr>
              <w:t>0.08</w:t>
            </w:r>
            <w:r w:rsidR="005B322F">
              <w:rPr>
                <w:rFonts w:eastAsia="Calibri"/>
                <w:sz w:val="20"/>
                <w:szCs w:val="20"/>
              </w:rPr>
              <w:t>3</w:t>
            </w:r>
          </w:p>
        </w:tc>
      </w:tr>
      <w:tr w:rsidRPr="00C47150" w:rsidR="005F2E2C" w:rsidTr="00841679" w14:paraId="530384EC" w14:textId="33101581">
        <w:trPr>
          <w:cantSplit/>
          <w:trHeight w:val="350"/>
          <w:jc w:val="center"/>
        </w:trPr>
        <w:tc>
          <w:tcPr>
            <w:tcW w:w="5485" w:type="dxa"/>
            <w:shd w:val="clear" w:color="auto" w:fill="D9D9D9" w:themeFill="background1" w:themeFillShade="D9"/>
            <w:hideMark/>
          </w:tcPr>
          <w:p w:rsidRPr="001742C7" w:rsidR="005F2E2C" w:rsidP="005F2E2C" w:rsidRDefault="005F2E2C" w14:paraId="2F877396" w14:textId="77777777">
            <w:pPr>
              <w:spacing w:after="0"/>
              <w:rPr>
                <w:sz w:val="20"/>
                <w:szCs w:val="20"/>
              </w:rPr>
            </w:pPr>
            <w:r w:rsidRPr="00732012">
              <w:rPr>
                <w:sz w:val="20"/>
                <w:szCs w:val="20"/>
              </w:rPr>
              <w:t>Annual Hours Per Respondent (k)= (d)+(e)+(f)+(g)+(h)+(i)+(j)</w:t>
            </w:r>
          </w:p>
        </w:tc>
        <w:tc>
          <w:tcPr>
            <w:tcW w:w="1849" w:type="dxa"/>
            <w:shd w:val="clear" w:color="auto" w:fill="D9D9D9" w:themeFill="background1" w:themeFillShade="D9"/>
            <w:vAlign w:val="center"/>
            <w:hideMark/>
          </w:tcPr>
          <w:p w:rsidRPr="001742C7" w:rsidR="005F2E2C" w:rsidP="005F2E2C" w:rsidRDefault="005F2E2C" w14:paraId="7A6A170F" w14:textId="7BC95106">
            <w:pPr>
              <w:spacing w:after="0"/>
              <w:rPr>
                <w:sz w:val="20"/>
                <w:szCs w:val="20"/>
              </w:rPr>
            </w:pPr>
            <w:r w:rsidRPr="003428D4">
              <w:rPr>
                <w:rFonts w:eastAsia="Calibri"/>
                <w:sz w:val="20"/>
                <w:szCs w:val="20"/>
              </w:rPr>
              <w:t>9.08</w:t>
            </w:r>
            <w:r w:rsidR="00FF54AD">
              <w:rPr>
                <w:rFonts w:eastAsia="Calibri"/>
                <w:sz w:val="20"/>
                <w:szCs w:val="20"/>
              </w:rPr>
              <w:t>3</w:t>
            </w:r>
          </w:p>
        </w:tc>
        <w:tc>
          <w:tcPr>
            <w:tcW w:w="2016" w:type="dxa"/>
            <w:shd w:val="clear" w:color="auto" w:fill="D9D9D9" w:themeFill="background1" w:themeFillShade="D9"/>
            <w:vAlign w:val="center"/>
          </w:tcPr>
          <w:p w:rsidRPr="003428D4" w:rsidR="005F2E2C" w:rsidP="005F2E2C" w:rsidRDefault="005F2E2C" w14:paraId="0B15CD29" w14:textId="75364CA3">
            <w:pPr>
              <w:spacing w:after="0"/>
              <w:rPr>
                <w:rFonts w:eastAsia="Calibri"/>
                <w:sz w:val="20"/>
                <w:szCs w:val="20"/>
              </w:rPr>
            </w:pPr>
            <w:r w:rsidRPr="003428D4">
              <w:rPr>
                <w:rFonts w:eastAsia="Calibri"/>
                <w:sz w:val="20"/>
                <w:szCs w:val="20"/>
              </w:rPr>
              <w:t>9.08</w:t>
            </w:r>
            <w:r w:rsidR="00FF54AD">
              <w:rPr>
                <w:rFonts w:eastAsia="Calibri"/>
                <w:sz w:val="20"/>
                <w:szCs w:val="20"/>
              </w:rPr>
              <w:t>3</w:t>
            </w:r>
          </w:p>
        </w:tc>
      </w:tr>
      <w:tr w:rsidRPr="00C47150" w:rsidR="00B35D3F" w:rsidTr="00841679" w14:paraId="438A47F3" w14:textId="49184339">
        <w:trPr>
          <w:cantSplit/>
          <w:trHeight w:val="315"/>
          <w:jc w:val="center"/>
        </w:trPr>
        <w:tc>
          <w:tcPr>
            <w:tcW w:w="5485" w:type="dxa"/>
            <w:shd w:val="clear" w:color="auto" w:fill="D9D9D9" w:themeFill="background1" w:themeFillShade="D9"/>
            <w:hideMark/>
          </w:tcPr>
          <w:p w:rsidRPr="001B2C82" w:rsidR="00B35D3F" w:rsidP="00B35D3F" w:rsidRDefault="00B35D3F" w14:paraId="490F2FEB" w14:textId="77777777">
            <w:pPr>
              <w:spacing w:after="0"/>
              <w:rPr>
                <w:b/>
                <w:bCs/>
                <w:sz w:val="20"/>
                <w:szCs w:val="20"/>
              </w:rPr>
            </w:pPr>
            <w:r w:rsidRPr="001B2C82">
              <w:rPr>
                <w:b/>
                <w:bCs/>
                <w:sz w:val="20"/>
                <w:szCs w:val="20"/>
              </w:rPr>
              <w:t>Total Annual Hours (l) = (c)*(k)</w:t>
            </w:r>
          </w:p>
        </w:tc>
        <w:tc>
          <w:tcPr>
            <w:tcW w:w="1849" w:type="dxa"/>
            <w:shd w:val="clear" w:color="auto" w:fill="D9D9D9" w:themeFill="background1" w:themeFillShade="D9"/>
            <w:hideMark/>
          </w:tcPr>
          <w:p w:rsidRPr="001B2C82" w:rsidR="00B35D3F" w:rsidP="00B35D3F" w:rsidRDefault="00B35D3F" w14:paraId="66AE3092" w14:textId="10A65751">
            <w:pPr>
              <w:spacing w:after="0"/>
              <w:rPr>
                <w:b/>
                <w:bCs/>
                <w:sz w:val="20"/>
                <w:szCs w:val="20"/>
              </w:rPr>
            </w:pPr>
            <w:r w:rsidRPr="001B2C82">
              <w:rPr>
                <w:b/>
                <w:sz w:val="20"/>
                <w:szCs w:val="20"/>
              </w:rPr>
              <w:t>4</w:t>
            </w:r>
            <w:r w:rsidRPr="001B2C82" w:rsidR="00651E17">
              <w:rPr>
                <w:b/>
                <w:sz w:val="20"/>
                <w:szCs w:val="20"/>
              </w:rPr>
              <w:t>72,</w:t>
            </w:r>
            <w:r w:rsidR="00651E17">
              <w:rPr>
                <w:b/>
                <w:sz w:val="20"/>
                <w:szCs w:val="20"/>
              </w:rPr>
              <w:t>643</w:t>
            </w:r>
          </w:p>
        </w:tc>
        <w:tc>
          <w:tcPr>
            <w:tcW w:w="2016" w:type="dxa"/>
            <w:shd w:val="clear" w:color="auto" w:fill="D9D9D9" w:themeFill="background1" w:themeFillShade="D9"/>
          </w:tcPr>
          <w:p w:rsidRPr="000146D2" w:rsidR="00B35D3F" w:rsidP="00B35D3F" w:rsidRDefault="001C3E9C" w14:paraId="42D7B241" w14:textId="58A5065E">
            <w:pPr>
              <w:spacing w:after="0"/>
              <w:rPr>
                <w:b/>
                <w:bCs/>
                <w:sz w:val="20"/>
                <w:szCs w:val="20"/>
              </w:rPr>
            </w:pPr>
            <w:r>
              <w:rPr>
                <w:b/>
                <w:sz w:val="20"/>
                <w:szCs w:val="20"/>
              </w:rPr>
              <w:t>425,902</w:t>
            </w:r>
          </w:p>
        </w:tc>
      </w:tr>
      <w:tr w:rsidRPr="00C47150" w:rsidR="00534251" w:rsidTr="00841679" w14:paraId="5F248A75" w14:textId="3A566C31">
        <w:trPr>
          <w:cantSplit/>
          <w:trHeight w:val="436"/>
          <w:jc w:val="center"/>
        </w:trPr>
        <w:tc>
          <w:tcPr>
            <w:tcW w:w="5485" w:type="dxa"/>
            <w:shd w:val="clear" w:color="auto" w:fill="auto"/>
          </w:tcPr>
          <w:p w:rsidRPr="000146D2" w:rsidR="00534251" w:rsidP="00534251" w:rsidRDefault="00534251" w14:paraId="150B3614" w14:textId="71AE93C9">
            <w:pPr>
              <w:spacing w:after="0"/>
              <w:rPr>
                <w:sz w:val="20"/>
                <w:szCs w:val="20"/>
              </w:rPr>
            </w:pPr>
            <w:r w:rsidRPr="000146D2">
              <w:rPr>
                <w:sz w:val="20"/>
                <w:szCs w:val="20"/>
              </w:rPr>
              <w:t>Cost Per Respondent to Submit Quality Data (@ computer systems analyst’s labor rate of $9</w:t>
            </w:r>
            <w:r w:rsidR="008B1573">
              <w:rPr>
                <w:sz w:val="20"/>
                <w:szCs w:val="20"/>
              </w:rPr>
              <w:t>5.22</w:t>
            </w:r>
            <w:r w:rsidRPr="000146D2">
              <w:rPr>
                <w:sz w:val="20"/>
                <w:szCs w:val="20"/>
              </w:rPr>
              <w:t>/hr) (m)</w:t>
            </w:r>
          </w:p>
        </w:tc>
        <w:tc>
          <w:tcPr>
            <w:tcW w:w="1849" w:type="dxa"/>
            <w:shd w:val="clear" w:color="auto" w:fill="auto"/>
            <w:vAlign w:val="center"/>
          </w:tcPr>
          <w:p w:rsidRPr="000146D2" w:rsidR="00534251" w:rsidP="00534251" w:rsidRDefault="00534251" w14:paraId="6A266CB0" w14:textId="51688253">
            <w:pPr>
              <w:spacing w:after="0"/>
              <w:rPr>
                <w:sz w:val="20"/>
                <w:szCs w:val="20"/>
              </w:rPr>
            </w:pPr>
            <w:r w:rsidRPr="00871E51">
              <w:rPr>
                <w:sz w:val="20"/>
                <w:szCs w:val="20"/>
              </w:rPr>
              <w:t>$285.66</w:t>
            </w:r>
          </w:p>
        </w:tc>
        <w:tc>
          <w:tcPr>
            <w:tcW w:w="2016" w:type="dxa"/>
            <w:vAlign w:val="center"/>
          </w:tcPr>
          <w:p w:rsidRPr="000146D2" w:rsidR="00534251" w:rsidP="00534251" w:rsidRDefault="00534251" w14:paraId="20816E3E" w14:textId="315C912E">
            <w:pPr>
              <w:spacing w:after="0"/>
              <w:rPr>
                <w:sz w:val="20"/>
                <w:szCs w:val="20"/>
              </w:rPr>
            </w:pPr>
            <w:r w:rsidRPr="00871E51">
              <w:rPr>
                <w:sz w:val="20"/>
                <w:szCs w:val="20"/>
              </w:rPr>
              <w:t>$285.66</w:t>
            </w:r>
          </w:p>
        </w:tc>
      </w:tr>
      <w:tr w:rsidRPr="00C47150" w:rsidR="00B35D3F" w:rsidTr="00841679" w14:paraId="7C7C68AA" w14:textId="3EEB016D">
        <w:trPr>
          <w:cantSplit/>
          <w:trHeight w:val="436"/>
          <w:jc w:val="center"/>
        </w:trPr>
        <w:tc>
          <w:tcPr>
            <w:tcW w:w="5485" w:type="dxa"/>
            <w:shd w:val="clear" w:color="auto" w:fill="auto"/>
            <w:hideMark/>
          </w:tcPr>
          <w:p w:rsidRPr="000146D2" w:rsidR="00B35D3F" w:rsidP="00B35D3F" w:rsidRDefault="00B35D3F" w14:paraId="2AF7193C" w14:textId="473A622F">
            <w:pPr>
              <w:spacing w:after="0"/>
              <w:rPr>
                <w:sz w:val="20"/>
                <w:szCs w:val="20"/>
              </w:rPr>
            </w:pPr>
            <w:r w:rsidRPr="000146D2">
              <w:rPr>
                <w:sz w:val="20"/>
                <w:szCs w:val="20"/>
              </w:rPr>
              <w:t>Cost to Review Measure Specifications (@ medical and health services manager's labor rate of $11</w:t>
            </w:r>
            <w:r w:rsidR="008B1573">
              <w:rPr>
                <w:sz w:val="20"/>
                <w:szCs w:val="20"/>
              </w:rPr>
              <w:t>4.24</w:t>
            </w:r>
            <w:r w:rsidRPr="000146D2">
              <w:rPr>
                <w:sz w:val="20"/>
                <w:szCs w:val="20"/>
              </w:rPr>
              <w:t>/hr) (n)</w:t>
            </w:r>
          </w:p>
        </w:tc>
        <w:tc>
          <w:tcPr>
            <w:tcW w:w="1849" w:type="dxa"/>
            <w:shd w:val="clear" w:color="auto" w:fill="auto"/>
            <w:hideMark/>
          </w:tcPr>
          <w:p w:rsidRPr="000146D2" w:rsidR="00B35D3F" w:rsidP="00B35D3F" w:rsidRDefault="00B35D3F" w14:paraId="648FD21C" w14:textId="25D58210">
            <w:pPr>
              <w:spacing w:after="0"/>
              <w:rPr>
                <w:sz w:val="20"/>
                <w:szCs w:val="20"/>
              </w:rPr>
            </w:pPr>
            <w:r w:rsidRPr="000146D2">
              <w:rPr>
                <w:sz w:val="20"/>
                <w:szCs w:val="20"/>
              </w:rPr>
              <w:t>$22</w:t>
            </w:r>
            <w:r w:rsidR="000175E0">
              <w:rPr>
                <w:sz w:val="20"/>
                <w:szCs w:val="20"/>
              </w:rPr>
              <w:t>8</w:t>
            </w:r>
            <w:r w:rsidRPr="000146D2">
              <w:rPr>
                <w:sz w:val="20"/>
                <w:szCs w:val="20"/>
              </w:rPr>
              <w:t>.48</w:t>
            </w:r>
          </w:p>
        </w:tc>
        <w:tc>
          <w:tcPr>
            <w:tcW w:w="2016" w:type="dxa"/>
          </w:tcPr>
          <w:p w:rsidRPr="000146D2" w:rsidR="00B35D3F" w:rsidP="00B35D3F" w:rsidRDefault="00B35D3F" w14:paraId="58A2888A" w14:textId="0AEB6340">
            <w:pPr>
              <w:spacing w:after="0"/>
              <w:rPr>
                <w:sz w:val="20"/>
                <w:szCs w:val="20"/>
              </w:rPr>
            </w:pPr>
            <w:r w:rsidRPr="000146D2">
              <w:rPr>
                <w:sz w:val="20"/>
                <w:szCs w:val="20"/>
              </w:rPr>
              <w:t>$22</w:t>
            </w:r>
            <w:r w:rsidR="000175E0">
              <w:rPr>
                <w:sz w:val="20"/>
                <w:szCs w:val="20"/>
              </w:rPr>
              <w:t>8</w:t>
            </w:r>
            <w:r w:rsidRPr="000146D2">
              <w:rPr>
                <w:sz w:val="20"/>
                <w:szCs w:val="20"/>
              </w:rPr>
              <w:t>.48</w:t>
            </w:r>
          </w:p>
        </w:tc>
      </w:tr>
      <w:tr w:rsidRPr="00C47150" w:rsidR="00B35D3F" w:rsidTr="00841679" w14:paraId="2B389C5E" w14:textId="6CDD64F7">
        <w:trPr>
          <w:cantSplit/>
          <w:trHeight w:val="525"/>
          <w:jc w:val="center"/>
        </w:trPr>
        <w:tc>
          <w:tcPr>
            <w:tcW w:w="5485" w:type="dxa"/>
            <w:shd w:val="clear" w:color="auto" w:fill="auto"/>
            <w:hideMark/>
          </w:tcPr>
          <w:p w:rsidRPr="000146D2" w:rsidR="00B35D3F" w:rsidP="00B35D3F" w:rsidRDefault="00B35D3F" w14:paraId="3309A0EB" w14:textId="034B5403">
            <w:pPr>
              <w:spacing w:after="0"/>
              <w:rPr>
                <w:sz w:val="20"/>
                <w:szCs w:val="20"/>
              </w:rPr>
            </w:pPr>
            <w:r w:rsidRPr="000146D2">
              <w:rPr>
                <w:sz w:val="20"/>
                <w:szCs w:val="20"/>
              </w:rPr>
              <w:t>Cost Computer System’s Analyst Review Measure Specifications (@ computer systems analyst’s labor rate of $9</w:t>
            </w:r>
            <w:r w:rsidR="008B1573">
              <w:rPr>
                <w:sz w:val="20"/>
                <w:szCs w:val="20"/>
              </w:rPr>
              <w:t>5.22</w:t>
            </w:r>
            <w:r w:rsidRPr="000146D2">
              <w:rPr>
                <w:sz w:val="20"/>
                <w:szCs w:val="20"/>
              </w:rPr>
              <w:t>/hr) (o)</w:t>
            </w:r>
          </w:p>
        </w:tc>
        <w:tc>
          <w:tcPr>
            <w:tcW w:w="1849" w:type="dxa"/>
            <w:shd w:val="clear" w:color="auto" w:fill="auto"/>
            <w:hideMark/>
          </w:tcPr>
          <w:p w:rsidRPr="000146D2" w:rsidR="00B35D3F" w:rsidP="00B35D3F" w:rsidRDefault="00B35D3F" w14:paraId="136F2DB1" w14:textId="7BE2AEAF">
            <w:pPr>
              <w:spacing w:after="0"/>
              <w:rPr>
                <w:sz w:val="20"/>
                <w:szCs w:val="20"/>
              </w:rPr>
            </w:pPr>
            <w:r w:rsidRPr="000146D2">
              <w:rPr>
                <w:sz w:val="20"/>
                <w:szCs w:val="20"/>
              </w:rPr>
              <w:t>$9</w:t>
            </w:r>
            <w:r w:rsidR="000175E0">
              <w:rPr>
                <w:sz w:val="20"/>
                <w:szCs w:val="20"/>
              </w:rPr>
              <w:t>5.22</w:t>
            </w:r>
          </w:p>
        </w:tc>
        <w:tc>
          <w:tcPr>
            <w:tcW w:w="2016" w:type="dxa"/>
          </w:tcPr>
          <w:p w:rsidRPr="000146D2" w:rsidR="00B35D3F" w:rsidP="00B35D3F" w:rsidRDefault="00B35D3F" w14:paraId="04775337" w14:textId="4254673D">
            <w:pPr>
              <w:spacing w:after="0"/>
              <w:rPr>
                <w:sz w:val="20"/>
                <w:szCs w:val="20"/>
              </w:rPr>
            </w:pPr>
            <w:r w:rsidRPr="000146D2">
              <w:rPr>
                <w:sz w:val="20"/>
                <w:szCs w:val="20"/>
              </w:rPr>
              <w:t>$9</w:t>
            </w:r>
            <w:r w:rsidR="000175E0">
              <w:rPr>
                <w:sz w:val="20"/>
                <w:szCs w:val="20"/>
              </w:rPr>
              <w:t>5.22</w:t>
            </w:r>
            <w:r w:rsidRPr="000146D2">
              <w:rPr>
                <w:sz w:val="20"/>
                <w:szCs w:val="20"/>
              </w:rPr>
              <w:t xml:space="preserve"> </w:t>
            </w:r>
          </w:p>
        </w:tc>
      </w:tr>
      <w:tr w:rsidRPr="00C47150" w:rsidR="00B35D3F" w:rsidTr="00841679" w14:paraId="5520AB71" w14:textId="0769EEA6">
        <w:trPr>
          <w:cantSplit/>
          <w:trHeight w:val="602"/>
          <w:jc w:val="center"/>
        </w:trPr>
        <w:tc>
          <w:tcPr>
            <w:tcW w:w="5485" w:type="dxa"/>
            <w:shd w:val="clear" w:color="auto" w:fill="auto"/>
            <w:hideMark/>
          </w:tcPr>
          <w:p w:rsidRPr="000146D2" w:rsidR="00B35D3F" w:rsidP="00B35D3F" w:rsidRDefault="00B35D3F" w14:paraId="35D39D69" w14:textId="3B095CB6">
            <w:pPr>
              <w:spacing w:after="0"/>
              <w:rPr>
                <w:sz w:val="20"/>
                <w:szCs w:val="20"/>
              </w:rPr>
            </w:pPr>
            <w:r w:rsidRPr="000146D2">
              <w:rPr>
                <w:sz w:val="20"/>
                <w:szCs w:val="20"/>
              </w:rPr>
              <w:t>Cost LPN Review Measure Specifications (@ LPN's labor rate of $4</w:t>
            </w:r>
            <w:r w:rsidR="008B1573">
              <w:rPr>
                <w:sz w:val="20"/>
                <w:szCs w:val="20"/>
              </w:rPr>
              <w:t>8.16</w:t>
            </w:r>
            <w:r w:rsidRPr="000146D2">
              <w:rPr>
                <w:sz w:val="20"/>
                <w:szCs w:val="20"/>
              </w:rPr>
              <w:t>/hr) (p)</w:t>
            </w:r>
          </w:p>
        </w:tc>
        <w:tc>
          <w:tcPr>
            <w:tcW w:w="1849" w:type="dxa"/>
            <w:shd w:val="clear" w:color="auto" w:fill="auto"/>
            <w:hideMark/>
          </w:tcPr>
          <w:p w:rsidRPr="000146D2" w:rsidR="00B35D3F" w:rsidP="00B35D3F" w:rsidRDefault="00B35D3F" w14:paraId="124AA821" w14:textId="71368BE1">
            <w:pPr>
              <w:spacing w:after="0"/>
              <w:rPr>
                <w:sz w:val="20"/>
                <w:szCs w:val="20"/>
              </w:rPr>
            </w:pPr>
            <w:r w:rsidRPr="000146D2">
              <w:rPr>
                <w:sz w:val="20"/>
                <w:szCs w:val="20"/>
              </w:rPr>
              <w:t>$4</w:t>
            </w:r>
            <w:r w:rsidR="000D5035">
              <w:rPr>
                <w:sz w:val="20"/>
                <w:szCs w:val="20"/>
              </w:rPr>
              <w:t>8.16</w:t>
            </w:r>
            <w:r w:rsidRPr="000146D2">
              <w:rPr>
                <w:sz w:val="20"/>
                <w:szCs w:val="20"/>
              </w:rPr>
              <w:t xml:space="preserve"> </w:t>
            </w:r>
          </w:p>
        </w:tc>
        <w:tc>
          <w:tcPr>
            <w:tcW w:w="2016" w:type="dxa"/>
          </w:tcPr>
          <w:p w:rsidRPr="000146D2" w:rsidR="00B35D3F" w:rsidP="00B35D3F" w:rsidRDefault="00B35D3F" w14:paraId="05F50151" w14:textId="54A127CE">
            <w:pPr>
              <w:spacing w:after="0"/>
              <w:rPr>
                <w:sz w:val="20"/>
                <w:szCs w:val="20"/>
              </w:rPr>
            </w:pPr>
            <w:r w:rsidRPr="000146D2">
              <w:rPr>
                <w:sz w:val="20"/>
                <w:szCs w:val="20"/>
              </w:rPr>
              <w:t>$4</w:t>
            </w:r>
            <w:r w:rsidR="00C94F8F">
              <w:rPr>
                <w:sz w:val="20"/>
                <w:szCs w:val="20"/>
              </w:rPr>
              <w:t>8.16</w:t>
            </w:r>
            <w:r w:rsidRPr="000146D2">
              <w:rPr>
                <w:sz w:val="20"/>
                <w:szCs w:val="20"/>
              </w:rPr>
              <w:t xml:space="preserve"> </w:t>
            </w:r>
          </w:p>
        </w:tc>
      </w:tr>
      <w:tr w:rsidRPr="00C47150" w:rsidR="00B35D3F" w:rsidTr="00841679" w14:paraId="3B5E2173" w14:textId="5EC34598">
        <w:trPr>
          <w:cantSplit/>
          <w:trHeight w:val="525"/>
          <w:jc w:val="center"/>
        </w:trPr>
        <w:tc>
          <w:tcPr>
            <w:tcW w:w="5485" w:type="dxa"/>
            <w:shd w:val="clear" w:color="auto" w:fill="auto"/>
            <w:hideMark/>
          </w:tcPr>
          <w:p w:rsidRPr="000146D2" w:rsidR="00B35D3F" w:rsidP="00B35D3F" w:rsidRDefault="00B35D3F" w14:paraId="615DE364" w14:textId="4580E76C">
            <w:pPr>
              <w:spacing w:after="0"/>
              <w:rPr>
                <w:sz w:val="20"/>
                <w:szCs w:val="20"/>
              </w:rPr>
            </w:pPr>
            <w:r w:rsidRPr="000146D2">
              <w:rPr>
                <w:sz w:val="20"/>
                <w:szCs w:val="20"/>
              </w:rPr>
              <w:t>Cost Billing Clerk Review Measure Specifications (@ clerk’s labor rate of $</w:t>
            </w:r>
            <w:r w:rsidR="008B1573">
              <w:rPr>
                <w:sz w:val="20"/>
                <w:szCs w:val="20"/>
              </w:rPr>
              <w:t>40.02</w:t>
            </w:r>
            <w:r w:rsidRPr="000146D2">
              <w:rPr>
                <w:sz w:val="20"/>
                <w:szCs w:val="20"/>
              </w:rPr>
              <w:t>/hr) (q)</w:t>
            </w:r>
          </w:p>
        </w:tc>
        <w:tc>
          <w:tcPr>
            <w:tcW w:w="1849" w:type="dxa"/>
            <w:shd w:val="clear" w:color="auto" w:fill="auto"/>
            <w:hideMark/>
          </w:tcPr>
          <w:p w:rsidRPr="000146D2" w:rsidR="00B35D3F" w:rsidP="00B35D3F" w:rsidRDefault="00B35D3F" w14:paraId="69E96F42" w14:textId="7D3AEF0D">
            <w:pPr>
              <w:spacing w:after="0"/>
              <w:rPr>
                <w:sz w:val="20"/>
                <w:szCs w:val="20"/>
              </w:rPr>
            </w:pPr>
            <w:r w:rsidRPr="000146D2">
              <w:rPr>
                <w:sz w:val="20"/>
                <w:szCs w:val="20"/>
              </w:rPr>
              <w:t>$</w:t>
            </w:r>
            <w:r w:rsidR="00C94F8F">
              <w:rPr>
                <w:sz w:val="20"/>
                <w:szCs w:val="20"/>
              </w:rPr>
              <w:t>40.02</w:t>
            </w:r>
          </w:p>
        </w:tc>
        <w:tc>
          <w:tcPr>
            <w:tcW w:w="2016" w:type="dxa"/>
          </w:tcPr>
          <w:p w:rsidRPr="000146D2" w:rsidR="00B35D3F" w:rsidP="00B35D3F" w:rsidRDefault="00B35D3F" w14:paraId="0451B25D" w14:textId="58F1B73D">
            <w:pPr>
              <w:spacing w:after="0"/>
              <w:rPr>
                <w:sz w:val="20"/>
                <w:szCs w:val="20"/>
              </w:rPr>
            </w:pPr>
            <w:r w:rsidRPr="000146D2">
              <w:rPr>
                <w:sz w:val="20"/>
                <w:szCs w:val="20"/>
              </w:rPr>
              <w:t>$</w:t>
            </w:r>
            <w:r w:rsidR="00C94F8F">
              <w:rPr>
                <w:sz w:val="20"/>
                <w:szCs w:val="20"/>
              </w:rPr>
              <w:t>40.02</w:t>
            </w:r>
          </w:p>
        </w:tc>
      </w:tr>
      <w:tr w:rsidRPr="00C47150" w:rsidR="00B35D3F" w:rsidTr="00841679" w14:paraId="009764B3" w14:textId="426FAEB4">
        <w:trPr>
          <w:cantSplit/>
          <w:trHeight w:val="525"/>
          <w:jc w:val="center"/>
        </w:trPr>
        <w:tc>
          <w:tcPr>
            <w:tcW w:w="5485" w:type="dxa"/>
            <w:shd w:val="clear" w:color="auto" w:fill="auto"/>
            <w:hideMark/>
          </w:tcPr>
          <w:p w:rsidRPr="000146D2" w:rsidR="00B35D3F" w:rsidP="00B35D3F" w:rsidRDefault="00B35D3F" w14:paraId="253616E4" w14:textId="4C0F8031">
            <w:pPr>
              <w:spacing w:after="0"/>
              <w:rPr>
                <w:sz w:val="20"/>
                <w:szCs w:val="20"/>
              </w:rPr>
            </w:pPr>
            <w:r w:rsidRPr="000146D2">
              <w:rPr>
                <w:sz w:val="20"/>
                <w:szCs w:val="20"/>
              </w:rPr>
              <w:t>Cost Physician Review Measure Specifications (@ physician’s labor rate of $21</w:t>
            </w:r>
            <w:r w:rsidR="008B1573">
              <w:rPr>
                <w:sz w:val="20"/>
                <w:szCs w:val="20"/>
              </w:rPr>
              <w:t>7.32</w:t>
            </w:r>
            <w:r w:rsidRPr="000146D2">
              <w:rPr>
                <w:sz w:val="20"/>
                <w:szCs w:val="20"/>
              </w:rPr>
              <w:t>/hr) (r)</w:t>
            </w:r>
          </w:p>
        </w:tc>
        <w:tc>
          <w:tcPr>
            <w:tcW w:w="1849" w:type="dxa"/>
            <w:shd w:val="clear" w:color="auto" w:fill="auto"/>
            <w:hideMark/>
          </w:tcPr>
          <w:p w:rsidRPr="000146D2" w:rsidR="00B35D3F" w:rsidP="00B35D3F" w:rsidRDefault="00B35D3F" w14:paraId="2718E1B3" w14:textId="09B5BA43">
            <w:pPr>
              <w:spacing w:after="0"/>
              <w:rPr>
                <w:sz w:val="20"/>
                <w:szCs w:val="20"/>
              </w:rPr>
            </w:pPr>
            <w:r w:rsidRPr="000146D2">
              <w:rPr>
                <w:sz w:val="20"/>
                <w:szCs w:val="20"/>
              </w:rPr>
              <w:t>$21</w:t>
            </w:r>
            <w:r w:rsidR="00C94F8F">
              <w:rPr>
                <w:sz w:val="20"/>
                <w:szCs w:val="20"/>
              </w:rPr>
              <w:t>7.32</w:t>
            </w:r>
          </w:p>
        </w:tc>
        <w:tc>
          <w:tcPr>
            <w:tcW w:w="2016" w:type="dxa"/>
          </w:tcPr>
          <w:p w:rsidRPr="000146D2" w:rsidR="00B35D3F" w:rsidP="00B35D3F" w:rsidRDefault="00B35D3F" w14:paraId="518E136B" w14:textId="1BB74361">
            <w:pPr>
              <w:spacing w:after="0"/>
              <w:rPr>
                <w:sz w:val="20"/>
                <w:szCs w:val="20"/>
              </w:rPr>
            </w:pPr>
            <w:r w:rsidRPr="000146D2">
              <w:rPr>
                <w:sz w:val="20"/>
                <w:szCs w:val="20"/>
              </w:rPr>
              <w:t>$21</w:t>
            </w:r>
            <w:r w:rsidR="00C94F8F">
              <w:rPr>
                <w:sz w:val="20"/>
                <w:szCs w:val="20"/>
              </w:rPr>
              <w:t>7.32</w:t>
            </w:r>
            <w:r w:rsidRPr="000146D2">
              <w:rPr>
                <w:sz w:val="20"/>
                <w:szCs w:val="20"/>
              </w:rPr>
              <w:t xml:space="preserve"> </w:t>
            </w:r>
          </w:p>
        </w:tc>
      </w:tr>
      <w:tr w:rsidRPr="00C47150" w:rsidR="00B35D3F" w:rsidTr="00841679" w14:paraId="6A402A68" w14:textId="05551D55">
        <w:trPr>
          <w:cantSplit/>
          <w:trHeight w:val="525"/>
          <w:jc w:val="center"/>
        </w:trPr>
        <w:tc>
          <w:tcPr>
            <w:tcW w:w="5485" w:type="dxa"/>
            <w:shd w:val="clear" w:color="auto" w:fill="auto"/>
            <w:hideMark/>
          </w:tcPr>
          <w:p w:rsidRPr="000146D2" w:rsidR="00B35D3F" w:rsidP="00B35D3F" w:rsidRDefault="00B35D3F" w14:paraId="4AFEE43E" w14:textId="60A0AC10">
            <w:pPr>
              <w:spacing w:after="0"/>
              <w:rPr>
                <w:sz w:val="20"/>
                <w:szCs w:val="20"/>
              </w:rPr>
            </w:pPr>
            <w:r w:rsidRPr="000146D2">
              <w:rPr>
                <w:sz w:val="20"/>
                <w:szCs w:val="20"/>
              </w:rPr>
              <w:t>Cost for Respondent to Authorize Qualified Registry/QCDR to Report on Respondent's Behalf (@ computer systems analyst’s labor rate of $9</w:t>
            </w:r>
            <w:r w:rsidR="008B1573">
              <w:rPr>
                <w:sz w:val="20"/>
                <w:szCs w:val="20"/>
              </w:rPr>
              <w:t>5.22</w:t>
            </w:r>
            <w:r w:rsidRPr="000146D2">
              <w:rPr>
                <w:sz w:val="20"/>
                <w:szCs w:val="20"/>
              </w:rPr>
              <w:t>/hr) (s)</w:t>
            </w:r>
          </w:p>
        </w:tc>
        <w:tc>
          <w:tcPr>
            <w:tcW w:w="1849" w:type="dxa"/>
            <w:shd w:val="clear" w:color="auto" w:fill="auto"/>
            <w:hideMark/>
          </w:tcPr>
          <w:p w:rsidRPr="000146D2" w:rsidR="00B35D3F" w:rsidP="00B35D3F" w:rsidRDefault="00B35D3F" w14:paraId="2F8707BA" w14:textId="0EF5DB20">
            <w:pPr>
              <w:spacing w:after="0"/>
              <w:rPr>
                <w:sz w:val="20"/>
                <w:szCs w:val="20"/>
              </w:rPr>
            </w:pPr>
            <w:r w:rsidRPr="000146D2">
              <w:rPr>
                <w:sz w:val="20"/>
                <w:szCs w:val="20"/>
              </w:rPr>
              <w:t>$7.</w:t>
            </w:r>
            <w:r w:rsidR="002E4900">
              <w:rPr>
                <w:sz w:val="20"/>
                <w:szCs w:val="20"/>
              </w:rPr>
              <w:t>9</w:t>
            </w:r>
            <w:r w:rsidRPr="000146D2">
              <w:rPr>
                <w:sz w:val="20"/>
                <w:szCs w:val="20"/>
              </w:rPr>
              <w:t xml:space="preserve">0 </w:t>
            </w:r>
          </w:p>
        </w:tc>
        <w:tc>
          <w:tcPr>
            <w:tcW w:w="2016" w:type="dxa"/>
          </w:tcPr>
          <w:p w:rsidRPr="000146D2" w:rsidR="00B35D3F" w:rsidP="00B35D3F" w:rsidRDefault="00B35D3F" w14:paraId="2D52FF0D" w14:textId="08E41107">
            <w:pPr>
              <w:spacing w:after="0"/>
              <w:rPr>
                <w:sz w:val="20"/>
                <w:szCs w:val="20"/>
              </w:rPr>
            </w:pPr>
            <w:r w:rsidRPr="000146D2">
              <w:rPr>
                <w:sz w:val="20"/>
                <w:szCs w:val="20"/>
              </w:rPr>
              <w:t>$7.</w:t>
            </w:r>
            <w:r w:rsidR="002E4900">
              <w:rPr>
                <w:sz w:val="20"/>
                <w:szCs w:val="20"/>
              </w:rPr>
              <w:t>9</w:t>
            </w:r>
            <w:r w:rsidRPr="000146D2">
              <w:rPr>
                <w:sz w:val="20"/>
                <w:szCs w:val="20"/>
              </w:rPr>
              <w:t xml:space="preserve">0 </w:t>
            </w:r>
          </w:p>
        </w:tc>
      </w:tr>
      <w:tr w:rsidRPr="00C47150" w:rsidR="00B35D3F" w:rsidTr="00841679" w14:paraId="74FAE34A" w14:textId="504401C9">
        <w:trPr>
          <w:cantSplit/>
          <w:trHeight w:val="287"/>
          <w:jc w:val="center"/>
        </w:trPr>
        <w:tc>
          <w:tcPr>
            <w:tcW w:w="5485" w:type="dxa"/>
            <w:shd w:val="clear" w:color="auto" w:fill="auto"/>
            <w:hideMark/>
          </w:tcPr>
          <w:p w:rsidRPr="000146D2" w:rsidR="00B35D3F" w:rsidP="00B35D3F" w:rsidRDefault="006A10DA" w14:paraId="3AA7CEB1" w14:textId="3E8D6242">
            <w:pPr>
              <w:spacing w:after="0"/>
              <w:rPr>
                <w:sz w:val="20"/>
                <w:szCs w:val="20"/>
              </w:rPr>
            </w:pPr>
            <w:r>
              <w:rPr>
                <w:sz w:val="20"/>
                <w:szCs w:val="20"/>
              </w:rPr>
              <w:t>*</w:t>
            </w:r>
            <w:r w:rsidRPr="000146D2" w:rsidR="00B35D3F">
              <w:rPr>
                <w:sz w:val="20"/>
                <w:szCs w:val="20"/>
              </w:rPr>
              <w:t>Total Annual Cost Per Respondent (t) = (m)+(n)+(o)+(p)+(q)+(r)+(s)</w:t>
            </w:r>
          </w:p>
        </w:tc>
        <w:tc>
          <w:tcPr>
            <w:tcW w:w="1849" w:type="dxa"/>
            <w:shd w:val="clear" w:color="auto" w:fill="auto"/>
            <w:hideMark/>
          </w:tcPr>
          <w:p w:rsidRPr="000146D2" w:rsidR="00B35D3F" w:rsidP="00B35D3F" w:rsidRDefault="00B35D3F" w14:paraId="52B14041" w14:textId="306DE813">
            <w:pPr>
              <w:spacing w:after="0"/>
              <w:rPr>
                <w:sz w:val="20"/>
                <w:szCs w:val="20"/>
              </w:rPr>
            </w:pPr>
            <w:r w:rsidRPr="000146D2">
              <w:rPr>
                <w:sz w:val="20"/>
                <w:szCs w:val="20"/>
              </w:rPr>
              <w:t>$</w:t>
            </w:r>
            <w:r w:rsidR="002E4900">
              <w:rPr>
                <w:sz w:val="20"/>
                <w:szCs w:val="20"/>
              </w:rPr>
              <w:t>922.76</w:t>
            </w:r>
          </w:p>
        </w:tc>
        <w:tc>
          <w:tcPr>
            <w:tcW w:w="2016" w:type="dxa"/>
          </w:tcPr>
          <w:p w:rsidRPr="000146D2" w:rsidR="00B35D3F" w:rsidP="00B35D3F" w:rsidRDefault="00B35D3F" w14:paraId="5C056F08" w14:textId="036CF307">
            <w:pPr>
              <w:spacing w:after="0"/>
              <w:rPr>
                <w:sz w:val="20"/>
                <w:szCs w:val="20"/>
              </w:rPr>
            </w:pPr>
            <w:r w:rsidRPr="000146D2">
              <w:rPr>
                <w:sz w:val="20"/>
                <w:szCs w:val="20"/>
              </w:rPr>
              <w:t>$</w:t>
            </w:r>
            <w:r w:rsidR="002E4900">
              <w:rPr>
                <w:sz w:val="20"/>
                <w:szCs w:val="20"/>
              </w:rPr>
              <w:t>922.76</w:t>
            </w:r>
          </w:p>
        </w:tc>
      </w:tr>
      <w:tr w:rsidRPr="00C47150" w:rsidR="009D2F62" w:rsidTr="00841679" w14:paraId="251B90E8" w14:textId="35D90D07">
        <w:trPr>
          <w:cantSplit/>
          <w:trHeight w:val="296"/>
          <w:jc w:val="center"/>
        </w:trPr>
        <w:tc>
          <w:tcPr>
            <w:tcW w:w="5485" w:type="dxa"/>
            <w:shd w:val="clear" w:color="auto" w:fill="D9D9D9" w:themeFill="background1" w:themeFillShade="D9"/>
            <w:hideMark/>
          </w:tcPr>
          <w:p w:rsidRPr="000146D2" w:rsidR="009D2F62" w:rsidP="009D2F62" w:rsidRDefault="002B258D" w14:paraId="57EE7A61" w14:textId="65129009">
            <w:pPr>
              <w:spacing w:after="0"/>
              <w:rPr>
                <w:b/>
                <w:bCs/>
                <w:sz w:val="20"/>
                <w:szCs w:val="20"/>
              </w:rPr>
            </w:pPr>
            <w:r>
              <w:rPr>
                <w:b/>
                <w:bCs/>
                <w:sz w:val="20"/>
                <w:szCs w:val="20"/>
              </w:rPr>
              <w:t>*</w:t>
            </w:r>
            <w:r w:rsidRPr="000146D2" w:rsidR="009D2F62">
              <w:rPr>
                <w:b/>
                <w:bCs/>
                <w:sz w:val="20"/>
                <w:szCs w:val="20"/>
              </w:rPr>
              <w:t>Total Annual Cost (u) = (c)*(t)</w:t>
            </w:r>
          </w:p>
        </w:tc>
        <w:tc>
          <w:tcPr>
            <w:tcW w:w="1849" w:type="dxa"/>
            <w:shd w:val="clear" w:color="auto" w:fill="D9D9D9" w:themeFill="background1" w:themeFillShade="D9"/>
            <w:vAlign w:val="center"/>
            <w:hideMark/>
          </w:tcPr>
          <w:p w:rsidRPr="000146D2" w:rsidR="009D2F62" w:rsidP="009D2F62" w:rsidRDefault="009D2F62" w14:paraId="72D9B5AD" w14:textId="46AC9075">
            <w:pPr>
              <w:spacing w:after="0"/>
              <w:rPr>
                <w:b/>
                <w:bCs/>
                <w:sz w:val="20"/>
                <w:szCs w:val="20"/>
              </w:rPr>
            </w:pPr>
            <w:r w:rsidRPr="00A84883">
              <w:rPr>
                <w:b/>
                <w:sz w:val="20"/>
                <w:szCs w:val="20"/>
              </w:rPr>
              <w:t>$</w:t>
            </w:r>
            <w:r w:rsidRPr="00871E51" w:rsidR="0069256A">
              <w:rPr>
                <w:b/>
                <w:sz w:val="20"/>
                <w:szCs w:val="20"/>
              </w:rPr>
              <w:t>4</w:t>
            </w:r>
            <w:r w:rsidR="0069256A">
              <w:rPr>
                <w:b/>
                <w:sz w:val="20"/>
                <w:szCs w:val="20"/>
              </w:rPr>
              <w:t>8,016,</w:t>
            </w:r>
            <w:r w:rsidR="00707913">
              <w:rPr>
                <w:b/>
                <w:sz w:val="20"/>
                <w:szCs w:val="20"/>
              </w:rPr>
              <w:t>739</w:t>
            </w:r>
            <w:r w:rsidR="00582663">
              <w:rPr>
                <w:b/>
                <w:sz w:val="20"/>
                <w:szCs w:val="20"/>
              </w:rPr>
              <w:t>*</w:t>
            </w:r>
          </w:p>
        </w:tc>
        <w:tc>
          <w:tcPr>
            <w:tcW w:w="2016" w:type="dxa"/>
            <w:shd w:val="clear" w:color="auto" w:fill="D9D9D9" w:themeFill="background1" w:themeFillShade="D9"/>
            <w:vAlign w:val="center"/>
          </w:tcPr>
          <w:p w:rsidRPr="000146D2" w:rsidR="009D2F62" w:rsidP="009D2F62" w:rsidRDefault="009D2F62" w14:paraId="62D5974A" w14:textId="60241A29">
            <w:pPr>
              <w:spacing w:after="0"/>
              <w:rPr>
                <w:b/>
                <w:bCs/>
                <w:sz w:val="20"/>
                <w:szCs w:val="20"/>
              </w:rPr>
            </w:pPr>
            <w:r w:rsidRPr="00A84883">
              <w:rPr>
                <w:b/>
                <w:sz w:val="20"/>
                <w:szCs w:val="20"/>
              </w:rPr>
              <w:t>$4</w:t>
            </w:r>
            <w:r w:rsidR="00EA204A">
              <w:rPr>
                <w:b/>
                <w:sz w:val="20"/>
                <w:szCs w:val="20"/>
              </w:rPr>
              <w:t>3,</w:t>
            </w:r>
            <w:r w:rsidR="000A4C69">
              <w:rPr>
                <w:b/>
                <w:sz w:val="20"/>
                <w:szCs w:val="20"/>
              </w:rPr>
              <w:t>268,216</w:t>
            </w:r>
            <w:r w:rsidR="00582663">
              <w:rPr>
                <w:b/>
                <w:sz w:val="20"/>
                <w:szCs w:val="20"/>
              </w:rPr>
              <w:t>*</w:t>
            </w:r>
          </w:p>
        </w:tc>
      </w:tr>
    </w:tbl>
    <w:p w:rsidRPr="00871E51" w:rsidR="00EA1A61" w:rsidP="00EA1A61" w:rsidRDefault="00EA1A61" w14:paraId="20D14FC6" w14:textId="77777777">
      <w:pPr>
        <w:keepNext/>
        <w:keepLines/>
        <w:widowControl w:val="0"/>
        <w:rPr>
          <w:rFonts w:eastAsia="Calibri"/>
          <w:sz w:val="20"/>
          <w:szCs w:val="20"/>
        </w:rPr>
      </w:pPr>
      <w:r w:rsidRPr="00871E51">
        <w:rPr>
          <w:rFonts w:eastAsia="Calibri"/>
          <w:sz w:val="20"/>
          <w:szCs w:val="20"/>
        </w:rPr>
        <w:t>*Due to burden for certain activities being estimated in fractions of hours, totals may not reflect the sum of individual rows due to rounding.</w:t>
      </w:r>
    </w:p>
    <w:p w:rsidRPr="00C351ED" w:rsidR="00C351ED" w:rsidP="00C351ED" w:rsidRDefault="00C351ED" w14:paraId="6B995C2F" w14:textId="77777777">
      <w:pPr>
        <w:ind w:firstLine="360"/>
      </w:pPr>
    </w:p>
    <w:p w:rsidRPr="0096593D" w:rsidR="00C351ED" w:rsidP="00C45D11" w:rsidRDefault="00C351ED" w14:paraId="1EF3F5C6" w14:textId="2777813E">
      <w:pPr>
        <w:pStyle w:val="Heading4"/>
        <w:numPr>
          <w:ilvl w:val="3"/>
          <w:numId w:val="23"/>
        </w:numPr>
        <w:tabs>
          <w:tab w:val="clear" w:pos="720"/>
          <w:tab w:val="left" w:pos="900"/>
        </w:tabs>
      </w:pPr>
      <w:r w:rsidRPr="0096593D">
        <w:lastRenderedPageBreak/>
        <w:t>Burden for Quality Data Submission by Clinicians</w:t>
      </w:r>
      <w:r w:rsidRPr="0096593D" w:rsidR="001964ED">
        <w:t xml:space="preserve"> and</w:t>
      </w:r>
      <w:r w:rsidRPr="0096593D">
        <w:t xml:space="preserve"> Groups: eCQM Collection Type</w:t>
      </w:r>
    </w:p>
    <w:p w:rsidR="003F6059" w:rsidP="003F6059" w:rsidRDefault="002B258D" w14:paraId="4695F4F8" w14:textId="67A6DB7E">
      <w:pPr>
        <w:keepNext/>
        <w:keepLines/>
        <w:rPr>
          <w:rFonts w:eastAsia="Calibri"/>
        </w:rPr>
      </w:pPr>
      <w:r>
        <w:rPr>
          <w:rFonts w:eastAsia="Calibri"/>
        </w:rPr>
        <w:t xml:space="preserve">In the CY 2022 PFS proposed rule, we propose to extend the CMS Web Interface as a collection type and submission type for the CY 2022 MIPS performance period/2024 MIPS payment year. In the CY 2022 PFS proposed rule, </w:t>
      </w:r>
      <w:r w:rsidR="000C7D22">
        <w:rPr>
          <w:rFonts w:eastAsia="Calibri"/>
        </w:rPr>
        <w:t>and</w:t>
      </w:r>
      <w:r>
        <w:rPr>
          <w:rFonts w:eastAsia="Calibri"/>
        </w:rPr>
        <w:t xml:space="preserve"> we also propose to</w:t>
      </w:r>
      <w:r w:rsidRPr="00B17713">
        <w:rPr>
          <w:rFonts w:eastAsia="Calibri"/>
        </w:rPr>
        <w:t xml:space="preserve"> sunset the CMS Web Interface measures as a collection type and submission type starting with the </w:t>
      </w:r>
      <w:r>
        <w:rPr>
          <w:rFonts w:eastAsia="Calibri"/>
        </w:rPr>
        <w:t xml:space="preserve">CY </w:t>
      </w:r>
      <w:r w:rsidRPr="00B17713">
        <w:rPr>
          <w:rFonts w:eastAsia="Calibri"/>
        </w:rPr>
        <w:t>202</w:t>
      </w:r>
      <w:r>
        <w:rPr>
          <w:rFonts w:eastAsia="Calibri"/>
        </w:rPr>
        <w:t>3 MIPS</w:t>
      </w:r>
      <w:r w:rsidRPr="00B17713">
        <w:rPr>
          <w:rFonts w:eastAsia="Calibri"/>
        </w:rPr>
        <w:t xml:space="preserve"> performance period</w:t>
      </w:r>
      <w:r>
        <w:rPr>
          <w:rFonts w:eastAsia="Calibri"/>
        </w:rPr>
        <w:t>/2025 MIPS payment year</w:t>
      </w:r>
      <w:r w:rsidRPr="00B17713">
        <w:rPr>
          <w:rFonts w:eastAsia="Calibri"/>
        </w:rPr>
        <w:t xml:space="preserve">.  </w:t>
      </w:r>
      <w:r w:rsidRPr="00B17713" w:rsidR="003F6059">
        <w:rPr>
          <w:rFonts w:eastAsia="Calibri"/>
        </w:rPr>
        <w:t xml:space="preserve">Using the methodology </w:t>
      </w:r>
      <w:r w:rsidR="003F6059">
        <w:rPr>
          <w:rFonts w:eastAsia="Calibri"/>
        </w:rPr>
        <w:t>previously described</w:t>
      </w:r>
      <w:r w:rsidRPr="00B17713" w:rsidR="003F6059">
        <w:rPr>
          <w:rFonts w:eastAsia="Calibri"/>
        </w:rPr>
        <w:t xml:space="preserve">, </w:t>
      </w:r>
      <w:r w:rsidR="004E19BF">
        <w:rPr>
          <w:rFonts w:eastAsia="Calibri"/>
        </w:rPr>
        <w:t xml:space="preserve">for the CY 2023 MIPS performance period/2025 MIPS payment year, </w:t>
      </w:r>
      <w:r w:rsidRPr="00B17713" w:rsidR="003F6059">
        <w:rPr>
          <w:rFonts w:eastAsia="Calibri"/>
        </w:rPr>
        <w:t xml:space="preserve">we estimate </w:t>
      </w:r>
      <w:r w:rsidR="003F6059">
        <w:rPr>
          <w:rFonts w:eastAsia="Calibri"/>
        </w:rPr>
        <w:t>6</w:t>
      </w:r>
      <w:r w:rsidR="009D2F62">
        <w:rPr>
          <w:rFonts w:eastAsia="Calibri"/>
        </w:rPr>
        <w:t>6</w:t>
      </w:r>
      <w:r w:rsidRPr="00B17713" w:rsidR="003F6059">
        <w:rPr>
          <w:rFonts w:eastAsia="Calibri"/>
        </w:rPr>
        <w:t xml:space="preserve"> groups which previously submitted quality data via the CMS Web Interface collection type will now submit quality data via the </w:t>
      </w:r>
      <w:r w:rsidR="003F6059">
        <w:rPr>
          <w:rFonts w:eastAsia="Calibri"/>
        </w:rPr>
        <w:t>e</w:t>
      </w:r>
      <w:r w:rsidRPr="00B17713" w:rsidR="003F6059">
        <w:rPr>
          <w:rFonts w:eastAsia="Calibri"/>
        </w:rPr>
        <w:t>CQM collection type</w:t>
      </w:r>
      <w:r w:rsidR="003F6059">
        <w:rPr>
          <w:rFonts w:eastAsia="Calibri"/>
        </w:rPr>
        <w:t>.</w:t>
      </w:r>
    </w:p>
    <w:p w:rsidRPr="00597766" w:rsidR="00597766" w:rsidP="00730BEF" w:rsidRDefault="00597766" w14:paraId="6122C363" w14:textId="660511F1">
      <w:pPr>
        <w:rPr>
          <w:rFonts w:eastAsia="Calibri"/>
        </w:rPr>
      </w:pPr>
      <w:r w:rsidRPr="00597766">
        <w:rPr>
          <w:rFonts w:eastAsia="Calibri"/>
        </w:rPr>
        <w:t>As noted in Table</w:t>
      </w:r>
      <w:r w:rsidR="004B631D">
        <w:rPr>
          <w:rFonts w:eastAsia="Calibri"/>
        </w:rPr>
        <w:t xml:space="preserve"> 12 below, </w:t>
      </w:r>
      <w:r w:rsidRPr="00377E40" w:rsidR="00377E40">
        <w:rPr>
          <w:rFonts w:eastAsia="Calibri"/>
        </w:rPr>
        <w:t xml:space="preserve">based </w:t>
      </w:r>
      <w:r w:rsidRPr="003F6059" w:rsidR="003F6059">
        <w:rPr>
          <w:rFonts w:eastAsia="Calibri"/>
        </w:rPr>
        <w:t xml:space="preserve">on </w:t>
      </w:r>
      <w:r w:rsidR="003B0D8A">
        <w:rPr>
          <w:rFonts w:eastAsia="Calibri"/>
        </w:rPr>
        <w:t xml:space="preserve">data </w:t>
      </w:r>
      <w:r w:rsidR="005E054C">
        <w:rPr>
          <w:rFonts w:eastAsia="Calibri"/>
        </w:rPr>
        <w:t xml:space="preserve">in the </w:t>
      </w:r>
      <w:r w:rsidR="003B0D8A">
        <w:rPr>
          <w:rFonts w:eastAsia="Calibri"/>
        </w:rPr>
        <w:t xml:space="preserve">CY </w:t>
      </w:r>
      <w:r w:rsidRPr="003F6059" w:rsidR="003F6059">
        <w:rPr>
          <w:rFonts w:eastAsia="Calibri"/>
        </w:rPr>
        <w:t>201</w:t>
      </w:r>
      <w:r w:rsidR="00AD59C4">
        <w:rPr>
          <w:rFonts w:eastAsia="Calibri"/>
        </w:rPr>
        <w:t>9</w:t>
      </w:r>
      <w:r w:rsidRPr="003F6059" w:rsidR="003F6059">
        <w:rPr>
          <w:rFonts w:eastAsia="Calibri"/>
        </w:rPr>
        <w:t xml:space="preserve"> MIPS performance period</w:t>
      </w:r>
      <w:r w:rsidR="005E054C">
        <w:rPr>
          <w:rFonts w:eastAsia="Calibri"/>
        </w:rPr>
        <w:t>/2021 MIPS payment year</w:t>
      </w:r>
      <w:r w:rsidRPr="003F6059" w:rsidR="003F6059">
        <w:rPr>
          <w:rFonts w:eastAsia="Calibri"/>
        </w:rPr>
        <w:t xml:space="preserve">, </w:t>
      </w:r>
      <w:r w:rsidR="00EB5621">
        <w:rPr>
          <w:rFonts w:eastAsia="Calibri"/>
        </w:rPr>
        <w:t>for the CY 2022 MIPS performance period/202</w:t>
      </w:r>
      <w:r w:rsidR="00570A53">
        <w:rPr>
          <w:rFonts w:eastAsia="Calibri"/>
        </w:rPr>
        <w:t>4</w:t>
      </w:r>
      <w:r w:rsidR="00EB5621">
        <w:rPr>
          <w:rFonts w:eastAsia="Calibri"/>
        </w:rPr>
        <w:t xml:space="preserve"> MIPS payment year, </w:t>
      </w:r>
      <w:r w:rsidRPr="00753E2D" w:rsidR="00753E2D">
        <w:rPr>
          <w:rFonts w:eastAsia="Calibri"/>
        </w:rPr>
        <w:t>we assume that 4</w:t>
      </w:r>
      <w:r w:rsidR="000B1B9F">
        <w:rPr>
          <w:rFonts w:eastAsia="Calibri"/>
        </w:rPr>
        <w:t>0,446</w:t>
      </w:r>
      <w:r w:rsidRPr="00753E2D" w:rsidR="00753E2D">
        <w:rPr>
          <w:rFonts w:eastAsia="Calibri"/>
        </w:rPr>
        <w:t xml:space="preserve"> clinicians </w:t>
      </w:r>
      <w:r w:rsidR="00EC669A">
        <w:rPr>
          <w:rFonts w:eastAsia="Calibri"/>
        </w:rPr>
        <w:t>will</w:t>
      </w:r>
      <w:r w:rsidRPr="00753E2D" w:rsidR="00753E2D">
        <w:rPr>
          <w:rFonts w:eastAsia="Calibri"/>
        </w:rPr>
        <w:t xml:space="preserve"> submit eCQMs as individuals</w:t>
      </w:r>
      <w:r w:rsidR="00EC669A">
        <w:rPr>
          <w:rFonts w:eastAsia="Calibri"/>
        </w:rPr>
        <w:t>,</w:t>
      </w:r>
      <w:r w:rsidRPr="00753E2D" w:rsidR="00753E2D">
        <w:rPr>
          <w:rFonts w:eastAsia="Calibri"/>
        </w:rPr>
        <w:t xml:space="preserve"> and 8,1</w:t>
      </w:r>
      <w:r w:rsidR="00B77D6E">
        <w:rPr>
          <w:rFonts w:eastAsia="Calibri"/>
        </w:rPr>
        <w:t>27</w:t>
      </w:r>
      <w:r w:rsidRPr="00753E2D" w:rsidR="00753E2D">
        <w:rPr>
          <w:rFonts w:eastAsia="Calibri"/>
        </w:rPr>
        <w:t xml:space="preserve"> groups and virtual groups </w:t>
      </w:r>
      <w:r w:rsidR="00C84E67">
        <w:rPr>
          <w:rFonts w:eastAsia="Calibri"/>
        </w:rPr>
        <w:t>will</w:t>
      </w:r>
      <w:r w:rsidRPr="00753E2D" w:rsidR="00753E2D">
        <w:rPr>
          <w:rFonts w:eastAsia="Calibri"/>
        </w:rPr>
        <w:t xml:space="preserve"> submit </w:t>
      </w:r>
      <w:r w:rsidR="00C84E67">
        <w:rPr>
          <w:rFonts w:eastAsia="Calibri"/>
        </w:rPr>
        <w:t xml:space="preserve">quality data </w:t>
      </w:r>
      <w:r w:rsidR="005217B6">
        <w:rPr>
          <w:rFonts w:eastAsia="Calibri"/>
        </w:rPr>
        <w:t xml:space="preserve">using the </w:t>
      </w:r>
      <w:r w:rsidRPr="00753E2D" w:rsidR="00753E2D">
        <w:rPr>
          <w:rFonts w:eastAsia="Calibri"/>
        </w:rPr>
        <w:t>eCQM</w:t>
      </w:r>
      <w:r w:rsidR="005217B6">
        <w:rPr>
          <w:rFonts w:eastAsia="Calibri"/>
        </w:rPr>
        <w:t xml:space="preserve"> collection type</w:t>
      </w:r>
      <w:r w:rsidRPr="00753E2D" w:rsidR="00753E2D">
        <w:rPr>
          <w:rFonts w:eastAsia="Calibri"/>
        </w:rPr>
        <w:t xml:space="preserve">.  For the </w:t>
      </w:r>
      <w:r w:rsidR="00EB5621">
        <w:rPr>
          <w:rFonts w:eastAsia="Calibri"/>
        </w:rPr>
        <w:t xml:space="preserve">CY </w:t>
      </w:r>
      <w:r w:rsidRPr="00753E2D" w:rsidR="00753E2D">
        <w:rPr>
          <w:rFonts w:eastAsia="Calibri"/>
        </w:rPr>
        <w:t>202</w:t>
      </w:r>
      <w:r w:rsidR="00EB5621">
        <w:rPr>
          <w:rFonts w:eastAsia="Calibri"/>
        </w:rPr>
        <w:t>3 MIPS</w:t>
      </w:r>
      <w:r w:rsidRPr="00753E2D" w:rsidR="00753E2D">
        <w:rPr>
          <w:rFonts w:eastAsia="Calibri"/>
        </w:rPr>
        <w:t xml:space="preserve"> performance period</w:t>
      </w:r>
      <w:r w:rsidR="00EB5621">
        <w:rPr>
          <w:rFonts w:eastAsia="Calibri"/>
        </w:rPr>
        <w:t>/20</w:t>
      </w:r>
      <w:r w:rsidR="00D322A7">
        <w:rPr>
          <w:rFonts w:eastAsia="Calibri"/>
        </w:rPr>
        <w:t>25 MIPS payment year</w:t>
      </w:r>
      <w:r w:rsidRPr="00753E2D" w:rsidR="00753E2D">
        <w:rPr>
          <w:rFonts w:eastAsia="Calibri"/>
        </w:rPr>
        <w:t xml:space="preserve">, </w:t>
      </w:r>
      <w:r w:rsidR="00140EC5">
        <w:rPr>
          <w:rFonts w:eastAsia="Calibri"/>
        </w:rPr>
        <w:t xml:space="preserve">due to the proposed policy in the CY 2022 PFS proposed rule for implementation of </w:t>
      </w:r>
      <w:r w:rsidR="00C74966">
        <w:rPr>
          <w:rFonts w:eastAsia="Calibri"/>
        </w:rPr>
        <w:t xml:space="preserve">voluntary </w:t>
      </w:r>
      <w:r w:rsidR="00140EC5">
        <w:rPr>
          <w:rFonts w:eastAsia="Calibri"/>
        </w:rPr>
        <w:t>MVP</w:t>
      </w:r>
      <w:r w:rsidR="00C74966">
        <w:rPr>
          <w:rFonts w:eastAsia="Calibri"/>
        </w:rPr>
        <w:t xml:space="preserve"> reporting,</w:t>
      </w:r>
      <w:r w:rsidR="00140EC5">
        <w:rPr>
          <w:rFonts w:eastAsia="Calibri"/>
        </w:rPr>
        <w:t xml:space="preserve"> </w:t>
      </w:r>
      <w:r w:rsidRPr="00753E2D" w:rsidR="00753E2D">
        <w:rPr>
          <w:rFonts w:eastAsia="Calibri"/>
        </w:rPr>
        <w:t xml:space="preserve">we assume that </w:t>
      </w:r>
      <w:r w:rsidR="005835AF">
        <w:rPr>
          <w:rFonts w:eastAsia="Calibri"/>
        </w:rPr>
        <w:t>36,401</w:t>
      </w:r>
      <w:r w:rsidRPr="00753E2D" w:rsidR="00753E2D">
        <w:rPr>
          <w:rFonts w:eastAsia="Calibri"/>
        </w:rPr>
        <w:t xml:space="preserve"> clinicians </w:t>
      </w:r>
      <w:r w:rsidR="0027607E">
        <w:rPr>
          <w:rFonts w:eastAsia="Calibri"/>
        </w:rPr>
        <w:t>will</w:t>
      </w:r>
      <w:r w:rsidRPr="00753E2D" w:rsidR="00753E2D">
        <w:rPr>
          <w:rFonts w:eastAsia="Calibri"/>
        </w:rPr>
        <w:t xml:space="preserve"> submit eCQMs as individuals</w:t>
      </w:r>
      <w:r w:rsidR="0027607E">
        <w:rPr>
          <w:rFonts w:eastAsia="Calibri"/>
        </w:rPr>
        <w:t>,</w:t>
      </w:r>
      <w:r w:rsidRPr="00753E2D" w:rsidR="00753E2D">
        <w:rPr>
          <w:rFonts w:eastAsia="Calibri"/>
        </w:rPr>
        <w:t xml:space="preserve"> and </w:t>
      </w:r>
      <w:r w:rsidR="00DD6F5C">
        <w:rPr>
          <w:rFonts w:eastAsia="Calibri"/>
        </w:rPr>
        <w:t>7,372</w:t>
      </w:r>
      <w:r w:rsidRPr="00753E2D" w:rsidR="00753E2D">
        <w:rPr>
          <w:rFonts w:eastAsia="Calibri"/>
        </w:rPr>
        <w:t xml:space="preserve"> groups and virtual groups </w:t>
      </w:r>
      <w:r w:rsidR="0027607E">
        <w:rPr>
          <w:rFonts w:eastAsia="Calibri"/>
        </w:rPr>
        <w:t xml:space="preserve">will </w:t>
      </w:r>
      <w:r w:rsidRPr="00753E2D" w:rsidR="00753E2D">
        <w:rPr>
          <w:rFonts w:eastAsia="Calibri"/>
        </w:rPr>
        <w:t xml:space="preserve">submit </w:t>
      </w:r>
      <w:r w:rsidR="0027607E">
        <w:rPr>
          <w:rFonts w:eastAsia="Calibri"/>
        </w:rPr>
        <w:t xml:space="preserve">quality data using the </w:t>
      </w:r>
      <w:r w:rsidRPr="00753E2D" w:rsidR="00753E2D">
        <w:rPr>
          <w:rFonts w:eastAsia="Calibri"/>
        </w:rPr>
        <w:t>eCQM</w:t>
      </w:r>
      <w:r w:rsidR="0027607E">
        <w:rPr>
          <w:rFonts w:eastAsia="Calibri"/>
        </w:rPr>
        <w:t xml:space="preserve"> collection type</w:t>
      </w:r>
      <w:r w:rsidRPr="00753E2D" w:rsidR="00753E2D">
        <w:rPr>
          <w:rFonts w:eastAsia="Calibri"/>
        </w:rPr>
        <w:t>.  We expect the burden to be the same for each respondent using the eCQM collection type, whether the clinician is participating in MIPS as an individual or group</w:t>
      </w:r>
      <w:r w:rsidRPr="00C40280" w:rsidR="00C40280">
        <w:rPr>
          <w:rFonts w:eastAsia="Calibri"/>
        </w:rPr>
        <w:t>.</w:t>
      </w:r>
    </w:p>
    <w:p w:rsidRPr="0015124B" w:rsidR="0015124B" w:rsidP="00730BEF" w:rsidRDefault="0015124B" w14:paraId="5FCC58BC" w14:textId="77777777">
      <w:pPr>
        <w:rPr>
          <w:rFonts w:eastAsia="Calibri"/>
        </w:rPr>
      </w:pPr>
      <w:r w:rsidRPr="0015124B">
        <w:rPr>
          <w:rFonts w:eastAsia="Calibri"/>
        </w:rPr>
        <w:t xml:space="preserve">Under the eCQM collection type, the individual clinician or group may either submit the quality measures data directly to us from their eCQM, log in and upload a file, or utilize a third-party intermediary to derive data from their CEHRT and submit it to us on the clinician’s or group’s behalf.  </w:t>
      </w:r>
    </w:p>
    <w:p w:rsidRPr="00597766" w:rsidR="00597766" w:rsidP="00730BEF" w:rsidRDefault="003F6059" w14:paraId="7BB59BA9" w14:textId="0B3DBF8E">
      <w:pPr>
        <w:rPr>
          <w:rFonts w:eastAsia="Calibri"/>
        </w:rPr>
      </w:pPr>
      <w:r w:rsidRPr="003F6059">
        <w:rPr>
          <w:rFonts w:eastAsia="Calibri"/>
        </w:rPr>
        <w:t xml:space="preserve">To prepare for the eCQM collection type, the clinician or group must review the quality measures on which we will be accepting MIPS data extracted from eCQMs, select the appropriate quality measures, extract the necessary clinical data from their CEHRT, and submit the necessary data to a QCDR/qualified registry or use a health IT vendor to submit the data on behalf of the clinician or group.  We assume the burden for collecting quality measures data via eCQM is similar for clinicians and groups who submit their data directly to us from their CEHRT and clinicians and groups who use a health IT vendor to submit the data on their behalf.  This includes extracting the necessary clinical data from their CEHRT and submitting the necessary data to the </w:t>
      </w:r>
      <w:r>
        <w:rPr>
          <w:rFonts w:eastAsia="Calibri"/>
        </w:rPr>
        <w:t>QCDR/qualified registry</w:t>
      </w:r>
      <w:r w:rsidRPr="00597766" w:rsidR="00597766">
        <w:rPr>
          <w:rFonts w:eastAsia="Calibri"/>
        </w:rPr>
        <w:t xml:space="preserve">.  </w:t>
      </w:r>
    </w:p>
    <w:p w:rsidR="00BC2347" w:rsidP="00730BEF" w:rsidRDefault="004F1BA0" w14:paraId="17817310" w14:textId="7316AF43">
      <w:pPr>
        <w:rPr>
          <w:rFonts w:eastAsia="Calibri"/>
        </w:rPr>
      </w:pPr>
      <w:r w:rsidRPr="00CC2BFB">
        <w:rPr>
          <w:rFonts w:eastAsia="Calibri"/>
        </w:rPr>
        <w:t>We estimate that it will take no more than 2 hours at $9</w:t>
      </w:r>
      <w:r w:rsidR="00A41551">
        <w:rPr>
          <w:rFonts w:eastAsia="Calibri"/>
        </w:rPr>
        <w:t>5.22</w:t>
      </w:r>
      <w:r w:rsidRPr="00CC2BFB">
        <w:rPr>
          <w:rFonts w:eastAsia="Calibri"/>
        </w:rPr>
        <w:t xml:space="preserve">/hr for a computer systems analyst to submit the actual data file.  The burden will also involve becoming familiar with MIPS submission.  In this regard, we estimate it </w:t>
      </w:r>
      <w:r w:rsidRPr="00CC2BFB">
        <w:rPr>
          <w:rFonts w:eastAsia="Calibri"/>
          <w:snapToGrid w:val="0"/>
          <w:szCs w:val="20"/>
        </w:rPr>
        <w:t>will</w:t>
      </w:r>
      <w:r w:rsidRPr="00CC2BFB">
        <w:rPr>
          <w:rFonts w:eastAsia="Calibri"/>
        </w:rPr>
        <w:t xml:space="preserve"> take 6 hours for a clinician or group to review measure specifications.  Of that time, </w:t>
      </w:r>
      <w:r w:rsidRPr="003F6059" w:rsidR="003F6059">
        <w:rPr>
          <w:rFonts w:eastAsia="Calibri"/>
        </w:rPr>
        <w:t>we estimate 2 hours at $11</w:t>
      </w:r>
      <w:r w:rsidR="00A41551">
        <w:rPr>
          <w:rFonts w:eastAsia="Calibri"/>
        </w:rPr>
        <w:t>4.24</w:t>
      </w:r>
      <w:r w:rsidRPr="003F6059" w:rsidR="003F6059">
        <w:rPr>
          <w:rFonts w:eastAsia="Calibri"/>
        </w:rPr>
        <w:t>/hr for a medical and health services manager, 1 hour at $21</w:t>
      </w:r>
      <w:r w:rsidR="00A41551">
        <w:rPr>
          <w:rFonts w:eastAsia="Calibri"/>
        </w:rPr>
        <w:t>7.32</w:t>
      </w:r>
      <w:r w:rsidRPr="003F6059" w:rsidR="003F6059">
        <w:rPr>
          <w:rFonts w:eastAsia="Calibri"/>
        </w:rPr>
        <w:t>/hr for a physician, 1 hour at $9</w:t>
      </w:r>
      <w:r w:rsidR="00A41551">
        <w:rPr>
          <w:rFonts w:eastAsia="Calibri"/>
        </w:rPr>
        <w:t>5.22</w:t>
      </w:r>
      <w:r w:rsidRPr="003F6059" w:rsidR="003F6059">
        <w:rPr>
          <w:rFonts w:eastAsia="Calibri"/>
        </w:rPr>
        <w:t>/hr for a computer systems analyst, 1 hour at $4</w:t>
      </w:r>
      <w:r w:rsidR="00A41551">
        <w:rPr>
          <w:rFonts w:eastAsia="Calibri"/>
        </w:rPr>
        <w:t>8.16</w:t>
      </w:r>
      <w:r w:rsidRPr="003F6059" w:rsidR="003F6059">
        <w:rPr>
          <w:rFonts w:eastAsia="Calibri"/>
        </w:rPr>
        <w:t>/hr for an LPN, and 1 hour at $</w:t>
      </w:r>
      <w:r w:rsidR="00A41551">
        <w:rPr>
          <w:rFonts w:eastAsia="Calibri"/>
        </w:rPr>
        <w:t>40.02</w:t>
      </w:r>
      <w:r w:rsidRPr="003F6059" w:rsidR="003F6059">
        <w:rPr>
          <w:rFonts w:eastAsia="Calibri"/>
        </w:rPr>
        <w:t xml:space="preserve">/hr for a billing clerk. </w:t>
      </w:r>
      <w:r w:rsidR="001E287C">
        <w:rPr>
          <w:rFonts w:eastAsia="Calibri"/>
        </w:rPr>
        <w:t xml:space="preserve"> </w:t>
      </w:r>
      <w:r w:rsidR="003F6059">
        <w:rPr>
          <w:rFonts w:eastAsia="Calibri"/>
        </w:rPr>
        <w:t xml:space="preserve">As shown in Table 12, </w:t>
      </w:r>
      <w:r w:rsidRPr="003F6059" w:rsidR="003F6059">
        <w:rPr>
          <w:rFonts w:eastAsia="Calibri"/>
        </w:rPr>
        <w:t>we estimate a cost of $</w:t>
      </w:r>
      <w:r w:rsidR="00D979BD">
        <w:rPr>
          <w:rFonts w:eastAsia="Calibri"/>
        </w:rPr>
        <w:t>81</w:t>
      </w:r>
      <w:r w:rsidR="00173E43">
        <w:rPr>
          <w:rFonts w:eastAsia="Calibri"/>
        </w:rPr>
        <w:t>9.64</w:t>
      </w:r>
      <w:r w:rsidRPr="003F6059" w:rsidR="003F6059">
        <w:rPr>
          <w:rFonts w:eastAsia="Calibri"/>
        </w:rPr>
        <w:t>/response [(2 hr x $9</w:t>
      </w:r>
      <w:r w:rsidR="00990C21">
        <w:rPr>
          <w:rFonts w:eastAsia="Calibri"/>
        </w:rPr>
        <w:t>5.22</w:t>
      </w:r>
      <w:r w:rsidRPr="003F6059" w:rsidR="003F6059">
        <w:rPr>
          <w:rFonts w:eastAsia="Calibri"/>
        </w:rPr>
        <w:t>/hr) + (2 hr x $11</w:t>
      </w:r>
      <w:r w:rsidR="00990C21">
        <w:rPr>
          <w:rFonts w:eastAsia="Calibri"/>
        </w:rPr>
        <w:t>4.24</w:t>
      </w:r>
      <w:r w:rsidRPr="003F6059" w:rsidR="003F6059">
        <w:rPr>
          <w:rFonts w:eastAsia="Calibri"/>
        </w:rPr>
        <w:t>/hr) + (1 hr x $21</w:t>
      </w:r>
      <w:r w:rsidR="00990C21">
        <w:rPr>
          <w:rFonts w:eastAsia="Calibri"/>
        </w:rPr>
        <w:t>7.32</w:t>
      </w:r>
      <w:r w:rsidRPr="003F6059" w:rsidR="003F6059">
        <w:rPr>
          <w:rFonts w:eastAsia="Calibri"/>
        </w:rPr>
        <w:t>/hr) + (1 hr x $9</w:t>
      </w:r>
      <w:r w:rsidR="002F2652">
        <w:rPr>
          <w:rFonts w:eastAsia="Calibri"/>
        </w:rPr>
        <w:t>5.22</w:t>
      </w:r>
      <w:r w:rsidRPr="003F6059" w:rsidR="003F6059">
        <w:rPr>
          <w:rFonts w:eastAsia="Calibri"/>
        </w:rPr>
        <w:t>/hr) + (1 hr x $4</w:t>
      </w:r>
      <w:r w:rsidR="002F2652">
        <w:rPr>
          <w:rFonts w:eastAsia="Calibri"/>
        </w:rPr>
        <w:t>8.16</w:t>
      </w:r>
      <w:r w:rsidRPr="003F6059" w:rsidR="003F6059">
        <w:rPr>
          <w:rFonts w:eastAsia="Calibri"/>
        </w:rPr>
        <w:t>/hr) + (1 hr x $</w:t>
      </w:r>
      <w:r w:rsidR="002F2652">
        <w:rPr>
          <w:rFonts w:eastAsia="Calibri"/>
        </w:rPr>
        <w:t>40.02</w:t>
      </w:r>
      <w:r w:rsidRPr="003F6059" w:rsidR="003F6059">
        <w:rPr>
          <w:rFonts w:eastAsia="Calibri"/>
        </w:rPr>
        <w:t>/hr)]</w:t>
      </w:r>
      <w:r w:rsidRPr="00BC2347" w:rsidR="00BC2347">
        <w:rPr>
          <w:rFonts w:eastAsia="Calibri"/>
        </w:rPr>
        <w:t xml:space="preserve">.  </w:t>
      </w:r>
    </w:p>
    <w:p w:rsidRPr="00BC2347" w:rsidR="001E287C" w:rsidP="00730BEF" w:rsidRDefault="00B90A76" w14:paraId="27843669" w14:textId="4C44A57E">
      <w:pPr>
        <w:rPr>
          <w:rFonts w:eastAsia="Calibri"/>
        </w:rPr>
      </w:pPr>
      <w:r>
        <w:rPr>
          <w:rFonts w:eastAsia="Calibri"/>
        </w:rPr>
        <w:t>For the CY 2022 MIPS performance period/2024 MIPS payment year, i</w:t>
      </w:r>
      <w:r w:rsidRPr="001E287C" w:rsidR="001E287C">
        <w:rPr>
          <w:rFonts w:eastAsia="Calibri"/>
        </w:rPr>
        <w:t xml:space="preserve">n aggregate, we estimate a burden of </w:t>
      </w:r>
      <w:r w:rsidRPr="00871E51" w:rsidR="00092F54">
        <w:rPr>
          <w:rFonts w:eastAsia="Calibri"/>
        </w:rPr>
        <w:t xml:space="preserve">388,584 </w:t>
      </w:r>
      <w:r w:rsidRPr="001E287C" w:rsidR="001E287C">
        <w:rPr>
          <w:rFonts w:eastAsia="Calibri"/>
        </w:rPr>
        <w:t xml:space="preserve">hours </w:t>
      </w:r>
      <w:r w:rsidR="004D2735">
        <w:rPr>
          <w:rFonts w:eastAsia="Calibri"/>
        </w:rPr>
        <w:t>[</w:t>
      </w:r>
      <w:r w:rsidRPr="001E287C" w:rsidR="001E287C">
        <w:rPr>
          <w:rFonts w:eastAsia="Calibri"/>
        </w:rPr>
        <w:t xml:space="preserve">8 hr x </w:t>
      </w:r>
      <w:r w:rsidR="002F5DFC">
        <w:rPr>
          <w:rFonts w:eastAsia="Calibri"/>
        </w:rPr>
        <w:t>48</w:t>
      </w:r>
      <w:r w:rsidR="004D2735">
        <w:rPr>
          <w:rFonts w:eastAsia="Calibri"/>
        </w:rPr>
        <w:t>,573 (</w:t>
      </w:r>
      <w:r w:rsidR="00EC1B24">
        <w:rPr>
          <w:rFonts w:eastAsia="Calibri"/>
        </w:rPr>
        <w:t>8,127</w:t>
      </w:r>
      <w:r w:rsidRPr="001E287C" w:rsidR="001E287C">
        <w:rPr>
          <w:rFonts w:eastAsia="Calibri"/>
        </w:rPr>
        <w:t xml:space="preserve"> groups and </w:t>
      </w:r>
      <w:r w:rsidR="00805F9F">
        <w:rPr>
          <w:rFonts w:eastAsia="Calibri"/>
        </w:rPr>
        <w:t xml:space="preserve">40,446 </w:t>
      </w:r>
      <w:r w:rsidRPr="001E287C" w:rsidR="001E287C">
        <w:rPr>
          <w:rFonts w:eastAsia="Calibri"/>
        </w:rPr>
        <w:t>clinicians submitting as individuals)</w:t>
      </w:r>
      <w:r w:rsidR="00BC30C6">
        <w:rPr>
          <w:rFonts w:eastAsia="Calibri"/>
        </w:rPr>
        <w:t>]</w:t>
      </w:r>
      <w:r w:rsidRPr="001E287C" w:rsidR="001E287C">
        <w:rPr>
          <w:rFonts w:eastAsia="Calibri"/>
        </w:rPr>
        <w:t xml:space="preserve"> at a cost of $</w:t>
      </w:r>
      <w:r w:rsidR="00BF2177">
        <w:rPr>
          <w:rFonts w:eastAsia="Calibri"/>
        </w:rPr>
        <w:t>39,</w:t>
      </w:r>
      <w:r w:rsidR="0015036D">
        <w:rPr>
          <w:rFonts w:eastAsia="Calibri"/>
        </w:rPr>
        <w:t>812,374</w:t>
      </w:r>
      <w:r w:rsidRPr="001E287C" w:rsidR="001E287C">
        <w:rPr>
          <w:rFonts w:eastAsia="Calibri"/>
        </w:rPr>
        <w:t xml:space="preserve"> (</w:t>
      </w:r>
      <w:r w:rsidRPr="00871E51" w:rsidR="00AD3E37">
        <w:rPr>
          <w:rFonts w:eastAsia="Calibri"/>
        </w:rPr>
        <w:t xml:space="preserve">48,573 </w:t>
      </w:r>
      <w:r w:rsidRPr="001E287C" w:rsidR="001E287C">
        <w:rPr>
          <w:rFonts w:eastAsia="Calibri"/>
        </w:rPr>
        <w:t>responses x $</w:t>
      </w:r>
      <w:r w:rsidR="003E0518">
        <w:rPr>
          <w:rFonts w:eastAsia="Calibri"/>
        </w:rPr>
        <w:t>819.64</w:t>
      </w:r>
      <w:r w:rsidRPr="001E287C" w:rsidR="001E287C">
        <w:rPr>
          <w:rFonts w:eastAsia="Calibri"/>
        </w:rPr>
        <w:t xml:space="preserve">/response).  For the </w:t>
      </w:r>
      <w:r w:rsidR="00651DBA">
        <w:rPr>
          <w:rFonts w:eastAsia="Calibri"/>
        </w:rPr>
        <w:t xml:space="preserve">CY </w:t>
      </w:r>
      <w:r w:rsidRPr="001E287C" w:rsidR="001E287C">
        <w:rPr>
          <w:rFonts w:eastAsia="Calibri"/>
        </w:rPr>
        <w:t>202</w:t>
      </w:r>
      <w:r w:rsidR="00651DBA">
        <w:rPr>
          <w:rFonts w:eastAsia="Calibri"/>
        </w:rPr>
        <w:t xml:space="preserve">3 </w:t>
      </w:r>
      <w:r w:rsidR="00651DBA">
        <w:rPr>
          <w:rFonts w:eastAsia="Calibri"/>
        </w:rPr>
        <w:lastRenderedPageBreak/>
        <w:t>MIPS</w:t>
      </w:r>
      <w:r w:rsidRPr="001E287C" w:rsidR="001E287C">
        <w:rPr>
          <w:rFonts w:eastAsia="Calibri"/>
        </w:rPr>
        <w:t xml:space="preserve"> performance period</w:t>
      </w:r>
      <w:r w:rsidR="00651DBA">
        <w:rPr>
          <w:rFonts w:eastAsia="Calibri"/>
        </w:rPr>
        <w:t>/2025 MIPS payment year</w:t>
      </w:r>
      <w:r w:rsidRPr="001E287C" w:rsidR="001E287C">
        <w:rPr>
          <w:rFonts w:eastAsia="Calibri"/>
        </w:rPr>
        <w:t xml:space="preserve">, we estimate a burden of </w:t>
      </w:r>
      <w:r w:rsidRPr="00871E51" w:rsidR="0024339E">
        <w:rPr>
          <w:rFonts w:eastAsia="Calibri"/>
        </w:rPr>
        <w:t xml:space="preserve">350,186 </w:t>
      </w:r>
      <w:r w:rsidRPr="001E287C" w:rsidR="001E287C">
        <w:rPr>
          <w:rFonts w:eastAsia="Calibri"/>
        </w:rPr>
        <w:t xml:space="preserve">hours </w:t>
      </w:r>
      <w:r w:rsidR="00BC30C6">
        <w:rPr>
          <w:rFonts w:eastAsia="Calibri"/>
        </w:rPr>
        <w:t>[</w:t>
      </w:r>
      <w:r w:rsidRPr="001E287C" w:rsidR="001E287C">
        <w:rPr>
          <w:rFonts w:eastAsia="Calibri"/>
        </w:rPr>
        <w:t xml:space="preserve">8 hr x </w:t>
      </w:r>
      <w:r w:rsidR="006649BC">
        <w:rPr>
          <w:rFonts w:eastAsia="Calibri"/>
        </w:rPr>
        <w:t>43,773 (</w:t>
      </w:r>
      <w:r w:rsidR="00104FB4">
        <w:rPr>
          <w:rFonts w:eastAsia="Calibri"/>
        </w:rPr>
        <w:t>7,372</w:t>
      </w:r>
      <w:r w:rsidRPr="001E287C" w:rsidR="001E287C">
        <w:rPr>
          <w:rFonts w:eastAsia="Calibri"/>
        </w:rPr>
        <w:t xml:space="preserve"> groups and </w:t>
      </w:r>
      <w:r w:rsidR="00445C09">
        <w:rPr>
          <w:rFonts w:eastAsia="Calibri"/>
        </w:rPr>
        <w:t xml:space="preserve">36,401 </w:t>
      </w:r>
      <w:r w:rsidRPr="001E287C" w:rsidR="001E287C">
        <w:rPr>
          <w:rFonts w:eastAsia="Calibri"/>
        </w:rPr>
        <w:t>clinicians submitting as individuals)</w:t>
      </w:r>
      <w:r w:rsidR="00BC30C6">
        <w:rPr>
          <w:rFonts w:eastAsia="Calibri"/>
        </w:rPr>
        <w:t>]</w:t>
      </w:r>
      <w:r w:rsidRPr="001E287C" w:rsidR="001E287C">
        <w:rPr>
          <w:rFonts w:eastAsia="Calibri"/>
        </w:rPr>
        <w:t xml:space="preserve"> at a cost of $</w:t>
      </w:r>
      <w:r w:rsidR="008B7889">
        <w:rPr>
          <w:rFonts w:eastAsia="Calibri"/>
        </w:rPr>
        <w:t>35,878,</w:t>
      </w:r>
      <w:r w:rsidR="00830572">
        <w:rPr>
          <w:rFonts w:eastAsia="Calibri"/>
        </w:rPr>
        <w:t>102</w:t>
      </w:r>
      <w:r w:rsidRPr="001E287C" w:rsidR="001E287C">
        <w:rPr>
          <w:rFonts w:eastAsia="Calibri"/>
        </w:rPr>
        <w:t xml:space="preserve"> (</w:t>
      </w:r>
      <w:r w:rsidR="008B7889">
        <w:rPr>
          <w:rFonts w:eastAsia="Calibri"/>
        </w:rPr>
        <w:t>43,773</w:t>
      </w:r>
      <w:r w:rsidRPr="001E287C" w:rsidR="001E287C">
        <w:rPr>
          <w:rFonts w:eastAsia="Calibri"/>
        </w:rPr>
        <w:t xml:space="preserve"> responses x $</w:t>
      </w:r>
      <w:r w:rsidR="00281915">
        <w:rPr>
          <w:rFonts w:eastAsia="Calibri"/>
        </w:rPr>
        <w:t>819.64</w:t>
      </w:r>
      <w:r w:rsidRPr="001E287C" w:rsidR="001E287C">
        <w:rPr>
          <w:rFonts w:eastAsia="Calibri"/>
        </w:rPr>
        <w:t>/response</w:t>
      </w:r>
      <w:r w:rsidR="001E287C">
        <w:rPr>
          <w:rFonts w:eastAsia="Calibri"/>
        </w:rPr>
        <w:t>).</w:t>
      </w:r>
    </w:p>
    <w:p w:rsidRPr="00C47150" w:rsidR="00C351ED" w:rsidP="00334306" w:rsidRDefault="00C351ED" w14:paraId="5AD8D160" w14:textId="11E28954">
      <w:pPr>
        <w:keepNext/>
        <w:keepLines/>
        <w:spacing w:after="0"/>
        <w:jc w:val="center"/>
        <w:rPr>
          <w:b/>
        </w:rPr>
      </w:pPr>
      <w:r w:rsidRPr="00C47150">
        <w:rPr>
          <w:b/>
        </w:rPr>
        <w:t xml:space="preserve">TABLE </w:t>
      </w:r>
      <w:r>
        <w:rPr>
          <w:b/>
        </w:rPr>
        <w:t>1</w:t>
      </w:r>
      <w:r w:rsidR="001C31BF">
        <w:rPr>
          <w:b/>
        </w:rPr>
        <w:t>2</w:t>
      </w:r>
      <w:r w:rsidRPr="00C47150">
        <w:rPr>
          <w:b/>
        </w:rPr>
        <w:t xml:space="preserve">: </w:t>
      </w:r>
      <w:r w:rsidR="001B3AA6">
        <w:rPr>
          <w:b/>
        </w:rPr>
        <w:t xml:space="preserve">Estimated </w:t>
      </w:r>
      <w:r w:rsidRPr="00C47150">
        <w:rPr>
          <w:b/>
        </w:rPr>
        <w:t xml:space="preserve">Burden for Quality Performance Category: Clinicians </w:t>
      </w:r>
      <w:r w:rsidR="00530A16">
        <w:rPr>
          <w:b/>
        </w:rPr>
        <w:br/>
      </w:r>
      <w:r w:rsidRPr="00C47150">
        <w:rPr>
          <w:b/>
        </w:rPr>
        <w:t>(Submitting Individually or as Part of a Group) Using the eCQM Collection Type</w:t>
      </w: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18"/>
        <w:gridCol w:w="2116"/>
        <w:gridCol w:w="2116"/>
      </w:tblGrid>
      <w:tr w:rsidRPr="00C47150" w:rsidR="0012106B" w:rsidTr="00600F29" w14:paraId="5D805747" w14:textId="3BAD4D9E">
        <w:trPr>
          <w:cantSplit/>
          <w:trHeight w:val="315"/>
          <w:tblHeader/>
          <w:jc w:val="center"/>
        </w:trPr>
        <w:tc>
          <w:tcPr>
            <w:tcW w:w="5118" w:type="dxa"/>
            <w:shd w:val="clear" w:color="auto" w:fill="auto"/>
            <w:vAlign w:val="center"/>
            <w:hideMark/>
          </w:tcPr>
          <w:p w:rsidRPr="00C351ED" w:rsidR="0012106B" w:rsidP="0012106B" w:rsidRDefault="0012106B" w14:paraId="00783F55" w14:textId="6B39AEAD">
            <w:pPr>
              <w:keepNext/>
              <w:keepLines/>
              <w:spacing w:after="0"/>
              <w:rPr>
                <w:b/>
                <w:sz w:val="20"/>
                <w:szCs w:val="20"/>
              </w:rPr>
            </w:pPr>
            <w:r w:rsidRPr="00C351ED">
              <w:rPr>
                <w:b/>
                <w:sz w:val="20"/>
                <w:szCs w:val="20"/>
              </w:rPr>
              <w:t>Burden and Respondent Descriptions </w:t>
            </w:r>
          </w:p>
        </w:tc>
        <w:tc>
          <w:tcPr>
            <w:tcW w:w="2116" w:type="dxa"/>
            <w:shd w:val="clear" w:color="auto" w:fill="auto"/>
            <w:noWrap/>
            <w:vAlign w:val="bottom"/>
            <w:hideMark/>
          </w:tcPr>
          <w:p w:rsidRPr="001742C7" w:rsidR="0012106B" w:rsidP="0012106B" w:rsidRDefault="0012106B" w14:paraId="20224366" w14:textId="40DA192B">
            <w:pPr>
              <w:keepNext/>
              <w:keepLines/>
              <w:spacing w:after="0"/>
              <w:jc w:val="center"/>
              <w:rPr>
                <w:sz w:val="20"/>
                <w:szCs w:val="20"/>
              </w:rPr>
            </w:pPr>
            <w:r>
              <w:rPr>
                <w:rFonts w:eastAsia="Calibri"/>
                <w:b/>
                <w:sz w:val="20"/>
                <w:szCs w:val="20"/>
              </w:rPr>
              <w:t>202</w:t>
            </w:r>
            <w:r w:rsidR="00281915">
              <w:rPr>
                <w:rFonts w:eastAsia="Calibri"/>
                <w:b/>
                <w:sz w:val="20"/>
                <w:szCs w:val="20"/>
              </w:rPr>
              <w:t>2</w:t>
            </w:r>
            <w:r>
              <w:rPr>
                <w:rFonts w:eastAsia="Calibri"/>
                <w:b/>
                <w:sz w:val="20"/>
                <w:szCs w:val="20"/>
              </w:rPr>
              <w:t xml:space="preserve"> Performance Period </w:t>
            </w:r>
            <w:r w:rsidRPr="00CC1878">
              <w:rPr>
                <w:rFonts w:eastAsia="Calibri"/>
                <w:b/>
                <w:sz w:val="20"/>
                <w:szCs w:val="20"/>
              </w:rPr>
              <w:t>Burden estimate</w:t>
            </w:r>
          </w:p>
        </w:tc>
        <w:tc>
          <w:tcPr>
            <w:tcW w:w="2116" w:type="dxa"/>
            <w:vAlign w:val="bottom"/>
          </w:tcPr>
          <w:p w:rsidRPr="00732012" w:rsidR="0012106B" w:rsidP="0012106B" w:rsidRDefault="0012106B" w14:paraId="02877C7F" w14:textId="0A046CC1">
            <w:pPr>
              <w:keepNext/>
              <w:keepLines/>
              <w:spacing w:after="0"/>
              <w:jc w:val="center"/>
              <w:rPr>
                <w:b/>
                <w:sz w:val="20"/>
                <w:szCs w:val="20"/>
              </w:rPr>
            </w:pPr>
            <w:r>
              <w:rPr>
                <w:rFonts w:eastAsia="Calibri"/>
                <w:b/>
                <w:sz w:val="20"/>
                <w:szCs w:val="20"/>
              </w:rPr>
              <w:t>202</w:t>
            </w:r>
            <w:r w:rsidR="00281915">
              <w:rPr>
                <w:rFonts w:eastAsia="Calibri"/>
                <w:b/>
                <w:sz w:val="20"/>
                <w:szCs w:val="20"/>
              </w:rPr>
              <w:t>3</w:t>
            </w:r>
            <w:r>
              <w:rPr>
                <w:rFonts w:eastAsia="Calibri"/>
                <w:b/>
                <w:sz w:val="20"/>
                <w:szCs w:val="20"/>
              </w:rPr>
              <w:t xml:space="preserve"> Performance Period </w:t>
            </w:r>
            <w:r w:rsidRPr="00CC1878">
              <w:rPr>
                <w:rFonts w:eastAsia="Calibri"/>
                <w:b/>
                <w:sz w:val="20"/>
                <w:szCs w:val="20"/>
              </w:rPr>
              <w:t>Burden estimate</w:t>
            </w:r>
          </w:p>
        </w:tc>
      </w:tr>
      <w:tr w:rsidRPr="00C47150" w:rsidR="00A55FB3" w:rsidTr="00600F29" w14:paraId="6827D5AD" w14:textId="2861D1A8">
        <w:trPr>
          <w:trHeight w:val="296"/>
          <w:jc w:val="center"/>
        </w:trPr>
        <w:tc>
          <w:tcPr>
            <w:tcW w:w="5118" w:type="dxa"/>
            <w:shd w:val="clear" w:color="auto" w:fill="auto"/>
            <w:hideMark/>
          </w:tcPr>
          <w:p w:rsidRPr="001742C7" w:rsidR="00A55FB3" w:rsidP="00A55FB3" w:rsidRDefault="00A55FB3" w14:paraId="1FA11F1E" w14:textId="77777777">
            <w:pPr>
              <w:keepNext/>
              <w:keepLines/>
              <w:spacing w:after="0"/>
              <w:rPr>
                <w:sz w:val="20"/>
                <w:szCs w:val="20"/>
              </w:rPr>
            </w:pPr>
            <w:r w:rsidRPr="00732012">
              <w:rPr>
                <w:sz w:val="20"/>
                <w:szCs w:val="20"/>
              </w:rPr>
              <w:t># of clinicians submitting as individuals (a)</w:t>
            </w:r>
          </w:p>
        </w:tc>
        <w:tc>
          <w:tcPr>
            <w:tcW w:w="2116" w:type="dxa"/>
            <w:shd w:val="clear" w:color="auto" w:fill="FFFFFF" w:themeFill="background1"/>
            <w:vAlign w:val="center"/>
            <w:hideMark/>
          </w:tcPr>
          <w:p w:rsidRPr="005C1813" w:rsidR="00A55FB3" w:rsidP="00A55FB3" w:rsidRDefault="00A55FB3" w14:paraId="0333754E" w14:textId="66CCCB54">
            <w:pPr>
              <w:keepNext/>
              <w:keepLines/>
              <w:spacing w:after="0"/>
              <w:rPr>
                <w:sz w:val="20"/>
                <w:szCs w:val="20"/>
              </w:rPr>
            </w:pPr>
            <w:r>
              <w:rPr>
                <w:sz w:val="20"/>
                <w:szCs w:val="20"/>
              </w:rPr>
              <w:t>4</w:t>
            </w:r>
            <w:r w:rsidR="00B71747">
              <w:rPr>
                <w:sz w:val="20"/>
                <w:szCs w:val="20"/>
              </w:rPr>
              <w:t>0,446</w:t>
            </w:r>
          </w:p>
        </w:tc>
        <w:tc>
          <w:tcPr>
            <w:tcW w:w="2116" w:type="dxa"/>
            <w:shd w:val="clear" w:color="auto" w:fill="FFFFFF" w:themeFill="background1"/>
            <w:vAlign w:val="center"/>
          </w:tcPr>
          <w:p w:rsidR="00A55FB3" w:rsidP="00A55FB3" w:rsidRDefault="00A203B1" w14:paraId="4BB4F358" w14:textId="59A13D97">
            <w:pPr>
              <w:keepNext/>
              <w:keepLines/>
              <w:spacing w:after="0"/>
              <w:rPr>
                <w:sz w:val="20"/>
                <w:szCs w:val="20"/>
              </w:rPr>
            </w:pPr>
            <w:r>
              <w:rPr>
                <w:rFonts w:eastAsia="Calibri"/>
                <w:sz w:val="20"/>
                <w:szCs w:val="20"/>
              </w:rPr>
              <w:t>36,401</w:t>
            </w:r>
          </w:p>
        </w:tc>
      </w:tr>
      <w:tr w:rsidRPr="00C47150" w:rsidR="00A55FB3" w:rsidTr="00600F29" w14:paraId="4A626300" w14:textId="0CF305B1">
        <w:trPr>
          <w:trHeight w:val="251"/>
          <w:jc w:val="center"/>
        </w:trPr>
        <w:tc>
          <w:tcPr>
            <w:tcW w:w="5118" w:type="dxa"/>
            <w:shd w:val="clear" w:color="auto" w:fill="auto"/>
            <w:hideMark/>
          </w:tcPr>
          <w:p w:rsidRPr="001742C7" w:rsidR="00A55FB3" w:rsidP="00A55FB3" w:rsidRDefault="00A55FB3" w14:paraId="5B3D2B5C" w14:textId="3919E0C9">
            <w:pPr>
              <w:keepNext/>
              <w:keepLines/>
              <w:spacing w:after="0"/>
              <w:rPr>
                <w:sz w:val="20"/>
                <w:szCs w:val="20"/>
              </w:rPr>
            </w:pPr>
            <w:r w:rsidRPr="00732012">
              <w:rPr>
                <w:sz w:val="20"/>
                <w:szCs w:val="20"/>
              </w:rPr>
              <w:t xml:space="preserve"># of Groups submitting via EHR on behalf of individual clinicians (b) </w:t>
            </w:r>
          </w:p>
        </w:tc>
        <w:tc>
          <w:tcPr>
            <w:tcW w:w="2116" w:type="dxa"/>
            <w:shd w:val="clear" w:color="auto" w:fill="auto"/>
            <w:noWrap/>
            <w:vAlign w:val="center"/>
            <w:hideMark/>
          </w:tcPr>
          <w:p w:rsidRPr="005C1813" w:rsidR="00A55FB3" w:rsidP="00A55FB3" w:rsidRDefault="003F159D" w14:paraId="54B54D46" w14:textId="19C4AF29">
            <w:pPr>
              <w:keepNext/>
              <w:keepLines/>
              <w:spacing w:after="0"/>
              <w:rPr>
                <w:sz w:val="20"/>
                <w:szCs w:val="20"/>
              </w:rPr>
            </w:pPr>
            <w:r>
              <w:rPr>
                <w:sz w:val="20"/>
                <w:szCs w:val="20"/>
              </w:rPr>
              <w:t>8,1</w:t>
            </w:r>
            <w:r w:rsidR="00412731">
              <w:rPr>
                <w:sz w:val="20"/>
                <w:szCs w:val="20"/>
              </w:rPr>
              <w:t>27</w:t>
            </w:r>
          </w:p>
        </w:tc>
        <w:tc>
          <w:tcPr>
            <w:tcW w:w="2116" w:type="dxa"/>
            <w:vAlign w:val="center"/>
          </w:tcPr>
          <w:p w:rsidRPr="00CC2BFB" w:rsidR="00A55FB3" w:rsidP="00A55FB3" w:rsidRDefault="00412731" w14:paraId="622DFCEA" w14:textId="2980818D">
            <w:pPr>
              <w:keepNext/>
              <w:keepLines/>
              <w:spacing w:after="0"/>
              <w:rPr>
                <w:rFonts w:eastAsia="Calibri"/>
                <w:sz w:val="20"/>
                <w:szCs w:val="20"/>
              </w:rPr>
            </w:pPr>
            <w:r>
              <w:rPr>
                <w:rFonts w:eastAsia="Calibri"/>
                <w:sz w:val="20"/>
                <w:szCs w:val="20"/>
              </w:rPr>
              <w:t>7,372</w:t>
            </w:r>
          </w:p>
        </w:tc>
      </w:tr>
      <w:tr w:rsidRPr="00C47150" w:rsidR="00A55FB3" w:rsidTr="00600F29" w14:paraId="363407A4" w14:textId="0D5DF3FA">
        <w:trPr>
          <w:trHeight w:val="525"/>
          <w:jc w:val="center"/>
        </w:trPr>
        <w:tc>
          <w:tcPr>
            <w:tcW w:w="5118" w:type="dxa"/>
            <w:shd w:val="clear" w:color="auto" w:fill="auto"/>
            <w:hideMark/>
          </w:tcPr>
          <w:p w:rsidRPr="001742C7" w:rsidR="00A55FB3" w:rsidP="00A55FB3" w:rsidRDefault="00A55FB3" w14:paraId="3B7CD868" w14:textId="30D15E68">
            <w:pPr>
              <w:spacing w:after="0"/>
              <w:rPr>
                <w:sz w:val="20"/>
                <w:szCs w:val="20"/>
              </w:rPr>
            </w:pPr>
            <w:r w:rsidRPr="00732012">
              <w:rPr>
                <w:sz w:val="20"/>
                <w:szCs w:val="20"/>
              </w:rPr>
              <w:t># of Respondents (groups and clinicians submitting as individuals) (c)=(a)+(b)</w:t>
            </w:r>
          </w:p>
        </w:tc>
        <w:tc>
          <w:tcPr>
            <w:tcW w:w="2116" w:type="dxa"/>
            <w:shd w:val="clear" w:color="auto" w:fill="auto"/>
            <w:vAlign w:val="center"/>
            <w:hideMark/>
          </w:tcPr>
          <w:p w:rsidRPr="005C1813" w:rsidR="00A55FB3" w:rsidP="00A55FB3" w:rsidRDefault="00560405" w14:paraId="3F86ECB7" w14:textId="41F6C6E7">
            <w:pPr>
              <w:spacing w:after="0"/>
              <w:rPr>
                <w:sz w:val="20"/>
                <w:szCs w:val="20"/>
              </w:rPr>
            </w:pPr>
            <w:r>
              <w:rPr>
                <w:sz w:val="20"/>
                <w:szCs w:val="20"/>
              </w:rPr>
              <w:t>48,573</w:t>
            </w:r>
          </w:p>
        </w:tc>
        <w:tc>
          <w:tcPr>
            <w:tcW w:w="2116" w:type="dxa"/>
            <w:vAlign w:val="center"/>
          </w:tcPr>
          <w:p w:rsidR="00A55FB3" w:rsidP="00A55FB3" w:rsidRDefault="00A44E8D" w14:paraId="686588E5" w14:textId="33396D1A">
            <w:pPr>
              <w:spacing w:after="0"/>
              <w:rPr>
                <w:rFonts w:eastAsia="Calibri"/>
                <w:sz w:val="20"/>
                <w:szCs w:val="20"/>
              </w:rPr>
            </w:pPr>
            <w:r>
              <w:rPr>
                <w:rFonts w:eastAsia="Calibri"/>
                <w:sz w:val="20"/>
                <w:szCs w:val="20"/>
              </w:rPr>
              <w:t>43,773</w:t>
            </w:r>
          </w:p>
        </w:tc>
      </w:tr>
      <w:tr w:rsidRPr="00C47150" w:rsidR="0012106B" w:rsidTr="00600F29" w14:paraId="32C19599" w14:textId="213681F5">
        <w:trPr>
          <w:trHeight w:val="359"/>
          <w:jc w:val="center"/>
        </w:trPr>
        <w:tc>
          <w:tcPr>
            <w:tcW w:w="5118" w:type="dxa"/>
            <w:shd w:val="clear" w:color="auto" w:fill="auto"/>
            <w:hideMark/>
          </w:tcPr>
          <w:p w:rsidRPr="001742C7" w:rsidR="0012106B" w:rsidP="0012106B" w:rsidRDefault="0012106B" w14:paraId="0515EC48" w14:textId="77777777">
            <w:pPr>
              <w:spacing w:after="0"/>
              <w:rPr>
                <w:sz w:val="20"/>
                <w:szCs w:val="20"/>
              </w:rPr>
            </w:pPr>
            <w:r w:rsidRPr="00732012">
              <w:rPr>
                <w:sz w:val="20"/>
                <w:szCs w:val="20"/>
              </w:rPr>
              <w:t xml:space="preserve">Hours Per Respondent to Submit MIPS Quality Data File to CMS (d) </w:t>
            </w:r>
          </w:p>
        </w:tc>
        <w:tc>
          <w:tcPr>
            <w:tcW w:w="2116" w:type="dxa"/>
            <w:shd w:val="clear" w:color="auto" w:fill="auto"/>
            <w:vAlign w:val="center"/>
            <w:hideMark/>
          </w:tcPr>
          <w:p w:rsidRPr="001742C7" w:rsidR="0012106B" w:rsidP="0012106B" w:rsidRDefault="0012106B" w14:paraId="3516477F" w14:textId="030E9B23">
            <w:pPr>
              <w:spacing w:after="0"/>
              <w:rPr>
                <w:sz w:val="20"/>
                <w:szCs w:val="20"/>
              </w:rPr>
            </w:pPr>
            <w:r w:rsidRPr="003428D4">
              <w:rPr>
                <w:rFonts w:eastAsia="Calibri"/>
                <w:sz w:val="20"/>
                <w:szCs w:val="20"/>
              </w:rPr>
              <w:t>2</w:t>
            </w:r>
          </w:p>
        </w:tc>
        <w:tc>
          <w:tcPr>
            <w:tcW w:w="2116" w:type="dxa"/>
            <w:vAlign w:val="center"/>
          </w:tcPr>
          <w:p w:rsidRPr="003428D4" w:rsidR="0012106B" w:rsidP="0012106B" w:rsidRDefault="0012106B" w14:paraId="432462FA" w14:textId="13D0865D">
            <w:pPr>
              <w:spacing w:after="0"/>
              <w:rPr>
                <w:rFonts w:eastAsia="Calibri"/>
                <w:sz w:val="20"/>
                <w:szCs w:val="20"/>
              </w:rPr>
            </w:pPr>
            <w:r w:rsidRPr="003428D4">
              <w:rPr>
                <w:rFonts w:eastAsia="Calibri"/>
                <w:sz w:val="20"/>
                <w:szCs w:val="20"/>
              </w:rPr>
              <w:t>2</w:t>
            </w:r>
          </w:p>
        </w:tc>
      </w:tr>
      <w:tr w:rsidRPr="00C47150" w:rsidR="0012106B" w:rsidTr="00600F29" w14:paraId="68252D38" w14:textId="6682B36A">
        <w:trPr>
          <w:trHeight w:val="350"/>
          <w:jc w:val="center"/>
        </w:trPr>
        <w:tc>
          <w:tcPr>
            <w:tcW w:w="5118" w:type="dxa"/>
            <w:shd w:val="clear" w:color="auto" w:fill="auto"/>
            <w:hideMark/>
          </w:tcPr>
          <w:p w:rsidRPr="001742C7" w:rsidR="0012106B" w:rsidP="0012106B" w:rsidRDefault="0012106B" w14:paraId="4794ECD7" w14:textId="16D87AC5">
            <w:pPr>
              <w:spacing w:after="0"/>
              <w:rPr>
                <w:sz w:val="20"/>
                <w:szCs w:val="20"/>
              </w:rPr>
            </w:pPr>
            <w:r w:rsidRPr="00732012">
              <w:rPr>
                <w:sz w:val="20"/>
                <w:szCs w:val="20"/>
              </w:rPr>
              <w:t xml:space="preserve"># of Hours </w:t>
            </w:r>
            <w:r>
              <w:rPr>
                <w:sz w:val="20"/>
                <w:szCs w:val="20"/>
              </w:rPr>
              <w:t>Medical and health services manager</w:t>
            </w:r>
            <w:r w:rsidRPr="00732012">
              <w:rPr>
                <w:sz w:val="20"/>
                <w:szCs w:val="20"/>
              </w:rPr>
              <w:t xml:space="preserve"> Review Measure Specifications (e)</w:t>
            </w:r>
          </w:p>
        </w:tc>
        <w:tc>
          <w:tcPr>
            <w:tcW w:w="2116" w:type="dxa"/>
            <w:shd w:val="clear" w:color="auto" w:fill="auto"/>
            <w:vAlign w:val="center"/>
            <w:hideMark/>
          </w:tcPr>
          <w:p w:rsidRPr="001742C7" w:rsidR="0012106B" w:rsidP="0012106B" w:rsidRDefault="0012106B" w14:paraId="374EE147" w14:textId="6C2160DB">
            <w:pPr>
              <w:spacing w:after="0"/>
              <w:rPr>
                <w:sz w:val="20"/>
                <w:szCs w:val="20"/>
              </w:rPr>
            </w:pPr>
            <w:r w:rsidRPr="003428D4">
              <w:rPr>
                <w:rFonts w:eastAsia="Calibri"/>
                <w:sz w:val="20"/>
                <w:szCs w:val="20"/>
              </w:rPr>
              <w:t>2</w:t>
            </w:r>
          </w:p>
        </w:tc>
        <w:tc>
          <w:tcPr>
            <w:tcW w:w="2116" w:type="dxa"/>
            <w:vAlign w:val="center"/>
          </w:tcPr>
          <w:p w:rsidRPr="003428D4" w:rsidR="0012106B" w:rsidP="0012106B" w:rsidRDefault="0012106B" w14:paraId="3F29E78A" w14:textId="41BF4E90">
            <w:pPr>
              <w:spacing w:after="0"/>
              <w:rPr>
                <w:rFonts w:eastAsia="Calibri"/>
                <w:sz w:val="20"/>
                <w:szCs w:val="20"/>
              </w:rPr>
            </w:pPr>
            <w:r w:rsidRPr="003428D4">
              <w:rPr>
                <w:rFonts w:eastAsia="Calibri"/>
                <w:sz w:val="20"/>
                <w:szCs w:val="20"/>
              </w:rPr>
              <w:t>2</w:t>
            </w:r>
          </w:p>
        </w:tc>
      </w:tr>
      <w:tr w:rsidRPr="00C47150" w:rsidR="0012106B" w:rsidTr="00600F29" w14:paraId="11DFDC9F" w14:textId="19F1E647">
        <w:trPr>
          <w:trHeight w:val="315"/>
          <w:jc w:val="center"/>
        </w:trPr>
        <w:tc>
          <w:tcPr>
            <w:tcW w:w="5118" w:type="dxa"/>
            <w:shd w:val="clear" w:color="auto" w:fill="auto"/>
            <w:hideMark/>
          </w:tcPr>
          <w:p w:rsidRPr="001742C7" w:rsidR="0012106B" w:rsidP="0012106B" w:rsidRDefault="0012106B" w14:paraId="7544A1AB" w14:textId="77777777">
            <w:pPr>
              <w:spacing w:after="0"/>
              <w:rPr>
                <w:sz w:val="20"/>
                <w:szCs w:val="20"/>
              </w:rPr>
            </w:pPr>
            <w:r w:rsidRPr="00732012">
              <w:rPr>
                <w:sz w:val="20"/>
                <w:szCs w:val="20"/>
              </w:rPr>
              <w:t># of Hours Computer Systems Analyst Review Measure Specifications (f)</w:t>
            </w:r>
          </w:p>
        </w:tc>
        <w:tc>
          <w:tcPr>
            <w:tcW w:w="2116" w:type="dxa"/>
            <w:shd w:val="clear" w:color="auto" w:fill="auto"/>
            <w:vAlign w:val="center"/>
            <w:hideMark/>
          </w:tcPr>
          <w:p w:rsidRPr="001742C7" w:rsidR="0012106B" w:rsidP="0012106B" w:rsidRDefault="0012106B" w14:paraId="64FB25A3" w14:textId="6F0C587D">
            <w:pPr>
              <w:spacing w:after="0"/>
              <w:rPr>
                <w:sz w:val="20"/>
                <w:szCs w:val="20"/>
              </w:rPr>
            </w:pPr>
            <w:r w:rsidRPr="003428D4">
              <w:rPr>
                <w:rFonts w:eastAsia="Calibri"/>
                <w:sz w:val="20"/>
                <w:szCs w:val="20"/>
              </w:rPr>
              <w:t>1</w:t>
            </w:r>
          </w:p>
        </w:tc>
        <w:tc>
          <w:tcPr>
            <w:tcW w:w="2116" w:type="dxa"/>
            <w:vAlign w:val="center"/>
          </w:tcPr>
          <w:p w:rsidRPr="003428D4" w:rsidR="0012106B" w:rsidP="0012106B" w:rsidRDefault="0012106B" w14:paraId="701BF095" w14:textId="6335CDAA">
            <w:pPr>
              <w:spacing w:after="0"/>
              <w:rPr>
                <w:rFonts w:eastAsia="Calibri"/>
                <w:sz w:val="20"/>
                <w:szCs w:val="20"/>
              </w:rPr>
            </w:pPr>
            <w:r w:rsidRPr="003428D4">
              <w:rPr>
                <w:rFonts w:eastAsia="Calibri"/>
                <w:sz w:val="20"/>
                <w:szCs w:val="20"/>
              </w:rPr>
              <w:t>1</w:t>
            </w:r>
          </w:p>
        </w:tc>
      </w:tr>
      <w:tr w:rsidRPr="00C47150" w:rsidR="0012106B" w:rsidTr="00600F29" w14:paraId="1C59A6D3" w14:textId="77BBCC82">
        <w:trPr>
          <w:trHeight w:val="296"/>
          <w:jc w:val="center"/>
        </w:trPr>
        <w:tc>
          <w:tcPr>
            <w:tcW w:w="5118" w:type="dxa"/>
            <w:shd w:val="clear" w:color="auto" w:fill="auto"/>
            <w:hideMark/>
          </w:tcPr>
          <w:p w:rsidRPr="001742C7" w:rsidR="0012106B" w:rsidP="0012106B" w:rsidRDefault="0012106B" w14:paraId="541F83A5" w14:textId="77777777">
            <w:pPr>
              <w:spacing w:after="0"/>
              <w:rPr>
                <w:sz w:val="20"/>
                <w:szCs w:val="20"/>
              </w:rPr>
            </w:pPr>
            <w:r w:rsidRPr="00732012">
              <w:rPr>
                <w:sz w:val="20"/>
                <w:szCs w:val="20"/>
              </w:rPr>
              <w:t># of Hours LPN Review Measure Specifications (g)</w:t>
            </w:r>
          </w:p>
        </w:tc>
        <w:tc>
          <w:tcPr>
            <w:tcW w:w="2116" w:type="dxa"/>
            <w:shd w:val="clear" w:color="auto" w:fill="auto"/>
            <w:vAlign w:val="center"/>
            <w:hideMark/>
          </w:tcPr>
          <w:p w:rsidRPr="001742C7" w:rsidR="0012106B" w:rsidP="0012106B" w:rsidRDefault="0012106B" w14:paraId="580A4082" w14:textId="1D8728DB">
            <w:pPr>
              <w:spacing w:after="0"/>
              <w:rPr>
                <w:sz w:val="20"/>
                <w:szCs w:val="20"/>
              </w:rPr>
            </w:pPr>
            <w:r w:rsidRPr="003428D4">
              <w:rPr>
                <w:rFonts w:eastAsia="Calibri"/>
                <w:sz w:val="20"/>
                <w:szCs w:val="20"/>
              </w:rPr>
              <w:t>1</w:t>
            </w:r>
          </w:p>
        </w:tc>
        <w:tc>
          <w:tcPr>
            <w:tcW w:w="2116" w:type="dxa"/>
            <w:vAlign w:val="center"/>
          </w:tcPr>
          <w:p w:rsidRPr="003428D4" w:rsidR="0012106B" w:rsidP="0012106B" w:rsidRDefault="0012106B" w14:paraId="7AA19182" w14:textId="221FED6B">
            <w:pPr>
              <w:spacing w:after="0"/>
              <w:rPr>
                <w:rFonts w:eastAsia="Calibri"/>
                <w:sz w:val="20"/>
                <w:szCs w:val="20"/>
              </w:rPr>
            </w:pPr>
            <w:r w:rsidRPr="003428D4">
              <w:rPr>
                <w:rFonts w:eastAsia="Calibri"/>
                <w:sz w:val="20"/>
                <w:szCs w:val="20"/>
              </w:rPr>
              <w:t>1</w:t>
            </w:r>
          </w:p>
        </w:tc>
      </w:tr>
      <w:tr w:rsidRPr="00C47150" w:rsidR="0012106B" w:rsidTr="00600F29" w14:paraId="170BACFE" w14:textId="6CC34099">
        <w:trPr>
          <w:trHeight w:val="350"/>
          <w:jc w:val="center"/>
        </w:trPr>
        <w:tc>
          <w:tcPr>
            <w:tcW w:w="5118" w:type="dxa"/>
            <w:shd w:val="clear" w:color="auto" w:fill="auto"/>
            <w:hideMark/>
          </w:tcPr>
          <w:p w:rsidRPr="001742C7" w:rsidR="0012106B" w:rsidP="0012106B" w:rsidRDefault="0012106B" w14:paraId="3661C033" w14:textId="77777777">
            <w:pPr>
              <w:spacing w:after="0"/>
              <w:rPr>
                <w:sz w:val="20"/>
                <w:szCs w:val="20"/>
              </w:rPr>
            </w:pPr>
            <w:r w:rsidRPr="00732012">
              <w:rPr>
                <w:sz w:val="20"/>
                <w:szCs w:val="20"/>
              </w:rPr>
              <w:t># of Hours Billing Clerk Review Measure Specifications (h)</w:t>
            </w:r>
          </w:p>
        </w:tc>
        <w:tc>
          <w:tcPr>
            <w:tcW w:w="2116" w:type="dxa"/>
            <w:shd w:val="clear" w:color="auto" w:fill="auto"/>
            <w:vAlign w:val="center"/>
            <w:hideMark/>
          </w:tcPr>
          <w:p w:rsidRPr="001742C7" w:rsidR="0012106B" w:rsidP="0012106B" w:rsidRDefault="0012106B" w14:paraId="5F172C4F" w14:textId="0E4EE92D">
            <w:pPr>
              <w:spacing w:after="0"/>
              <w:rPr>
                <w:sz w:val="20"/>
                <w:szCs w:val="20"/>
              </w:rPr>
            </w:pPr>
            <w:r w:rsidRPr="003428D4">
              <w:rPr>
                <w:rFonts w:eastAsia="Calibri"/>
                <w:sz w:val="20"/>
                <w:szCs w:val="20"/>
              </w:rPr>
              <w:t>1</w:t>
            </w:r>
          </w:p>
        </w:tc>
        <w:tc>
          <w:tcPr>
            <w:tcW w:w="2116" w:type="dxa"/>
            <w:vAlign w:val="center"/>
          </w:tcPr>
          <w:p w:rsidRPr="003428D4" w:rsidR="0012106B" w:rsidP="0012106B" w:rsidRDefault="0012106B" w14:paraId="1992253F" w14:textId="3DE3E29C">
            <w:pPr>
              <w:spacing w:after="0"/>
              <w:rPr>
                <w:rFonts w:eastAsia="Calibri"/>
                <w:sz w:val="20"/>
                <w:szCs w:val="20"/>
              </w:rPr>
            </w:pPr>
            <w:r w:rsidRPr="003428D4">
              <w:rPr>
                <w:rFonts w:eastAsia="Calibri"/>
                <w:sz w:val="20"/>
                <w:szCs w:val="20"/>
              </w:rPr>
              <w:t>1</w:t>
            </w:r>
          </w:p>
        </w:tc>
      </w:tr>
      <w:tr w:rsidRPr="00C47150" w:rsidR="0012106B" w:rsidTr="00600F29" w14:paraId="29BB4B84" w14:textId="28C2DB4E">
        <w:trPr>
          <w:trHeight w:val="260"/>
          <w:jc w:val="center"/>
        </w:trPr>
        <w:tc>
          <w:tcPr>
            <w:tcW w:w="5118" w:type="dxa"/>
            <w:shd w:val="clear" w:color="auto" w:fill="auto"/>
            <w:hideMark/>
          </w:tcPr>
          <w:p w:rsidRPr="001742C7" w:rsidR="0012106B" w:rsidP="0012106B" w:rsidRDefault="0012106B" w14:paraId="35F83B08" w14:textId="77777777">
            <w:pPr>
              <w:spacing w:after="0"/>
              <w:rPr>
                <w:sz w:val="20"/>
                <w:szCs w:val="20"/>
              </w:rPr>
            </w:pPr>
            <w:r w:rsidRPr="00732012">
              <w:rPr>
                <w:sz w:val="20"/>
                <w:szCs w:val="20"/>
              </w:rPr>
              <w:t># of Hours Clinicians Review Measure Specifications (i)</w:t>
            </w:r>
          </w:p>
        </w:tc>
        <w:tc>
          <w:tcPr>
            <w:tcW w:w="2116" w:type="dxa"/>
            <w:shd w:val="clear" w:color="auto" w:fill="auto"/>
            <w:vAlign w:val="center"/>
            <w:hideMark/>
          </w:tcPr>
          <w:p w:rsidRPr="001742C7" w:rsidR="0012106B" w:rsidP="0012106B" w:rsidRDefault="0012106B" w14:paraId="0EFD6293" w14:textId="278F5EC0">
            <w:pPr>
              <w:spacing w:after="0"/>
              <w:rPr>
                <w:sz w:val="20"/>
                <w:szCs w:val="20"/>
              </w:rPr>
            </w:pPr>
            <w:r w:rsidRPr="003428D4">
              <w:rPr>
                <w:rFonts w:eastAsia="Calibri"/>
                <w:sz w:val="20"/>
                <w:szCs w:val="20"/>
              </w:rPr>
              <w:t>1</w:t>
            </w:r>
          </w:p>
        </w:tc>
        <w:tc>
          <w:tcPr>
            <w:tcW w:w="2116" w:type="dxa"/>
            <w:vAlign w:val="center"/>
          </w:tcPr>
          <w:p w:rsidRPr="003428D4" w:rsidR="0012106B" w:rsidP="0012106B" w:rsidRDefault="0012106B" w14:paraId="5663F6EF" w14:textId="6A79521C">
            <w:pPr>
              <w:spacing w:after="0"/>
              <w:rPr>
                <w:rFonts w:eastAsia="Calibri"/>
                <w:sz w:val="20"/>
                <w:szCs w:val="20"/>
              </w:rPr>
            </w:pPr>
            <w:r w:rsidRPr="003428D4">
              <w:rPr>
                <w:rFonts w:eastAsia="Calibri"/>
                <w:sz w:val="20"/>
                <w:szCs w:val="20"/>
              </w:rPr>
              <w:t>1</w:t>
            </w:r>
          </w:p>
        </w:tc>
      </w:tr>
      <w:tr w:rsidRPr="00C47150" w:rsidR="0012106B" w:rsidTr="00600F29" w14:paraId="665582A6" w14:textId="32A8B4D1">
        <w:trPr>
          <w:trHeight w:val="315"/>
          <w:jc w:val="center"/>
        </w:trPr>
        <w:tc>
          <w:tcPr>
            <w:tcW w:w="5118" w:type="dxa"/>
            <w:shd w:val="clear" w:color="auto" w:fill="FFFFFF" w:themeFill="background1"/>
            <w:hideMark/>
          </w:tcPr>
          <w:p w:rsidRPr="008C0B7F" w:rsidR="0012106B" w:rsidP="0012106B" w:rsidRDefault="0012106B" w14:paraId="114CBD94" w14:textId="77777777">
            <w:pPr>
              <w:spacing w:after="0"/>
              <w:rPr>
                <w:bCs/>
                <w:sz w:val="20"/>
                <w:szCs w:val="20"/>
              </w:rPr>
            </w:pPr>
            <w:r w:rsidRPr="008C0B7F">
              <w:rPr>
                <w:bCs/>
                <w:sz w:val="20"/>
                <w:szCs w:val="20"/>
              </w:rPr>
              <w:t>Annual Hours Per Respondent (j)=(d)+(e)+(f)+(g)+(h)+(i)</w:t>
            </w:r>
            <w:r w:rsidRPr="008C0B7F" w:rsidDel="00507191">
              <w:rPr>
                <w:bCs/>
                <w:sz w:val="20"/>
                <w:szCs w:val="20"/>
              </w:rPr>
              <w:t xml:space="preserve"> </w:t>
            </w:r>
          </w:p>
        </w:tc>
        <w:tc>
          <w:tcPr>
            <w:tcW w:w="2116" w:type="dxa"/>
            <w:shd w:val="clear" w:color="auto" w:fill="FFFFFF" w:themeFill="background1"/>
            <w:vAlign w:val="center"/>
            <w:hideMark/>
          </w:tcPr>
          <w:p w:rsidRPr="008C0B7F" w:rsidR="0012106B" w:rsidP="0012106B" w:rsidRDefault="0012106B" w14:paraId="48119A33" w14:textId="2EB3BBF9">
            <w:pPr>
              <w:spacing w:after="0"/>
              <w:rPr>
                <w:bCs/>
                <w:sz w:val="20"/>
                <w:szCs w:val="20"/>
              </w:rPr>
            </w:pPr>
            <w:r w:rsidRPr="008C0B7F">
              <w:rPr>
                <w:rFonts w:eastAsia="Calibri"/>
                <w:bCs/>
                <w:sz w:val="20"/>
                <w:szCs w:val="20"/>
              </w:rPr>
              <w:t>8</w:t>
            </w:r>
          </w:p>
        </w:tc>
        <w:tc>
          <w:tcPr>
            <w:tcW w:w="2116" w:type="dxa"/>
            <w:shd w:val="clear" w:color="auto" w:fill="FFFFFF" w:themeFill="background1"/>
            <w:vAlign w:val="center"/>
          </w:tcPr>
          <w:p w:rsidRPr="008C0B7F" w:rsidR="0012106B" w:rsidP="0012106B" w:rsidRDefault="0012106B" w14:paraId="0D2D7FCF" w14:textId="4B4FFB66">
            <w:pPr>
              <w:spacing w:after="0"/>
              <w:rPr>
                <w:rFonts w:eastAsia="Calibri"/>
                <w:bCs/>
                <w:sz w:val="20"/>
                <w:szCs w:val="20"/>
              </w:rPr>
            </w:pPr>
            <w:r w:rsidRPr="008C0B7F">
              <w:rPr>
                <w:rFonts w:eastAsia="Calibri"/>
                <w:bCs/>
                <w:sz w:val="20"/>
                <w:szCs w:val="20"/>
              </w:rPr>
              <w:t>8</w:t>
            </w:r>
          </w:p>
        </w:tc>
      </w:tr>
      <w:tr w:rsidRPr="00C47150" w:rsidR="0012106B" w:rsidTr="00600F29" w14:paraId="3FD84EFD" w14:textId="206F6F3E">
        <w:trPr>
          <w:trHeight w:val="296"/>
          <w:jc w:val="center"/>
        </w:trPr>
        <w:tc>
          <w:tcPr>
            <w:tcW w:w="5118" w:type="dxa"/>
            <w:shd w:val="clear" w:color="auto" w:fill="D9D9D9" w:themeFill="background1" w:themeFillShade="D9"/>
            <w:hideMark/>
          </w:tcPr>
          <w:p w:rsidRPr="008C0B7F" w:rsidR="0012106B" w:rsidP="0012106B" w:rsidRDefault="0012106B" w14:paraId="7981F843" w14:textId="77777777">
            <w:pPr>
              <w:spacing w:after="0"/>
              <w:rPr>
                <w:b/>
                <w:bCs/>
                <w:sz w:val="20"/>
                <w:szCs w:val="20"/>
                <w:highlight w:val="lightGray"/>
              </w:rPr>
            </w:pPr>
            <w:r w:rsidRPr="008C0B7F">
              <w:rPr>
                <w:b/>
                <w:bCs/>
                <w:sz w:val="20"/>
                <w:szCs w:val="20"/>
                <w:highlight w:val="lightGray"/>
              </w:rPr>
              <w:t>Total Annual Hours (k)=(c)*(j)</w:t>
            </w:r>
          </w:p>
        </w:tc>
        <w:tc>
          <w:tcPr>
            <w:tcW w:w="2116" w:type="dxa"/>
            <w:shd w:val="clear" w:color="auto" w:fill="D9D9D9" w:themeFill="background1" w:themeFillShade="D9"/>
            <w:vAlign w:val="center"/>
            <w:hideMark/>
          </w:tcPr>
          <w:p w:rsidRPr="008C0B7F" w:rsidR="0012106B" w:rsidP="0012106B" w:rsidRDefault="000C205A" w14:paraId="0A1E1A01" w14:textId="3D1B487A">
            <w:pPr>
              <w:spacing w:after="0"/>
              <w:rPr>
                <w:b/>
                <w:bCs/>
                <w:sz w:val="20"/>
                <w:szCs w:val="20"/>
                <w:highlight w:val="lightGray"/>
              </w:rPr>
            </w:pPr>
            <w:r>
              <w:rPr>
                <w:b/>
                <w:bCs/>
                <w:sz w:val="20"/>
                <w:szCs w:val="20"/>
                <w:highlight w:val="lightGray"/>
              </w:rPr>
              <w:t>388,584</w:t>
            </w:r>
          </w:p>
        </w:tc>
        <w:tc>
          <w:tcPr>
            <w:tcW w:w="2116" w:type="dxa"/>
            <w:shd w:val="clear" w:color="auto" w:fill="D9D9D9" w:themeFill="background1" w:themeFillShade="D9"/>
          </w:tcPr>
          <w:p w:rsidR="0012106B" w:rsidP="0012106B" w:rsidRDefault="00CD5EAD" w14:paraId="6E0B581D" w14:textId="79F83621">
            <w:pPr>
              <w:spacing w:after="0"/>
              <w:rPr>
                <w:b/>
                <w:bCs/>
                <w:sz w:val="20"/>
                <w:szCs w:val="20"/>
                <w:highlight w:val="lightGray"/>
              </w:rPr>
            </w:pPr>
            <w:r>
              <w:rPr>
                <w:b/>
                <w:bCs/>
                <w:sz w:val="20"/>
                <w:szCs w:val="20"/>
                <w:highlight w:val="lightGray"/>
              </w:rPr>
              <w:t>350,18</w:t>
            </w:r>
            <w:r w:rsidR="00EF622F">
              <w:rPr>
                <w:b/>
                <w:bCs/>
                <w:sz w:val="20"/>
                <w:szCs w:val="20"/>
                <w:highlight w:val="lightGray"/>
              </w:rPr>
              <w:t>4</w:t>
            </w:r>
          </w:p>
        </w:tc>
      </w:tr>
      <w:tr w:rsidRPr="00C47150" w:rsidR="00A55FB3" w:rsidTr="00600F29" w14:paraId="3160D751" w14:textId="500273BC">
        <w:trPr>
          <w:trHeight w:val="525"/>
          <w:jc w:val="center"/>
        </w:trPr>
        <w:tc>
          <w:tcPr>
            <w:tcW w:w="5118" w:type="dxa"/>
            <w:shd w:val="clear" w:color="auto" w:fill="auto"/>
            <w:hideMark/>
          </w:tcPr>
          <w:p w:rsidRPr="003F6059" w:rsidR="00A55FB3" w:rsidP="00A55FB3" w:rsidRDefault="00A55FB3" w14:paraId="685B0358" w14:textId="67E87C42">
            <w:pPr>
              <w:spacing w:after="0"/>
              <w:rPr>
                <w:sz w:val="20"/>
                <w:szCs w:val="20"/>
              </w:rPr>
            </w:pPr>
            <w:r w:rsidRPr="003F6059">
              <w:rPr>
                <w:sz w:val="20"/>
                <w:szCs w:val="20"/>
              </w:rPr>
              <w:t>Cost Per Respondent to Submit Quality Data (@ computer systems analyst’s labor rate of $9</w:t>
            </w:r>
            <w:r w:rsidR="00AA1E6B">
              <w:rPr>
                <w:sz w:val="20"/>
                <w:szCs w:val="20"/>
              </w:rPr>
              <w:t>5.22</w:t>
            </w:r>
            <w:r w:rsidRPr="003F6059">
              <w:rPr>
                <w:sz w:val="20"/>
                <w:szCs w:val="20"/>
              </w:rPr>
              <w:t>/hr) (l)</w:t>
            </w:r>
          </w:p>
        </w:tc>
        <w:tc>
          <w:tcPr>
            <w:tcW w:w="2116" w:type="dxa"/>
            <w:shd w:val="clear" w:color="auto" w:fill="auto"/>
            <w:hideMark/>
          </w:tcPr>
          <w:p w:rsidRPr="003F6059" w:rsidR="00A55FB3" w:rsidP="00A55FB3" w:rsidRDefault="00A55FB3" w14:paraId="069C3318" w14:textId="5CF3E23E">
            <w:pPr>
              <w:spacing w:after="0"/>
              <w:rPr>
                <w:sz w:val="20"/>
                <w:szCs w:val="20"/>
              </w:rPr>
            </w:pPr>
            <w:r w:rsidRPr="003F6059">
              <w:rPr>
                <w:sz w:val="20"/>
                <w:szCs w:val="20"/>
              </w:rPr>
              <w:t>$1</w:t>
            </w:r>
            <w:r w:rsidR="00FF3467">
              <w:rPr>
                <w:sz w:val="20"/>
                <w:szCs w:val="20"/>
              </w:rPr>
              <w:t>90.44</w:t>
            </w:r>
          </w:p>
        </w:tc>
        <w:tc>
          <w:tcPr>
            <w:tcW w:w="2116" w:type="dxa"/>
          </w:tcPr>
          <w:p w:rsidRPr="003F6059" w:rsidR="00A55FB3" w:rsidP="00A55FB3" w:rsidRDefault="00A55FB3" w14:paraId="091EC5A6" w14:textId="133B3E71">
            <w:pPr>
              <w:spacing w:after="0"/>
              <w:rPr>
                <w:sz w:val="20"/>
                <w:szCs w:val="20"/>
              </w:rPr>
            </w:pPr>
            <w:r w:rsidRPr="003F6059">
              <w:rPr>
                <w:sz w:val="20"/>
                <w:szCs w:val="20"/>
              </w:rPr>
              <w:t>$</w:t>
            </w:r>
            <w:r w:rsidR="00FF3467">
              <w:rPr>
                <w:sz w:val="20"/>
                <w:szCs w:val="20"/>
              </w:rPr>
              <w:t>190.44</w:t>
            </w:r>
          </w:p>
        </w:tc>
      </w:tr>
      <w:tr w:rsidRPr="00C47150" w:rsidR="00A55FB3" w:rsidTr="00600F29" w14:paraId="11ABA6BB" w14:textId="02144116">
        <w:trPr>
          <w:trHeight w:val="525"/>
          <w:jc w:val="center"/>
        </w:trPr>
        <w:tc>
          <w:tcPr>
            <w:tcW w:w="5118" w:type="dxa"/>
            <w:shd w:val="clear" w:color="auto" w:fill="auto"/>
            <w:hideMark/>
          </w:tcPr>
          <w:p w:rsidRPr="003F6059" w:rsidR="00A55FB3" w:rsidP="00A55FB3" w:rsidRDefault="00A55FB3" w14:paraId="6B310FB8" w14:textId="62D72753">
            <w:pPr>
              <w:spacing w:after="0"/>
              <w:rPr>
                <w:sz w:val="20"/>
                <w:szCs w:val="20"/>
              </w:rPr>
            </w:pPr>
            <w:r w:rsidRPr="003F6059">
              <w:rPr>
                <w:sz w:val="20"/>
                <w:szCs w:val="20"/>
              </w:rPr>
              <w:t>Cost to Review Measure Specifications (@ medical and health services manager's labor rate of $11</w:t>
            </w:r>
            <w:r w:rsidR="00F35CCF">
              <w:rPr>
                <w:sz w:val="20"/>
                <w:szCs w:val="20"/>
              </w:rPr>
              <w:t>4.24</w:t>
            </w:r>
            <w:r w:rsidRPr="003F6059">
              <w:rPr>
                <w:sz w:val="20"/>
                <w:szCs w:val="20"/>
              </w:rPr>
              <w:t>/hr) (m)</w:t>
            </w:r>
          </w:p>
        </w:tc>
        <w:tc>
          <w:tcPr>
            <w:tcW w:w="2116" w:type="dxa"/>
            <w:shd w:val="clear" w:color="auto" w:fill="auto"/>
            <w:noWrap/>
            <w:hideMark/>
          </w:tcPr>
          <w:p w:rsidRPr="003F6059" w:rsidR="00A55FB3" w:rsidP="00A55FB3" w:rsidRDefault="00A55FB3" w14:paraId="5435091E" w14:textId="730C96C8">
            <w:pPr>
              <w:spacing w:after="0"/>
              <w:rPr>
                <w:sz w:val="20"/>
                <w:szCs w:val="20"/>
              </w:rPr>
            </w:pPr>
            <w:r w:rsidRPr="003F6059">
              <w:rPr>
                <w:sz w:val="20"/>
                <w:szCs w:val="20"/>
              </w:rPr>
              <w:t>$22</w:t>
            </w:r>
            <w:r w:rsidR="00F35CCF">
              <w:rPr>
                <w:sz w:val="20"/>
                <w:szCs w:val="20"/>
              </w:rPr>
              <w:t>8</w:t>
            </w:r>
            <w:r w:rsidRPr="003F6059">
              <w:rPr>
                <w:sz w:val="20"/>
                <w:szCs w:val="20"/>
              </w:rPr>
              <w:t>.48</w:t>
            </w:r>
          </w:p>
        </w:tc>
        <w:tc>
          <w:tcPr>
            <w:tcW w:w="2116" w:type="dxa"/>
          </w:tcPr>
          <w:p w:rsidRPr="003F6059" w:rsidR="00A55FB3" w:rsidP="00A55FB3" w:rsidRDefault="00A55FB3" w14:paraId="5E119C3E" w14:textId="45016B9F">
            <w:pPr>
              <w:spacing w:after="0"/>
              <w:rPr>
                <w:sz w:val="20"/>
                <w:szCs w:val="20"/>
              </w:rPr>
            </w:pPr>
            <w:r w:rsidRPr="003F6059">
              <w:rPr>
                <w:sz w:val="20"/>
                <w:szCs w:val="20"/>
              </w:rPr>
              <w:t>$22</w:t>
            </w:r>
            <w:r w:rsidR="00F35CCF">
              <w:rPr>
                <w:sz w:val="20"/>
                <w:szCs w:val="20"/>
              </w:rPr>
              <w:t>8</w:t>
            </w:r>
            <w:r w:rsidRPr="003F6059">
              <w:rPr>
                <w:sz w:val="20"/>
                <w:szCs w:val="20"/>
              </w:rPr>
              <w:t>.48</w:t>
            </w:r>
          </w:p>
        </w:tc>
      </w:tr>
      <w:tr w:rsidRPr="00C47150" w:rsidR="00A55FB3" w:rsidTr="00600F29" w14:paraId="2C4F90A0" w14:textId="7F3891A1">
        <w:trPr>
          <w:trHeight w:val="525"/>
          <w:jc w:val="center"/>
        </w:trPr>
        <w:tc>
          <w:tcPr>
            <w:tcW w:w="5118" w:type="dxa"/>
            <w:shd w:val="clear" w:color="auto" w:fill="auto"/>
            <w:hideMark/>
          </w:tcPr>
          <w:p w:rsidRPr="003F6059" w:rsidR="00A55FB3" w:rsidP="00A55FB3" w:rsidRDefault="00A55FB3" w14:paraId="01281DD1" w14:textId="628A7B11">
            <w:pPr>
              <w:spacing w:after="0"/>
              <w:rPr>
                <w:sz w:val="20"/>
                <w:szCs w:val="20"/>
              </w:rPr>
            </w:pPr>
            <w:r w:rsidRPr="003F6059">
              <w:rPr>
                <w:sz w:val="20"/>
                <w:szCs w:val="20"/>
              </w:rPr>
              <w:t>Cost to Review Measure Specifications (@ computer systems analyst’s labor rate of $9</w:t>
            </w:r>
            <w:r w:rsidR="00F35CCF">
              <w:rPr>
                <w:sz w:val="20"/>
                <w:szCs w:val="20"/>
              </w:rPr>
              <w:t>5.22</w:t>
            </w:r>
            <w:r w:rsidRPr="003F6059">
              <w:rPr>
                <w:sz w:val="20"/>
                <w:szCs w:val="20"/>
              </w:rPr>
              <w:t>/hr) (n)</w:t>
            </w:r>
          </w:p>
        </w:tc>
        <w:tc>
          <w:tcPr>
            <w:tcW w:w="2116" w:type="dxa"/>
            <w:shd w:val="clear" w:color="auto" w:fill="auto"/>
            <w:noWrap/>
            <w:hideMark/>
          </w:tcPr>
          <w:p w:rsidRPr="003F6059" w:rsidR="00A55FB3" w:rsidP="00A55FB3" w:rsidRDefault="00A55FB3" w14:paraId="7B0C9225" w14:textId="75A01FE0">
            <w:pPr>
              <w:spacing w:after="0"/>
              <w:rPr>
                <w:sz w:val="20"/>
                <w:szCs w:val="20"/>
              </w:rPr>
            </w:pPr>
            <w:r w:rsidRPr="003F6059">
              <w:rPr>
                <w:sz w:val="20"/>
                <w:szCs w:val="20"/>
              </w:rPr>
              <w:t>$9</w:t>
            </w:r>
            <w:r w:rsidR="00B5662B">
              <w:rPr>
                <w:sz w:val="20"/>
                <w:szCs w:val="20"/>
              </w:rPr>
              <w:t>5.22</w:t>
            </w:r>
          </w:p>
        </w:tc>
        <w:tc>
          <w:tcPr>
            <w:tcW w:w="2116" w:type="dxa"/>
          </w:tcPr>
          <w:p w:rsidRPr="003F6059" w:rsidR="00A55FB3" w:rsidP="00A55FB3" w:rsidRDefault="00A55FB3" w14:paraId="3837CAFE" w14:textId="1AF3D960">
            <w:pPr>
              <w:spacing w:after="0"/>
              <w:rPr>
                <w:sz w:val="20"/>
                <w:szCs w:val="20"/>
              </w:rPr>
            </w:pPr>
            <w:r w:rsidRPr="003F6059">
              <w:rPr>
                <w:sz w:val="20"/>
                <w:szCs w:val="20"/>
              </w:rPr>
              <w:t>$9</w:t>
            </w:r>
            <w:r w:rsidR="004E1CCF">
              <w:rPr>
                <w:sz w:val="20"/>
                <w:szCs w:val="20"/>
              </w:rPr>
              <w:t>5.22</w:t>
            </w:r>
          </w:p>
        </w:tc>
      </w:tr>
      <w:tr w:rsidRPr="00C47150" w:rsidR="00A55FB3" w:rsidTr="00600F29" w14:paraId="6D05C566" w14:textId="5464AAA6">
        <w:trPr>
          <w:trHeight w:val="525"/>
          <w:jc w:val="center"/>
        </w:trPr>
        <w:tc>
          <w:tcPr>
            <w:tcW w:w="5118" w:type="dxa"/>
            <w:shd w:val="clear" w:color="auto" w:fill="auto"/>
            <w:hideMark/>
          </w:tcPr>
          <w:p w:rsidRPr="003F6059" w:rsidR="00A55FB3" w:rsidP="00A55FB3" w:rsidRDefault="00A55FB3" w14:paraId="036C20D2" w14:textId="17E6FB3D">
            <w:pPr>
              <w:spacing w:after="0"/>
              <w:rPr>
                <w:sz w:val="20"/>
                <w:szCs w:val="20"/>
              </w:rPr>
            </w:pPr>
            <w:r w:rsidRPr="003F6059">
              <w:rPr>
                <w:sz w:val="20"/>
                <w:szCs w:val="20"/>
              </w:rPr>
              <w:t>Cost to Review Measure Specifications (@ LPN's labor rate of $4</w:t>
            </w:r>
            <w:r w:rsidR="00F35CCF">
              <w:rPr>
                <w:sz w:val="20"/>
                <w:szCs w:val="20"/>
              </w:rPr>
              <w:t>8.16</w:t>
            </w:r>
            <w:r w:rsidRPr="003F6059">
              <w:rPr>
                <w:sz w:val="20"/>
                <w:szCs w:val="20"/>
              </w:rPr>
              <w:t>/hr) (o)</w:t>
            </w:r>
          </w:p>
        </w:tc>
        <w:tc>
          <w:tcPr>
            <w:tcW w:w="2116" w:type="dxa"/>
            <w:shd w:val="clear" w:color="auto" w:fill="auto"/>
            <w:noWrap/>
            <w:hideMark/>
          </w:tcPr>
          <w:p w:rsidRPr="003F6059" w:rsidR="00A55FB3" w:rsidP="00A55FB3" w:rsidRDefault="00A55FB3" w14:paraId="6633D1D5" w14:textId="134111F4">
            <w:pPr>
              <w:spacing w:after="0"/>
              <w:rPr>
                <w:sz w:val="20"/>
                <w:szCs w:val="20"/>
              </w:rPr>
            </w:pPr>
            <w:r w:rsidRPr="003F6059">
              <w:rPr>
                <w:sz w:val="20"/>
                <w:szCs w:val="20"/>
              </w:rPr>
              <w:t>$4</w:t>
            </w:r>
            <w:r w:rsidR="004E1CCF">
              <w:rPr>
                <w:sz w:val="20"/>
                <w:szCs w:val="20"/>
              </w:rPr>
              <w:t>8.16</w:t>
            </w:r>
          </w:p>
        </w:tc>
        <w:tc>
          <w:tcPr>
            <w:tcW w:w="2116" w:type="dxa"/>
          </w:tcPr>
          <w:p w:rsidRPr="003F6059" w:rsidR="00A55FB3" w:rsidP="00A55FB3" w:rsidRDefault="00A55FB3" w14:paraId="34F37A1F" w14:textId="425A795C">
            <w:pPr>
              <w:spacing w:after="0"/>
              <w:rPr>
                <w:sz w:val="20"/>
                <w:szCs w:val="20"/>
              </w:rPr>
            </w:pPr>
            <w:r w:rsidRPr="003F6059">
              <w:rPr>
                <w:sz w:val="20"/>
                <w:szCs w:val="20"/>
              </w:rPr>
              <w:t>$4</w:t>
            </w:r>
            <w:r w:rsidR="004E1CCF">
              <w:rPr>
                <w:sz w:val="20"/>
                <w:szCs w:val="20"/>
              </w:rPr>
              <w:t>8.16</w:t>
            </w:r>
          </w:p>
        </w:tc>
      </w:tr>
      <w:tr w:rsidRPr="00C47150" w:rsidR="00A55FB3" w:rsidTr="00600F29" w14:paraId="3B036A58" w14:textId="4D5E1AFF">
        <w:trPr>
          <w:trHeight w:val="525"/>
          <w:jc w:val="center"/>
        </w:trPr>
        <w:tc>
          <w:tcPr>
            <w:tcW w:w="5118" w:type="dxa"/>
            <w:shd w:val="clear" w:color="auto" w:fill="auto"/>
            <w:hideMark/>
          </w:tcPr>
          <w:p w:rsidRPr="003F6059" w:rsidR="00A55FB3" w:rsidP="00A55FB3" w:rsidRDefault="00A55FB3" w14:paraId="1172BEE9" w14:textId="23EE8F59">
            <w:pPr>
              <w:spacing w:after="0"/>
              <w:rPr>
                <w:sz w:val="20"/>
                <w:szCs w:val="20"/>
              </w:rPr>
            </w:pPr>
            <w:r w:rsidRPr="003F6059">
              <w:rPr>
                <w:sz w:val="20"/>
                <w:szCs w:val="20"/>
              </w:rPr>
              <w:t>Cost to Review Measure Specifications (@ clerk’s labor rate of $</w:t>
            </w:r>
            <w:r w:rsidR="00F35CCF">
              <w:rPr>
                <w:sz w:val="20"/>
                <w:szCs w:val="20"/>
              </w:rPr>
              <w:t>40.02</w:t>
            </w:r>
            <w:r w:rsidRPr="003F6059">
              <w:rPr>
                <w:sz w:val="20"/>
                <w:szCs w:val="20"/>
              </w:rPr>
              <w:t>/hr) (p)</w:t>
            </w:r>
          </w:p>
        </w:tc>
        <w:tc>
          <w:tcPr>
            <w:tcW w:w="2116" w:type="dxa"/>
            <w:shd w:val="clear" w:color="auto" w:fill="auto"/>
            <w:noWrap/>
            <w:hideMark/>
          </w:tcPr>
          <w:p w:rsidRPr="003F6059" w:rsidR="00A55FB3" w:rsidP="00A55FB3" w:rsidRDefault="00A55FB3" w14:paraId="7A12B700" w14:textId="11FE0368">
            <w:pPr>
              <w:spacing w:after="0"/>
              <w:rPr>
                <w:sz w:val="20"/>
                <w:szCs w:val="20"/>
              </w:rPr>
            </w:pPr>
            <w:r w:rsidRPr="003F6059">
              <w:rPr>
                <w:sz w:val="20"/>
                <w:szCs w:val="20"/>
              </w:rPr>
              <w:t>$</w:t>
            </w:r>
            <w:r w:rsidR="004E1CCF">
              <w:rPr>
                <w:sz w:val="20"/>
                <w:szCs w:val="20"/>
              </w:rPr>
              <w:t>40.02</w:t>
            </w:r>
          </w:p>
        </w:tc>
        <w:tc>
          <w:tcPr>
            <w:tcW w:w="2116" w:type="dxa"/>
          </w:tcPr>
          <w:p w:rsidRPr="003F6059" w:rsidR="00A55FB3" w:rsidP="00A55FB3" w:rsidRDefault="00A55FB3" w14:paraId="2E3E94AF" w14:textId="58D5577D">
            <w:pPr>
              <w:spacing w:after="0"/>
              <w:rPr>
                <w:sz w:val="20"/>
                <w:szCs w:val="20"/>
              </w:rPr>
            </w:pPr>
            <w:r w:rsidRPr="003F6059">
              <w:rPr>
                <w:sz w:val="20"/>
                <w:szCs w:val="20"/>
              </w:rPr>
              <w:t>$</w:t>
            </w:r>
            <w:r w:rsidR="004E1CCF">
              <w:rPr>
                <w:sz w:val="20"/>
                <w:szCs w:val="20"/>
              </w:rPr>
              <w:t>40.02</w:t>
            </w:r>
          </w:p>
        </w:tc>
      </w:tr>
      <w:tr w:rsidRPr="00C47150" w:rsidR="00A55FB3" w:rsidTr="00600F29" w14:paraId="27D599C7" w14:textId="77533941">
        <w:trPr>
          <w:trHeight w:val="525"/>
          <w:jc w:val="center"/>
        </w:trPr>
        <w:tc>
          <w:tcPr>
            <w:tcW w:w="5118" w:type="dxa"/>
            <w:shd w:val="clear" w:color="auto" w:fill="auto"/>
            <w:hideMark/>
          </w:tcPr>
          <w:p w:rsidRPr="003F6059" w:rsidR="00A55FB3" w:rsidP="00A55FB3" w:rsidRDefault="00A55FB3" w14:paraId="0D1388D0" w14:textId="0B8A44C8">
            <w:pPr>
              <w:spacing w:after="0"/>
              <w:rPr>
                <w:sz w:val="20"/>
                <w:szCs w:val="20"/>
              </w:rPr>
            </w:pPr>
            <w:r w:rsidRPr="003F6059">
              <w:rPr>
                <w:sz w:val="20"/>
                <w:szCs w:val="20"/>
              </w:rPr>
              <w:t>Cost to D21Review Measure Specifications (@ physician’s labor rate of $21</w:t>
            </w:r>
            <w:r w:rsidR="00F35CCF">
              <w:rPr>
                <w:sz w:val="20"/>
                <w:szCs w:val="20"/>
              </w:rPr>
              <w:t>7.32</w:t>
            </w:r>
            <w:r w:rsidRPr="003F6059">
              <w:rPr>
                <w:sz w:val="20"/>
                <w:szCs w:val="20"/>
              </w:rPr>
              <w:t>/hr) (q)</w:t>
            </w:r>
          </w:p>
        </w:tc>
        <w:tc>
          <w:tcPr>
            <w:tcW w:w="2116" w:type="dxa"/>
            <w:shd w:val="clear" w:color="auto" w:fill="auto"/>
            <w:noWrap/>
            <w:hideMark/>
          </w:tcPr>
          <w:p w:rsidRPr="003F6059" w:rsidR="00A55FB3" w:rsidP="00A55FB3" w:rsidRDefault="00A55FB3" w14:paraId="41745B0B" w14:textId="527D757C">
            <w:pPr>
              <w:spacing w:after="0"/>
              <w:rPr>
                <w:sz w:val="20"/>
                <w:szCs w:val="20"/>
              </w:rPr>
            </w:pPr>
            <w:r w:rsidRPr="003F6059">
              <w:rPr>
                <w:sz w:val="20"/>
                <w:szCs w:val="20"/>
              </w:rPr>
              <w:t>$21</w:t>
            </w:r>
            <w:r w:rsidR="004E1CCF">
              <w:rPr>
                <w:sz w:val="20"/>
                <w:szCs w:val="20"/>
              </w:rPr>
              <w:t>7.32</w:t>
            </w:r>
          </w:p>
        </w:tc>
        <w:tc>
          <w:tcPr>
            <w:tcW w:w="2116" w:type="dxa"/>
          </w:tcPr>
          <w:p w:rsidRPr="003F6059" w:rsidR="00A55FB3" w:rsidP="00A55FB3" w:rsidRDefault="00A55FB3" w14:paraId="4EC858F7" w14:textId="3211052B">
            <w:pPr>
              <w:spacing w:after="0"/>
              <w:rPr>
                <w:sz w:val="20"/>
                <w:szCs w:val="20"/>
              </w:rPr>
            </w:pPr>
            <w:r w:rsidRPr="003F6059">
              <w:rPr>
                <w:sz w:val="20"/>
                <w:szCs w:val="20"/>
              </w:rPr>
              <w:t>$21</w:t>
            </w:r>
            <w:r w:rsidR="004E1CCF">
              <w:rPr>
                <w:sz w:val="20"/>
                <w:szCs w:val="20"/>
              </w:rPr>
              <w:t>7.32</w:t>
            </w:r>
          </w:p>
        </w:tc>
      </w:tr>
      <w:tr w:rsidRPr="00C47150" w:rsidR="00A55FB3" w:rsidTr="00600F29" w14:paraId="18D7F363" w14:textId="52C27FA8">
        <w:trPr>
          <w:trHeight w:val="315"/>
          <w:jc w:val="center"/>
        </w:trPr>
        <w:tc>
          <w:tcPr>
            <w:tcW w:w="5118" w:type="dxa"/>
            <w:shd w:val="clear" w:color="auto" w:fill="auto"/>
            <w:hideMark/>
          </w:tcPr>
          <w:p w:rsidRPr="003F6059" w:rsidR="00A55FB3" w:rsidP="00A55FB3" w:rsidRDefault="00600F29" w14:paraId="48792688" w14:textId="1E267475">
            <w:pPr>
              <w:spacing w:after="0"/>
              <w:rPr>
                <w:sz w:val="20"/>
                <w:szCs w:val="20"/>
              </w:rPr>
            </w:pPr>
            <w:r>
              <w:rPr>
                <w:sz w:val="20"/>
                <w:szCs w:val="20"/>
              </w:rPr>
              <w:t>*</w:t>
            </w:r>
            <w:r w:rsidRPr="003F6059" w:rsidR="00A55FB3">
              <w:rPr>
                <w:sz w:val="20"/>
                <w:szCs w:val="20"/>
              </w:rPr>
              <w:t>Total Cost Per Respondent (r)=(l)+(m)+(n)+(o)+(p)+(q)</w:t>
            </w:r>
          </w:p>
        </w:tc>
        <w:tc>
          <w:tcPr>
            <w:tcW w:w="2116" w:type="dxa"/>
            <w:shd w:val="clear" w:color="auto" w:fill="auto"/>
            <w:noWrap/>
            <w:hideMark/>
          </w:tcPr>
          <w:p w:rsidRPr="003F6059" w:rsidR="00A55FB3" w:rsidP="00A55FB3" w:rsidRDefault="00A55FB3" w14:paraId="6AC814EF" w14:textId="52000468">
            <w:pPr>
              <w:spacing w:after="0"/>
              <w:rPr>
                <w:sz w:val="20"/>
                <w:szCs w:val="20"/>
              </w:rPr>
            </w:pPr>
            <w:r w:rsidRPr="003F6059">
              <w:rPr>
                <w:sz w:val="20"/>
                <w:szCs w:val="20"/>
              </w:rPr>
              <w:t>$</w:t>
            </w:r>
            <w:r w:rsidR="00E6489A">
              <w:rPr>
                <w:sz w:val="20"/>
                <w:szCs w:val="20"/>
              </w:rPr>
              <w:t>819.64</w:t>
            </w:r>
          </w:p>
        </w:tc>
        <w:tc>
          <w:tcPr>
            <w:tcW w:w="2116" w:type="dxa"/>
          </w:tcPr>
          <w:p w:rsidRPr="003F6059" w:rsidR="00A55FB3" w:rsidP="00A55FB3" w:rsidRDefault="00A55FB3" w14:paraId="0AA8442C" w14:textId="65B5F60D">
            <w:pPr>
              <w:spacing w:after="0"/>
              <w:rPr>
                <w:sz w:val="20"/>
                <w:szCs w:val="20"/>
              </w:rPr>
            </w:pPr>
            <w:r w:rsidRPr="003F6059">
              <w:rPr>
                <w:sz w:val="20"/>
                <w:szCs w:val="20"/>
              </w:rPr>
              <w:t>$</w:t>
            </w:r>
            <w:r w:rsidR="00E6489A">
              <w:rPr>
                <w:sz w:val="20"/>
                <w:szCs w:val="20"/>
              </w:rPr>
              <w:t>819.64</w:t>
            </w:r>
          </w:p>
        </w:tc>
      </w:tr>
      <w:tr w:rsidRPr="00C47150" w:rsidR="009C12FC" w:rsidTr="00600F29" w14:paraId="5F4C4579" w14:textId="689B3C20">
        <w:trPr>
          <w:trHeight w:val="315"/>
          <w:jc w:val="center"/>
        </w:trPr>
        <w:tc>
          <w:tcPr>
            <w:tcW w:w="5118" w:type="dxa"/>
            <w:shd w:val="clear" w:color="auto" w:fill="D9D9D9" w:themeFill="background1" w:themeFillShade="D9"/>
          </w:tcPr>
          <w:p w:rsidRPr="003F6059" w:rsidR="009C12FC" w:rsidP="009C12FC" w:rsidRDefault="00600F29" w14:paraId="2FA0D96F" w14:textId="44BCE83E">
            <w:pPr>
              <w:spacing w:after="0"/>
              <w:rPr>
                <w:b/>
                <w:bCs/>
                <w:sz w:val="20"/>
                <w:szCs w:val="20"/>
              </w:rPr>
            </w:pPr>
            <w:r>
              <w:rPr>
                <w:b/>
                <w:bCs/>
                <w:sz w:val="20"/>
                <w:szCs w:val="20"/>
              </w:rPr>
              <w:t>*</w:t>
            </w:r>
            <w:r w:rsidRPr="003F6059" w:rsidR="009C12FC">
              <w:rPr>
                <w:b/>
                <w:bCs/>
                <w:sz w:val="20"/>
                <w:szCs w:val="20"/>
              </w:rPr>
              <w:t>Total Annual Cost (s) = (c)*(r)</w:t>
            </w:r>
          </w:p>
        </w:tc>
        <w:tc>
          <w:tcPr>
            <w:tcW w:w="2116" w:type="dxa"/>
            <w:shd w:val="clear" w:color="auto" w:fill="D9D9D9" w:themeFill="background1" w:themeFillShade="D9"/>
            <w:noWrap/>
            <w:vAlign w:val="center"/>
          </w:tcPr>
          <w:p w:rsidRPr="003F6059" w:rsidR="009C12FC" w:rsidP="009C12FC" w:rsidRDefault="009C12FC" w14:paraId="48C24134" w14:textId="10AD3C9F">
            <w:pPr>
              <w:spacing w:after="0"/>
              <w:rPr>
                <w:b/>
                <w:bCs/>
                <w:sz w:val="20"/>
                <w:szCs w:val="20"/>
              </w:rPr>
            </w:pPr>
            <w:r w:rsidRPr="00A84883">
              <w:rPr>
                <w:rFonts w:eastAsia="Calibri"/>
                <w:b/>
                <w:sz w:val="20"/>
                <w:szCs w:val="20"/>
              </w:rPr>
              <w:t>$</w:t>
            </w:r>
            <w:r w:rsidR="001F706E">
              <w:rPr>
                <w:rFonts w:eastAsia="Calibri"/>
                <w:b/>
                <w:sz w:val="20"/>
                <w:szCs w:val="20"/>
              </w:rPr>
              <w:t>39,812,374</w:t>
            </w:r>
          </w:p>
        </w:tc>
        <w:tc>
          <w:tcPr>
            <w:tcW w:w="2116" w:type="dxa"/>
            <w:shd w:val="clear" w:color="auto" w:fill="D9D9D9" w:themeFill="background1" w:themeFillShade="D9"/>
            <w:vAlign w:val="center"/>
          </w:tcPr>
          <w:p w:rsidRPr="003F6059" w:rsidR="009C12FC" w:rsidP="009C12FC" w:rsidRDefault="009C12FC" w14:paraId="265E8147" w14:textId="72473173">
            <w:pPr>
              <w:spacing w:after="0"/>
              <w:rPr>
                <w:b/>
                <w:bCs/>
                <w:sz w:val="20"/>
                <w:szCs w:val="20"/>
              </w:rPr>
            </w:pPr>
            <w:r w:rsidRPr="00A84883">
              <w:rPr>
                <w:rFonts w:eastAsia="Calibri"/>
                <w:b/>
                <w:sz w:val="20"/>
                <w:szCs w:val="20"/>
              </w:rPr>
              <w:t>$</w:t>
            </w:r>
            <w:r w:rsidR="00BB2A70">
              <w:rPr>
                <w:rFonts w:eastAsia="Calibri"/>
                <w:b/>
                <w:sz w:val="20"/>
                <w:szCs w:val="20"/>
              </w:rPr>
              <w:t>35,878,</w:t>
            </w:r>
            <w:r w:rsidR="00F17FCF">
              <w:rPr>
                <w:rFonts w:eastAsia="Calibri"/>
                <w:b/>
                <w:sz w:val="20"/>
                <w:szCs w:val="20"/>
              </w:rPr>
              <w:t>102</w:t>
            </w:r>
          </w:p>
        </w:tc>
      </w:tr>
    </w:tbl>
    <w:p w:rsidRPr="00871E51" w:rsidR="00600F29" w:rsidP="00600F29" w:rsidRDefault="00600F29" w14:paraId="6A34D51A" w14:textId="77777777">
      <w:pPr>
        <w:widowControl w:val="0"/>
        <w:rPr>
          <w:rFonts w:eastAsia="Calibri"/>
        </w:rPr>
      </w:pPr>
      <w:r w:rsidRPr="00871E51">
        <w:rPr>
          <w:rFonts w:eastAsia="Calibri"/>
          <w:sz w:val="20"/>
          <w:szCs w:val="20"/>
        </w:rPr>
        <w:t>*Due to burden for certain activities being estimated in fractions of hours, totals may not reflect the sum of individual rows due to rounding</w:t>
      </w:r>
      <w:r>
        <w:rPr>
          <w:rFonts w:eastAsia="Calibri"/>
          <w:sz w:val="20"/>
          <w:szCs w:val="20"/>
        </w:rPr>
        <w:t>.</w:t>
      </w:r>
    </w:p>
    <w:p w:rsidRPr="009E1A51" w:rsidR="009E1A51" w:rsidP="007F64F4" w:rsidRDefault="009E1A51" w14:paraId="4E7294BD" w14:textId="77777777">
      <w:pPr>
        <w:pStyle w:val="Heading3"/>
        <w:keepNext w:val="0"/>
        <w:keepLines w:val="0"/>
      </w:pPr>
      <w:r w:rsidRPr="009E1A51">
        <w:t>ICRs Regarding Burden for MVP Reporting</w:t>
      </w:r>
    </w:p>
    <w:p w:rsidR="00662DAE" w:rsidP="007F64F4" w:rsidRDefault="00FF38A1" w14:paraId="1138604A" w14:textId="25A344F1">
      <w:r>
        <w:t xml:space="preserve">We propose </w:t>
      </w:r>
      <w:r w:rsidR="00B338B7">
        <w:t>to add</w:t>
      </w:r>
      <w:r w:rsidR="00BB14E9">
        <w:t xml:space="preserve"> a new</w:t>
      </w:r>
      <w:r w:rsidR="00322B26">
        <w:t xml:space="preserve"> set of</w:t>
      </w:r>
      <w:r w:rsidR="00BB14E9">
        <w:t xml:space="preserve"> </w:t>
      </w:r>
      <w:r w:rsidR="00DD2399">
        <w:t>ICR</w:t>
      </w:r>
      <w:r w:rsidR="00322B26">
        <w:t>s</w:t>
      </w:r>
      <w:r w:rsidR="00B34C5D">
        <w:t xml:space="preserve"> to capture the burden associated with </w:t>
      </w:r>
      <w:r w:rsidR="00A12E56">
        <w:t xml:space="preserve">the proposed implementation of voluntary </w:t>
      </w:r>
      <w:r w:rsidR="007E48D5">
        <w:t>MIPS Value Pathways</w:t>
      </w:r>
      <w:r w:rsidR="00C12223">
        <w:t xml:space="preserve"> (MVP)</w:t>
      </w:r>
      <w:r w:rsidR="007E48D5">
        <w:t xml:space="preserve"> reporting </w:t>
      </w:r>
      <w:r w:rsidR="00BC751B">
        <w:t xml:space="preserve">for eligible clinicians </w:t>
      </w:r>
      <w:r w:rsidR="00014B8C">
        <w:t>beginning with the CY 2023 MIPS performance period/2025 MIPS payment year a</w:t>
      </w:r>
      <w:r w:rsidR="00AE31E7">
        <w:t xml:space="preserve">s described in </w:t>
      </w:r>
      <w:r w:rsidR="00BB14E9">
        <w:t xml:space="preserve">the </w:t>
      </w:r>
      <w:r w:rsidR="00014B8C">
        <w:t xml:space="preserve">CY 2022 PFS proposed </w:t>
      </w:r>
      <w:r w:rsidR="00BB14E9">
        <w:t>rule</w:t>
      </w:r>
      <w:r w:rsidR="00EC1EE3">
        <w:t xml:space="preserve"> (86 FR 39356 through 39358)</w:t>
      </w:r>
      <w:r w:rsidR="004A6CE2">
        <w:t>.</w:t>
      </w:r>
      <w:r w:rsidR="00BC751B">
        <w:t xml:space="preserve"> </w:t>
      </w:r>
      <w:r w:rsidRPr="00064DFC" w:rsidR="00AB1814">
        <w:t xml:space="preserve">If this proposal is finalized, clinicians participating in MIPS would have the option to voluntarily submit data using MVPs </w:t>
      </w:r>
      <w:r w:rsidRPr="00064DFC" w:rsidR="00AB1814">
        <w:lastRenderedPageBreak/>
        <w:t>starting with the CY 2023 MIPS performance period/2025 MIPS payment year</w:t>
      </w:r>
      <w:r w:rsidR="0002421D">
        <w:t xml:space="preserve">. </w:t>
      </w:r>
      <w:r w:rsidR="00943FD2">
        <w:t xml:space="preserve">We also propose that clinicians participating in MIPS through reporting MVPs </w:t>
      </w:r>
      <w:r w:rsidR="00046ACA">
        <w:t xml:space="preserve">could also choose to form subgroups beginning with the CY 2023 MIPS performance period/2025 MIPS payment year. </w:t>
      </w:r>
      <w:r w:rsidRPr="00BC751B" w:rsidR="00BC751B">
        <w:t>The MVPs would include the Promoting Interoperability performance category as a foundational element and incorporate population health claims-based measures, as feasible, along with the relevant measures and activities in the quality, cost and improvement activities performance categories.</w:t>
      </w:r>
      <w:r w:rsidRPr="00064DFC" w:rsidR="00064DFC">
        <w:t xml:space="preserve"> We estimate that the clinicians choosing to participate in MIPS for reporting MVPs would need to select from a reduced inventory of measures and activities for the quality and improvement activities performance categories.  This reduction in burden is described in the quality, improvement activities and Promoting Interoperability performance categories sections below.  </w:t>
      </w:r>
      <w:r w:rsidRPr="007F4396" w:rsidR="007F4396">
        <w:t xml:space="preserve">The following new ICRs reflect the burden associated with the first year of data collection related to the proposed implementation of MVPs and subgroup reporting in the CY 2023 MIPS performance period/2025 MIPS payment year as described in </w:t>
      </w:r>
      <w:r w:rsidR="002111DC">
        <w:t>the CY 2022 PFS proposed rule</w:t>
      </w:r>
      <w:r w:rsidRPr="007F4396" w:rsidR="007F4396">
        <w:t>.</w:t>
      </w:r>
      <w:r w:rsidR="006D2AF0">
        <w:t xml:space="preserve"> </w:t>
      </w:r>
      <w:r w:rsidRPr="00871E51" w:rsidR="00E561A2">
        <w:t>For the ICRs related to MVP participants, we used the MIPS submission data from the CY 20</w:t>
      </w:r>
      <w:r w:rsidR="008B32AD">
        <w:t>19</w:t>
      </w:r>
      <w:r w:rsidRPr="00871E51" w:rsidR="00E561A2">
        <w:t xml:space="preserve"> MIPS performance period/202</w:t>
      </w:r>
      <w:r w:rsidR="008B32AD">
        <w:t>1</w:t>
      </w:r>
      <w:r w:rsidRPr="00871E51" w:rsidR="00E561A2">
        <w:t xml:space="preserve"> MIPS payment year. </w:t>
      </w:r>
      <w:r w:rsidR="006D2AF0">
        <w:t>W</w:t>
      </w:r>
      <w:r w:rsidRPr="00871E51" w:rsidR="006D2AF0">
        <w:t>e assume that a total of 10 percent of MIPS submitters will become MVP participants in the CY 2023 MIPS performance period/2025 MIPS payment year.</w:t>
      </w:r>
    </w:p>
    <w:p w:rsidRPr="00721D53" w:rsidR="00721D53" w:rsidP="00E53E05" w:rsidRDefault="00721D53" w14:paraId="4889D8CF" w14:textId="4397E83A">
      <w:r>
        <w:t>D</w:t>
      </w:r>
      <w:r w:rsidRPr="00871E51">
        <w:t>ue to the limited number of MVPs available for clinicians to choose, the additional burden involved in reporting, and given the voluntary option to participate as subgroups for reporting the MVPs or the APP, we anticipate that a relatively small number of clinicians would choose to participate as subgroups in the CY 2023 MIPS performance period/2025 MIPS payment year</w:t>
      </w:r>
      <w:r w:rsidR="000211FD">
        <w:t xml:space="preserve">. </w:t>
      </w:r>
      <w:r w:rsidR="007C7D28">
        <w:t xml:space="preserve"> </w:t>
      </w:r>
      <w:r w:rsidR="000211FD">
        <w:t>I</w:t>
      </w:r>
      <w:r w:rsidR="007C7D28">
        <w:t>f the subgroup proposal is finalized</w:t>
      </w:r>
      <w:r w:rsidR="000211FD">
        <w:t xml:space="preserve">, </w:t>
      </w:r>
      <w:r w:rsidRPr="00871E51">
        <w:t>we assume there will be 20 subgroups reporters in the CY 2023 MIPS performance period/2025 MIPS payment year.  We assume that more clinicians will choose to participate as subgroups in future years.</w:t>
      </w:r>
    </w:p>
    <w:p w:rsidR="008B2106" w:rsidP="00F931F3" w:rsidRDefault="00E73765" w14:paraId="4F28661E" w14:textId="2E954DDC">
      <w:pPr>
        <w:pStyle w:val="Heading3"/>
        <w:numPr>
          <w:ilvl w:val="0"/>
          <w:numId w:val="0"/>
        </w:numPr>
        <w:ind w:left="2160" w:hanging="360"/>
        <w:rPr>
          <w:bCs/>
        </w:rPr>
      </w:pPr>
      <w:proofErr w:type="gramStart"/>
      <w:r>
        <w:rPr>
          <w:bCs/>
        </w:rPr>
        <w:t>i</w:t>
      </w:r>
      <w:r w:rsidR="00754333">
        <w:rPr>
          <w:bCs/>
        </w:rPr>
        <w:t xml:space="preserve"> </w:t>
      </w:r>
      <w:r w:rsidR="00807FBE">
        <w:rPr>
          <w:bCs/>
        </w:rPr>
        <w:t xml:space="preserve"> </w:t>
      </w:r>
      <w:r w:rsidRPr="00754333" w:rsidR="00282256">
        <w:rPr>
          <w:bCs/>
        </w:rPr>
        <w:t>Burden</w:t>
      </w:r>
      <w:proofErr w:type="gramEnd"/>
      <w:r w:rsidRPr="00754333" w:rsidR="00282256">
        <w:rPr>
          <w:bCs/>
        </w:rPr>
        <w:t xml:space="preserve"> for MVP Registration: Individuals, Groups and APM Entities</w:t>
      </w:r>
      <w:r w:rsidR="00BE6DD2">
        <w:rPr>
          <w:bCs/>
        </w:rPr>
        <w:t xml:space="preserve"> </w:t>
      </w:r>
    </w:p>
    <w:p w:rsidR="00BE6DD2" w:rsidP="00BE6DD2" w:rsidRDefault="00BE6DD2" w14:paraId="67053948" w14:textId="0398863B">
      <w:r w:rsidRPr="00871E51">
        <w:t xml:space="preserve">Beginning with the CY 2023 MIPS performance period/2025 MIPS payment year, we propose that clinicians interested in participating in MIPS through MVP reporting would be required to complete an annual registration process described in </w:t>
      </w:r>
      <w:r w:rsidR="000211FD">
        <w:t xml:space="preserve">the CY 2022 PFS proposed </w:t>
      </w:r>
      <w:r w:rsidRPr="00871E51">
        <w:t>rule</w:t>
      </w:r>
      <w:r w:rsidR="00FB19C2">
        <w:t xml:space="preserve"> (86 FR 39374 </w:t>
      </w:r>
      <w:r w:rsidR="00155C23">
        <w:t>through 39376</w:t>
      </w:r>
      <w:r w:rsidR="00FB19C2">
        <w:t>)</w:t>
      </w:r>
      <w:r w:rsidRPr="00871E51">
        <w:t xml:space="preserve">. At the time of registration, MVP participants would need to select a specific MVP, a population health measure and if administrative claims measures are included in the selected MVP, the MVP participants would also need to choose an applicable administrative claims measure in the MVP. </w:t>
      </w:r>
      <w:r w:rsidRPr="00C31575" w:rsidR="00C31575">
        <w:t xml:space="preserve">In Table </w:t>
      </w:r>
      <w:r w:rsidR="00571D24">
        <w:t>13 below</w:t>
      </w:r>
      <w:r w:rsidRPr="00C31575" w:rsidR="00C31575">
        <w:t xml:space="preserve">, we estimate that the registration process for clinicians choosing to submit MIPS data for the measures and the activities in an MVP would require 0.25 hours of a computer systems analyst’s time, similar to the currently approved burden of group registration process for CMS Web Interface finalized in the CY 2021 PFS final rule (85 FR 84983) for the CY 2023 MIPS performance period/2025 MIPS payment year.  We assume that the staff involved in the MVP registration process will mainly be computer systems analysts or their equivalent, who have an average labor cost of $95.22/hour. </w:t>
      </w:r>
      <w:r w:rsidRPr="00871E51">
        <w:t xml:space="preserve"> </w:t>
      </w:r>
    </w:p>
    <w:p w:rsidR="006E3E52" w:rsidP="006E3E52" w:rsidRDefault="006E3E52" w14:paraId="58F4E717" w14:textId="184508FF">
      <w:r>
        <w:t>B</w:t>
      </w:r>
      <w:r w:rsidRPr="00871E51">
        <w:t>ased on data from the CY 2019 MIPS performance period/2021 MIPS payment year, we assume that approximately</w:t>
      </w:r>
      <w:r w:rsidRPr="00871E51" w:rsidDel="004E545A">
        <w:t xml:space="preserve"> </w:t>
      </w:r>
      <w:r w:rsidRPr="00871E51">
        <w:t xml:space="preserve">10 percent of the clinicians that currently participate in MIPS will submit data for the measures and activities in an MVP.  Note that we apply this 10 percent calculation after adding the clinicians who begin submitting though the CQM and eCQM collection types due to the proposed sunset of Web Interface in the CY 2023 MIPS performance period/2025 MIPS payment year. For the CY 2023 MIPS performance period/2025 MIPS </w:t>
      </w:r>
      <w:r w:rsidRPr="00871E51">
        <w:lastRenderedPageBreak/>
        <w:t xml:space="preserve">payment year, we assume that a total of 25,798 submissions would be received for the measures and activities included in MVPs.  This total includes our estimate of 20 subgroup reporters that will also be reporting MVPs in addition to MVP reporters who currently participate in MIPS.  Therefore, we assume that the total number of individual clinicians, groups, subgroups and APM Entities to complete the MVP registration process is 12,918.  We estimate that </w:t>
      </w:r>
      <w:r w:rsidR="0035000E">
        <w:t xml:space="preserve">it would </w:t>
      </w:r>
      <w:r w:rsidR="00FF315A">
        <w:t>take 3,2</w:t>
      </w:r>
      <w:r w:rsidR="00F95293">
        <w:t>29</w:t>
      </w:r>
      <w:r w:rsidR="0035000E">
        <w:t xml:space="preserve"> hours</w:t>
      </w:r>
      <w:r w:rsidR="007F4712">
        <w:t xml:space="preserve"> (12,91</w:t>
      </w:r>
      <w:r w:rsidR="00F95293">
        <w:t>7</w:t>
      </w:r>
      <w:r w:rsidR="007F4712">
        <w:t xml:space="preserve"> </w:t>
      </w:r>
      <w:r w:rsidR="007222CB">
        <w:t xml:space="preserve">registrants </w:t>
      </w:r>
      <w:r w:rsidRPr="003F6059" w:rsidR="007222CB">
        <w:rPr>
          <w:rFonts w:eastAsia="Calibri"/>
        </w:rPr>
        <w:t>x</w:t>
      </w:r>
      <w:r w:rsidR="007222CB">
        <w:rPr>
          <w:rFonts w:eastAsia="Calibri"/>
        </w:rPr>
        <w:t xml:space="preserve"> 0.25 hr/registration</w:t>
      </w:r>
      <w:r w:rsidR="007F4712">
        <w:t>)</w:t>
      </w:r>
      <w:r w:rsidR="0035000E">
        <w:t xml:space="preserve"> </w:t>
      </w:r>
      <w:r w:rsidR="00AB1AE3">
        <w:t xml:space="preserve">for </w:t>
      </w:r>
      <w:r w:rsidRPr="00871E51" w:rsidR="00AB1AE3">
        <w:t>clinicians</w:t>
      </w:r>
      <w:r w:rsidRPr="00871E51">
        <w:t xml:space="preserve"> participating as individuals and groups </w:t>
      </w:r>
      <w:r w:rsidR="007222CB">
        <w:t>to complete</w:t>
      </w:r>
      <w:r w:rsidRPr="00871E51">
        <w:t xml:space="preserve"> the MVP registration process </w:t>
      </w:r>
      <w:r w:rsidR="007222CB">
        <w:t>at a cost of</w:t>
      </w:r>
      <w:r w:rsidRPr="00871E51">
        <w:t xml:space="preserve"> $</w:t>
      </w:r>
      <w:r w:rsidRPr="00871E51">
        <w:rPr>
          <w:color w:val="000000" w:themeColor="text1"/>
        </w:rPr>
        <w:t>307,</w:t>
      </w:r>
      <w:r w:rsidR="002C25E8">
        <w:rPr>
          <w:color w:val="000000" w:themeColor="text1"/>
        </w:rPr>
        <w:t>465</w:t>
      </w:r>
      <w:r w:rsidR="00305884">
        <w:rPr>
          <w:color w:val="000000" w:themeColor="text1"/>
        </w:rPr>
        <w:t xml:space="preserve"> (</w:t>
      </w:r>
      <w:r w:rsidR="00305884">
        <w:t>3,2</w:t>
      </w:r>
      <w:r w:rsidR="00B83CD8">
        <w:t>29</w:t>
      </w:r>
      <w:r w:rsidR="00305884">
        <w:t xml:space="preserve"> hours </w:t>
      </w:r>
      <w:r w:rsidRPr="003F6059" w:rsidR="00305884">
        <w:rPr>
          <w:rFonts w:eastAsia="Calibri"/>
        </w:rPr>
        <w:t>x</w:t>
      </w:r>
      <w:r w:rsidR="00305884">
        <w:rPr>
          <w:rFonts w:eastAsia="Calibri"/>
        </w:rPr>
        <w:t xml:space="preserve"> 95.22/hr</w:t>
      </w:r>
      <w:r w:rsidR="00305884">
        <w:rPr>
          <w:color w:val="000000" w:themeColor="text1"/>
        </w:rPr>
        <w:t>)</w:t>
      </w:r>
      <w:r w:rsidRPr="00871E51">
        <w:t xml:space="preserve">. Table </w:t>
      </w:r>
      <w:r w:rsidR="00571D24">
        <w:t>13</w:t>
      </w:r>
      <w:r w:rsidRPr="00871E51">
        <w:t xml:space="preserve"> includes our burden assumptions related to the MVP registration process for clinicians participating in MIPS for reporting MVPs as individuals, groups, subgroups, and APM Entities.</w:t>
      </w:r>
    </w:p>
    <w:p w:rsidRPr="00CF538E" w:rsidR="003F1DAF" w:rsidP="00CF538E" w:rsidRDefault="003F1DAF" w14:paraId="5859D628" w14:textId="191E94EA">
      <w:pPr>
        <w:jc w:val="center"/>
        <w:rPr>
          <w:b/>
          <w:bCs/>
        </w:rPr>
      </w:pPr>
      <w:r w:rsidRPr="00871E51">
        <w:rPr>
          <w:b/>
          <w:bCs/>
        </w:rPr>
        <w:t xml:space="preserve">TABLE </w:t>
      </w:r>
      <w:r>
        <w:rPr>
          <w:b/>
          <w:bCs/>
        </w:rPr>
        <w:t>13</w:t>
      </w:r>
      <w:r w:rsidRPr="00871E51">
        <w:rPr>
          <w:b/>
          <w:bCs/>
        </w:rPr>
        <w:t>: Total Estimated Burden for MVP Registration (Individual clinicians, Groups, Subgroups and APM Entities)</w:t>
      </w:r>
    </w:p>
    <w:tbl>
      <w:tblPr>
        <w:tblW w:w="9720" w:type="dxa"/>
        <w:tblLook w:val="04A0" w:firstRow="1" w:lastRow="0" w:firstColumn="1" w:lastColumn="0" w:noHBand="0" w:noVBand="1"/>
      </w:tblPr>
      <w:tblGrid>
        <w:gridCol w:w="6650"/>
        <w:gridCol w:w="3070"/>
      </w:tblGrid>
      <w:tr w:rsidRPr="00871E51" w:rsidR="003F1DAF" w:rsidTr="00F37138" w14:paraId="6E351D79" w14:textId="77777777">
        <w:trPr>
          <w:trHeight w:val="476"/>
        </w:trPr>
        <w:tc>
          <w:tcPr>
            <w:tcW w:w="6650" w:type="dxa"/>
            <w:tcBorders>
              <w:top w:val="single" w:color="auto" w:sz="4" w:space="0"/>
              <w:left w:val="single" w:color="000000" w:themeColor="text1" w:sz="8" w:space="0"/>
              <w:bottom w:val="single" w:color="auto" w:sz="4" w:space="0"/>
              <w:right w:val="single" w:color="000000" w:themeColor="text1" w:sz="8" w:space="0"/>
            </w:tcBorders>
            <w:shd w:val="clear" w:color="auto" w:fill="FFFFFF" w:themeFill="background1"/>
            <w:vAlign w:val="center"/>
          </w:tcPr>
          <w:p w:rsidRPr="00871E51" w:rsidR="003F1DAF" w:rsidP="00A11FEA" w:rsidRDefault="000724EF" w14:paraId="0979AE5A" w14:textId="182C20EB">
            <w:pPr>
              <w:keepNext/>
              <w:keepLines/>
              <w:spacing w:after="0"/>
              <w:rPr>
                <w:color w:val="FFFFFF" w:themeColor="background1"/>
                <w:sz w:val="20"/>
                <w:szCs w:val="20"/>
              </w:rPr>
            </w:pPr>
            <w:r w:rsidRPr="00C351ED">
              <w:rPr>
                <w:b/>
                <w:sz w:val="20"/>
                <w:szCs w:val="20"/>
              </w:rPr>
              <w:t>Burden and Respondent Descriptions </w:t>
            </w:r>
          </w:p>
        </w:tc>
        <w:tc>
          <w:tcPr>
            <w:tcW w:w="3070" w:type="dxa"/>
            <w:tcBorders>
              <w:top w:val="single" w:color="auto" w:sz="4" w:space="0"/>
              <w:left w:val="nil"/>
              <w:bottom w:val="single" w:color="auto" w:sz="4" w:space="0"/>
              <w:right w:val="single" w:color="000000" w:themeColor="text1" w:sz="8" w:space="0"/>
            </w:tcBorders>
            <w:shd w:val="clear" w:color="auto" w:fill="FFFFFF" w:themeFill="background1"/>
            <w:vAlign w:val="center"/>
          </w:tcPr>
          <w:p w:rsidRPr="00B01445" w:rsidR="003F1DAF" w:rsidP="00B01445" w:rsidRDefault="003F1DAF" w14:paraId="1C2262CD" w14:textId="219523CE">
            <w:pPr>
              <w:keepNext/>
              <w:keepLines/>
              <w:jc w:val="center"/>
              <w:rPr>
                <w:b/>
                <w:bCs/>
                <w:sz w:val="20"/>
                <w:szCs w:val="20"/>
              </w:rPr>
            </w:pPr>
            <w:r w:rsidRPr="000724EF">
              <w:rPr>
                <w:b/>
                <w:bCs/>
                <w:sz w:val="20"/>
                <w:szCs w:val="20"/>
              </w:rPr>
              <w:t>Burden</w:t>
            </w:r>
            <w:r w:rsidR="00B01445">
              <w:rPr>
                <w:b/>
                <w:bCs/>
                <w:sz w:val="20"/>
                <w:szCs w:val="20"/>
              </w:rPr>
              <w:t xml:space="preserve"> </w:t>
            </w:r>
            <w:r w:rsidRPr="002E77D0" w:rsidR="002E77D0">
              <w:rPr>
                <w:b/>
                <w:bCs/>
                <w:sz w:val="20"/>
                <w:szCs w:val="20"/>
              </w:rPr>
              <w:t>Estimate</w:t>
            </w:r>
          </w:p>
        </w:tc>
      </w:tr>
      <w:tr w:rsidRPr="00871E51" w:rsidR="003F1DAF" w:rsidTr="00F37138" w14:paraId="40BF9104" w14:textId="77777777">
        <w:trPr>
          <w:trHeight w:val="539"/>
        </w:trPr>
        <w:tc>
          <w:tcPr>
            <w:tcW w:w="6650" w:type="dxa"/>
            <w:tcBorders>
              <w:top w:val="single" w:color="auto" w:sz="4" w:space="0"/>
              <w:left w:val="single" w:color="000000" w:themeColor="text1" w:sz="8" w:space="0"/>
              <w:bottom w:val="single" w:color="auto" w:sz="4" w:space="0"/>
              <w:right w:val="single" w:color="000000" w:themeColor="text1" w:sz="8" w:space="0"/>
            </w:tcBorders>
            <w:shd w:val="clear" w:color="auto" w:fill="auto"/>
            <w:vAlign w:val="center"/>
            <w:hideMark/>
          </w:tcPr>
          <w:p w:rsidRPr="00871E51" w:rsidR="003F1DAF" w:rsidP="006345BE" w:rsidRDefault="003F1DAF" w14:paraId="06B8A458" w14:textId="77777777">
            <w:pPr>
              <w:keepNext/>
              <w:keepLines/>
              <w:rPr>
                <w:color w:val="000000"/>
                <w:sz w:val="20"/>
                <w:szCs w:val="20"/>
              </w:rPr>
            </w:pPr>
            <w:r w:rsidRPr="00871E51">
              <w:rPr>
                <w:color w:val="000000"/>
                <w:sz w:val="20"/>
                <w:szCs w:val="20"/>
              </w:rPr>
              <w:t>Estimated # of Individual clinicians, groups, subgroups and APM Entities Registering (a)</w:t>
            </w:r>
          </w:p>
        </w:tc>
        <w:tc>
          <w:tcPr>
            <w:tcW w:w="3070" w:type="dxa"/>
            <w:tcBorders>
              <w:top w:val="single" w:color="auto" w:sz="4" w:space="0"/>
              <w:left w:val="nil"/>
              <w:bottom w:val="single" w:color="auto" w:sz="4" w:space="0"/>
              <w:right w:val="single" w:color="000000" w:themeColor="text1" w:sz="8" w:space="0"/>
            </w:tcBorders>
            <w:shd w:val="clear" w:color="auto" w:fill="auto"/>
            <w:vAlign w:val="center"/>
            <w:hideMark/>
          </w:tcPr>
          <w:p w:rsidRPr="00871E51" w:rsidR="003F1DAF" w:rsidP="006345BE" w:rsidRDefault="003F1DAF" w14:paraId="74858155" w14:textId="2B76CD18">
            <w:pPr>
              <w:keepNext/>
              <w:keepLines/>
              <w:jc w:val="right"/>
              <w:rPr>
                <w:color w:val="000000"/>
                <w:sz w:val="20"/>
                <w:szCs w:val="20"/>
              </w:rPr>
            </w:pPr>
            <w:r w:rsidRPr="00871E51">
              <w:rPr>
                <w:color w:val="000000"/>
                <w:sz w:val="20"/>
                <w:szCs w:val="20"/>
              </w:rPr>
              <w:t>12,91</w:t>
            </w:r>
            <w:r w:rsidR="00FD2855">
              <w:rPr>
                <w:color w:val="000000"/>
                <w:sz w:val="20"/>
                <w:szCs w:val="20"/>
              </w:rPr>
              <w:t>7</w:t>
            </w:r>
          </w:p>
        </w:tc>
      </w:tr>
      <w:tr w:rsidRPr="00871E51" w:rsidR="003F1DAF" w:rsidTr="00F37138" w14:paraId="13159143" w14:textId="77777777">
        <w:trPr>
          <w:trHeight w:val="350"/>
        </w:trPr>
        <w:tc>
          <w:tcPr>
            <w:tcW w:w="6650"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auto"/>
            <w:vAlign w:val="center"/>
            <w:hideMark/>
          </w:tcPr>
          <w:p w:rsidRPr="00871E51" w:rsidR="003F1DAF" w:rsidP="006345BE" w:rsidRDefault="003F1DAF" w14:paraId="102B191A" w14:textId="77777777">
            <w:pPr>
              <w:keepNext/>
              <w:keepLines/>
              <w:rPr>
                <w:color w:val="000000"/>
                <w:sz w:val="20"/>
                <w:szCs w:val="20"/>
              </w:rPr>
            </w:pPr>
            <w:r w:rsidRPr="00871E51">
              <w:rPr>
                <w:color w:val="000000"/>
                <w:sz w:val="20"/>
                <w:szCs w:val="20"/>
              </w:rPr>
              <w:t>Estimated Total Annual Burden Hours Per Registration (b)</w:t>
            </w:r>
          </w:p>
        </w:tc>
        <w:tc>
          <w:tcPr>
            <w:tcW w:w="3070" w:type="dxa"/>
            <w:tcBorders>
              <w:top w:val="single" w:color="auto" w:sz="4" w:space="0"/>
              <w:left w:val="nil"/>
              <w:bottom w:val="single" w:color="000000" w:themeColor="text1" w:sz="8" w:space="0"/>
              <w:right w:val="single" w:color="000000" w:themeColor="text1" w:sz="8" w:space="0"/>
            </w:tcBorders>
            <w:shd w:val="clear" w:color="auto" w:fill="auto"/>
            <w:vAlign w:val="center"/>
            <w:hideMark/>
          </w:tcPr>
          <w:p w:rsidRPr="00871E51" w:rsidR="003F1DAF" w:rsidP="006345BE" w:rsidRDefault="003F1DAF" w14:paraId="606EBB55" w14:textId="77777777">
            <w:pPr>
              <w:keepNext/>
              <w:keepLines/>
              <w:jc w:val="right"/>
              <w:rPr>
                <w:color w:val="000000"/>
                <w:sz w:val="20"/>
                <w:szCs w:val="20"/>
              </w:rPr>
            </w:pPr>
            <w:r w:rsidRPr="00871E51">
              <w:rPr>
                <w:color w:val="000000"/>
                <w:sz w:val="20"/>
                <w:szCs w:val="20"/>
              </w:rPr>
              <w:t>0.25</w:t>
            </w:r>
          </w:p>
        </w:tc>
      </w:tr>
      <w:tr w:rsidRPr="00871E51" w:rsidR="003F1DAF" w:rsidTr="00F37138" w14:paraId="58A0D76B" w14:textId="77777777">
        <w:trPr>
          <w:trHeight w:val="520"/>
        </w:trPr>
        <w:tc>
          <w:tcPr>
            <w:tcW w:w="6650" w:type="dxa"/>
            <w:tcBorders>
              <w:top w:val="nil"/>
              <w:left w:val="single" w:color="000000" w:themeColor="text1" w:sz="8" w:space="0"/>
              <w:bottom w:val="single" w:color="000000" w:themeColor="text1" w:sz="8" w:space="0"/>
              <w:right w:val="single" w:color="000000" w:themeColor="text1" w:sz="8" w:space="0"/>
            </w:tcBorders>
            <w:shd w:val="clear" w:color="auto" w:fill="D9D9D9" w:themeFill="background1" w:themeFillShade="D9"/>
            <w:vAlign w:val="center"/>
            <w:hideMark/>
          </w:tcPr>
          <w:p w:rsidRPr="00871E51" w:rsidR="003F1DAF" w:rsidP="006345BE" w:rsidRDefault="003F1DAF" w14:paraId="3D72619A" w14:textId="77777777">
            <w:pPr>
              <w:keepNext/>
              <w:keepLines/>
              <w:rPr>
                <w:b/>
                <w:bCs/>
                <w:color w:val="000000"/>
                <w:sz w:val="20"/>
                <w:szCs w:val="20"/>
              </w:rPr>
            </w:pPr>
            <w:r w:rsidRPr="00871E51">
              <w:rPr>
                <w:b/>
                <w:bCs/>
                <w:color w:val="000000"/>
                <w:sz w:val="20"/>
                <w:szCs w:val="20"/>
              </w:rPr>
              <w:t>Estimated Total Annual Burden Hours for MVP</w:t>
            </w:r>
            <w:r w:rsidRPr="00871E51" w:rsidDel="007E0945">
              <w:rPr>
                <w:b/>
                <w:bCs/>
                <w:color w:val="000000"/>
                <w:sz w:val="20"/>
                <w:szCs w:val="20"/>
              </w:rPr>
              <w:t xml:space="preserve"> </w:t>
            </w:r>
            <w:r w:rsidRPr="00871E51">
              <w:rPr>
                <w:b/>
                <w:bCs/>
                <w:color w:val="000000"/>
                <w:sz w:val="20"/>
                <w:szCs w:val="20"/>
              </w:rPr>
              <w:t>Registration (c) = (a) * (b)</w:t>
            </w:r>
          </w:p>
        </w:tc>
        <w:tc>
          <w:tcPr>
            <w:tcW w:w="3070" w:type="dxa"/>
            <w:tcBorders>
              <w:top w:val="nil"/>
              <w:left w:val="nil"/>
              <w:bottom w:val="single" w:color="000000" w:themeColor="text1" w:sz="8" w:space="0"/>
              <w:right w:val="single" w:color="000000" w:themeColor="text1" w:sz="8" w:space="0"/>
            </w:tcBorders>
            <w:shd w:val="clear" w:color="auto" w:fill="D9D9D9" w:themeFill="background1" w:themeFillShade="D9"/>
            <w:vAlign w:val="center"/>
            <w:hideMark/>
          </w:tcPr>
          <w:p w:rsidRPr="00871E51" w:rsidR="003F1DAF" w:rsidP="006345BE" w:rsidRDefault="003F1DAF" w14:paraId="68171581" w14:textId="07A6DCE0">
            <w:pPr>
              <w:keepNext/>
              <w:keepLines/>
              <w:jc w:val="right"/>
              <w:rPr>
                <w:b/>
                <w:bCs/>
                <w:color w:val="000000"/>
                <w:sz w:val="20"/>
                <w:szCs w:val="20"/>
              </w:rPr>
            </w:pPr>
            <w:r w:rsidRPr="00871E51">
              <w:rPr>
                <w:b/>
                <w:bCs/>
                <w:color w:val="000000"/>
                <w:sz w:val="20"/>
                <w:szCs w:val="20"/>
              </w:rPr>
              <w:t>3,2</w:t>
            </w:r>
            <w:r w:rsidR="00717C80">
              <w:rPr>
                <w:b/>
                <w:bCs/>
                <w:color w:val="000000"/>
                <w:sz w:val="20"/>
                <w:szCs w:val="20"/>
              </w:rPr>
              <w:t>29</w:t>
            </w:r>
          </w:p>
        </w:tc>
      </w:tr>
      <w:tr w:rsidRPr="00871E51" w:rsidR="003F1DAF" w:rsidTr="00F37138" w14:paraId="28A62F01" w14:textId="77777777">
        <w:trPr>
          <w:trHeight w:val="520"/>
        </w:trPr>
        <w:tc>
          <w:tcPr>
            <w:tcW w:w="6650" w:type="dxa"/>
            <w:tcBorders>
              <w:top w:val="nil"/>
              <w:left w:val="single" w:color="000000" w:themeColor="text1" w:sz="8" w:space="0"/>
              <w:bottom w:val="single" w:color="000000" w:themeColor="text1" w:sz="8" w:space="0"/>
              <w:right w:val="single" w:color="000000" w:themeColor="text1" w:sz="8" w:space="0"/>
            </w:tcBorders>
            <w:shd w:val="clear" w:color="auto" w:fill="auto"/>
            <w:vAlign w:val="center"/>
            <w:hideMark/>
          </w:tcPr>
          <w:p w:rsidRPr="00871E51" w:rsidR="003F1DAF" w:rsidP="006345BE" w:rsidRDefault="003F1DAF" w14:paraId="2D7510BE" w14:textId="77777777">
            <w:pPr>
              <w:keepNext/>
              <w:keepLines/>
              <w:rPr>
                <w:color w:val="000000"/>
                <w:sz w:val="20"/>
                <w:szCs w:val="20"/>
              </w:rPr>
            </w:pPr>
            <w:r w:rsidRPr="00871E51">
              <w:rPr>
                <w:color w:val="000000"/>
                <w:sz w:val="20"/>
                <w:szCs w:val="20"/>
              </w:rPr>
              <w:t>Estimated Cost Per MVP (@ computer systems analyst’s labor rate of $95.22/hr. (d)</w:t>
            </w:r>
          </w:p>
        </w:tc>
        <w:tc>
          <w:tcPr>
            <w:tcW w:w="3070" w:type="dxa"/>
            <w:tcBorders>
              <w:top w:val="nil"/>
              <w:left w:val="nil"/>
              <w:bottom w:val="single" w:color="000000" w:themeColor="text1" w:sz="8" w:space="0"/>
              <w:right w:val="single" w:color="000000" w:themeColor="text1" w:sz="8" w:space="0"/>
            </w:tcBorders>
            <w:shd w:val="clear" w:color="auto" w:fill="auto"/>
            <w:vAlign w:val="center"/>
            <w:hideMark/>
          </w:tcPr>
          <w:p w:rsidRPr="00871E51" w:rsidR="003F1DAF" w:rsidP="006345BE" w:rsidRDefault="002A2CEF" w14:paraId="7F101FF0" w14:textId="75A9F6E4">
            <w:pPr>
              <w:keepNext/>
              <w:keepLines/>
              <w:jc w:val="right"/>
              <w:rPr>
                <w:color w:val="000000"/>
                <w:sz w:val="20"/>
                <w:szCs w:val="20"/>
              </w:rPr>
            </w:pPr>
            <w:r>
              <w:rPr>
                <w:color w:val="000000"/>
                <w:sz w:val="20"/>
                <w:szCs w:val="20"/>
              </w:rPr>
              <w:t>$</w:t>
            </w:r>
            <w:r w:rsidRPr="00871E51" w:rsidR="003F1DAF">
              <w:rPr>
                <w:color w:val="000000"/>
                <w:sz w:val="20"/>
                <w:szCs w:val="20"/>
              </w:rPr>
              <w:t>95.22</w:t>
            </w:r>
          </w:p>
        </w:tc>
      </w:tr>
      <w:tr w:rsidRPr="00871E51" w:rsidR="003F1DAF" w:rsidTr="00F37138" w14:paraId="486D4AA0" w14:textId="77777777">
        <w:trPr>
          <w:trHeight w:val="610"/>
        </w:trPr>
        <w:tc>
          <w:tcPr>
            <w:tcW w:w="6650" w:type="dxa"/>
            <w:tcBorders>
              <w:top w:val="nil"/>
              <w:left w:val="single" w:color="000000" w:themeColor="text1" w:sz="8" w:space="0"/>
              <w:bottom w:val="single" w:color="000000" w:themeColor="text1" w:sz="8" w:space="0"/>
              <w:right w:val="single" w:color="000000" w:themeColor="text1" w:sz="8" w:space="0"/>
            </w:tcBorders>
            <w:shd w:val="clear" w:color="auto" w:fill="D9D9D9" w:themeFill="background1" w:themeFillShade="D9"/>
            <w:vAlign w:val="center"/>
            <w:hideMark/>
          </w:tcPr>
          <w:p w:rsidRPr="00871E51" w:rsidR="003F1DAF" w:rsidP="006345BE" w:rsidRDefault="003F1DAF" w14:paraId="0A65F3BC" w14:textId="77777777">
            <w:pPr>
              <w:keepNext/>
              <w:keepLines/>
              <w:rPr>
                <w:b/>
                <w:bCs/>
                <w:color w:val="000000"/>
                <w:sz w:val="20"/>
                <w:szCs w:val="20"/>
              </w:rPr>
            </w:pPr>
            <w:r w:rsidRPr="00871E51">
              <w:rPr>
                <w:b/>
                <w:bCs/>
                <w:color w:val="000000"/>
                <w:sz w:val="20"/>
                <w:szCs w:val="20"/>
              </w:rPr>
              <w:t>Estimated Total Annual Burden Cost for MVP Registration (e) = (c) * (d)</w:t>
            </w:r>
          </w:p>
        </w:tc>
        <w:tc>
          <w:tcPr>
            <w:tcW w:w="3070" w:type="dxa"/>
            <w:tcBorders>
              <w:top w:val="nil"/>
              <w:left w:val="nil"/>
              <w:bottom w:val="single" w:color="000000" w:themeColor="text1" w:sz="8" w:space="0"/>
              <w:right w:val="single" w:color="000000" w:themeColor="text1" w:sz="8" w:space="0"/>
            </w:tcBorders>
            <w:shd w:val="clear" w:color="auto" w:fill="D9D9D9" w:themeFill="background1" w:themeFillShade="D9"/>
            <w:vAlign w:val="center"/>
            <w:hideMark/>
          </w:tcPr>
          <w:p w:rsidRPr="00871E51" w:rsidR="003F1DAF" w:rsidP="006345BE" w:rsidRDefault="003F1DAF" w14:paraId="044439E2" w14:textId="277437F9">
            <w:pPr>
              <w:keepNext/>
              <w:keepLines/>
              <w:jc w:val="right"/>
              <w:rPr>
                <w:b/>
                <w:bCs/>
                <w:color w:val="000000"/>
                <w:sz w:val="20"/>
                <w:szCs w:val="20"/>
              </w:rPr>
            </w:pPr>
            <w:r w:rsidRPr="00871E51">
              <w:rPr>
                <w:b/>
                <w:bCs/>
                <w:color w:val="000000" w:themeColor="text1"/>
                <w:sz w:val="20"/>
                <w:szCs w:val="20"/>
              </w:rPr>
              <w:t>$307,</w:t>
            </w:r>
            <w:r w:rsidR="00717C80">
              <w:rPr>
                <w:b/>
                <w:bCs/>
                <w:color w:val="000000" w:themeColor="text1"/>
                <w:sz w:val="20"/>
                <w:szCs w:val="20"/>
              </w:rPr>
              <w:t>465</w:t>
            </w:r>
          </w:p>
        </w:tc>
      </w:tr>
    </w:tbl>
    <w:p w:rsidR="00E44DD8" w:rsidP="00934697" w:rsidRDefault="00E44DD8" w14:paraId="2E6DD01A" w14:textId="77777777">
      <w:pPr>
        <w:pStyle w:val="Heading3"/>
        <w:numPr>
          <w:ilvl w:val="0"/>
          <w:numId w:val="0"/>
        </w:numPr>
        <w:ind w:left="2160"/>
        <w:rPr>
          <w:bCs/>
        </w:rPr>
      </w:pPr>
    </w:p>
    <w:p w:rsidR="006E3E52" w:rsidP="00934697" w:rsidRDefault="00934697" w14:paraId="1AC02916" w14:textId="3FF829F1">
      <w:pPr>
        <w:pStyle w:val="Heading3"/>
        <w:numPr>
          <w:ilvl w:val="0"/>
          <w:numId w:val="0"/>
        </w:numPr>
        <w:ind w:left="2160"/>
        <w:rPr>
          <w:rFonts w:cs="Times New Roman"/>
          <w:bCs/>
          <w:szCs w:val="24"/>
        </w:rPr>
      </w:pPr>
      <w:proofErr w:type="gramStart"/>
      <w:r>
        <w:rPr>
          <w:bCs/>
        </w:rPr>
        <w:t>ii</w:t>
      </w:r>
      <w:r w:rsidR="00E73765">
        <w:rPr>
          <w:bCs/>
        </w:rPr>
        <w:t xml:space="preserve"> </w:t>
      </w:r>
      <w:r>
        <w:rPr>
          <w:bCs/>
        </w:rPr>
        <w:t xml:space="preserve"> </w:t>
      </w:r>
      <w:r w:rsidRPr="00871E51">
        <w:rPr>
          <w:rFonts w:cs="Times New Roman"/>
          <w:bCs/>
          <w:szCs w:val="24"/>
        </w:rPr>
        <w:t>Burden</w:t>
      </w:r>
      <w:proofErr w:type="gramEnd"/>
      <w:r w:rsidRPr="00871E51">
        <w:rPr>
          <w:rFonts w:cs="Times New Roman"/>
          <w:bCs/>
          <w:szCs w:val="24"/>
        </w:rPr>
        <w:t xml:space="preserve"> for Subgroup Registration</w:t>
      </w:r>
    </w:p>
    <w:p w:rsidRPr="00871E51" w:rsidR="00C9198F" w:rsidP="00C9198F" w:rsidRDefault="00797709" w14:paraId="5B41D686" w14:textId="3D9F4FFB">
      <w:pPr>
        <w:ind w:firstLine="720"/>
      </w:pPr>
      <w:r w:rsidRPr="00871E51">
        <w:t>We propose to add a separate ICR to estimate the burden associated with subgroup registration to capture the proposed subgroup registration requirements</w:t>
      </w:r>
      <w:r>
        <w:t>, as described</w:t>
      </w:r>
      <w:r w:rsidRPr="00871E51">
        <w:t xml:space="preserve"> in th</w:t>
      </w:r>
      <w:r>
        <w:t>e CY 2022 PFS proposed</w:t>
      </w:r>
      <w:r w:rsidRPr="00871E51">
        <w:t xml:space="preserve"> rule.  In th</w:t>
      </w:r>
      <w:r>
        <w:t>e CY 2022 PFS proposed</w:t>
      </w:r>
      <w:r w:rsidRPr="00871E51">
        <w:t xml:space="preserve"> rule</w:t>
      </w:r>
      <w:r w:rsidR="00EE141E">
        <w:t xml:space="preserve"> (86 FR 39360 through 39361)</w:t>
      </w:r>
      <w:r w:rsidRPr="00871E51">
        <w:t xml:space="preserve">, we </w:t>
      </w:r>
      <w:r w:rsidR="00E73437">
        <w:t xml:space="preserve">also </w:t>
      </w:r>
      <w:r w:rsidRPr="00871E51">
        <w:t>propose to define a subgroup at § 414.1305 as a subset of a group, as identified by a combination of the group TIN, the subgroup identifier, and each eligible clinician’s NPI. In addition to the burden for MVP registration process described above</w:t>
      </w:r>
      <w:r>
        <w:t xml:space="preserve"> in Table 13</w:t>
      </w:r>
      <w:r w:rsidRPr="00871E51">
        <w:t xml:space="preserve">, clinicians who choose to form subgroups for reporting the MVPs or the APP would need to submit a list of each TIN/NPI associated with the subgroup and a plain language name for the subgroup in a manner specified by CMS, </w:t>
      </w:r>
      <w:r w:rsidR="00B766BA">
        <w:t xml:space="preserve">as </w:t>
      </w:r>
      <w:r w:rsidRPr="00871E51">
        <w:t>described in th</w:t>
      </w:r>
      <w:r w:rsidR="00B766BA">
        <w:t>e CY 2022 PFS proposed</w:t>
      </w:r>
      <w:r w:rsidRPr="00871E51">
        <w:t xml:space="preserve"> rule.</w:t>
      </w:r>
      <w:r w:rsidR="00C9198F">
        <w:t xml:space="preserve"> For the CY 2023 MIPS performance period/2025 MIPS payment year, we</w:t>
      </w:r>
      <w:r w:rsidRPr="00871E51" w:rsidR="00C9198F">
        <w:t xml:space="preserve"> estimate that clinicians would choose to form 20 subgroups for reporting the measures and activities in MVPs.  Additionally, we estimate that clinicians who choose to participate as subgroups for reporting MVPs would require a minimum of 0.5 hours per subgroup respondent to submit the proposed requirements for subgroup registration.  </w:t>
      </w:r>
      <w:r w:rsidR="006B1893">
        <w:t>As shown in Table 14 below, w</w:t>
      </w:r>
      <w:r w:rsidRPr="00871E51" w:rsidR="00C9198F">
        <w:t xml:space="preserve">e assume that the staff involved in the subgroup registration process will mainly be computer systems analysts or their equivalent, who have an average labor cost of $95.22/hr. </w:t>
      </w:r>
      <w:r w:rsidR="000A7ECC">
        <w:t>In aggregate, w</w:t>
      </w:r>
      <w:r w:rsidR="00DA298E">
        <w:t>e estim</w:t>
      </w:r>
      <w:r w:rsidR="000A7ECC">
        <w:t xml:space="preserve">ate that it will take 10 hours (20 </w:t>
      </w:r>
      <w:r w:rsidR="000A7ECC">
        <w:lastRenderedPageBreak/>
        <w:t>subgroups</w:t>
      </w:r>
      <w:r w:rsidR="0090340C">
        <w:t xml:space="preserve"> </w:t>
      </w:r>
      <w:r w:rsidRPr="003F6059" w:rsidR="0090340C">
        <w:rPr>
          <w:rFonts w:eastAsia="Calibri"/>
        </w:rPr>
        <w:t>x</w:t>
      </w:r>
      <w:r w:rsidR="0090340C">
        <w:rPr>
          <w:rFonts w:eastAsia="Calibri"/>
        </w:rPr>
        <w:t xml:space="preserve"> </w:t>
      </w:r>
      <w:r w:rsidR="007A46EE">
        <w:rPr>
          <w:rFonts w:eastAsia="Calibri"/>
        </w:rPr>
        <w:t>0.5 hr/subgroup</w:t>
      </w:r>
      <w:r w:rsidR="000A7ECC">
        <w:t xml:space="preserve">) </w:t>
      </w:r>
      <w:r w:rsidR="007A46EE">
        <w:t>to</w:t>
      </w:r>
      <w:r w:rsidR="000A7ECC">
        <w:t xml:space="preserve"> </w:t>
      </w:r>
      <w:r w:rsidR="00DA298E">
        <w:t xml:space="preserve">complete the subgroup registration process </w:t>
      </w:r>
      <w:r w:rsidR="00560FDE">
        <w:t>at a cost of</w:t>
      </w:r>
      <w:r w:rsidR="00DA298E">
        <w:t xml:space="preserve"> $952 (</w:t>
      </w:r>
      <w:r w:rsidR="00560FDE">
        <w:t xml:space="preserve">10 hours </w:t>
      </w:r>
      <w:r w:rsidRPr="003F6059" w:rsidR="00560FDE">
        <w:rPr>
          <w:rFonts w:eastAsia="Calibri"/>
        </w:rPr>
        <w:t>x</w:t>
      </w:r>
      <w:r w:rsidR="00560FDE">
        <w:rPr>
          <w:rFonts w:eastAsia="Calibri"/>
        </w:rPr>
        <w:t xml:space="preserve"> 95.22/hr</w:t>
      </w:r>
      <w:r w:rsidR="00DA298E">
        <w:t>)</w:t>
      </w:r>
    </w:p>
    <w:p w:rsidR="00196858" w:rsidP="00E53E05" w:rsidRDefault="00C9198F" w14:paraId="24794FE0" w14:textId="77777777">
      <w:r w:rsidRPr="00871E51">
        <w:t>As all subgroups will report MVPs, the burden associated with subgroup quality reporting will be included with the MVP quality reporting ICR.  Burden associated with subgroup submissions for Promoting Interoperability and improvement activities will be included with those ICRs.</w:t>
      </w:r>
    </w:p>
    <w:p w:rsidRPr="00871E51" w:rsidR="00C9198F" w:rsidP="007F64F4" w:rsidRDefault="00196858" w14:paraId="07CFCA32" w14:textId="7FDC52E0">
      <w:pPr>
        <w:keepNext/>
        <w:keepLines/>
        <w:jc w:val="center"/>
      </w:pPr>
      <w:r w:rsidRPr="00871E51">
        <w:rPr>
          <w:b/>
          <w:bCs/>
        </w:rPr>
        <w:t xml:space="preserve">TABLE </w:t>
      </w:r>
      <w:r>
        <w:rPr>
          <w:b/>
          <w:bCs/>
        </w:rPr>
        <w:t>14</w:t>
      </w:r>
      <w:r w:rsidRPr="00871E51">
        <w:rPr>
          <w:b/>
          <w:bCs/>
        </w:rPr>
        <w:t xml:space="preserve">: </w:t>
      </w:r>
      <w:r>
        <w:rPr>
          <w:b/>
          <w:bCs/>
        </w:rPr>
        <w:t xml:space="preserve"> </w:t>
      </w:r>
      <w:r w:rsidRPr="00871E51">
        <w:rPr>
          <w:b/>
          <w:bCs/>
        </w:rPr>
        <w:t>Total Estimated Burden for Subgroup Registration CY 2023 MIPS Performance Period/2025 MIPS payment year</w:t>
      </w:r>
    </w:p>
    <w:tbl>
      <w:tblPr>
        <w:tblW w:w="9720" w:type="dxa"/>
        <w:tblInd w:w="-10" w:type="dxa"/>
        <w:tblLook w:val="04A0" w:firstRow="1" w:lastRow="0" w:firstColumn="1" w:lastColumn="0" w:noHBand="0" w:noVBand="1"/>
      </w:tblPr>
      <w:tblGrid>
        <w:gridCol w:w="7560"/>
        <w:gridCol w:w="2160"/>
      </w:tblGrid>
      <w:tr w:rsidRPr="00871E51" w:rsidR="00830CFC" w:rsidTr="007F64F4" w14:paraId="182436E2" w14:textId="77777777">
        <w:trPr>
          <w:cantSplit/>
          <w:trHeight w:val="314"/>
          <w:tblHeader/>
        </w:trPr>
        <w:tc>
          <w:tcPr>
            <w:tcW w:w="7560" w:type="dxa"/>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rsidRPr="00EC6F6D" w:rsidR="00830CFC" w:rsidP="007F64F4" w:rsidRDefault="00830CFC" w14:paraId="70DD3538" w14:textId="2E26E69C">
            <w:pPr>
              <w:keepNext/>
              <w:keepLines/>
              <w:jc w:val="center"/>
              <w:rPr>
                <w:b/>
                <w:bCs/>
                <w:color w:val="FFFFFF" w:themeColor="background1"/>
                <w:sz w:val="20"/>
                <w:szCs w:val="20"/>
              </w:rPr>
            </w:pPr>
            <w:r w:rsidRPr="00EC6F6D">
              <w:rPr>
                <w:b/>
                <w:sz w:val="20"/>
                <w:szCs w:val="20"/>
              </w:rPr>
              <w:t>Burden and Respondent Descriptions</w:t>
            </w:r>
          </w:p>
        </w:tc>
        <w:tc>
          <w:tcPr>
            <w:tcW w:w="2160" w:type="dxa"/>
            <w:tcBorders>
              <w:top w:val="single" w:color="auto" w:sz="4" w:space="0"/>
              <w:left w:val="nil"/>
              <w:bottom w:val="single" w:color="auto" w:sz="4" w:space="0"/>
              <w:right w:val="single" w:color="000000" w:sz="8" w:space="0"/>
            </w:tcBorders>
            <w:shd w:val="clear" w:color="auto" w:fill="FFFFFF" w:themeFill="background1"/>
            <w:vAlign w:val="center"/>
          </w:tcPr>
          <w:p w:rsidRPr="00B01445" w:rsidR="00830CFC" w:rsidP="007F64F4" w:rsidRDefault="00830CFC" w14:paraId="714FA971" w14:textId="2D177DCA">
            <w:pPr>
              <w:keepNext/>
              <w:keepLines/>
              <w:jc w:val="center"/>
              <w:rPr>
                <w:b/>
                <w:bCs/>
                <w:sz w:val="20"/>
                <w:szCs w:val="20"/>
              </w:rPr>
            </w:pPr>
            <w:r w:rsidRPr="00EC6F6D">
              <w:rPr>
                <w:b/>
                <w:bCs/>
                <w:sz w:val="20"/>
                <w:szCs w:val="20"/>
              </w:rPr>
              <w:t>Burden</w:t>
            </w:r>
            <w:r w:rsidR="00B01445">
              <w:rPr>
                <w:b/>
                <w:bCs/>
                <w:sz w:val="20"/>
                <w:szCs w:val="20"/>
              </w:rPr>
              <w:t xml:space="preserve"> </w:t>
            </w:r>
            <w:r w:rsidRPr="00EC6F6D">
              <w:rPr>
                <w:b/>
                <w:bCs/>
                <w:sz w:val="20"/>
                <w:szCs w:val="20"/>
              </w:rPr>
              <w:t>Estimate</w:t>
            </w:r>
          </w:p>
        </w:tc>
      </w:tr>
      <w:tr w:rsidRPr="00871E51" w:rsidR="00830CFC" w:rsidTr="007F64F4" w14:paraId="0FB44347" w14:textId="77777777">
        <w:trPr>
          <w:cantSplit/>
          <w:trHeight w:val="323"/>
        </w:trPr>
        <w:tc>
          <w:tcPr>
            <w:tcW w:w="7560" w:type="dxa"/>
            <w:tcBorders>
              <w:top w:val="single" w:color="auto" w:sz="4" w:space="0"/>
              <w:left w:val="single" w:color="000000" w:sz="8" w:space="0"/>
              <w:bottom w:val="single" w:color="auto" w:sz="4" w:space="0"/>
              <w:right w:val="single" w:color="000000" w:sz="8" w:space="0"/>
            </w:tcBorders>
            <w:shd w:val="clear" w:color="auto" w:fill="auto"/>
            <w:vAlign w:val="center"/>
            <w:hideMark/>
          </w:tcPr>
          <w:p w:rsidRPr="00871E51" w:rsidR="00830CFC" w:rsidP="007F64F4" w:rsidRDefault="00830CFC" w14:paraId="405A460E" w14:textId="77777777">
            <w:pPr>
              <w:keepNext/>
              <w:keepLines/>
              <w:rPr>
                <w:color w:val="000000"/>
                <w:sz w:val="20"/>
                <w:szCs w:val="20"/>
              </w:rPr>
            </w:pPr>
            <w:r w:rsidRPr="00871E51">
              <w:rPr>
                <w:color w:val="000000"/>
                <w:sz w:val="20"/>
                <w:szCs w:val="20"/>
              </w:rPr>
              <w:t>Estimated # of Subgroups Registering(a)</w:t>
            </w:r>
          </w:p>
        </w:tc>
        <w:tc>
          <w:tcPr>
            <w:tcW w:w="2160" w:type="dxa"/>
            <w:tcBorders>
              <w:top w:val="single" w:color="auto" w:sz="4" w:space="0"/>
              <w:left w:val="nil"/>
              <w:bottom w:val="single" w:color="auto" w:sz="4" w:space="0"/>
              <w:right w:val="single" w:color="000000" w:sz="8" w:space="0"/>
            </w:tcBorders>
            <w:shd w:val="clear" w:color="auto" w:fill="auto"/>
            <w:vAlign w:val="center"/>
            <w:hideMark/>
          </w:tcPr>
          <w:p w:rsidRPr="00871E51" w:rsidR="00830CFC" w:rsidP="007F64F4" w:rsidRDefault="00830CFC" w14:paraId="623E6BA3" w14:textId="77777777">
            <w:pPr>
              <w:keepNext/>
              <w:keepLines/>
              <w:jc w:val="right"/>
              <w:rPr>
                <w:color w:val="000000"/>
                <w:sz w:val="20"/>
                <w:szCs w:val="20"/>
              </w:rPr>
            </w:pPr>
            <w:r w:rsidRPr="00871E51">
              <w:rPr>
                <w:color w:val="000000"/>
                <w:sz w:val="20"/>
                <w:szCs w:val="20"/>
              </w:rPr>
              <w:t>20</w:t>
            </w:r>
          </w:p>
        </w:tc>
      </w:tr>
      <w:tr w:rsidRPr="00871E51" w:rsidR="00830CFC" w:rsidTr="007F64F4" w14:paraId="6E3918F3" w14:textId="77777777">
        <w:trPr>
          <w:cantSplit/>
          <w:trHeight w:val="440"/>
        </w:trPr>
        <w:tc>
          <w:tcPr>
            <w:tcW w:w="7560" w:type="dxa"/>
            <w:tcBorders>
              <w:top w:val="single" w:color="auto" w:sz="4" w:space="0"/>
              <w:left w:val="single" w:color="000000" w:sz="8" w:space="0"/>
              <w:bottom w:val="single" w:color="000000" w:sz="8" w:space="0"/>
              <w:right w:val="single" w:color="000000" w:sz="8" w:space="0"/>
            </w:tcBorders>
            <w:shd w:val="clear" w:color="auto" w:fill="auto"/>
            <w:vAlign w:val="center"/>
            <w:hideMark/>
          </w:tcPr>
          <w:p w:rsidRPr="00871E51" w:rsidR="00830CFC" w:rsidP="00830CFC" w:rsidRDefault="00830CFC" w14:paraId="1185C653" w14:textId="77777777">
            <w:pPr>
              <w:rPr>
                <w:color w:val="000000"/>
                <w:sz w:val="20"/>
                <w:szCs w:val="20"/>
              </w:rPr>
            </w:pPr>
            <w:r w:rsidRPr="00871E51">
              <w:rPr>
                <w:color w:val="000000"/>
                <w:sz w:val="20"/>
                <w:szCs w:val="20"/>
              </w:rPr>
              <w:t>Estimated Total Annual Burden Hours Per Subgroup (b)</w:t>
            </w:r>
          </w:p>
        </w:tc>
        <w:tc>
          <w:tcPr>
            <w:tcW w:w="2160" w:type="dxa"/>
            <w:tcBorders>
              <w:top w:val="single" w:color="auto" w:sz="4" w:space="0"/>
              <w:left w:val="nil"/>
              <w:bottom w:val="single" w:color="000000" w:sz="8" w:space="0"/>
              <w:right w:val="single" w:color="000000" w:sz="8" w:space="0"/>
            </w:tcBorders>
            <w:shd w:val="clear" w:color="auto" w:fill="auto"/>
            <w:vAlign w:val="center"/>
            <w:hideMark/>
          </w:tcPr>
          <w:p w:rsidRPr="00871E51" w:rsidR="00830CFC" w:rsidP="00830CFC" w:rsidRDefault="00830CFC" w14:paraId="54161539" w14:textId="77777777">
            <w:pPr>
              <w:jc w:val="right"/>
              <w:rPr>
                <w:color w:val="000000"/>
                <w:sz w:val="20"/>
                <w:szCs w:val="20"/>
              </w:rPr>
            </w:pPr>
            <w:r w:rsidRPr="00871E51">
              <w:rPr>
                <w:color w:val="000000"/>
                <w:sz w:val="20"/>
                <w:szCs w:val="20"/>
              </w:rPr>
              <w:t xml:space="preserve">0.5 </w:t>
            </w:r>
          </w:p>
        </w:tc>
      </w:tr>
      <w:tr w:rsidRPr="00871E51" w:rsidR="00830CFC" w:rsidTr="007F64F4" w14:paraId="023BBBBA" w14:textId="77777777">
        <w:trPr>
          <w:cantSplit/>
          <w:trHeight w:val="430"/>
        </w:trPr>
        <w:tc>
          <w:tcPr>
            <w:tcW w:w="7560" w:type="dxa"/>
            <w:tcBorders>
              <w:top w:val="nil"/>
              <w:left w:val="single" w:color="000000" w:sz="8" w:space="0"/>
              <w:bottom w:val="single" w:color="000000" w:sz="8" w:space="0"/>
              <w:right w:val="single" w:color="000000" w:sz="8" w:space="0"/>
            </w:tcBorders>
            <w:shd w:val="clear" w:color="000000" w:fill="D9D9D9"/>
            <w:vAlign w:val="center"/>
            <w:hideMark/>
          </w:tcPr>
          <w:p w:rsidRPr="00871E51" w:rsidR="00830CFC" w:rsidP="00830CFC" w:rsidRDefault="00830CFC" w14:paraId="1F7F1C0A" w14:textId="77777777">
            <w:pPr>
              <w:rPr>
                <w:b/>
                <w:bCs/>
                <w:color w:val="000000"/>
                <w:sz w:val="20"/>
                <w:szCs w:val="20"/>
              </w:rPr>
            </w:pPr>
            <w:r w:rsidRPr="00871E51">
              <w:rPr>
                <w:b/>
                <w:bCs/>
                <w:color w:val="000000"/>
                <w:sz w:val="20"/>
                <w:szCs w:val="20"/>
              </w:rPr>
              <w:t>Estimated Total Annual Burden Hours for Subgroup Reporting (c) = (a) * (b)</w:t>
            </w:r>
          </w:p>
        </w:tc>
        <w:tc>
          <w:tcPr>
            <w:tcW w:w="2160" w:type="dxa"/>
            <w:tcBorders>
              <w:top w:val="nil"/>
              <w:left w:val="nil"/>
              <w:bottom w:val="single" w:color="000000" w:sz="8" w:space="0"/>
              <w:right w:val="single" w:color="000000" w:sz="8" w:space="0"/>
            </w:tcBorders>
            <w:shd w:val="clear" w:color="000000" w:fill="D9D9D9"/>
            <w:vAlign w:val="center"/>
            <w:hideMark/>
          </w:tcPr>
          <w:p w:rsidRPr="00871E51" w:rsidR="00830CFC" w:rsidP="00830CFC" w:rsidRDefault="00830CFC" w14:paraId="6A63658D" w14:textId="77777777">
            <w:pPr>
              <w:jc w:val="right"/>
              <w:rPr>
                <w:b/>
                <w:bCs/>
                <w:color w:val="000000"/>
                <w:sz w:val="20"/>
                <w:szCs w:val="20"/>
              </w:rPr>
            </w:pPr>
            <w:r w:rsidRPr="00871E51">
              <w:rPr>
                <w:b/>
                <w:bCs/>
                <w:color w:val="000000"/>
                <w:sz w:val="20"/>
                <w:szCs w:val="20"/>
              </w:rPr>
              <w:t>10</w:t>
            </w:r>
          </w:p>
        </w:tc>
      </w:tr>
      <w:tr w:rsidRPr="00871E51" w:rsidR="00830CFC" w:rsidTr="007F64F4" w14:paraId="4241A94B" w14:textId="77777777">
        <w:trPr>
          <w:cantSplit/>
          <w:trHeight w:val="583"/>
        </w:trPr>
        <w:tc>
          <w:tcPr>
            <w:tcW w:w="7560" w:type="dxa"/>
            <w:tcBorders>
              <w:top w:val="nil"/>
              <w:left w:val="single" w:color="000000" w:sz="8" w:space="0"/>
              <w:bottom w:val="single" w:color="000000" w:sz="8" w:space="0"/>
              <w:right w:val="single" w:color="000000" w:sz="8" w:space="0"/>
            </w:tcBorders>
            <w:shd w:val="clear" w:color="auto" w:fill="auto"/>
            <w:vAlign w:val="center"/>
            <w:hideMark/>
          </w:tcPr>
          <w:p w:rsidRPr="00871E51" w:rsidR="00830CFC" w:rsidP="00830CFC" w:rsidRDefault="00830CFC" w14:paraId="489D7874" w14:textId="77777777">
            <w:pPr>
              <w:rPr>
                <w:color w:val="000000"/>
                <w:sz w:val="20"/>
                <w:szCs w:val="20"/>
              </w:rPr>
            </w:pPr>
            <w:r w:rsidRPr="00871E51">
              <w:rPr>
                <w:color w:val="000000"/>
                <w:sz w:val="20"/>
                <w:szCs w:val="20"/>
              </w:rPr>
              <w:t>Estimated Cost Per Subgroup (@ computer systems analyst’s labor rate of $95.22/hr. (d)</w:t>
            </w:r>
          </w:p>
        </w:tc>
        <w:tc>
          <w:tcPr>
            <w:tcW w:w="2160" w:type="dxa"/>
            <w:tcBorders>
              <w:top w:val="nil"/>
              <w:left w:val="nil"/>
              <w:bottom w:val="single" w:color="000000" w:sz="8" w:space="0"/>
              <w:right w:val="single" w:color="000000" w:sz="8" w:space="0"/>
            </w:tcBorders>
            <w:shd w:val="clear" w:color="auto" w:fill="auto"/>
            <w:vAlign w:val="center"/>
            <w:hideMark/>
          </w:tcPr>
          <w:p w:rsidRPr="00871E51" w:rsidR="00830CFC" w:rsidP="00830CFC" w:rsidRDefault="00830CFC" w14:paraId="5C22E896" w14:textId="77777777">
            <w:pPr>
              <w:jc w:val="right"/>
              <w:rPr>
                <w:color w:val="000000"/>
                <w:sz w:val="20"/>
                <w:szCs w:val="20"/>
              </w:rPr>
            </w:pPr>
            <w:r w:rsidRPr="00871E51">
              <w:rPr>
                <w:color w:val="000000"/>
                <w:sz w:val="20"/>
                <w:szCs w:val="20"/>
              </w:rPr>
              <w:t>$95.22</w:t>
            </w:r>
          </w:p>
        </w:tc>
      </w:tr>
      <w:tr w:rsidRPr="00871E51" w:rsidR="00830CFC" w:rsidTr="007F64F4" w14:paraId="7438E47C" w14:textId="77777777">
        <w:trPr>
          <w:cantSplit/>
          <w:trHeight w:val="520"/>
        </w:trPr>
        <w:tc>
          <w:tcPr>
            <w:tcW w:w="7560" w:type="dxa"/>
            <w:tcBorders>
              <w:top w:val="nil"/>
              <w:left w:val="single" w:color="000000" w:sz="8" w:space="0"/>
              <w:bottom w:val="single" w:color="000000" w:sz="8" w:space="0"/>
              <w:right w:val="single" w:color="000000" w:sz="8" w:space="0"/>
            </w:tcBorders>
            <w:shd w:val="clear" w:color="000000" w:fill="D9D9D9"/>
            <w:vAlign w:val="center"/>
            <w:hideMark/>
          </w:tcPr>
          <w:p w:rsidRPr="00871E51" w:rsidR="00830CFC" w:rsidP="00830CFC" w:rsidRDefault="00830CFC" w14:paraId="6C08842D" w14:textId="77777777">
            <w:pPr>
              <w:rPr>
                <w:b/>
                <w:bCs/>
                <w:color w:val="000000"/>
                <w:sz w:val="20"/>
                <w:szCs w:val="20"/>
              </w:rPr>
            </w:pPr>
            <w:r w:rsidRPr="00871E51">
              <w:rPr>
                <w:b/>
                <w:bCs/>
                <w:color w:val="000000"/>
                <w:sz w:val="20"/>
                <w:szCs w:val="20"/>
              </w:rPr>
              <w:t>Estimated Total Annual Burden Cost for Subgroup Registration (e) = (a) * (d)</w:t>
            </w:r>
          </w:p>
        </w:tc>
        <w:tc>
          <w:tcPr>
            <w:tcW w:w="2160" w:type="dxa"/>
            <w:tcBorders>
              <w:top w:val="nil"/>
              <w:left w:val="nil"/>
              <w:bottom w:val="single" w:color="000000" w:sz="8" w:space="0"/>
              <w:right w:val="single" w:color="000000" w:sz="8" w:space="0"/>
            </w:tcBorders>
            <w:shd w:val="clear" w:color="000000" w:fill="D9D9D9"/>
            <w:vAlign w:val="center"/>
            <w:hideMark/>
          </w:tcPr>
          <w:p w:rsidRPr="00871E51" w:rsidR="00830CFC" w:rsidP="00830CFC" w:rsidRDefault="00830CFC" w14:paraId="1DC39BB3" w14:textId="77777777">
            <w:pPr>
              <w:jc w:val="right"/>
              <w:rPr>
                <w:b/>
                <w:bCs/>
                <w:color w:val="000000"/>
                <w:sz w:val="20"/>
                <w:szCs w:val="20"/>
              </w:rPr>
            </w:pPr>
            <w:r w:rsidRPr="00871E51">
              <w:rPr>
                <w:b/>
                <w:bCs/>
                <w:color w:val="000000"/>
                <w:sz w:val="20"/>
                <w:szCs w:val="20"/>
              </w:rPr>
              <w:t>$952</w:t>
            </w:r>
          </w:p>
        </w:tc>
      </w:tr>
    </w:tbl>
    <w:p w:rsidR="00797709" w:rsidP="00797709" w:rsidRDefault="00797709" w14:paraId="4331B91C" w14:textId="24C44148"/>
    <w:p w:rsidRPr="00871E51" w:rsidR="00653648" w:rsidP="00E53E05" w:rsidRDefault="0068120C" w14:paraId="18092C8B" w14:textId="18B7A5C0">
      <w:pPr>
        <w:pStyle w:val="Heading3"/>
        <w:numPr>
          <w:ilvl w:val="0"/>
          <w:numId w:val="0"/>
        </w:numPr>
        <w:ind w:left="2160"/>
      </w:pPr>
      <w:r>
        <w:t>iii</w:t>
      </w:r>
      <w:r w:rsidR="00E73765">
        <w:t xml:space="preserve">  </w:t>
      </w:r>
      <w:r>
        <w:t xml:space="preserve"> </w:t>
      </w:r>
      <w:r w:rsidRPr="00871E51" w:rsidR="00653648">
        <w:rPr>
          <w:szCs w:val="24"/>
        </w:rPr>
        <w:t xml:space="preserve">Burden for MVP Quality Performance Category Submission  </w:t>
      </w:r>
    </w:p>
    <w:p w:rsidRPr="00871E51" w:rsidR="00E8757B" w:rsidP="00E53E05" w:rsidRDefault="00E8757B" w14:paraId="2F2856EF" w14:textId="23CC3052">
      <w:r w:rsidRPr="00871E51">
        <w:t xml:space="preserve">In the CY 2017 PFS final rule </w:t>
      </w:r>
      <w:r w:rsidRPr="00871E51">
        <w:rPr>
          <w:color w:val="333333"/>
          <w:shd w:val="clear" w:color="auto" w:fill="FFFFFF"/>
        </w:rPr>
        <w:t>(81 FR 77100 through 77114)</w:t>
      </w:r>
      <w:r w:rsidRPr="00871E51">
        <w:t>, we established the submission criteria for quality measures (excluding the CMS Web Interface measures and the CAHPS for MIPS survey measure) at § 414.1335, which requires a MIPS eligible clinician, group, or virtual group that is reporting on Qualified Clinical Data Registry (QCDR) measures, MIPS clinical quality measures (MIPS CQMs), electronic CQMs (eCQMs), or Medicare Part B claims measures to submit data on at least six measures, including at least one outcome measure. As discussed in th</w:t>
      </w:r>
      <w:r w:rsidR="00376ED6">
        <w:t>e CY 2022 PFS</w:t>
      </w:r>
      <w:r w:rsidRPr="00871E51">
        <w:t xml:space="preserve"> proposed rule</w:t>
      </w:r>
      <w:r w:rsidR="0006119E">
        <w:t xml:space="preserve"> (86 FR 39370 through 39371)</w:t>
      </w:r>
      <w:r w:rsidRPr="00871E51">
        <w:t xml:space="preserve">, we propose that except as provided in paragraph § 414.1365(c)(1)(i), an MVP Participant must select and report 4 quality measures, including 1 outcome measure (or, if an outcome measure is not available, 1 high priority measure, included in the MVP.  The decrease in the number of required measures in the quality performance category from 6 to 4 is a two-thirds reduction in the number of measures needed for eligible clinicians to submit data for the quality performance category in MVPs described in Appendix 3: MVP Inventory of </w:t>
      </w:r>
      <w:r w:rsidRPr="00871E51" w:rsidR="00314BFB">
        <w:t>th</w:t>
      </w:r>
      <w:r w:rsidR="00314BFB">
        <w:t>e CY 2022 PFS proposed</w:t>
      </w:r>
      <w:r w:rsidRPr="00871E51" w:rsidR="00314BFB">
        <w:t xml:space="preserve"> rule</w:t>
      </w:r>
      <w:r w:rsidRPr="00871E51">
        <w:t xml:space="preserve">.  Therefore, we estimate that the time for submitting the measures in the MVP quality performance category will, on average, take two-thirds of the currently approved burden per respondent for the quality performance category as it does to complete a MIPS quality submission through the CQM, eCQM, and Claims submission types.  </w:t>
      </w:r>
    </w:p>
    <w:p w:rsidRPr="00871E51" w:rsidR="00E8757B" w:rsidP="00E53E05" w:rsidRDefault="00A40EDC" w14:paraId="399BD555" w14:textId="6B666EFC">
      <w:pPr>
        <w:widowControl w:val="0"/>
        <w:rPr>
          <w:rFonts w:eastAsia="Calibri"/>
        </w:rPr>
      </w:pPr>
      <w:r w:rsidRPr="00871E51">
        <w:t>Based on our review of the proposed inventory of 7 MVPs in Appendix 3: MVP Inventory of th</w:t>
      </w:r>
      <w:r>
        <w:t>e CY 2022 PFS proposed</w:t>
      </w:r>
      <w:r w:rsidRPr="00871E51">
        <w:t xml:space="preserve"> rule</w:t>
      </w:r>
      <w:r>
        <w:t>,</w:t>
      </w:r>
      <w:r w:rsidRPr="00871E51">
        <w:t xml:space="preserve"> and the existing submission trends in MIPS for the measures and activities included in these MVPs, we anticipate that 10 percent of the clinicians who participate in traditional MIPS in the CY 2022 MIPS performance period/2024 MIPS payment year will report MVPs in the CY 2023 MIPS performance period/2025 MIPS payment year.  Given that MVPs are new, voluntary, and represent a reduction in burden per response, we believe that we </w:t>
      </w:r>
      <w:r w:rsidRPr="00871E51">
        <w:lastRenderedPageBreak/>
        <w:t>should be conservative in estimating the number of clinicians submitting through MVPs during the initial year.  Given that MVPs are a new mechanism available for clinicians, we believe that initial participation numbers will be relatively low.  In an effort to be conservative in our estimate of burden reduction due to MVP reporting and reflect the anticipate low uptake by clinicians in the first year of MVP availability,</w:t>
      </w:r>
      <w:r w:rsidR="00484BF1">
        <w:t xml:space="preserve"> </w:t>
      </w:r>
      <w:r w:rsidRPr="00871E51" w:rsidR="00E8757B">
        <w:rPr>
          <w:rFonts w:eastAsia="Calibri"/>
        </w:rPr>
        <w:t>we estimate that 10 percent of the clinicians who participated in MIPS for the CY 2019 MIPS performance period/2021 MIPS payment year</w:t>
      </w:r>
      <w:r w:rsidR="00221A67">
        <w:rPr>
          <w:rFonts w:eastAsia="Calibri"/>
        </w:rPr>
        <w:t xml:space="preserve">, and </w:t>
      </w:r>
      <w:r w:rsidRPr="00871E51" w:rsidR="00221A67">
        <w:rPr>
          <w:rFonts w:eastAsia="Calibri"/>
        </w:rPr>
        <w:t xml:space="preserve">20 subgroups </w:t>
      </w:r>
      <w:r w:rsidRPr="00871E51" w:rsidR="00E8757B">
        <w:rPr>
          <w:rFonts w:eastAsia="Calibri"/>
        </w:rPr>
        <w:t>would submit data for the quality performance category of MVPs beginning with the CY 2023 MIPS performance period/2</w:t>
      </w:r>
      <w:r w:rsidRPr="00871E51" w:rsidR="00E8757B">
        <w:t>025 MIPS payment year</w:t>
      </w:r>
      <w:r w:rsidRPr="00871E51" w:rsidR="00E8757B">
        <w:rPr>
          <w:rFonts w:eastAsia="Calibri"/>
        </w:rPr>
        <w:t xml:space="preserve">.  As shown in </w:t>
      </w:r>
      <w:r w:rsidR="00E8757B">
        <w:rPr>
          <w:rFonts w:eastAsia="Calibri"/>
        </w:rPr>
        <w:t>T</w:t>
      </w:r>
      <w:r w:rsidRPr="00871E51" w:rsidR="00E8757B">
        <w:rPr>
          <w:rFonts w:eastAsia="Calibri"/>
        </w:rPr>
        <w:t>able</w:t>
      </w:r>
      <w:r w:rsidR="00E0487C">
        <w:rPr>
          <w:rFonts w:eastAsia="Calibri"/>
        </w:rPr>
        <w:t xml:space="preserve"> 15</w:t>
      </w:r>
      <w:r w:rsidRPr="00871E51" w:rsidR="00E8757B">
        <w:rPr>
          <w:rFonts w:eastAsia="Calibri"/>
        </w:rPr>
        <w:t>, we estimate that approximately 2,825 clinicians would submit data for the MVP quality performance category using the Medicare Part B claims collection type; approximately 5,210 clinicians and 10 subgroups will submit data using MIPS CQM and QCDR collection type; and approximately 4,862 clinicians and 10 subgroups will submit data using eCQMs collection type.  We want to note that we used the same methodologies used</w:t>
      </w:r>
      <w:r w:rsidR="002A53B5">
        <w:rPr>
          <w:rFonts w:eastAsia="Calibri"/>
        </w:rPr>
        <w:t xml:space="preserve"> for </w:t>
      </w:r>
      <w:r w:rsidR="003E5575">
        <w:rPr>
          <w:rFonts w:eastAsia="Calibri"/>
        </w:rPr>
        <w:t>information collection regarding quality data submission</w:t>
      </w:r>
      <w:r w:rsidRPr="00871E51" w:rsidR="00E8757B">
        <w:rPr>
          <w:rFonts w:eastAsia="Calibri"/>
        </w:rPr>
        <w:t xml:space="preserve"> in </w:t>
      </w:r>
      <w:r w:rsidR="002A53B5">
        <w:rPr>
          <w:rFonts w:eastAsia="Calibri"/>
        </w:rPr>
        <w:t xml:space="preserve">CY 2021 PFS final rule </w:t>
      </w:r>
      <w:r w:rsidR="00437D43">
        <w:rPr>
          <w:rFonts w:eastAsia="Calibri"/>
        </w:rPr>
        <w:t xml:space="preserve">(85 FR 84970 through </w:t>
      </w:r>
      <w:r w:rsidR="00985EA3">
        <w:rPr>
          <w:rFonts w:eastAsia="Calibri"/>
        </w:rPr>
        <w:t>85 FR 84980</w:t>
      </w:r>
      <w:r w:rsidR="00A02764">
        <w:rPr>
          <w:rFonts w:eastAsia="Calibri"/>
        </w:rPr>
        <w:t>)</w:t>
      </w:r>
      <w:r w:rsidRPr="00871E51" w:rsidDel="00985EA3" w:rsidR="00A02764">
        <w:rPr>
          <w:rFonts w:eastAsia="Calibri"/>
        </w:rPr>
        <w:t xml:space="preserve"> </w:t>
      </w:r>
      <w:r w:rsidR="00A02764">
        <w:rPr>
          <w:rFonts w:eastAsia="Calibri"/>
        </w:rPr>
        <w:t>to</w:t>
      </w:r>
      <w:r w:rsidRPr="00871E51" w:rsidR="00E8757B">
        <w:rPr>
          <w:rFonts w:eastAsia="Calibri"/>
        </w:rPr>
        <w:t xml:space="preserve"> estimate the quality submission burden for each</w:t>
      </w:r>
      <w:r w:rsidR="00E8757B">
        <w:rPr>
          <w:rFonts w:eastAsia="Calibri"/>
        </w:rPr>
        <w:t xml:space="preserve"> collection type.  As shown in T</w:t>
      </w:r>
      <w:r w:rsidRPr="00871E51" w:rsidR="00E8757B">
        <w:rPr>
          <w:rFonts w:eastAsia="Calibri"/>
        </w:rPr>
        <w:t xml:space="preserve">able </w:t>
      </w:r>
      <w:r w:rsidR="00A1497D">
        <w:rPr>
          <w:rFonts w:eastAsia="Calibri"/>
        </w:rPr>
        <w:t>15</w:t>
      </w:r>
      <w:r w:rsidRPr="00871E51" w:rsidR="00E8757B">
        <w:rPr>
          <w:rFonts w:eastAsia="Calibri"/>
        </w:rPr>
        <w:t>, for the clinicians and subgroups submitting data for the MVP quality performance category, we estimate a burden of 26,</w:t>
      </w:r>
      <w:r w:rsidR="00EB06F2">
        <w:rPr>
          <w:rFonts w:eastAsia="Calibri"/>
        </w:rPr>
        <w:t>688</w:t>
      </w:r>
      <w:r w:rsidRPr="00871E51" w:rsidR="00E8757B">
        <w:rPr>
          <w:rFonts w:eastAsia="Calibri"/>
        </w:rPr>
        <w:t xml:space="preserve"> hours (9.</w:t>
      </w:r>
      <w:r w:rsidR="00EB06F2">
        <w:rPr>
          <w:rFonts w:eastAsia="Calibri"/>
        </w:rPr>
        <w:t>44</w:t>
      </w:r>
      <w:r w:rsidRPr="00871E51" w:rsidR="00E8757B">
        <w:rPr>
          <w:rFonts w:eastAsia="Calibri"/>
        </w:rPr>
        <w:t xml:space="preserve"> hr x 2,825 clinicians) at a cost of $2,</w:t>
      </w:r>
      <w:r w:rsidR="00E8757B">
        <w:rPr>
          <w:rFonts w:eastAsia="Calibri"/>
        </w:rPr>
        <w:t>691,329</w:t>
      </w:r>
      <w:r w:rsidRPr="00871E51" w:rsidR="00E8757B">
        <w:rPr>
          <w:rFonts w:eastAsia="Calibri"/>
        </w:rPr>
        <w:t xml:space="preserve"> (2,825</w:t>
      </w:r>
      <w:r w:rsidR="00E8757B">
        <w:rPr>
          <w:rFonts w:eastAsia="Calibri"/>
        </w:rPr>
        <w:t xml:space="preserve"> respondents</w:t>
      </w:r>
      <w:r w:rsidRPr="00871E51" w:rsidR="00E8757B">
        <w:rPr>
          <w:rFonts w:eastAsia="Calibri"/>
        </w:rPr>
        <w:t xml:space="preserve"> x 9</w:t>
      </w:r>
      <w:r w:rsidR="00E8757B">
        <w:rPr>
          <w:rFonts w:eastAsia="Calibri"/>
        </w:rPr>
        <w:t>52.68</w:t>
      </w:r>
      <w:r w:rsidRPr="00871E51" w:rsidR="00E8757B">
        <w:rPr>
          <w:rFonts w:eastAsia="Calibri"/>
        </w:rPr>
        <w:t>/respondent) for the Medicare Part B claims collection type, 31,</w:t>
      </w:r>
      <w:r w:rsidR="00980D0A">
        <w:rPr>
          <w:rFonts w:eastAsia="Calibri"/>
        </w:rPr>
        <w:t>163</w:t>
      </w:r>
      <w:r w:rsidRPr="00871E51" w:rsidR="00E8757B">
        <w:rPr>
          <w:rFonts w:eastAsia="Calibri"/>
        </w:rPr>
        <w:t xml:space="preserve"> hours [</w:t>
      </w:r>
      <w:r w:rsidR="00980D0A">
        <w:rPr>
          <w:rFonts w:eastAsia="Calibri"/>
        </w:rPr>
        <w:t>5.97</w:t>
      </w:r>
      <w:r w:rsidRPr="00871E51" w:rsidR="00E8757B">
        <w:rPr>
          <w:rFonts w:eastAsia="Calibri"/>
        </w:rPr>
        <w:t xml:space="preserve"> hr x </w:t>
      </w:r>
      <w:r w:rsidR="00E8757B">
        <w:rPr>
          <w:rFonts w:eastAsia="Calibri"/>
        </w:rPr>
        <w:t xml:space="preserve">5,220 </w:t>
      </w:r>
      <w:r w:rsidRPr="00871E51" w:rsidR="00E8757B">
        <w:rPr>
          <w:rFonts w:eastAsia="Calibri"/>
        </w:rPr>
        <w:t>(5,210 +10)] at a cost of $3,</w:t>
      </w:r>
      <w:r w:rsidR="00E8757B">
        <w:rPr>
          <w:rFonts w:eastAsia="Calibri"/>
        </w:rPr>
        <w:t>211,216</w:t>
      </w:r>
      <w:r w:rsidRPr="00871E51" w:rsidR="00E8757B">
        <w:rPr>
          <w:rFonts w:eastAsia="Calibri"/>
        </w:rPr>
        <w:t xml:space="preserve"> (5,220 x 6</w:t>
      </w:r>
      <w:r w:rsidR="00E8757B">
        <w:rPr>
          <w:rFonts w:eastAsia="Calibri"/>
        </w:rPr>
        <w:t>15.18</w:t>
      </w:r>
      <w:r w:rsidRPr="00871E51" w:rsidR="00E8757B">
        <w:rPr>
          <w:rFonts w:eastAsia="Calibri"/>
        </w:rPr>
        <w:t>/respondent) for the MIPS CQM and QCDR collection type, and 25,</w:t>
      </w:r>
      <w:r w:rsidR="00870F6A">
        <w:rPr>
          <w:rFonts w:eastAsia="Calibri"/>
        </w:rPr>
        <w:t>822</w:t>
      </w:r>
      <w:r w:rsidRPr="00871E51" w:rsidR="00E8757B">
        <w:rPr>
          <w:rFonts w:eastAsia="Calibri"/>
        </w:rPr>
        <w:t xml:space="preserve"> hours [5.3 hr x</w:t>
      </w:r>
      <w:r w:rsidR="00E8757B">
        <w:rPr>
          <w:rFonts w:eastAsia="Calibri"/>
        </w:rPr>
        <w:t xml:space="preserve"> 4,872</w:t>
      </w:r>
      <w:r w:rsidRPr="00871E51" w:rsidR="00E8757B">
        <w:rPr>
          <w:rFonts w:eastAsia="Calibri"/>
        </w:rPr>
        <w:t xml:space="preserve"> (4,862 +10)</w:t>
      </w:r>
      <w:r w:rsidR="00E8757B">
        <w:rPr>
          <w:rFonts w:eastAsia="Calibri"/>
        </w:rPr>
        <w:t xml:space="preserve"> respondents</w:t>
      </w:r>
      <w:r w:rsidRPr="00871E51" w:rsidR="00E8757B">
        <w:rPr>
          <w:rFonts w:eastAsia="Calibri"/>
        </w:rPr>
        <w:t>] at a cost of $2,6</w:t>
      </w:r>
      <w:r w:rsidR="00E8757B">
        <w:rPr>
          <w:rFonts w:eastAsia="Calibri"/>
        </w:rPr>
        <w:t>62,191</w:t>
      </w:r>
      <w:r w:rsidRPr="00871E51" w:rsidR="00E8757B">
        <w:rPr>
          <w:rFonts w:eastAsia="Calibri"/>
        </w:rPr>
        <w:t xml:space="preserve"> (4,872 x 5</w:t>
      </w:r>
      <w:r w:rsidR="00E8757B">
        <w:rPr>
          <w:rFonts w:eastAsia="Calibri"/>
        </w:rPr>
        <w:t>46.43</w:t>
      </w:r>
      <w:r w:rsidRPr="00871E51" w:rsidR="00E8757B">
        <w:rPr>
          <w:rFonts w:eastAsia="Calibri"/>
        </w:rPr>
        <w:t>/respondent) for the eCQM collection types.</w:t>
      </w:r>
    </w:p>
    <w:p w:rsidRPr="00797709" w:rsidR="00797709" w:rsidP="00E53E05" w:rsidRDefault="00797709" w14:paraId="2D62D27C" w14:textId="77777777"/>
    <w:p w:rsidRPr="00871E51" w:rsidR="00067362" w:rsidP="00F37138" w:rsidRDefault="00067362" w14:paraId="376BB722" w14:textId="03FF35BE">
      <w:pPr>
        <w:widowControl w:val="0"/>
        <w:jc w:val="center"/>
        <w:rPr>
          <w:rFonts w:eastAsia="Calibri"/>
          <w:b/>
          <w:bCs/>
        </w:rPr>
      </w:pPr>
      <w:r w:rsidRPr="00B572F2">
        <w:rPr>
          <w:rFonts w:eastAsia="Calibri"/>
          <w:b/>
          <w:bCs/>
        </w:rPr>
        <w:t xml:space="preserve">TABLE </w:t>
      </w:r>
      <w:r>
        <w:rPr>
          <w:rFonts w:eastAsia="Calibri"/>
          <w:b/>
        </w:rPr>
        <w:t>15</w:t>
      </w:r>
      <w:r w:rsidRPr="00B572F2">
        <w:rPr>
          <w:rFonts w:eastAsia="Calibri"/>
          <w:b/>
          <w:bCs/>
        </w:rPr>
        <w:t>:  Estimated Burden for Quality Performance Category: Clinicians Submitting Data for MVPs in CY 2023</w:t>
      </w:r>
    </w:p>
    <w:tbl>
      <w:tblPr>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10"/>
        <w:gridCol w:w="1170"/>
        <w:gridCol w:w="1440"/>
        <w:gridCol w:w="1235"/>
      </w:tblGrid>
      <w:tr w:rsidRPr="00871E51" w:rsidR="00067362" w:rsidTr="007F64F4" w14:paraId="73F0C4FF" w14:textId="77777777">
        <w:trPr>
          <w:trHeight w:val="836"/>
          <w:tblHeader/>
          <w:jc w:val="center"/>
        </w:trPr>
        <w:tc>
          <w:tcPr>
            <w:tcW w:w="62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EC6F6D" w:rsidR="00067362" w:rsidP="00F37138" w:rsidRDefault="00EC6F6D" w14:paraId="3A5D6B05" w14:textId="71C9AFF9">
            <w:pPr>
              <w:widowControl w:val="0"/>
              <w:rPr>
                <w:rFonts w:eastAsia="Calibri"/>
                <w:b/>
                <w:bCs/>
                <w:sz w:val="20"/>
                <w:szCs w:val="20"/>
              </w:rPr>
            </w:pPr>
            <w:r w:rsidRPr="00EC6F6D">
              <w:rPr>
                <w:rFonts w:eastAsia="Calibri"/>
                <w:b/>
                <w:bCs/>
                <w:sz w:val="20"/>
                <w:szCs w:val="20"/>
              </w:rPr>
              <w:t>Burden and Respondent Descriptions</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71E51" w:rsidR="00067362" w:rsidP="007F64F4" w:rsidRDefault="00067362" w14:paraId="2CDF6639" w14:textId="77777777">
            <w:pPr>
              <w:widowControl w:val="0"/>
              <w:jc w:val="center"/>
              <w:rPr>
                <w:rFonts w:eastAsia="Calibri"/>
                <w:b/>
                <w:bCs/>
                <w:sz w:val="20"/>
                <w:szCs w:val="20"/>
              </w:rPr>
            </w:pPr>
            <w:r w:rsidRPr="00871E51">
              <w:rPr>
                <w:rFonts w:eastAsia="Calibri"/>
                <w:b/>
                <w:bCs/>
                <w:sz w:val="20"/>
                <w:szCs w:val="20"/>
              </w:rPr>
              <w:t>eCQM Collection Type</w:t>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71E51" w:rsidR="00067362" w:rsidP="00F37138" w:rsidRDefault="00067362" w14:paraId="11617685" w14:textId="77777777">
            <w:pPr>
              <w:widowControl w:val="0"/>
              <w:jc w:val="center"/>
              <w:rPr>
                <w:rFonts w:eastAsia="Calibri"/>
                <w:b/>
                <w:bCs/>
                <w:sz w:val="20"/>
                <w:szCs w:val="20"/>
              </w:rPr>
            </w:pPr>
            <w:r w:rsidRPr="00871E51">
              <w:rPr>
                <w:rFonts w:eastAsia="Calibri"/>
                <w:b/>
                <w:bCs/>
                <w:sz w:val="20"/>
                <w:szCs w:val="20"/>
              </w:rPr>
              <w:t>CQM and QCDR Collection Type</w:t>
            </w:r>
          </w:p>
        </w:tc>
        <w:tc>
          <w:tcPr>
            <w:tcW w:w="12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71E51" w:rsidR="00067362" w:rsidP="00F37138" w:rsidRDefault="00067362" w14:paraId="630C8FAD" w14:textId="77777777">
            <w:pPr>
              <w:widowControl w:val="0"/>
              <w:jc w:val="center"/>
              <w:rPr>
                <w:rFonts w:eastAsia="Calibri"/>
                <w:b/>
                <w:bCs/>
                <w:sz w:val="20"/>
                <w:szCs w:val="20"/>
              </w:rPr>
            </w:pPr>
            <w:r w:rsidRPr="00871E51">
              <w:rPr>
                <w:rFonts w:eastAsia="Calibri"/>
                <w:b/>
                <w:bCs/>
                <w:sz w:val="20"/>
                <w:szCs w:val="20"/>
              </w:rPr>
              <w:t>Claims Collection Type</w:t>
            </w:r>
          </w:p>
        </w:tc>
      </w:tr>
      <w:tr w:rsidRPr="00871E51" w:rsidR="00067362" w:rsidTr="007F64F4" w14:paraId="07194DE9"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F37138" w:rsidRDefault="00067362" w14:paraId="76C27314" w14:textId="77777777">
            <w:pPr>
              <w:widowControl w:val="0"/>
              <w:rPr>
                <w:rFonts w:eastAsia="Calibri"/>
                <w:sz w:val="20"/>
                <w:szCs w:val="20"/>
              </w:rPr>
            </w:pPr>
            <w:r w:rsidRPr="00871E51">
              <w:rPr>
                <w:rFonts w:eastAsia="Calibri"/>
                <w:sz w:val="20"/>
                <w:szCs w:val="20"/>
              </w:rPr>
              <w:t># of Submissions from pre-existing collection types (a)</w:t>
            </w:r>
          </w:p>
        </w:tc>
        <w:tc>
          <w:tcPr>
            <w:tcW w:w="1170" w:type="dxa"/>
            <w:tcBorders>
              <w:top w:val="single" w:color="auto" w:sz="4" w:space="0"/>
              <w:left w:val="single" w:color="auto" w:sz="4" w:space="0"/>
              <w:bottom w:val="single" w:color="auto" w:sz="4" w:space="0"/>
              <w:right w:val="single" w:color="auto" w:sz="4" w:space="0"/>
            </w:tcBorders>
            <w:noWrap/>
            <w:hideMark/>
          </w:tcPr>
          <w:p w:rsidRPr="00871E51" w:rsidR="00067362" w:rsidP="00F37138" w:rsidRDefault="00067362" w14:paraId="1CC5BDA1" w14:textId="77777777">
            <w:pPr>
              <w:widowControl w:val="0"/>
              <w:jc w:val="right"/>
              <w:rPr>
                <w:rFonts w:eastAsia="Calibri"/>
                <w:sz w:val="20"/>
                <w:szCs w:val="20"/>
              </w:rPr>
            </w:pPr>
            <w:r w:rsidRPr="00871E51">
              <w:rPr>
                <w:sz w:val="20"/>
                <w:szCs w:val="20"/>
              </w:rPr>
              <w:t>4,862</w:t>
            </w:r>
          </w:p>
        </w:tc>
        <w:tc>
          <w:tcPr>
            <w:tcW w:w="1440" w:type="dxa"/>
            <w:tcBorders>
              <w:top w:val="single" w:color="auto" w:sz="4" w:space="0"/>
              <w:left w:val="single" w:color="auto" w:sz="4" w:space="0"/>
              <w:bottom w:val="single" w:color="auto" w:sz="4" w:space="0"/>
              <w:right w:val="single" w:color="auto" w:sz="4" w:space="0"/>
            </w:tcBorders>
            <w:noWrap/>
            <w:hideMark/>
          </w:tcPr>
          <w:p w:rsidRPr="00871E51" w:rsidR="00067362" w:rsidP="00F37138" w:rsidRDefault="00067362" w14:paraId="69088A99" w14:textId="77777777">
            <w:pPr>
              <w:widowControl w:val="0"/>
              <w:jc w:val="right"/>
              <w:rPr>
                <w:rFonts w:eastAsia="Calibri"/>
                <w:sz w:val="20"/>
                <w:szCs w:val="20"/>
              </w:rPr>
            </w:pPr>
            <w:r w:rsidRPr="00871E51">
              <w:rPr>
                <w:sz w:val="20"/>
                <w:szCs w:val="20"/>
              </w:rPr>
              <w:t>5,210</w:t>
            </w:r>
          </w:p>
        </w:tc>
        <w:tc>
          <w:tcPr>
            <w:tcW w:w="1235" w:type="dxa"/>
            <w:tcBorders>
              <w:top w:val="single" w:color="auto" w:sz="4" w:space="0"/>
              <w:left w:val="single" w:color="auto" w:sz="4" w:space="0"/>
              <w:bottom w:val="single" w:color="auto" w:sz="4" w:space="0"/>
              <w:right w:val="single" w:color="auto" w:sz="4" w:space="0"/>
            </w:tcBorders>
            <w:noWrap/>
            <w:hideMark/>
          </w:tcPr>
          <w:p w:rsidRPr="00871E51" w:rsidR="00067362" w:rsidP="00F37138" w:rsidRDefault="00067362" w14:paraId="07BA09DE" w14:textId="77777777">
            <w:pPr>
              <w:widowControl w:val="0"/>
              <w:jc w:val="right"/>
              <w:rPr>
                <w:rFonts w:eastAsia="Calibri"/>
                <w:sz w:val="20"/>
                <w:szCs w:val="20"/>
              </w:rPr>
            </w:pPr>
            <w:r w:rsidRPr="00871E51">
              <w:rPr>
                <w:sz w:val="20"/>
                <w:szCs w:val="20"/>
              </w:rPr>
              <w:t>2,825</w:t>
            </w:r>
          </w:p>
        </w:tc>
      </w:tr>
      <w:tr w:rsidRPr="00871E51" w:rsidR="00067362" w:rsidTr="007F64F4" w14:paraId="6C1E0090" w14:textId="77777777">
        <w:trPr>
          <w:jc w:val="center"/>
        </w:trPr>
        <w:tc>
          <w:tcPr>
            <w:tcW w:w="6210" w:type="dxa"/>
            <w:tcBorders>
              <w:top w:val="single" w:color="auto" w:sz="4" w:space="0"/>
              <w:left w:val="single" w:color="auto" w:sz="4" w:space="0"/>
              <w:bottom w:val="single" w:color="auto" w:sz="4" w:space="0"/>
              <w:right w:val="single" w:color="auto" w:sz="4" w:space="0"/>
            </w:tcBorders>
          </w:tcPr>
          <w:p w:rsidRPr="00871E51" w:rsidR="00067362" w:rsidP="00F37138" w:rsidRDefault="00067362" w14:paraId="70CEA953" w14:textId="77777777">
            <w:pPr>
              <w:widowControl w:val="0"/>
              <w:rPr>
                <w:rFonts w:eastAsia="Calibri"/>
                <w:sz w:val="20"/>
                <w:szCs w:val="20"/>
              </w:rPr>
            </w:pPr>
            <w:r w:rsidRPr="00871E51">
              <w:rPr>
                <w:rFonts w:eastAsia="Calibri"/>
                <w:sz w:val="20"/>
                <w:szCs w:val="20"/>
              </w:rPr>
              <w:t># of Subgroup reporters (b)</w:t>
            </w:r>
          </w:p>
        </w:tc>
        <w:tc>
          <w:tcPr>
            <w:tcW w:w="1170" w:type="dxa"/>
            <w:tcBorders>
              <w:top w:val="single" w:color="auto" w:sz="4" w:space="0"/>
              <w:left w:val="single" w:color="auto" w:sz="4" w:space="0"/>
              <w:bottom w:val="single" w:color="auto" w:sz="4" w:space="0"/>
              <w:right w:val="single" w:color="auto" w:sz="4" w:space="0"/>
            </w:tcBorders>
            <w:noWrap/>
          </w:tcPr>
          <w:p w:rsidRPr="00871E51" w:rsidR="00067362" w:rsidP="00F37138" w:rsidRDefault="00067362" w14:paraId="4342D282" w14:textId="77777777">
            <w:pPr>
              <w:widowControl w:val="0"/>
              <w:jc w:val="right"/>
              <w:rPr>
                <w:rFonts w:eastAsia="Calibri"/>
                <w:sz w:val="20"/>
                <w:szCs w:val="20"/>
              </w:rPr>
            </w:pPr>
            <w:r w:rsidRPr="00871E51">
              <w:rPr>
                <w:sz w:val="20"/>
                <w:szCs w:val="20"/>
              </w:rPr>
              <w:t>10</w:t>
            </w:r>
          </w:p>
        </w:tc>
        <w:tc>
          <w:tcPr>
            <w:tcW w:w="1440" w:type="dxa"/>
            <w:tcBorders>
              <w:top w:val="single" w:color="auto" w:sz="4" w:space="0"/>
              <w:left w:val="single" w:color="auto" w:sz="4" w:space="0"/>
              <w:bottom w:val="single" w:color="auto" w:sz="4" w:space="0"/>
              <w:right w:val="single" w:color="auto" w:sz="4" w:space="0"/>
            </w:tcBorders>
            <w:noWrap/>
          </w:tcPr>
          <w:p w:rsidRPr="00871E51" w:rsidR="00067362" w:rsidP="00F37138" w:rsidRDefault="00067362" w14:paraId="75929AB8" w14:textId="77777777">
            <w:pPr>
              <w:widowControl w:val="0"/>
              <w:jc w:val="right"/>
              <w:rPr>
                <w:rFonts w:eastAsia="Calibri"/>
                <w:sz w:val="20"/>
                <w:szCs w:val="20"/>
              </w:rPr>
            </w:pPr>
            <w:r w:rsidRPr="00871E51">
              <w:rPr>
                <w:sz w:val="20"/>
                <w:szCs w:val="20"/>
              </w:rPr>
              <w:t>10</w:t>
            </w:r>
          </w:p>
        </w:tc>
        <w:tc>
          <w:tcPr>
            <w:tcW w:w="1235" w:type="dxa"/>
            <w:tcBorders>
              <w:top w:val="single" w:color="auto" w:sz="4" w:space="0"/>
              <w:left w:val="single" w:color="auto" w:sz="4" w:space="0"/>
              <w:bottom w:val="single" w:color="auto" w:sz="4" w:space="0"/>
              <w:right w:val="single" w:color="auto" w:sz="4" w:space="0"/>
            </w:tcBorders>
            <w:noWrap/>
          </w:tcPr>
          <w:p w:rsidRPr="00871E51" w:rsidR="00067362" w:rsidP="00F37138" w:rsidRDefault="00067362" w14:paraId="1446685A" w14:textId="77777777">
            <w:pPr>
              <w:widowControl w:val="0"/>
              <w:jc w:val="right"/>
              <w:rPr>
                <w:rFonts w:eastAsia="Calibri"/>
                <w:sz w:val="20"/>
                <w:szCs w:val="20"/>
              </w:rPr>
            </w:pPr>
            <w:r w:rsidRPr="00871E51">
              <w:rPr>
                <w:rFonts w:eastAsia="Calibri"/>
                <w:sz w:val="20"/>
                <w:szCs w:val="20"/>
              </w:rPr>
              <w:t>0</w:t>
            </w:r>
          </w:p>
        </w:tc>
      </w:tr>
      <w:tr w:rsidRPr="00871E51" w:rsidR="00067362" w:rsidTr="007F64F4" w14:paraId="0498EBAB" w14:textId="77777777">
        <w:trPr>
          <w:jc w:val="center"/>
        </w:trPr>
        <w:tc>
          <w:tcPr>
            <w:tcW w:w="621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5608732C" w14:textId="77777777">
            <w:pPr>
              <w:widowControl w:val="0"/>
              <w:rPr>
                <w:rFonts w:eastAsia="Calibri"/>
                <w:sz w:val="20"/>
                <w:szCs w:val="20"/>
              </w:rPr>
            </w:pPr>
            <w:r w:rsidRPr="00871E51">
              <w:rPr>
                <w:rFonts w:eastAsia="Calibri"/>
                <w:sz w:val="20"/>
                <w:szCs w:val="20"/>
              </w:rPr>
              <w:t xml:space="preserve">Total MVP participants (c) = (a) + (b) </w:t>
            </w:r>
          </w:p>
        </w:tc>
        <w:tc>
          <w:tcPr>
            <w:tcW w:w="1170" w:type="dxa"/>
            <w:tcBorders>
              <w:top w:val="single" w:color="auto" w:sz="4" w:space="0"/>
              <w:left w:val="single" w:color="auto" w:sz="4" w:space="0"/>
              <w:bottom w:val="single" w:color="auto" w:sz="4" w:space="0"/>
              <w:right w:val="single" w:color="auto" w:sz="4" w:space="0"/>
            </w:tcBorders>
            <w:noWrap/>
          </w:tcPr>
          <w:p w:rsidRPr="00871E51" w:rsidR="00067362" w:rsidP="007F64F4" w:rsidRDefault="00067362" w14:paraId="1D373754" w14:textId="77777777">
            <w:pPr>
              <w:widowControl w:val="0"/>
              <w:jc w:val="right"/>
              <w:rPr>
                <w:rFonts w:eastAsia="Calibri"/>
                <w:sz w:val="20"/>
                <w:szCs w:val="20"/>
              </w:rPr>
            </w:pPr>
            <w:r w:rsidRPr="00871E51">
              <w:rPr>
                <w:sz w:val="20"/>
                <w:szCs w:val="20"/>
              </w:rPr>
              <w:t>4,872</w:t>
            </w:r>
          </w:p>
        </w:tc>
        <w:tc>
          <w:tcPr>
            <w:tcW w:w="1440" w:type="dxa"/>
            <w:tcBorders>
              <w:top w:val="single" w:color="auto" w:sz="4" w:space="0"/>
              <w:left w:val="single" w:color="auto" w:sz="4" w:space="0"/>
              <w:bottom w:val="single" w:color="auto" w:sz="4" w:space="0"/>
              <w:right w:val="single" w:color="auto" w:sz="4" w:space="0"/>
            </w:tcBorders>
            <w:noWrap/>
          </w:tcPr>
          <w:p w:rsidRPr="00871E51" w:rsidR="00067362" w:rsidP="007F64F4" w:rsidRDefault="00067362" w14:paraId="6A524AE9" w14:textId="77777777">
            <w:pPr>
              <w:widowControl w:val="0"/>
              <w:jc w:val="right"/>
              <w:rPr>
                <w:rFonts w:eastAsia="Calibri"/>
                <w:sz w:val="20"/>
                <w:szCs w:val="20"/>
              </w:rPr>
            </w:pPr>
            <w:r w:rsidRPr="00871E51">
              <w:rPr>
                <w:sz w:val="20"/>
                <w:szCs w:val="20"/>
              </w:rPr>
              <w:t>5,220</w:t>
            </w:r>
          </w:p>
        </w:tc>
        <w:tc>
          <w:tcPr>
            <w:tcW w:w="1235" w:type="dxa"/>
            <w:tcBorders>
              <w:top w:val="single" w:color="auto" w:sz="4" w:space="0"/>
              <w:left w:val="single" w:color="auto" w:sz="4" w:space="0"/>
              <w:bottom w:val="single" w:color="auto" w:sz="4" w:space="0"/>
              <w:right w:val="single" w:color="auto" w:sz="4" w:space="0"/>
            </w:tcBorders>
            <w:noWrap/>
          </w:tcPr>
          <w:p w:rsidRPr="00871E51" w:rsidR="00067362" w:rsidP="007F64F4" w:rsidRDefault="00067362" w14:paraId="7210ABBA" w14:textId="77777777">
            <w:pPr>
              <w:widowControl w:val="0"/>
              <w:jc w:val="right"/>
              <w:rPr>
                <w:rFonts w:eastAsia="Calibri"/>
                <w:sz w:val="20"/>
                <w:szCs w:val="20"/>
              </w:rPr>
            </w:pPr>
            <w:r w:rsidRPr="00871E51">
              <w:rPr>
                <w:sz w:val="20"/>
                <w:szCs w:val="20"/>
              </w:rPr>
              <w:t>2,825</w:t>
            </w:r>
          </w:p>
        </w:tc>
      </w:tr>
      <w:tr w:rsidRPr="00871E51" w:rsidR="00067362" w:rsidTr="007F64F4" w14:paraId="295D747D"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7995C494" w14:textId="77777777">
            <w:pPr>
              <w:widowControl w:val="0"/>
              <w:rPr>
                <w:rFonts w:eastAsia="Calibri"/>
                <w:sz w:val="20"/>
                <w:szCs w:val="20"/>
              </w:rPr>
            </w:pPr>
            <w:r w:rsidRPr="00871E51">
              <w:rPr>
                <w:rFonts w:eastAsia="Calibri"/>
                <w:sz w:val="20"/>
                <w:szCs w:val="20"/>
              </w:rPr>
              <w:t>Hours Per Clinician to Submit Quality Data (d)</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01A34A38" w14:textId="77777777">
            <w:pPr>
              <w:widowControl w:val="0"/>
              <w:jc w:val="right"/>
              <w:rPr>
                <w:rFonts w:eastAsia="Calibri"/>
                <w:sz w:val="20"/>
                <w:szCs w:val="20"/>
              </w:rPr>
            </w:pPr>
            <w:r w:rsidRPr="00871E51">
              <w:rPr>
                <w:sz w:val="20"/>
                <w:szCs w:val="20"/>
              </w:rPr>
              <w:t>1.33</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06301E9" w14:textId="77777777">
            <w:pPr>
              <w:widowControl w:val="0"/>
              <w:jc w:val="right"/>
              <w:rPr>
                <w:rFonts w:eastAsia="Calibri"/>
                <w:sz w:val="20"/>
                <w:szCs w:val="20"/>
              </w:rPr>
            </w:pPr>
            <w:r w:rsidRPr="00871E51">
              <w:rPr>
                <w:sz w:val="20"/>
                <w:szCs w:val="20"/>
              </w:rPr>
              <w:t>2</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214D30FF" w14:textId="77777777">
            <w:pPr>
              <w:widowControl w:val="0"/>
              <w:jc w:val="right"/>
              <w:rPr>
                <w:rFonts w:eastAsia="Calibri"/>
                <w:sz w:val="20"/>
                <w:szCs w:val="20"/>
              </w:rPr>
            </w:pPr>
            <w:r w:rsidRPr="00871E51">
              <w:rPr>
                <w:sz w:val="20"/>
                <w:szCs w:val="20"/>
              </w:rPr>
              <w:t>4.8</w:t>
            </w:r>
          </w:p>
        </w:tc>
      </w:tr>
      <w:tr w:rsidRPr="00871E51" w:rsidR="00067362" w:rsidTr="007F64F4" w14:paraId="6200E91B"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014AAEB0" w14:textId="77777777">
            <w:pPr>
              <w:widowControl w:val="0"/>
              <w:rPr>
                <w:rFonts w:eastAsia="Calibri"/>
                <w:sz w:val="20"/>
                <w:szCs w:val="20"/>
              </w:rPr>
            </w:pPr>
            <w:r w:rsidRPr="00871E51">
              <w:rPr>
                <w:rFonts w:eastAsia="Calibri"/>
                <w:sz w:val="20"/>
                <w:szCs w:val="20"/>
              </w:rPr>
              <w:t># of Hours Medical and Health Services Manager Review Measure Specifications (e)</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291C5029" w14:textId="77777777">
            <w:pPr>
              <w:widowControl w:val="0"/>
              <w:jc w:val="right"/>
              <w:rPr>
                <w:rFonts w:eastAsia="Calibri"/>
                <w:sz w:val="20"/>
                <w:szCs w:val="20"/>
              </w:rPr>
            </w:pPr>
            <w:r w:rsidRPr="00871E51">
              <w:rPr>
                <w:sz w:val="20"/>
                <w:szCs w:val="20"/>
              </w:rPr>
              <w:t>1.33</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E3BED8B" w14:textId="77777777">
            <w:pPr>
              <w:widowControl w:val="0"/>
              <w:jc w:val="right"/>
              <w:rPr>
                <w:rFonts w:eastAsia="Calibri"/>
                <w:sz w:val="20"/>
                <w:szCs w:val="20"/>
              </w:rPr>
            </w:pPr>
            <w:r w:rsidRPr="00871E51">
              <w:rPr>
                <w:sz w:val="20"/>
                <w:szCs w:val="20"/>
              </w:rPr>
              <w:t>1.33</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C14B8C4" w14:textId="77777777">
            <w:pPr>
              <w:widowControl w:val="0"/>
              <w:jc w:val="right"/>
              <w:rPr>
                <w:rFonts w:eastAsia="Calibri"/>
                <w:sz w:val="20"/>
                <w:szCs w:val="20"/>
              </w:rPr>
            </w:pPr>
            <w:r w:rsidRPr="00871E51">
              <w:rPr>
                <w:sz w:val="20"/>
                <w:szCs w:val="20"/>
              </w:rPr>
              <w:t>2</w:t>
            </w:r>
          </w:p>
        </w:tc>
      </w:tr>
      <w:tr w:rsidRPr="00871E51" w:rsidR="00067362" w:rsidTr="007F64F4" w14:paraId="046D830F"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57FB8999" w14:textId="77777777">
            <w:pPr>
              <w:widowControl w:val="0"/>
              <w:rPr>
                <w:rFonts w:eastAsia="Calibri"/>
                <w:sz w:val="20"/>
                <w:szCs w:val="20"/>
              </w:rPr>
            </w:pPr>
            <w:r w:rsidRPr="00871E51">
              <w:rPr>
                <w:rFonts w:eastAsia="Calibri"/>
                <w:sz w:val="20"/>
                <w:szCs w:val="20"/>
              </w:rPr>
              <w:t># of Hours Computer Systems Analyst Review Measure Specifications (f)</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67DA95C9" w14:textId="77777777">
            <w:pPr>
              <w:widowControl w:val="0"/>
              <w:jc w:val="right"/>
              <w:rPr>
                <w:rFonts w:eastAsia="Calibri"/>
                <w:sz w:val="20"/>
                <w:szCs w:val="20"/>
              </w:rPr>
            </w:pPr>
            <w:r w:rsidRPr="00871E51">
              <w:rPr>
                <w:sz w:val="20"/>
                <w:szCs w:val="20"/>
              </w:rPr>
              <w:t>0.66</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47B12CBE" w14:textId="77777777">
            <w:pPr>
              <w:widowControl w:val="0"/>
              <w:jc w:val="right"/>
              <w:rPr>
                <w:rFonts w:eastAsia="Calibri"/>
                <w:sz w:val="20"/>
                <w:szCs w:val="20"/>
              </w:rPr>
            </w:pPr>
            <w:r w:rsidRPr="00871E51">
              <w:rPr>
                <w:sz w:val="20"/>
                <w:szCs w:val="20"/>
              </w:rPr>
              <w:t>0.66</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30E3E00" w14:textId="77777777">
            <w:pPr>
              <w:widowControl w:val="0"/>
              <w:jc w:val="right"/>
              <w:rPr>
                <w:rFonts w:eastAsia="Calibri"/>
                <w:sz w:val="20"/>
                <w:szCs w:val="20"/>
              </w:rPr>
            </w:pPr>
            <w:r w:rsidRPr="00871E51">
              <w:rPr>
                <w:sz w:val="20"/>
                <w:szCs w:val="20"/>
              </w:rPr>
              <w:t>0.66</w:t>
            </w:r>
          </w:p>
        </w:tc>
      </w:tr>
      <w:tr w:rsidRPr="00871E51" w:rsidR="00067362" w:rsidTr="007F64F4" w14:paraId="76814097"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78499011" w14:textId="77777777">
            <w:pPr>
              <w:widowControl w:val="0"/>
              <w:rPr>
                <w:rFonts w:eastAsia="Calibri"/>
                <w:sz w:val="20"/>
                <w:szCs w:val="20"/>
              </w:rPr>
            </w:pPr>
            <w:r w:rsidRPr="00871E51">
              <w:rPr>
                <w:rFonts w:eastAsia="Calibri"/>
                <w:sz w:val="20"/>
                <w:szCs w:val="20"/>
              </w:rPr>
              <w:t xml:space="preserve"> # of Hours LPN Review Measure Specifications (g)</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928D02A" w14:textId="77777777">
            <w:pPr>
              <w:widowControl w:val="0"/>
              <w:jc w:val="right"/>
              <w:rPr>
                <w:rFonts w:eastAsia="Calibri"/>
                <w:sz w:val="20"/>
                <w:szCs w:val="20"/>
              </w:rPr>
            </w:pPr>
            <w:r w:rsidRPr="00871E51">
              <w:rPr>
                <w:sz w:val="20"/>
                <w:szCs w:val="20"/>
              </w:rPr>
              <w:t>0.66</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6DC6BBFD" w14:textId="77777777">
            <w:pPr>
              <w:widowControl w:val="0"/>
              <w:jc w:val="right"/>
              <w:rPr>
                <w:rFonts w:eastAsia="Calibri"/>
                <w:sz w:val="20"/>
                <w:szCs w:val="20"/>
              </w:rPr>
            </w:pPr>
            <w:r w:rsidRPr="00871E51">
              <w:rPr>
                <w:sz w:val="20"/>
                <w:szCs w:val="20"/>
              </w:rPr>
              <w:t>0.66</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C26C5DA" w14:textId="77777777">
            <w:pPr>
              <w:widowControl w:val="0"/>
              <w:jc w:val="right"/>
              <w:rPr>
                <w:rFonts w:eastAsia="Calibri"/>
                <w:sz w:val="20"/>
                <w:szCs w:val="20"/>
              </w:rPr>
            </w:pPr>
            <w:r w:rsidRPr="00871E51">
              <w:rPr>
                <w:sz w:val="20"/>
                <w:szCs w:val="20"/>
              </w:rPr>
              <w:t>0.66</w:t>
            </w:r>
          </w:p>
        </w:tc>
      </w:tr>
      <w:tr w:rsidRPr="00871E51" w:rsidR="00067362" w:rsidTr="007F64F4" w14:paraId="4F015182"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5797DF8F" w14:textId="77777777">
            <w:pPr>
              <w:widowControl w:val="0"/>
              <w:rPr>
                <w:rFonts w:eastAsia="Calibri"/>
                <w:sz w:val="20"/>
                <w:szCs w:val="20"/>
              </w:rPr>
            </w:pPr>
            <w:r w:rsidRPr="00871E51">
              <w:rPr>
                <w:rFonts w:eastAsia="Calibri"/>
                <w:sz w:val="20"/>
                <w:szCs w:val="20"/>
              </w:rPr>
              <w:t xml:space="preserve"> # of Hours Billing Clerk Review Measure Specifications (h)</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86850C8" w14:textId="77777777">
            <w:pPr>
              <w:widowControl w:val="0"/>
              <w:jc w:val="right"/>
              <w:rPr>
                <w:rFonts w:eastAsia="Calibri"/>
                <w:sz w:val="20"/>
                <w:szCs w:val="20"/>
              </w:rPr>
            </w:pPr>
            <w:r w:rsidRPr="00871E51">
              <w:rPr>
                <w:sz w:val="20"/>
                <w:szCs w:val="20"/>
              </w:rPr>
              <w:t>0.66</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54EFEEB5" w14:textId="77777777">
            <w:pPr>
              <w:widowControl w:val="0"/>
              <w:jc w:val="right"/>
              <w:rPr>
                <w:rFonts w:eastAsia="Calibri"/>
                <w:sz w:val="20"/>
                <w:szCs w:val="20"/>
              </w:rPr>
            </w:pPr>
            <w:r w:rsidRPr="00871E51">
              <w:rPr>
                <w:sz w:val="20"/>
                <w:szCs w:val="20"/>
              </w:rPr>
              <w:t>0.66</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3A57EE2" w14:textId="77777777">
            <w:pPr>
              <w:widowControl w:val="0"/>
              <w:jc w:val="right"/>
              <w:rPr>
                <w:rFonts w:eastAsia="Calibri"/>
                <w:sz w:val="20"/>
                <w:szCs w:val="20"/>
              </w:rPr>
            </w:pPr>
            <w:r w:rsidRPr="00871E51">
              <w:rPr>
                <w:sz w:val="20"/>
                <w:szCs w:val="20"/>
              </w:rPr>
              <w:t>0.66</w:t>
            </w:r>
          </w:p>
        </w:tc>
      </w:tr>
      <w:tr w:rsidRPr="00871E51" w:rsidR="00067362" w:rsidTr="007F64F4" w14:paraId="31E0C9C0"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00A0C4EB" w14:textId="77777777">
            <w:pPr>
              <w:widowControl w:val="0"/>
              <w:rPr>
                <w:rFonts w:eastAsia="Calibri"/>
                <w:sz w:val="20"/>
                <w:szCs w:val="20"/>
              </w:rPr>
            </w:pPr>
            <w:r w:rsidRPr="00871E51">
              <w:rPr>
                <w:rFonts w:eastAsia="Calibri"/>
                <w:sz w:val="20"/>
                <w:szCs w:val="20"/>
              </w:rPr>
              <w:t># of Hours Physician Review Measure Specifications (i)</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2AF12EF" w14:textId="77777777">
            <w:pPr>
              <w:widowControl w:val="0"/>
              <w:jc w:val="right"/>
              <w:rPr>
                <w:rFonts w:eastAsia="Calibri"/>
                <w:sz w:val="20"/>
                <w:szCs w:val="20"/>
              </w:rPr>
            </w:pPr>
            <w:r w:rsidRPr="00871E51">
              <w:rPr>
                <w:sz w:val="20"/>
                <w:szCs w:val="20"/>
              </w:rPr>
              <w:t>0.66</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01763112" w14:textId="77777777">
            <w:pPr>
              <w:widowControl w:val="0"/>
              <w:jc w:val="right"/>
              <w:rPr>
                <w:rFonts w:eastAsia="Calibri"/>
                <w:sz w:val="20"/>
                <w:szCs w:val="20"/>
              </w:rPr>
            </w:pPr>
            <w:r w:rsidRPr="00871E51">
              <w:rPr>
                <w:sz w:val="20"/>
                <w:szCs w:val="20"/>
              </w:rPr>
              <w:t>0.66</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2E454124" w14:textId="77777777">
            <w:pPr>
              <w:widowControl w:val="0"/>
              <w:jc w:val="right"/>
              <w:rPr>
                <w:rFonts w:eastAsia="Calibri"/>
                <w:sz w:val="20"/>
                <w:szCs w:val="20"/>
              </w:rPr>
            </w:pPr>
            <w:r w:rsidRPr="00871E51">
              <w:rPr>
                <w:sz w:val="20"/>
                <w:szCs w:val="20"/>
              </w:rPr>
              <w:t>0.66</w:t>
            </w:r>
          </w:p>
        </w:tc>
      </w:tr>
      <w:tr w:rsidRPr="00871E51" w:rsidR="00067362" w:rsidTr="007F64F4" w14:paraId="3554E3E5" w14:textId="77777777">
        <w:trPr>
          <w:jc w:val="center"/>
        </w:trPr>
        <w:tc>
          <w:tcPr>
            <w:tcW w:w="621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7A892E9" w14:textId="77777777">
            <w:pPr>
              <w:widowControl w:val="0"/>
              <w:rPr>
                <w:rFonts w:eastAsia="Calibri"/>
                <w:sz w:val="20"/>
                <w:szCs w:val="20"/>
              </w:rPr>
            </w:pPr>
            <w:r w:rsidRPr="00871E51">
              <w:rPr>
                <w:rFonts w:eastAsia="Calibri"/>
                <w:sz w:val="20"/>
                <w:szCs w:val="20"/>
              </w:rPr>
              <w:t>Annual Hours per Clinician Submitting Data for MVPs (j) = (d) + (e) + (f) + (g) + (h) + (i)</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918A50D" w14:textId="7C08EF55">
            <w:pPr>
              <w:widowControl w:val="0"/>
              <w:jc w:val="right"/>
              <w:rPr>
                <w:rFonts w:eastAsia="Calibri"/>
                <w:sz w:val="20"/>
                <w:szCs w:val="20"/>
              </w:rPr>
            </w:pPr>
            <w:r w:rsidRPr="00871E51">
              <w:rPr>
                <w:sz w:val="20"/>
                <w:szCs w:val="20"/>
              </w:rPr>
              <w:t>5.3</w:t>
            </w:r>
            <w:r w:rsidR="00B6470B">
              <w:rPr>
                <w:sz w:val="20"/>
                <w:szCs w:val="20"/>
              </w:rPr>
              <w:t>*</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8C309A" w14:paraId="0180A43D" w14:textId="3B3F7B75">
            <w:pPr>
              <w:widowControl w:val="0"/>
              <w:jc w:val="right"/>
              <w:rPr>
                <w:rFonts w:eastAsia="Calibri"/>
                <w:sz w:val="20"/>
                <w:szCs w:val="20"/>
              </w:rPr>
            </w:pPr>
            <w:r>
              <w:rPr>
                <w:sz w:val="20"/>
                <w:szCs w:val="20"/>
              </w:rPr>
              <w:t>5.97</w:t>
            </w:r>
            <w:r w:rsidR="00B6470B">
              <w:rPr>
                <w:sz w:val="20"/>
                <w:szCs w:val="20"/>
              </w:rPr>
              <w:t>*</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F297AB2" w14:textId="200586C1">
            <w:pPr>
              <w:widowControl w:val="0"/>
              <w:jc w:val="right"/>
              <w:rPr>
                <w:rFonts w:eastAsia="Calibri"/>
                <w:sz w:val="20"/>
                <w:szCs w:val="20"/>
              </w:rPr>
            </w:pPr>
            <w:r w:rsidRPr="00871E51">
              <w:rPr>
                <w:sz w:val="20"/>
                <w:szCs w:val="20"/>
              </w:rPr>
              <w:t>9</w:t>
            </w:r>
            <w:r w:rsidR="008C309A">
              <w:rPr>
                <w:sz w:val="20"/>
                <w:szCs w:val="20"/>
              </w:rPr>
              <w:t>.44</w:t>
            </w:r>
            <w:r w:rsidR="00B6470B">
              <w:rPr>
                <w:sz w:val="20"/>
                <w:szCs w:val="20"/>
              </w:rPr>
              <w:t>*</w:t>
            </w:r>
          </w:p>
        </w:tc>
      </w:tr>
      <w:tr w:rsidRPr="00871E51" w:rsidR="00067362" w:rsidTr="007F64F4" w14:paraId="676D91AA" w14:textId="77777777">
        <w:trPr>
          <w:trHeight w:val="449"/>
          <w:jc w:val="center"/>
        </w:trPr>
        <w:tc>
          <w:tcPr>
            <w:tcW w:w="62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871E51" w:rsidR="00067362" w:rsidP="007F64F4" w:rsidRDefault="00067362" w14:paraId="14B79658" w14:textId="77777777">
            <w:pPr>
              <w:widowControl w:val="0"/>
              <w:rPr>
                <w:rFonts w:eastAsia="Calibri"/>
                <w:b/>
                <w:bCs/>
                <w:sz w:val="20"/>
                <w:szCs w:val="20"/>
              </w:rPr>
            </w:pPr>
            <w:r w:rsidRPr="00871E51">
              <w:rPr>
                <w:rFonts w:eastAsia="Calibri"/>
                <w:b/>
                <w:bCs/>
                <w:sz w:val="20"/>
                <w:szCs w:val="20"/>
              </w:rPr>
              <w:lastRenderedPageBreak/>
              <w:t>Total Annual Hours (k) = (c) * (j)</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871E51" w:rsidR="00067362" w:rsidP="007F64F4" w:rsidRDefault="00067362" w14:paraId="620F72C0" w14:textId="09FB0ED4">
            <w:pPr>
              <w:widowControl w:val="0"/>
              <w:jc w:val="center"/>
              <w:rPr>
                <w:rFonts w:eastAsia="Calibri"/>
                <w:b/>
                <w:bCs/>
                <w:sz w:val="20"/>
                <w:szCs w:val="20"/>
              </w:rPr>
            </w:pPr>
            <w:r w:rsidRPr="00871E51">
              <w:rPr>
                <w:b/>
                <w:bCs/>
                <w:sz w:val="20"/>
                <w:szCs w:val="20"/>
              </w:rPr>
              <w:t>25,</w:t>
            </w:r>
            <w:r w:rsidR="002B00EF">
              <w:rPr>
                <w:b/>
                <w:bCs/>
                <w:sz w:val="20"/>
                <w:szCs w:val="20"/>
              </w:rPr>
              <w:t>822</w:t>
            </w:r>
            <w:r w:rsidR="00521A99">
              <w:rPr>
                <w:b/>
                <w:bCs/>
                <w:sz w:val="20"/>
                <w:szCs w:val="20"/>
              </w:rPr>
              <w:t>*</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871E51" w:rsidR="00067362" w:rsidP="007F64F4" w:rsidRDefault="00067362" w14:paraId="05B22637" w14:textId="0F0F5E4D">
            <w:pPr>
              <w:widowControl w:val="0"/>
              <w:jc w:val="right"/>
              <w:rPr>
                <w:rFonts w:eastAsia="Calibri"/>
                <w:b/>
                <w:bCs/>
                <w:sz w:val="20"/>
                <w:szCs w:val="20"/>
              </w:rPr>
            </w:pPr>
            <w:r w:rsidRPr="00871E51">
              <w:rPr>
                <w:b/>
                <w:bCs/>
                <w:sz w:val="20"/>
                <w:szCs w:val="20"/>
              </w:rPr>
              <w:t>31,</w:t>
            </w:r>
            <w:r w:rsidR="008C309A">
              <w:rPr>
                <w:b/>
                <w:bCs/>
                <w:sz w:val="20"/>
                <w:szCs w:val="20"/>
              </w:rPr>
              <w:t>163</w:t>
            </w:r>
            <w:r w:rsidR="00521A99">
              <w:rPr>
                <w:b/>
                <w:bCs/>
                <w:sz w:val="20"/>
                <w:szCs w:val="20"/>
              </w:rPr>
              <w:t>*</w:t>
            </w:r>
          </w:p>
        </w:tc>
        <w:tc>
          <w:tcPr>
            <w:tcW w:w="123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871E51" w:rsidR="00067362" w:rsidP="007F64F4" w:rsidRDefault="00067362" w14:paraId="1E70C621" w14:textId="5BA16EB0">
            <w:pPr>
              <w:widowControl w:val="0"/>
              <w:jc w:val="right"/>
              <w:rPr>
                <w:rFonts w:eastAsia="Calibri"/>
                <w:b/>
                <w:bCs/>
                <w:sz w:val="20"/>
                <w:szCs w:val="20"/>
              </w:rPr>
            </w:pPr>
            <w:r w:rsidRPr="00871E51">
              <w:rPr>
                <w:b/>
                <w:bCs/>
                <w:sz w:val="20"/>
                <w:szCs w:val="20"/>
              </w:rPr>
              <w:t>26,</w:t>
            </w:r>
            <w:r w:rsidR="008C309A">
              <w:rPr>
                <w:b/>
                <w:bCs/>
                <w:sz w:val="20"/>
                <w:szCs w:val="20"/>
              </w:rPr>
              <w:t>688</w:t>
            </w:r>
            <w:r w:rsidR="009F462A">
              <w:rPr>
                <w:b/>
                <w:bCs/>
                <w:sz w:val="20"/>
                <w:szCs w:val="20"/>
              </w:rPr>
              <w:t>*</w:t>
            </w:r>
          </w:p>
        </w:tc>
      </w:tr>
      <w:tr w:rsidRPr="00871E51" w:rsidR="00067362" w:rsidTr="007F64F4" w14:paraId="2CADE22E"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717A1101" w14:textId="77777777">
            <w:pPr>
              <w:widowControl w:val="0"/>
              <w:rPr>
                <w:rFonts w:eastAsia="Calibri"/>
                <w:sz w:val="20"/>
                <w:szCs w:val="20"/>
              </w:rPr>
            </w:pPr>
            <w:r w:rsidRPr="00871E51">
              <w:rPr>
                <w:rFonts w:eastAsia="Calibri"/>
                <w:sz w:val="20"/>
                <w:szCs w:val="20"/>
              </w:rPr>
              <w:t>Cost to Submit Quality Data (@ computer systems analyst’s labor rate of $95.22/hr @ varying times) (k)</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2EB42EE" w14:textId="77777777">
            <w:pPr>
              <w:widowControl w:val="0"/>
              <w:jc w:val="right"/>
              <w:rPr>
                <w:rFonts w:eastAsia="Calibri"/>
                <w:sz w:val="20"/>
                <w:szCs w:val="20"/>
              </w:rPr>
            </w:pPr>
            <w:r w:rsidRPr="00871E51">
              <w:rPr>
                <w:sz w:val="20"/>
                <w:szCs w:val="20"/>
              </w:rPr>
              <w:t xml:space="preserve">$126.64 </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46739022" w14:textId="77777777">
            <w:pPr>
              <w:widowControl w:val="0"/>
              <w:jc w:val="right"/>
              <w:rPr>
                <w:rFonts w:eastAsia="Calibri"/>
                <w:sz w:val="20"/>
                <w:szCs w:val="20"/>
              </w:rPr>
            </w:pPr>
            <w:r w:rsidRPr="00871E51">
              <w:rPr>
                <w:sz w:val="20"/>
                <w:szCs w:val="20"/>
              </w:rPr>
              <w:t xml:space="preserve">$190.44 </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5A6D42F0" w14:textId="77777777">
            <w:pPr>
              <w:widowControl w:val="0"/>
              <w:jc w:val="right"/>
              <w:rPr>
                <w:rFonts w:eastAsia="Calibri"/>
                <w:sz w:val="20"/>
                <w:szCs w:val="20"/>
              </w:rPr>
            </w:pPr>
            <w:r w:rsidRPr="00871E51">
              <w:rPr>
                <w:sz w:val="20"/>
                <w:szCs w:val="20"/>
              </w:rPr>
              <w:t xml:space="preserve">$457.06 </w:t>
            </w:r>
          </w:p>
        </w:tc>
      </w:tr>
      <w:tr w:rsidRPr="00871E51" w:rsidR="00067362" w:rsidTr="007F64F4" w14:paraId="048DB073"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25CAD541" w14:textId="77777777">
            <w:pPr>
              <w:widowControl w:val="0"/>
              <w:rPr>
                <w:rFonts w:eastAsia="Calibri"/>
                <w:sz w:val="20"/>
                <w:szCs w:val="20"/>
              </w:rPr>
            </w:pPr>
            <w:r w:rsidRPr="00871E51">
              <w:rPr>
                <w:rFonts w:eastAsia="Calibri"/>
                <w:sz w:val="20"/>
                <w:szCs w:val="20"/>
              </w:rPr>
              <w:t>Cost to Review Measure Specifications (@ medical and health services manager's labor rate of $114.24/hr) (l)</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163F095" w14:textId="77777777">
            <w:pPr>
              <w:widowControl w:val="0"/>
              <w:jc w:val="right"/>
              <w:rPr>
                <w:rFonts w:eastAsia="Calibri"/>
                <w:sz w:val="20"/>
                <w:szCs w:val="20"/>
              </w:rPr>
            </w:pPr>
            <w:r w:rsidRPr="00871E51">
              <w:rPr>
                <w:sz w:val="20"/>
                <w:szCs w:val="20"/>
              </w:rPr>
              <w:t xml:space="preserve">$151.94 </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22117965" w14:textId="77777777">
            <w:pPr>
              <w:widowControl w:val="0"/>
              <w:jc w:val="right"/>
              <w:rPr>
                <w:rFonts w:eastAsia="Calibri"/>
                <w:sz w:val="20"/>
                <w:szCs w:val="20"/>
              </w:rPr>
            </w:pPr>
            <w:r w:rsidRPr="00871E51">
              <w:rPr>
                <w:sz w:val="20"/>
                <w:szCs w:val="20"/>
              </w:rPr>
              <w:t xml:space="preserve">$151.94 </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36AD583" w14:textId="77777777">
            <w:pPr>
              <w:widowControl w:val="0"/>
              <w:jc w:val="right"/>
              <w:rPr>
                <w:rFonts w:eastAsia="Calibri"/>
                <w:sz w:val="20"/>
                <w:szCs w:val="20"/>
              </w:rPr>
            </w:pPr>
            <w:r w:rsidRPr="00871E51">
              <w:rPr>
                <w:sz w:val="20"/>
                <w:szCs w:val="20"/>
              </w:rPr>
              <w:t xml:space="preserve">$228.48 </w:t>
            </w:r>
          </w:p>
        </w:tc>
      </w:tr>
      <w:tr w:rsidRPr="00871E51" w:rsidR="00067362" w:rsidTr="007F64F4" w14:paraId="00DA64C4"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4AB6E58C" w14:textId="77777777">
            <w:pPr>
              <w:widowControl w:val="0"/>
              <w:rPr>
                <w:rFonts w:eastAsia="Calibri"/>
                <w:sz w:val="20"/>
                <w:szCs w:val="20"/>
              </w:rPr>
            </w:pPr>
            <w:r w:rsidRPr="00871E51">
              <w:rPr>
                <w:rFonts w:eastAsia="Calibri"/>
                <w:sz w:val="20"/>
                <w:szCs w:val="20"/>
              </w:rPr>
              <w:t>Cost to Review Measure Specifications (@ computer systems analyst’s labor rate of $95.22/hr) (m)</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6591076B" w14:textId="77777777">
            <w:pPr>
              <w:widowControl w:val="0"/>
              <w:jc w:val="right"/>
              <w:rPr>
                <w:rFonts w:eastAsia="Calibri"/>
                <w:sz w:val="20"/>
                <w:szCs w:val="20"/>
              </w:rPr>
            </w:pPr>
            <w:r w:rsidRPr="00871E51">
              <w:rPr>
                <w:sz w:val="20"/>
                <w:szCs w:val="20"/>
              </w:rPr>
              <w:t xml:space="preserve">$62.85 </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07D692BA" w14:textId="77777777">
            <w:pPr>
              <w:widowControl w:val="0"/>
              <w:jc w:val="right"/>
              <w:rPr>
                <w:rFonts w:eastAsia="Calibri"/>
                <w:sz w:val="20"/>
                <w:szCs w:val="20"/>
              </w:rPr>
            </w:pPr>
            <w:r w:rsidRPr="00871E51">
              <w:rPr>
                <w:sz w:val="20"/>
                <w:szCs w:val="20"/>
              </w:rPr>
              <w:t xml:space="preserve">$62.85 </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4DC7B0E7" w14:textId="77777777">
            <w:pPr>
              <w:widowControl w:val="0"/>
              <w:jc w:val="right"/>
              <w:rPr>
                <w:rFonts w:eastAsia="Calibri"/>
                <w:sz w:val="20"/>
                <w:szCs w:val="20"/>
              </w:rPr>
            </w:pPr>
            <w:r w:rsidRPr="00871E51">
              <w:rPr>
                <w:sz w:val="20"/>
                <w:szCs w:val="20"/>
              </w:rPr>
              <w:t xml:space="preserve">$62.85 </w:t>
            </w:r>
          </w:p>
        </w:tc>
      </w:tr>
      <w:tr w:rsidRPr="00871E51" w:rsidR="00067362" w:rsidTr="007F64F4" w14:paraId="6BB7509E"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55585452" w14:textId="77777777">
            <w:pPr>
              <w:widowControl w:val="0"/>
              <w:rPr>
                <w:rFonts w:eastAsia="Calibri"/>
                <w:sz w:val="20"/>
                <w:szCs w:val="20"/>
              </w:rPr>
            </w:pPr>
            <w:r w:rsidRPr="00871E51">
              <w:rPr>
                <w:rFonts w:eastAsia="Calibri"/>
                <w:sz w:val="20"/>
                <w:szCs w:val="20"/>
              </w:rPr>
              <w:t>Cost to Review Measure Specifications (@ LPN's labor rate of $48.16/hr) (n)</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8A7B292" w14:textId="77777777">
            <w:pPr>
              <w:widowControl w:val="0"/>
              <w:jc w:val="right"/>
              <w:rPr>
                <w:rFonts w:eastAsia="Calibri"/>
                <w:sz w:val="20"/>
                <w:szCs w:val="20"/>
              </w:rPr>
            </w:pPr>
            <w:r w:rsidRPr="00871E51">
              <w:rPr>
                <w:sz w:val="20"/>
                <w:szCs w:val="20"/>
              </w:rPr>
              <w:t xml:space="preserve">$31.79 </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47A55BF" w14:textId="77777777">
            <w:pPr>
              <w:widowControl w:val="0"/>
              <w:jc w:val="right"/>
              <w:rPr>
                <w:rFonts w:eastAsia="Calibri"/>
                <w:sz w:val="20"/>
                <w:szCs w:val="20"/>
              </w:rPr>
            </w:pPr>
            <w:r w:rsidRPr="00871E51">
              <w:rPr>
                <w:sz w:val="20"/>
                <w:szCs w:val="20"/>
              </w:rPr>
              <w:t xml:space="preserve">$31.79 </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4383789" w14:textId="77777777">
            <w:pPr>
              <w:widowControl w:val="0"/>
              <w:jc w:val="right"/>
              <w:rPr>
                <w:rFonts w:eastAsia="Calibri"/>
                <w:sz w:val="20"/>
                <w:szCs w:val="20"/>
              </w:rPr>
            </w:pPr>
            <w:r w:rsidRPr="00871E51">
              <w:rPr>
                <w:sz w:val="20"/>
                <w:szCs w:val="20"/>
              </w:rPr>
              <w:t xml:space="preserve">$31.79 </w:t>
            </w:r>
          </w:p>
        </w:tc>
      </w:tr>
      <w:tr w:rsidRPr="00871E51" w:rsidR="00067362" w:rsidTr="007F64F4" w14:paraId="011C8629"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729CB308" w14:textId="77777777">
            <w:pPr>
              <w:widowControl w:val="0"/>
              <w:rPr>
                <w:rFonts w:eastAsia="Calibri"/>
                <w:sz w:val="20"/>
                <w:szCs w:val="20"/>
              </w:rPr>
            </w:pPr>
            <w:r w:rsidRPr="00871E51">
              <w:rPr>
                <w:rFonts w:eastAsia="Calibri"/>
                <w:sz w:val="20"/>
                <w:szCs w:val="20"/>
              </w:rPr>
              <w:t>Cost to Review Measure Specifications (@ billing clerk’s labor rate of $40.02/hr) (o)</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008D4102" w14:textId="77777777">
            <w:pPr>
              <w:widowControl w:val="0"/>
              <w:jc w:val="right"/>
              <w:rPr>
                <w:rFonts w:eastAsia="Calibri"/>
                <w:sz w:val="20"/>
                <w:szCs w:val="20"/>
              </w:rPr>
            </w:pPr>
            <w:r w:rsidRPr="00871E51">
              <w:rPr>
                <w:sz w:val="20"/>
                <w:szCs w:val="20"/>
              </w:rPr>
              <w:t xml:space="preserve">$26.41 </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46038A05" w14:textId="77777777">
            <w:pPr>
              <w:widowControl w:val="0"/>
              <w:jc w:val="right"/>
              <w:rPr>
                <w:rFonts w:eastAsia="Calibri"/>
                <w:sz w:val="20"/>
                <w:szCs w:val="20"/>
              </w:rPr>
            </w:pPr>
            <w:r w:rsidRPr="00871E51">
              <w:rPr>
                <w:sz w:val="20"/>
                <w:szCs w:val="20"/>
              </w:rPr>
              <w:t xml:space="preserve">$26.41 </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0D2C6AD" w14:textId="77777777">
            <w:pPr>
              <w:widowControl w:val="0"/>
              <w:jc w:val="right"/>
              <w:rPr>
                <w:rFonts w:eastAsia="Calibri"/>
                <w:sz w:val="20"/>
                <w:szCs w:val="20"/>
              </w:rPr>
            </w:pPr>
            <w:r w:rsidRPr="00871E51">
              <w:rPr>
                <w:sz w:val="20"/>
                <w:szCs w:val="20"/>
              </w:rPr>
              <w:t xml:space="preserve">$26.41 </w:t>
            </w:r>
          </w:p>
        </w:tc>
      </w:tr>
      <w:tr w:rsidRPr="00871E51" w:rsidR="00067362" w:rsidTr="007F64F4" w14:paraId="41457864"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3E5385EC" w14:textId="77777777">
            <w:pPr>
              <w:widowControl w:val="0"/>
              <w:rPr>
                <w:rFonts w:eastAsia="Calibri"/>
                <w:sz w:val="20"/>
                <w:szCs w:val="20"/>
              </w:rPr>
            </w:pPr>
            <w:r w:rsidRPr="00871E51">
              <w:rPr>
                <w:rFonts w:eastAsia="Calibri"/>
                <w:sz w:val="20"/>
                <w:szCs w:val="20"/>
              </w:rPr>
              <w:t>Cost to Review Measure Specifications (@ physician’s labor rate of $21</w:t>
            </w:r>
            <w:r>
              <w:rPr>
                <w:rFonts w:eastAsia="Calibri"/>
                <w:sz w:val="20"/>
                <w:szCs w:val="20"/>
              </w:rPr>
              <w:t>7.32</w:t>
            </w:r>
            <w:r w:rsidRPr="00871E51">
              <w:rPr>
                <w:rFonts w:eastAsia="Calibri"/>
                <w:sz w:val="20"/>
                <w:szCs w:val="20"/>
              </w:rPr>
              <w:t>/hr) (p)</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25457CF6" w14:textId="77777777">
            <w:pPr>
              <w:widowControl w:val="0"/>
              <w:jc w:val="right"/>
              <w:rPr>
                <w:rFonts w:eastAsia="Calibri"/>
                <w:sz w:val="20"/>
                <w:szCs w:val="20"/>
              </w:rPr>
            </w:pPr>
            <w:r w:rsidRPr="00871E51">
              <w:rPr>
                <w:sz w:val="20"/>
                <w:szCs w:val="20"/>
              </w:rPr>
              <w:t>$1</w:t>
            </w:r>
            <w:r>
              <w:rPr>
                <w:sz w:val="20"/>
                <w:szCs w:val="20"/>
              </w:rPr>
              <w:t>44.88</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5D7C095" w14:textId="77777777">
            <w:pPr>
              <w:widowControl w:val="0"/>
              <w:jc w:val="right"/>
              <w:rPr>
                <w:rFonts w:eastAsia="Calibri"/>
                <w:sz w:val="20"/>
                <w:szCs w:val="20"/>
              </w:rPr>
            </w:pPr>
            <w:r w:rsidRPr="00871E51">
              <w:rPr>
                <w:sz w:val="20"/>
                <w:szCs w:val="20"/>
              </w:rPr>
              <w:t>$1</w:t>
            </w:r>
            <w:r>
              <w:rPr>
                <w:sz w:val="20"/>
                <w:szCs w:val="20"/>
              </w:rPr>
              <w:t>44.88</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103FE73" w14:textId="77777777">
            <w:pPr>
              <w:widowControl w:val="0"/>
              <w:jc w:val="right"/>
              <w:rPr>
                <w:rFonts w:eastAsia="Calibri"/>
                <w:sz w:val="20"/>
                <w:szCs w:val="20"/>
              </w:rPr>
            </w:pPr>
            <w:r w:rsidRPr="00871E51">
              <w:rPr>
                <w:sz w:val="20"/>
                <w:szCs w:val="20"/>
              </w:rPr>
              <w:t>$1</w:t>
            </w:r>
            <w:r>
              <w:rPr>
                <w:sz w:val="20"/>
                <w:szCs w:val="20"/>
              </w:rPr>
              <w:t>44.88</w:t>
            </w:r>
            <w:r w:rsidRPr="00871E51">
              <w:rPr>
                <w:sz w:val="20"/>
                <w:szCs w:val="20"/>
              </w:rPr>
              <w:t xml:space="preserve"> </w:t>
            </w:r>
          </w:p>
        </w:tc>
      </w:tr>
      <w:tr w:rsidRPr="00871E51" w:rsidR="00067362" w:rsidTr="007F64F4" w14:paraId="3D4301B9"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21285C7C" w14:textId="77777777">
            <w:pPr>
              <w:widowControl w:val="0"/>
              <w:rPr>
                <w:rFonts w:eastAsia="Calibri"/>
                <w:sz w:val="20"/>
                <w:szCs w:val="20"/>
              </w:rPr>
            </w:pPr>
            <w:r>
              <w:rPr>
                <w:rFonts w:eastAsia="Calibri"/>
                <w:sz w:val="20"/>
                <w:szCs w:val="20"/>
              </w:rPr>
              <w:t>*</w:t>
            </w:r>
            <w:r w:rsidRPr="00871E51">
              <w:rPr>
                <w:rFonts w:eastAsia="Calibri"/>
                <w:sz w:val="20"/>
                <w:szCs w:val="20"/>
              </w:rPr>
              <w:t>Total Annual Cost Per Clinician (q) = (k) + (l) + (m) + (n) + (o) + (p)</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2470D7D1" w14:textId="77777777">
            <w:pPr>
              <w:widowControl w:val="0"/>
              <w:jc w:val="right"/>
              <w:rPr>
                <w:rFonts w:eastAsia="Calibri"/>
                <w:sz w:val="20"/>
                <w:szCs w:val="20"/>
              </w:rPr>
            </w:pPr>
            <w:r w:rsidRPr="00871E51">
              <w:rPr>
                <w:sz w:val="20"/>
                <w:szCs w:val="20"/>
              </w:rPr>
              <w:t>$5</w:t>
            </w:r>
            <w:r>
              <w:rPr>
                <w:sz w:val="20"/>
                <w:szCs w:val="20"/>
              </w:rPr>
              <w:t>46.43</w:t>
            </w:r>
            <w:r w:rsidRPr="00871E51">
              <w:rPr>
                <w:sz w:val="20"/>
                <w:szCs w:val="20"/>
              </w:rPr>
              <w:t xml:space="preserve"> </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8142D71" w14:textId="77777777">
            <w:pPr>
              <w:widowControl w:val="0"/>
              <w:jc w:val="right"/>
              <w:rPr>
                <w:rFonts w:eastAsia="Calibri"/>
                <w:sz w:val="20"/>
                <w:szCs w:val="20"/>
              </w:rPr>
            </w:pPr>
            <w:r w:rsidRPr="00871E51">
              <w:rPr>
                <w:sz w:val="20"/>
                <w:szCs w:val="20"/>
              </w:rPr>
              <w:t>$6</w:t>
            </w:r>
            <w:r>
              <w:rPr>
                <w:sz w:val="20"/>
                <w:szCs w:val="20"/>
              </w:rPr>
              <w:t>15.18</w:t>
            </w:r>
            <w:r w:rsidRPr="00871E51">
              <w:rPr>
                <w:sz w:val="20"/>
                <w:szCs w:val="20"/>
              </w:rPr>
              <w:t xml:space="preserve"> </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59200A96" w14:textId="77777777">
            <w:pPr>
              <w:widowControl w:val="0"/>
              <w:jc w:val="right"/>
              <w:rPr>
                <w:rFonts w:eastAsia="Calibri"/>
                <w:sz w:val="20"/>
                <w:szCs w:val="20"/>
              </w:rPr>
            </w:pPr>
            <w:r w:rsidRPr="00871E51">
              <w:rPr>
                <w:sz w:val="20"/>
                <w:szCs w:val="20"/>
              </w:rPr>
              <w:t>$9</w:t>
            </w:r>
            <w:r>
              <w:rPr>
                <w:sz w:val="20"/>
                <w:szCs w:val="20"/>
              </w:rPr>
              <w:t>52.68</w:t>
            </w:r>
            <w:r w:rsidRPr="00871E51">
              <w:rPr>
                <w:sz w:val="20"/>
                <w:szCs w:val="20"/>
              </w:rPr>
              <w:t xml:space="preserve"> </w:t>
            </w:r>
          </w:p>
        </w:tc>
      </w:tr>
      <w:tr w:rsidRPr="00871E51" w:rsidR="00067362" w:rsidTr="007F64F4" w14:paraId="40BE277A" w14:textId="77777777">
        <w:trPr>
          <w:trHeight w:val="440"/>
          <w:jc w:val="center"/>
        </w:trPr>
        <w:tc>
          <w:tcPr>
            <w:tcW w:w="62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871E51" w:rsidR="00067362" w:rsidP="007F64F4" w:rsidRDefault="00067362" w14:paraId="4EA5D8E5" w14:textId="77777777">
            <w:pPr>
              <w:widowControl w:val="0"/>
              <w:rPr>
                <w:rFonts w:eastAsia="Calibri"/>
                <w:b/>
                <w:bCs/>
                <w:sz w:val="20"/>
                <w:szCs w:val="20"/>
              </w:rPr>
            </w:pPr>
            <w:r>
              <w:rPr>
                <w:rFonts w:eastAsia="Calibri"/>
                <w:b/>
                <w:bCs/>
                <w:sz w:val="20"/>
                <w:szCs w:val="20"/>
              </w:rPr>
              <w:t>*</w:t>
            </w:r>
            <w:r w:rsidRPr="00871E51">
              <w:rPr>
                <w:rFonts w:eastAsia="Calibri"/>
                <w:b/>
                <w:bCs/>
                <w:sz w:val="20"/>
                <w:szCs w:val="20"/>
              </w:rPr>
              <w:t>Total Annual Cost (r) = (c) * (q)</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871E51" w:rsidR="00067362" w:rsidP="007F64F4" w:rsidRDefault="00067362" w14:paraId="4B7E95FE" w14:textId="77777777">
            <w:pPr>
              <w:widowControl w:val="0"/>
              <w:jc w:val="right"/>
              <w:rPr>
                <w:rFonts w:eastAsia="Calibri"/>
                <w:b/>
                <w:bCs/>
                <w:sz w:val="20"/>
                <w:szCs w:val="20"/>
              </w:rPr>
            </w:pPr>
            <w:r w:rsidRPr="00871E51">
              <w:rPr>
                <w:b/>
                <w:bCs/>
                <w:sz w:val="20"/>
                <w:szCs w:val="20"/>
              </w:rPr>
              <w:t>$2,6</w:t>
            </w:r>
            <w:r>
              <w:rPr>
                <w:b/>
                <w:bCs/>
                <w:sz w:val="20"/>
                <w:szCs w:val="20"/>
              </w:rPr>
              <w:t>62,191</w:t>
            </w:r>
            <w:r w:rsidRPr="00871E51">
              <w:rPr>
                <w:b/>
                <w:bCs/>
                <w:sz w:val="20"/>
                <w:szCs w:val="20"/>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871E51" w:rsidR="00067362" w:rsidP="007F64F4" w:rsidRDefault="00067362" w14:paraId="524D1214" w14:textId="77777777">
            <w:pPr>
              <w:widowControl w:val="0"/>
              <w:jc w:val="right"/>
              <w:rPr>
                <w:rFonts w:eastAsia="Calibri"/>
                <w:b/>
                <w:bCs/>
                <w:sz w:val="20"/>
                <w:szCs w:val="20"/>
              </w:rPr>
            </w:pPr>
            <w:r w:rsidRPr="00871E51">
              <w:rPr>
                <w:b/>
                <w:bCs/>
                <w:sz w:val="20"/>
                <w:szCs w:val="20"/>
              </w:rPr>
              <w:t>$3,</w:t>
            </w:r>
            <w:r>
              <w:rPr>
                <w:b/>
                <w:bCs/>
                <w:sz w:val="20"/>
                <w:szCs w:val="20"/>
              </w:rPr>
              <w:t>211,216</w:t>
            </w:r>
            <w:r w:rsidRPr="00871E51">
              <w:rPr>
                <w:b/>
                <w:bCs/>
                <w:sz w:val="20"/>
                <w:szCs w:val="20"/>
              </w:rPr>
              <w:t xml:space="preserve"> </w:t>
            </w:r>
          </w:p>
        </w:tc>
        <w:tc>
          <w:tcPr>
            <w:tcW w:w="123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871E51" w:rsidR="00067362" w:rsidP="007F64F4" w:rsidRDefault="00067362" w14:paraId="71BB7D2D" w14:textId="4866F80F">
            <w:pPr>
              <w:widowControl w:val="0"/>
              <w:jc w:val="right"/>
              <w:rPr>
                <w:rFonts w:eastAsia="Calibri"/>
                <w:b/>
                <w:bCs/>
                <w:sz w:val="20"/>
                <w:szCs w:val="20"/>
              </w:rPr>
            </w:pPr>
            <w:r w:rsidRPr="00871E51">
              <w:rPr>
                <w:b/>
                <w:bCs/>
                <w:sz w:val="20"/>
                <w:szCs w:val="20"/>
              </w:rPr>
              <w:t>$2,6</w:t>
            </w:r>
            <w:r>
              <w:rPr>
                <w:b/>
                <w:bCs/>
                <w:sz w:val="20"/>
                <w:szCs w:val="20"/>
              </w:rPr>
              <w:t>91,329</w:t>
            </w:r>
            <w:r w:rsidRPr="00871E51">
              <w:rPr>
                <w:b/>
                <w:bCs/>
                <w:sz w:val="20"/>
                <w:szCs w:val="20"/>
              </w:rPr>
              <w:t xml:space="preserve"> </w:t>
            </w:r>
          </w:p>
        </w:tc>
      </w:tr>
    </w:tbl>
    <w:p w:rsidRPr="00871E51" w:rsidR="00067362" w:rsidP="00067362" w:rsidRDefault="00067362" w14:paraId="59FD3E2C" w14:textId="13882924">
      <w:pPr>
        <w:widowControl w:val="0"/>
        <w:ind w:left="-720"/>
        <w:rPr>
          <w:rFonts w:eastAsia="Calibri"/>
          <w:sz w:val="20"/>
          <w:szCs w:val="20"/>
        </w:rPr>
      </w:pPr>
      <w:r w:rsidRPr="00871E51">
        <w:rPr>
          <w:rFonts w:eastAsia="Calibri"/>
          <w:sz w:val="20"/>
          <w:szCs w:val="20"/>
        </w:rPr>
        <w:t>*Due to burden for certain activities being estimated in fractions of hours, totals may not reflect the sum of individual rows due to rounding.</w:t>
      </w:r>
    </w:p>
    <w:p w:rsidR="009C12FC" w:rsidP="00C45D11" w:rsidRDefault="0035181D" w14:paraId="45C705C4" w14:textId="67937B59">
      <w:pPr>
        <w:pStyle w:val="Heading3"/>
      </w:pPr>
      <w:r w:rsidRPr="0096593D">
        <w:t>Burden for Quality Data Submission by Clinicians and Groups</w:t>
      </w:r>
      <w:r>
        <w:t xml:space="preserve">: </w:t>
      </w:r>
      <w:r w:rsidR="00971697">
        <w:br/>
      </w:r>
      <w:r w:rsidR="009C12FC">
        <w:t>CMS Web Interface</w:t>
      </w:r>
    </w:p>
    <w:p w:rsidRPr="00871E51" w:rsidR="005442B6" w:rsidP="005442B6" w:rsidRDefault="007D22FC" w14:paraId="0F0EFF9B" w14:textId="4D0491F9">
      <w:pPr>
        <w:ind w:firstLine="720"/>
        <w:rPr>
          <w:rFonts w:eastAsia="Calibri"/>
        </w:rPr>
      </w:pPr>
      <w:r w:rsidRPr="00871E51">
        <w:rPr>
          <w:rFonts w:eastAsia="Calibri"/>
        </w:rPr>
        <w:t xml:space="preserve">In the CY 2021 PFS final rule, we finalized our policy to sunset the CMS Web Interface measures as a collection type/submission type starting with the CY 2022 MIPS performance period/2024 MIPS payment year.  As a result of this provision, for the CY 2022 MIPS performance period/2024 MIPS payment year, we estimated a burden of zero due to our assumption that all Web Interface respondents will alternately utilize either the MIPS CQM and QCDR or eCQM collection types (85 FR 84981). </w:t>
      </w:r>
      <w:r w:rsidR="00293A33">
        <w:t>I</w:t>
      </w:r>
      <w:r w:rsidRPr="00AC0E6A" w:rsidR="00AC0E6A">
        <w:t>n th</w:t>
      </w:r>
      <w:r w:rsidR="00AC0E6A">
        <w:t>e CY 202</w:t>
      </w:r>
      <w:r w:rsidR="004F51B9">
        <w:t>2</w:t>
      </w:r>
      <w:r w:rsidR="00AC0E6A">
        <w:t xml:space="preserve"> PFS </w:t>
      </w:r>
      <w:r w:rsidR="004F51B9">
        <w:t>proposed</w:t>
      </w:r>
      <w:r w:rsidRPr="00AC0E6A" w:rsidR="00AC0E6A">
        <w:t xml:space="preserve"> rule, </w:t>
      </w:r>
      <w:r w:rsidRPr="00871E51" w:rsidR="005442B6">
        <w:rPr>
          <w:rFonts w:eastAsia="Calibri"/>
        </w:rPr>
        <w:t>we are proposing to continue the CMS Web Interface measures as a collection type for the CY 2022 MIPS performance period/2024 MIPS payment year.  Additionally, we are proposing to sunset the CMS Web Interface measures as a collection type for the CY 2023 MIPS performance period/2025 MIPS payment year</w:t>
      </w:r>
      <w:r w:rsidR="00554147">
        <w:rPr>
          <w:rFonts w:eastAsia="Calibri"/>
        </w:rPr>
        <w:t xml:space="preserve"> (86 FR 39391 through 39392)</w:t>
      </w:r>
      <w:r w:rsidRPr="00871E51" w:rsidR="005442B6">
        <w:rPr>
          <w:rFonts w:eastAsia="Calibri"/>
        </w:rPr>
        <w:t xml:space="preserve">.  </w:t>
      </w:r>
    </w:p>
    <w:p w:rsidR="0093343E" w:rsidP="0093343E" w:rsidRDefault="004E3BD6" w14:paraId="56B2DC16" w14:textId="53023751">
      <w:r w:rsidRPr="00871E51">
        <w:rPr>
          <w:rFonts w:eastAsia="Calibri"/>
        </w:rPr>
        <w:t xml:space="preserve">For the CY 2022 MIPS performance period/2024 MIPS payment year, </w:t>
      </w:r>
      <w:r w:rsidR="00507681">
        <w:t>w</w:t>
      </w:r>
      <w:r w:rsidR="0093343E">
        <w:t>e assume 11</w:t>
      </w:r>
      <w:r>
        <w:t>4</w:t>
      </w:r>
      <w:r w:rsidR="0093343E">
        <w:t xml:space="preserve"> groups will submit quality data via the CMS Web Interface based on the number of groups who completed 100 percent of reporting quality data via the Web Interface in the </w:t>
      </w:r>
      <w:r>
        <w:t xml:space="preserve">CY </w:t>
      </w:r>
      <w:r w:rsidR="0093343E">
        <w:t>2019 MIPS performance period</w:t>
      </w:r>
      <w:r>
        <w:t>/2021 MIPS payment year</w:t>
      </w:r>
      <w:r w:rsidR="0093343E">
        <w:t xml:space="preserve">.  This is an increase of </w:t>
      </w:r>
      <w:r>
        <w:t>114</w:t>
      </w:r>
      <w:r w:rsidR="0093343E">
        <w:t xml:space="preserve"> groups from the currently approved number of </w:t>
      </w:r>
      <w:r>
        <w:t>0</w:t>
      </w:r>
      <w:r w:rsidR="0093343E">
        <w:t xml:space="preserve"> groups due to receipt of more current data.  We estimate 4</w:t>
      </w:r>
      <w:r w:rsidR="00507681">
        <w:t>4,385</w:t>
      </w:r>
      <w:r w:rsidR="0093343E">
        <w:t xml:space="preserve"> clinicians will submit as part of groups via this method, a</w:t>
      </w:r>
      <w:r w:rsidR="00507681">
        <w:t>n</w:t>
      </w:r>
      <w:r w:rsidR="0093343E">
        <w:t xml:space="preserve"> </w:t>
      </w:r>
      <w:r w:rsidR="00507681">
        <w:t>increase</w:t>
      </w:r>
      <w:r w:rsidR="0093343E">
        <w:t xml:space="preserve"> of 874 from our currently approved estimate of </w:t>
      </w:r>
      <w:r w:rsidR="00507681">
        <w:t>0</w:t>
      </w:r>
      <w:r w:rsidR="0093343E">
        <w:t xml:space="preserve"> clinicians.  </w:t>
      </w:r>
    </w:p>
    <w:p w:rsidR="00AC0E6A" w:rsidP="0093343E" w:rsidRDefault="0093343E" w14:paraId="058F2DEC" w14:textId="33F70EC0">
      <w:r>
        <w:lastRenderedPageBreak/>
        <w:t xml:space="preserve">The </w:t>
      </w:r>
      <w:r w:rsidR="005964F9">
        <w:t xml:space="preserve">proposed </w:t>
      </w:r>
      <w:r>
        <w:t xml:space="preserve">burden associated with the group submission requirements is the time and effort associated with submitting data on a sample of the organization’s beneficiaries that is prepopulated in the CMS Web Interface.  Our </w:t>
      </w:r>
      <w:r w:rsidR="00F8328A">
        <w:t xml:space="preserve">proposed </w:t>
      </w:r>
      <w:r>
        <w:t xml:space="preserve">burden estimate for submission includes the time (61.67 hours) needed for each group to populate data fields in the </w:t>
      </w:r>
      <w:r w:rsidR="00224D05">
        <w:t>W</w:t>
      </w:r>
      <w:r>
        <w:t xml:space="preserve">eb </w:t>
      </w:r>
      <w:r w:rsidR="00224D05">
        <w:t>I</w:t>
      </w:r>
      <w:r>
        <w:t>nterface with information on approximately 248 eligible assigned Medicare beneficiaries and submit the data (we will partially pre-populate the CMS Web Interface with claims data from their Medicare Part A and B beneficiaries).  The patient data either can be manually entered</w:t>
      </w:r>
      <w:r w:rsidR="009B73F8">
        <w:t>;</w:t>
      </w:r>
      <w:r>
        <w:t xml:space="preserve"> uploaded into the CMS Web Interface via a standard file format, which can be populated by CEHRT</w:t>
      </w:r>
      <w:r w:rsidR="009B73F8">
        <w:t>;</w:t>
      </w:r>
      <w:r>
        <w:t xml:space="preserve"> or submitted directly.  Each group must provide data on 248 eligible assigned Medicare beneficiaries (or all eligible assigned Medicare beneficiaries if the pool of eligible assigned beneficiaries is less than 248) for each measure.  In aggregate, we estimate a burden </w:t>
      </w:r>
      <w:r w:rsidR="00746375">
        <w:t>of 7,030 hours (</w:t>
      </w:r>
      <w:r w:rsidR="004C2376">
        <w:t>114 groups x 61.67</w:t>
      </w:r>
      <w:r w:rsidR="00AF2CDF">
        <w:t xml:space="preserve"> hr</w:t>
      </w:r>
      <w:r w:rsidR="00746375">
        <w:t>)</w:t>
      </w:r>
      <w:r w:rsidR="00AF2CDF">
        <w:t xml:space="preserve"> at a cost of $</w:t>
      </w:r>
      <w:r w:rsidRPr="00871E51" w:rsidR="00801B43">
        <w:rPr>
          <w:rFonts w:eastAsia="Calibri"/>
        </w:rPr>
        <w:t>669,43</w:t>
      </w:r>
      <w:r w:rsidR="00E44519">
        <w:rPr>
          <w:rFonts w:eastAsia="Calibri"/>
        </w:rPr>
        <w:t>3</w:t>
      </w:r>
      <w:r w:rsidRPr="00871E51" w:rsidR="00801B43">
        <w:rPr>
          <w:rFonts w:eastAsia="Calibri"/>
        </w:rPr>
        <w:t xml:space="preserve"> </w:t>
      </w:r>
      <w:r w:rsidR="00AF2CDF">
        <w:t>(</w:t>
      </w:r>
      <w:r w:rsidR="00925052">
        <w:t>114 groups</w:t>
      </w:r>
      <w:r w:rsidRPr="00925052" w:rsidR="00925052">
        <w:t xml:space="preserve"> </w:t>
      </w:r>
      <w:r w:rsidR="00925052">
        <w:t>x 61.67</w:t>
      </w:r>
      <w:r w:rsidR="00AF2CDF">
        <w:t xml:space="preserve"> hr x $9</w:t>
      </w:r>
      <w:r w:rsidR="0056429F">
        <w:t>5.22</w:t>
      </w:r>
      <w:r w:rsidR="00AF2CDF">
        <w:t xml:space="preserve">/hr) </w:t>
      </w:r>
      <w:r>
        <w:t>for the</w:t>
      </w:r>
      <w:r w:rsidR="006456E5">
        <w:t xml:space="preserve"> CY</w:t>
      </w:r>
      <w:r>
        <w:t xml:space="preserve"> 202</w:t>
      </w:r>
      <w:r w:rsidR="006456E5">
        <w:t>2 MIPS</w:t>
      </w:r>
      <w:r>
        <w:t xml:space="preserve"> performance period</w:t>
      </w:r>
      <w:r w:rsidR="006456E5">
        <w:t>/202</w:t>
      </w:r>
      <w:r w:rsidR="002D67F5">
        <w:t>4</w:t>
      </w:r>
      <w:r w:rsidR="006456E5">
        <w:t xml:space="preserve"> MIPS payment </w:t>
      </w:r>
      <w:r w:rsidR="00AB1AE3">
        <w:t>year.</w:t>
      </w:r>
      <w:r>
        <w:t xml:space="preserve">  For the </w:t>
      </w:r>
      <w:r w:rsidR="00E21065">
        <w:t xml:space="preserve">CY </w:t>
      </w:r>
      <w:r>
        <w:t>202</w:t>
      </w:r>
      <w:r w:rsidR="00E21065">
        <w:t>3 MIPS</w:t>
      </w:r>
      <w:r>
        <w:t xml:space="preserve"> performance period</w:t>
      </w:r>
      <w:r w:rsidR="00E21065">
        <w:t>/2025 MIPS payment year</w:t>
      </w:r>
      <w:r>
        <w:t xml:space="preserve">, we estimate a burden of zero due to our assumption that all Web Interface respondents will alternately utilize either the MIPS CQM and QCDR or eCQM collection types.  </w:t>
      </w:r>
    </w:p>
    <w:p w:rsidR="00CD10BF" w:rsidP="00CD10BF" w:rsidRDefault="00CD10BF" w14:paraId="62BACD4E" w14:textId="4811824D">
      <w:r w:rsidRPr="003D1D2F">
        <w:rPr>
          <w:rFonts w:eastAsia="Calibri"/>
        </w:rPr>
        <w:t xml:space="preserve">Based on the assumptions discussed in this section, Table </w:t>
      </w:r>
      <w:r>
        <w:rPr>
          <w:rFonts w:eastAsia="Calibri"/>
        </w:rPr>
        <w:t>1</w:t>
      </w:r>
      <w:r w:rsidR="00967D52">
        <w:rPr>
          <w:rFonts w:eastAsia="Calibri"/>
        </w:rPr>
        <w:t>6</w:t>
      </w:r>
      <w:r w:rsidRPr="003D1D2F">
        <w:rPr>
          <w:rFonts w:eastAsia="Calibri"/>
        </w:rPr>
        <w:t xml:space="preserve"> summarizes the burden for groups submitting to MIPS via the CMS Web Interface</w:t>
      </w:r>
      <w:r>
        <w:t>.</w:t>
      </w:r>
    </w:p>
    <w:p w:rsidRPr="00C47150" w:rsidR="00CD10BF" w:rsidP="00CD10BF" w:rsidRDefault="00CD10BF" w14:paraId="336326D8" w14:textId="62C0908C">
      <w:pPr>
        <w:keepNext/>
        <w:keepLines/>
        <w:spacing w:after="0"/>
        <w:jc w:val="center"/>
        <w:rPr>
          <w:b/>
          <w:bCs/>
        </w:rPr>
      </w:pPr>
      <w:r w:rsidRPr="00C47150">
        <w:rPr>
          <w:b/>
          <w:bCs/>
        </w:rPr>
        <w:t xml:space="preserve">TABLE </w:t>
      </w:r>
      <w:r>
        <w:rPr>
          <w:b/>
          <w:bCs/>
        </w:rPr>
        <w:t>1</w:t>
      </w:r>
      <w:r w:rsidR="00067362">
        <w:rPr>
          <w:b/>
          <w:bCs/>
        </w:rPr>
        <w:t>6</w:t>
      </w:r>
      <w:r w:rsidRPr="00C47150">
        <w:rPr>
          <w:b/>
          <w:bCs/>
        </w:rPr>
        <w:t xml:space="preserve">: </w:t>
      </w:r>
      <w:r>
        <w:rPr>
          <w:b/>
          <w:bCs/>
        </w:rPr>
        <w:t xml:space="preserve">Estimated </w:t>
      </w:r>
      <w:r w:rsidRPr="00C47150">
        <w:rPr>
          <w:b/>
          <w:bCs/>
        </w:rPr>
        <w:t>Burden for Quality Data Submission via the CMS Web Interface</w:t>
      </w:r>
    </w:p>
    <w:tbl>
      <w:tblPr>
        <w:tblW w:w="9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85"/>
        <w:gridCol w:w="1710"/>
        <w:gridCol w:w="1627"/>
      </w:tblGrid>
      <w:tr w:rsidRPr="00C47150" w:rsidR="001C6762" w:rsidTr="00C178DB" w14:paraId="0D939413" w14:textId="36F67B36">
        <w:trPr>
          <w:trHeight w:val="315"/>
          <w:tblHeader/>
        </w:trPr>
        <w:tc>
          <w:tcPr>
            <w:tcW w:w="6385" w:type="dxa"/>
            <w:shd w:val="clear" w:color="auto" w:fill="auto"/>
            <w:vAlign w:val="center"/>
            <w:hideMark/>
          </w:tcPr>
          <w:p w:rsidRPr="00391C81" w:rsidR="001C6762" w:rsidP="001C6762" w:rsidRDefault="001C6762" w14:paraId="7DD5E975" w14:textId="77777777">
            <w:pPr>
              <w:keepNext/>
              <w:keepLines/>
              <w:spacing w:after="0"/>
              <w:rPr>
                <w:b/>
                <w:bCs/>
                <w:sz w:val="20"/>
                <w:szCs w:val="20"/>
              </w:rPr>
            </w:pPr>
            <w:r w:rsidRPr="00391C81">
              <w:rPr>
                <w:b/>
                <w:bCs/>
                <w:sz w:val="20"/>
                <w:szCs w:val="20"/>
              </w:rPr>
              <w:t> </w:t>
            </w:r>
            <w:r>
              <w:rPr>
                <w:b/>
                <w:bCs/>
                <w:sz w:val="20"/>
                <w:szCs w:val="20"/>
              </w:rPr>
              <w:t>Burden and Respondent Descriptions</w:t>
            </w:r>
          </w:p>
        </w:tc>
        <w:tc>
          <w:tcPr>
            <w:tcW w:w="1710" w:type="dxa"/>
            <w:shd w:val="clear" w:color="auto" w:fill="auto"/>
            <w:vAlign w:val="center"/>
            <w:hideMark/>
          </w:tcPr>
          <w:p w:rsidRPr="00391C81" w:rsidR="001C6762" w:rsidP="001C6762" w:rsidRDefault="001C6762" w14:paraId="126A282A" w14:textId="10763D21">
            <w:pPr>
              <w:keepNext/>
              <w:keepLines/>
              <w:spacing w:after="0"/>
              <w:jc w:val="center"/>
              <w:rPr>
                <w:b/>
                <w:bCs/>
                <w:sz w:val="20"/>
                <w:szCs w:val="20"/>
              </w:rPr>
            </w:pPr>
            <w:r>
              <w:rPr>
                <w:rFonts w:eastAsia="Calibri"/>
                <w:b/>
                <w:bCs/>
                <w:sz w:val="20"/>
                <w:szCs w:val="20"/>
              </w:rPr>
              <w:t>202</w:t>
            </w:r>
            <w:r w:rsidR="002D51DE">
              <w:rPr>
                <w:rFonts w:eastAsia="Calibri"/>
                <w:b/>
                <w:bCs/>
                <w:sz w:val="20"/>
                <w:szCs w:val="20"/>
              </w:rPr>
              <w:t>2</w:t>
            </w:r>
            <w:r>
              <w:rPr>
                <w:rFonts w:eastAsia="Calibri"/>
                <w:b/>
                <w:bCs/>
                <w:sz w:val="20"/>
                <w:szCs w:val="20"/>
              </w:rPr>
              <w:t xml:space="preserve"> Performance Period </w:t>
            </w:r>
            <w:r w:rsidRPr="007D4B40">
              <w:rPr>
                <w:rFonts w:eastAsia="Calibri"/>
                <w:b/>
                <w:bCs/>
                <w:sz w:val="20"/>
                <w:szCs w:val="20"/>
              </w:rPr>
              <w:t>Burden Estimate</w:t>
            </w:r>
          </w:p>
        </w:tc>
        <w:tc>
          <w:tcPr>
            <w:tcW w:w="1627" w:type="dxa"/>
            <w:vAlign w:val="center"/>
          </w:tcPr>
          <w:p w:rsidRPr="00391C81" w:rsidR="001C6762" w:rsidP="001C6762" w:rsidRDefault="001C6762" w14:paraId="28E18A6E" w14:textId="2313CE8B">
            <w:pPr>
              <w:keepNext/>
              <w:keepLines/>
              <w:spacing w:after="0"/>
              <w:jc w:val="center"/>
              <w:rPr>
                <w:b/>
                <w:bCs/>
                <w:sz w:val="20"/>
                <w:szCs w:val="20"/>
              </w:rPr>
            </w:pPr>
            <w:r>
              <w:rPr>
                <w:rFonts w:eastAsia="Calibri"/>
                <w:b/>
                <w:bCs/>
                <w:sz w:val="20"/>
                <w:szCs w:val="20"/>
              </w:rPr>
              <w:t>202</w:t>
            </w:r>
            <w:r w:rsidR="002D51DE">
              <w:rPr>
                <w:rFonts w:eastAsia="Calibri"/>
                <w:b/>
                <w:bCs/>
                <w:sz w:val="20"/>
                <w:szCs w:val="20"/>
              </w:rPr>
              <w:t>3</w:t>
            </w:r>
            <w:r>
              <w:rPr>
                <w:rFonts w:eastAsia="Calibri"/>
                <w:b/>
                <w:bCs/>
                <w:sz w:val="20"/>
                <w:szCs w:val="20"/>
              </w:rPr>
              <w:t xml:space="preserve"> Performance Period </w:t>
            </w:r>
            <w:r w:rsidRPr="007D4B40">
              <w:rPr>
                <w:rFonts w:eastAsia="Calibri"/>
                <w:b/>
                <w:bCs/>
                <w:sz w:val="20"/>
                <w:szCs w:val="20"/>
              </w:rPr>
              <w:t>Burden Estimate</w:t>
            </w:r>
          </w:p>
        </w:tc>
      </w:tr>
      <w:tr w:rsidRPr="00C47150" w:rsidR="001C6762" w:rsidTr="00C178DB" w14:paraId="03558172" w14:textId="5ABBAA58">
        <w:trPr>
          <w:trHeight w:val="295"/>
        </w:trPr>
        <w:tc>
          <w:tcPr>
            <w:tcW w:w="6385" w:type="dxa"/>
            <w:shd w:val="clear" w:color="auto" w:fill="auto"/>
            <w:hideMark/>
          </w:tcPr>
          <w:p w:rsidRPr="00391C81" w:rsidR="001C6762" w:rsidP="001C6762" w:rsidRDefault="001C6762" w14:paraId="71A454F2" w14:textId="77777777">
            <w:pPr>
              <w:spacing w:after="0"/>
              <w:rPr>
                <w:sz w:val="20"/>
                <w:szCs w:val="20"/>
              </w:rPr>
            </w:pPr>
            <w:r w:rsidRPr="00732012">
              <w:rPr>
                <w:sz w:val="20"/>
                <w:szCs w:val="20"/>
              </w:rPr>
              <w:t># of Eligible Group Practices (a)</w:t>
            </w:r>
          </w:p>
        </w:tc>
        <w:tc>
          <w:tcPr>
            <w:tcW w:w="1710" w:type="dxa"/>
            <w:shd w:val="clear" w:color="auto" w:fill="auto"/>
            <w:vAlign w:val="center"/>
            <w:hideMark/>
          </w:tcPr>
          <w:p w:rsidRPr="00391C81" w:rsidR="001C6762" w:rsidP="001C6762" w:rsidRDefault="001C6762" w14:paraId="485BC305" w14:textId="49E75CC6">
            <w:pPr>
              <w:spacing w:after="0"/>
              <w:rPr>
                <w:sz w:val="20"/>
                <w:szCs w:val="20"/>
              </w:rPr>
            </w:pPr>
            <w:r w:rsidRPr="007D4B40">
              <w:rPr>
                <w:rFonts w:eastAsia="Calibri"/>
                <w:sz w:val="20"/>
                <w:szCs w:val="20"/>
              </w:rPr>
              <w:t>1</w:t>
            </w:r>
            <w:r>
              <w:rPr>
                <w:rFonts w:eastAsia="Calibri"/>
                <w:sz w:val="20"/>
                <w:szCs w:val="20"/>
              </w:rPr>
              <w:t>1</w:t>
            </w:r>
            <w:r w:rsidR="004224F6">
              <w:rPr>
                <w:rFonts w:eastAsia="Calibri"/>
                <w:sz w:val="20"/>
                <w:szCs w:val="20"/>
              </w:rPr>
              <w:t>4</w:t>
            </w:r>
          </w:p>
        </w:tc>
        <w:tc>
          <w:tcPr>
            <w:tcW w:w="1627" w:type="dxa"/>
            <w:vAlign w:val="center"/>
          </w:tcPr>
          <w:p w:rsidR="001C6762" w:rsidP="001C6762" w:rsidRDefault="001C6762" w14:paraId="6C82EA9A" w14:textId="25430366">
            <w:pPr>
              <w:spacing w:after="0"/>
              <w:rPr>
                <w:sz w:val="20"/>
                <w:szCs w:val="20"/>
              </w:rPr>
            </w:pPr>
            <w:r>
              <w:rPr>
                <w:rFonts w:eastAsia="Calibri"/>
                <w:sz w:val="20"/>
                <w:szCs w:val="20"/>
              </w:rPr>
              <w:t>0</w:t>
            </w:r>
          </w:p>
        </w:tc>
      </w:tr>
      <w:tr w:rsidRPr="00C47150" w:rsidR="001C6762" w:rsidTr="00C178DB" w14:paraId="4419DC4E" w14:textId="1F1991EE">
        <w:trPr>
          <w:trHeight w:val="250"/>
        </w:trPr>
        <w:tc>
          <w:tcPr>
            <w:tcW w:w="6385" w:type="dxa"/>
            <w:shd w:val="clear" w:color="auto" w:fill="auto"/>
            <w:hideMark/>
          </w:tcPr>
          <w:p w:rsidRPr="00391C81" w:rsidR="001C6762" w:rsidP="001C6762" w:rsidRDefault="001C6762" w14:paraId="025391BD" w14:textId="77777777">
            <w:pPr>
              <w:spacing w:after="0"/>
              <w:rPr>
                <w:sz w:val="20"/>
                <w:szCs w:val="20"/>
              </w:rPr>
            </w:pPr>
            <w:r w:rsidRPr="00732012">
              <w:rPr>
                <w:sz w:val="20"/>
                <w:szCs w:val="20"/>
              </w:rPr>
              <w:t xml:space="preserve">Total Annual Hours Per Group to Submit (b) </w:t>
            </w:r>
          </w:p>
        </w:tc>
        <w:tc>
          <w:tcPr>
            <w:tcW w:w="1710" w:type="dxa"/>
            <w:shd w:val="clear" w:color="auto" w:fill="auto"/>
            <w:vAlign w:val="center"/>
            <w:hideMark/>
          </w:tcPr>
          <w:p w:rsidRPr="00391C81" w:rsidR="001C6762" w:rsidP="001C6762" w:rsidRDefault="001C6762" w14:paraId="5B0AB04A" w14:textId="161A5C77">
            <w:pPr>
              <w:spacing w:after="0"/>
              <w:rPr>
                <w:sz w:val="20"/>
                <w:szCs w:val="20"/>
              </w:rPr>
            </w:pPr>
            <w:r w:rsidRPr="007D4B40">
              <w:rPr>
                <w:rFonts w:eastAsia="Calibri"/>
                <w:sz w:val="20"/>
                <w:szCs w:val="20"/>
              </w:rPr>
              <w:t>61.67</w:t>
            </w:r>
          </w:p>
        </w:tc>
        <w:tc>
          <w:tcPr>
            <w:tcW w:w="1627" w:type="dxa"/>
            <w:vAlign w:val="center"/>
          </w:tcPr>
          <w:p w:rsidR="001C6762" w:rsidP="001C6762" w:rsidRDefault="005412B0" w14:paraId="33000A1D" w14:textId="4BDEED33">
            <w:pPr>
              <w:spacing w:after="0"/>
              <w:rPr>
                <w:rFonts w:eastAsia="Calibri"/>
                <w:sz w:val="20"/>
                <w:szCs w:val="20"/>
              </w:rPr>
            </w:pPr>
            <w:r>
              <w:rPr>
                <w:rFonts w:eastAsia="Calibri"/>
                <w:sz w:val="20"/>
                <w:szCs w:val="20"/>
              </w:rPr>
              <w:t>0</w:t>
            </w:r>
          </w:p>
        </w:tc>
      </w:tr>
      <w:tr w:rsidRPr="00C47150" w:rsidR="001C6762" w:rsidTr="00C178DB" w14:paraId="4294A7AF" w14:textId="7D41800E">
        <w:trPr>
          <w:trHeight w:val="315"/>
        </w:trPr>
        <w:tc>
          <w:tcPr>
            <w:tcW w:w="6385" w:type="dxa"/>
            <w:shd w:val="clear" w:color="auto" w:fill="D9D9D9" w:themeFill="background1" w:themeFillShade="D9"/>
            <w:hideMark/>
          </w:tcPr>
          <w:p w:rsidRPr="00391C81" w:rsidR="001C6762" w:rsidP="001C6762" w:rsidRDefault="001C6762" w14:paraId="2F256983" w14:textId="77777777">
            <w:pPr>
              <w:spacing w:after="0"/>
              <w:rPr>
                <w:b/>
                <w:bCs/>
                <w:sz w:val="20"/>
                <w:szCs w:val="20"/>
              </w:rPr>
            </w:pPr>
            <w:r w:rsidRPr="00732012">
              <w:rPr>
                <w:b/>
                <w:bCs/>
                <w:sz w:val="20"/>
                <w:szCs w:val="20"/>
              </w:rPr>
              <w:t>Total Annual Hours (c) = (a)*(b)</w:t>
            </w:r>
          </w:p>
        </w:tc>
        <w:tc>
          <w:tcPr>
            <w:tcW w:w="1710" w:type="dxa"/>
            <w:shd w:val="clear" w:color="auto" w:fill="D9D9D9" w:themeFill="background1" w:themeFillShade="D9"/>
            <w:vAlign w:val="center"/>
            <w:hideMark/>
          </w:tcPr>
          <w:p w:rsidRPr="005860CF" w:rsidR="001C6762" w:rsidP="001C6762" w:rsidRDefault="002D51DE" w14:paraId="494DA3E0" w14:textId="423E8C21">
            <w:pPr>
              <w:spacing w:after="0"/>
              <w:rPr>
                <w:b/>
                <w:bCs/>
                <w:sz w:val="20"/>
                <w:szCs w:val="20"/>
              </w:rPr>
            </w:pPr>
            <w:r>
              <w:rPr>
                <w:rFonts w:eastAsia="Calibri"/>
                <w:b/>
                <w:bCs/>
                <w:sz w:val="20"/>
                <w:szCs w:val="20"/>
              </w:rPr>
              <w:t>7,030</w:t>
            </w:r>
          </w:p>
        </w:tc>
        <w:tc>
          <w:tcPr>
            <w:tcW w:w="1627" w:type="dxa"/>
            <w:shd w:val="clear" w:color="auto" w:fill="D9D9D9" w:themeFill="background1" w:themeFillShade="D9"/>
            <w:vAlign w:val="center"/>
          </w:tcPr>
          <w:p w:rsidRPr="005860CF" w:rsidR="001C6762" w:rsidP="001C6762" w:rsidRDefault="001C6762" w14:paraId="54DA8B93" w14:textId="189DC37D">
            <w:pPr>
              <w:spacing w:after="0"/>
              <w:rPr>
                <w:b/>
                <w:bCs/>
                <w:sz w:val="20"/>
                <w:szCs w:val="20"/>
              </w:rPr>
            </w:pPr>
            <w:r w:rsidRPr="005860CF">
              <w:rPr>
                <w:rFonts w:eastAsia="Calibri"/>
                <w:b/>
                <w:bCs/>
                <w:sz w:val="20"/>
                <w:szCs w:val="20"/>
              </w:rPr>
              <w:t>0</w:t>
            </w:r>
          </w:p>
        </w:tc>
      </w:tr>
      <w:tr w:rsidRPr="00C47150" w:rsidR="001C6762" w:rsidTr="00C178DB" w14:paraId="79E73D79" w14:textId="3AA4B4F1">
        <w:trPr>
          <w:trHeight w:val="251"/>
        </w:trPr>
        <w:tc>
          <w:tcPr>
            <w:tcW w:w="6385" w:type="dxa"/>
            <w:shd w:val="clear" w:color="auto" w:fill="auto"/>
          </w:tcPr>
          <w:p w:rsidRPr="00391C81" w:rsidR="001C6762" w:rsidP="001C6762" w:rsidRDefault="001C6762" w14:paraId="5BF1C036" w14:textId="74929637">
            <w:pPr>
              <w:spacing w:after="0"/>
              <w:rPr>
                <w:sz w:val="20"/>
                <w:szCs w:val="20"/>
              </w:rPr>
            </w:pPr>
            <w:r w:rsidRPr="00732012">
              <w:rPr>
                <w:sz w:val="20"/>
                <w:szCs w:val="20"/>
              </w:rPr>
              <w:t>Cost Per Group to Report (@ computer systems analyst’s labor rate of $</w:t>
            </w:r>
            <w:r>
              <w:rPr>
                <w:sz w:val="20"/>
                <w:szCs w:val="20"/>
              </w:rPr>
              <w:t>9</w:t>
            </w:r>
            <w:r w:rsidR="00632F4B">
              <w:rPr>
                <w:sz w:val="20"/>
                <w:szCs w:val="20"/>
              </w:rPr>
              <w:t>5.22</w:t>
            </w:r>
            <w:r w:rsidRPr="00732012">
              <w:rPr>
                <w:sz w:val="20"/>
                <w:szCs w:val="20"/>
              </w:rPr>
              <w:t xml:space="preserve">/hr.) (d)  </w:t>
            </w:r>
          </w:p>
        </w:tc>
        <w:tc>
          <w:tcPr>
            <w:tcW w:w="1710" w:type="dxa"/>
            <w:shd w:val="clear" w:color="auto" w:fill="auto"/>
            <w:vAlign w:val="center"/>
          </w:tcPr>
          <w:p w:rsidRPr="00391C81" w:rsidR="001C6762" w:rsidP="001C6762" w:rsidRDefault="001C6762" w14:paraId="6467B713" w14:textId="3699C014">
            <w:pPr>
              <w:spacing w:after="0"/>
              <w:rPr>
                <w:sz w:val="20"/>
                <w:szCs w:val="20"/>
              </w:rPr>
            </w:pPr>
            <w:r w:rsidRPr="007D4B40">
              <w:rPr>
                <w:rFonts w:eastAsia="Calibri"/>
                <w:sz w:val="20"/>
                <w:szCs w:val="20"/>
              </w:rPr>
              <w:t>$5,</w:t>
            </w:r>
            <w:r w:rsidR="00CD45BE">
              <w:rPr>
                <w:rFonts w:eastAsia="Calibri"/>
                <w:sz w:val="20"/>
                <w:szCs w:val="20"/>
              </w:rPr>
              <w:t>872.21</w:t>
            </w:r>
          </w:p>
        </w:tc>
        <w:tc>
          <w:tcPr>
            <w:tcW w:w="1627" w:type="dxa"/>
            <w:vAlign w:val="center"/>
          </w:tcPr>
          <w:p w:rsidRPr="00626F78" w:rsidR="001C6762" w:rsidP="001C6762" w:rsidRDefault="001C6762" w14:paraId="5BBE4596" w14:textId="6CD962F5">
            <w:pPr>
              <w:spacing w:after="0"/>
              <w:rPr>
                <w:rFonts w:eastAsia="Calibri"/>
                <w:sz w:val="20"/>
                <w:szCs w:val="20"/>
              </w:rPr>
            </w:pPr>
            <w:r w:rsidRPr="007D4B40">
              <w:rPr>
                <w:rFonts w:eastAsia="Calibri"/>
                <w:sz w:val="20"/>
                <w:szCs w:val="20"/>
              </w:rPr>
              <w:t>$</w:t>
            </w:r>
            <w:r w:rsidR="008E07C3">
              <w:rPr>
                <w:rFonts w:eastAsia="Calibri"/>
                <w:sz w:val="20"/>
                <w:szCs w:val="20"/>
              </w:rPr>
              <w:t>0</w:t>
            </w:r>
          </w:p>
        </w:tc>
      </w:tr>
      <w:tr w:rsidRPr="00C47150" w:rsidR="001C6762" w:rsidTr="00C178DB" w14:paraId="23A15AE5" w14:textId="1BF7F98D">
        <w:trPr>
          <w:trHeight w:val="315"/>
        </w:trPr>
        <w:tc>
          <w:tcPr>
            <w:tcW w:w="6385" w:type="dxa"/>
            <w:shd w:val="clear" w:color="auto" w:fill="D9D9D9" w:themeFill="background1" w:themeFillShade="D9"/>
            <w:hideMark/>
          </w:tcPr>
          <w:p w:rsidRPr="00391C81" w:rsidR="001C6762" w:rsidP="001C6762" w:rsidRDefault="001C6762" w14:paraId="372E488A" w14:textId="77777777">
            <w:pPr>
              <w:spacing w:after="0"/>
              <w:rPr>
                <w:b/>
                <w:bCs/>
                <w:sz w:val="20"/>
                <w:szCs w:val="20"/>
              </w:rPr>
            </w:pPr>
            <w:r w:rsidRPr="00732012">
              <w:rPr>
                <w:b/>
                <w:bCs/>
                <w:sz w:val="20"/>
                <w:szCs w:val="20"/>
              </w:rPr>
              <w:t>Total Annual Cost (e) = (a)*(d)</w:t>
            </w:r>
          </w:p>
        </w:tc>
        <w:tc>
          <w:tcPr>
            <w:tcW w:w="1710" w:type="dxa"/>
            <w:shd w:val="clear" w:color="auto" w:fill="D9D9D9" w:themeFill="background1" w:themeFillShade="D9"/>
            <w:vAlign w:val="center"/>
            <w:hideMark/>
          </w:tcPr>
          <w:p w:rsidRPr="005860CF" w:rsidR="001C6762" w:rsidP="001C6762" w:rsidRDefault="001C6762" w14:paraId="05A19A19" w14:textId="6FE5E988">
            <w:pPr>
              <w:spacing w:after="0"/>
              <w:rPr>
                <w:b/>
                <w:bCs/>
                <w:sz w:val="20"/>
                <w:szCs w:val="20"/>
              </w:rPr>
            </w:pPr>
            <w:r w:rsidRPr="005860CF">
              <w:rPr>
                <w:rFonts w:eastAsia="Calibri"/>
                <w:b/>
                <w:bCs/>
                <w:sz w:val="20"/>
                <w:szCs w:val="20"/>
              </w:rPr>
              <w:t>$6</w:t>
            </w:r>
            <w:r w:rsidR="00E83EF7">
              <w:rPr>
                <w:rFonts w:eastAsia="Calibri"/>
                <w:b/>
                <w:bCs/>
                <w:sz w:val="20"/>
                <w:szCs w:val="20"/>
              </w:rPr>
              <w:t>69,433</w:t>
            </w:r>
          </w:p>
        </w:tc>
        <w:tc>
          <w:tcPr>
            <w:tcW w:w="1627" w:type="dxa"/>
            <w:shd w:val="clear" w:color="auto" w:fill="D9D9D9" w:themeFill="background1" w:themeFillShade="D9"/>
            <w:vAlign w:val="center"/>
          </w:tcPr>
          <w:p w:rsidRPr="005860CF" w:rsidR="001C6762" w:rsidP="001C6762" w:rsidRDefault="001C6762" w14:paraId="132D56F7" w14:textId="494C0CC2">
            <w:pPr>
              <w:spacing w:after="0"/>
              <w:rPr>
                <w:rFonts w:eastAsia="Calibri"/>
                <w:b/>
                <w:bCs/>
                <w:sz w:val="20"/>
                <w:szCs w:val="20"/>
              </w:rPr>
            </w:pPr>
            <w:r w:rsidRPr="005860CF">
              <w:rPr>
                <w:rFonts w:eastAsia="Calibri"/>
                <w:b/>
                <w:bCs/>
                <w:sz w:val="20"/>
                <w:szCs w:val="20"/>
              </w:rPr>
              <w:t>$0</w:t>
            </w:r>
          </w:p>
        </w:tc>
      </w:tr>
    </w:tbl>
    <w:p w:rsidRPr="009C12FC" w:rsidR="00CD10BF" w:rsidP="0093343E" w:rsidRDefault="00CD10BF" w14:paraId="624D0EFC" w14:textId="77777777"/>
    <w:p w:rsidRPr="00760CD7" w:rsidR="00760CD7" w:rsidP="00760CD7" w:rsidRDefault="00760CD7" w14:paraId="4C2CED45" w14:textId="77777777">
      <w:pPr>
        <w:pStyle w:val="Heading3"/>
      </w:pPr>
      <w:r w:rsidRPr="00760CD7">
        <w:t>Burden for Group Registration for CMS Web Interface</w:t>
      </w:r>
    </w:p>
    <w:p w:rsidR="007C0785" w:rsidP="007C0785" w:rsidRDefault="007C0785" w14:paraId="35ACFF7D" w14:textId="623CFEE4">
      <w:pPr>
        <w:keepNext/>
        <w:keepLines/>
      </w:pPr>
      <w:r>
        <w:t>Groups interested in participating in MIPS using the CMS Web Interface for the first time must complete an on-line registration process.  After first time registration, groups will only need to opt out if they are not going to continue to submit via the CMS Web Interface.  In Table 1</w:t>
      </w:r>
      <w:r w:rsidR="005B1BEF">
        <w:t>7</w:t>
      </w:r>
      <w:r>
        <w:t xml:space="preserve">, we estimate that the registration process for groups under MIPS involves approximately 0.25 hours at $90.02/hr for a computer systems analyst (or their equivalent) to register the group.    </w:t>
      </w:r>
    </w:p>
    <w:p w:rsidR="007C0785" w:rsidP="007C0785" w:rsidRDefault="00C178DB" w14:paraId="48D229A3" w14:textId="1B2539B2">
      <w:r w:rsidRPr="00C178DB">
        <w:t xml:space="preserve">Because we </w:t>
      </w:r>
      <w:r w:rsidR="009127E9">
        <w:t xml:space="preserve">propose to </w:t>
      </w:r>
      <w:r w:rsidRPr="00C178DB">
        <w:t xml:space="preserve">sunset the CMS Web Interface beginning with the </w:t>
      </w:r>
      <w:r w:rsidR="009127E9">
        <w:t xml:space="preserve">CY </w:t>
      </w:r>
      <w:r w:rsidRPr="00C178DB">
        <w:t>202</w:t>
      </w:r>
      <w:r w:rsidR="009127E9">
        <w:t>3</w:t>
      </w:r>
      <w:r w:rsidRPr="00C178DB">
        <w:t xml:space="preserve"> MIPS performance period, it is possible that fewer groups will elect to register to submit quality data for the first time in the performance year prior to the collection type/submission type no longer being available; however, we currently have no data with which to estimate what the associated reduction may be.  Therefore, we continue to assume that approximately 90 groups will elect to use the CMS Web Interface for the first time during the </w:t>
      </w:r>
      <w:r w:rsidR="000B387D">
        <w:t>CY 2022</w:t>
      </w:r>
      <w:r w:rsidRPr="00C178DB">
        <w:t xml:space="preserve"> MIPS performance period</w:t>
      </w:r>
      <w:r w:rsidR="000B387D">
        <w:t>/2024 MIPS payment year</w:t>
      </w:r>
      <w:r w:rsidRPr="00C178DB">
        <w:t xml:space="preserve"> based on the number of new registrations received during the CY 202</w:t>
      </w:r>
      <w:r w:rsidR="00180942">
        <w:t>1</w:t>
      </w:r>
      <w:r w:rsidR="00E87012">
        <w:t xml:space="preserve"> CMS Web Interface</w:t>
      </w:r>
      <w:r w:rsidRPr="00C178DB">
        <w:t xml:space="preserve"> registration period.  As shown in Table </w:t>
      </w:r>
      <w:r>
        <w:t>1</w:t>
      </w:r>
      <w:r w:rsidR="00E87012">
        <w:t>7</w:t>
      </w:r>
      <w:r w:rsidRPr="00C178DB">
        <w:t>, we estimate a burden of 2</w:t>
      </w:r>
      <w:r w:rsidR="00363E37">
        <w:t>3</w:t>
      </w:r>
      <w:r w:rsidRPr="00C178DB">
        <w:t xml:space="preserve"> hours (90 new registrations x 0.25 hr/registration) at a cost of $2,</w:t>
      </w:r>
      <w:r w:rsidR="00774230">
        <w:t>1</w:t>
      </w:r>
      <w:r w:rsidR="005E35CA">
        <w:t>90</w:t>
      </w:r>
      <w:r w:rsidRPr="00C178DB">
        <w:t xml:space="preserve"> (2</w:t>
      </w:r>
      <w:r w:rsidR="005E35CA">
        <w:t>3</w:t>
      </w:r>
      <w:r w:rsidRPr="00C178DB">
        <w:t xml:space="preserve"> hr x $9</w:t>
      </w:r>
      <w:r w:rsidR="00CD1F12">
        <w:t>5.22</w:t>
      </w:r>
      <w:r w:rsidRPr="00C178DB">
        <w:t>/hr)</w:t>
      </w:r>
      <w:r w:rsidRPr="0082209C" w:rsidR="007C0785">
        <w:t xml:space="preserve">. </w:t>
      </w:r>
    </w:p>
    <w:p w:rsidRPr="00C47150" w:rsidR="007C0785" w:rsidP="007C0785" w:rsidRDefault="007C0785" w14:paraId="41943A24" w14:textId="7946DF3D">
      <w:pPr>
        <w:keepNext/>
        <w:keepLines/>
        <w:spacing w:after="0"/>
        <w:jc w:val="center"/>
        <w:rPr>
          <w:b/>
          <w:bCs/>
        </w:rPr>
      </w:pPr>
      <w:r w:rsidRPr="00C47150">
        <w:rPr>
          <w:b/>
          <w:bCs/>
        </w:rPr>
        <w:lastRenderedPageBreak/>
        <w:t xml:space="preserve">TABLE </w:t>
      </w:r>
      <w:r>
        <w:rPr>
          <w:b/>
          <w:bCs/>
        </w:rPr>
        <w:t>1</w:t>
      </w:r>
      <w:r w:rsidR="00067362">
        <w:rPr>
          <w:b/>
          <w:bCs/>
        </w:rPr>
        <w:t>7</w:t>
      </w:r>
      <w:r w:rsidRPr="00C47150">
        <w:rPr>
          <w:b/>
          <w:bCs/>
        </w:rPr>
        <w:t xml:space="preserve">: </w:t>
      </w:r>
      <w:r>
        <w:rPr>
          <w:b/>
          <w:bCs/>
        </w:rPr>
        <w:t xml:space="preserve">Estimated </w:t>
      </w:r>
      <w:r w:rsidRPr="00732012">
        <w:rPr>
          <w:b/>
          <w:bCs/>
        </w:rPr>
        <w:t xml:space="preserve">Burden </w:t>
      </w:r>
      <w:r w:rsidRPr="00C47150">
        <w:rPr>
          <w:b/>
          <w:bCs/>
        </w:rPr>
        <w:t>for Group Registration for CMS Web Interface</w:t>
      </w:r>
    </w:p>
    <w:tbl>
      <w:tblPr>
        <w:tblW w:w="972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95"/>
        <w:gridCol w:w="1710"/>
        <w:gridCol w:w="1620"/>
      </w:tblGrid>
      <w:tr w:rsidRPr="00C47150" w:rsidR="005860CF" w:rsidTr="008161A4" w14:paraId="7EE6F15E" w14:textId="021F960D">
        <w:trPr>
          <w:trHeight w:val="315"/>
        </w:trPr>
        <w:tc>
          <w:tcPr>
            <w:tcW w:w="6395" w:type="dxa"/>
            <w:shd w:val="clear" w:color="auto" w:fill="auto"/>
            <w:vAlign w:val="center"/>
            <w:hideMark/>
          </w:tcPr>
          <w:p w:rsidRPr="00391C81" w:rsidR="005860CF" w:rsidP="005860CF" w:rsidRDefault="005860CF" w14:paraId="6E874E71" w14:textId="77777777">
            <w:pPr>
              <w:keepNext/>
              <w:keepLines/>
              <w:spacing w:after="0"/>
              <w:rPr>
                <w:b/>
                <w:bCs/>
                <w:sz w:val="20"/>
                <w:szCs w:val="20"/>
              </w:rPr>
            </w:pPr>
            <w:r>
              <w:rPr>
                <w:b/>
                <w:bCs/>
                <w:sz w:val="20"/>
                <w:szCs w:val="20"/>
              </w:rPr>
              <w:t>Burden and Respondent Descriptions</w:t>
            </w:r>
          </w:p>
        </w:tc>
        <w:tc>
          <w:tcPr>
            <w:tcW w:w="1710" w:type="dxa"/>
            <w:shd w:val="clear" w:color="auto" w:fill="auto"/>
            <w:vAlign w:val="center"/>
            <w:hideMark/>
          </w:tcPr>
          <w:p w:rsidRPr="00391C81" w:rsidR="005860CF" w:rsidP="005860CF" w:rsidRDefault="005860CF" w14:paraId="4411EE12" w14:textId="2EEF0ECA">
            <w:pPr>
              <w:keepNext/>
              <w:keepLines/>
              <w:spacing w:after="0"/>
              <w:jc w:val="center"/>
              <w:rPr>
                <w:b/>
                <w:bCs/>
                <w:sz w:val="20"/>
                <w:szCs w:val="20"/>
              </w:rPr>
            </w:pPr>
            <w:r>
              <w:rPr>
                <w:rFonts w:eastAsia="Calibri"/>
                <w:b/>
                <w:bCs/>
                <w:sz w:val="20"/>
                <w:szCs w:val="20"/>
              </w:rPr>
              <w:t>202</w:t>
            </w:r>
            <w:r w:rsidR="00774230">
              <w:rPr>
                <w:rFonts w:eastAsia="Calibri"/>
                <w:b/>
                <w:bCs/>
                <w:sz w:val="20"/>
                <w:szCs w:val="20"/>
              </w:rPr>
              <w:t>2</w:t>
            </w:r>
            <w:r>
              <w:rPr>
                <w:rFonts w:eastAsia="Calibri"/>
                <w:b/>
                <w:bCs/>
                <w:sz w:val="20"/>
                <w:szCs w:val="20"/>
              </w:rPr>
              <w:t xml:space="preserve"> Performance Period </w:t>
            </w:r>
            <w:r w:rsidRPr="007D4B40">
              <w:rPr>
                <w:rFonts w:eastAsia="Calibri"/>
                <w:b/>
                <w:bCs/>
                <w:sz w:val="20"/>
                <w:szCs w:val="20"/>
              </w:rPr>
              <w:t>Burden</w:t>
            </w:r>
            <w:r>
              <w:rPr>
                <w:rFonts w:eastAsia="Calibri"/>
                <w:b/>
                <w:bCs/>
                <w:sz w:val="20"/>
                <w:szCs w:val="20"/>
              </w:rPr>
              <w:t xml:space="preserve"> </w:t>
            </w:r>
            <w:r w:rsidRPr="007D4B40">
              <w:rPr>
                <w:rFonts w:eastAsia="Calibri"/>
                <w:b/>
                <w:bCs/>
                <w:sz w:val="20"/>
                <w:szCs w:val="20"/>
              </w:rPr>
              <w:t>Estimate</w:t>
            </w:r>
          </w:p>
        </w:tc>
        <w:tc>
          <w:tcPr>
            <w:tcW w:w="1620" w:type="dxa"/>
            <w:vAlign w:val="center"/>
          </w:tcPr>
          <w:p w:rsidRPr="00391C81" w:rsidR="005860CF" w:rsidP="005860CF" w:rsidRDefault="005860CF" w14:paraId="10CC2999" w14:textId="241716F4">
            <w:pPr>
              <w:keepNext/>
              <w:keepLines/>
              <w:spacing w:after="0"/>
              <w:jc w:val="center"/>
              <w:rPr>
                <w:b/>
                <w:bCs/>
                <w:sz w:val="20"/>
                <w:szCs w:val="20"/>
              </w:rPr>
            </w:pPr>
            <w:r>
              <w:rPr>
                <w:rFonts w:eastAsia="Calibri"/>
                <w:b/>
                <w:bCs/>
                <w:sz w:val="20"/>
                <w:szCs w:val="20"/>
              </w:rPr>
              <w:t>202</w:t>
            </w:r>
            <w:r w:rsidR="00774230">
              <w:rPr>
                <w:rFonts w:eastAsia="Calibri"/>
                <w:b/>
                <w:bCs/>
                <w:sz w:val="20"/>
                <w:szCs w:val="20"/>
              </w:rPr>
              <w:t>3</w:t>
            </w:r>
            <w:r>
              <w:rPr>
                <w:rFonts w:eastAsia="Calibri"/>
                <w:b/>
                <w:bCs/>
                <w:sz w:val="20"/>
                <w:szCs w:val="20"/>
              </w:rPr>
              <w:t xml:space="preserve"> Performance Period </w:t>
            </w:r>
            <w:r w:rsidRPr="007D4B40">
              <w:rPr>
                <w:rFonts w:eastAsia="Calibri"/>
                <w:b/>
                <w:bCs/>
                <w:sz w:val="20"/>
                <w:szCs w:val="20"/>
              </w:rPr>
              <w:t>Burden</w:t>
            </w:r>
            <w:r>
              <w:rPr>
                <w:rFonts w:eastAsia="Calibri"/>
                <w:b/>
                <w:bCs/>
                <w:sz w:val="20"/>
                <w:szCs w:val="20"/>
              </w:rPr>
              <w:t xml:space="preserve"> </w:t>
            </w:r>
            <w:r w:rsidRPr="007D4B40" w:rsidDel="00A05BC2">
              <w:rPr>
                <w:rFonts w:eastAsia="Calibri"/>
                <w:b/>
                <w:bCs/>
                <w:sz w:val="20"/>
                <w:szCs w:val="20"/>
              </w:rPr>
              <w:t>Estimate</w:t>
            </w:r>
          </w:p>
        </w:tc>
      </w:tr>
      <w:tr w:rsidRPr="00C47150" w:rsidR="005860CF" w:rsidTr="008161A4" w14:paraId="5FD6D169" w14:textId="5163CF7E">
        <w:trPr>
          <w:trHeight w:val="322"/>
        </w:trPr>
        <w:tc>
          <w:tcPr>
            <w:tcW w:w="6395" w:type="dxa"/>
            <w:shd w:val="clear" w:color="auto" w:fill="auto"/>
            <w:hideMark/>
          </w:tcPr>
          <w:p w:rsidRPr="00391C81" w:rsidR="005860CF" w:rsidP="005860CF" w:rsidRDefault="005860CF" w14:paraId="7CC69244" w14:textId="77777777">
            <w:pPr>
              <w:keepNext/>
              <w:keepLines/>
              <w:spacing w:after="0"/>
              <w:rPr>
                <w:sz w:val="20"/>
                <w:szCs w:val="20"/>
              </w:rPr>
            </w:pPr>
            <w:r w:rsidRPr="00732012">
              <w:rPr>
                <w:sz w:val="20"/>
                <w:szCs w:val="20"/>
              </w:rPr>
              <w:t>Number of New Groups Registering for CMS Web Interface (a)</w:t>
            </w:r>
          </w:p>
        </w:tc>
        <w:tc>
          <w:tcPr>
            <w:tcW w:w="1710" w:type="dxa"/>
            <w:shd w:val="clear" w:color="auto" w:fill="auto"/>
            <w:vAlign w:val="center"/>
            <w:hideMark/>
          </w:tcPr>
          <w:p w:rsidRPr="00391C81" w:rsidR="005860CF" w:rsidP="005860CF" w:rsidRDefault="005860CF" w14:paraId="68E622ED" w14:textId="36FE0772">
            <w:pPr>
              <w:keepNext/>
              <w:keepLines/>
              <w:spacing w:after="0"/>
              <w:rPr>
                <w:sz w:val="20"/>
                <w:szCs w:val="20"/>
              </w:rPr>
            </w:pPr>
            <w:r>
              <w:rPr>
                <w:rFonts w:eastAsia="Calibri"/>
                <w:sz w:val="20"/>
                <w:szCs w:val="20"/>
              </w:rPr>
              <w:t>90</w:t>
            </w:r>
          </w:p>
        </w:tc>
        <w:tc>
          <w:tcPr>
            <w:tcW w:w="1620" w:type="dxa"/>
            <w:vAlign w:val="center"/>
          </w:tcPr>
          <w:p w:rsidR="005860CF" w:rsidP="005860CF" w:rsidRDefault="005860CF" w14:paraId="7D1BF055" w14:textId="4A7067AC">
            <w:pPr>
              <w:keepNext/>
              <w:keepLines/>
              <w:spacing w:after="0"/>
              <w:rPr>
                <w:sz w:val="20"/>
                <w:szCs w:val="20"/>
              </w:rPr>
            </w:pPr>
            <w:r>
              <w:rPr>
                <w:rFonts w:eastAsia="Calibri"/>
                <w:sz w:val="20"/>
                <w:szCs w:val="20"/>
              </w:rPr>
              <w:t>0</w:t>
            </w:r>
          </w:p>
        </w:tc>
      </w:tr>
      <w:tr w:rsidRPr="00C47150" w:rsidR="005860CF" w:rsidTr="008161A4" w14:paraId="313CD83B" w14:textId="6D68A133">
        <w:trPr>
          <w:trHeight w:val="268"/>
        </w:trPr>
        <w:tc>
          <w:tcPr>
            <w:tcW w:w="6395" w:type="dxa"/>
            <w:shd w:val="clear" w:color="auto" w:fill="auto"/>
            <w:hideMark/>
          </w:tcPr>
          <w:p w:rsidRPr="00391C81" w:rsidR="005860CF" w:rsidP="005860CF" w:rsidRDefault="005860CF" w14:paraId="4F2C97E3" w14:textId="77777777">
            <w:pPr>
              <w:keepNext/>
              <w:keepLines/>
              <w:spacing w:after="0"/>
              <w:rPr>
                <w:sz w:val="20"/>
                <w:szCs w:val="20"/>
              </w:rPr>
            </w:pPr>
            <w:r w:rsidRPr="00732012">
              <w:rPr>
                <w:sz w:val="20"/>
                <w:szCs w:val="20"/>
              </w:rPr>
              <w:t>Annual Hours Per Group (b)</w:t>
            </w:r>
          </w:p>
        </w:tc>
        <w:tc>
          <w:tcPr>
            <w:tcW w:w="1710" w:type="dxa"/>
            <w:shd w:val="clear" w:color="auto" w:fill="auto"/>
            <w:vAlign w:val="center"/>
            <w:hideMark/>
          </w:tcPr>
          <w:p w:rsidRPr="00391C81" w:rsidR="005860CF" w:rsidP="005860CF" w:rsidRDefault="005860CF" w14:paraId="7CCBCB22" w14:textId="79AEF205">
            <w:pPr>
              <w:keepNext/>
              <w:keepLines/>
              <w:spacing w:after="0"/>
              <w:rPr>
                <w:sz w:val="20"/>
                <w:szCs w:val="20"/>
              </w:rPr>
            </w:pPr>
            <w:r w:rsidRPr="007D4B40">
              <w:rPr>
                <w:rFonts w:eastAsia="Calibri"/>
                <w:sz w:val="20"/>
                <w:szCs w:val="20"/>
              </w:rPr>
              <w:t>0.25</w:t>
            </w:r>
          </w:p>
        </w:tc>
        <w:tc>
          <w:tcPr>
            <w:tcW w:w="1620" w:type="dxa"/>
            <w:vAlign w:val="center"/>
          </w:tcPr>
          <w:p w:rsidRPr="00732012" w:rsidR="005860CF" w:rsidP="005860CF" w:rsidRDefault="005860CF" w14:paraId="61FD0B40" w14:textId="24D851A1">
            <w:pPr>
              <w:keepNext/>
              <w:keepLines/>
              <w:spacing w:after="0"/>
              <w:rPr>
                <w:sz w:val="20"/>
                <w:szCs w:val="20"/>
              </w:rPr>
            </w:pPr>
            <w:r w:rsidRPr="007D4B40" w:rsidDel="00A05BC2">
              <w:rPr>
                <w:rFonts w:eastAsia="Calibri"/>
                <w:sz w:val="20"/>
                <w:szCs w:val="20"/>
              </w:rPr>
              <w:t>0</w:t>
            </w:r>
          </w:p>
        </w:tc>
      </w:tr>
      <w:tr w:rsidRPr="00C47150" w:rsidR="005860CF" w:rsidTr="008161A4" w14:paraId="447D3333" w14:textId="24726951">
        <w:trPr>
          <w:trHeight w:val="322"/>
        </w:trPr>
        <w:tc>
          <w:tcPr>
            <w:tcW w:w="6395" w:type="dxa"/>
            <w:shd w:val="clear" w:color="auto" w:fill="D9D9D9" w:themeFill="background1" w:themeFillShade="D9"/>
            <w:hideMark/>
          </w:tcPr>
          <w:p w:rsidRPr="00391C81" w:rsidR="005860CF" w:rsidP="005860CF" w:rsidRDefault="005860CF" w14:paraId="06401319" w14:textId="77777777">
            <w:pPr>
              <w:keepNext/>
              <w:keepLines/>
              <w:spacing w:after="0"/>
              <w:rPr>
                <w:b/>
                <w:bCs/>
                <w:sz w:val="20"/>
                <w:szCs w:val="20"/>
              </w:rPr>
            </w:pPr>
            <w:r w:rsidRPr="00732012">
              <w:rPr>
                <w:b/>
                <w:bCs/>
                <w:sz w:val="20"/>
                <w:szCs w:val="20"/>
              </w:rPr>
              <w:t>Total Annual Hours (c) = (a)*(b)</w:t>
            </w:r>
          </w:p>
        </w:tc>
        <w:tc>
          <w:tcPr>
            <w:tcW w:w="1710" w:type="dxa"/>
            <w:shd w:val="clear" w:color="auto" w:fill="D9D9D9" w:themeFill="background1" w:themeFillShade="D9"/>
            <w:vAlign w:val="center"/>
            <w:hideMark/>
          </w:tcPr>
          <w:p w:rsidRPr="005860CF" w:rsidR="005860CF" w:rsidP="005860CF" w:rsidRDefault="005860CF" w14:paraId="63295A61" w14:textId="7E2329AB">
            <w:pPr>
              <w:keepNext/>
              <w:keepLines/>
              <w:spacing w:after="0"/>
              <w:rPr>
                <w:b/>
                <w:bCs/>
                <w:sz w:val="20"/>
                <w:szCs w:val="20"/>
              </w:rPr>
            </w:pPr>
            <w:r w:rsidRPr="005860CF">
              <w:rPr>
                <w:rFonts w:eastAsia="Calibri"/>
                <w:b/>
                <w:bCs/>
                <w:sz w:val="20"/>
                <w:szCs w:val="20"/>
              </w:rPr>
              <w:t>2</w:t>
            </w:r>
            <w:r w:rsidR="000F363A">
              <w:rPr>
                <w:rFonts w:eastAsia="Calibri"/>
                <w:b/>
                <w:bCs/>
                <w:sz w:val="20"/>
                <w:szCs w:val="20"/>
              </w:rPr>
              <w:t>3</w:t>
            </w:r>
          </w:p>
        </w:tc>
        <w:tc>
          <w:tcPr>
            <w:tcW w:w="1620" w:type="dxa"/>
            <w:shd w:val="clear" w:color="auto" w:fill="D9D9D9" w:themeFill="background1" w:themeFillShade="D9"/>
            <w:vAlign w:val="center"/>
          </w:tcPr>
          <w:p w:rsidRPr="005860CF" w:rsidR="005860CF" w:rsidP="005860CF" w:rsidRDefault="005860CF" w14:paraId="543F02DE" w14:textId="67CEA249">
            <w:pPr>
              <w:keepNext/>
              <w:keepLines/>
              <w:spacing w:after="0"/>
              <w:rPr>
                <w:b/>
                <w:bCs/>
                <w:sz w:val="20"/>
                <w:szCs w:val="20"/>
              </w:rPr>
            </w:pPr>
            <w:r w:rsidRPr="005860CF">
              <w:rPr>
                <w:rFonts w:eastAsia="Calibri"/>
                <w:b/>
                <w:bCs/>
                <w:sz w:val="20"/>
                <w:szCs w:val="20"/>
              </w:rPr>
              <w:t>0</w:t>
            </w:r>
          </w:p>
        </w:tc>
      </w:tr>
      <w:tr w:rsidRPr="00C47150" w:rsidR="005860CF" w:rsidTr="008161A4" w14:paraId="62683680" w14:textId="5652C1F8">
        <w:trPr>
          <w:trHeight w:val="296"/>
        </w:trPr>
        <w:tc>
          <w:tcPr>
            <w:tcW w:w="6395" w:type="dxa"/>
            <w:shd w:val="clear" w:color="auto" w:fill="FFFFFF" w:themeFill="background1"/>
            <w:hideMark/>
          </w:tcPr>
          <w:p w:rsidRPr="00391C81" w:rsidR="005860CF" w:rsidP="005860CF" w:rsidRDefault="005860CF" w14:paraId="1221FDF4" w14:textId="6ADD81C8">
            <w:pPr>
              <w:spacing w:after="0"/>
              <w:rPr>
                <w:sz w:val="20"/>
                <w:szCs w:val="20"/>
              </w:rPr>
            </w:pPr>
            <w:r w:rsidRPr="00732012">
              <w:rPr>
                <w:sz w:val="20"/>
                <w:szCs w:val="20"/>
              </w:rPr>
              <w:t>Labor Rate to Register for CMS Web Interface @ computer systems analyst’s labor rate</w:t>
            </w:r>
            <w:r w:rsidR="0055685A">
              <w:rPr>
                <w:sz w:val="20"/>
                <w:szCs w:val="20"/>
              </w:rPr>
              <w:t xml:space="preserve"> of $95.22/hr</w:t>
            </w:r>
            <w:r w:rsidRPr="00732012">
              <w:rPr>
                <w:sz w:val="20"/>
                <w:szCs w:val="20"/>
              </w:rPr>
              <w:t>) (d)</w:t>
            </w:r>
          </w:p>
        </w:tc>
        <w:tc>
          <w:tcPr>
            <w:tcW w:w="1710" w:type="dxa"/>
            <w:shd w:val="clear" w:color="auto" w:fill="auto"/>
            <w:vAlign w:val="center"/>
            <w:hideMark/>
          </w:tcPr>
          <w:p w:rsidRPr="00391C81" w:rsidR="005860CF" w:rsidP="005860CF" w:rsidRDefault="005860CF" w14:paraId="3D1825A0" w14:textId="19C04FCD">
            <w:pPr>
              <w:spacing w:after="0"/>
              <w:rPr>
                <w:sz w:val="20"/>
                <w:szCs w:val="20"/>
              </w:rPr>
            </w:pPr>
            <w:r w:rsidRPr="001E67F3">
              <w:rPr>
                <w:rFonts w:eastAsia="Calibri"/>
                <w:sz w:val="20"/>
                <w:szCs w:val="20"/>
              </w:rPr>
              <w:t>$9</w:t>
            </w:r>
            <w:r w:rsidR="0055685A">
              <w:rPr>
                <w:rFonts w:eastAsia="Calibri"/>
                <w:sz w:val="20"/>
                <w:szCs w:val="20"/>
              </w:rPr>
              <w:t>5.22</w:t>
            </w:r>
            <w:r w:rsidRPr="001E67F3">
              <w:rPr>
                <w:rFonts w:eastAsia="Calibri"/>
                <w:sz w:val="20"/>
                <w:szCs w:val="20"/>
              </w:rPr>
              <w:t>/hr</w:t>
            </w:r>
          </w:p>
        </w:tc>
        <w:tc>
          <w:tcPr>
            <w:tcW w:w="1620" w:type="dxa"/>
            <w:vAlign w:val="center"/>
          </w:tcPr>
          <w:p w:rsidRPr="00732012" w:rsidR="005860CF" w:rsidP="005860CF" w:rsidRDefault="005860CF" w14:paraId="3FE824AE" w14:textId="01C23BCD">
            <w:pPr>
              <w:spacing w:after="0"/>
              <w:rPr>
                <w:sz w:val="20"/>
                <w:szCs w:val="20"/>
              </w:rPr>
            </w:pPr>
            <w:r w:rsidRPr="007D4B40" w:rsidDel="00A05BC2">
              <w:rPr>
                <w:rFonts w:eastAsia="Calibri"/>
                <w:sz w:val="20"/>
                <w:szCs w:val="20"/>
              </w:rPr>
              <w:t>$</w:t>
            </w:r>
            <w:r w:rsidRPr="001E67F3">
              <w:rPr>
                <w:rFonts w:eastAsia="Calibri"/>
                <w:sz w:val="20"/>
                <w:szCs w:val="20"/>
              </w:rPr>
              <w:t>9</w:t>
            </w:r>
            <w:r w:rsidR="0055685A">
              <w:rPr>
                <w:rFonts w:eastAsia="Calibri"/>
                <w:sz w:val="20"/>
                <w:szCs w:val="20"/>
              </w:rPr>
              <w:t>5.22</w:t>
            </w:r>
            <w:r w:rsidRPr="007D4B40" w:rsidDel="00A05BC2">
              <w:rPr>
                <w:rFonts w:eastAsia="Calibri"/>
                <w:sz w:val="20"/>
                <w:szCs w:val="20"/>
              </w:rPr>
              <w:t>/hr</w:t>
            </w:r>
          </w:p>
        </w:tc>
      </w:tr>
      <w:tr w:rsidRPr="00C47150" w:rsidR="005860CF" w:rsidTr="008161A4" w14:paraId="2724154B" w14:textId="6D554267">
        <w:trPr>
          <w:trHeight w:val="350"/>
        </w:trPr>
        <w:tc>
          <w:tcPr>
            <w:tcW w:w="6395" w:type="dxa"/>
            <w:shd w:val="clear" w:color="auto" w:fill="D9D9D9" w:themeFill="background1" w:themeFillShade="D9"/>
            <w:hideMark/>
          </w:tcPr>
          <w:p w:rsidRPr="00391C81" w:rsidR="005860CF" w:rsidP="005860CF" w:rsidRDefault="005860CF" w14:paraId="52FFC25D" w14:textId="77777777">
            <w:pPr>
              <w:spacing w:after="0"/>
              <w:rPr>
                <w:b/>
                <w:bCs/>
                <w:sz w:val="20"/>
                <w:szCs w:val="20"/>
              </w:rPr>
            </w:pPr>
            <w:r w:rsidRPr="00732012">
              <w:rPr>
                <w:b/>
                <w:bCs/>
                <w:sz w:val="20"/>
                <w:szCs w:val="20"/>
              </w:rPr>
              <w:t>Total Annual Cost (e) = (</w:t>
            </w:r>
            <w:r>
              <w:rPr>
                <w:b/>
                <w:bCs/>
                <w:sz w:val="20"/>
                <w:szCs w:val="20"/>
              </w:rPr>
              <w:t>c</w:t>
            </w:r>
            <w:r w:rsidRPr="00732012">
              <w:rPr>
                <w:b/>
                <w:bCs/>
                <w:sz w:val="20"/>
                <w:szCs w:val="20"/>
              </w:rPr>
              <w:t>)*(d)</w:t>
            </w:r>
          </w:p>
        </w:tc>
        <w:tc>
          <w:tcPr>
            <w:tcW w:w="1710" w:type="dxa"/>
            <w:shd w:val="clear" w:color="auto" w:fill="D9D9D9" w:themeFill="background1" w:themeFillShade="D9"/>
            <w:vAlign w:val="center"/>
            <w:hideMark/>
          </w:tcPr>
          <w:p w:rsidRPr="005860CF" w:rsidR="005860CF" w:rsidP="005860CF" w:rsidRDefault="004B1AC5" w14:paraId="38D038E9" w14:textId="26027451">
            <w:pPr>
              <w:spacing w:after="0"/>
              <w:rPr>
                <w:b/>
                <w:bCs/>
                <w:sz w:val="20"/>
                <w:szCs w:val="20"/>
              </w:rPr>
            </w:pPr>
            <w:r>
              <w:rPr>
                <w:rFonts w:eastAsia="Calibri"/>
                <w:b/>
                <w:bCs/>
                <w:sz w:val="20"/>
                <w:szCs w:val="20"/>
              </w:rPr>
              <w:t>+</w:t>
            </w:r>
            <w:r w:rsidRPr="005860CF" w:rsidR="005860CF">
              <w:rPr>
                <w:rFonts w:eastAsia="Calibri"/>
                <w:b/>
                <w:bCs/>
                <w:sz w:val="20"/>
                <w:szCs w:val="20"/>
              </w:rPr>
              <w:t>$2,</w:t>
            </w:r>
            <w:r>
              <w:rPr>
                <w:rFonts w:eastAsia="Calibri"/>
                <w:b/>
                <w:bCs/>
                <w:sz w:val="20"/>
                <w:szCs w:val="20"/>
              </w:rPr>
              <w:t>1</w:t>
            </w:r>
            <w:r w:rsidR="00684A8C">
              <w:rPr>
                <w:rFonts w:eastAsia="Calibri"/>
                <w:b/>
                <w:bCs/>
                <w:sz w:val="20"/>
                <w:szCs w:val="20"/>
              </w:rPr>
              <w:t>90</w:t>
            </w:r>
          </w:p>
        </w:tc>
        <w:tc>
          <w:tcPr>
            <w:tcW w:w="1620" w:type="dxa"/>
            <w:shd w:val="clear" w:color="auto" w:fill="D9D9D9" w:themeFill="background1" w:themeFillShade="D9"/>
            <w:vAlign w:val="center"/>
          </w:tcPr>
          <w:p w:rsidRPr="005860CF" w:rsidR="005860CF" w:rsidP="005860CF" w:rsidRDefault="005860CF" w14:paraId="7AE16B44" w14:textId="48EB8A1D">
            <w:pPr>
              <w:spacing w:after="0"/>
              <w:rPr>
                <w:b/>
                <w:bCs/>
                <w:sz w:val="20"/>
                <w:szCs w:val="20"/>
              </w:rPr>
            </w:pPr>
            <w:r w:rsidRPr="005860CF">
              <w:rPr>
                <w:rFonts w:eastAsia="Calibri"/>
                <w:b/>
                <w:bCs/>
                <w:sz w:val="20"/>
                <w:szCs w:val="20"/>
              </w:rPr>
              <w:t>$0</w:t>
            </w:r>
          </w:p>
        </w:tc>
      </w:tr>
    </w:tbl>
    <w:p w:rsidR="001C6762" w:rsidP="00CF538E" w:rsidRDefault="001C6762" w14:paraId="52BFEAD4" w14:textId="77777777"/>
    <w:p w:rsidRPr="00C45D11" w:rsidR="006B22A9" w:rsidP="00C45D11" w:rsidRDefault="006B22A9" w14:paraId="438D6AB8" w14:textId="5966AB21">
      <w:pPr>
        <w:pStyle w:val="Heading3"/>
      </w:pPr>
      <w:r w:rsidRPr="00C45D11">
        <w:t>Burden Estimate for the Nomination of Quality Measures</w:t>
      </w:r>
    </w:p>
    <w:p w:rsidR="004B1E43" w:rsidP="008479BC" w:rsidRDefault="008463EE" w14:paraId="1F83A640" w14:textId="27FDB18B">
      <w:r w:rsidRPr="008463EE">
        <w:t xml:space="preserve">Quality measures are selected annually through a call for quality measures under consideration, with a final list of quality measures being published in the Federal Register by November 1 of each year.  </w:t>
      </w:r>
      <w:r w:rsidRPr="004B1E43" w:rsidR="004B1E43">
        <w:t xml:space="preserve">As described in the CY 2017 Quality Payment Program final rule (81 FR 77137), we will accept quality measures submissions at any time, but only measures submitted during the timeframe provided by us through the pre-rulemaking process of each year will be considered for inclusion in the annual list of MIPS quality measures for the performance period beginning </w:t>
      </w:r>
      <w:r w:rsidR="001E0315">
        <w:t>two</w:t>
      </w:r>
      <w:r w:rsidRPr="004B1E43" w:rsidR="001E0315">
        <w:t xml:space="preserve"> </w:t>
      </w:r>
      <w:r w:rsidRPr="004B1E43" w:rsidR="004B1E43">
        <w:t>years after the measure is submitted.  This process is consistent with the pre-rulemaking process and the annual call for measures, which are further described at https://www.cms.gov/Medicare/</w:t>
      </w:r>
      <w:r w:rsidR="00A13F83">
        <w:br/>
      </w:r>
      <w:r w:rsidRPr="004B1E43" w:rsidR="004B1E43">
        <w:t xml:space="preserve">Quality-Initiatives-Patient-Assessment-Instruments/QualityMeasures/Pre-Rule-Making.html. </w:t>
      </w:r>
    </w:p>
    <w:p w:rsidR="00715663" w:rsidP="00730BEF" w:rsidRDefault="00D54F75" w14:paraId="02411A2D" w14:textId="4A90FA83">
      <w:pPr>
        <w:rPr>
          <w:rFonts w:eastAsia="Calibri"/>
        </w:rPr>
      </w:pPr>
      <w:r w:rsidRPr="00D54F75">
        <w:t xml:space="preserve">Beginning with the 2021 Annual Call for Measures, we replaced the customary Office of the National Coordinator (ONC) Issue Tracking System Jira platform that stakeholders used to submit candidate quality measure specifications and all supporting data files for CMS review with the MUC Entry/Review Information Tool (MERIT). </w:t>
      </w:r>
      <w:r w:rsidRPr="00CC2BFB" w:rsidR="008B656F">
        <w:rPr>
          <w:rFonts w:eastAsia="Calibri"/>
        </w:rPr>
        <w:t>To identify and submit a quality measure, eligible clinician organizations and other relevant stakeholders use a</w:t>
      </w:r>
      <w:r w:rsidR="00065938">
        <w:rPr>
          <w:rFonts w:eastAsia="Calibri"/>
        </w:rPr>
        <w:t>n</w:t>
      </w:r>
      <w:r w:rsidRPr="00CC2BFB" w:rsidR="008B656F">
        <w:rPr>
          <w:rFonts w:eastAsia="Calibri"/>
        </w:rPr>
        <w:t xml:space="preserve"> online form that requests information on background, a gap analysis which includes evidence for the measure, reliability, validity, </w:t>
      </w:r>
      <w:r w:rsidRPr="00CC2BFB" w:rsidR="00C10BDC">
        <w:rPr>
          <w:rFonts w:eastAsia="Calibri"/>
        </w:rPr>
        <w:t>endorsement,</w:t>
      </w:r>
      <w:r w:rsidRPr="00CC2BFB" w:rsidR="008B656F">
        <w:rPr>
          <w:rFonts w:eastAsia="Calibri"/>
        </w:rPr>
        <w:t xml:space="preserve"> and a summary which includes how the proposed measure relates to the Quality Payment Program and the rationale for the measure.  </w:t>
      </w:r>
      <w:r w:rsidR="00065938">
        <w:rPr>
          <w:rFonts w:eastAsia="Calibri"/>
        </w:rPr>
        <w:t xml:space="preserve">MIPS quality measures are also </w:t>
      </w:r>
      <w:r w:rsidRPr="00065938" w:rsidR="00065938">
        <w:rPr>
          <w:rFonts w:eastAsia="Calibri"/>
        </w:rPr>
        <w:t xml:space="preserve">required to </w:t>
      </w:r>
      <w:r w:rsidR="00065938">
        <w:rPr>
          <w:rFonts w:eastAsia="Calibri"/>
        </w:rPr>
        <w:t xml:space="preserve">be linked </w:t>
      </w:r>
      <w:r w:rsidRPr="00065938" w:rsidR="00065938">
        <w:rPr>
          <w:rFonts w:eastAsia="Calibri"/>
        </w:rPr>
        <w:t>to existing and related cost measures and improvement activities, as applicable and feasible</w:t>
      </w:r>
      <w:r w:rsidR="00065938">
        <w:rPr>
          <w:rFonts w:eastAsia="Calibri"/>
        </w:rPr>
        <w:t>, with</w:t>
      </w:r>
      <w:r w:rsidRPr="00065938" w:rsidR="00065938">
        <w:rPr>
          <w:rFonts w:eastAsia="Calibri"/>
        </w:rPr>
        <w:t xml:space="preserve"> a rationale as to how the measure correlates to other performance category measures and activities.  </w:t>
      </w:r>
      <w:r w:rsidRPr="00CC2BFB" w:rsidR="008B656F">
        <w:rPr>
          <w:rFonts w:eastAsia="Calibri"/>
        </w:rPr>
        <w:t xml:space="preserve">In addition, proposed measures must be accompanied by a completed Peer Review Journal Article form.  </w:t>
      </w:r>
      <w:r w:rsidRPr="00715663" w:rsidR="00715663">
        <w:rPr>
          <w:rFonts w:eastAsia="Calibri"/>
        </w:rPr>
        <w:t>For the ONC Issue Tracking System Jira platform used by stakeholders, the approved estimated time for a practice administrator to identify, propose, and link to a quality measure is 0.9 hours and for a clinician to identify, propose, link to quality measure, and complete the Peer Review Journal Article form is 4.6 hours (0.6 hours to identify, propose, and link to quality measure (84 FR 63132) and 4 hours to complete the Peer Review Journal Article Form (84 FR 63133), with a total estimated time of 5.5 hours per quality measure submission</w:t>
      </w:r>
      <w:r w:rsidR="00715663">
        <w:rPr>
          <w:rFonts w:eastAsia="Calibri"/>
        </w:rPr>
        <w:t>.</w:t>
      </w:r>
    </w:p>
    <w:p w:rsidR="008E76E0" w:rsidP="00730BEF" w:rsidRDefault="008E76E0" w14:paraId="7339D562" w14:textId="39833FD6">
      <w:r>
        <w:t xml:space="preserve">As shown in Table </w:t>
      </w:r>
      <w:r w:rsidR="00A6605C">
        <w:t>1</w:t>
      </w:r>
      <w:r w:rsidR="00F43D1D">
        <w:t>8</w:t>
      </w:r>
      <w:r>
        <w:t xml:space="preserve">, </w:t>
      </w:r>
      <w:r w:rsidR="00065938">
        <w:t xml:space="preserve">we are not making any changes to our currently approved </w:t>
      </w:r>
      <w:r w:rsidRPr="000168E3" w:rsidR="00B44382">
        <w:rPr>
          <w:rFonts w:eastAsia="Calibri"/>
        </w:rPr>
        <w:t xml:space="preserve">estimate </w:t>
      </w:r>
      <w:r w:rsidR="00065938">
        <w:rPr>
          <w:rFonts w:eastAsia="Calibri"/>
        </w:rPr>
        <w:t>of</w:t>
      </w:r>
      <w:r w:rsidRPr="000168E3" w:rsidR="00B44382">
        <w:rPr>
          <w:rFonts w:eastAsia="Calibri"/>
        </w:rPr>
        <w:t xml:space="preserve"> 2</w:t>
      </w:r>
      <w:r w:rsidRPr="00F90569" w:rsidR="00B44382">
        <w:rPr>
          <w:rFonts w:eastAsia="Calibri"/>
        </w:rPr>
        <w:t>8</w:t>
      </w:r>
      <w:r w:rsidRPr="000168E3" w:rsidR="00B44382">
        <w:rPr>
          <w:rFonts w:eastAsia="Calibri"/>
        </w:rPr>
        <w:t xml:space="preserve"> </w:t>
      </w:r>
      <w:r w:rsidR="00065938">
        <w:rPr>
          <w:rFonts w:eastAsia="Calibri"/>
        </w:rPr>
        <w:t xml:space="preserve">quality measure </w:t>
      </w:r>
      <w:r w:rsidRPr="000168E3" w:rsidR="00B44382">
        <w:rPr>
          <w:rFonts w:eastAsia="Calibri"/>
        </w:rPr>
        <w:t>submissions</w:t>
      </w:r>
      <w:r w:rsidR="009618F9">
        <w:rPr>
          <w:rFonts w:eastAsia="Calibri"/>
        </w:rPr>
        <w:t>.</w:t>
      </w:r>
      <w:r w:rsidR="00287469">
        <w:rPr>
          <w:rFonts w:eastAsia="Calibri"/>
        </w:rPr>
        <w:t xml:space="preserve"> Based on the stakeholder experience with the updated tool and additional information collected at the time of submission, we estimate that it would add approximately 1.5 hours for the practice administrator at $114.24/hr and 0.5 hours at $21</w:t>
      </w:r>
      <w:r w:rsidR="00D1352A">
        <w:rPr>
          <w:rFonts w:eastAsia="Calibri"/>
        </w:rPr>
        <w:t>7.32</w:t>
      </w:r>
      <w:r w:rsidR="00287469">
        <w:rPr>
          <w:rFonts w:eastAsia="Calibri"/>
        </w:rPr>
        <w:t xml:space="preserve">/hr </w:t>
      </w:r>
      <w:r w:rsidR="00287469">
        <w:rPr>
          <w:rFonts w:eastAsia="Calibri"/>
        </w:rPr>
        <w:lastRenderedPageBreak/>
        <w:t>for a clinician to identify, propose, and link the quality measure, and reduce approximately 2 hours at $21</w:t>
      </w:r>
      <w:r w:rsidR="00D1352A">
        <w:rPr>
          <w:rFonts w:eastAsia="Calibri"/>
        </w:rPr>
        <w:t>7.32</w:t>
      </w:r>
      <w:r w:rsidR="00287469">
        <w:rPr>
          <w:rFonts w:eastAsia="Calibri"/>
        </w:rPr>
        <w:t xml:space="preserve">/hr for a clinician to complete the Peer Review Journal Article Form, resulting in a new estimated time of 2.4 hours for a practice administrator and 3.1 hours for a clinician, and an unchanged total estimated time of 5.5 hours per quality measure submission. </w:t>
      </w:r>
      <w:r>
        <w:t xml:space="preserve"> </w:t>
      </w:r>
    </w:p>
    <w:p w:rsidR="008E76E0" w:rsidP="00730BEF" w:rsidRDefault="008E76E0" w14:paraId="26871907" w14:textId="5B20310D">
      <w:r>
        <w:t xml:space="preserve">As shown in Table </w:t>
      </w:r>
      <w:r w:rsidR="009A4D1A">
        <w:t>1</w:t>
      </w:r>
      <w:r w:rsidR="00F43D1D">
        <w:t>8</w:t>
      </w:r>
      <w:r>
        <w:t xml:space="preserve">, </w:t>
      </w:r>
      <w:r w:rsidRPr="00CC2BFB" w:rsidR="006B4556">
        <w:rPr>
          <w:rFonts w:eastAsia="Calibri"/>
        </w:rPr>
        <w:t>in aggregate we estimate an annual burden of 1</w:t>
      </w:r>
      <w:r w:rsidR="006B4556">
        <w:rPr>
          <w:rFonts w:eastAsia="Calibri"/>
        </w:rPr>
        <w:t>54</w:t>
      </w:r>
      <w:r w:rsidRPr="00CC2BFB" w:rsidR="006B4556">
        <w:rPr>
          <w:rFonts w:eastAsia="Calibri"/>
        </w:rPr>
        <w:t xml:space="preserve"> hours (2</w:t>
      </w:r>
      <w:r w:rsidR="006B4556">
        <w:rPr>
          <w:rFonts w:eastAsia="Calibri"/>
        </w:rPr>
        <w:t>8</w:t>
      </w:r>
      <w:r w:rsidRPr="00CC2BFB" w:rsidR="006B4556">
        <w:rPr>
          <w:rFonts w:eastAsia="Calibri"/>
        </w:rPr>
        <w:t xml:space="preserve"> submissions x 5.5 hr/submission) at a cost of $</w:t>
      </w:r>
      <w:r w:rsidR="009762C5">
        <w:rPr>
          <w:rFonts w:eastAsia="Calibri"/>
        </w:rPr>
        <w:t>2</w:t>
      </w:r>
      <w:r w:rsidR="004353C2">
        <w:rPr>
          <w:rFonts w:eastAsia="Calibri"/>
        </w:rPr>
        <w:t>6,</w:t>
      </w:r>
      <w:r w:rsidR="00DF60A5">
        <w:rPr>
          <w:rFonts w:eastAsia="Calibri"/>
        </w:rPr>
        <w:t>54</w:t>
      </w:r>
      <w:r w:rsidR="00C812B7">
        <w:rPr>
          <w:rFonts w:eastAsia="Calibri"/>
        </w:rPr>
        <w:t>1</w:t>
      </w:r>
      <w:r w:rsidRPr="00CC2BFB" w:rsidR="006B4556">
        <w:rPr>
          <w:rFonts w:eastAsia="Calibri"/>
        </w:rPr>
        <w:t xml:space="preserve"> {2</w:t>
      </w:r>
      <w:r w:rsidR="006B4556">
        <w:rPr>
          <w:rFonts w:eastAsia="Calibri"/>
        </w:rPr>
        <w:t>8</w:t>
      </w:r>
      <w:r w:rsidRPr="00CC2BFB" w:rsidR="006B4556">
        <w:rPr>
          <w:rFonts w:eastAsia="Calibri"/>
        </w:rPr>
        <w:t xml:space="preserve"> submissions x [(</w:t>
      </w:r>
      <w:r w:rsidR="00EA43E2">
        <w:rPr>
          <w:rFonts w:eastAsia="Calibri"/>
        </w:rPr>
        <w:t>2.4</w:t>
      </w:r>
      <w:r w:rsidRPr="00CC2BFB" w:rsidR="006B4556">
        <w:rPr>
          <w:rFonts w:eastAsia="Calibri"/>
        </w:rPr>
        <w:t xml:space="preserve"> hr x $1</w:t>
      </w:r>
      <w:r w:rsidR="00065938">
        <w:rPr>
          <w:rFonts w:eastAsia="Calibri"/>
        </w:rPr>
        <w:t>1</w:t>
      </w:r>
      <w:r w:rsidR="00CA0DD1">
        <w:rPr>
          <w:rFonts w:eastAsia="Calibri"/>
        </w:rPr>
        <w:t>4</w:t>
      </w:r>
      <w:r w:rsidR="00065938">
        <w:rPr>
          <w:rFonts w:eastAsia="Calibri"/>
        </w:rPr>
        <w:t>.</w:t>
      </w:r>
      <w:r w:rsidR="00CA0DD1">
        <w:rPr>
          <w:rFonts w:eastAsia="Calibri"/>
        </w:rPr>
        <w:t>2</w:t>
      </w:r>
      <w:r w:rsidR="00065938">
        <w:rPr>
          <w:rFonts w:eastAsia="Calibri"/>
        </w:rPr>
        <w:t>4</w:t>
      </w:r>
      <w:r w:rsidRPr="00CC2BFB" w:rsidR="006B4556">
        <w:rPr>
          <w:rFonts w:eastAsia="Calibri"/>
        </w:rPr>
        <w:t>/hr) + (</w:t>
      </w:r>
      <w:r w:rsidR="00D67558">
        <w:rPr>
          <w:rFonts w:eastAsia="Calibri"/>
        </w:rPr>
        <w:t>3.1</w:t>
      </w:r>
      <w:r w:rsidRPr="00CC2BFB" w:rsidR="006B4556">
        <w:rPr>
          <w:rFonts w:eastAsia="Calibri"/>
        </w:rPr>
        <w:t xml:space="preserve"> hr x $2</w:t>
      </w:r>
      <w:r w:rsidR="00065938">
        <w:rPr>
          <w:rFonts w:eastAsia="Calibri"/>
        </w:rPr>
        <w:t>1</w:t>
      </w:r>
      <w:r w:rsidR="00E60412">
        <w:rPr>
          <w:rFonts w:eastAsia="Calibri"/>
        </w:rPr>
        <w:t>7.32</w:t>
      </w:r>
      <w:r w:rsidRPr="00CC2BFB" w:rsidR="006B4556">
        <w:rPr>
          <w:rFonts w:eastAsia="Calibri"/>
        </w:rPr>
        <w:t>/hr)</w:t>
      </w:r>
      <w:r w:rsidR="00982820">
        <w:rPr>
          <w:rFonts w:eastAsia="Calibri"/>
        </w:rPr>
        <w:t>]</w:t>
      </w:r>
      <w:r w:rsidRPr="00CC2BFB" w:rsidR="006B4556">
        <w:rPr>
          <w:rFonts w:eastAsia="Calibri"/>
        </w:rPr>
        <w:t>}.</w:t>
      </w:r>
    </w:p>
    <w:p w:rsidR="00180E63" w:rsidP="00180E63" w:rsidRDefault="00180E63" w14:paraId="158AB0AE" w14:textId="77777777">
      <w:pPr>
        <w:spacing w:after="0"/>
        <w:jc w:val="both"/>
      </w:pPr>
    </w:p>
    <w:p w:rsidRPr="00732012" w:rsidR="006B22A9" w:rsidP="00777D2C" w:rsidRDefault="006B22A9" w14:paraId="7020CDC7" w14:textId="5B70F22E">
      <w:pPr>
        <w:spacing w:after="0"/>
        <w:jc w:val="center"/>
        <w:rPr>
          <w:b/>
          <w:bCs/>
        </w:rPr>
      </w:pPr>
      <w:r w:rsidRPr="00732012">
        <w:rPr>
          <w:b/>
          <w:bCs/>
        </w:rPr>
        <w:t xml:space="preserve">TABLE </w:t>
      </w:r>
      <w:r w:rsidR="0015290C">
        <w:rPr>
          <w:b/>
          <w:bCs/>
        </w:rPr>
        <w:t>1</w:t>
      </w:r>
      <w:r w:rsidR="00FE59C2">
        <w:rPr>
          <w:b/>
          <w:bCs/>
        </w:rPr>
        <w:t>8</w:t>
      </w:r>
      <w:r w:rsidRPr="00732012">
        <w:rPr>
          <w:b/>
          <w:bCs/>
        </w:rPr>
        <w:t xml:space="preserve">: </w:t>
      </w:r>
      <w:bookmarkStart w:name="_Hlk515182434" w:id="6"/>
      <w:r w:rsidRPr="00732012">
        <w:rPr>
          <w:b/>
          <w:bCs/>
        </w:rPr>
        <w:t xml:space="preserve">Burden Estimates </w:t>
      </w:r>
      <w:bookmarkEnd w:id="6"/>
      <w:r w:rsidRPr="00732012">
        <w:rPr>
          <w:b/>
          <w:bCs/>
        </w:rPr>
        <w:t>for Call for Quality Measures</w:t>
      </w:r>
    </w:p>
    <w:tbl>
      <w:tblPr>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50"/>
        <w:gridCol w:w="1100"/>
      </w:tblGrid>
      <w:tr w:rsidRPr="00732012" w:rsidR="006B22A9" w:rsidTr="007F64F4" w14:paraId="610F9ED6" w14:textId="77777777">
        <w:trPr>
          <w:cantSplit/>
          <w:trHeight w:val="322"/>
          <w:tblHeader/>
          <w:jc w:val="center"/>
        </w:trPr>
        <w:tc>
          <w:tcPr>
            <w:tcW w:w="8550" w:type="dxa"/>
            <w:shd w:val="clear" w:color="auto" w:fill="auto"/>
            <w:vAlign w:val="center"/>
            <w:hideMark/>
          </w:tcPr>
          <w:p w:rsidRPr="006B22A9" w:rsidR="006B22A9" w:rsidP="00A13C65" w:rsidRDefault="006B22A9" w14:paraId="35832BCD" w14:textId="034C650E">
            <w:pPr>
              <w:spacing w:after="0"/>
              <w:rPr>
                <w:b/>
                <w:sz w:val="20"/>
                <w:szCs w:val="20"/>
              </w:rPr>
            </w:pPr>
            <w:r w:rsidRPr="00732012">
              <w:rPr>
                <w:sz w:val="20"/>
                <w:szCs w:val="20"/>
              </w:rPr>
              <w:t> </w:t>
            </w:r>
            <w:r w:rsidRPr="006B22A9">
              <w:rPr>
                <w:b/>
                <w:sz w:val="20"/>
                <w:szCs w:val="20"/>
              </w:rPr>
              <w:t>Burden and Respondent Descriptions</w:t>
            </w:r>
          </w:p>
        </w:tc>
        <w:tc>
          <w:tcPr>
            <w:tcW w:w="1100" w:type="dxa"/>
            <w:shd w:val="clear" w:color="auto" w:fill="auto"/>
            <w:hideMark/>
          </w:tcPr>
          <w:p w:rsidRPr="00732012" w:rsidR="006B22A9" w:rsidP="00A13C65" w:rsidRDefault="006B22A9" w14:paraId="04342F84" w14:textId="3F0AA110">
            <w:pPr>
              <w:spacing w:after="0"/>
              <w:rPr>
                <w:b/>
                <w:bCs/>
                <w:sz w:val="20"/>
                <w:szCs w:val="20"/>
              </w:rPr>
            </w:pPr>
            <w:r w:rsidRPr="00732012">
              <w:rPr>
                <w:b/>
                <w:bCs/>
                <w:sz w:val="20"/>
                <w:szCs w:val="20"/>
              </w:rPr>
              <w:t xml:space="preserve">Burden </w:t>
            </w:r>
            <w:r w:rsidR="002E799B">
              <w:rPr>
                <w:b/>
                <w:bCs/>
                <w:sz w:val="20"/>
                <w:szCs w:val="20"/>
              </w:rPr>
              <w:t>E</w:t>
            </w:r>
            <w:r w:rsidRPr="00732012">
              <w:rPr>
                <w:b/>
                <w:bCs/>
                <w:sz w:val="20"/>
                <w:szCs w:val="20"/>
              </w:rPr>
              <w:t>stimate</w:t>
            </w:r>
          </w:p>
        </w:tc>
      </w:tr>
      <w:tr w:rsidRPr="00732012" w:rsidR="006B22A9" w:rsidTr="007F64F4" w14:paraId="41B39028" w14:textId="77777777">
        <w:trPr>
          <w:trHeight w:val="300"/>
          <w:jc w:val="center"/>
        </w:trPr>
        <w:tc>
          <w:tcPr>
            <w:tcW w:w="8550" w:type="dxa"/>
            <w:shd w:val="clear" w:color="auto" w:fill="auto"/>
            <w:hideMark/>
          </w:tcPr>
          <w:p w:rsidRPr="00732012" w:rsidR="006B22A9" w:rsidP="00A13C65" w:rsidRDefault="006B22A9" w14:paraId="2F4D6750" w14:textId="77777777">
            <w:pPr>
              <w:spacing w:after="0"/>
              <w:rPr>
                <w:sz w:val="20"/>
                <w:szCs w:val="20"/>
              </w:rPr>
            </w:pPr>
            <w:r w:rsidRPr="00732012">
              <w:rPr>
                <w:sz w:val="20"/>
                <w:szCs w:val="20"/>
              </w:rPr>
              <w:t># of Organizations Nominating New Quality Measures (a)</w:t>
            </w:r>
          </w:p>
        </w:tc>
        <w:tc>
          <w:tcPr>
            <w:tcW w:w="1100" w:type="dxa"/>
            <w:shd w:val="clear" w:color="auto" w:fill="auto"/>
            <w:noWrap/>
            <w:hideMark/>
          </w:tcPr>
          <w:p w:rsidRPr="00732012" w:rsidR="006B22A9" w:rsidP="00A13C65" w:rsidRDefault="00BE4CB2" w14:paraId="47812D4C" w14:textId="38F7FF51">
            <w:pPr>
              <w:spacing w:after="0"/>
              <w:rPr>
                <w:sz w:val="20"/>
                <w:szCs w:val="20"/>
              </w:rPr>
            </w:pPr>
            <w:r>
              <w:rPr>
                <w:sz w:val="20"/>
                <w:szCs w:val="20"/>
              </w:rPr>
              <w:t>2</w:t>
            </w:r>
            <w:r w:rsidR="00DE381D">
              <w:rPr>
                <w:sz w:val="20"/>
                <w:szCs w:val="20"/>
              </w:rPr>
              <w:t>8</w:t>
            </w:r>
          </w:p>
        </w:tc>
      </w:tr>
      <w:tr w:rsidRPr="00732012" w:rsidR="006B22A9" w:rsidTr="007F64F4" w14:paraId="3BF7B2D0" w14:textId="77777777">
        <w:trPr>
          <w:trHeight w:val="305"/>
          <w:jc w:val="center"/>
        </w:trPr>
        <w:tc>
          <w:tcPr>
            <w:tcW w:w="8550" w:type="dxa"/>
            <w:shd w:val="clear" w:color="auto" w:fill="auto"/>
            <w:hideMark/>
          </w:tcPr>
          <w:p w:rsidRPr="00732012" w:rsidR="006B22A9" w:rsidP="00A13C65" w:rsidRDefault="006B22A9" w14:paraId="20AE1651" w14:textId="3AC9B619">
            <w:pPr>
              <w:spacing w:after="0"/>
              <w:rPr>
                <w:sz w:val="20"/>
                <w:szCs w:val="20"/>
              </w:rPr>
            </w:pPr>
            <w:r w:rsidRPr="00732012">
              <w:rPr>
                <w:sz w:val="20"/>
                <w:szCs w:val="20"/>
              </w:rPr>
              <w:t xml:space="preserve"># of Hours Per </w:t>
            </w:r>
            <w:r w:rsidR="008D7DB5">
              <w:rPr>
                <w:sz w:val="20"/>
                <w:szCs w:val="20"/>
              </w:rPr>
              <w:t>Medical and health services manager</w:t>
            </w:r>
            <w:r w:rsidRPr="00732012">
              <w:rPr>
                <w:sz w:val="20"/>
                <w:szCs w:val="20"/>
              </w:rPr>
              <w:t xml:space="preserve"> to Identify and Propose Measure (b) </w:t>
            </w:r>
          </w:p>
        </w:tc>
        <w:tc>
          <w:tcPr>
            <w:tcW w:w="1100" w:type="dxa"/>
            <w:shd w:val="clear" w:color="auto" w:fill="auto"/>
            <w:noWrap/>
            <w:hideMark/>
          </w:tcPr>
          <w:p w:rsidRPr="00732012" w:rsidR="006B22A9" w:rsidP="00A13C65" w:rsidRDefault="00D26BA9" w14:paraId="519AD55A" w14:textId="1BD852A0">
            <w:pPr>
              <w:spacing w:after="0"/>
              <w:rPr>
                <w:sz w:val="20"/>
                <w:szCs w:val="20"/>
              </w:rPr>
            </w:pPr>
            <w:r>
              <w:rPr>
                <w:sz w:val="20"/>
                <w:szCs w:val="20"/>
              </w:rPr>
              <w:t>2.4</w:t>
            </w:r>
          </w:p>
        </w:tc>
      </w:tr>
      <w:tr w:rsidRPr="00732012" w:rsidR="006B22A9" w:rsidTr="007F64F4" w14:paraId="6B8A1C80" w14:textId="77777777">
        <w:trPr>
          <w:trHeight w:val="260"/>
          <w:jc w:val="center"/>
        </w:trPr>
        <w:tc>
          <w:tcPr>
            <w:tcW w:w="8550" w:type="dxa"/>
            <w:shd w:val="clear" w:color="auto" w:fill="auto"/>
          </w:tcPr>
          <w:p w:rsidRPr="00732012" w:rsidR="006B22A9" w:rsidP="00A13C65" w:rsidRDefault="006B22A9" w14:paraId="2893BC97" w14:textId="458C7489">
            <w:pPr>
              <w:spacing w:after="0"/>
              <w:rPr>
                <w:sz w:val="20"/>
                <w:szCs w:val="20"/>
              </w:rPr>
            </w:pPr>
            <w:r w:rsidRPr="00732012">
              <w:rPr>
                <w:sz w:val="20"/>
                <w:szCs w:val="20"/>
              </w:rPr>
              <w:t># of Hours Per</w:t>
            </w:r>
            <w:r w:rsidR="007164A8">
              <w:rPr>
                <w:sz w:val="20"/>
                <w:szCs w:val="20"/>
              </w:rPr>
              <w:t xml:space="preserve"> Clinician to Identify Measure (c)</w:t>
            </w:r>
          </w:p>
        </w:tc>
        <w:tc>
          <w:tcPr>
            <w:tcW w:w="1100" w:type="dxa"/>
            <w:shd w:val="clear" w:color="auto" w:fill="auto"/>
          </w:tcPr>
          <w:p w:rsidRPr="00732012" w:rsidR="006B22A9" w:rsidP="00A13C65" w:rsidRDefault="00D750DD" w14:paraId="46B6BD54" w14:textId="298427E8">
            <w:pPr>
              <w:spacing w:after="0"/>
              <w:rPr>
                <w:sz w:val="20"/>
                <w:szCs w:val="20"/>
              </w:rPr>
            </w:pPr>
            <w:r>
              <w:rPr>
                <w:sz w:val="20"/>
                <w:szCs w:val="20"/>
              </w:rPr>
              <w:t>1.1</w:t>
            </w:r>
          </w:p>
        </w:tc>
      </w:tr>
      <w:tr w:rsidRPr="00732012" w:rsidR="006B22A9" w:rsidTr="007F64F4" w14:paraId="0834FAE6" w14:textId="77777777">
        <w:trPr>
          <w:trHeight w:val="260"/>
          <w:jc w:val="center"/>
        </w:trPr>
        <w:tc>
          <w:tcPr>
            <w:tcW w:w="8550" w:type="dxa"/>
            <w:shd w:val="clear" w:color="auto" w:fill="auto"/>
          </w:tcPr>
          <w:p w:rsidRPr="00732012" w:rsidR="006B22A9" w:rsidP="00A13C65" w:rsidRDefault="006B22A9" w14:paraId="2C74444D" w14:textId="77777777">
            <w:pPr>
              <w:spacing w:after="0"/>
              <w:rPr>
                <w:sz w:val="20"/>
                <w:szCs w:val="20"/>
              </w:rPr>
            </w:pPr>
            <w:r w:rsidRPr="00732012">
              <w:rPr>
                <w:sz w:val="20"/>
                <w:szCs w:val="20"/>
              </w:rPr>
              <w:t># of Hours Per Clinician to Complete Peer Review Article Form (d)</w:t>
            </w:r>
          </w:p>
        </w:tc>
        <w:tc>
          <w:tcPr>
            <w:tcW w:w="1100" w:type="dxa"/>
            <w:shd w:val="clear" w:color="auto" w:fill="auto"/>
          </w:tcPr>
          <w:p w:rsidRPr="00732012" w:rsidR="006B22A9" w:rsidP="00A13C65" w:rsidRDefault="00527C8D" w14:paraId="036D03BC" w14:textId="4DFBB856">
            <w:pPr>
              <w:spacing w:after="0"/>
              <w:rPr>
                <w:sz w:val="20"/>
                <w:szCs w:val="20"/>
              </w:rPr>
            </w:pPr>
            <w:r>
              <w:rPr>
                <w:sz w:val="20"/>
                <w:szCs w:val="20"/>
              </w:rPr>
              <w:t>2.00</w:t>
            </w:r>
          </w:p>
        </w:tc>
      </w:tr>
      <w:tr w:rsidRPr="00732012" w:rsidR="006B22A9" w:rsidTr="007F64F4" w14:paraId="4297F89F" w14:textId="77777777">
        <w:trPr>
          <w:trHeight w:val="300"/>
          <w:jc w:val="center"/>
        </w:trPr>
        <w:tc>
          <w:tcPr>
            <w:tcW w:w="8550" w:type="dxa"/>
            <w:shd w:val="clear" w:color="auto" w:fill="D9D9D9" w:themeFill="background1" w:themeFillShade="D9"/>
            <w:hideMark/>
          </w:tcPr>
          <w:p w:rsidRPr="00732012" w:rsidR="006B22A9" w:rsidP="00A13C65" w:rsidRDefault="006B22A9" w14:paraId="7389F47C" w14:textId="77777777">
            <w:pPr>
              <w:spacing w:after="0"/>
              <w:rPr>
                <w:sz w:val="20"/>
                <w:szCs w:val="20"/>
              </w:rPr>
            </w:pPr>
            <w:r w:rsidRPr="00732012">
              <w:rPr>
                <w:sz w:val="20"/>
                <w:szCs w:val="20"/>
              </w:rPr>
              <w:t>Annual Hours Per Respon</w:t>
            </w:r>
            <w:r>
              <w:rPr>
                <w:sz w:val="20"/>
                <w:szCs w:val="20"/>
              </w:rPr>
              <w:t>s</w:t>
            </w:r>
            <w:r w:rsidRPr="00732012">
              <w:rPr>
                <w:sz w:val="20"/>
                <w:szCs w:val="20"/>
              </w:rPr>
              <w:t>e</w:t>
            </w:r>
            <w:r>
              <w:rPr>
                <w:sz w:val="20"/>
                <w:szCs w:val="20"/>
              </w:rPr>
              <w:t xml:space="preserve"> </w:t>
            </w:r>
            <w:r w:rsidRPr="00732012">
              <w:rPr>
                <w:sz w:val="20"/>
                <w:szCs w:val="20"/>
              </w:rPr>
              <w:t>(e)= (b) + (c) + (d)</w:t>
            </w:r>
          </w:p>
        </w:tc>
        <w:tc>
          <w:tcPr>
            <w:tcW w:w="1100" w:type="dxa"/>
            <w:shd w:val="clear" w:color="auto" w:fill="D9D9D9" w:themeFill="background1" w:themeFillShade="D9"/>
            <w:hideMark/>
          </w:tcPr>
          <w:p w:rsidRPr="00732012" w:rsidR="006B22A9" w:rsidP="00A13C65" w:rsidRDefault="00BE4CB2" w14:paraId="0E753C53" w14:textId="3AE0CD89">
            <w:pPr>
              <w:spacing w:after="0"/>
              <w:rPr>
                <w:sz w:val="20"/>
                <w:szCs w:val="20"/>
              </w:rPr>
            </w:pPr>
            <w:r>
              <w:rPr>
                <w:sz w:val="20"/>
                <w:szCs w:val="20"/>
              </w:rPr>
              <w:t>5</w:t>
            </w:r>
            <w:r w:rsidRPr="00732012" w:rsidR="006B22A9">
              <w:rPr>
                <w:sz w:val="20"/>
                <w:szCs w:val="20"/>
              </w:rPr>
              <w:t>.50</w:t>
            </w:r>
          </w:p>
        </w:tc>
      </w:tr>
      <w:tr w:rsidRPr="00732012" w:rsidR="006B22A9" w:rsidTr="007F64F4" w14:paraId="6FD34A13" w14:textId="77777777">
        <w:trPr>
          <w:trHeight w:val="300"/>
          <w:jc w:val="center"/>
        </w:trPr>
        <w:tc>
          <w:tcPr>
            <w:tcW w:w="8550" w:type="dxa"/>
            <w:shd w:val="clear" w:color="auto" w:fill="D9D9D9" w:themeFill="background1" w:themeFillShade="D9"/>
            <w:hideMark/>
          </w:tcPr>
          <w:p w:rsidRPr="00014265" w:rsidR="006B22A9" w:rsidP="00A13C65" w:rsidRDefault="006B22A9" w14:paraId="5B29B5A4" w14:textId="77777777">
            <w:pPr>
              <w:spacing w:after="0"/>
              <w:rPr>
                <w:b/>
                <w:sz w:val="20"/>
                <w:szCs w:val="20"/>
              </w:rPr>
            </w:pPr>
            <w:r w:rsidRPr="00014265">
              <w:rPr>
                <w:b/>
                <w:sz w:val="20"/>
                <w:szCs w:val="20"/>
              </w:rPr>
              <w:t>Total Annual Hours (f) = (a)*(e)</w:t>
            </w:r>
          </w:p>
        </w:tc>
        <w:tc>
          <w:tcPr>
            <w:tcW w:w="1100" w:type="dxa"/>
            <w:shd w:val="clear" w:color="auto" w:fill="D9D9D9" w:themeFill="background1" w:themeFillShade="D9"/>
            <w:hideMark/>
          </w:tcPr>
          <w:p w:rsidRPr="00014265" w:rsidR="006B22A9" w:rsidP="00A13C65" w:rsidRDefault="00BE4CB2" w14:paraId="6A2A3229" w14:textId="6B10B4C2">
            <w:pPr>
              <w:spacing w:after="0"/>
              <w:rPr>
                <w:b/>
                <w:sz w:val="20"/>
                <w:szCs w:val="20"/>
              </w:rPr>
            </w:pPr>
            <w:r w:rsidRPr="00014265">
              <w:rPr>
                <w:b/>
                <w:sz w:val="20"/>
                <w:szCs w:val="20"/>
              </w:rPr>
              <w:t>1</w:t>
            </w:r>
            <w:r w:rsidR="00DE381D">
              <w:rPr>
                <w:b/>
                <w:sz w:val="20"/>
                <w:szCs w:val="20"/>
              </w:rPr>
              <w:t>54</w:t>
            </w:r>
          </w:p>
        </w:tc>
      </w:tr>
      <w:tr w:rsidRPr="00732012" w:rsidR="006B22A9" w:rsidTr="007F64F4" w14:paraId="1BBE3160" w14:textId="77777777">
        <w:trPr>
          <w:trHeight w:val="233"/>
          <w:jc w:val="center"/>
        </w:trPr>
        <w:tc>
          <w:tcPr>
            <w:tcW w:w="8550" w:type="dxa"/>
            <w:shd w:val="clear" w:color="auto" w:fill="auto"/>
            <w:hideMark/>
          </w:tcPr>
          <w:p w:rsidRPr="00732012" w:rsidR="006B22A9" w:rsidP="00A13C65" w:rsidRDefault="006B22A9" w14:paraId="17CDAC6C" w14:textId="67728759">
            <w:pPr>
              <w:spacing w:after="0"/>
              <w:rPr>
                <w:sz w:val="20"/>
                <w:szCs w:val="20"/>
              </w:rPr>
            </w:pPr>
            <w:r w:rsidRPr="00732012">
              <w:rPr>
                <w:sz w:val="20"/>
                <w:szCs w:val="20"/>
              </w:rPr>
              <w:t>Cost to Identify and Submit Measure (@</w:t>
            </w:r>
            <w:r w:rsidR="00E714DC">
              <w:rPr>
                <w:sz w:val="20"/>
                <w:szCs w:val="20"/>
              </w:rPr>
              <w:t>practice administr</w:t>
            </w:r>
            <w:r w:rsidR="004803D1">
              <w:rPr>
                <w:sz w:val="20"/>
                <w:szCs w:val="20"/>
              </w:rPr>
              <w:t>a</w:t>
            </w:r>
            <w:r w:rsidR="00E714DC">
              <w:rPr>
                <w:sz w:val="20"/>
                <w:szCs w:val="20"/>
              </w:rPr>
              <w:t>tor</w:t>
            </w:r>
            <w:r w:rsidRPr="00732012">
              <w:rPr>
                <w:sz w:val="20"/>
                <w:szCs w:val="20"/>
              </w:rPr>
              <w:t>'s labor rate of $1</w:t>
            </w:r>
            <w:r w:rsidR="00065938">
              <w:rPr>
                <w:sz w:val="20"/>
                <w:szCs w:val="20"/>
              </w:rPr>
              <w:t>1</w:t>
            </w:r>
            <w:r w:rsidR="005963F6">
              <w:rPr>
                <w:sz w:val="20"/>
                <w:szCs w:val="20"/>
              </w:rPr>
              <w:t>4</w:t>
            </w:r>
            <w:r w:rsidR="00065938">
              <w:rPr>
                <w:sz w:val="20"/>
                <w:szCs w:val="20"/>
              </w:rPr>
              <w:t>.</w:t>
            </w:r>
            <w:r w:rsidR="005963F6">
              <w:rPr>
                <w:sz w:val="20"/>
                <w:szCs w:val="20"/>
              </w:rPr>
              <w:t>2</w:t>
            </w:r>
            <w:r w:rsidR="00065938">
              <w:rPr>
                <w:sz w:val="20"/>
                <w:szCs w:val="20"/>
              </w:rPr>
              <w:t>4</w:t>
            </w:r>
            <w:r w:rsidRPr="00732012">
              <w:rPr>
                <w:sz w:val="20"/>
                <w:szCs w:val="20"/>
              </w:rPr>
              <w:t xml:space="preserve">/hr.) </w:t>
            </w:r>
            <w:r w:rsidR="00B146F5">
              <w:rPr>
                <w:sz w:val="20"/>
                <w:szCs w:val="20"/>
              </w:rPr>
              <w:t xml:space="preserve">* </w:t>
            </w:r>
            <w:r w:rsidR="009820B2">
              <w:rPr>
                <w:sz w:val="20"/>
                <w:szCs w:val="20"/>
              </w:rPr>
              <w:t xml:space="preserve">2.4 hr </w:t>
            </w:r>
            <w:r w:rsidRPr="00732012">
              <w:rPr>
                <w:sz w:val="20"/>
                <w:szCs w:val="20"/>
              </w:rPr>
              <w:t>(g)</w:t>
            </w:r>
          </w:p>
        </w:tc>
        <w:tc>
          <w:tcPr>
            <w:tcW w:w="1100" w:type="dxa"/>
            <w:shd w:val="clear" w:color="auto" w:fill="auto"/>
            <w:hideMark/>
          </w:tcPr>
          <w:p w:rsidRPr="00732012" w:rsidR="006B22A9" w:rsidP="00A13C65" w:rsidRDefault="006B22A9" w14:paraId="485C65E7" w14:textId="5BC5B9AC">
            <w:pPr>
              <w:spacing w:after="0"/>
              <w:rPr>
                <w:sz w:val="20"/>
                <w:szCs w:val="20"/>
              </w:rPr>
            </w:pPr>
            <w:r w:rsidRPr="00732012">
              <w:rPr>
                <w:sz w:val="20"/>
                <w:szCs w:val="20"/>
              </w:rPr>
              <w:t>$</w:t>
            </w:r>
            <w:r w:rsidR="00066E97">
              <w:rPr>
                <w:sz w:val="20"/>
                <w:szCs w:val="20"/>
              </w:rPr>
              <w:t>274.20</w:t>
            </w:r>
          </w:p>
        </w:tc>
      </w:tr>
      <w:tr w:rsidRPr="00732012" w:rsidR="006B22A9" w:rsidTr="007F64F4" w14:paraId="1BE99EB6" w14:textId="77777777">
        <w:trPr>
          <w:trHeight w:val="242"/>
          <w:jc w:val="center"/>
        </w:trPr>
        <w:tc>
          <w:tcPr>
            <w:tcW w:w="8550" w:type="dxa"/>
            <w:shd w:val="clear" w:color="auto" w:fill="auto"/>
            <w:hideMark/>
          </w:tcPr>
          <w:p w:rsidRPr="00732012" w:rsidR="006B22A9" w:rsidP="00A13C65" w:rsidRDefault="006B22A9" w14:paraId="6A78FD46" w14:textId="46945635">
            <w:pPr>
              <w:spacing w:after="0"/>
              <w:rPr>
                <w:sz w:val="20"/>
                <w:szCs w:val="20"/>
              </w:rPr>
            </w:pPr>
            <w:r w:rsidRPr="00732012">
              <w:rPr>
                <w:sz w:val="20"/>
                <w:szCs w:val="20"/>
              </w:rPr>
              <w:t>Cost to Identify Quality Measure and Complete Peer Review Article Form (@ physician’s labor rate of $2</w:t>
            </w:r>
            <w:r w:rsidR="00065938">
              <w:rPr>
                <w:sz w:val="20"/>
                <w:szCs w:val="20"/>
              </w:rPr>
              <w:t>1</w:t>
            </w:r>
            <w:r w:rsidR="00982820">
              <w:rPr>
                <w:sz w:val="20"/>
                <w:szCs w:val="20"/>
              </w:rPr>
              <w:t>7.32</w:t>
            </w:r>
            <w:r w:rsidRPr="00732012">
              <w:rPr>
                <w:sz w:val="20"/>
                <w:szCs w:val="20"/>
              </w:rPr>
              <w:t>/hr.)</w:t>
            </w:r>
            <w:r w:rsidR="009820B2">
              <w:rPr>
                <w:sz w:val="20"/>
                <w:szCs w:val="20"/>
              </w:rPr>
              <w:t xml:space="preserve"> * </w:t>
            </w:r>
            <w:r w:rsidR="00D435E1">
              <w:rPr>
                <w:sz w:val="20"/>
                <w:szCs w:val="20"/>
              </w:rPr>
              <w:t>3.1 hr</w:t>
            </w:r>
            <w:r w:rsidRPr="00732012">
              <w:rPr>
                <w:sz w:val="20"/>
                <w:szCs w:val="20"/>
              </w:rPr>
              <w:t xml:space="preserve"> (h)</w:t>
            </w:r>
          </w:p>
        </w:tc>
        <w:tc>
          <w:tcPr>
            <w:tcW w:w="1100" w:type="dxa"/>
            <w:shd w:val="clear" w:color="auto" w:fill="auto"/>
            <w:noWrap/>
            <w:hideMark/>
          </w:tcPr>
          <w:p w:rsidRPr="00732012" w:rsidR="006B22A9" w:rsidP="00A13C65" w:rsidRDefault="006B22A9" w14:paraId="3E99589F" w14:textId="27E91AC4">
            <w:pPr>
              <w:spacing w:after="0"/>
              <w:rPr>
                <w:sz w:val="20"/>
                <w:szCs w:val="20"/>
              </w:rPr>
            </w:pPr>
            <w:r w:rsidRPr="00732012">
              <w:rPr>
                <w:sz w:val="20"/>
                <w:szCs w:val="20"/>
              </w:rPr>
              <w:t>$</w:t>
            </w:r>
            <w:r w:rsidR="009E0934">
              <w:rPr>
                <w:sz w:val="20"/>
                <w:szCs w:val="20"/>
              </w:rPr>
              <w:t>6</w:t>
            </w:r>
            <w:r w:rsidR="00230A31">
              <w:rPr>
                <w:sz w:val="20"/>
                <w:szCs w:val="20"/>
              </w:rPr>
              <w:t>73.69</w:t>
            </w:r>
          </w:p>
        </w:tc>
      </w:tr>
      <w:tr w:rsidRPr="00732012" w:rsidR="006B22A9" w:rsidTr="007F64F4" w14:paraId="719EF507" w14:textId="77777777">
        <w:trPr>
          <w:trHeight w:val="300"/>
          <w:jc w:val="center"/>
        </w:trPr>
        <w:tc>
          <w:tcPr>
            <w:tcW w:w="8550" w:type="dxa"/>
            <w:shd w:val="clear" w:color="auto" w:fill="E7E6E6" w:themeFill="background2"/>
            <w:hideMark/>
          </w:tcPr>
          <w:p w:rsidRPr="00732012" w:rsidR="006B22A9" w:rsidP="00A13C65" w:rsidRDefault="006B22A9" w14:paraId="6C7A6283" w14:textId="77777777">
            <w:pPr>
              <w:spacing w:after="0"/>
              <w:rPr>
                <w:sz w:val="20"/>
                <w:szCs w:val="20"/>
              </w:rPr>
            </w:pPr>
            <w:r w:rsidRPr="00732012">
              <w:rPr>
                <w:sz w:val="20"/>
                <w:szCs w:val="20"/>
              </w:rPr>
              <w:t>Total Annual Cost Per Respondent (i)=(g)+(h)</w:t>
            </w:r>
          </w:p>
        </w:tc>
        <w:tc>
          <w:tcPr>
            <w:tcW w:w="1100" w:type="dxa"/>
            <w:shd w:val="clear" w:color="auto" w:fill="E7E6E6" w:themeFill="background2"/>
            <w:noWrap/>
            <w:hideMark/>
          </w:tcPr>
          <w:p w:rsidRPr="00732012" w:rsidR="006B22A9" w:rsidP="00A13C65" w:rsidRDefault="006B22A9" w14:paraId="2E2236D9" w14:textId="78A654AF">
            <w:pPr>
              <w:spacing w:after="0"/>
              <w:rPr>
                <w:sz w:val="20"/>
                <w:szCs w:val="20"/>
              </w:rPr>
            </w:pPr>
            <w:r w:rsidRPr="00732012">
              <w:rPr>
                <w:sz w:val="20"/>
                <w:szCs w:val="20"/>
              </w:rPr>
              <w:t>$</w:t>
            </w:r>
            <w:r w:rsidR="004F2FC8">
              <w:rPr>
                <w:sz w:val="20"/>
                <w:szCs w:val="20"/>
              </w:rPr>
              <w:t>9</w:t>
            </w:r>
            <w:r w:rsidR="00021F21">
              <w:rPr>
                <w:sz w:val="20"/>
                <w:szCs w:val="20"/>
              </w:rPr>
              <w:t>47.89</w:t>
            </w:r>
          </w:p>
        </w:tc>
      </w:tr>
      <w:tr w:rsidRPr="00732012" w:rsidR="006B22A9" w:rsidTr="007F64F4" w14:paraId="450A965A" w14:textId="77777777">
        <w:trPr>
          <w:trHeight w:val="300"/>
          <w:jc w:val="center"/>
        </w:trPr>
        <w:tc>
          <w:tcPr>
            <w:tcW w:w="8550" w:type="dxa"/>
            <w:shd w:val="clear" w:color="auto" w:fill="E7E6E6" w:themeFill="background2"/>
            <w:hideMark/>
          </w:tcPr>
          <w:p w:rsidRPr="00014265" w:rsidR="006B22A9" w:rsidP="00A13C65" w:rsidRDefault="006B22A9" w14:paraId="7A2AF158" w14:textId="77777777">
            <w:pPr>
              <w:spacing w:after="0"/>
              <w:rPr>
                <w:b/>
                <w:sz w:val="20"/>
                <w:szCs w:val="20"/>
              </w:rPr>
            </w:pPr>
            <w:r w:rsidRPr="00014265">
              <w:rPr>
                <w:b/>
                <w:sz w:val="20"/>
                <w:szCs w:val="20"/>
              </w:rPr>
              <w:t>Total Annual Cost (j)=(a)*(i)</w:t>
            </w:r>
          </w:p>
        </w:tc>
        <w:tc>
          <w:tcPr>
            <w:tcW w:w="1100" w:type="dxa"/>
            <w:shd w:val="clear" w:color="auto" w:fill="E7E6E6" w:themeFill="background2"/>
            <w:noWrap/>
            <w:hideMark/>
          </w:tcPr>
          <w:p w:rsidRPr="00014265" w:rsidR="006B22A9" w:rsidP="00A13C65" w:rsidRDefault="006B22A9" w14:paraId="5C79BB12" w14:textId="7D0694C3">
            <w:pPr>
              <w:spacing w:after="0"/>
              <w:rPr>
                <w:b/>
                <w:sz w:val="20"/>
                <w:szCs w:val="20"/>
              </w:rPr>
            </w:pPr>
            <w:r w:rsidRPr="00014265">
              <w:rPr>
                <w:b/>
                <w:sz w:val="20"/>
                <w:szCs w:val="20"/>
              </w:rPr>
              <w:t>$</w:t>
            </w:r>
            <w:r w:rsidR="00CF1424">
              <w:rPr>
                <w:b/>
                <w:sz w:val="20"/>
                <w:szCs w:val="20"/>
              </w:rPr>
              <w:t>2</w:t>
            </w:r>
            <w:r w:rsidR="004353C2">
              <w:rPr>
                <w:b/>
                <w:sz w:val="20"/>
                <w:szCs w:val="20"/>
              </w:rPr>
              <w:t>6,54</w:t>
            </w:r>
            <w:r w:rsidR="00C812B7">
              <w:rPr>
                <w:b/>
                <w:sz w:val="20"/>
                <w:szCs w:val="20"/>
              </w:rPr>
              <w:t>1</w:t>
            </w:r>
            <w:r w:rsidR="003D7D78">
              <w:rPr>
                <w:b/>
                <w:sz w:val="20"/>
                <w:szCs w:val="20"/>
              </w:rPr>
              <w:t>*</w:t>
            </w:r>
          </w:p>
        </w:tc>
      </w:tr>
    </w:tbl>
    <w:p w:rsidRPr="00E53E05" w:rsidR="006B22A9" w:rsidP="00971697" w:rsidRDefault="003D7D78" w14:paraId="26C45BDA" w14:textId="4FC6FAE8">
      <w:pPr>
        <w:widowControl w:val="0"/>
        <w:rPr>
          <w:rFonts w:eastAsia="Calibri"/>
          <w:sz w:val="20"/>
          <w:szCs w:val="20"/>
        </w:rPr>
      </w:pPr>
      <w:r w:rsidRPr="00871E51">
        <w:rPr>
          <w:rFonts w:eastAsia="Calibri"/>
          <w:sz w:val="20"/>
          <w:szCs w:val="20"/>
        </w:rPr>
        <w:t>*Due to burden for certain activities being estimated in fractions of hours, totals may not reflect the sum of individual rows due to rounding.</w:t>
      </w:r>
    </w:p>
    <w:p w:rsidRPr="00C45D11" w:rsidR="006B22A9" w:rsidP="00C45D11" w:rsidRDefault="006B22A9" w14:paraId="5B484AE7" w14:textId="314C5985">
      <w:pPr>
        <w:pStyle w:val="Heading3"/>
      </w:pPr>
      <w:r w:rsidRPr="00C45D11">
        <w:t>Burden Estimate for the Promoting Interoperability Performance Category</w:t>
      </w:r>
    </w:p>
    <w:p w:rsidR="006B22A9" w:rsidP="00E12B53" w:rsidRDefault="00D8379C" w14:paraId="273DD452" w14:textId="615BD499">
      <w:r w:rsidRPr="00D8379C">
        <w:rPr>
          <w:rFonts w:eastAsia="Calibri"/>
        </w:rPr>
        <w:t xml:space="preserve">For the </w:t>
      </w:r>
      <w:r w:rsidR="0042558C">
        <w:rPr>
          <w:rFonts w:eastAsia="Calibri"/>
        </w:rPr>
        <w:t xml:space="preserve">CY </w:t>
      </w:r>
      <w:r w:rsidRPr="00D8379C">
        <w:rPr>
          <w:rFonts w:eastAsia="Calibri"/>
        </w:rPr>
        <w:t>202</w:t>
      </w:r>
      <w:r w:rsidR="0042558C">
        <w:rPr>
          <w:rFonts w:eastAsia="Calibri"/>
        </w:rPr>
        <w:t>2</w:t>
      </w:r>
      <w:r w:rsidRPr="00D8379C">
        <w:rPr>
          <w:rFonts w:eastAsia="Calibri"/>
        </w:rPr>
        <w:t xml:space="preserve"> MIPS performance period</w:t>
      </w:r>
      <w:r w:rsidR="0042558C">
        <w:rPr>
          <w:rFonts w:eastAsia="Calibri"/>
        </w:rPr>
        <w:t>/2024 MIPS payment year</w:t>
      </w:r>
      <w:r w:rsidRPr="00D8379C">
        <w:rPr>
          <w:rFonts w:eastAsia="Calibri"/>
        </w:rPr>
        <w:t>, clinicians and groups can submit Promoting Interoperability data through direct, log in and upload, or log in and attest submission types.  With the exception of submitters who elect to use the log in and attest submission type for the Promoting Interoperability performance category, which is not available for the quality performance category, we anticipate that individuals and groups will use the same data submission type for the both of these performance categories and that the clinicians, practice managers, and computer systems analysts involved in supporting the quality data submission will also support the Promoting Interoperability data submission process.  The following burden estimates show only incremental hours required above and beyond the time already accounted for in the quality data submission process.  Although this analysis assesses burden by performance category and submission type, we emphasize MIPS is a consolidated program and submission analysis</w:t>
      </w:r>
      <w:r w:rsidR="004353C2">
        <w:rPr>
          <w:rFonts w:eastAsia="Calibri"/>
        </w:rPr>
        <w:t>,</w:t>
      </w:r>
      <w:r w:rsidRPr="00D8379C">
        <w:rPr>
          <w:rFonts w:eastAsia="Calibri"/>
        </w:rPr>
        <w:t xml:space="preserve"> and decisions are expected to be made for the </w:t>
      </w:r>
      <w:r w:rsidRPr="00D8379C" w:rsidR="001E7DBC">
        <w:rPr>
          <w:rFonts w:eastAsia="Calibri"/>
        </w:rPr>
        <w:t>program</w:t>
      </w:r>
      <w:r w:rsidRPr="00CC2BFB" w:rsidR="008D6B81">
        <w:rPr>
          <w:rFonts w:eastAsia="Calibri"/>
        </w:rPr>
        <w:t xml:space="preserve">. </w:t>
      </w:r>
    </w:p>
    <w:p w:rsidRPr="00C45D11" w:rsidR="006B22A9" w:rsidP="004330C9" w:rsidRDefault="006B22A9" w14:paraId="08EADA58" w14:textId="3AE282B2">
      <w:pPr>
        <w:pStyle w:val="Heading4"/>
        <w:numPr>
          <w:ilvl w:val="0"/>
          <w:numId w:val="18"/>
        </w:numPr>
        <w:ind w:left="2880"/>
      </w:pPr>
      <w:r w:rsidRPr="00C45D11">
        <w:lastRenderedPageBreak/>
        <w:t xml:space="preserve">Burden for </w:t>
      </w:r>
      <w:r w:rsidRPr="00C45D11" w:rsidR="0015290C">
        <w:t xml:space="preserve">Reweighting Applications for </w:t>
      </w:r>
      <w:r w:rsidRPr="00C45D11">
        <w:t xml:space="preserve">Promoting Interoperability </w:t>
      </w:r>
      <w:r w:rsidRPr="00C45D11" w:rsidR="0015290C">
        <w:t>and Other Performance Categories</w:t>
      </w:r>
    </w:p>
    <w:p w:rsidRPr="00920A23" w:rsidR="00920A23" w:rsidP="004E13F7" w:rsidRDefault="00C25E67" w14:paraId="55E71124" w14:textId="1AF7E20D">
      <w:pPr>
        <w:keepNext/>
        <w:keepLines/>
        <w:rPr>
          <w:rFonts w:eastAsia="Calibri"/>
        </w:rPr>
      </w:pPr>
      <w:bookmarkStart w:name="_Hlk516984963" w:id="7"/>
      <w:r w:rsidRPr="00C25E67">
        <w:rPr>
          <w:rFonts w:eastAsia="Calibri"/>
        </w:rPr>
        <w:t xml:space="preserve">As established in the CY 2017 and CY 2018 Quality Payment Program final rules, MIPS eligible clinicians who meet the criteria for a significant hardship or other type of exception may </w:t>
      </w:r>
      <w:proofErr w:type="gramStart"/>
      <w:r w:rsidRPr="00C25E67">
        <w:rPr>
          <w:rFonts w:eastAsia="Calibri"/>
        </w:rPr>
        <w:t>submit an application</w:t>
      </w:r>
      <w:proofErr w:type="gramEnd"/>
      <w:r w:rsidRPr="00C25E67">
        <w:rPr>
          <w:rFonts w:eastAsia="Calibri"/>
        </w:rPr>
        <w:t xml:space="preserve"> requesting a zero percent weighting for the Promoting Interoperability, quality, cost, and/or improvement activities performance categories under specific circumstances (81 FR 77240 through 77243, 82 FR 53680 through 53686, and 82 FR 53783 through 53785).  Respondents who apply for a reweighting for the quality, cost, and/or improvement activities performance categories have the option of applying for reweighting for the Promoting Interoperability performance category on the same online form.  We assume respondents applying for a reweighting of the Promoting Interoperability performance category due to extreme and uncontrollable circumstances will also request a reweighting of at least one of the other performance categories simultaneously and not submit multiple reweighting applications</w:t>
      </w:r>
      <w:r w:rsidRPr="00920A23" w:rsidR="00920A23">
        <w:rPr>
          <w:rFonts w:eastAsia="Calibri"/>
        </w:rPr>
        <w:t xml:space="preserve">.    </w:t>
      </w:r>
    </w:p>
    <w:p w:rsidR="00E663B1" w:rsidP="00E12B53" w:rsidRDefault="00920A23" w14:paraId="116A87FB" w14:textId="6C36EBA6">
      <w:pPr>
        <w:rPr>
          <w:rFonts w:eastAsia="Calibri"/>
        </w:rPr>
      </w:pPr>
      <w:r w:rsidRPr="00920A23">
        <w:rPr>
          <w:rFonts w:eastAsia="Calibri"/>
        </w:rPr>
        <w:t xml:space="preserve">Table </w:t>
      </w:r>
      <w:r>
        <w:rPr>
          <w:rFonts w:eastAsia="Calibri"/>
        </w:rPr>
        <w:t>1</w:t>
      </w:r>
      <w:r w:rsidR="00662FA7">
        <w:rPr>
          <w:rFonts w:eastAsia="Calibri"/>
        </w:rPr>
        <w:t>9</w:t>
      </w:r>
      <w:r w:rsidRPr="00920A23">
        <w:rPr>
          <w:rFonts w:eastAsia="Calibri"/>
        </w:rPr>
        <w:t xml:space="preserve"> </w:t>
      </w:r>
      <w:r w:rsidRPr="006F3E8B" w:rsidR="006F3E8B">
        <w:rPr>
          <w:rFonts w:eastAsia="Calibri"/>
        </w:rPr>
        <w:t xml:space="preserve">summarizes the burden for clinicians to apply for reweighting the Promoting Interoperability performance category to zero percent due to a significant hardship exception (including a significant hardship exception for small practices) or </w:t>
      </w:r>
      <w:r w:rsidRPr="006F3E8B" w:rsidR="00123509">
        <w:rPr>
          <w:rFonts w:eastAsia="Calibri"/>
        </w:rPr>
        <w:t>because of</w:t>
      </w:r>
      <w:r w:rsidRPr="006F3E8B" w:rsidR="006F3E8B">
        <w:rPr>
          <w:rFonts w:eastAsia="Calibri"/>
        </w:rPr>
        <w:t xml:space="preserve"> a decertification of an EHR.  Based on the number of reweighting applications received by </w:t>
      </w:r>
      <w:r w:rsidR="00BC71F2">
        <w:rPr>
          <w:rFonts w:eastAsia="Calibri"/>
        </w:rPr>
        <w:t>March</w:t>
      </w:r>
      <w:r w:rsidRPr="006F3E8B" w:rsidR="006F3E8B">
        <w:rPr>
          <w:rFonts w:eastAsia="Calibri"/>
        </w:rPr>
        <w:t xml:space="preserve"> 31, 20</w:t>
      </w:r>
      <w:r w:rsidR="004A3B10">
        <w:rPr>
          <w:rFonts w:eastAsia="Calibri"/>
        </w:rPr>
        <w:t>21</w:t>
      </w:r>
      <w:r w:rsidRPr="006F3E8B" w:rsidR="006F3E8B">
        <w:rPr>
          <w:rFonts w:eastAsia="Calibri"/>
        </w:rPr>
        <w:t xml:space="preserve"> for the </w:t>
      </w:r>
      <w:r w:rsidR="004A3B10">
        <w:rPr>
          <w:rFonts w:eastAsia="Calibri"/>
        </w:rPr>
        <w:t>CY 20</w:t>
      </w:r>
      <w:r w:rsidR="00DB39C0">
        <w:rPr>
          <w:rFonts w:eastAsia="Calibri"/>
        </w:rPr>
        <w:t xml:space="preserve">20 </w:t>
      </w:r>
      <w:r w:rsidRPr="006F3E8B" w:rsidR="006F3E8B">
        <w:rPr>
          <w:rFonts w:eastAsia="Calibri"/>
        </w:rPr>
        <w:t xml:space="preserve"> MIPS performance period</w:t>
      </w:r>
      <w:r w:rsidR="00DB39C0">
        <w:rPr>
          <w:rFonts w:eastAsia="Calibri"/>
        </w:rPr>
        <w:t>/2022 MIPS payment year</w:t>
      </w:r>
      <w:r w:rsidRPr="006F3E8B" w:rsidR="006F3E8B">
        <w:rPr>
          <w:rFonts w:eastAsia="Calibri"/>
        </w:rPr>
        <w:t xml:space="preserve">, we assume </w:t>
      </w:r>
      <w:r w:rsidR="00E73F79">
        <w:rPr>
          <w:rFonts w:eastAsia="Calibri"/>
        </w:rPr>
        <w:t>20,192</w:t>
      </w:r>
      <w:r w:rsidRPr="006F3E8B" w:rsidR="006F3E8B">
        <w:rPr>
          <w:rFonts w:eastAsia="Calibri"/>
        </w:rPr>
        <w:t xml:space="preserve"> respondents (eligible clinicians or groups) will submit a request to reweight the Promoting Interoperability performance category to zero percent due to a significant hardship (including clinicians in small practices) or EHR decertification and an additional </w:t>
      </w:r>
      <w:r w:rsidR="00FF4F39">
        <w:rPr>
          <w:rFonts w:eastAsia="Calibri"/>
        </w:rPr>
        <w:t>22,635</w:t>
      </w:r>
      <w:r w:rsidRPr="006F3E8B" w:rsidR="006F3E8B">
        <w:rPr>
          <w:rFonts w:eastAsia="Calibri"/>
        </w:rPr>
        <w:t xml:space="preserve"> respondents will submit a request to reweight one or more of the quality, cost, Promoting Interoperability, or improvement activity performance categories due to an extreme or uncontrollable circumstance, for a total of </w:t>
      </w:r>
      <w:r w:rsidR="000B112E">
        <w:rPr>
          <w:rFonts w:eastAsia="Calibri"/>
        </w:rPr>
        <w:t>42,797</w:t>
      </w:r>
      <w:r w:rsidRPr="006F3E8B" w:rsidR="006F3E8B">
        <w:rPr>
          <w:rFonts w:eastAsia="Calibri"/>
        </w:rPr>
        <w:t xml:space="preserve"> reweighting applications submitted.  This is an increase of </w:t>
      </w:r>
      <w:r w:rsidR="00655545">
        <w:rPr>
          <w:rFonts w:eastAsia="Calibri"/>
        </w:rPr>
        <w:t>9,302</w:t>
      </w:r>
      <w:r w:rsidRPr="006F3E8B" w:rsidR="006F3E8B">
        <w:rPr>
          <w:rFonts w:eastAsia="Calibri"/>
        </w:rPr>
        <w:t xml:space="preserve"> respondents compared to our currently approved estimate of </w:t>
      </w:r>
      <w:r w:rsidR="00BA31D3">
        <w:rPr>
          <w:rFonts w:eastAsia="Calibri"/>
        </w:rPr>
        <w:t>52,099</w:t>
      </w:r>
      <w:r w:rsidRPr="006F3E8B" w:rsidR="006F3E8B">
        <w:rPr>
          <w:rFonts w:eastAsia="Calibri"/>
        </w:rPr>
        <w:t xml:space="preserve"> respondents (8</w:t>
      </w:r>
      <w:r w:rsidR="00F45A45">
        <w:rPr>
          <w:rFonts w:eastAsia="Calibri"/>
        </w:rPr>
        <w:t>5</w:t>
      </w:r>
      <w:r w:rsidRPr="006F3E8B" w:rsidR="006F3E8B">
        <w:rPr>
          <w:rFonts w:eastAsia="Calibri"/>
        </w:rPr>
        <w:t xml:space="preserve"> FR </w:t>
      </w:r>
      <w:r w:rsidR="00F15F18">
        <w:rPr>
          <w:rFonts w:eastAsia="Calibri"/>
        </w:rPr>
        <w:t>84984</w:t>
      </w:r>
      <w:r w:rsidRPr="006F3E8B" w:rsidR="006F3E8B">
        <w:rPr>
          <w:rFonts w:eastAsia="Calibri"/>
        </w:rPr>
        <w:t>).  Similar to the data used to estimate the number of respondents in the CY 202</w:t>
      </w:r>
      <w:r w:rsidR="00FC416A">
        <w:rPr>
          <w:rFonts w:eastAsia="Calibri"/>
        </w:rPr>
        <w:t>1</w:t>
      </w:r>
      <w:r w:rsidRPr="006F3E8B" w:rsidR="006F3E8B">
        <w:rPr>
          <w:rFonts w:eastAsia="Calibri"/>
        </w:rPr>
        <w:t xml:space="preserve"> PFS final rule, our respondent estimate includes a significant number of applications submitted as a result of a data issue CMS was made aware of and is specific to a single third-party intermediary.  While we do not anticipate similar data issues to occur in each performance period, we do believe future similar incidents may occur and are electing to use this data without adjustment to reflect this belief.  Of our total respondent estimate of </w:t>
      </w:r>
      <w:r w:rsidR="003763CD">
        <w:rPr>
          <w:rFonts w:eastAsia="Calibri"/>
        </w:rPr>
        <w:t>42,797</w:t>
      </w:r>
      <w:r w:rsidRPr="006F3E8B" w:rsidR="006F3E8B">
        <w:rPr>
          <w:rFonts w:eastAsia="Calibri"/>
        </w:rPr>
        <w:t xml:space="preserve">, we estimate that </w:t>
      </w:r>
      <w:r w:rsidR="006619B5">
        <w:rPr>
          <w:rFonts w:eastAsia="Calibri"/>
        </w:rPr>
        <w:t>22,605</w:t>
      </w:r>
      <w:r w:rsidRPr="006F3E8B" w:rsidR="006F3E8B">
        <w:rPr>
          <w:rFonts w:eastAsia="Calibri"/>
        </w:rPr>
        <w:t xml:space="preserve"> respondents (eligible clinicians or groups) will submit a request for reweighting the Promoting Interoperability performance category to zero percent due to extreme and uncontrollable circumstances, insufficient internet connectivity, lack of control over the availability of CEHRT, or </w:t>
      </w:r>
      <w:r w:rsidRPr="006F3E8B" w:rsidR="001A0168">
        <w:rPr>
          <w:rFonts w:eastAsia="Calibri"/>
        </w:rPr>
        <w:t>because of</w:t>
      </w:r>
      <w:r w:rsidRPr="006F3E8B" w:rsidR="006F3E8B">
        <w:rPr>
          <w:rFonts w:eastAsia="Calibri"/>
        </w:rPr>
        <w:t xml:space="preserve"> a decertification of an EHR. </w:t>
      </w:r>
    </w:p>
    <w:p w:rsidR="002E563B" w:rsidP="00E12B53" w:rsidRDefault="00AB66E6" w14:paraId="63E98D42" w14:textId="1D269031">
      <w:pPr>
        <w:rPr>
          <w:rFonts w:eastAsia="Calibri"/>
        </w:rPr>
      </w:pPr>
      <w:r w:rsidRPr="00F6616C">
        <w:t>We previously established under § 414.1380(c)(2)(i)(C)(</w:t>
      </w:r>
      <w:r w:rsidRPr="00F6616C">
        <w:rPr>
          <w:i/>
        </w:rPr>
        <w:t>9</w:t>
      </w:r>
      <w:r w:rsidRPr="00F6616C">
        <w:t xml:space="preserve">) a significant hardship exception for MIPS eligible clinicians in small practices as defined in § 414.1305.  In the CY 2018 Quality Payment Program final rule (82 FR 53682 through 53683), we established we </w:t>
      </w:r>
      <w:r w:rsidRPr="00F6616C" w:rsidR="00127E82">
        <w:t>would</w:t>
      </w:r>
      <w:r w:rsidRPr="00F6616C">
        <w:t xml:space="preserve"> reweight the Promoting Interoperability performance category to zero percent of the MIPS final score for MIPS eligible clinicians who qualify for this hardship exception.  We established a MIPS eligible clinician seeking to qualify for this exception must </w:t>
      </w:r>
      <w:proofErr w:type="gramStart"/>
      <w:r w:rsidRPr="00F6616C">
        <w:t>submit an application</w:t>
      </w:r>
      <w:proofErr w:type="gramEnd"/>
      <w:r w:rsidRPr="00F6616C">
        <w:t xml:space="preserve"> to us demonstrating there are overwhelming barriers that prevent them from complying with the requirements for the Promoting Interoperability performance category, and the exception is subject to annual renewal.  </w:t>
      </w:r>
      <w:r w:rsidR="00D73220">
        <w:t>In the CY 202</w:t>
      </w:r>
      <w:r w:rsidR="00EB2F28">
        <w:t>2</w:t>
      </w:r>
      <w:r w:rsidR="00D73220">
        <w:t xml:space="preserve"> PFS proposed rule, </w:t>
      </w:r>
      <w:r w:rsidRPr="006D3AB8" w:rsidR="00D73220">
        <w:t xml:space="preserve">we are proposing to no longer require an application for clinicians and small practices seeking to qualify for the small practice </w:t>
      </w:r>
      <w:r w:rsidRPr="006D3AB8" w:rsidR="00D73220">
        <w:lastRenderedPageBreak/>
        <w:t xml:space="preserve">hardship exception and reweighting.  We are proposing instead to assign a weight of zero percent to the Promoting Interoperability performance category </w:t>
      </w:r>
      <w:r w:rsidR="009575BC">
        <w:t xml:space="preserve">for clinicians in small </w:t>
      </w:r>
      <w:r w:rsidR="00BC3840">
        <w:t>practices and</w:t>
      </w:r>
      <w:r w:rsidRPr="006D3AB8" w:rsidR="00D73220">
        <w:t xml:space="preserve"> redistribute its weight to another performance category or categories in the event no data is submitted for any of the measures for the Promoting Interoperability performance category by or on behalf of a MIPS eligible clinician in a small practice. </w:t>
      </w:r>
      <w:r w:rsidRPr="00E73CD3" w:rsidR="00D73220">
        <w:t xml:space="preserve"> </w:t>
      </w:r>
      <w:r w:rsidR="003646DF">
        <w:rPr>
          <w:rFonts w:eastAsia="Calibri"/>
        </w:rPr>
        <w:t xml:space="preserve">Therefore, we estimate </w:t>
      </w:r>
      <w:r w:rsidR="00127E82">
        <w:rPr>
          <w:rFonts w:eastAsia="Calibri"/>
        </w:rPr>
        <w:t xml:space="preserve">zero </w:t>
      </w:r>
      <w:r w:rsidR="00BC3840">
        <w:rPr>
          <w:rFonts w:eastAsia="Calibri"/>
        </w:rPr>
        <w:t>respondents</w:t>
      </w:r>
      <w:r w:rsidRPr="006F3E8B" w:rsidR="006F3E8B">
        <w:rPr>
          <w:rFonts w:eastAsia="Calibri"/>
        </w:rPr>
        <w:t xml:space="preserve"> will submit a request for reweighting the Promoting Interoperability performance category to zero percent as a small practice experiencing a significant hardship</w:t>
      </w:r>
      <w:r w:rsidRPr="00920A23" w:rsidR="00920A23">
        <w:rPr>
          <w:rFonts w:eastAsia="Calibri"/>
        </w:rPr>
        <w:t>.</w:t>
      </w:r>
    </w:p>
    <w:p w:rsidRPr="00920A23" w:rsidR="00920A23" w:rsidP="00E12B53" w:rsidRDefault="00FD55A2" w14:paraId="1C896D0B" w14:textId="1B16E810">
      <w:pPr>
        <w:rPr>
          <w:rFonts w:eastAsia="Calibri"/>
        </w:rPr>
      </w:pPr>
      <w:r w:rsidRPr="00FD55A2">
        <w:rPr>
          <w:rFonts w:eastAsia="Calibri"/>
        </w:rPr>
        <w:t xml:space="preserve">In </w:t>
      </w:r>
      <w:r>
        <w:rPr>
          <w:rFonts w:eastAsia="Calibri"/>
        </w:rPr>
        <w:t>the CY 2021 PFS final rule</w:t>
      </w:r>
      <w:r w:rsidR="003E7577">
        <w:rPr>
          <w:rFonts w:eastAsia="Calibri"/>
        </w:rPr>
        <w:t xml:space="preserve"> (85 FR 84984)</w:t>
      </w:r>
      <w:r w:rsidRPr="00FD55A2">
        <w:rPr>
          <w:rFonts w:eastAsia="Calibri"/>
        </w:rPr>
        <w:t xml:space="preserve">, we </w:t>
      </w:r>
      <w:r>
        <w:rPr>
          <w:rFonts w:eastAsia="Calibri"/>
        </w:rPr>
        <w:t>finalized</w:t>
      </w:r>
      <w:r w:rsidRPr="00FD55A2">
        <w:rPr>
          <w:rFonts w:eastAsia="Calibri"/>
        </w:rPr>
        <w:t xml:space="preserve"> that, beginning with the </w:t>
      </w:r>
      <w:r w:rsidR="00C52782">
        <w:rPr>
          <w:rFonts w:eastAsia="Calibri"/>
        </w:rPr>
        <w:t>CY 202</w:t>
      </w:r>
      <w:r w:rsidR="00144908">
        <w:rPr>
          <w:rFonts w:eastAsia="Calibri"/>
        </w:rPr>
        <w:t>0</w:t>
      </w:r>
      <w:r w:rsidR="00C52782">
        <w:rPr>
          <w:rFonts w:eastAsia="Calibri"/>
        </w:rPr>
        <w:t xml:space="preserve"> MIPS performance period/</w:t>
      </w:r>
      <w:r w:rsidRPr="00FD55A2">
        <w:rPr>
          <w:rFonts w:eastAsia="Calibri"/>
        </w:rPr>
        <w:t>202</w:t>
      </w:r>
      <w:r w:rsidR="00144908">
        <w:rPr>
          <w:rFonts w:eastAsia="Calibri"/>
        </w:rPr>
        <w:t>2</w:t>
      </w:r>
      <w:r w:rsidRPr="00FD55A2">
        <w:rPr>
          <w:rFonts w:eastAsia="Calibri"/>
        </w:rPr>
        <w:t xml:space="preserve"> MIPS payment year, APM Entities may submit an extreme and uncontrollable circumstances exception application for all four performance categories and applicable to all MIPS eligible clinicians in the APM Entity group.  As previously discussed, due to data limitations and our inability to </w:t>
      </w:r>
      <w:r w:rsidR="005B3C8B">
        <w:rPr>
          <w:rFonts w:eastAsia="Calibri"/>
        </w:rPr>
        <w:t>predict</w:t>
      </w:r>
      <w:r w:rsidRPr="00FD55A2">
        <w:rPr>
          <w:rFonts w:eastAsia="Calibri"/>
        </w:rPr>
        <w:t xml:space="preserve"> who would use the APM Performance Pathway versus the traditional MIPS submission mechanism for the </w:t>
      </w:r>
      <w:r w:rsidR="00C52782">
        <w:rPr>
          <w:rFonts w:eastAsia="Calibri"/>
        </w:rPr>
        <w:t xml:space="preserve">CY </w:t>
      </w:r>
      <w:r w:rsidRPr="00FD55A2">
        <w:rPr>
          <w:rFonts w:eastAsia="Calibri"/>
        </w:rPr>
        <w:t>202</w:t>
      </w:r>
      <w:r w:rsidR="00C52782">
        <w:rPr>
          <w:rFonts w:eastAsia="Calibri"/>
        </w:rPr>
        <w:t>2</w:t>
      </w:r>
      <w:r w:rsidRPr="00FD55A2">
        <w:rPr>
          <w:rFonts w:eastAsia="Calibri"/>
        </w:rPr>
        <w:t xml:space="preserve"> MIPS performance period</w:t>
      </w:r>
      <w:r w:rsidR="00C52782">
        <w:rPr>
          <w:rFonts w:eastAsia="Calibri"/>
        </w:rPr>
        <w:t>/2024 MIPS payment year</w:t>
      </w:r>
      <w:r w:rsidRPr="00FD55A2">
        <w:rPr>
          <w:rFonts w:eastAsia="Calibri"/>
        </w:rPr>
        <w:t xml:space="preserve">, we assume ACO APM Entities will submit data through the APM Performance Pathway and non-ACO APM Entities would participate through traditional MIPS, thereby submitting as an individual or group rather than as an entity. Therefore, we limited our analysis to ACOs that were eligible for an exception due to extreme and uncontrollable circumstances during the </w:t>
      </w:r>
      <w:r w:rsidR="00383FC9">
        <w:rPr>
          <w:rFonts w:eastAsia="Calibri"/>
        </w:rPr>
        <w:t xml:space="preserve">CY </w:t>
      </w:r>
      <w:r w:rsidRPr="00FD55A2">
        <w:rPr>
          <w:rFonts w:eastAsia="Calibri"/>
        </w:rPr>
        <w:t>20</w:t>
      </w:r>
      <w:r w:rsidR="00195186">
        <w:rPr>
          <w:rFonts w:eastAsia="Calibri"/>
        </w:rPr>
        <w:t>20</w:t>
      </w:r>
      <w:r w:rsidRPr="00FD55A2">
        <w:rPr>
          <w:rFonts w:eastAsia="Calibri"/>
        </w:rPr>
        <w:t xml:space="preserve"> MIPS performance period</w:t>
      </w:r>
      <w:r w:rsidR="00195186">
        <w:rPr>
          <w:rFonts w:eastAsia="Calibri"/>
        </w:rPr>
        <w:t>/2022 MIPS payment year</w:t>
      </w:r>
      <w:r w:rsidRPr="00FD55A2">
        <w:rPr>
          <w:rFonts w:eastAsia="Calibri"/>
        </w:rPr>
        <w:t xml:space="preserve"> and elected not to report quality data. Based on this data, we estimate </w:t>
      </w:r>
      <w:r w:rsidR="005A2873">
        <w:rPr>
          <w:rFonts w:eastAsia="Calibri"/>
        </w:rPr>
        <w:t xml:space="preserve">that </w:t>
      </w:r>
      <w:r w:rsidR="00BC3840">
        <w:rPr>
          <w:rFonts w:eastAsia="Calibri"/>
        </w:rPr>
        <w:t xml:space="preserve">30 </w:t>
      </w:r>
      <w:r w:rsidRPr="00FD55A2" w:rsidR="00BC3840">
        <w:rPr>
          <w:rFonts w:eastAsia="Calibri"/>
        </w:rPr>
        <w:t>APM</w:t>
      </w:r>
      <w:r w:rsidRPr="00FD55A2">
        <w:rPr>
          <w:rFonts w:eastAsia="Calibri"/>
        </w:rPr>
        <w:t xml:space="preserve"> Entities will submit an extreme and uncontrollable circumstances exception application for the </w:t>
      </w:r>
      <w:r w:rsidR="005A2873">
        <w:rPr>
          <w:rFonts w:eastAsia="Calibri"/>
        </w:rPr>
        <w:t xml:space="preserve">CY </w:t>
      </w:r>
      <w:r w:rsidRPr="00FD55A2">
        <w:rPr>
          <w:rFonts w:eastAsia="Calibri"/>
        </w:rPr>
        <w:t>202</w:t>
      </w:r>
      <w:r w:rsidR="005A2873">
        <w:rPr>
          <w:rFonts w:eastAsia="Calibri"/>
        </w:rPr>
        <w:t>2</w:t>
      </w:r>
      <w:r w:rsidRPr="00FD55A2">
        <w:rPr>
          <w:rFonts w:eastAsia="Calibri"/>
        </w:rPr>
        <w:t xml:space="preserve"> MIPS performance period</w:t>
      </w:r>
      <w:r w:rsidR="005A2873">
        <w:rPr>
          <w:rFonts w:eastAsia="Calibri"/>
        </w:rPr>
        <w:t>/2024 MIPS payment year</w:t>
      </w:r>
      <w:r w:rsidRPr="00FD55A2">
        <w:rPr>
          <w:rFonts w:eastAsia="Calibri"/>
        </w:rPr>
        <w:t xml:space="preserve">.  Combined with our </w:t>
      </w:r>
      <w:r w:rsidRPr="00FD55A2" w:rsidR="003E40E1">
        <w:rPr>
          <w:rFonts w:eastAsia="Calibri"/>
        </w:rPr>
        <w:t>estimate</w:t>
      </w:r>
      <w:r w:rsidRPr="00FD55A2">
        <w:rPr>
          <w:rFonts w:eastAsia="Calibri"/>
        </w:rPr>
        <w:t xml:space="preserve"> of </w:t>
      </w:r>
      <w:r w:rsidR="00E93AA5">
        <w:rPr>
          <w:rFonts w:eastAsia="Calibri"/>
        </w:rPr>
        <w:t>42,797</w:t>
      </w:r>
      <w:r w:rsidRPr="00FD55A2">
        <w:rPr>
          <w:rFonts w:eastAsia="Calibri"/>
        </w:rPr>
        <w:t xml:space="preserve"> eligible clinicians and groups, the total estimated number of respondents for the </w:t>
      </w:r>
      <w:r w:rsidR="002A60E6">
        <w:rPr>
          <w:rFonts w:eastAsia="Calibri"/>
        </w:rPr>
        <w:t xml:space="preserve">CY </w:t>
      </w:r>
      <w:r w:rsidRPr="00FD55A2">
        <w:rPr>
          <w:rFonts w:eastAsia="Calibri"/>
        </w:rPr>
        <w:t>202</w:t>
      </w:r>
      <w:r w:rsidR="002A60E6">
        <w:rPr>
          <w:rFonts w:eastAsia="Calibri"/>
        </w:rPr>
        <w:t>2</w:t>
      </w:r>
      <w:r w:rsidRPr="00FD55A2">
        <w:rPr>
          <w:rFonts w:eastAsia="Calibri"/>
        </w:rPr>
        <w:t xml:space="preserve"> MIPS performance period</w:t>
      </w:r>
      <w:r w:rsidR="002A60E6">
        <w:rPr>
          <w:rFonts w:eastAsia="Calibri"/>
        </w:rPr>
        <w:t>/2024 MIPS payment year</w:t>
      </w:r>
      <w:r w:rsidRPr="00FD55A2">
        <w:rPr>
          <w:rFonts w:eastAsia="Calibri"/>
        </w:rPr>
        <w:t xml:space="preserve"> is </w:t>
      </w:r>
      <w:r w:rsidR="00C27936">
        <w:rPr>
          <w:rFonts w:eastAsia="Calibri"/>
        </w:rPr>
        <w:t>42,827</w:t>
      </w:r>
      <w:r w:rsidR="002E563B">
        <w:rPr>
          <w:rFonts w:eastAsia="Calibri"/>
        </w:rPr>
        <w:t>.</w:t>
      </w:r>
    </w:p>
    <w:p w:rsidR="006B22A9" w:rsidP="00E12B53" w:rsidRDefault="00377419" w14:paraId="14F7D0AD" w14:textId="6DE86E2D">
      <w:pPr>
        <w:rPr>
          <w:rFonts w:eastAsia="Calibri"/>
        </w:rPr>
      </w:pPr>
      <w:r w:rsidRPr="00377419">
        <w:rPr>
          <w:rFonts w:eastAsia="Calibri"/>
        </w:rPr>
        <w:t xml:space="preserve">The application to request a reweighting to zero percent only for the Promoting Interoperability performance category is a short online form that requires identifying the type of hardship experienced or whether decertification of an EHR has occurred and a description of how the circumstances impair the clinician or group’s ability to submit Promoting Interoperability data, as well as some proof of circumstances beyond the clinician’s control.  The application for reweighting of the quality, cost, Promoting Interoperability, and/or improvement activities performance categories due to extreme and uncontrollable circumstances requires the same information </w:t>
      </w:r>
      <w:r w:rsidRPr="00377419" w:rsidR="00FE723C">
        <w:rPr>
          <w:rFonts w:eastAsia="Calibri"/>
        </w:rPr>
        <w:t>apart from</w:t>
      </w:r>
      <w:r w:rsidRPr="00377419">
        <w:rPr>
          <w:rFonts w:eastAsia="Calibri"/>
        </w:rPr>
        <w:t xml:space="preserve"> there being only one option for the type of hardship experienced.  We continue to estimate it will take 0.25 hours at $9</w:t>
      </w:r>
      <w:r w:rsidR="00FA42AF">
        <w:rPr>
          <w:rFonts w:eastAsia="Calibri"/>
        </w:rPr>
        <w:t>5.22</w:t>
      </w:r>
      <w:r w:rsidRPr="00377419">
        <w:rPr>
          <w:rFonts w:eastAsia="Calibri"/>
        </w:rPr>
        <w:t>/hr for a computer system analyst to complete and submit the application</w:t>
      </w:r>
      <w:r w:rsidRPr="002E563B" w:rsidR="002E563B">
        <w:rPr>
          <w:rFonts w:eastAsia="Calibri"/>
        </w:rPr>
        <w:t xml:space="preserve">.  As shown in Table </w:t>
      </w:r>
      <w:r w:rsidR="002E563B">
        <w:rPr>
          <w:rFonts w:eastAsia="Calibri"/>
        </w:rPr>
        <w:t>1</w:t>
      </w:r>
      <w:r w:rsidR="00D06B79">
        <w:rPr>
          <w:rFonts w:eastAsia="Calibri"/>
        </w:rPr>
        <w:t>9</w:t>
      </w:r>
      <w:r w:rsidRPr="002E563B" w:rsidR="002E563B">
        <w:rPr>
          <w:rFonts w:eastAsia="Calibri"/>
        </w:rPr>
        <w:t xml:space="preserve">, </w:t>
      </w:r>
      <w:r w:rsidRPr="00B009B7" w:rsidR="00B009B7">
        <w:rPr>
          <w:rFonts w:eastAsia="Calibri"/>
        </w:rPr>
        <w:t>we estimate an annual burden of 1</w:t>
      </w:r>
      <w:r w:rsidR="008C11AF">
        <w:rPr>
          <w:rFonts w:eastAsia="Calibri"/>
        </w:rPr>
        <w:t>0,707</w:t>
      </w:r>
      <w:r w:rsidRPr="00B009B7" w:rsidR="00B009B7">
        <w:rPr>
          <w:rFonts w:eastAsia="Calibri"/>
        </w:rPr>
        <w:t xml:space="preserve"> hours (</w:t>
      </w:r>
      <w:r w:rsidR="00D93AFD">
        <w:rPr>
          <w:rFonts w:eastAsia="Calibri"/>
        </w:rPr>
        <w:t>42,827</w:t>
      </w:r>
      <w:r w:rsidRPr="00B009B7" w:rsidR="00B009B7">
        <w:rPr>
          <w:rFonts w:eastAsia="Calibri"/>
        </w:rPr>
        <w:t xml:space="preserve"> applications x 0.25 hr/application) a</w:t>
      </w:r>
      <w:r w:rsidR="00613C8F">
        <w:rPr>
          <w:rFonts w:eastAsia="Calibri"/>
        </w:rPr>
        <w:t>t an annual</w:t>
      </w:r>
      <w:r w:rsidR="002629D9">
        <w:rPr>
          <w:rFonts w:eastAsia="Calibri"/>
        </w:rPr>
        <w:t xml:space="preserve"> cost </w:t>
      </w:r>
      <w:r w:rsidR="00BC3840">
        <w:rPr>
          <w:rFonts w:eastAsia="Calibri"/>
        </w:rPr>
        <w:t xml:space="preserve">of </w:t>
      </w:r>
      <w:r w:rsidRPr="00B009B7" w:rsidR="00BC3840">
        <w:rPr>
          <w:rFonts w:eastAsia="Calibri"/>
        </w:rPr>
        <w:t>$</w:t>
      </w:r>
      <w:r w:rsidRPr="00B009B7" w:rsidR="00B009B7">
        <w:rPr>
          <w:rFonts w:eastAsia="Calibri"/>
        </w:rPr>
        <w:t>1,</w:t>
      </w:r>
      <w:r w:rsidR="00DD114D">
        <w:rPr>
          <w:rFonts w:eastAsia="Calibri"/>
        </w:rPr>
        <w:t>019,</w:t>
      </w:r>
      <w:r w:rsidR="009B5FD8">
        <w:rPr>
          <w:rFonts w:eastAsia="Calibri"/>
        </w:rPr>
        <w:t>521</w:t>
      </w:r>
      <w:r w:rsidRPr="00B009B7" w:rsidR="00B009B7">
        <w:rPr>
          <w:rFonts w:eastAsia="Calibri"/>
        </w:rPr>
        <w:t xml:space="preserve"> (</w:t>
      </w:r>
      <w:r w:rsidR="00EA6789">
        <w:rPr>
          <w:rFonts w:eastAsia="Calibri"/>
        </w:rPr>
        <w:t xml:space="preserve">42,827 applications </w:t>
      </w:r>
      <w:r w:rsidRPr="00B009B7" w:rsidR="00EA6789">
        <w:rPr>
          <w:rFonts w:eastAsia="Calibri"/>
        </w:rPr>
        <w:t xml:space="preserve">x 0.25 </w:t>
      </w:r>
      <w:r w:rsidRPr="00B009B7" w:rsidR="00B009B7">
        <w:rPr>
          <w:rFonts w:eastAsia="Calibri"/>
        </w:rPr>
        <w:t>hr x $9</w:t>
      </w:r>
      <w:r w:rsidR="000669BC">
        <w:rPr>
          <w:rFonts w:eastAsia="Calibri"/>
        </w:rPr>
        <w:t>5.22</w:t>
      </w:r>
      <w:r w:rsidRPr="00B009B7" w:rsidR="00B009B7">
        <w:rPr>
          <w:rFonts w:eastAsia="Calibri"/>
        </w:rPr>
        <w:t>/hr)</w:t>
      </w:r>
      <w:r w:rsidRPr="004276D6" w:rsidR="0015290C">
        <w:rPr>
          <w:rFonts w:eastAsia="Calibri"/>
        </w:rPr>
        <w:t>.</w:t>
      </w:r>
      <w:bookmarkEnd w:id="7"/>
    </w:p>
    <w:p w:rsidRPr="00C47150" w:rsidR="006B22A9" w:rsidP="00A452F4" w:rsidRDefault="006B22A9" w14:paraId="094C324F" w14:textId="24A13240">
      <w:pPr>
        <w:keepNext/>
        <w:keepLines/>
        <w:spacing w:after="0"/>
        <w:jc w:val="center"/>
        <w:rPr>
          <w:b/>
          <w:bCs/>
        </w:rPr>
      </w:pPr>
      <w:r w:rsidRPr="00C47150">
        <w:rPr>
          <w:b/>
          <w:bCs/>
        </w:rPr>
        <w:t xml:space="preserve">TABLE </w:t>
      </w:r>
      <w:r w:rsidR="0015290C">
        <w:rPr>
          <w:b/>
          <w:bCs/>
        </w:rPr>
        <w:t>1</w:t>
      </w:r>
      <w:r w:rsidR="00FE59C2">
        <w:rPr>
          <w:b/>
          <w:bCs/>
        </w:rPr>
        <w:t>9</w:t>
      </w:r>
      <w:r w:rsidRPr="00C47150">
        <w:rPr>
          <w:b/>
          <w:bCs/>
        </w:rPr>
        <w:t xml:space="preserve">:  </w:t>
      </w:r>
      <w:r w:rsidR="0091620D">
        <w:rPr>
          <w:b/>
          <w:bCs/>
        </w:rPr>
        <w:t xml:space="preserve">Estimated </w:t>
      </w:r>
      <w:r w:rsidRPr="00C47150">
        <w:rPr>
          <w:b/>
          <w:bCs/>
        </w:rPr>
        <w:t>Burden for</w:t>
      </w:r>
      <w:r>
        <w:rPr>
          <w:b/>
          <w:bCs/>
        </w:rPr>
        <w:t xml:space="preserve"> </w:t>
      </w:r>
      <w:r w:rsidR="0015290C">
        <w:rPr>
          <w:b/>
          <w:bCs/>
        </w:rPr>
        <w:t xml:space="preserve">Reweighting Applications for </w:t>
      </w:r>
      <w:r>
        <w:rPr>
          <w:b/>
          <w:bCs/>
        </w:rPr>
        <w:t xml:space="preserve">Promoting Interoperability </w:t>
      </w:r>
      <w:r w:rsidR="0015290C">
        <w:rPr>
          <w:b/>
          <w:bCs/>
        </w:rPr>
        <w:t>and Other Performance Categories</w:t>
      </w:r>
    </w:p>
    <w:tbl>
      <w:tblPr>
        <w:tblW w:w="1026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44"/>
        <w:gridCol w:w="1216"/>
      </w:tblGrid>
      <w:tr w:rsidRPr="00C47150" w:rsidR="006B22A9" w:rsidTr="007F64F4" w14:paraId="52EC8B1B" w14:textId="77777777">
        <w:trPr>
          <w:trHeight w:val="300"/>
          <w:tblHeader/>
        </w:trPr>
        <w:tc>
          <w:tcPr>
            <w:tcW w:w="9044" w:type="dxa"/>
            <w:shd w:val="clear" w:color="auto" w:fill="auto"/>
            <w:vAlign w:val="center"/>
            <w:hideMark/>
          </w:tcPr>
          <w:p w:rsidRPr="006B22A9" w:rsidR="006B22A9" w:rsidP="00A452F4" w:rsidRDefault="006B22A9" w14:paraId="4B32C76E" w14:textId="4A4198C1">
            <w:pPr>
              <w:keepNext/>
              <w:keepLines/>
              <w:spacing w:after="0"/>
              <w:rPr>
                <w:b/>
                <w:sz w:val="20"/>
                <w:szCs w:val="20"/>
              </w:rPr>
            </w:pPr>
            <w:r w:rsidRPr="006B22A9">
              <w:rPr>
                <w:b/>
                <w:sz w:val="20"/>
                <w:szCs w:val="20"/>
              </w:rPr>
              <w:t>Burden and Respondent Descriptions</w:t>
            </w:r>
          </w:p>
        </w:tc>
        <w:tc>
          <w:tcPr>
            <w:tcW w:w="1216" w:type="dxa"/>
            <w:shd w:val="clear" w:color="auto" w:fill="FFFFFF" w:themeFill="background1"/>
            <w:vAlign w:val="center"/>
            <w:hideMark/>
          </w:tcPr>
          <w:p w:rsidRPr="00675D16" w:rsidR="006B22A9" w:rsidP="00A452F4" w:rsidRDefault="006B22A9" w14:paraId="7619B2C8" w14:textId="37521178">
            <w:pPr>
              <w:keepNext/>
              <w:keepLines/>
              <w:spacing w:after="0"/>
              <w:rPr>
                <w:b/>
                <w:bCs/>
                <w:sz w:val="20"/>
                <w:szCs w:val="20"/>
              </w:rPr>
            </w:pPr>
            <w:r w:rsidRPr="00675D16">
              <w:rPr>
                <w:b/>
                <w:bCs/>
                <w:sz w:val="20"/>
                <w:szCs w:val="20"/>
              </w:rPr>
              <w:t xml:space="preserve">Burden </w:t>
            </w:r>
            <w:r w:rsidR="002E799B">
              <w:rPr>
                <w:b/>
                <w:bCs/>
                <w:sz w:val="20"/>
                <w:szCs w:val="20"/>
              </w:rPr>
              <w:t>E</w:t>
            </w:r>
            <w:r w:rsidRPr="00675D16">
              <w:rPr>
                <w:b/>
                <w:bCs/>
                <w:sz w:val="20"/>
                <w:szCs w:val="20"/>
              </w:rPr>
              <w:t>stimate</w:t>
            </w:r>
          </w:p>
        </w:tc>
      </w:tr>
      <w:tr w:rsidRPr="00C47150" w:rsidR="0015290C" w:rsidTr="007F64F4" w14:paraId="2669CD67" w14:textId="77777777">
        <w:trPr>
          <w:trHeight w:val="359"/>
        </w:trPr>
        <w:tc>
          <w:tcPr>
            <w:tcW w:w="9044" w:type="dxa"/>
            <w:shd w:val="clear" w:color="auto" w:fill="auto"/>
            <w:hideMark/>
          </w:tcPr>
          <w:p w:rsidRPr="00675D16" w:rsidR="0015290C" w:rsidP="0015290C" w:rsidRDefault="0015290C" w14:paraId="57A16CBD" w14:textId="225CFB75">
            <w:pPr>
              <w:spacing w:after="0"/>
              <w:rPr>
                <w:sz w:val="20"/>
                <w:szCs w:val="20"/>
              </w:rPr>
            </w:pPr>
            <w:r w:rsidRPr="00732012">
              <w:rPr>
                <w:sz w:val="20"/>
                <w:szCs w:val="20"/>
              </w:rPr>
              <w:t># of Eligible Clinicians</w:t>
            </w:r>
            <w:r>
              <w:rPr>
                <w:sz w:val="20"/>
                <w:szCs w:val="20"/>
              </w:rPr>
              <w:t xml:space="preserve"> and</w:t>
            </w:r>
            <w:r w:rsidRPr="00732012">
              <w:rPr>
                <w:sz w:val="20"/>
                <w:szCs w:val="20"/>
              </w:rPr>
              <w:t xml:space="preserve"> Groups Applying Due to Significant Hardship and Other Exceptions (a)</w:t>
            </w:r>
          </w:p>
        </w:tc>
        <w:tc>
          <w:tcPr>
            <w:tcW w:w="1216" w:type="dxa"/>
            <w:shd w:val="clear" w:color="auto" w:fill="auto"/>
            <w:noWrap/>
            <w:vAlign w:val="center"/>
            <w:hideMark/>
          </w:tcPr>
          <w:p w:rsidRPr="00675D16" w:rsidR="0015290C" w:rsidP="0015290C" w:rsidRDefault="00213A22" w14:paraId="66D57802" w14:textId="571194A5">
            <w:pPr>
              <w:spacing w:after="0"/>
              <w:jc w:val="right"/>
              <w:rPr>
                <w:sz w:val="20"/>
                <w:szCs w:val="20"/>
              </w:rPr>
            </w:pPr>
            <w:r>
              <w:rPr>
                <w:sz w:val="20"/>
                <w:szCs w:val="20"/>
              </w:rPr>
              <w:t>42,797</w:t>
            </w:r>
          </w:p>
        </w:tc>
      </w:tr>
      <w:tr w:rsidRPr="00C47150" w:rsidR="0015290C" w:rsidTr="007F64F4" w14:paraId="1DA84495" w14:textId="77777777">
        <w:trPr>
          <w:trHeight w:val="332"/>
        </w:trPr>
        <w:tc>
          <w:tcPr>
            <w:tcW w:w="9044" w:type="dxa"/>
            <w:shd w:val="clear" w:color="auto" w:fill="auto"/>
          </w:tcPr>
          <w:p w:rsidRPr="00675D16" w:rsidR="0015290C" w:rsidP="0015290C" w:rsidRDefault="0015290C" w14:paraId="43F9B8BE" w14:textId="7F519467">
            <w:pPr>
              <w:spacing w:after="0"/>
              <w:rPr>
                <w:sz w:val="20"/>
                <w:szCs w:val="20"/>
              </w:rPr>
            </w:pPr>
            <w:r w:rsidRPr="00732012">
              <w:rPr>
                <w:sz w:val="20"/>
                <w:szCs w:val="20"/>
              </w:rPr>
              <w:t># of Eligible Clinicians</w:t>
            </w:r>
            <w:r>
              <w:rPr>
                <w:sz w:val="20"/>
                <w:szCs w:val="20"/>
              </w:rPr>
              <w:t xml:space="preserve"> and</w:t>
            </w:r>
            <w:r w:rsidRPr="00732012">
              <w:rPr>
                <w:sz w:val="20"/>
                <w:szCs w:val="20"/>
              </w:rPr>
              <w:t xml:space="preserve"> Groups</w:t>
            </w:r>
            <w:r>
              <w:rPr>
                <w:sz w:val="20"/>
                <w:szCs w:val="20"/>
              </w:rPr>
              <w:t xml:space="preserve"> </w:t>
            </w:r>
            <w:r w:rsidRPr="00732012">
              <w:rPr>
                <w:sz w:val="20"/>
                <w:szCs w:val="20"/>
              </w:rPr>
              <w:t>Applyin</w:t>
            </w:r>
            <w:r w:rsidR="00B218A0">
              <w:rPr>
                <w:sz w:val="20"/>
                <w:szCs w:val="20"/>
              </w:rPr>
              <w:t>g Due to Significant Hardship for</w:t>
            </w:r>
            <w:r w:rsidRPr="00732012">
              <w:rPr>
                <w:sz w:val="20"/>
                <w:szCs w:val="20"/>
              </w:rPr>
              <w:t xml:space="preserve"> Small Practice (b)</w:t>
            </w:r>
          </w:p>
        </w:tc>
        <w:tc>
          <w:tcPr>
            <w:tcW w:w="1216" w:type="dxa"/>
            <w:shd w:val="clear" w:color="auto" w:fill="auto"/>
            <w:vAlign w:val="center"/>
          </w:tcPr>
          <w:p w:rsidRPr="00675D16" w:rsidR="0015290C" w:rsidP="0015290C" w:rsidRDefault="007C3219" w14:paraId="5E312012" w14:textId="58805E26">
            <w:pPr>
              <w:spacing w:after="0"/>
              <w:jc w:val="right"/>
              <w:rPr>
                <w:sz w:val="20"/>
                <w:szCs w:val="20"/>
              </w:rPr>
            </w:pPr>
            <w:r>
              <w:rPr>
                <w:sz w:val="20"/>
                <w:szCs w:val="20"/>
              </w:rPr>
              <w:t>0</w:t>
            </w:r>
          </w:p>
        </w:tc>
      </w:tr>
      <w:tr w:rsidRPr="00C47150" w:rsidR="002E563B" w:rsidTr="007F64F4" w14:paraId="74C93C7E" w14:textId="77777777">
        <w:trPr>
          <w:trHeight w:val="278"/>
        </w:trPr>
        <w:tc>
          <w:tcPr>
            <w:tcW w:w="9044" w:type="dxa"/>
            <w:shd w:val="clear" w:color="auto" w:fill="auto"/>
            <w:vAlign w:val="center"/>
          </w:tcPr>
          <w:p w:rsidRPr="00732012" w:rsidR="002E563B" w:rsidP="002E563B" w:rsidRDefault="002E563B" w14:paraId="39C24E06" w14:textId="3543F946">
            <w:pPr>
              <w:spacing w:after="0"/>
              <w:rPr>
                <w:sz w:val="20"/>
                <w:szCs w:val="20"/>
              </w:rPr>
            </w:pPr>
            <w:r>
              <w:rPr>
                <w:rFonts w:eastAsia="Calibri"/>
                <w:sz w:val="20"/>
                <w:szCs w:val="20"/>
              </w:rPr>
              <w:t># APM Entities requesting Extreme and Uncontrollable Circumstances exception</w:t>
            </w:r>
            <w:r w:rsidR="00445C13">
              <w:rPr>
                <w:rFonts w:eastAsia="Calibri"/>
                <w:sz w:val="20"/>
                <w:szCs w:val="20"/>
              </w:rPr>
              <w:t xml:space="preserve"> (c)</w:t>
            </w:r>
          </w:p>
        </w:tc>
        <w:tc>
          <w:tcPr>
            <w:tcW w:w="1216" w:type="dxa"/>
            <w:shd w:val="clear" w:color="auto" w:fill="auto"/>
            <w:vAlign w:val="center"/>
          </w:tcPr>
          <w:p w:rsidR="002E563B" w:rsidP="002E563B" w:rsidRDefault="00213A22" w14:paraId="6E37FBF1" w14:textId="4FA8BA56">
            <w:pPr>
              <w:spacing w:after="0"/>
              <w:jc w:val="right"/>
              <w:rPr>
                <w:sz w:val="20"/>
                <w:szCs w:val="20"/>
              </w:rPr>
            </w:pPr>
            <w:r>
              <w:rPr>
                <w:rFonts w:eastAsia="Calibri"/>
                <w:sz w:val="20"/>
                <w:szCs w:val="20"/>
              </w:rPr>
              <w:t>30</w:t>
            </w:r>
          </w:p>
        </w:tc>
      </w:tr>
      <w:tr w:rsidRPr="00C47150" w:rsidR="002E563B" w:rsidTr="007F64F4" w14:paraId="165E12FE" w14:textId="77777777">
        <w:trPr>
          <w:trHeight w:val="278"/>
        </w:trPr>
        <w:tc>
          <w:tcPr>
            <w:tcW w:w="9044" w:type="dxa"/>
            <w:shd w:val="clear" w:color="auto" w:fill="auto"/>
          </w:tcPr>
          <w:p w:rsidRPr="00675D16" w:rsidR="002E563B" w:rsidP="002E563B" w:rsidRDefault="002E563B" w14:paraId="5B5BCD23" w14:textId="7D4C07A4">
            <w:pPr>
              <w:spacing w:after="0"/>
              <w:rPr>
                <w:sz w:val="20"/>
                <w:szCs w:val="20"/>
              </w:rPr>
            </w:pPr>
            <w:r w:rsidRPr="00732012">
              <w:rPr>
                <w:sz w:val="20"/>
                <w:szCs w:val="20"/>
              </w:rPr>
              <w:t>Total Respondents Due to Hardships, Other Exceptions and Hardships for Small Practices (</w:t>
            </w:r>
            <w:r w:rsidR="00445C13">
              <w:rPr>
                <w:sz w:val="20"/>
                <w:szCs w:val="20"/>
              </w:rPr>
              <w:t>d</w:t>
            </w:r>
            <w:r w:rsidRPr="00732012">
              <w:rPr>
                <w:sz w:val="20"/>
                <w:szCs w:val="20"/>
              </w:rPr>
              <w:t>)</w:t>
            </w:r>
            <w:r w:rsidR="00445C13">
              <w:rPr>
                <w:sz w:val="20"/>
                <w:szCs w:val="20"/>
              </w:rPr>
              <w:t xml:space="preserve"> = (a)</w:t>
            </w:r>
            <w:r w:rsidR="00283F1E">
              <w:rPr>
                <w:sz w:val="20"/>
                <w:szCs w:val="20"/>
              </w:rPr>
              <w:t xml:space="preserve"> + (b) + (c)</w:t>
            </w:r>
          </w:p>
        </w:tc>
        <w:tc>
          <w:tcPr>
            <w:tcW w:w="1216" w:type="dxa"/>
            <w:shd w:val="clear" w:color="auto" w:fill="auto"/>
            <w:vAlign w:val="center"/>
          </w:tcPr>
          <w:p w:rsidRPr="00675D16" w:rsidR="002E563B" w:rsidP="002E563B" w:rsidRDefault="00213A22" w14:paraId="6BD99CB7" w14:textId="1701499D">
            <w:pPr>
              <w:spacing w:after="0"/>
              <w:jc w:val="right"/>
              <w:rPr>
                <w:sz w:val="20"/>
                <w:szCs w:val="20"/>
              </w:rPr>
            </w:pPr>
            <w:r>
              <w:rPr>
                <w:sz w:val="20"/>
                <w:szCs w:val="20"/>
              </w:rPr>
              <w:t>42,827</w:t>
            </w:r>
          </w:p>
        </w:tc>
      </w:tr>
      <w:tr w:rsidRPr="00C47150" w:rsidR="002E563B" w:rsidTr="007F64F4" w14:paraId="49280980" w14:textId="77777777">
        <w:trPr>
          <w:trHeight w:val="260"/>
        </w:trPr>
        <w:tc>
          <w:tcPr>
            <w:tcW w:w="9044" w:type="dxa"/>
            <w:shd w:val="clear" w:color="auto" w:fill="auto"/>
            <w:hideMark/>
          </w:tcPr>
          <w:p w:rsidRPr="00675D16" w:rsidR="002E563B" w:rsidP="002E563B" w:rsidRDefault="002E563B" w14:paraId="320B4D27" w14:textId="68CE1603">
            <w:pPr>
              <w:spacing w:after="0"/>
              <w:rPr>
                <w:sz w:val="20"/>
                <w:szCs w:val="20"/>
              </w:rPr>
            </w:pPr>
            <w:r w:rsidRPr="00732012">
              <w:rPr>
                <w:sz w:val="20"/>
                <w:szCs w:val="20"/>
              </w:rPr>
              <w:t xml:space="preserve">Hours Per Applicant </w:t>
            </w:r>
            <w:r>
              <w:rPr>
                <w:sz w:val="20"/>
                <w:szCs w:val="20"/>
              </w:rPr>
              <w:t>per application submission</w:t>
            </w:r>
            <w:r w:rsidRPr="00732012">
              <w:rPr>
                <w:sz w:val="20"/>
                <w:szCs w:val="20"/>
              </w:rPr>
              <w:t xml:space="preserve"> (</w:t>
            </w:r>
            <w:r w:rsidR="00445C13">
              <w:rPr>
                <w:sz w:val="20"/>
                <w:szCs w:val="20"/>
              </w:rPr>
              <w:t>e</w:t>
            </w:r>
            <w:r w:rsidRPr="00732012">
              <w:rPr>
                <w:sz w:val="20"/>
                <w:szCs w:val="20"/>
              </w:rPr>
              <w:t xml:space="preserve">) </w:t>
            </w:r>
          </w:p>
        </w:tc>
        <w:tc>
          <w:tcPr>
            <w:tcW w:w="1216" w:type="dxa"/>
            <w:shd w:val="clear" w:color="auto" w:fill="auto"/>
            <w:vAlign w:val="center"/>
            <w:hideMark/>
          </w:tcPr>
          <w:p w:rsidRPr="00675D16" w:rsidR="002E563B" w:rsidP="002E563B" w:rsidRDefault="002E563B" w14:paraId="769B9174" w14:textId="26CAC07A">
            <w:pPr>
              <w:spacing w:after="0"/>
              <w:jc w:val="right"/>
              <w:rPr>
                <w:sz w:val="20"/>
                <w:szCs w:val="20"/>
              </w:rPr>
            </w:pPr>
            <w:r w:rsidRPr="003428D4">
              <w:rPr>
                <w:rFonts w:eastAsia="Calibri"/>
                <w:sz w:val="20"/>
                <w:szCs w:val="20"/>
              </w:rPr>
              <w:t>0.25</w:t>
            </w:r>
          </w:p>
        </w:tc>
      </w:tr>
      <w:tr w:rsidRPr="00C47150" w:rsidR="002E563B" w:rsidTr="007F64F4" w14:paraId="42804265" w14:textId="77777777">
        <w:trPr>
          <w:trHeight w:val="187"/>
        </w:trPr>
        <w:tc>
          <w:tcPr>
            <w:tcW w:w="9044" w:type="dxa"/>
            <w:shd w:val="clear" w:color="auto" w:fill="E7E6E6" w:themeFill="background2"/>
            <w:hideMark/>
          </w:tcPr>
          <w:p w:rsidRPr="00920A23" w:rsidR="002E563B" w:rsidP="002E563B" w:rsidRDefault="002E563B" w14:paraId="20013ECE" w14:textId="03C44191">
            <w:pPr>
              <w:spacing w:after="0"/>
              <w:rPr>
                <w:b/>
                <w:sz w:val="20"/>
                <w:szCs w:val="20"/>
              </w:rPr>
            </w:pPr>
            <w:r w:rsidRPr="00920A23">
              <w:rPr>
                <w:b/>
                <w:sz w:val="20"/>
                <w:szCs w:val="20"/>
              </w:rPr>
              <w:lastRenderedPageBreak/>
              <w:t>Total Annual Hours (</w:t>
            </w:r>
            <w:r w:rsidR="00445C13">
              <w:rPr>
                <w:b/>
                <w:sz w:val="20"/>
                <w:szCs w:val="20"/>
              </w:rPr>
              <w:t>f</w:t>
            </w:r>
            <w:r w:rsidRPr="00920A23">
              <w:rPr>
                <w:b/>
                <w:sz w:val="20"/>
                <w:szCs w:val="20"/>
              </w:rPr>
              <w:t>)=(</w:t>
            </w:r>
            <w:r w:rsidR="00A75540">
              <w:rPr>
                <w:b/>
                <w:sz w:val="20"/>
                <w:szCs w:val="20"/>
              </w:rPr>
              <w:t>e</w:t>
            </w:r>
            <w:r w:rsidRPr="00920A23">
              <w:rPr>
                <w:b/>
                <w:sz w:val="20"/>
                <w:szCs w:val="20"/>
              </w:rPr>
              <w:t>)*(</w:t>
            </w:r>
            <w:r w:rsidR="00A75540">
              <w:rPr>
                <w:b/>
                <w:sz w:val="20"/>
                <w:szCs w:val="20"/>
              </w:rPr>
              <w:t>d</w:t>
            </w:r>
            <w:r w:rsidRPr="00920A23">
              <w:rPr>
                <w:b/>
                <w:sz w:val="20"/>
                <w:szCs w:val="20"/>
              </w:rPr>
              <w:t>)</w:t>
            </w:r>
          </w:p>
        </w:tc>
        <w:tc>
          <w:tcPr>
            <w:tcW w:w="1216" w:type="dxa"/>
            <w:shd w:val="clear" w:color="auto" w:fill="E7E6E6" w:themeFill="background2"/>
            <w:vAlign w:val="center"/>
            <w:hideMark/>
          </w:tcPr>
          <w:p w:rsidRPr="00920A23" w:rsidR="002E563B" w:rsidP="002E563B" w:rsidRDefault="002E563B" w14:paraId="6AD32D5D" w14:textId="2771D3BE">
            <w:pPr>
              <w:spacing w:after="0"/>
              <w:jc w:val="right"/>
              <w:rPr>
                <w:b/>
                <w:sz w:val="20"/>
                <w:szCs w:val="20"/>
              </w:rPr>
            </w:pPr>
            <w:r>
              <w:rPr>
                <w:b/>
                <w:sz w:val="20"/>
                <w:szCs w:val="20"/>
              </w:rPr>
              <w:t>1</w:t>
            </w:r>
            <w:r w:rsidR="00A02E81">
              <w:rPr>
                <w:b/>
                <w:sz w:val="20"/>
                <w:szCs w:val="20"/>
              </w:rPr>
              <w:t>0,707</w:t>
            </w:r>
          </w:p>
        </w:tc>
      </w:tr>
      <w:tr w:rsidRPr="00C47150" w:rsidR="002E563B" w:rsidTr="007F64F4" w14:paraId="2C462897" w14:textId="77777777">
        <w:trPr>
          <w:trHeight w:val="287"/>
        </w:trPr>
        <w:tc>
          <w:tcPr>
            <w:tcW w:w="9044" w:type="dxa"/>
            <w:shd w:val="clear" w:color="auto" w:fill="auto"/>
            <w:hideMark/>
          </w:tcPr>
          <w:p w:rsidRPr="00675D16" w:rsidR="002E563B" w:rsidP="002E563B" w:rsidRDefault="002E563B" w14:paraId="4D7FEF09" w14:textId="1B141A37">
            <w:pPr>
              <w:spacing w:after="0"/>
              <w:rPr>
                <w:sz w:val="20"/>
                <w:szCs w:val="20"/>
              </w:rPr>
            </w:pPr>
            <w:r w:rsidRPr="00732012">
              <w:rPr>
                <w:sz w:val="20"/>
                <w:szCs w:val="20"/>
              </w:rPr>
              <w:t>Labor Rate for a computer systems analyst (</w:t>
            </w:r>
            <w:r w:rsidR="00445C13">
              <w:rPr>
                <w:sz w:val="20"/>
                <w:szCs w:val="20"/>
              </w:rPr>
              <w:t>g</w:t>
            </w:r>
            <w:r w:rsidRPr="00732012">
              <w:rPr>
                <w:sz w:val="20"/>
                <w:szCs w:val="20"/>
              </w:rPr>
              <w:t>)</w:t>
            </w:r>
          </w:p>
        </w:tc>
        <w:tc>
          <w:tcPr>
            <w:tcW w:w="1216" w:type="dxa"/>
            <w:shd w:val="clear" w:color="auto" w:fill="auto"/>
            <w:vAlign w:val="center"/>
            <w:hideMark/>
          </w:tcPr>
          <w:p w:rsidRPr="00675D16" w:rsidR="002E563B" w:rsidP="002E563B" w:rsidRDefault="002E563B" w14:paraId="40021E03" w14:textId="54D4F358">
            <w:pPr>
              <w:spacing w:after="0"/>
              <w:jc w:val="right"/>
              <w:rPr>
                <w:sz w:val="20"/>
                <w:szCs w:val="20"/>
              </w:rPr>
            </w:pPr>
            <w:r w:rsidRPr="00EF17E0">
              <w:rPr>
                <w:rFonts w:eastAsia="Calibri"/>
                <w:sz w:val="20"/>
                <w:szCs w:val="20"/>
              </w:rPr>
              <w:t>$</w:t>
            </w:r>
            <w:r>
              <w:rPr>
                <w:rFonts w:eastAsia="Calibri"/>
                <w:sz w:val="20"/>
                <w:szCs w:val="20"/>
              </w:rPr>
              <w:t>9</w:t>
            </w:r>
            <w:r w:rsidR="006F0838">
              <w:rPr>
                <w:rFonts w:eastAsia="Calibri"/>
                <w:sz w:val="20"/>
                <w:szCs w:val="20"/>
              </w:rPr>
              <w:t>5.22</w:t>
            </w:r>
            <w:r w:rsidRPr="00EF17E0">
              <w:rPr>
                <w:rFonts w:eastAsia="Calibri"/>
                <w:sz w:val="20"/>
                <w:szCs w:val="20"/>
              </w:rPr>
              <w:t>/hr</w:t>
            </w:r>
          </w:p>
        </w:tc>
      </w:tr>
      <w:tr w:rsidRPr="00C47150" w:rsidR="002E563B" w:rsidTr="007F64F4" w14:paraId="665CEE44" w14:textId="77777777">
        <w:trPr>
          <w:trHeight w:val="295"/>
        </w:trPr>
        <w:tc>
          <w:tcPr>
            <w:tcW w:w="9044" w:type="dxa"/>
            <w:shd w:val="clear" w:color="auto" w:fill="E7E6E6" w:themeFill="background2"/>
            <w:hideMark/>
          </w:tcPr>
          <w:p w:rsidRPr="00920A23" w:rsidR="002E563B" w:rsidP="002E563B" w:rsidRDefault="002E563B" w14:paraId="1A8FF7FB" w14:textId="0F2F3D86">
            <w:pPr>
              <w:spacing w:after="0"/>
              <w:rPr>
                <w:b/>
                <w:sz w:val="20"/>
                <w:szCs w:val="20"/>
              </w:rPr>
            </w:pPr>
            <w:r w:rsidRPr="00920A23">
              <w:rPr>
                <w:b/>
                <w:sz w:val="20"/>
                <w:szCs w:val="20"/>
              </w:rPr>
              <w:t>Total Annual Cost (</w:t>
            </w:r>
            <w:r w:rsidR="00445C13">
              <w:rPr>
                <w:b/>
                <w:sz w:val="20"/>
                <w:szCs w:val="20"/>
              </w:rPr>
              <w:t>h</w:t>
            </w:r>
            <w:r w:rsidRPr="00920A23">
              <w:rPr>
                <w:b/>
                <w:sz w:val="20"/>
                <w:szCs w:val="20"/>
              </w:rPr>
              <w:t>)=(</w:t>
            </w:r>
            <w:r w:rsidR="00F50FAC">
              <w:rPr>
                <w:b/>
                <w:sz w:val="20"/>
                <w:szCs w:val="20"/>
              </w:rPr>
              <w:t>g</w:t>
            </w:r>
            <w:r w:rsidRPr="00920A23">
              <w:rPr>
                <w:b/>
                <w:sz w:val="20"/>
                <w:szCs w:val="20"/>
              </w:rPr>
              <w:t>)*(f)</w:t>
            </w:r>
          </w:p>
        </w:tc>
        <w:tc>
          <w:tcPr>
            <w:tcW w:w="1216" w:type="dxa"/>
            <w:shd w:val="clear" w:color="auto" w:fill="E7E6E6" w:themeFill="background2"/>
            <w:noWrap/>
            <w:vAlign w:val="center"/>
            <w:hideMark/>
          </w:tcPr>
          <w:p w:rsidRPr="00920A23" w:rsidR="002E563B" w:rsidP="002E563B" w:rsidRDefault="002E563B" w14:paraId="20292AD5" w14:textId="2648BE76">
            <w:pPr>
              <w:spacing w:after="0"/>
              <w:jc w:val="right"/>
              <w:rPr>
                <w:b/>
                <w:sz w:val="20"/>
                <w:szCs w:val="20"/>
              </w:rPr>
            </w:pPr>
            <w:r w:rsidRPr="00920A23">
              <w:rPr>
                <w:rFonts w:eastAsia="Calibri"/>
                <w:b/>
                <w:sz w:val="20"/>
                <w:szCs w:val="20"/>
              </w:rPr>
              <w:t>$</w:t>
            </w:r>
            <w:r>
              <w:rPr>
                <w:rFonts w:eastAsia="Calibri"/>
                <w:b/>
                <w:sz w:val="20"/>
                <w:szCs w:val="20"/>
              </w:rPr>
              <w:t>1,</w:t>
            </w:r>
            <w:r w:rsidR="000E2938">
              <w:rPr>
                <w:rFonts w:eastAsia="Calibri"/>
                <w:b/>
                <w:sz w:val="20"/>
                <w:szCs w:val="20"/>
              </w:rPr>
              <w:t>019,</w:t>
            </w:r>
            <w:r w:rsidR="009B5FD8">
              <w:rPr>
                <w:rFonts w:eastAsia="Calibri"/>
                <w:b/>
                <w:sz w:val="20"/>
                <w:szCs w:val="20"/>
              </w:rPr>
              <w:t>521</w:t>
            </w:r>
            <w:r w:rsidR="00205C35">
              <w:rPr>
                <w:rFonts w:eastAsia="Calibri"/>
                <w:b/>
                <w:sz w:val="20"/>
                <w:szCs w:val="20"/>
              </w:rPr>
              <w:t>*</w:t>
            </w:r>
          </w:p>
        </w:tc>
      </w:tr>
    </w:tbl>
    <w:p w:rsidRPr="00871E51" w:rsidR="001D283D" w:rsidP="001D283D" w:rsidRDefault="001D283D" w14:paraId="039C1821" w14:textId="0A85ED52">
      <w:pPr>
        <w:keepNext/>
        <w:keepLines/>
        <w:widowControl w:val="0"/>
        <w:rPr>
          <w:rFonts w:eastAsia="Calibri"/>
          <w:sz w:val="20"/>
          <w:szCs w:val="20"/>
        </w:rPr>
      </w:pPr>
      <w:r w:rsidRPr="00871E51">
        <w:rPr>
          <w:rFonts w:eastAsia="Calibri"/>
          <w:sz w:val="20"/>
          <w:szCs w:val="20"/>
        </w:rPr>
        <w:t>*Due to burden for certain activities being estimated in fractions of hours, totals may not reflect the sum of individual rows due to rounding.</w:t>
      </w:r>
    </w:p>
    <w:p w:rsidRPr="004330C9" w:rsidR="00A13C65" w:rsidP="004330C9" w:rsidRDefault="00A13C65" w14:paraId="5929BAB2" w14:textId="10C7C866">
      <w:pPr>
        <w:pStyle w:val="Heading4"/>
        <w:numPr>
          <w:ilvl w:val="0"/>
          <w:numId w:val="18"/>
        </w:numPr>
        <w:ind w:left="2880"/>
      </w:pPr>
      <w:r w:rsidRPr="004330C9">
        <w:t>Burden for Submitting Promoting Interoperability Data</w:t>
      </w:r>
    </w:p>
    <w:p w:rsidRPr="00AF3F68" w:rsidR="00AF3F68" w:rsidP="00E12B53" w:rsidRDefault="009672C1" w14:paraId="2A5002D9" w14:textId="4735102E">
      <w:pPr>
        <w:rPr>
          <w:rFonts w:eastAsia="Calibri"/>
        </w:rPr>
      </w:pPr>
      <w:r w:rsidRPr="009672C1">
        <w:rPr>
          <w:rFonts w:eastAsia="Calibri"/>
        </w:rPr>
        <w:t>A variety of organizations will submit Promoting Interoperability data on behalf of clinicians.  Clinicians not participating in a MIPS APM may submit data as individuals or as part of a group.  In the CY 2017 Quality Payment Program final rule (81 FR 77258 through 77260, 77262 through 77264) and CY 2019 PFS final rule (83 FR 59822-59823), we established that</w:t>
      </w:r>
      <w:r w:rsidR="005B7BB5">
        <w:rPr>
          <w:rFonts w:eastAsia="Calibri"/>
        </w:rPr>
        <w:t xml:space="preserve"> </w:t>
      </w:r>
      <w:r w:rsidRPr="009672C1">
        <w:rPr>
          <w:rFonts w:eastAsia="Calibri"/>
        </w:rPr>
        <w:t>eligible clinicians in MIPS APMs (including the Shared Savings Program) may report for the Promoting Interoperability performance category as an APM Entity group, individuals, or a group</w:t>
      </w:r>
      <w:r w:rsidRPr="00AF3F68" w:rsidR="00AF3F68">
        <w:rPr>
          <w:rFonts w:eastAsia="Calibri"/>
        </w:rPr>
        <w:t xml:space="preserve">.  </w:t>
      </w:r>
    </w:p>
    <w:p w:rsidRPr="00AF3F68" w:rsidR="00620552" w:rsidP="00E12B53" w:rsidRDefault="00AF3F68" w14:paraId="47FA69BC" w14:textId="46101DB4">
      <w:pPr>
        <w:rPr>
          <w:rFonts w:eastAsia="Calibri"/>
        </w:rPr>
      </w:pPr>
      <w:r w:rsidRPr="00AF3F68">
        <w:rPr>
          <w:rFonts w:eastAsia="Calibri"/>
        </w:rPr>
        <w:t xml:space="preserve">As shown in Table </w:t>
      </w:r>
      <w:r w:rsidR="00007047">
        <w:rPr>
          <w:rFonts w:eastAsia="Calibri"/>
        </w:rPr>
        <w:t>20</w:t>
      </w:r>
      <w:r w:rsidRPr="00AF3F68">
        <w:rPr>
          <w:rFonts w:eastAsia="Calibri"/>
        </w:rPr>
        <w:t xml:space="preserve">, </w:t>
      </w:r>
      <w:r w:rsidRPr="00D11B1D" w:rsidR="00D11B1D">
        <w:rPr>
          <w:rFonts w:eastAsia="Calibri"/>
        </w:rPr>
        <w:t>based on data from the</w:t>
      </w:r>
      <w:r w:rsidR="00130E58">
        <w:rPr>
          <w:rFonts w:eastAsia="Calibri"/>
        </w:rPr>
        <w:t xml:space="preserve"> CY</w:t>
      </w:r>
      <w:r w:rsidRPr="00D11B1D" w:rsidR="00D11B1D">
        <w:rPr>
          <w:rFonts w:eastAsia="Calibri"/>
        </w:rPr>
        <w:t xml:space="preserve"> 2019 MIPS performance period</w:t>
      </w:r>
      <w:r w:rsidR="004B302C">
        <w:rPr>
          <w:rFonts w:eastAsia="Calibri"/>
        </w:rPr>
        <w:t>/2021 MIPS payment year</w:t>
      </w:r>
      <w:r w:rsidRPr="00D11B1D" w:rsidR="00D11B1D">
        <w:rPr>
          <w:rFonts w:eastAsia="Calibri"/>
        </w:rPr>
        <w:t xml:space="preserve">, we estimate that a total of </w:t>
      </w:r>
      <w:r w:rsidRPr="00D11B1D" w:rsidR="00BC3840">
        <w:rPr>
          <w:rFonts w:eastAsia="Calibri"/>
        </w:rPr>
        <w:t>5</w:t>
      </w:r>
      <w:r w:rsidR="00BC3840">
        <w:rPr>
          <w:rFonts w:eastAsia="Calibri"/>
        </w:rPr>
        <w:t xml:space="preserve">1,647 </w:t>
      </w:r>
      <w:r w:rsidRPr="00D11B1D" w:rsidR="00BC3840">
        <w:rPr>
          <w:rFonts w:eastAsia="Calibri"/>
        </w:rPr>
        <w:t>respondents</w:t>
      </w:r>
      <w:r w:rsidRPr="00D11B1D" w:rsidR="00D11B1D">
        <w:rPr>
          <w:rFonts w:eastAsia="Calibri"/>
        </w:rPr>
        <w:t xml:space="preserve"> consisting of 4</w:t>
      </w:r>
      <w:r w:rsidR="00F663D3">
        <w:rPr>
          <w:rFonts w:eastAsia="Calibri"/>
        </w:rPr>
        <w:t>0,172</w:t>
      </w:r>
      <w:r w:rsidRPr="00D11B1D" w:rsidR="00D11B1D">
        <w:rPr>
          <w:rFonts w:eastAsia="Calibri"/>
        </w:rPr>
        <w:t xml:space="preserve"> individual MIPS eligible clinicians and 11,</w:t>
      </w:r>
      <w:r w:rsidR="00F93B93">
        <w:rPr>
          <w:rFonts w:eastAsia="Calibri"/>
        </w:rPr>
        <w:t>475</w:t>
      </w:r>
      <w:r w:rsidRPr="00D11B1D" w:rsidR="00D11B1D">
        <w:rPr>
          <w:rFonts w:eastAsia="Calibri"/>
        </w:rPr>
        <w:t xml:space="preserve"> groups and virtual groups will submit Promoting Interoperability data</w:t>
      </w:r>
      <w:r w:rsidR="00AC4516">
        <w:rPr>
          <w:rFonts w:eastAsia="Calibri"/>
        </w:rPr>
        <w:t xml:space="preserve">, </w:t>
      </w:r>
      <w:r w:rsidRPr="00D11B1D" w:rsidR="00D11B1D">
        <w:rPr>
          <w:rFonts w:eastAsia="Calibri"/>
        </w:rPr>
        <w:t xml:space="preserve">a decrease of </w:t>
      </w:r>
      <w:r w:rsidR="00E869FC">
        <w:rPr>
          <w:rFonts w:eastAsia="Calibri"/>
        </w:rPr>
        <w:t>1,989</w:t>
      </w:r>
      <w:r w:rsidRPr="00D11B1D" w:rsidR="00D11B1D">
        <w:rPr>
          <w:rFonts w:eastAsia="Calibri"/>
        </w:rPr>
        <w:t xml:space="preserve"> respondents </w:t>
      </w:r>
      <w:r w:rsidR="00AC4516">
        <w:rPr>
          <w:rFonts w:eastAsia="Calibri"/>
        </w:rPr>
        <w:t>from the currently approved estimate</w:t>
      </w:r>
      <w:r w:rsidR="00E869FC">
        <w:rPr>
          <w:rFonts w:eastAsia="Calibri"/>
        </w:rPr>
        <w:t xml:space="preserve"> of </w:t>
      </w:r>
      <w:r w:rsidR="00425532">
        <w:rPr>
          <w:rFonts w:eastAsia="Calibri"/>
        </w:rPr>
        <w:t>53,636</w:t>
      </w:r>
      <w:r w:rsidRPr="00D11B1D" w:rsidR="00D11B1D">
        <w:rPr>
          <w:rFonts w:eastAsia="Calibri"/>
        </w:rPr>
        <w:t>.</w:t>
      </w:r>
      <w:r w:rsidRPr="00CC2BFB" w:rsidR="00DF07C7">
        <w:rPr>
          <w:rFonts w:eastAsia="Calibri"/>
        </w:rPr>
        <w:t xml:space="preserve"> </w:t>
      </w:r>
    </w:p>
    <w:p w:rsidRPr="00AF3F68" w:rsidR="00AF3F68" w:rsidP="00E12B53" w:rsidRDefault="00A03212" w14:paraId="7A1BA71E" w14:textId="513DE3B5">
      <w:pPr>
        <w:rPr>
          <w:rFonts w:eastAsia="Calibri"/>
        </w:rPr>
      </w:pPr>
      <w:r>
        <w:rPr>
          <w:rFonts w:eastAsia="Calibri"/>
        </w:rPr>
        <w:t>C</w:t>
      </w:r>
      <w:r w:rsidRPr="00CC2BFB" w:rsidR="00397E24">
        <w:rPr>
          <w:rFonts w:eastAsia="Calibri"/>
        </w:rPr>
        <w:t xml:space="preserve">ertain MIPS eligible clinicians will be eligible for automatic reweighting of the Promoting Interoperability performance category to zero percent, including MIPS eligible clinicians </w:t>
      </w:r>
      <w:r w:rsidR="003C1A99">
        <w:rPr>
          <w:rFonts w:eastAsia="Calibri"/>
        </w:rPr>
        <w:t>who</w:t>
      </w:r>
      <w:r w:rsidRPr="00CC2BFB" w:rsidR="003C1A99">
        <w:rPr>
          <w:rFonts w:eastAsia="Calibri"/>
        </w:rPr>
        <w:t xml:space="preserve"> </w:t>
      </w:r>
      <w:r w:rsidRPr="00CC2BFB" w:rsidR="00397E24">
        <w:rPr>
          <w:rFonts w:eastAsia="Calibri"/>
        </w:rPr>
        <w:t>are hospital-based, ambulatory surgical center-based, non-patient facing clinicians, physician assistants, nurse practitioners, clinician nurse specialists, certified registered nurse anesthetists, physical therapists; occupational therapists; qualified speech-language pathologists or qualified audiologist; clinical psychologists; and registered dieticians or nutrition professionals</w:t>
      </w:r>
      <w:r>
        <w:rPr>
          <w:rFonts w:eastAsia="Calibri"/>
        </w:rPr>
        <w:t>.</w:t>
      </w:r>
      <w:r w:rsidRPr="003428D4" w:rsidR="00D5402F">
        <w:rPr>
          <w:rFonts w:eastAsia="Calibri"/>
        </w:rPr>
        <w:t xml:space="preserve"> </w:t>
      </w:r>
      <w:r w:rsidR="00D5402F">
        <w:rPr>
          <w:rFonts w:eastAsia="Calibri"/>
        </w:rPr>
        <w:t>In the CY 2022 PFS proposed rule</w:t>
      </w:r>
      <w:r w:rsidR="00034583">
        <w:rPr>
          <w:rFonts w:eastAsia="Calibri"/>
        </w:rPr>
        <w:t xml:space="preserve"> (86 FR 39426)</w:t>
      </w:r>
      <w:r w:rsidR="00D5402F">
        <w:rPr>
          <w:rFonts w:eastAsia="Calibri"/>
        </w:rPr>
        <w:t xml:space="preserve">, we propose to apply the automatic reweighting of the Promoting Interoperability performance category to clinical social workers. </w:t>
      </w:r>
      <w:r w:rsidRPr="003428D4" w:rsidR="00D5402F">
        <w:rPr>
          <w:rFonts w:eastAsia="Calibri"/>
        </w:rPr>
        <w:t xml:space="preserve"> These estimates al</w:t>
      </w:r>
      <w:r w:rsidR="00D5402F">
        <w:rPr>
          <w:rFonts w:eastAsia="Calibri"/>
        </w:rPr>
        <w:t>so</w:t>
      </w:r>
      <w:r w:rsidRPr="003428D4" w:rsidR="00D5402F">
        <w:rPr>
          <w:rFonts w:eastAsia="Calibri"/>
        </w:rPr>
        <w:t xml:space="preserve"> accou</w:t>
      </w:r>
      <w:r w:rsidR="00D5402F">
        <w:rPr>
          <w:rFonts w:eastAsia="Calibri"/>
        </w:rPr>
        <w:t>nt for the proposed automatic reweighting policie</w:t>
      </w:r>
      <w:r w:rsidRPr="003428D4" w:rsidR="00D5402F">
        <w:rPr>
          <w:rFonts w:eastAsia="Calibri"/>
        </w:rPr>
        <w:t>s</w:t>
      </w:r>
      <w:r w:rsidR="00D5402F">
        <w:rPr>
          <w:rFonts w:eastAsia="Calibri"/>
        </w:rPr>
        <w:t xml:space="preserve"> for clinicians who are in small practices, as</w:t>
      </w:r>
      <w:r w:rsidRPr="003428D4" w:rsidR="00D5402F">
        <w:rPr>
          <w:rFonts w:eastAsia="Calibri"/>
        </w:rPr>
        <w:t xml:space="preserve"> </w:t>
      </w:r>
      <w:r w:rsidR="000E23BD">
        <w:rPr>
          <w:rFonts w:eastAsia="Calibri"/>
        </w:rPr>
        <w:t>described</w:t>
      </w:r>
      <w:r w:rsidRPr="003428D4" w:rsidR="00D5402F">
        <w:rPr>
          <w:rFonts w:eastAsia="Calibri"/>
        </w:rPr>
        <w:t xml:space="preserve"> in</w:t>
      </w:r>
      <w:r w:rsidR="00D5402F">
        <w:rPr>
          <w:rFonts w:eastAsia="Calibri"/>
        </w:rPr>
        <w:t xml:space="preserve"> </w:t>
      </w:r>
      <w:r w:rsidRPr="003428D4" w:rsidR="00D5402F">
        <w:rPr>
          <w:rFonts w:eastAsia="Calibri"/>
        </w:rPr>
        <w:t xml:space="preserve">the CY </w:t>
      </w:r>
      <w:r w:rsidR="00D5402F">
        <w:rPr>
          <w:rFonts w:eastAsia="Calibri"/>
        </w:rPr>
        <w:t xml:space="preserve">2022 PFS proposed </w:t>
      </w:r>
      <w:r w:rsidRPr="003428D4" w:rsidR="00D5402F">
        <w:rPr>
          <w:rFonts w:eastAsia="Calibri"/>
        </w:rPr>
        <w:t>rule</w:t>
      </w:r>
      <w:r w:rsidR="00D5402F">
        <w:t>.</w:t>
      </w:r>
      <w:r>
        <w:rPr>
          <w:rFonts w:eastAsia="Calibri"/>
        </w:rPr>
        <w:t xml:space="preserve"> </w:t>
      </w:r>
      <w:r w:rsidRPr="00CC2BFB" w:rsidR="00397E24">
        <w:rPr>
          <w:rFonts w:eastAsia="Calibri"/>
        </w:rPr>
        <w:t xml:space="preserve"> </w:t>
      </w:r>
      <w:r>
        <w:rPr>
          <w:rFonts w:eastAsia="Calibri"/>
        </w:rPr>
        <w:t>T</w:t>
      </w:r>
      <w:r w:rsidRPr="00CC2BFB" w:rsidR="00397E24">
        <w:rPr>
          <w:rFonts w:eastAsia="Calibri"/>
        </w:rPr>
        <w:t xml:space="preserve">hese estimates account for </w:t>
      </w:r>
      <w:r>
        <w:rPr>
          <w:rFonts w:eastAsia="Calibri"/>
        </w:rPr>
        <w:t>previously finalized</w:t>
      </w:r>
      <w:r w:rsidRPr="00CC2BFB" w:rsidR="00397E24">
        <w:rPr>
          <w:rFonts w:eastAsia="Calibri"/>
        </w:rPr>
        <w:t xml:space="preserve"> reweighting policies including exceptions for MIPS eligible clinicians who have experienced a significant hardship</w:t>
      </w:r>
      <w:r w:rsidR="008B2A26">
        <w:rPr>
          <w:rFonts w:eastAsia="Calibri"/>
        </w:rPr>
        <w:t xml:space="preserve"> </w:t>
      </w:r>
      <w:r>
        <w:rPr>
          <w:rFonts w:eastAsia="Calibri"/>
        </w:rPr>
        <w:t>and</w:t>
      </w:r>
      <w:r w:rsidRPr="00CC2BFB" w:rsidR="00397E24">
        <w:rPr>
          <w:rFonts w:eastAsia="Calibri"/>
        </w:rPr>
        <w:t xml:space="preserve"> decertification of an EHR</w:t>
      </w:r>
      <w:r w:rsidRPr="00AF3F68" w:rsidR="00AF3F68">
        <w:rPr>
          <w:rFonts w:eastAsia="Calibri"/>
        </w:rPr>
        <w:t>.</w:t>
      </w:r>
    </w:p>
    <w:p w:rsidRPr="003428D4" w:rsidR="0015290C" w:rsidP="00E12B53" w:rsidRDefault="00202799" w14:paraId="0F74AD51" w14:textId="32F47500">
      <w:pPr>
        <w:rPr>
          <w:rFonts w:eastAsia="Calibri"/>
        </w:rPr>
      </w:pPr>
      <w:r w:rsidRPr="00202799">
        <w:rPr>
          <w:rFonts w:eastAsia="Calibri"/>
        </w:rPr>
        <w:t xml:space="preserve">Each MIPS eligible clinician in an APM Entity reports data for the Promoting Interoperability performance category through either their group TIN or individual reporting.  Sections 1899 of the Act (42 U.S.C. 1395jjj) state that the Shared Savings Program and the testing, evaluation, and expansion of Innovation Center models are not subject to the PRA.  However, in the CY 2019 PFS final rule, we established that MIPS eligible clinicians who participate in the Shared Savings Program are no longer limited to reporting for the Promoting Interoperability performance category through their ACO participant TIN (83 FR 59822 through 59823).  Burden estimates for this </w:t>
      </w:r>
      <w:r w:rsidR="002072A7">
        <w:rPr>
          <w:rFonts w:eastAsia="Calibri"/>
        </w:rPr>
        <w:t>proposed</w:t>
      </w:r>
      <w:r w:rsidRPr="00202799">
        <w:rPr>
          <w:rFonts w:eastAsia="Calibri"/>
        </w:rPr>
        <w:t xml:space="preserve"> rule assume group TIN-level reporting as we believe this is the most reasonable assumption for the Shared Savings Program, which requires that ACOs include full TINs as ACO participants.  As we receive updated information which reflects the actual number of Promoting Interoperability data submissions submitted by Shared Savings Program ACO participants, we will update our burden estimates accordingly</w:t>
      </w:r>
      <w:r w:rsidRPr="00AF3F68" w:rsidR="00AF3F68">
        <w:rPr>
          <w:rFonts w:eastAsia="Calibri"/>
        </w:rPr>
        <w:t>.</w:t>
      </w:r>
      <w:r w:rsidRPr="001B7241" w:rsidR="0015290C">
        <w:t xml:space="preserve">  </w:t>
      </w:r>
    </w:p>
    <w:p w:rsidRPr="00C47150" w:rsidR="000160D9" w:rsidP="000160D9" w:rsidRDefault="000160D9" w14:paraId="64A5E173" w14:textId="1B98BBB9">
      <w:pPr>
        <w:keepNext/>
        <w:spacing w:after="0"/>
        <w:jc w:val="center"/>
        <w:rPr>
          <w:b/>
          <w:bCs/>
        </w:rPr>
      </w:pPr>
      <w:r w:rsidRPr="00C47150">
        <w:rPr>
          <w:b/>
          <w:bCs/>
        </w:rPr>
        <w:lastRenderedPageBreak/>
        <w:t xml:space="preserve">TABLE </w:t>
      </w:r>
      <w:r w:rsidR="00FE59C2">
        <w:rPr>
          <w:b/>
          <w:bCs/>
        </w:rPr>
        <w:t>20</w:t>
      </w:r>
      <w:r w:rsidRPr="00C47150">
        <w:rPr>
          <w:b/>
          <w:bCs/>
        </w:rPr>
        <w:t>: Estimated Number of Respondents to Submit</w:t>
      </w:r>
      <w:r>
        <w:rPr>
          <w:b/>
          <w:bCs/>
        </w:rPr>
        <w:t xml:space="preserve"> Promoting Interoperability </w:t>
      </w:r>
      <w:r w:rsidRPr="00C47150">
        <w:rPr>
          <w:b/>
          <w:bCs/>
        </w:rPr>
        <w:t>Performance Data on Behalf of Clinicians</w:t>
      </w:r>
    </w:p>
    <w:tbl>
      <w:tblPr>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1306"/>
      </w:tblGrid>
      <w:tr w:rsidRPr="00C47150" w:rsidR="000160D9" w:rsidTr="007F64F4" w14:paraId="0570C54B" w14:textId="77777777">
        <w:trPr>
          <w:jc w:val="center"/>
        </w:trPr>
        <w:tc>
          <w:tcPr>
            <w:tcW w:w="7020" w:type="dxa"/>
            <w:shd w:val="clear" w:color="auto" w:fill="auto"/>
            <w:noWrap/>
            <w:vAlign w:val="bottom"/>
            <w:hideMark/>
          </w:tcPr>
          <w:p w:rsidRPr="000160D9" w:rsidR="000160D9" w:rsidP="00A639D4" w:rsidRDefault="000160D9" w14:paraId="4AC6D3BD" w14:textId="2F8460E4">
            <w:pPr>
              <w:keepNext/>
              <w:spacing w:after="0" w:line="360" w:lineRule="auto"/>
              <w:rPr>
                <w:b/>
                <w:sz w:val="20"/>
                <w:szCs w:val="20"/>
              </w:rPr>
            </w:pPr>
            <w:r w:rsidRPr="000160D9">
              <w:rPr>
                <w:b/>
                <w:sz w:val="20"/>
                <w:szCs w:val="20"/>
              </w:rPr>
              <w:t>Respondent Descriptions</w:t>
            </w:r>
          </w:p>
        </w:tc>
        <w:tc>
          <w:tcPr>
            <w:tcW w:w="1306" w:type="dxa"/>
            <w:shd w:val="clear" w:color="auto" w:fill="auto"/>
            <w:hideMark/>
          </w:tcPr>
          <w:p w:rsidRPr="00675D16" w:rsidR="000160D9" w:rsidP="000160D9" w:rsidRDefault="000160D9" w14:paraId="48B5E721" w14:textId="77777777">
            <w:pPr>
              <w:keepNext/>
              <w:spacing w:after="0"/>
              <w:rPr>
                <w:b/>
                <w:sz w:val="20"/>
                <w:szCs w:val="20"/>
              </w:rPr>
            </w:pPr>
            <w:r w:rsidRPr="00675D16">
              <w:rPr>
                <w:b/>
                <w:sz w:val="20"/>
                <w:szCs w:val="20"/>
              </w:rPr>
              <w:t># of Respondents</w:t>
            </w:r>
          </w:p>
        </w:tc>
      </w:tr>
      <w:tr w:rsidRPr="00C47150" w:rsidR="001A4337" w:rsidTr="007F64F4" w14:paraId="1D7AE4E1" w14:textId="77777777">
        <w:trPr>
          <w:jc w:val="center"/>
        </w:trPr>
        <w:tc>
          <w:tcPr>
            <w:tcW w:w="7020" w:type="dxa"/>
            <w:shd w:val="clear" w:color="auto" w:fill="auto"/>
            <w:hideMark/>
          </w:tcPr>
          <w:p w:rsidRPr="006009EE" w:rsidR="001A4337" w:rsidP="001A4337" w:rsidRDefault="001A4337" w14:paraId="524D7BBA" w14:textId="39847BC9">
            <w:pPr>
              <w:keepNext/>
              <w:spacing w:after="0" w:line="360" w:lineRule="auto"/>
              <w:rPr>
                <w:sz w:val="20"/>
                <w:szCs w:val="20"/>
              </w:rPr>
            </w:pPr>
            <w:r w:rsidRPr="006009EE">
              <w:rPr>
                <w:sz w:val="20"/>
                <w:szCs w:val="20"/>
              </w:rPr>
              <w:t>Number of individual clinicians to submit Promoting Interoperability (a)</w:t>
            </w:r>
          </w:p>
        </w:tc>
        <w:tc>
          <w:tcPr>
            <w:tcW w:w="1306" w:type="dxa"/>
            <w:shd w:val="clear" w:color="auto" w:fill="auto"/>
            <w:noWrap/>
            <w:vAlign w:val="center"/>
            <w:hideMark/>
          </w:tcPr>
          <w:p w:rsidRPr="009672C1" w:rsidR="001A4337" w:rsidP="001A4337" w:rsidRDefault="001A4337" w14:paraId="0190723B" w14:textId="4D666FB0">
            <w:pPr>
              <w:keepNext/>
              <w:spacing w:after="0" w:line="360" w:lineRule="auto"/>
              <w:jc w:val="right"/>
              <w:rPr>
                <w:sz w:val="20"/>
                <w:szCs w:val="20"/>
              </w:rPr>
            </w:pPr>
            <w:r w:rsidRPr="00E3760B">
              <w:rPr>
                <w:rFonts w:eastAsia="Calibri"/>
                <w:sz w:val="20"/>
                <w:szCs w:val="20"/>
              </w:rPr>
              <w:t>4</w:t>
            </w:r>
            <w:r w:rsidR="001D5887">
              <w:rPr>
                <w:rFonts w:eastAsia="Calibri"/>
                <w:sz w:val="20"/>
                <w:szCs w:val="20"/>
              </w:rPr>
              <w:t>0,</w:t>
            </w:r>
            <w:r w:rsidR="00FD0C22">
              <w:rPr>
                <w:rFonts w:eastAsia="Calibri"/>
                <w:sz w:val="20"/>
                <w:szCs w:val="20"/>
              </w:rPr>
              <w:t>172</w:t>
            </w:r>
          </w:p>
        </w:tc>
      </w:tr>
      <w:tr w:rsidRPr="00C47150" w:rsidR="001A4337" w:rsidTr="007F64F4" w14:paraId="00E33CE9" w14:textId="77777777">
        <w:trPr>
          <w:jc w:val="center"/>
        </w:trPr>
        <w:tc>
          <w:tcPr>
            <w:tcW w:w="7020" w:type="dxa"/>
            <w:shd w:val="clear" w:color="auto" w:fill="auto"/>
            <w:noWrap/>
          </w:tcPr>
          <w:p w:rsidRPr="006009EE" w:rsidR="001A4337" w:rsidP="001A4337" w:rsidRDefault="001A4337" w14:paraId="0EAB3BFF" w14:textId="53A8A889">
            <w:pPr>
              <w:keepNext/>
              <w:spacing w:after="0" w:line="360" w:lineRule="auto"/>
              <w:rPr>
                <w:sz w:val="20"/>
                <w:szCs w:val="20"/>
              </w:rPr>
            </w:pPr>
            <w:r w:rsidRPr="006009EE">
              <w:rPr>
                <w:sz w:val="20"/>
                <w:szCs w:val="20"/>
              </w:rPr>
              <w:t>Number of groups to submit Promoting Interoperability (b)</w:t>
            </w:r>
          </w:p>
        </w:tc>
        <w:tc>
          <w:tcPr>
            <w:tcW w:w="1306" w:type="dxa"/>
            <w:shd w:val="clear" w:color="auto" w:fill="auto"/>
            <w:noWrap/>
            <w:vAlign w:val="center"/>
          </w:tcPr>
          <w:p w:rsidRPr="009672C1" w:rsidR="001A4337" w:rsidP="001A4337" w:rsidRDefault="001A4337" w14:paraId="5A2963B7" w14:textId="6DD797B7">
            <w:pPr>
              <w:keepNext/>
              <w:spacing w:after="0" w:line="360" w:lineRule="auto"/>
              <w:jc w:val="right"/>
              <w:rPr>
                <w:sz w:val="20"/>
                <w:szCs w:val="20"/>
              </w:rPr>
            </w:pPr>
            <w:r w:rsidRPr="00E3760B">
              <w:rPr>
                <w:rFonts w:eastAsia="Calibri"/>
                <w:sz w:val="20"/>
                <w:szCs w:val="20"/>
              </w:rPr>
              <w:t>11,</w:t>
            </w:r>
            <w:r w:rsidR="00FD0C22">
              <w:rPr>
                <w:rFonts w:eastAsia="Calibri"/>
                <w:sz w:val="20"/>
                <w:szCs w:val="20"/>
              </w:rPr>
              <w:t>475</w:t>
            </w:r>
          </w:p>
        </w:tc>
      </w:tr>
      <w:tr w:rsidRPr="00C47150" w:rsidR="001A4337" w:rsidTr="007F64F4" w14:paraId="3BD49BA5" w14:textId="77777777">
        <w:trPr>
          <w:jc w:val="center"/>
        </w:trPr>
        <w:tc>
          <w:tcPr>
            <w:tcW w:w="7020" w:type="dxa"/>
            <w:shd w:val="clear" w:color="auto" w:fill="auto"/>
            <w:noWrap/>
            <w:hideMark/>
          </w:tcPr>
          <w:p w:rsidRPr="006009EE" w:rsidR="001A4337" w:rsidP="001A4337" w:rsidRDefault="001A4337" w14:paraId="28A47523" w14:textId="730D3907">
            <w:pPr>
              <w:keepNext/>
              <w:spacing w:after="0"/>
              <w:rPr>
                <w:sz w:val="20"/>
                <w:szCs w:val="20"/>
              </w:rPr>
            </w:pPr>
            <w:r w:rsidRPr="006009EE">
              <w:rPr>
                <w:sz w:val="20"/>
                <w:szCs w:val="20"/>
              </w:rPr>
              <w:t xml:space="preserve">Total Respondents in </w:t>
            </w:r>
            <w:r w:rsidR="007A42D3">
              <w:rPr>
                <w:sz w:val="20"/>
                <w:szCs w:val="20"/>
              </w:rPr>
              <w:t xml:space="preserve">CY </w:t>
            </w:r>
            <w:r w:rsidRPr="006009EE">
              <w:rPr>
                <w:sz w:val="20"/>
                <w:szCs w:val="20"/>
              </w:rPr>
              <w:t>202</w:t>
            </w:r>
            <w:r w:rsidR="007A42D3">
              <w:rPr>
                <w:sz w:val="20"/>
                <w:szCs w:val="20"/>
              </w:rPr>
              <w:t>2</w:t>
            </w:r>
            <w:r w:rsidRPr="006009EE">
              <w:rPr>
                <w:sz w:val="20"/>
                <w:szCs w:val="20"/>
              </w:rPr>
              <w:t xml:space="preserve"> MIPS performance period (CY 202</w:t>
            </w:r>
            <w:r w:rsidR="007E5094">
              <w:rPr>
                <w:sz w:val="20"/>
                <w:szCs w:val="20"/>
              </w:rPr>
              <w:t>2</w:t>
            </w:r>
            <w:r w:rsidRPr="006009EE">
              <w:rPr>
                <w:sz w:val="20"/>
                <w:szCs w:val="20"/>
              </w:rPr>
              <w:t xml:space="preserve"> </w:t>
            </w:r>
            <w:r w:rsidR="007E5094">
              <w:rPr>
                <w:sz w:val="20"/>
                <w:szCs w:val="20"/>
              </w:rPr>
              <w:t xml:space="preserve">Proposed </w:t>
            </w:r>
            <w:r w:rsidRPr="006009EE">
              <w:rPr>
                <w:sz w:val="20"/>
                <w:szCs w:val="20"/>
              </w:rPr>
              <w:t>Rule) (c) = (a) + (b)</w:t>
            </w:r>
          </w:p>
        </w:tc>
        <w:tc>
          <w:tcPr>
            <w:tcW w:w="1306" w:type="dxa"/>
            <w:shd w:val="clear" w:color="auto" w:fill="auto"/>
            <w:noWrap/>
            <w:vAlign w:val="center"/>
            <w:hideMark/>
          </w:tcPr>
          <w:p w:rsidRPr="009672C1" w:rsidR="001A4337" w:rsidP="001A4337" w:rsidRDefault="001A4337" w14:paraId="482E85EC" w14:textId="5D51B1E5">
            <w:pPr>
              <w:keepNext/>
              <w:spacing w:after="0" w:line="360" w:lineRule="auto"/>
              <w:jc w:val="right"/>
              <w:rPr>
                <w:sz w:val="20"/>
                <w:szCs w:val="20"/>
              </w:rPr>
            </w:pPr>
            <w:r w:rsidRPr="00E3760B">
              <w:rPr>
                <w:rFonts w:eastAsia="Calibri"/>
                <w:sz w:val="20"/>
                <w:szCs w:val="20"/>
              </w:rPr>
              <w:t>5</w:t>
            </w:r>
            <w:r w:rsidR="00BA4451">
              <w:rPr>
                <w:rFonts w:eastAsia="Calibri"/>
                <w:sz w:val="20"/>
                <w:szCs w:val="20"/>
              </w:rPr>
              <w:t>1,647</w:t>
            </w:r>
          </w:p>
        </w:tc>
      </w:tr>
      <w:tr w:rsidRPr="00C47150" w:rsidR="001A4337" w:rsidTr="007F64F4" w14:paraId="516A4521" w14:textId="77777777">
        <w:trPr>
          <w:jc w:val="center"/>
        </w:trPr>
        <w:tc>
          <w:tcPr>
            <w:tcW w:w="7020" w:type="dxa"/>
            <w:shd w:val="clear" w:color="auto" w:fill="auto"/>
            <w:noWrap/>
            <w:hideMark/>
          </w:tcPr>
          <w:p w:rsidRPr="006009EE" w:rsidR="001A4337" w:rsidP="001A4337" w:rsidRDefault="001A4337" w14:paraId="6663D01F" w14:textId="2465A2E7">
            <w:pPr>
              <w:keepNext/>
              <w:spacing w:after="0"/>
              <w:rPr>
                <w:sz w:val="20"/>
                <w:szCs w:val="20"/>
              </w:rPr>
            </w:pPr>
            <w:r w:rsidRPr="006009EE">
              <w:rPr>
                <w:sz w:val="20"/>
                <w:szCs w:val="20"/>
              </w:rPr>
              <w:t xml:space="preserve">Total Respondents in </w:t>
            </w:r>
            <w:r w:rsidR="007E5094">
              <w:rPr>
                <w:sz w:val="20"/>
                <w:szCs w:val="20"/>
              </w:rPr>
              <w:t xml:space="preserve">CY </w:t>
            </w:r>
            <w:r w:rsidRPr="006009EE">
              <w:rPr>
                <w:sz w:val="20"/>
                <w:szCs w:val="20"/>
              </w:rPr>
              <w:t>20</w:t>
            </w:r>
            <w:r>
              <w:rPr>
                <w:sz w:val="20"/>
                <w:szCs w:val="20"/>
              </w:rPr>
              <w:t>2</w:t>
            </w:r>
            <w:r w:rsidR="00A328E6">
              <w:rPr>
                <w:sz w:val="20"/>
                <w:szCs w:val="20"/>
              </w:rPr>
              <w:t>1</w:t>
            </w:r>
            <w:r w:rsidRPr="006009EE">
              <w:rPr>
                <w:sz w:val="20"/>
                <w:szCs w:val="20"/>
              </w:rPr>
              <w:t xml:space="preserve"> MIPS performance period (CY 20</w:t>
            </w:r>
            <w:r>
              <w:rPr>
                <w:sz w:val="20"/>
                <w:szCs w:val="20"/>
              </w:rPr>
              <w:t>2</w:t>
            </w:r>
            <w:r w:rsidR="00A328E6">
              <w:rPr>
                <w:sz w:val="20"/>
                <w:szCs w:val="20"/>
              </w:rPr>
              <w:t>1</w:t>
            </w:r>
            <w:r w:rsidRPr="006009EE">
              <w:rPr>
                <w:sz w:val="20"/>
                <w:szCs w:val="20"/>
              </w:rPr>
              <w:t xml:space="preserve"> Final Rule) (d)</w:t>
            </w:r>
          </w:p>
        </w:tc>
        <w:tc>
          <w:tcPr>
            <w:tcW w:w="1306" w:type="dxa"/>
            <w:shd w:val="clear" w:color="auto" w:fill="auto"/>
            <w:noWrap/>
            <w:vAlign w:val="center"/>
            <w:hideMark/>
          </w:tcPr>
          <w:p w:rsidRPr="009672C1" w:rsidR="001A4337" w:rsidP="001A4337" w:rsidRDefault="00B525CB" w14:paraId="1E342488" w14:textId="6A272E63">
            <w:pPr>
              <w:keepNext/>
              <w:spacing w:after="0" w:line="360" w:lineRule="auto"/>
              <w:jc w:val="right"/>
              <w:rPr>
                <w:sz w:val="20"/>
                <w:szCs w:val="20"/>
              </w:rPr>
            </w:pPr>
            <w:r>
              <w:rPr>
                <w:rFonts w:eastAsia="Calibri"/>
                <w:sz w:val="20"/>
                <w:szCs w:val="20"/>
              </w:rPr>
              <w:t>53,636</w:t>
            </w:r>
          </w:p>
        </w:tc>
      </w:tr>
      <w:tr w:rsidRPr="00C47150" w:rsidR="001A4337" w:rsidTr="007F64F4" w14:paraId="02D8B49C" w14:textId="77777777">
        <w:trPr>
          <w:jc w:val="center"/>
        </w:trPr>
        <w:tc>
          <w:tcPr>
            <w:tcW w:w="7020" w:type="dxa"/>
            <w:shd w:val="clear" w:color="auto" w:fill="auto"/>
            <w:noWrap/>
            <w:hideMark/>
          </w:tcPr>
          <w:p w:rsidRPr="006009EE" w:rsidR="001A4337" w:rsidP="001A4337" w:rsidRDefault="001A4337" w14:paraId="74EAE704" w14:textId="64181BB3">
            <w:pPr>
              <w:keepNext/>
              <w:spacing w:after="0"/>
              <w:rPr>
                <w:sz w:val="20"/>
                <w:szCs w:val="20"/>
              </w:rPr>
            </w:pPr>
            <w:r w:rsidRPr="006009EE">
              <w:rPr>
                <w:sz w:val="20"/>
                <w:szCs w:val="20"/>
              </w:rPr>
              <w:t>Difference (e) = (c) – (d)</w:t>
            </w:r>
          </w:p>
        </w:tc>
        <w:tc>
          <w:tcPr>
            <w:tcW w:w="1306" w:type="dxa"/>
            <w:shd w:val="clear" w:color="auto" w:fill="auto"/>
            <w:noWrap/>
            <w:vAlign w:val="center"/>
            <w:hideMark/>
          </w:tcPr>
          <w:p w:rsidRPr="009672C1" w:rsidR="001A4337" w:rsidP="001A4337" w:rsidRDefault="001A4337" w14:paraId="72AD7119" w14:textId="7C2B8E30">
            <w:pPr>
              <w:keepNext/>
              <w:spacing w:after="0" w:line="360" w:lineRule="auto"/>
              <w:jc w:val="right"/>
              <w:rPr>
                <w:sz w:val="20"/>
                <w:szCs w:val="20"/>
              </w:rPr>
            </w:pPr>
            <w:r w:rsidRPr="00E3760B">
              <w:rPr>
                <w:rFonts w:eastAsia="Calibri"/>
                <w:sz w:val="20"/>
                <w:szCs w:val="20"/>
              </w:rPr>
              <w:t>-</w:t>
            </w:r>
            <w:r w:rsidR="00F7320A">
              <w:rPr>
                <w:rFonts w:eastAsia="Calibri"/>
                <w:sz w:val="20"/>
                <w:szCs w:val="20"/>
              </w:rPr>
              <w:t>1,989</w:t>
            </w:r>
          </w:p>
        </w:tc>
      </w:tr>
    </w:tbl>
    <w:p w:rsidR="00A13C65" w:rsidP="006B22A9" w:rsidRDefault="00A13C65" w14:paraId="214E38A7" w14:textId="432231A6"/>
    <w:p w:rsidRPr="00751305" w:rsidR="005F1F24" w:rsidRDefault="00F152CD" w14:paraId="361C5E7B" w14:textId="4E557F47">
      <w:pPr>
        <w:rPr>
          <w:rFonts w:eastAsia="Calibri"/>
        </w:rPr>
      </w:pPr>
      <w:bookmarkStart w:name="_Hlk516985201" w:id="8"/>
      <w:r w:rsidRPr="00F152CD">
        <w:rPr>
          <w:rFonts w:eastAsia="Calibri"/>
        </w:rPr>
        <w:t>In th</w:t>
      </w:r>
      <w:r>
        <w:rPr>
          <w:rFonts w:eastAsia="Calibri"/>
        </w:rPr>
        <w:t>e CY 2022 PFS</w:t>
      </w:r>
      <w:r w:rsidRPr="00F152CD">
        <w:rPr>
          <w:rFonts w:eastAsia="Calibri"/>
        </w:rPr>
        <w:t xml:space="preserve"> proposed rule</w:t>
      </w:r>
      <w:r w:rsidR="00D26788">
        <w:rPr>
          <w:rFonts w:eastAsia="Calibri"/>
        </w:rPr>
        <w:t xml:space="preserve"> (86 FR 39415 through 39416)</w:t>
      </w:r>
      <w:r w:rsidRPr="00F152CD">
        <w:rPr>
          <w:rFonts w:eastAsia="Calibri"/>
        </w:rPr>
        <w:t xml:space="preserve">, we propose the additional requirement that eligible clinicians must attest to conducting an annual assessment of the High Priority Guides of the SAFER Guides beginning January 1, 2022. Clinicians will complete this attestation by checking a box when they submit their promoting interoperability performance category data. We estimate that this requirement will add an additional minute (+0.02 hr) to the </w:t>
      </w:r>
      <w:r w:rsidR="00897CF3">
        <w:rPr>
          <w:rFonts w:eastAsia="Calibri"/>
        </w:rPr>
        <w:t xml:space="preserve">currently approved estimated </w:t>
      </w:r>
      <w:r w:rsidRPr="00F152CD">
        <w:rPr>
          <w:rFonts w:eastAsia="Calibri"/>
        </w:rPr>
        <w:t>time</w:t>
      </w:r>
      <w:r w:rsidR="00897CF3">
        <w:rPr>
          <w:rFonts w:eastAsia="Calibri"/>
        </w:rPr>
        <w:t xml:space="preserve"> (2.67 hr)</w:t>
      </w:r>
      <w:r w:rsidRPr="00F152CD">
        <w:rPr>
          <w:rFonts w:eastAsia="Calibri"/>
        </w:rPr>
        <w:t xml:space="preserve"> it takes to complete the submission of </w:t>
      </w:r>
      <w:r w:rsidR="000062C7">
        <w:rPr>
          <w:rFonts w:eastAsia="Calibri"/>
        </w:rPr>
        <w:t>P</w:t>
      </w:r>
      <w:r w:rsidRPr="00F152CD">
        <w:rPr>
          <w:rFonts w:eastAsia="Calibri"/>
        </w:rPr>
        <w:t xml:space="preserve">romoting </w:t>
      </w:r>
      <w:r w:rsidR="000062C7">
        <w:rPr>
          <w:rFonts w:eastAsia="Calibri"/>
        </w:rPr>
        <w:t>I</w:t>
      </w:r>
      <w:r w:rsidRPr="00F152CD">
        <w:rPr>
          <w:rFonts w:eastAsia="Calibri"/>
        </w:rPr>
        <w:t xml:space="preserve">nteroperability data. </w:t>
      </w:r>
      <w:r w:rsidR="00880958">
        <w:rPr>
          <w:rFonts w:eastAsia="Calibri"/>
        </w:rPr>
        <w:t>Therefore, w</w:t>
      </w:r>
      <w:r w:rsidRPr="00CC2BFB" w:rsidR="00AE5A50">
        <w:rPr>
          <w:rFonts w:eastAsia="Calibri"/>
        </w:rPr>
        <w:t>e estimate the time required for an individual or group to submit Promoting Interoperability data to be 2.6</w:t>
      </w:r>
      <w:r w:rsidR="00880958">
        <w:rPr>
          <w:rFonts w:eastAsia="Calibri"/>
        </w:rPr>
        <w:t>9</w:t>
      </w:r>
      <w:r w:rsidRPr="00CC2BFB" w:rsidR="00AE5A50">
        <w:rPr>
          <w:rFonts w:eastAsia="Calibri"/>
        </w:rPr>
        <w:t xml:space="preserve"> hours</w:t>
      </w:r>
      <w:r w:rsidR="004B7BED">
        <w:rPr>
          <w:rFonts w:eastAsia="Calibri"/>
        </w:rPr>
        <w:t xml:space="preserve"> (2.67</w:t>
      </w:r>
      <w:r w:rsidR="00897CF3">
        <w:rPr>
          <w:rFonts w:eastAsia="Calibri"/>
        </w:rPr>
        <w:t xml:space="preserve"> hr + 0.02 hr</w:t>
      </w:r>
      <w:r w:rsidR="004B7BED">
        <w:rPr>
          <w:rFonts w:eastAsia="Calibri"/>
        </w:rPr>
        <w:t>)</w:t>
      </w:r>
      <w:r w:rsidRPr="00CC2BFB" w:rsidR="00AE5A50">
        <w:rPr>
          <w:rFonts w:eastAsia="Calibri"/>
        </w:rPr>
        <w:t xml:space="preserve">.  </w:t>
      </w:r>
      <w:r w:rsidRPr="007C6167" w:rsidR="007C6167">
        <w:rPr>
          <w:rFonts w:eastAsia="Calibri"/>
        </w:rPr>
        <w:t xml:space="preserve">As shown in Table </w:t>
      </w:r>
      <w:r w:rsidR="001108C4">
        <w:rPr>
          <w:rFonts w:eastAsia="Calibri"/>
        </w:rPr>
        <w:t>21</w:t>
      </w:r>
      <w:r w:rsidRPr="007C6167" w:rsidR="007C6167">
        <w:rPr>
          <w:rFonts w:eastAsia="Calibri"/>
        </w:rPr>
        <w:t xml:space="preserve">, </w:t>
      </w:r>
      <w:r w:rsidRPr="00190E46" w:rsidR="00190E46">
        <w:rPr>
          <w:rFonts w:eastAsia="Calibri"/>
        </w:rPr>
        <w:t xml:space="preserve">the total burden estimate for submitting data on the specified Promoting Interoperability objectives and measures is estimated to be </w:t>
      </w:r>
      <w:r w:rsidR="000F6F79">
        <w:rPr>
          <w:rFonts w:eastAsia="Calibri"/>
        </w:rPr>
        <w:t>138,</w:t>
      </w:r>
      <w:r w:rsidR="004E40EF">
        <w:rPr>
          <w:rFonts w:eastAsia="Calibri"/>
        </w:rPr>
        <w:t>930</w:t>
      </w:r>
      <w:r w:rsidRPr="00190E46" w:rsidR="00190E46">
        <w:rPr>
          <w:rFonts w:eastAsia="Calibri"/>
        </w:rPr>
        <w:t xml:space="preserve"> hours (5</w:t>
      </w:r>
      <w:r w:rsidR="003C79BB">
        <w:rPr>
          <w:rFonts w:eastAsia="Calibri"/>
        </w:rPr>
        <w:t>1,647</w:t>
      </w:r>
      <w:r w:rsidRPr="00190E46" w:rsidR="00190E46">
        <w:rPr>
          <w:rFonts w:eastAsia="Calibri"/>
        </w:rPr>
        <w:t xml:space="preserve"> respondents x 2.6</w:t>
      </w:r>
      <w:r w:rsidR="004B7BED">
        <w:rPr>
          <w:rFonts w:eastAsia="Calibri"/>
        </w:rPr>
        <w:t>9</w:t>
      </w:r>
      <w:r w:rsidRPr="00190E46" w:rsidR="00190E46">
        <w:rPr>
          <w:rFonts w:eastAsia="Calibri"/>
        </w:rPr>
        <w:t xml:space="preserve"> incremental hours for a computer analyst’s time above and beyond the physician, medical and health services manager, and computer system’s analyst time required to submit quality data) and $</w:t>
      </w:r>
      <w:r w:rsidR="00AD1264">
        <w:rPr>
          <w:rFonts w:eastAsia="Calibri"/>
        </w:rPr>
        <w:t>13,</w:t>
      </w:r>
      <w:r w:rsidR="00584F07">
        <w:rPr>
          <w:rFonts w:eastAsia="Calibri"/>
        </w:rPr>
        <w:t>228,915</w:t>
      </w:r>
      <w:r w:rsidRPr="00190E46" w:rsidR="00190E46">
        <w:rPr>
          <w:rFonts w:eastAsia="Calibri"/>
        </w:rPr>
        <w:t xml:space="preserve"> (1</w:t>
      </w:r>
      <w:r w:rsidR="00EE1F88">
        <w:rPr>
          <w:rFonts w:eastAsia="Calibri"/>
        </w:rPr>
        <w:t>38,</w:t>
      </w:r>
      <w:r w:rsidR="0090735B">
        <w:rPr>
          <w:rFonts w:eastAsia="Calibri"/>
        </w:rPr>
        <w:t>586</w:t>
      </w:r>
      <w:r w:rsidRPr="00190E46" w:rsidR="00190E46">
        <w:rPr>
          <w:rFonts w:eastAsia="Calibri"/>
        </w:rPr>
        <w:t xml:space="preserve"> hr x $9</w:t>
      </w:r>
      <w:r w:rsidR="00EE1F88">
        <w:rPr>
          <w:rFonts w:eastAsia="Calibri"/>
        </w:rPr>
        <w:t>5.22</w:t>
      </w:r>
      <w:r w:rsidRPr="00190E46" w:rsidR="00190E46">
        <w:rPr>
          <w:rFonts w:eastAsia="Calibri"/>
        </w:rPr>
        <w:t>/hr))</w:t>
      </w:r>
      <w:r w:rsidRPr="00CF534E" w:rsidR="00CF534E">
        <w:rPr>
          <w:rFonts w:eastAsia="Calibri"/>
        </w:rPr>
        <w:t xml:space="preserve">.  </w:t>
      </w:r>
      <w:bookmarkEnd w:id="8"/>
    </w:p>
    <w:p w:rsidRPr="00C47150" w:rsidR="000160D9" w:rsidP="00F37138" w:rsidRDefault="000160D9" w14:paraId="6D397CCC" w14:textId="3B84BAD0">
      <w:pPr>
        <w:keepNext/>
        <w:keepLines/>
        <w:spacing w:after="0"/>
        <w:jc w:val="center"/>
        <w:rPr>
          <w:b/>
          <w:bCs/>
        </w:rPr>
      </w:pPr>
      <w:r w:rsidRPr="00C47150">
        <w:rPr>
          <w:b/>
          <w:bCs/>
        </w:rPr>
        <w:t xml:space="preserve">TABLE </w:t>
      </w:r>
      <w:r w:rsidR="00FE59C2">
        <w:rPr>
          <w:b/>
          <w:bCs/>
        </w:rPr>
        <w:t>21</w:t>
      </w:r>
      <w:r w:rsidRPr="00C47150">
        <w:rPr>
          <w:b/>
          <w:bCs/>
        </w:rPr>
        <w:t xml:space="preserve">: </w:t>
      </w:r>
      <w:r w:rsidR="0091620D">
        <w:rPr>
          <w:b/>
          <w:bCs/>
        </w:rPr>
        <w:t xml:space="preserve">Estimated </w:t>
      </w:r>
      <w:r w:rsidRPr="00732012">
        <w:rPr>
          <w:b/>
          <w:bCs/>
        </w:rPr>
        <w:t xml:space="preserve">Burden </w:t>
      </w:r>
      <w:r w:rsidRPr="00C47150">
        <w:rPr>
          <w:b/>
          <w:bCs/>
        </w:rPr>
        <w:t>for</w:t>
      </w:r>
      <w:r>
        <w:rPr>
          <w:b/>
          <w:bCs/>
        </w:rPr>
        <w:t xml:space="preserve"> Promoting Interoperability </w:t>
      </w:r>
      <w:r w:rsidRPr="00C47150">
        <w:rPr>
          <w:b/>
          <w:bCs/>
        </w:rPr>
        <w:t xml:space="preserve">Performance Category </w:t>
      </w:r>
      <w:r w:rsidR="000B003C">
        <w:rPr>
          <w:b/>
          <w:bCs/>
        </w:rPr>
        <w:br/>
      </w:r>
      <w:r w:rsidRPr="00C47150">
        <w:rPr>
          <w:b/>
          <w:bCs/>
        </w:rPr>
        <w:t>Data Submission</w:t>
      </w:r>
      <w:r w:rsidR="000F2020">
        <w:rPr>
          <w:b/>
          <w:bCs/>
        </w:rPr>
        <w:t xml:space="preserve"> in CY 2022</w:t>
      </w:r>
    </w:p>
    <w:tbl>
      <w:tblPr>
        <w:tblW w:w="97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94"/>
        <w:gridCol w:w="2116"/>
      </w:tblGrid>
      <w:tr w:rsidRPr="00C47150" w:rsidR="000160D9" w:rsidTr="000160D9" w14:paraId="53887A8A" w14:textId="77777777">
        <w:trPr>
          <w:trHeight w:val="277"/>
        </w:trPr>
        <w:tc>
          <w:tcPr>
            <w:tcW w:w="7594" w:type="dxa"/>
            <w:shd w:val="clear" w:color="auto" w:fill="auto"/>
            <w:hideMark/>
          </w:tcPr>
          <w:p w:rsidRPr="000160D9" w:rsidR="000160D9" w:rsidP="00F37138" w:rsidRDefault="000160D9" w14:paraId="51757CBE" w14:textId="34DF71FD">
            <w:pPr>
              <w:keepNext/>
              <w:keepLines/>
              <w:spacing w:after="0"/>
              <w:rPr>
                <w:b/>
                <w:sz w:val="20"/>
                <w:szCs w:val="20"/>
              </w:rPr>
            </w:pPr>
            <w:r w:rsidRPr="00675D16">
              <w:rPr>
                <w:sz w:val="20"/>
                <w:szCs w:val="20"/>
              </w:rPr>
              <w:t> </w:t>
            </w:r>
            <w:r w:rsidRPr="000160D9">
              <w:rPr>
                <w:b/>
                <w:sz w:val="20"/>
                <w:szCs w:val="20"/>
              </w:rPr>
              <w:t>Burden and Respondent Descriptions</w:t>
            </w:r>
          </w:p>
        </w:tc>
        <w:tc>
          <w:tcPr>
            <w:tcW w:w="2116" w:type="dxa"/>
            <w:shd w:val="clear" w:color="auto" w:fill="auto"/>
            <w:vAlign w:val="center"/>
            <w:hideMark/>
          </w:tcPr>
          <w:p w:rsidRPr="00675D16" w:rsidR="000160D9" w:rsidP="00F37138" w:rsidRDefault="000160D9" w14:paraId="233F6EC0" w14:textId="77777777">
            <w:pPr>
              <w:keepNext/>
              <w:keepLines/>
              <w:spacing w:after="0"/>
              <w:jc w:val="center"/>
              <w:rPr>
                <w:b/>
                <w:sz w:val="20"/>
                <w:szCs w:val="20"/>
              </w:rPr>
            </w:pPr>
            <w:r w:rsidRPr="00675D16">
              <w:rPr>
                <w:b/>
                <w:sz w:val="20"/>
                <w:szCs w:val="20"/>
              </w:rPr>
              <w:t>Burden Estimate</w:t>
            </w:r>
          </w:p>
        </w:tc>
      </w:tr>
      <w:tr w:rsidRPr="00C47150" w:rsidR="00BD1C00" w:rsidTr="0068663C" w14:paraId="12AC77F6"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auto"/>
          </w:tcPr>
          <w:p w:rsidRPr="00732012" w:rsidR="00BD1C00" w:rsidP="00F37138" w:rsidRDefault="00BD1C00" w14:paraId="021213A1" w14:textId="0EE00155">
            <w:pPr>
              <w:keepNext/>
              <w:keepLines/>
              <w:spacing w:after="0"/>
              <w:rPr>
                <w:sz w:val="20"/>
                <w:szCs w:val="20"/>
              </w:rPr>
            </w:pPr>
            <w:r w:rsidRPr="003428D4">
              <w:rPr>
                <w:rFonts w:eastAsia="Calibri"/>
                <w:sz w:val="20"/>
                <w:szCs w:val="20"/>
              </w:rPr>
              <w:t>Number of individual clinicians to submit Promoting Interoperability (a)</w:t>
            </w:r>
          </w:p>
        </w:tc>
        <w:tc>
          <w:tcPr>
            <w:tcW w:w="2116" w:type="dxa"/>
            <w:tcBorders>
              <w:top w:val="single" w:color="auto" w:sz="4" w:space="0"/>
              <w:left w:val="single" w:color="auto" w:sz="4" w:space="0"/>
              <w:bottom w:val="single" w:color="auto" w:sz="4" w:space="0"/>
              <w:right w:val="single" w:color="auto" w:sz="4" w:space="0"/>
            </w:tcBorders>
            <w:shd w:val="clear" w:color="auto" w:fill="auto"/>
          </w:tcPr>
          <w:p w:rsidRPr="00BD1C00" w:rsidR="00BD1C00" w:rsidP="00F37138" w:rsidRDefault="00BD1C00" w14:paraId="0A87B160" w14:textId="6DFF99DF">
            <w:pPr>
              <w:keepNext/>
              <w:keepLines/>
              <w:spacing w:after="0"/>
              <w:rPr>
                <w:rFonts w:eastAsia="Calibri"/>
                <w:sz w:val="20"/>
                <w:szCs w:val="20"/>
              </w:rPr>
            </w:pPr>
            <w:r w:rsidRPr="00BD1C00">
              <w:rPr>
                <w:rFonts w:eastAsia="Calibri"/>
                <w:sz w:val="20"/>
                <w:szCs w:val="20"/>
              </w:rPr>
              <w:t>4</w:t>
            </w:r>
            <w:r w:rsidR="00351F0F">
              <w:rPr>
                <w:rFonts w:eastAsia="Calibri"/>
                <w:sz w:val="20"/>
                <w:szCs w:val="20"/>
              </w:rPr>
              <w:t>0,172</w:t>
            </w:r>
          </w:p>
        </w:tc>
      </w:tr>
      <w:tr w:rsidRPr="00C47150" w:rsidR="00BD1C00" w:rsidTr="0068663C" w14:paraId="60FB49DD"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auto"/>
          </w:tcPr>
          <w:p w:rsidRPr="00732012" w:rsidR="00BD1C00" w:rsidP="00BD1C00" w:rsidRDefault="00BD1C00" w14:paraId="25E388D8" w14:textId="0959396E">
            <w:pPr>
              <w:spacing w:after="0"/>
              <w:rPr>
                <w:sz w:val="20"/>
                <w:szCs w:val="20"/>
              </w:rPr>
            </w:pPr>
            <w:r w:rsidRPr="003428D4">
              <w:rPr>
                <w:rFonts w:eastAsia="Calibri"/>
                <w:sz w:val="20"/>
                <w:szCs w:val="20"/>
              </w:rPr>
              <w:t>Number of groups to submit Promoting Interoperability (b)</w:t>
            </w:r>
          </w:p>
        </w:tc>
        <w:tc>
          <w:tcPr>
            <w:tcW w:w="2116" w:type="dxa"/>
            <w:tcBorders>
              <w:top w:val="single" w:color="auto" w:sz="4" w:space="0"/>
              <w:left w:val="single" w:color="auto" w:sz="4" w:space="0"/>
              <w:bottom w:val="single" w:color="auto" w:sz="4" w:space="0"/>
              <w:right w:val="single" w:color="auto" w:sz="4" w:space="0"/>
            </w:tcBorders>
            <w:shd w:val="clear" w:color="auto" w:fill="auto"/>
          </w:tcPr>
          <w:p w:rsidRPr="00BD1C00" w:rsidR="00BD1C00" w:rsidP="00BD1C00" w:rsidRDefault="00BD1C00" w14:paraId="25058CE7" w14:textId="01BEF7D4">
            <w:pPr>
              <w:spacing w:after="0"/>
              <w:rPr>
                <w:rFonts w:eastAsia="Calibri"/>
                <w:sz w:val="20"/>
                <w:szCs w:val="20"/>
              </w:rPr>
            </w:pPr>
            <w:r w:rsidRPr="00BD1C00">
              <w:rPr>
                <w:rFonts w:eastAsia="Calibri"/>
                <w:sz w:val="20"/>
                <w:szCs w:val="20"/>
              </w:rPr>
              <w:t>11,</w:t>
            </w:r>
            <w:r w:rsidR="00E6150B">
              <w:rPr>
                <w:rFonts w:eastAsia="Calibri"/>
                <w:sz w:val="20"/>
                <w:szCs w:val="20"/>
              </w:rPr>
              <w:t>475</w:t>
            </w:r>
          </w:p>
        </w:tc>
      </w:tr>
      <w:tr w:rsidRPr="00C47150" w:rsidR="00BD1C00" w:rsidTr="0068663C" w14:paraId="658E0659"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75D16" w:rsidR="00BD1C00" w:rsidP="00BD1C00" w:rsidRDefault="00BD1C00" w14:paraId="35D1E237" w14:textId="41EEA7EC">
            <w:pPr>
              <w:spacing w:after="0"/>
              <w:rPr>
                <w:sz w:val="20"/>
                <w:szCs w:val="20"/>
              </w:rPr>
            </w:pPr>
            <w:r w:rsidRPr="003428D4">
              <w:rPr>
                <w:rFonts w:eastAsia="Calibri"/>
                <w:sz w:val="20"/>
                <w:szCs w:val="20"/>
              </w:rPr>
              <w:t> Total (</w:t>
            </w:r>
            <w:r>
              <w:rPr>
                <w:rFonts w:eastAsia="Calibri"/>
                <w:sz w:val="20"/>
                <w:szCs w:val="20"/>
              </w:rPr>
              <w:t>c</w:t>
            </w:r>
            <w:r w:rsidRPr="003428D4">
              <w:rPr>
                <w:rFonts w:eastAsia="Calibri"/>
                <w:sz w:val="20"/>
                <w:szCs w:val="20"/>
              </w:rPr>
              <w:t>) = (a) + (b)</w:t>
            </w:r>
          </w:p>
        </w:tc>
        <w:tc>
          <w:tcPr>
            <w:tcW w:w="2116" w:type="dxa"/>
            <w:tcBorders>
              <w:top w:val="single" w:color="auto" w:sz="4" w:space="0"/>
              <w:left w:val="single" w:color="auto" w:sz="4" w:space="0"/>
              <w:bottom w:val="single" w:color="auto" w:sz="4" w:space="0"/>
              <w:right w:val="single" w:color="auto" w:sz="4" w:space="0"/>
            </w:tcBorders>
            <w:shd w:val="clear" w:color="auto" w:fill="auto"/>
            <w:hideMark/>
          </w:tcPr>
          <w:p w:rsidRPr="00BD1C00" w:rsidR="00BD1C00" w:rsidP="00BD1C00" w:rsidRDefault="00BD1C00" w14:paraId="4FE028E7" w14:textId="16361E37">
            <w:pPr>
              <w:spacing w:after="0"/>
              <w:rPr>
                <w:rFonts w:eastAsia="Calibri"/>
                <w:sz w:val="20"/>
                <w:szCs w:val="20"/>
              </w:rPr>
            </w:pPr>
            <w:r w:rsidRPr="00BD1C00">
              <w:rPr>
                <w:rFonts w:eastAsia="Calibri"/>
                <w:sz w:val="20"/>
                <w:szCs w:val="20"/>
              </w:rPr>
              <w:t>5</w:t>
            </w:r>
            <w:r w:rsidR="003C3848">
              <w:rPr>
                <w:rFonts w:eastAsia="Calibri"/>
                <w:sz w:val="20"/>
                <w:szCs w:val="20"/>
              </w:rPr>
              <w:t>1,647</w:t>
            </w:r>
          </w:p>
        </w:tc>
      </w:tr>
      <w:tr w:rsidRPr="00C47150" w:rsidR="00BD1C00" w:rsidTr="0068663C" w14:paraId="48E45C3C" w14:textId="77777777">
        <w:trPr>
          <w:trHeight w:val="223"/>
        </w:trPr>
        <w:tc>
          <w:tcPr>
            <w:tcW w:w="75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75D16" w:rsidR="00BD1C00" w:rsidP="00BD1C00" w:rsidRDefault="00BD1C00" w14:paraId="14967BC5" w14:textId="20DCF373">
            <w:pPr>
              <w:spacing w:after="0"/>
              <w:rPr>
                <w:sz w:val="20"/>
                <w:szCs w:val="20"/>
              </w:rPr>
            </w:pPr>
            <w:r w:rsidRPr="003428D4">
              <w:rPr>
                <w:rFonts w:eastAsia="Calibri"/>
                <w:sz w:val="20"/>
                <w:szCs w:val="20"/>
              </w:rPr>
              <w:t>Total Annual Hours Per Respondent (</w:t>
            </w:r>
            <w:r w:rsidR="004F7068">
              <w:rPr>
                <w:rFonts w:eastAsia="Calibri"/>
                <w:sz w:val="20"/>
                <w:szCs w:val="20"/>
              </w:rPr>
              <w:t>d</w:t>
            </w:r>
            <w:r w:rsidRPr="003428D4">
              <w:rPr>
                <w:rFonts w:eastAsia="Calibri"/>
                <w:sz w:val="20"/>
                <w:szCs w:val="20"/>
              </w:rPr>
              <w:t>)</w:t>
            </w:r>
          </w:p>
        </w:tc>
        <w:tc>
          <w:tcPr>
            <w:tcW w:w="2116" w:type="dxa"/>
            <w:tcBorders>
              <w:top w:val="single" w:color="auto" w:sz="4" w:space="0"/>
              <w:left w:val="single" w:color="auto" w:sz="4" w:space="0"/>
              <w:bottom w:val="single" w:color="auto" w:sz="4" w:space="0"/>
              <w:right w:val="single" w:color="auto" w:sz="4" w:space="0"/>
            </w:tcBorders>
            <w:shd w:val="clear" w:color="auto" w:fill="auto"/>
            <w:hideMark/>
          </w:tcPr>
          <w:p w:rsidRPr="00BD1C00" w:rsidR="00BD1C00" w:rsidP="00BD1C00" w:rsidRDefault="00BD1C00" w14:paraId="6C16FC92" w14:textId="3531DF2D">
            <w:pPr>
              <w:spacing w:after="0"/>
              <w:rPr>
                <w:rFonts w:eastAsia="Calibri"/>
                <w:sz w:val="20"/>
                <w:szCs w:val="20"/>
              </w:rPr>
            </w:pPr>
            <w:r w:rsidRPr="00BD1C00">
              <w:rPr>
                <w:rFonts w:eastAsia="Calibri"/>
                <w:sz w:val="20"/>
                <w:szCs w:val="20"/>
              </w:rPr>
              <w:t>2.6</w:t>
            </w:r>
            <w:r w:rsidR="003C3848">
              <w:rPr>
                <w:rFonts w:eastAsia="Calibri"/>
                <w:sz w:val="20"/>
                <w:szCs w:val="20"/>
              </w:rPr>
              <w:t>9</w:t>
            </w:r>
          </w:p>
        </w:tc>
      </w:tr>
      <w:tr w:rsidRPr="00C47150" w:rsidR="00BD1C00" w:rsidTr="0068663C" w14:paraId="3D6AAFEF"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C6167" w:rsidR="00BD1C00" w:rsidP="00BD1C00" w:rsidRDefault="00BD1C00" w14:paraId="7BB3328D" w14:textId="7D36BEED">
            <w:pPr>
              <w:spacing w:after="0"/>
              <w:rPr>
                <w:b/>
                <w:sz w:val="20"/>
                <w:szCs w:val="20"/>
              </w:rPr>
            </w:pPr>
            <w:r w:rsidRPr="007C6167">
              <w:rPr>
                <w:rFonts w:eastAsia="Calibri"/>
                <w:b/>
                <w:sz w:val="20"/>
                <w:szCs w:val="20"/>
              </w:rPr>
              <w:t>Total Annual Hours (</w:t>
            </w:r>
            <w:r w:rsidR="00E076E8">
              <w:rPr>
                <w:rFonts w:eastAsia="Calibri"/>
                <w:b/>
                <w:sz w:val="20"/>
                <w:szCs w:val="20"/>
              </w:rPr>
              <w:t>e</w:t>
            </w:r>
            <w:r w:rsidRPr="007C6167">
              <w:rPr>
                <w:rFonts w:eastAsia="Calibri"/>
                <w:b/>
                <w:sz w:val="20"/>
                <w:szCs w:val="20"/>
              </w:rPr>
              <w:t>) = (</w:t>
            </w:r>
            <w:r w:rsidR="00E076E8">
              <w:rPr>
                <w:rFonts w:eastAsia="Calibri"/>
                <w:b/>
                <w:sz w:val="20"/>
                <w:szCs w:val="20"/>
              </w:rPr>
              <w:t>c</w:t>
            </w:r>
            <w:r w:rsidRPr="007C6167">
              <w:rPr>
                <w:rFonts w:eastAsia="Calibri"/>
                <w:b/>
                <w:sz w:val="20"/>
                <w:szCs w:val="20"/>
              </w:rPr>
              <w:t>)*(</w:t>
            </w:r>
            <w:r w:rsidR="004F7068">
              <w:rPr>
                <w:rFonts w:eastAsia="Calibri"/>
                <w:b/>
                <w:sz w:val="20"/>
                <w:szCs w:val="20"/>
              </w:rPr>
              <w:t>d</w:t>
            </w:r>
            <w:r w:rsidRPr="007C6167">
              <w:rPr>
                <w:rFonts w:eastAsia="Calibri"/>
                <w:b/>
                <w:sz w:val="20"/>
                <w:szCs w:val="20"/>
              </w:rPr>
              <w:t>)</w:t>
            </w:r>
          </w:p>
        </w:tc>
        <w:tc>
          <w:tcPr>
            <w:tcW w:w="211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D1C00" w:rsidR="00BD1C00" w:rsidP="00E81428" w:rsidRDefault="00BD1C00" w14:paraId="24A73360" w14:textId="38478F05">
            <w:pPr>
              <w:spacing w:after="0"/>
              <w:rPr>
                <w:rFonts w:eastAsia="Calibri"/>
                <w:b/>
                <w:bCs/>
                <w:sz w:val="20"/>
                <w:szCs w:val="20"/>
              </w:rPr>
            </w:pPr>
            <w:r w:rsidRPr="00BD1C00">
              <w:rPr>
                <w:rFonts w:eastAsia="Calibri"/>
                <w:b/>
                <w:bCs/>
                <w:sz w:val="20"/>
                <w:szCs w:val="20"/>
              </w:rPr>
              <w:t>1</w:t>
            </w:r>
            <w:r w:rsidR="005010EC">
              <w:rPr>
                <w:rFonts w:eastAsia="Calibri"/>
                <w:b/>
                <w:bCs/>
                <w:sz w:val="20"/>
                <w:szCs w:val="20"/>
              </w:rPr>
              <w:t>38,</w:t>
            </w:r>
            <w:r w:rsidR="004E40EF">
              <w:rPr>
                <w:rFonts w:eastAsia="Calibri"/>
                <w:b/>
                <w:bCs/>
                <w:sz w:val="20"/>
                <w:szCs w:val="20"/>
              </w:rPr>
              <w:t>930</w:t>
            </w:r>
            <w:r w:rsidR="006D6884">
              <w:rPr>
                <w:rFonts w:eastAsia="Calibri"/>
                <w:b/>
                <w:bCs/>
                <w:sz w:val="20"/>
                <w:szCs w:val="20"/>
              </w:rPr>
              <w:t>*</w:t>
            </w:r>
          </w:p>
        </w:tc>
      </w:tr>
      <w:tr w:rsidRPr="00C47150" w:rsidR="00BD1C00" w:rsidTr="007F64F4" w14:paraId="6F4C50A4" w14:textId="77777777">
        <w:trPr>
          <w:trHeight w:val="296"/>
        </w:trPr>
        <w:tc>
          <w:tcPr>
            <w:tcW w:w="75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75D16" w:rsidR="00BD1C00" w:rsidP="00BD1C00" w:rsidRDefault="00BD1C00" w14:paraId="40EC374B" w14:textId="2AE7CB30">
            <w:pPr>
              <w:spacing w:after="0"/>
              <w:rPr>
                <w:sz w:val="20"/>
                <w:szCs w:val="20"/>
              </w:rPr>
            </w:pPr>
            <w:r w:rsidRPr="003428D4">
              <w:rPr>
                <w:rFonts w:eastAsia="Calibri"/>
                <w:sz w:val="20"/>
                <w:szCs w:val="20"/>
              </w:rPr>
              <w:t>Labor rate for a computer systems analyst to submit Promoting Interoperability data/hr. (</w:t>
            </w:r>
            <w:r w:rsidR="00E076E8">
              <w:rPr>
                <w:rFonts w:eastAsia="Calibri"/>
                <w:sz w:val="20"/>
                <w:szCs w:val="20"/>
              </w:rPr>
              <w:t>f</w:t>
            </w:r>
            <w:r w:rsidRPr="003428D4">
              <w:rPr>
                <w:rFonts w:eastAsia="Calibri"/>
                <w:sz w:val="20"/>
                <w:szCs w:val="20"/>
              </w:rPr>
              <w:t>)</w:t>
            </w:r>
          </w:p>
        </w:tc>
        <w:tc>
          <w:tcPr>
            <w:tcW w:w="2116" w:type="dxa"/>
            <w:tcBorders>
              <w:top w:val="single" w:color="auto" w:sz="4" w:space="0"/>
              <w:left w:val="single" w:color="auto" w:sz="4" w:space="0"/>
              <w:bottom w:val="single" w:color="auto" w:sz="4" w:space="0"/>
              <w:right w:val="single" w:color="auto" w:sz="4" w:space="0"/>
            </w:tcBorders>
            <w:shd w:val="clear" w:color="auto" w:fill="auto"/>
            <w:noWrap/>
            <w:hideMark/>
          </w:tcPr>
          <w:p w:rsidRPr="00BD1C00" w:rsidR="00BD1C00" w:rsidP="00BD1C00" w:rsidRDefault="00BD1C00" w14:paraId="41121F6C" w14:textId="5C101D79">
            <w:pPr>
              <w:spacing w:after="0"/>
              <w:rPr>
                <w:rFonts w:eastAsia="Calibri"/>
                <w:sz w:val="20"/>
                <w:szCs w:val="20"/>
              </w:rPr>
            </w:pPr>
            <w:r w:rsidRPr="00BD1C00">
              <w:rPr>
                <w:rFonts w:eastAsia="Calibri"/>
                <w:sz w:val="20"/>
                <w:szCs w:val="20"/>
              </w:rPr>
              <w:t>$9</w:t>
            </w:r>
            <w:r w:rsidR="0081304E">
              <w:rPr>
                <w:rFonts w:eastAsia="Calibri"/>
                <w:sz w:val="20"/>
                <w:szCs w:val="20"/>
              </w:rPr>
              <w:t>5.22</w:t>
            </w:r>
            <w:r w:rsidRPr="00BD1C00">
              <w:rPr>
                <w:rFonts w:eastAsia="Calibri"/>
                <w:sz w:val="20"/>
                <w:szCs w:val="20"/>
              </w:rPr>
              <w:t>/hr</w:t>
            </w:r>
          </w:p>
        </w:tc>
      </w:tr>
      <w:tr w:rsidRPr="00C47150" w:rsidR="00BD1C00" w:rsidTr="0068663C" w14:paraId="7EF48C35" w14:textId="77777777">
        <w:trPr>
          <w:trHeight w:val="300"/>
        </w:trPr>
        <w:tc>
          <w:tcPr>
            <w:tcW w:w="759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C6167" w:rsidR="00BD1C00" w:rsidP="00BD1C00" w:rsidRDefault="00BD1C00" w14:paraId="5DBE9EAF" w14:textId="6CE9B022">
            <w:pPr>
              <w:spacing w:after="0"/>
              <w:rPr>
                <w:b/>
                <w:sz w:val="20"/>
                <w:szCs w:val="20"/>
              </w:rPr>
            </w:pPr>
            <w:r w:rsidRPr="007C6167">
              <w:rPr>
                <w:rFonts w:eastAsia="Calibri"/>
                <w:b/>
                <w:sz w:val="20"/>
                <w:szCs w:val="20"/>
              </w:rPr>
              <w:t>Total Annual Cost (</w:t>
            </w:r>
            <w:r w:rsidR="00E076E8">
              <w:rPr>
                <w:rFonts w:eastAsia="Calibri"/>
                <w:b/>
                <w:sz w:val="20"/>
                <w:szCs w:val="20"/>
              </w:rPr>
              <w:t>g</w:t>
            </w:r>
            <w:r w:rsidRPr="007C6167">
              <w:rPr>
                <w:rFonts w:eastAsia="Calibri"/>
                <w:b/>
                <w:sz w:val="20"/>
                <w:szCs w:val="20"/>
              </w:rPr>
              <w:t>) = (</w:t>
            </w:r>
            <w:r w:rsidR="0092202F">
              <w:rPr>
                <w:rFonts w:eastAsia="Calibri"/>
                <w:b/>
                <w:sz w:val="20"/>
                <w:szCs w:val="20"/>
              </w:rPr>
              <w:t>e</w:t>
            </w:r>
            <w:r w:rsidRPr="007C6167">
              <w:rPr>
                <w:rFonts w:eastAsia="Calibri"/>
                <w:b/>
                <w:sz w:val="20"/>
                <w:szCs w:val="20"/>
              </w:rPr>
              <w:t>)*(</w:t>
            </w:r>
            <w:r w:rsidR="0092202F">
              <w:rPr>
                <w:rFonts w:eastAsia="Calibri"/>
                <w:b/>
                <w:sz w:val="20"/>
                <w:szCs w:val="20"/>
              </w:rPr>
              <w:t>f</w:t>
            </w:r>
            <w:r w:rsidRPr="007C6167">
              <w:rPr>
                <w:rFonts w:eastAsia="Calibri"/>
                <w:b/>
                <w:sz w:val="20"/>
                <w:szCs w:val="20"/>
              </w:rPr>
              <w:t>)</w:t>
            </w:r>
          </w:p>
        </w:tc>
        <w:tc>
          <w:tcPr>
            <w:tcW w:w="211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D1C00" w:rsidR="00BD1C00" w:rsidP="00E81428" w:rsidRDefault="00BD1C00" w14:paraId="74DA8A32" w14:textId="5C16E94F">
            <w:pPr>
              <w:spacing w:after="0"/>
              <w:rPr>
                <w:rFonts w:eastAsia="Calibri"/>
                <w:b/>
                <w:bCs/>
                <w:sz w:val="20"/>
                <w:szCs w:val="20"/>
              </w:rPr>
            </w:pPr>
            <w:r w:rsidRPr="00BD1C00">
              <w:rPr>
                <w:rFonts w:eastAsia="Calibri"/>
                <w:b/>
                <w:bCs/>
                <w:sz w:val="20"/>
                <w:szCs w:val="20"/>
              </w:rPr>
              <w:t>$</w:t>
            </w:r>
            <w:r w:rsidR="00E81428">
              <w:rPr>
                <w:rFonts w:eastAsia="Calibri"/>
                <w:b/>
                <w:bCs/>
                <w:sz w:val="20"/>
                <w:szCs w:val="20"/>
              </w:rPr>
              <w:t>13,</w:t>
            </w:r>
            <w:r w:rsidR="00584F07">
              <w:rPr>
                <w:rFonts w:eastAsia="Calibri"/>
                <w:b/>
                <w:bCs/>
                <w:sz w:val="20"/>
                <w:szCs w:val="20"/>
              </w:rPr>
              <w:t>228,915</w:t>
            </w:r>
            <w:r w:rsidR="002678F7">
              <w:rPr>
                <w:rFonts w:eastAsia="Calibri"/>
                <w:b/>
                <w:bCs/>
                <w:sz w:val="20"/>
                <w:szCs w:val="20"/>
              </w:rPr>
              <w:t>*</w:t>
            </w:r>
          </w:p>
        </w:tc>
      </w:tr>
    </w:tbl>
    <w:p w:rsidRPr="00E53E05" w:rsidR="000160D9" w:rsidP="00E53E05" w:rsidRDefault="006D6884" w14:paraId="409075E5" w14:textId="680D6682">
      <w:pPr>
        <w:keepNext/>
        <w:keepLines/>
        <w:widowControl w:val="0"/>
        <w:rPr>
          <w:rFonts w:eastAsia="Calibri"/>
          <w:sz w:val="20"/>
          <w:szCs w:val="20"/>
        </w:rPr>
      </w:pPr>
      <w:r w:rsidRPr="00871E51">
        <w:rPr>
          <w:rFonts w:eastAsia="Calibri"/>
          <w:sz w:val="20"/>
          <w:szCs w:val="20"/>
        </w:rPr>
        <w:t>*Due to burden for certain activities being estimated in fractions of hours, totals may not reflect the sum of individual rows due to rounding.</w:t>
      </w:r>
    </w:p>
    <w:p w:rsidR="00D151D6" w:rsidP="00A04B03" w:rsidRDefault="00A04B03" w14:paraId="2CD969B1" w14:textId="117C3C36">
      <w:r>
        <w:t>In the CY 2022 PFS</w:t>
      </w:r>
      <w:r w:rsidR="00F04F5B">
        <w:t xml:space="preserve"> proposed rule</w:t>
      </w:r>
      <w:r w:rsidR="00E910E8">
        <w:t xml:space="preserve"> (86 FR 39357 through 39358)</w:t>
      </w:r>
      <w:r w:rsidR="00F04F5B">
        <w:t xml:space="preserve">, </w:t>
      </w:r>
      <w:r w:rsidR="006342A8">
        <w:t xml:space="preserve">we propose voluntary subgroup reporting </w:t>
      </w:r>
      <w:r w:rsidR="00BE02E4">
        <w:t xml:space="preserve">for eligible clinicians </w:t>
      </w:r>
      <w:r w:rsidR="008840E8">
        <w:t xml:space="preserve">beginning with the CY 2023 MIPS performance period/2025 MIPS payment year. </w:t>
      </w:r>
      <w:r w:rsidR="00BE02E4">
        <w:t xml:space="preserve">The subgroup reporting option is available for only those clinicians that would participate in MIPS through </w:t>
      </w:r>
      <w:r w:rsidR="00E80525">
        <w:t xml:space="preserve">reporting of the measures and activities in an </w:t>
      </w:r>
      <w:r w:rsidR="00BE02E4">
        <w:t>MVP or APP</w:t>
      </w:r>
      <w:r w:rsidR="00E80525">
        <w:t>.</w:t>
      </w:r>
      <w:r w:rsidR="00BE02E4">
        <w:t xml:space="preserve"> </w:t>
      </w:r>
      <w:r w:rsidR="000A1130">
        <w:t>For the CY 2023 MIPS performance period/2025 MIPS payment year, w</w:t>
      </w:r>
      <w:r w:rsidR="008B0195">
        <w:t xml:space="preserve">e estimate that 20 subgroups will </w:t>
      </w:r>
      <w:r w:rsidR="00820CC0">
        <w:t xml:space="preserve">submit data for the Promoting Interoperability performance category </w:t>
      </w:r>
      <w:r w:rsidR="001C5096">
        <w:t>within MVPs.</w:t>
      </w:r>
      <w:r w:rsidR="00FE76C8">
        <w:t xml:space="preserve"> </w:t>
      </w:r>
      <w:r w:rsidR="00454C4D">
        <w:t>In aggregate, for the CY 2023 MIPS performance period/2025 MIPS payment year</w:t>
      </w:r>
      <w:r w:rsidR="00E83DB1">
        <w:t xml:space="preserve">, we estimate </w:t>
      </w:r>
      <w:r w:rsidR="00C62D74">
        <w:t xml:space="preserve">that </w:t>
      </w:r>
      <w:r w:rsidRPr="00C62D74" w:rsidR="00C62D74">
        <w:t xml:space="preserve">the total proposed burden estimate for submitting data on the </w:t>
      </w:r>
      <w:r w:rsidRPr="00C62D74" w:rsidR="00C62D74">
        <w:lastRenderedPageBreak/>
        <w:t>specified Promoting Interoperability objectives and measures is estimated to be 138,</w:t>
      </w:r>
      <w:r w:rsidR="00584F07">
        <w:t>984</w:t>
      </w:r>
      <w:r w:rsidRPr="00C62D74" w:rsidR="00C62D74">
        <w:t xml:space="preserve"> hours (51,667 respondents x 2.69 incremental hours for a computer analyst’s time above and beyond the physician, medical and health services manager, and computer system’s analyst time required to submit quality data) and $13,</w:t>
      </w:r>
      <w:r w:rsidR="007A09C8">
        <w:t>2</w:t>
      </w:r>
      <w:r w:rsidR="00584F07">
        <w:t>34,078</w:t>
      </w:r>
      <w:r w:rsidRPr="00C62D74" w:rsidR="00C62D74">
        <w:t xml:space="preserve"> (138,</w:t>
      </w:r>
      <w:r w:rsidR="00424A47">
        <w:t>640</w:t>
      </w:r>
      <w:r w:rsidRPr="00C62D74" w:rsidR="00C62D74">
        <w:t xml:space="preserve"> hr x $95.22/hr).  </w:t>
      </w:r>
    </w:p>
    <w:p w:rsidRPr="00C47150" w:rsidR="001403BF" w:rsidP="001403BF" w:rsidRDefault="001403BF" w14:paraId="23B65889" w14:textId="1B30BCF1">
      <w:pPr>
        <w:spacing w:after="0"/>
        <w:jc w:val="center"/>
        <w:rPr>
          <w:b/>
          <w:bCs/>
        </w:rPr>
      </w:pPr>
      <w:r w:rsidRPr="00C47150">
        <w:rPr>
          <w:b/>
          <w:bCs/>
        </w:rPr>
        <w:t xml:space="preserve">TABLE </w:t>
      </w:r>
      <w:r w:rsidR="00FE59C2">
        <w:rPr>
          <w:b/>
          <w:bCs/>
        </w:rPr>
        <w:t>22</w:t>
      </w:r>
      <w:r w:rsidRPr="00C47150">
        <w:rPr>
          <w:b/>
          <w:bCs/>
        </w:rPr>
        <w:t xml:space="preserve">: </w:t>
      </w:r>
      <w:r>
        <w:rPr>
          <w:b/>
          <w:bCs/>
        </w:rPr>
        <w:t xml:space="preserve">Estimated </w:t>
      </w:r>
      <w:r w:rsidRPr="00732012">
        <w:rPr>
          <w:b/>
          <w:bCs/>
        </w:rPr>
        <w:t xml:space="preserve">Burden </w:t>
      </w:r>
      <w:r w:rsidRPr="00C47150">
        <w:rPr>
          <w:b/>
          <w:bCs/>
        </w:rPr>
        <w:t>for</w:t>
      </w:r>
      <w:r>
        <w:rPr>
          <w:b/>
          <w:bCs/>
        </w:rPr>
        <w:t xml:space="preserve"> Promoting Interoperability </w:t>
      </w:r>
      <w:r w:rsidRPr="00C47150">
        <w:rPr>
          <w:b/>
          <w:bCs/>
        </w:rPr>
        <w:t xml:space="preserve">Performance Category </w:t>
      </w:r>
      <w:r>
        <w:rPr>
          <w:b/>
          <w:bCs/>
        </w:rPr>
        <w:br/>
      </w:r>
      <w:r w:rsidRPr="00C47150">
        <w:rPr>
          <w:b/>
          <w:bCs/>
        </w:rPr>
        <w:t>Data Submission</w:t>
      </w:r>
      <w:r w:rsidR="000F2020">
        <w:rPr>
          <w:b/>
          <w:bCs/>
        </w:rPr>
        <w:t xml:space="preserve"> in CY 2023</w:t>
      </w:r>
    </w:p>
    <w:tbl>
      <w:tblPr>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44"/>
        <w:gridCol w:w="2016"/>
      </w:tblGrid>
      <w:tr w:rsidRPr="001D0A90" w:rsidR="009507B4" w:rsidTr="006B7BA4" w14:paraId="7681763B" w14:textId="77777777">
        <w:trPr>
          <w:trHeight w:val="422"/>
          <w:jc w:val="center"/>
        </w:trPr>
        <w:tc>
          <w:tcPr>
            <w:tcW w:w="82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E799B" w:rsidR="009507B4" w:rsidP="001D0A90" w:rsidRDefault="001D0A90" w14:paraId="1DF9A0DC" w14:textId="1D458A20">
            <w:pPr>
              <w:spacing w:after="0"/>
              <w:rPr>
                <w:b/>
                <w:bCs/>
                <w:sz w:val="20"/>
                <w:szCs w:val="20"/>
              </w:rPr>
            </w:pPr>
            <w:r w:rsidRPr="002E799B">
              <w:rPr>
                <w:b/>
                <w:bCs/>
                <w:sz w:val="20"/>
                <w:szCs w:val="20"/>
              </w:rPr>
              <w:t>Burden and Respondent Descriptions</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E799B" w:rsidR="009507B4" w:rsidP="009507B4" w:rsidRDefault="009507B4" w14:paraId="0C9CCD6D" w14:textId="77777777">
            <w:pPr>
              <w:keepNext/>
              <w:keepLines/>
              <w:widowControl w:val="0"/>
              <w:spacing w:after="0"/>
              <w:jc w:val="center"/>
              <w:rPr>
                <w:b/>
                <w:bCs/>
                <w:sz w:val="20"/>
                <w:szCs w:val="20"/>
              </w:rPr>
            </w:pPr>
            <w:r w:rsidRPr="002E799B">
              <w:rPr>
                <w:b/>
                <w:bCs/>
                <w:sz w:val="20"/>
                <w:szCs w:val="20"/>
              </w:rPr>
              <w:t>Burden Estimate</w:t>
            </w:r>
          </w:p>
        </w:tc>
      </w:tr>
      <w:tr w:rsidRPr="001D0A90" w:rsidR="009507B4" w:rsidTr="00E74B0E" w14:paraId="64E31DEF" w14:textId="77777777">
        <w:trPr>
          <w:jc w:val="center"/>
        </w:trPr>
        <w:tc>
          <w:tcPr>
            <w:tcW w:w="8244" w:type="dxa"/>
            <w:tcBorders>
              <w:top w:val="single" w:color="auto" w:sz="4" w:space="0"/>
              <w:left w:val="single" w:color="auto" w:sz="4" w:space="0"/>
              <w:bottom w:val="single" w:color="auto" w:sz="4" w:space="0"/>
              <w:right w:val="single" w:color="auto" w:sz="4" w:space="0"/>
            </w:tcBorders>
            <w:hideMark/>
          </w:tcPr>
          <w:p w:rsidRPr="001D0A90" w:rsidR="009507B4" w:rsidP="001D0A90" w:rsidRDefault="009507B4" w14:paraId="5FA1B902" w14:textId="77777777">
            <w:pPr>
              <w:spacing w:after="0"/>
              <w:rPr>
                <w:sz w:val="20"/>
                <w:szCs w:val="20"/>
              </w:rPr>
            </w:pPr>
            <w:r w:rsidRPr="001D0A90">
              <w:rPr>
                <w:sz w:val="20"/>
                <w:szCs w:val="20"/>
              </w:rPr>
              <w:t>Number of individual clinicians to submit Promoting Interoperability (a)</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1D0A90" w:rsidR="009507B4" w:rsidP="001D0A90" w:rsidRDefault="009507B4" w14:paraId="5A435A11" w14:textId="77777777">
            <w:pPr>
              <w:spacing w:after="0"/>
              <w:jc w:val="center"/>
              <w:rPr>
                <w:sz w:val="20"/>
                <w:szCs w:val="20"/>
              </w:rPr>
            </w:pPr>
            <w:r w:rsidRPr="001D0A90">
              <w:rPr>
                <w:sz w:val="20"/>
                <w:szCs w:val="20"/>
              </w:rPr>
              <w:t>40,172</w:t>
            </w:r>
          </w:p>
        </w:tc>
      </w:tr>
      <w:tr w:rsidRPr="001D0A90" w:rsidR="009507B4" w:rsidTr="00E74B0E" w14:paraId="393893B3" w14:textId="77777777">
        <w:trPr>
          <w:jc w:val="center"/>
        </w:trPr>
        <w:tc>
          <w:tcPr>
            <w:tcW w:w="8244" w:type="dxa"/>
            <w:tcBorders>
              <w:top w:val="single" w:color="auto" w:sz="4" w:space="0"/>
              <w:left w:val="single" w:color="auto" w:sz="4" w:space="0"/>
              <w:bottom w:val="single" w:color="auto" w:sz="4" w:space="0"/>
              <w:right w:val="single" w:color="auto" w:sz="4" w:space="0"/>
            </w:tcBorders>
          </w:tcPr>
          <w:p w:rsidRPr="001D0A90" w:rsidR="009507B4" w:rsidP="001D0A90" w:rsidRDefault="009507B4" w14:paraId="780038E8" w14:textId="77777777">
            <w:pPr>
              <w:spacing w:after="0"/>
              <w:rPr>
                <w:sz w:val="20"/>
                <w:szCs w:val="20"/>
              </w:rPr>
            </w:pPr>
            <w:r w:rsidRPr="001D0A90">
              <w:rPr>
                <w:sz w:val="20"/>
                <w:szCs w:val="20"/>
              </w:rPr>
              <w:t>Number of groups to submit Promoting Interoperability (b)</w:t>
            </w:r>
          </w:p>
        </w:tc>
        <w:tc>
          <w:tcPr>
            <w:tcW w:w="2016" w:type="dxa"/>
            <w:tcBorders>
              <w:top w:val="single" w:color="auto" w:sz="4" w:space="0"/>
              <w:left w:val="single" w:color="auto" w:sz="4" w:space="0"/>
              <w:bottom w:val="single" w:color="auto" w:sz="4" w:space="0"/>
              <w:right w:val="single" w:color="auto" w:sz="4" w:space="0"/>
            </w:tcBorders>
            <w:vAlign w:val="center"/>
          </w:tcPr>
          <w:p w:rsidRPr="001D0A90" w:rsidR="009507B4" w:rsidP="001D0A90" w:rsidRDefault="009507B4" w14:paraId="3B940961" w14:textId="77777777">
            <w:pPr>
              <w:spacing w:after="0"/>
              <w:jc w:val="center"/>
              <w:rPr>
                <w:sz w:val="20"/>
                <w:szCs w:val="20"/>
              </w:rPr>
            </w:pPr>
            <w:r w:rsidRPr="001D0A90">
              <w:rPr>
                <w:sz w:val="20"/>
                <w:szCs w:val="20"/>
              </w:rPr>
              <w:t>11,475</w:t>
            </w:r>
          </w:p>
        </w:tc>
      </w:tr>
      <w:tr w:rsidRPr="001D0A90" w:rsidR="009507B4" w:rsidTr="00E74B0E" w14:paraId="2EFEECD7" w14:textId="77777777">
        <w:trPr>
          <w:jc w:val="center"/>
        </w:trPr>
        <w:tc>
          <w:tcPr>
            <w:tcW w:w="8244" w:type="dxa"/>
            <w:tcBorders>
              <w:top w:val="single" w:color="auto" w:sz="4" w:space="0"/>
              <w:left w:val="single" w:color="auto" w:sz="4" w:space="0"/>
              <w:bottom w:val="single" w:color="auto" w:sz="4" w:space="0"/>
              <w:right w:val="single" w:color="auto" w:sz="4" w:space="0"/>
            </w:tcBorders>
          </w:tcPr>
          <w:p w:rsidRPr="001D0A90" w:rsidR="009507B4" w:rsidP="001D0A90" w:rsidRDefault="009507B4" w14:paraId="4A86FC1D" w14:textId="77777777">
            <w:pPr>
              <w:spacing w:after="0"/>
              <w:rPr>
                <w:sz w:val="20"/>
                <w:szCs w:val="20"/>
              </w:rPr>
            </w:pPr>
            <w:r w:rsidRPr="001D0A90">
              <w:rPr>
                <w:sz w:val="20"/>
                <w:szCs w:val="20"/>
              </w:rPr>
              <w:t>Number of subgroups to submit Promoting Interoperability (c)</w:t>
            </w:r>
          </w:p>
        </w:tc>
        <w:tc>
          <w:tcPr>
            <w:tcW w:w="2016" w:type="dxa"/>
            <w:tcBorders>
              <w:top w:val="single" w:color="auto" w:sz="4" w:space="0"/>
              <w:left w:val="single" w:color="auto" w:sz="4" w:space="0"/>
              <w:bottom w:val="single" w:color="auto" w:sz="4" w:space="0"/>
              <w:right w:val="single" w:color="auto" w:sz="4" w:space="0"/>
            </w:tcBorders>
            <w:vAlign w:val="center"/>
          </w:tcPr>
          <w:p w:rsidRPr="001D0A90" w:rsidR="009507B4" w:rsidP="001D0A90" w:rsidRDefault="009507B4" w14:paraId="3782C651" w14:textId="77777777">
            <w:pPr>
              <w:spacing w:after="0"/>
              <w:jc w:val="center"/>
              <w:rPr>
                <w:sz w:val="20"/>
                <w:szCs w:val="20"/>
              </w:rPr>
            </w:pPr>
            <w:r w:rsidRPr="001D0A90">
              <w:rPr>
                <w:sz w:val="20"/>
                <w:szCs w:val="20"/>
              </w:rPr>
              <w:t>20</w:t>
            </w:r>
          </w:p>
        </w:tc>
      </w:tr>
      <w:tr w:rsidRPr="001D0A90" w:rsidR="009507B4" w:rsidTr="00E74B0E" w14:paraId="47438830" w14:textId="77777777">
        <w:trPr>
          <w:jc w:val="center"/>
        </w:trPr>
        <w:tc>
          <w:tcPr>
            <w:tcW w:w="8244" w:type="dxa"/>
            <w:tcBorders>
              <w:top w:val="single" w:color="auto" w:sz="4" w:space="0"/>
              <w:left w:val="single" w:color="auto" w:sz="4" w:space="0"/>
              <w:bottom w:val="single" w:color="auto" w:sz="4" w:space="0"/>
              <w:right w:val="single" w:color="auto" w:sz="4" w:space="0"/>
            </w:tcBorders>
            <w:vAlign w:val="bottom"/>
          </w:tcPr>
          <w:p w:rsidRPr="001D0A90" w:rsidR="009507B4" w:rsidP="001D0A90" w:rsidRDefault="009507B4" w14:paraId="04D0BEAA" w14:textId="77777777">
            <w:pPr>
              <w:spacing w:after="0"/>
              <w:rPr>
                <w:sz w:val="20"/>
                <w:szCs w:val="20"/>
              </w:rPr>
            </w:pPr>
            <w:r w:rsidRPr="001D0A90">
              <w:rPr>
                <w:sz w:val="20"/>
                <w:szCs w:val="20"/>
              </w:rPr>
              <w:t> Total (d) = (a) + (b) + (c)</w:t>
            </w:r>
          </w:p>
        </w:tc>
        <w:tc>
          <w:tcPr>
            <w:tcW w:w="2016" w:type="dxa"/>
            <w:tcBorders>
              <w:top w:val="single" w:color="auto" w:sz="4" w:space="0"/>
              <w:left w:val="single" w:color="auto" w:sz="4" w:space="0"/>
              <w:bottom w:val="single" w:color="auto" w:sz="4" w:space="0"/>
              <w:right w:val="single" w:color="auto" w:sz="4" w:space="0"/>
            </w:tcBorders>
            <w:vAlign w:val="center"/>
          </w:tcPr>
          <w:p w:rsidRPr="001D0A90" w:rsidR="009507B4" w:rsidP="001D0A90" w:rsidRDefault="009507B4" w14:paraId="572F28F8" w14:textId="77777777">
            <w:pPr>
              <w:spacing w:after="0"/>
              <w:jc w:val="center"/>
              <w:rPr>
                <w:sz w:val="20"/>
                <w:szCs w:val="20"/>
              </w:rPr>
            </w:pPr>
            <w:r w:rsidRPr="001D0A90">
              <w:rPr>
                <w:sz w:val="20"/>
                <w:szCs w:val="20"/>
              </w:rPr>
              <w:t>51,667</w:t>
            </w:r>
          </w:p>
        </w:tc>
      </w:tr>
      <w:tr w:rsidRPr="001D0A90" w:rsidR="009507B4" w:rsidTr="00E74B0E" w14:paraId="64E70521" w14:textId="77777777">
        <w:trPr>
          <w:jc w:val="center"/>
        </w:trPr>
        <w:tc>
          <w:tcPr>
            <w:tcW w:w="8244" w:type="dxa"/>
            <w:tcBorders>
              <w:top w:val="single" w:color="auto" w:sz="4" w:space="0"/>
              <w:left w:val="single" w:color="auto" w:sz="4" w:space="0"/>
              <w:bottom w:val="single" w:color="auto" w:sz="4" w:space="0"/>
              <w:right w:val="single" w:color="auto" w:sz="4" w:space="0"/>
            </w:tcBorders>
            <w:vAlign w:val="center"/>
            <w:hideMark/>
          </w:tcPr>
          <w:p w:rsidRPr="001D0A90" w:rsidR="009507B4" w:rsidP="001D0A90" w:rsidRDefault="009507B4" w14:paraId="04CC67F7" w14:textId="77777777">
            <w:pPr>
              <w:spacing w:after="0"/>
              <w:rPr>
                <w:sz w:val="20"/>
                <w:szCs w:val="20"/>
              </w:rPr>
            </w:pPr>
            <w:r w:rsidRPr="001D0A90">
              <w:rPr>
                <w:sz w:val="20"/>
                <w:szCs w:val="20"/>
              </w:rPr>
              <w:t>Total Annual Hours Per Respondent (e)</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1D0A90" w:rsidR="009507B4" w:rsidP="001D0A90" w:rsidRDefault="009507B4" w14:paraId="30BD2FFF" w14:textId="77777777">
            <w:pPr>
              <w:spacing w:after="0"/>
              <w:jc w:val="center"/>
              <w:rPr>
                <w:sz w:val="20"/>
                <w:szCs w:val="20"/>
              </w:rPr>
            </w:pPr>
            <w:r w:rsidRPr="001D0A90">
              <w:rPr>
                <w:sz w:val="20"/>
                <w:szCs w:val="20"/>
              </w:rPr>
              <w:t>2.69</w:t>
            </w:r>
          </w:p>
        </w:tc>
      </w:tr>
      <w:tr w:rsidRPr="001D0A90" w:rsidR="009507B4" w:rsidTr="00E74B0E" w14:paraId="203B5ADD" w14:textId="77777777">
        <w:trPr>
          <w:trHeight w:val="422"/>
          <w:jc w:val="center"/>
        </w:trPr>
        <w:tc>
          <w:tcPr>
            <w:tcW w:w="824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D0A90" w:rsidR="009507B4" w:rsidP="001D0A90" w:rsidRDefault="009507B4" w14:paraId="0DBCA55F" w14:textId="77777777">
            <w:pPr>
              <w:spacing w:after="0"/>
              <w:rPr>
                <w:sz w:val="20"/>
                <w:szCs w:val="20"/>
              </w:rPr>
            </w:pPr>
            <w:r w:rsidRPr="001D0A90">
              <w:rPr>
                <w:sz w:val="20"/>
                <w:szCs w:val="20"/>
              </w:rPr>
              <w:t>Total Annual Hours (f) = (d) * (e)</w:t>
            </w:r>
          </w:p>
        </w:tc>
        <w:tc>
          <w:tcPr>
            <w:tcW w:w="201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D0A90" w:rsidR="009507B4" w:rsidP="001D0A90" w:rsidRDefault="009507B4" w14:paraId="1920F3F2" w14:textId="539785C0">
            <w:pPr>
              <w:spacing w:after="0"/>
              <w:jc w:val="center"/>
              <w:rPr>
                <w:sz w:val="20"/>
                <w:szCs w:val="20"/>
              </w:rPr>
            </w:pPr>
            <w:r w:rsidRPr="001D0A90">
              <w:rPr>
                <w:sz w:val="20"/>
                <w:szCs w:val="20"/>
              </w:rPr>
              <w:t>138,</w:t>
            </w:r>
            <w:r w:rsidR="00584F07">
              <w:rPr>
                <w:sz w:val="20"/>
                <w:szCs w:val="20"/>
              </w:rPr>
              <w:t>984</w:t>
            </w:r>
            <w:r w:rsidR="00E74B0E">
              <w:rPr>
                <w:sz w:val="20"/>
                <w:szCs w:val="20"/>
              </w:rPr>
              <w:t>*</w:t>
            </w:r>
          </w:p>
        </w:tc>
      </w:tr>
      <w:tr w:rsidRPr="001D0A90" w:rsidR="009507B4" w:rsidTr="00E74B0E" w14:paraId="41C6A09B" w14:textId="77777777">
        <w:trPr>
          <w:jc w:val="center"/>
        </w:trPr>
        <w:tc>
          <w:tcPr>
            <w:tcW w:w="8244" w:type="dxa"/>
            <w:tcBorders>
              <w:top w:val="single" w:color="auto" w:sz="4" w:space="0"/>
              <w:left w:val="single" w:color="auto" w:sz="4" w:space="0"/>
              <w:bottom w:val="single" w:color="auto" w:sz="4" w:space="0"/>
              <w:right w:val="single" w:color="auto" w:sz="4" w:space="0"/>
            </w:tcBorders>
            <w:vAlign w:val="center"/>
            <w:hideMark/>
          </w:tcPr>
          <w:p w:rsidRPr="001D0A90" w:rsidR="009507B4" w:rsidP="001D0A90" w:rsidRDefault="009507B4" w14:paraId="2019A2DC" w14:textId="77777777">
            <w:pPr>
              <w:spacing w:after="0"/>
              <w:rPr>
                <w:sz w:val="20"/>
                <w:szCs w:val="20"/>
              </w:rPr>
            </w:pPr>
            <w:r w:rsidRPr="001D0A90">
              <w:rPr>
                <w:sz w:val="20"/>
                <w:szCs w:val="20"/>
              </w:rPr>
              <w:t>Labor rate for a computer systems analyst to submit Promoting Interoperability data (g)</w:t>
            </w:r>
          </w:p>
        </w:tc>
        <w:tc>
          <w:tcPr>
            <w:tcW w:w="2016" w:type="dxa"/>
            <w:tcBorders>
              <w:top w:val="single" w:color="auto" w:sz="4" w:space="0"/>
              <w:left w:val="single" w:color="auto" w:sz="4" w:space="0"/>
              <w:bottom w:val="single" w:color="auto" w:sz="4" w:space="0"/>
              <w:right w:val="single" w:color="auto" w:sz="4" w:space="0"/>
            </w:tcBorders>
            <w:noWrap/>
            <w:vAlign w:val="center"/>
            <w:hideMark/>
          </w:tcPr>
          <w:p w:rsidRPr="001D0A90" w:rsidR="009507B4" w:rsidP="001D0A90" w:rsidRDefault="009507B4" w14:paraId="12898BD8" w14:textId="77777777">
            <w:pPr>
              <w:spacing w:after="0"/>
              <w:jc w:val="center"/>
              <w:rPr>
                <w:sz w:val="20"/>
                <w:szCs w:val="20"/>
              </w:rPr>
            </w:pPr>
            <w:r w:rsidRPr="001D0A90">
              <w:rPr>
                <w:sz w:val="20"/>
                <w:szCs w:val="20"/>
              </w:rPr>
              <w:t>$95.22/hr</w:t>
            </w:r>
          </w:p>
        </w:tc>
      </w:tr>
      <w:tr w:rsidRPr="001D0A90" w:rsidR="009507B4" w:rsidTr="00E74B0E" w14:paraId="410E9ADB" w14:textId="77777777">
        <w:trPr>
          <w:trHeight w:val="467"/>
          <w:jc w:val="center"/>
        </w:trPr>
        <w:tc>
          <w:tcPr>
            <w:tcW w:w="824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D0A90" w:rsidR="009507B4" w:rsidP="001D0A90" w:rsidRDefault="009507B4" w14:paraId="7C0C2A8E" w14:textId="77777777">
            <w:pPr>
              <w:spacing w:after="0"/>
              <w:rPr>
                <w:sz w:val="20"/>
                <w:szCs w:val="20"/>
              </w:rPr>
            </w:pPr>
            <w:r w:rsidRPr="001D0A90">
              <w:rPr>
                <w:sz w:val="20"/>
                <w:szCs w:val="20"/>
              </w:rPr>
              <w:t>Total Annual Cost (h) = (f) * (g)</w:t>
            </w:r>
          </w:p>
        </w:tc>
        <w:tc>
          <w:tcPr>
            <w:tcW w:w="201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D0A90" w:rsidR="009507B4" w:rsidP="001D0A90" w:rsidRDefault="009507B4" w14:paraId="79C97807" w14:textId="76F2FBE6">
            <w:pPr>
              <w:spacing w:after="0"/>
              <w:jc w:val="center"/>
              <w:rPr>
                <w:sz w:val="20"/>
                <w:szCs w:val="20"/>
              </w:rPr>
            </w:pPr>
            <w:r w:rsidRPr="001D0A90">
              <w:rPr>
                <w:sz w:val="20"/>
                <w:szCs w:val="20"/>
              </w:rPr>
              <w:t>$13</w:t>
            </w:r>
            <w:r w:rsidR="002B4009">
              <w:rPr>
                <w:sz w:val="20"/>
                <w:szCs w:val="20"/>
              </w:rPr>
              <w:t>,</w:t>
            </w:r>
            <w:r w:rsidR="006D35C5">
              <w:rPr>
                <w:sz w:val="20"/>
                <w:szCs w:val="20"/>
              </w:rPr>
              <w:t>2</w:t>
            </w:r>
            <w:r w:rsidR="00584F07">
              <w:rPr>
                <w:sz w:val="20"/>
                <w:szCs w:val="20"/>
              </w:rPr>
              <w:t>34,078</w:t>
            </w:r>
            <w:r w:rsidR="00E74B0E">
              <w:rPr>
                <w:sz w:val="20"/>
                <w:szCs w:val="20"/>
              </w:rPr>
              <w:t>*</w:t>
            </w:r>
          </w:p>
        </w:tc>
      </w:tr>
    </w:tbl>
    <w:p w:rsidRPr="00871E51" w:rsidR="00E74B0E" w:rsidP="00E74B0E" w:rsidRDefault="00E74B0E" w14:paraId="70398FFE" w14:textId="77777777">
      <w:pPr>
        <w:keepNext/>
        <w:keepLines/>
        <w:widowControl w:val="0"/>
        <w:rPr>
          <w:rFonts w:eastAsia="Calibri"/>
          <w:sz w:val="20"/>
          <w:szCs w:val="20"/>
        </w:rPr>
      </w:pPr>
      <w:r w:rsidRPr="00871E51">
        <w:rPr>
          <w:rFonts w:eastAsia="Calibri"/>
          <w:sz w:val="20"/>
          <w:szCs w:val="20"/>
        </w:rPr>
        <w:t>*Due to burden for certain activities being estimated in fractions of hours, totals may not reflect the sum of individual rows due to rounding.</w:t>
      </w:r>
    </w:p>
    <w:p w:rsidR="001403BF" w:rsidP="001D0A90" w:rsidRDefault="001403BF" w14:paraId="47E12788" w14:textId="77777777"/>
    <w:p w:rsidRPr="004330C9" w:rsidR="00BF3BFB" w:rsidP="004330C9" w:rsidRDefault="000160D9" w14:paraId="24993FD8" w14:textId="2FDA5050">
      <w:pPr>
        <w:pStyle w:val="Heading3"/>
      </w:pPr>
      <w:r w:rsidRPr="004330C9">
        <w:t xml:space="preserve">Burden Estimate for the Nomination of Promoting </w:t>
      </w:r>
      <w:r w:rsidR="004330C9">
        <w:br/>
      </w:r>
      <w:r w:rsidRPr="004330C9">
        <w:t>Interoperability Measures</w:t>
      </w:r>
    </w:p>
    <w:p w:rsidRPr="002A6C48" w:rsidR="002A6C48" w:rsidP="00E12B53" w:rsidRDefault="00EA4ED8" w14:paraId="622C992D" w14:textId="13C7114B">
      <w:pPr>
        <w:rPr>
          <w:rFonts w:eastAsia="Calibri"/>
        </w:rPr>
      </w:pPr>
      <w:r w:rsidRPr="00EA4ED8">
        <w:rPr>
          <w:rFonts w:eastAsia="Calibri"/>
        </w:rPr>
        <w:t xml:space="preserve">Promoting Interoperability measures may be submitted via the Call for Promoting Interoperability Performance Category Measures Submission Form that includes the measure description, measure type (if applicable), reporting requirement, and CEHRT functionality used (if applicable). </w:t>
      </w:r>
      <w:r w:rsidR="009672C1">
        <w:rPr>
          <w:rFonts w:eastAsia="Calibri"/>
        </w:rPr>
        <w:t xml:space="preserve">We are not </w:t>
      </w:r>
      <w:r w:rsidR="00FA6046">
        <w:rPr>
          <w:rFonts w:eastAsia="Calibri"/>
        </w:rPr>
        <w:t>finaliz</w:t>
      </w:r>
      <w:r w:rsidR="009672C1">
        <w:rPr>
          <w:rFonts w:eastAsia="Calibri"/>
        </w:rPr>
        <w:t>ing</w:t>
      </w:r>
      <w:r w:rsidRPr="00EA4ED8">
        <w:rPr>
          <w:rFonts w:eastAsia="Calibri"/>
        </w:rPr>
        <w:t xml:space="preserve"> any changes to that form</w:t>
      </w:r>
      <w:r w:rsidRPr="002A6C48" w:rsidR="002A6C48">
        <w:rPr>
          <w:rFonts w:eastAsia="Calibri"/>
        </w:rPr>
        <w:t>.</w:t>
      </w:r>
    </w:p>
    <w:p w:rsidR="000160D9" w:rsidP="00E12B53" w:rsidRDefault="009672C1" w14:paraId="582577F0" w14:textId="75F0C261">
      <w:pPr>
        <w:rPr>
          <w:rFonts w:eastAsia="Calibri"/>
        </w:rPr>
      </w:pPr>
      <w:r>
        <w:rPr>
          <w:rFonts w:eastAsia="Calibri"/>
        </w:rPr>
        <w:t>Unchanged from our currently approved estimate, w</w:t>
      </w:r>
      <w:r w:rsidRPr="00CC2BFB" w:rsidR="00FB19FD">
        <w:rPr>
          <w:rFonts w:eastAsia="Calibri"/>
        </w:rPr>
        <w:t xml:space="preserve">e estimate </w:t>
      </w:r>
      <w:r w:rsidRPr="00F90569" w:rsidR="00FB19FD">
        <w:rPr>
          <w:rFonts w:eastAsia="Calibri"/>
        </w:rPr>
        <w:t>10</w:t>
      </w:r>
      <w:r w:rsidRPr="00D47030" w:rsidR="00FB19FD">
        <w:rPr>
          <w:rFonts w:eastAsia="Calibri"/>
        </w:rPr>
        <w:t xml:space="preserve"> proposals will be submitted for new Promoting Interoperability measures, based on the number of proposals submitted during the CY 20</w:t>
      </w:r>
      <w:r w:rsidR="002112BE">
        <w:rPr>
          <w:rFonts w:eastAsia="Calibri"/>
        </w:rPr>
        <w:t>20</w:t>
      </w:r>
      <w:r w:rsidR="004B56D9">
        <w:rPr>
          <w:rFonts w:eastAsia="Calibri"/>
        </w:rPr>
        <w:t xml:space="preserve"> </w:t>
      </w:r>
      <w:r w:rsidRPr="003636D3" w:rsidR="00FB19FD">
        <w:rPr>
          <w:rFonts w:eastAsia="Calibri"/>
        </w:rPr>
        <w:t xml:space="preserve">nomination period.  </w:t>
      </w:r>
      <w:r w:rsidRPr="00CC2BFB" w:rsidR="00FB19FD">
        <w:rPr>
          <w:rFonts w:eastAsia="Calibri"/>
        </w:rPr>
        <w:t>We estimate it will take 0.5 hours per organization to submit an activity to us, consisting of 0.3 hours at $1</w:t>
      </w:r>
      <w:r>
        <w:rPr>
          <w:rFonts w:eastAsia="Calibri"/>
        </w:rPr>
        <w:t>1</w:t>
      </w:r>
      <w:r w:rsidR="009932F8">
        <w:rPr>
          <w:rFonts w:eastAsia="Calibri"/>
        </w:rPr>
        <w:t>4.24</w:t>
      </w:r>
      <w:r w:rsidRPr="00CC2BFB" w:rsidR="00FB19FD">
        <w:rPr>
          <w:rFonts w:eastAsia="Calibri"/>
        </w:rPr>
        <w:t xml:space="preserve">/hr for a </w:t>
      </w:r>
      <w:r w:rsidR="008D7DB5">
        <w:rPr>
          <w:rFonts w:eastAsia="Calibri"/>
        </w:rPr>
        <w:t>medical and health services manager</w:t>
      </w:r>
      <w:r w:rsidRPr="00CC2BFB" w:rsidR="00FB19FD">
        <w:rPr>
          <w:rFonts w:eastAsia="Calibri"/>
        </w:rPr>
        <w:t xml:space="preserve"> to make a strategic decision to nominate that activity and submit an activity to us via email and 0.2 hours at $2</w:t>
      </w:r>
      <w:r>
        <w:rPr>
          <w:rFonts w:eastAsia="Calibri"/>
        </w:rPr>
        <w:t>1</w:t>
      </w:r>
      <w:r w:rsidR="003B4994">
        <w:rPr>
          <w:rFonts w:eastAsia="Calibri"/>
        </w:rPr>
        <w:t>7.32</w:t>
      </w:r>
      <w:r w:rsidRPr="00CC2BFB" w:rsidR="00FB19FD">
        <w:rPr>
          <w:rFonts w:eastAsia="Calibri"/>
        </w:rPr>
        <w:t>/hr for a clinician to review the nomination.  As shown in Table</w:t>
      </w:r>
      <w:r w:rsidR="00FB19FD">
        <w:rPr>
          <w:rFonts w:eastAsia="Calibri"/>
        </w:rPr>
        <w:t xml:space="preserve"> </w:t>
      </w:r>
      <w:r w:rsidR="000B7549">
        <w:rPr>
          <w:rFonts w:eastAsia="Calibri"/>
        </w:rPr>
        <w:t>23</w:t>
      </w:r>
      <w:r w:rsidRPr="00CC2BFB" w:rsidR="00FB19FD">
        <w:rPr>
          <w:rFonts w:eastAsia="Calibri"/>
        </w:rPr>
        <w:t xml:space="preserve">, we estimate an annual burden of </w:t>
      </w:r>
      <w:r w:rsidR="00FB19FD">
        <w:rPr>
          <w:rFonts w:eastAsia="Calibri"/>
        </w:rPr>
        <w:t>5</w:t>
      </w:r>
      <w:r w:rsidRPr="00CC2BFB" w:rsidR="00FB19FD">
        <w:rPr>
          <w:rFonts w:eastAsia="Calibri"/>
        </w:rPr>
        <w:t xml:space="preserve"> hours (</w:t>
      </w:r>
      <w:r w:rsidR="00FB19FD">
        <w:rPr>
          <w:rFonts w:eastAsia="Calibri"/>
        </w:rPr>
        <w:t>10</w:t>
      </w:r>
      <w:r w:rsidRPr="00CC2BFB" w:rsidR="00FB19FD">
        <w:rPr>
          <w:rFonts w:eastAsia="Calibri"/>
        </w:rPr>
        <w:t xml:space="preserve"> proposals x 0.5 hr/response) at a cost of $</w:t>
      </w:r>
      <w:r w:rsidR="00FB19FD">
        <w:rPr>
          <w:rFonts w:eastAsia="Calibri"/>
        </w:rPr>
        <w:t>7</w:t>
      </w:r>
      <w:r w:rsidR="000B7549">
        <w:rPr>
          <w:rFonts w:eastAsia="Calibri"/>
        </w:rPr>
        <w:t>77</w:t>
      </w:r>
      <w:r w:rsidRPr="00CC2BFB" w:rsidR="00FB19FD">
        <w:rPr>
          <w:rFonts w:eastAsia="Calibri"/>
        </w:rPr>
        <w:t xml:space="preserve"> (</w:t>
      </w:r>
      <w:r w:rsidR="00FB19FD">
        <w:rPr>
          <w:rFonts w:eastAsia="Calibri"/>
        </w:rPr>
        <w:t>10</w:t>
      </w:r>
      <w:r w:rsidRPr="00CC2BFB" w:rsidR="00FB19FD">
        <w:rPr>
          <w:rFonts w:eastAsia="Calibri"/>
        </w:rPr>
        <w:t xml:space="preserve"> x [(0.3 h x $1</w:t>
      </w:r>
      <w:r>
        <w:rPr>
          <w:rFonts w:eastAsia="Calibri"/>
        </w:rPr>
        <w:t>1</w:t>
      </w:r>
      <w:r w:rsidR="00D15166">
        <w:rPr>
          <w:rFonts w:eastAsia="Calibri"/>
        </w:rPr>
        <w:t>4.24</w:t>
      </w:r>
      <w:r w:rsidRPr="00CC2BFB" w:rsidR="00FB19FD">
        <w:rPr>
          <w:rFonts w:eastAsia="Calibri"/>
        </w:rPr>
        <w:t>/hr) + (0.2 hr x $2</w:t>
      </w:r>
      <w:r>
        <w:rPr>
          <w:rFonts w:eastAsia="Calibri"/>
        </w:rPr>
        <w:t>1</w:t>
      </w:r>
      <w:r w:rsidR="00461D52">
        <w:rPr>
          <w:rFonts w:eastAsia="Calibri"/>
        </w:rPr>
        <w:t>7.32</w:t>
      </w:r>
      <w:r w:rsidRPr="00CC2BFB" w:rsidR="00FB19FD">
        <w:rPr>
          <w:rFonts w:eastAsia="Calibri"/>
        </w:rPr>
        <w:t>/hr</w:t>
      </w:r>
      <w:r w:rsidRPr="00D5008C" w:rsidR="00D5008C">
        <w:rPr>
          <w:rFonts w:eastAsia="Calibri"/>
        </w:rPr>
        <w:t>)].</w:t>
      </w:r>
    </w:p>
    <w:p w:rsidRPr="00C47150" w:rsidR="000160D9" w:rsidP="007F64F4" w:rsidRDefault="000160D9" w14:paraId="3748969F" w14:textId="2257D08F">
      <w:pPr>
        <w:keepNext/>
        <w:keepLines/>
        <w:jc w:val="center"/>
        <w:rPr>
          <w:b/>
          <w:bCs/>
        </w:rPr>
      </w:pPr>
      <w:r w:rsidRPr="00C47150">
        <w:rPr>
          <w:b/>
          <w:bCs/>
        </w:rPr>
        <w:t xml:space="preserve">TABLE </w:t>
      </w:r>
      <w:r w:rsidR="002A601D">
        <w:rPr>
          <w:b/>
          <w:bCs/>
        </w:rPr>
        <w:t>23</w:t>
      </w:r>
      <w:r w:rsidRPr="00C47150">
        <w:rPr>
          <w:b/>
          <w:bCs/>
        </w:rPr>
        <w:t xml:space="preserve">: </w:t>
      </w:r>
      <w:r w:rsidR="0091620D">
        <w:rPr>
          <w:b/>
          <w:bCs/>
        </w:rPr>
        <w:t xml:space="preserve">Estimated </w:t>
      </w:r>
      <w:r w:rsidRPr="00732012">
        <w:rPr>
          <w:b/>
          <w:bCs/>
        </w:rPr>
        <w:t xml:space="preserve">Burden </w:t>
      </w:r>
      <w:r w:rsidRPr="00C47150">
        <w:rPr>
          <w:b/>
          <w:bCs/>
        </w:rPr>
        <w:t>for Call for</w:t>
      </w:r>
      <w:r>
        <w:rPr>
          <w:b/>
          <w:bCs/>
        </w:rPr>
        <w:t xml:space="preserve"> Promoting Interoperability </w:t>
      </w:r>
      <w:r w:rsidRPr="00C47150">
        <w:rPr>
          <w:b/>
          <w:bCs/>
        </w:rPr>
        <w:t>Measures</w:t>
      </w:r>
    </w:p>
    <w:tbl>
      <w:tblPr>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25"/>
        <w:gridCol w:w="1710"/>
      </w:tblGrid>
      <w:tr w:rsidRPr="00C47150" w:rsidR="000160D9" w:rsidTr="00EB5476" w14:paraId="4ED8C2F1" w14:textId="77777777">
        <w:trPr>
          <w:trHeight w:val="322"/>
          <w:tblHeader/>
          <w:jc w:val="center"/>
        </w:trPr>
        <w:tc>
          <w:tcPr>
            <w:tcW w:w="7825" w:type="dxa"/>
            <w:shd w:val="clear" w:color="auto" w:fill="auto"/>
            <w:vAlign w:val="center"/>
            <w:hideMark/>
          </w:tcPr>
          <w:p w:rsidRPr="000160D9" w:rsidR="000160D9" w:rsidP="007F64F4" w:rsidRDefault="000160D9" w14:paraId="76C728C0" w14:textId="70ECABBE">
            <w:pPr>
              <w:keepNext/>
              <w:keepLines/>
              <w:spacing w:after="0"/>
              <w:rPr>
                <w:b/>
                <w:sz w:val="20"/>
                <w:szCs w:val="20"/>
              </w:rPr>
            </w:pPr>
            <w:r w:rsidRPr="000160D9">
              <w:rPr>
                <w:b/>
                <w:sz w:val="20"/>
                <w:szCs w:val="20"/>
              </w:rPr>
              <w:t> Burden and Respondent Descriptions</w:t>
            </w:r>
          </w:p>
        </w:tc>
        <w:tc>
          <w:tcPr>
            <w:tcW w:w="1710" w:type="dxa"/>
            <w:shd w:val="clear" w:color="auto" w:fill="auto"/>
            <w:hideMark/>
          </w:tcPr>
          <w:p w:rsidRPr="00675D16" w:rsidR="000160D9" w:rsidP="007F64F4" w:rsidRDefault="000160D9" w14:paraId="51734988" w14:textId="63FFFEE3">
            <w:pPr>
              <w:keepNext/>
              <w:keepLines/>
              <w:spacing w:after="0"/>
              <w:rPr>
                <w:b/>
                <w:bCs/>
                <w:sz w:val="20"/>
                <w:szCs w:val="20"/>
              </w:rPr>
            </w:pPr>
            <w:r w:rsidRPr="00675D16">
              <w:rPr>
                <w:b/>
                <w:bCs/>
                <w:sz w:val="20"/>
                <w:szCs w:val="20"/>
              </w:rPr>
              <w:t xml:space="preserve">Burden </w:t>
            </w:r>
            <w:r w:rsidR="00EB5476">
              <w:rPr>
                <w:b/>
                <w:bCs/>
                <w:sz w:val="20"/>
                <w:szCs w:val="20"/>
              </w:rPr>
              <w:t>E</w:t>
            </w:r>
            <w:r w:rsidRPr="00675D16">
              <w:rPr>
                <w:b/>
                <w:bCs/>
                <w:sz w:val="20"/>
                <w:szCs w:val="20"/>
              </w:rPr>
              <w:t>stimate</w:t>
            </w:r>
          </w:p>
        </w:tc>
      </w:tr>
      <w:tr w:rsidRPr="00C47150" w:rsidR="000160D9" w:rsidTr="00EB5476" w14:paraId="15427C35" w14:textId="77777777">
        <w:trPr>
          <w:trHeight w:val="323"/>
          <w:jc w:val="center"/>
        </w:trPr>
        <w:tc>
          <w:tcPr>
            <w:tcW w:w="7825" w:type="dxa"/>
            <w:shd w:val="clear" w:color="auto" w:fill="auto"/>
            <w:hideMark/>
          </w:tcPr>
          <w:p w:rsidRPr="00675D16" w:rsidR="000160D9" w:rsidP="007F64F4" w:rsidRDefault="000160D9" w14:paraId="6CBB7DE7" w14:textId="77777777">
            <w:pPr>
              <w:keepNext/>
              <w:keepLines/>
              <w:spacing w:after="0"/>
              <w:rPr>
                <w:sz w:val="20"/>
                <w:szCs w:val="20"/>
              </w:rPr>
            </w:pPr>
            <w:r w:rsidRPr="00732012">
              <w:rPr>
                <w:sz w:val="20"/>
                <w:szCs w:val="20"/>
              </w:rPr>
              <w:t># of Organizations Nominating New P</w:t>
            </w:r>
            <w:r>
              <w:rPr>
                <w:sz w:val="20"/>
                <w:szCs w:val="20"/>
              </w:rPr>
              <w:t xml:space="preserve">romoting </w:t>
            </w:r>
            <w:r w:rsidRPr="00732012">
              <w:rPr>
                <w:sz w:val="20"/>
                <w:szCs w:val="20"/>
              </w:rPr>
              <w:t>I</w:t>
            </w:r>
            <w:r>
              <w:rPr>
                <w:sz w:val="20"/>
                <w:szCs w:val="20"/>
              </w:rPr>
              <w:t>nteroperability</w:t>
            </w:r>
            <w:r w:rsidRPr="00732012">
              <w:rPr>
                <w:sz w:val="20"/>
                <w:szCs w:val="20"/>
              </w:rPr>
              <w:t xml:space="preserve"> Measures (a)</w:t>
            </w:r>
          </w:p>
        </w:tc>
        <w:tc>
          <w:tcPr>
            <w:tcW w:w="1710" w:type="dxa"/>
            <w:shd w:val="clear" w:color="auto" w:fill="auto"/>
            <w:noWrap/>
            <w:hideMark/>
          </w:tcPr>
          <w:p w:rsidRPr="00675D16" w:rsidR="000160D9" w:rsidP="007F64F4" w:rsidRDefault="00922CF6" w14:paraId="6FD9E566" w14:textId="72A8438A">
            <w:pPr>
              <w:keepNext/>
              <w:keepLines/>
              <w:spacing w:after="0"/>
              <w:rPr>
                <w:sz w:val="20"/>
                <w:szCs w:val="20"/>
              </w:rPr>
            </w:pPr>
            <w:r>
              <w:rPr>
                <w:sz w:val="20"/>
                <w:szCs w:val="20"/>
              </w:rPr>
              <w:t>10</w:t>
            </w:r>
          </w:p>
        </w:tc>
      </w:tr>
      <w:tr w:rsidRPr="00C47150" w:rsidR="000160D9" w:rsidTr="00EB5476" w14:paraId="5069BE0D" w14:textId="77777777">
        <w:trPr>
          <w:trHeight w:val="305"/>
          <w:jc w:val="center"/>
        </w:trPr>
        <w:tc>
          <w:tcPr>
            <w:tcW w:w="7825" w:type="dxa"/>
            <w:shd w:val="clear" w:color="auto" w:fill="auto"/>
            <w:hideMark/>
          </w:tcPr>
          <w:p w:rsidRPr="00675D16" w:rsidR="000160D9" w:rsidP="007F64F4" w:rsidRDefault="000160D9" w14:paraId="32A3C45D" w14:textId="33523553">
            <w:pPr>
              <w:keepNext/>
              <w:keepLines/>
              <w:spacing w:after="0"/>
              <w:rPr>
                <w:sz w:val="20"/>
                <w:szCs w:val="20"/>
              </w:rPr>
            </w:pPr>
            <w:r w:rsidRPr="00732012">
              <w:rPr>
                <w:sz w:val="20"/>
                <w:szCs w:val="20"/>
              </w:rPr>
              <w:t xml:space="preserve"># of Hours Per </w:t>
            </w:r>
            <w:r w:rsidR="008D7DB5">
              <w:rPr>
                <w:sz w:val="20"/>
                <w:szCs w:val="20"/>
              </w:rPr>
              <w:t>Medical and health services manager</w:t>
            </w:r>
            <w:r w:rsidRPr="00732012">
              <w:rPr>
                <w:sz w:val="20"/>
                <w:szCs w:val="20"/>
              </w:rPr>
              <w:t xml:space="preserve"> to Identify and Propose Measure (b) </w:t>
            </w:r>
          </w:p>
        </w:tc>
        <w:tc>
          <w:tcPr>
            <w:tcW w:w="1710" w:type="dxa"/>
            <w:shd w:val="clear" w:color="auto" w:fill="auto"/>
            <w:noWrap/>
            <w:hideMark/>
          </w:tcPr>
          <w:p w:rsidRPr="00675D16" w:rsidR="000160D9" w:rsidP="007F64F4" w:rsidRDefault="000160D9" w14:paraId="4FB0E5B9" w14:textId="77777777">
            <w:pPr>
              <w:keepNext/>
              <w:keepLines/>
              <w:spacing w:after="0"/>
              <w:rPr>
                <w:sz w:val="20"/>
                <w:szCs w:val="20"/>
              </w:rPr>
            </w:pPr>
            <w:r w:rsidRPr="00732012">
              <w:rPr>
                <w:sz w:val="20"/>
                <w:szCs w:val="20"/>
              </w:rPr>
              <w:t>0.30</w:t>
            </w:r>
          </w:p>
        </w:tc>
      </w:tr>
      <w:tr w:rsidRPr="00C47150" w:rsidR="000160D9" w:rsidTr="00EB5476" w14:paraId="27725F9D" w14:textId="77777777">
        <w:trPr>
          <w:trHeight w:val="260"/>
          <w:jc w:val="center"/>
        </w:trPr>
        <w:tc>
          <w:tcPr>
            <w:tcW w:w="7825" w:type="dxa"/>
            <w:shd w:val="clear" w:color="auto" w:fill="auto"/>
            <w:hideMark/>
          </w:tcPr>
          <w:p w:rsidRPr="00675D16" w:rsidR="000160D9" w:rsidP="007F64F4" w:rsidRDefault="000160D9" w14:paraId="03ACDC62" w14:textId="77777777">
            <w:pPr>
              <w:keepNext/>
              <w:keepLines/>
              <w:spacing w:after="0"/>
              <w:rPr>
                <w:sz w:val="20"/>
                <w:szCs w:val="20"/>
              </w:rPr>
            </w:pPr>
            <w:r w:rsidRPr="00732012">
              <w:rPr>
                <w:sz w:val="20"/>
                <w:szCs w:val="20"/>
              </w:rPr>
              <w:t># of Hours Per Clinician to Identify Measure (c)</w:t>
            </w:r>
          </w:p>
        </w:tc>
        <w:tc>
          <w:tcPr>
            <w:tcW w:w="1710" w:type="dxa"/>
            <w:shd w:val="clear" w:color="auto" w:fill="auto"/>
            <w:hideMark/>
          </w:tcPr>
          <w:p w:rsidRPr="00675D16" w:rsidR="000160D9" w:rsidP="007F64F4" w:rsidRDefault="000160D9" w14:paraId="198F3F0C" w14:textId="77777777">
            <w:pPr>
              <w:keepNext/>
              <w:keepLines/>
              <w:spacing w:after="0"/>
              <w:rPr>
                <w:sz w:val="20"/>
                <w:szCs w:val="20"/>
              </w:rPr>
            </w:pPr>
            <w:r w:rsidRPr="00732012">
              <w:rPr>
                <w:sz w:val="20"/>
                <w:szCs w:val="20"/>
              </w:rPr>
              <w:t>0.20</w:t>
            </w:r>
          </w:p>
        </w:tc>
      </w:tr>
      <w:tr w:rsidRPr="00C47150" w:rsidR="000160D9" w:rsidTr="00EB5476" w14:paraId="6930E10F" w14:textId="77777777">
        <w:trPr>
          <w:trHeight w:val="300"/>
          <w:jc w:val="center"/>
        </w:trPr>
        <w:tc>
          <w:tcPr>
            <w:tcW w:w="7825" w:type="dxa"/>
            <w:shd w:val="clear" w:color="auto" w:fill="D9D9D9" w:themeFill="background1" w:themeFillShade="D9"/>
            <w:hideMark/>
          </w:tcPr>
          <w:p w:rsidRPr="00675D16" w:rsidR="000160D9" w:rsidP="000160D9" w:rsidRDefault="000160D9" w14:paraId="69CAE2F9" w14:textId="77777777">
            <w:pPr>
              <w:spacing w:after="0"/>
              <w:rPr>
                <w:sz w:val="20"/>
                <w:szCs w:val="20"/>
              </w:rPr>
            </w:pPr>
            <w:r w:rsidRPr="00732012">
              <w:rPr>
                <w:sz w:val="20"/>
                <w:szCs w:val="20"/>
              </w:rPr>
              <w:t>Annual Hours Per Respondent (d)= (b) + (c)</w:t>
            </w:r>
          </w:p>
        </w:tc>
        <w:tc>
          <w:tcPr>
            <w:tcW w:w="1710" w:type="dxa"/>
            <w:shd w:val="clear" w:color="auto" w:fill="D9D9D9" w:themeFill="background1" w:themeFillShade="D9"/>
            <w:hideMark/>
          </w:tcPr>
          <w:p w:rsidRPr="00675D16" w:rsidR="000160D9" w:rsidP="000160D9" w:rsidRDefault="000160D9" w14:paraId="27725B9A" w14:textId="77777777">
            <w:pPr>
              <w:spacing w:after="0"/>
              <w:rPr>
                <w:sz w:val="20"/>
                <w:szCs w:val="20"/>
              </w:rPr>
            </w:pPr>
            <w:r w:rsidRPr="00732012">
              <w:rPr>
                <w:sz w:val="20"/>
                <w:szCs w:val="20"/>
              </w:rPr>
              <w:t>0.50</w:t>
            </w:r>
          </w:p>
        </w:tc>
      </w:tr>
      <w:tr w:rsidRPr="00C47150" w:rsidR="000160D9" w:rsidTr="00EB5476" w14:paraId="2AFE4881" w14:textId="77777777">
        <w:trPr>
          <w:trHeight w:val="300"/>
          <w:jc w:val="center"/>
        </w:trPr>
        <w:tc>
          <w:tcPr>
            <w:tcW w:w="7825" w:type="dxa"/>
            <w:shd w:val="clear" w:color="auto" w:fill="D9D9D9" w:themeFill="background1" w:themeFillShade="D9"/>
            <w:hideMark/>
          </w:tcPr>
          <w:p w:rsidRPr="002A6C48" w:rsidR="000160D9" w:rsidP="000160D9" w:rsidRDefault="000160D9" w14:paraId="1336EC8C" w14:textId="77777777">
            <w:pPr>
              <w:spacing w:after="0"/>
              <w:rPr>
                <w:b/>
                <w:sz w:val="20"/>
                <w:szCs w:val="20"/>
              </w:rPr>
            </w:pPr>
            <w:r w:rsidRPr="002A6C48">
              <w:rPr>
                <w:b/>
                <w:sz w:val="20"/>
                <w:szCs w:val="20"/>
              </w:rPr>
              <w:t>Total Annual Hours (e) = (a)*(d)</w:t>
            </w:r>
          </w:p>
        </w:tc>
        <w:tc>
          <w:tcPr>
            <w:tcW w:w="1710" w:type="dxa"/>
            <w:shd w:val="clear" w:color="auto" w:fill="D9D9D9" w:themeFill="background1" w:themeFillShade="D9"/>
            <w:hideMark/>
          </w:tcPr>
          <w:p w:rsidRPr="002A6C48" w:rsidR="000160D9" w:rsidP="000160D9" w:rsidRDefault="00922CF6" w14:paraId="3D1D6025" w14:textId="2FDDA719">
            <w:pPr>
              <w:spacing w:after="0"/>
              <w:rPr>
                <w:b/>
                <w:sz w:val="20"/>
                <w:szCs w:val="20"/>
              </w:rPr>
            </w:pPr>
            <w:r>
              <w:rPr>
                <w:b/>
                <w:sz w:val="20"/>
                <w:szCs w:val="20"/>
              </w:rPr>
              <w:t>5</w:t>
            </w:r>
          </w:p>
        </w:tc>
      </w:tr>
      <w:tr w:rsidRPr="00C47150" w:rsidR="000160D9" w:rsidTr="00EB5476" w14:paraId="5B6E4EB9" w14:textId="77777777">
        <w:trPr>
          <w:trHeight w:val="233"/>
          <w:jc w:val="center"/>
        </w:trPr>
        <w:tc>
          <w:tcPr>
            <w:tcW w:w="7825" w:type="dxa"/>
            <w:shd w:val="clear" w:color="auto" w:fill="auto"/>
            <w:hideMark/>
          </w:tcPr>
          <w:p w:rsidRPr="00675D16" w:rsidR="000160D9" w:rsidP="000160D9" w:rsidRDefault="000160D9" w14:paraId="78304744" w14:textId="1DE8B759">
            <w:pPr>
              <w:spacing w:after="0"/>
              <w:rPr>
                <w:sz w:val="20"/>
                <w:szCs w:val="20"/>
              </w:rPr>
            </w:pPr>
            <w:r w:rsidRPr="00732012">
              <w:rPr>
                <w:sz w:val="20"/>
                <w:szCs w:val="20"/>
              </w:rPr>
              <w:t xml:space="preserve">Cost to Identify and Submit Measure (@ </w:t>
            </w:r>
            <w:r w:rsidR="008D7DB5">
              <w:rPr>
                <w:sz w:val="20"/>
                <w:szCs w:val="20"/>
              </w:rPr>
              <w:t>medical and health services manager</w:t>
            </w:r>
            <w:r w:rsidRPr="00732012">
              <w:rPr>
                <w:sz w:val="20"/>
                <w:szCs w:val="20"/>
              </w:rPr>
              <w:t>'s labor rate of $1</w:t>
            </w:r>
            <w:r w:rsidR="009672C1">
              <w:rPr>
                <w:sz w:val="20"/>
                <w:szCs w:val="20"/>
              </w:rPr>
              <w:t>1</w:t>
            </w:r>
            <w:r w:rsidR="007C73E1">
              <w:rPr>
                <w:sz w:val="20"/>
                <w:szCs w:val="20"/>
              </w:rPr>
              <w:t>4.24</w:t>
            </w:r>
            <w:r w:rsidRPr="00732012">
              <w:rPr>
                <w:sz w:val="20"/>
                <w:szCs w:val="20"/>
              </w:rPr>
              <w:t>/hr.) (f)</w:t>
            </w:r>
          </w:p>
        </w:tc>
        <w:tc>
          <w:tcPr>
            <w:tcW w:w="1710" w:type="dxa"/>
            <w:shd w:val="clear" w:color="auto" w:fill="auto"/>
            <w:hideMark/>
          </w:tcPr>
          <w:p w:rsidRPr="00675D16" w:rsidR="000160D9" w:rsidP="000160D9" w:rsidRDefault="000160D9" w14:paraId="6F2AE3B3" w14:textId="03CE8A0F">
            <w:pPr>
              <w:spacing w:after="0"/>
              <w:rPr>
                <w:sz w:val="20"/>
                <w:szCs w:val="20"/>
              </w:rPr>
            </w:pPr>
            <w:r w:rsidRPr="00732012">
              <w:rPr>
                <w:sz w:val="20"/>
                <w:szCs w:val="20"/>
              </w:rPr>
              <w:t>$3</w:t>
            </w:r>
            <w:r w:rsidR="009B1EC9">
              <w:rPr>
                <w:sz w:val="20"/>
                <w:szCs w:val="20"/>
              </w:rPr>
              <w:t>4.27</w:t>
            </w:r>
          </w:p>
        </w:tc>
      </w:tr>
      <w:tr w:rsidRPr="00C47150" w:rsidR="000160D9" w:rsidTr="00EB5476" w14:paraId="701CFCCE" w14:textId="77777777">
        <w:trPr>
          <w:trHeight w:val="242"/>
          <w:jc w:val="center"/>
        </w:trPr>
        <w:tc>
          <w:tcPr>
            <w:tcW w:w="7825" w:type="dxa"/>
            <w:shd w:val="clear" w:color="auto" w:fill="auto"/>
            <w:hideMark/>
          </w:tcPr>
          <w:p w:rsidRPr="00675D16" w:rsidR="000160D9" w:rsidP="000160D9" w:rsidRDefault="000160D9" w14:paraId="31CF036C" w14:textId="13B99AC0">
            <w:pPr>
              <w:spacing w:after="0"/>
              <w:rPr>
                <w:sz w:val="20"/>
                <w:szCs w:val="20"/>
              </w:rPr>
            </w:pPr>
            <w:r w:rsidRPr="00732012">
              <w:rPr>
                <w:sz w:val="20"/>
                <w:szCs w:val="20"/>
              </w:rPr>
              <w:lastRenderedPageBreak/>
              <w:t>Cost to Identify Improvement Measure (@ physician’s labor rate of $2</w:t>
            </w:r>
            <w:r w:rsidR="009672C1">
              <w:rPr>
                <w:sz w:val="20"/>
                <w:szCs w:val="20"/>
              </w:rPr>
              <w:t>1</w:t>
            </w:r>
            <w:r w:rsidR="003B4994">
              <w:rPr>
                <w:sz w:val="20"/>
                <w:szCs w:val="20"/>
              </w:rPr>
              <w:t>7.32</w:t>
            </w:r>
            <w:r w:rsidRPr="00732012">
              <w:rPr>
                <w:sz w:val="20"/>
                <w:szCs w:val="20"/>
              </w:rPr>
              <w:t>/hr.) (g)</w:t>
            </w:r>
          </w:p>
        </w:tc>
        <w:tc>
          <w:tcPr>
            <w:tcW w:w="1710" w:type="dxa"/>
            <w:shd w:val="clear" w:color="auto" w:fill="auto"/>
            <w:noWrap/>
            <w:hideMark/>
          </w:tcPr>
          <w:p w:rsidRPr="00675D16" w:rsidR="000160D9" w:rsidP="000160D9" w:rsidRDefault="000160D9" w14:paraId="6DC31582" w14:textId="2CBD3818">
            <w:pPr>
              <w:spacing w:after="0"/>
              <w:rPr>
                <w:sz w:val="20"/>
                <w:szCs w:val="20"/>
              </w:rPr>
            </w:pPr>
            <w:r w:rsidRPr="00732012">
              <w:rPr>
                <w:sz w:val="20"/>
                <w:szCs w:val="20"/>
              </w:rPr>
              <w:t>$4</w:t>
            </w:r>
            <w:r w:rsidR="003674D9">
              <w:rPr>
                <w:sz w:val="20"/>
                <w:szCs w:val="20"/>
              </w:rPr>
              <w:t>3.46</w:t>
            </w:r>
          </w:p>
        </w:tc>
      </w:tr>
      <w:tr w:rsidRPr="00C47150" w:rsidR="000160D9" w:rsidTr="00EB5476" w14:paraId="5A1BCDF1" w14:textId="77777777">
        <w:trPr>
          <w:trHeight w:val="300"/>
          <w:jc w:val="center"/>
        </w:trPr>
        <w:tc>
          <w:tcPr>
            <w:tcW w:w="7825" w:type="dxa"/>
            <w:shd w:val="clear" w:color="auto" w:fill="E7E6E6" w:themeFill="background2"/>
            <w:hideMark/>
          </w:tcPr>
          <w:p w:rsidRPr="00675D16" w:rsidR="000160D9" w:rsidP="000160D9" w:rsidRDefault="000160D9" w14:paraId="231B7049" w14:textId="77777777">
            <w:pPr>
              <w:spacing w:after="0"/>
              <w:rPr>
                <w:sz w:val="20"/>
                <w:szCs w:val="20"/>
              </w:rPr>
            </w:pPr>
            <w:r w:rsidRPr="00732012">
              <w:rPr>
                <w:sz w:val="20"/>
                <w:szCs w:val="20"/>
              </w:rPr>
              <w:t>Total Annual Cost Per Respondent (h)=(f)+(g)</w:t>
            </w:r>
          </w:p>
        </w:tc>
        <w:tc>
          <w:tcPr>
            <w:tcW w:w="1710" w:type="dxa"/>
            <w:shd w:val="clear" w:color="auto" w:fill="E7E6E6" w:themeFill="background2"/>
            <w:noWrap/>
            <w:hideMark/>
          </w:tcPr>
          <w:p w:rsidRPr="00675D16" w:rsidR="000160D9" w:rsidP="000160D9" w:rsidRDefault="000160D9" w14:paraId="6EAF6753" w14:textId="79A63C00">
            <w:pPr>
              <w:spacing w:after="0"/>
              <w:rPr>
                <w:sz w:val="20"/>
                <w:szCs w:val="20"/>
              </w:rPr>
            </w:pPr>
            <w:r w:rsidRPr="00732012">
              <w:rPr>
                <w:sz w:val="20"/>
                <w:szCs w:val="20"/>
              </w:rPr>
              <w:t>$7</w:t>
            </w:r>
            <w:r w:rsidR="000B7549">
              <w:rPr>
                <w:sz w:val="20"/>
                <w:szCs w:val="20"/>
              </w:rPr>
              <w:t>7.73</w:t>
            </w:r>
          </w:p>
        </w:tc>
      </w:tr>
      <w:tr w:rsidRPr="00C47150" w:rsidR="000160D9" w:rsidTr="00EB5476" w14:paraId="1DBC883C" w14:textId="77777777">
        <w:trPr>
          <w:trHeight w:val="300"/>
          <w:jc w:val="center"/>
        </w:trPr>
        <w:tc>
          <w:tcPr>
            <w:tcW w:w="7825" w:type="dxa"/>
            <w:shd w:val="clear" w:color="auto" w:fill="E7E6E6" w:themeFill="background2"/>
            <w:hideMark/>
          </w:tcPr>
          <w:p w:rsidRPr="002A6C48" w:rsidR="000160D9" w:rsidP="000160D9" w:rsidRDefault="000160D9" w14:paraId="77B87AE0" w14:textId="77777777">
            <w:pPr>
              <w:spacing w:after="0"/>
              <w:rPr>
                <w:b/>
                <w:sz w:val="20"/>
                <w:szCs w:val="20"/>
              </w:rPr>
            </w:pPr>
            <w:r w:rsidRPr="002A6C48">
              <w:rPr>
                <w:b/>
                <w:sz w:val="20"/>
                <w:szCs w:val="20"/>
              </w:rPr>
              <w:t>Total Annual Cost (i)=(a)*(h)</w:t>
            </w:r>
          </w:p>
        </w:tc>
        <w:tc>
          <w:tcPr>
            <w:tcW w:w="1710" w:type="dxa"/>
            <w:shd w:val="clear" w:color="auto" w:fill="E7E6E6" w:themeFill="background2"/>
            <w:noWrap/>
            <w:hideMark/>
          </w:tcPr>
          <w:p w:rsidRPr="002A6C48" w:rsidR="000160D9" w:rsidP="000160D9" w:rsidRDefault="000160D9" w14:paraId="7B4EEBE4" w14:textId="5E14BED8">
            <w:pPr>
              <w:spacing w:after="0"/>
              <w:rPr>
                <w:b/>
                <w:sz w:val="20"/>
                <w:szCs w:val="20"/>
              </w:rPr>
            </w:pPr>
            <w:r w:rsidRPr="002A6C48">
              <w:rPr>
                <w:b/>
                <w:sz w:val="20"/>
                <w:szCs w:val="20"/>
              </w:rPr>
              <w:t>$</w:t>
            </w:r>
            <w:r w:rsidR="00E069C5">
              <w:rPr>
                <w:b/>
                <w:sz w:val="20"/>
                <w:szCs w:val="20"/>
              </w:rPr>
              <w:t>7</w:t>
            </w:r>
            <w:r w:rsidR="000B7549">
              <w:rPr>
                <w:b/>
                <w:sz w:val="20"/>
                <w:szCs w:val="20"/>
              </w:rPr>
              <w:t>77</w:t>
            </w:r>
          </w:p>
        </w:tc>
      </w:tr>
    </w:tbl>
    <w:p w:rsidR="000160D9" w:rsidP="000160D9" w:rsidRDefault="000160D9" w14:paraId="5D16A3C4" w14:textId="25DE7CD1">
      <w:pPr>
        <w:ind w:firstLine="720"/>
      </w:pPr>
    </w:p>
    <w:p w:rsidRPr="004330C9" w:rsidR="000160D9" w:rsidP="004330C9" w:rsidRDefault="000160D9" w14:paraId="168292B3" w14:textId="01964BB1">
      <w:pPr>
        <w:pStyle w:val="Heading3"/>
      </w:pPr>
      <w:r w:rsidRPr="004330C9">
        <w:t>Burden Estimate for the Submission of Improvement Activities Data</w:t>
      </w:r>
    </w:p>
    <w:p w:rsidRPr="004F1A68" w:rsidR="004F1A68" w:rsidP="00E12B53" w:rsidRDefault="001F6A15" w14:paraId="4AE94B09" w14:textId="10B7EE03">
      <w:pPr>
        <w:rPr>
          <w:rFonts w:eastAsia="Calibri"/>
        </w:rPr>
      </w:pPr>
      <w:r w:rsidRPr="00CC2BFB">
        <w:rPr>
          <w:rFonts w:eastAsia="Calibri"/>
        </w:rPr>
        <w:t xml:space="preserve">In </w:t>
      </w:r>
      <w:r w:rsidR="002414E6">
        <w:rPr>
          <w:rFonts w:eastAsia="Calibri"/>
        </w:rPr>
        <w:t xml:space="preserve">order to </w:t>
      </w:r>
      <w:r w:rsidRPr="00CC2BFB">
        <w:rPr>
          <w:rFonts w:eastAsia="Calibri"/>
        </w:rPr>
        <w:t>determine MIPS APM scores</w:t>
      </w:r>
      <w:r w:rsidR="002414E6">
        <w:rPr>
          <w:rFonts w:eastAsia="Calibri"/>
        </w:rPr>
        <w:t xml:space="preserve">, </w:t>
      </w:r>
      <w:r w:rsidR="009672C1">
        <w:rPr>
          <w:rFonts w:eastAsia="Calibri"/>
        </w:rPr>
        <w:t xml:space="preserve">we </w:t>
      </w:r>
      <w:r w:rsidRPr="009672C1" w:rsidR="009672C1">
        <w:rPr>
          <w:rFonts w:eastAsia="Calibri"/>
        </w:rPr>
        <w:t xml:space="preserve">assign </w:t>
      </w:r>
      <w:r w:rsidR="00140797">
        <w:rPr>
          <w:rFonts w:eastAsia="Calibri"/>
        </w:rPr>
        <w:t>i</w:t>
      </w:r>
      <w:r w:rsidRPr="009672C1" w:rsidR="009672C1">
        <w:rPr>
          <w:rFonts w:eastAsia="Calibri"/>
        </w:rPr>
        <w:t xml:space="preserve">mprovement </w:t>
      </w:r>
      <w:r w:rsidR="00140797">
        <w:rPr>
          <w:rFonts w:eastAsia="Calibri"/>
        </w:rPr>
        <w:t>a</w:t>
      </w:r>
      <w:r w:rsidRPr="009672C1" w:rsidR="009672C1">
        <w:rPr>
          <w:rFonts w:eastAsia="Calibri"/>
        </w:rPr>
        <w:t xml:space="preserve">ctivities scores to APM participants in the APP based on the requirements of participation in APMs. To develop the </w:t>
      </w:r>
      <w:r w:rsidR="00140797">
        <w:rPr>
          <w:rFonts w:eastAsia="Calibri"/>
        </w:rPr>
        <w:t>i</w:t>
      </w:r>
      <w:r w:rsidRPr="009672C1" w:rsidR="009672C1">
        <w:rPr>
          <w:rFonts w:eastAsia="Calibri"/>
        </w:rPr>
        <w:t xml:space="preserve">mprovement </w:t>
      </w:r>
      <w:proofErr w:type="gramStart"/>
      <w:r w:rsidR="00140797">
        <w:rPr>
          <w:rFonts w:eastAsia="Calibri"/>
        </w:rPr>
        <w:t>a</w:t>
      </w:r>
      <w:r w:rsidRPr="009672C1" w:rsidR="009672C1">
        <w:rPr>
          <w:rFonts w:eastAsia="Calibri"/>
        </w:rPr>
        <w:t>ctivities</w:t>
      </w:r>
      <w:proofErr w:type="gramEnd"/>
      <w:r w:rsidRPr="009672C1" w:rsidR="009672C1">
        <w:rPr>
          <w:rFonts w:eastAsia="Calibri"/>
        </w:rPr>
        <w:t xml:space="preserve"> score for MIPS APMs, we would compare requirements of the APM with the list of </w:t>
      </w:r>
      <w:r w:rsidR="00140797">
        <w:rPr>
          <w:rFonts w:eastAsia="Calibri"/>
        </w:rPr>
        <w:t>i</w:t>
      </w:r>
      <w:r w:rsidRPr="009672C1" w:rsidR="009672C1">
        <w:rPr>
          <w:rFonts w:eastAsia="Calibri"/>
        </w:rPr>
        <w:t xml:space="preserve">mprovement </w:t>
      </w:r>
      <w:r w:rsidR="00140797">
        <w:rPr>
          <w:rFonts w:eastAsia="Calibri"/>
        </w:rPr>
        <w:t>a</w:t>
      </w:r>
      <w:r w:rsidRPr="009672C1" w:rsidR="009672C1">
        <w:rPr>
          <w:rFonts w:eastAsia="Calibri"/>
        </w:rPr>
        <w:t>ctivities measures for the applicable year</w:t>
      </w:r>
      <w:r w:rsidR="00E73765">
        <w:rPr>
          <w:rFonts w:eastAsia="Calibri"/>
        </w:rPr>
        <w:t xml:space="preserve"> </w:t>
      </w:r>
      <w:r w:rsidRPr="009672C1" w:rsidR="009672C1">
        <w:rPr>
          <w:rFonts w:eastAsia="Calibri"/>
        </w:rPr>
        <w:t xml:space="preserve">and score those measures as they would otherwise be scored according to § 414.1355. In the event a MIPS APM participant does not actually perform an activity for which </w:t>
      </w:r>
      <w:r w:rsidR="00C932D9">
        <w:rPr>
          <w:rFonts w:eastAsia="Calibri"/>
        </w:rPr>
        <w:t>i</w:t>
      </w:r>
      <w:r w:rsidRPr="009672C1" w:rsidR="009672C1">
        <w:rPr>
          <w:rFonts w:eastAsia="Calibri"/>
        </w:rPr>
        <w:t xml:space="preserve">mprovement </w:t>
      </w:r>
      <w:r w:rsidR="00C932D9">
        <w:rPr>
          <w:rFonts w:eastAsia="Calibri"/>
        </w:rPr>
        <w:t>a</w:t>
      </w:r>
      <w:r w:rsidRPr="009672C1" w:rsidR="009672C1">
        <w:rPr>
          <w:rFonts w:eastAsia="Calibri"/>
        </w:rPr>
        <w:t xml:space="preserve">ctivities credit would otherwise be assigned under this </w:t>
      </w:r>
      <w:r w:rsidRPr="009672C1" w:rsidDel="00352284" w:rsidR="009672C1">
        <w:rPr>
          <w:rFonts w:eastAsia="Calibri"/>
        </w:rPr>
        <w:t>pro</w:t>
      </w:r>
      <w:r w:rsidR="00317A78">
        <w:rPr>
          <w:rFonts w:eastAsia="Calibri"/>
        </w:rPr>
        <w:t>vision</w:t>
      </w:r>
      <w:r w:rsidRPr="009672C1" w:rsidR="009672C1">
        <w:rPr>
          <w:rFonts w:eastAsia="Calibri"/>
        </w:rPr>
        <w:t xml:space="preserve">, the MIPS APM participant would not receive credit for the associated </w:t>
      </w:r>
      <w:r w:rsidR="00C932D9">
        <w:rPr>
          <w:rFonts w:eastAsia="Calibri"/>
        </w:rPr>
        <w:t>i</w:t>
      </w:r>
      <w:r w:rsidRPr="009672C1" w:rsidR="009672C1">
        <w:rPr>
          <w:rFonts w:eastAsia="Calibri"/>
        </w:rPr>
        <w:t xml:space="preserve">mprovement </w:t>
      </w:r>
      <w:r w:rsidR="00C932D9">
        <w:rPr>
          <w:rFonts w:eastAsia="Calibri"/>
        </w:rPr>
        <w:t>a</w:t>
      </w:r>
      <w:r w:rsidRPr="009672C1" w:rsidR="009672C1">
        <w:rPr>
          <w:rFonts w:eastAsia="Calibri"/>
        </w:rPr>
        <w:t xml:space="preserve">ctivity.  In the event that the assigned score does not represent the maximum improvement activities score, we </w:t>
      </w:r>
      <w:r w:rsidR="00317A78">
        <w:rPr>
          <w:rFonts w:eastAsia="Calibri"/>
        </w:rPr>
        <w:t>specify</w:t>
      </w:r>
      <w:r w:rsidRPr="009672C1" w:rsidR="009672C1">
        <w:rPr>
          <w:rFonts w:eastAsia="Calibri"/>
        </w:rPr>
        <w:t xml:space="preserve"> that MIPS eligible clinicians reporting through the APP would have the opportunity to report additional improvement activities that then would be applied towards their scores. Our burden estimates assume there will be no improvement activities burden for MIPS APM participants electing the APP.  We will assign the improvement activities performance category score at the APM Entity level</w:t>
      </w:r>
      <w:r w:rsidRPr="004F1A68" w:rsidR="004F1A68">
        <w:rPr>
          <w:rFonts w:eastAsia="Calibri"/>
        </w:rPr>
        <w:t xml:space="preserve">. </w:t>
      </w:r>
    </w:p>
    <w:p w:rsidR="00A3122C" w:rsidP="00E12B53" w:rsidRDefault="008D7DB5" w14:paraId="4CCA4356" w14:textId="4A8FCD42">
      <w:pPr>
        <w:rPr>
          <w:rFonts w:eastAsia="Calibri"/>
        </w:rPr>
      </w:pPr>
      <w:r w:rsidRPr="008D7DB5">
        <w:rPr>
          <w:rFonts w:eastAsia="Calibri"/>
        </w:rPr>
        <w:t xml:space="preserve">A variety of organizations and in some cases, individual clinicians, will submit improvement activity performance category data.  As finalized in the CY 2017 Quality Payment Program final rule (81 FR 77264), APM Entities only need to report improvement activities data if the CMS-assigned improvement activities score is below the maximum improvement activities score.  Similar to our assumption in the CY 2018 Quality Payment Program final rule, our burden estimates assume that </w:t>
      </w:r>
      <w:r w:rsidR="00BC3840">
        <w:rPr>
          <w:rFonts w:eastAsia="Calibri"/>
        </w:rPr>
        <w:t xml:space="preserve">all </w:t>
      </w:r>
      <w:r w:rsidRPr="008D7DB5" w:rsidR="00BC3840">
        <w:rPr>
          <w:rFonts w:eastAsia="Calibri"/>
        </w:rPr>
        <w:t>MIPS</w:t>
      </w:r>
      <w:r w:rsidRPr="008D7DB5">
        <w:rPr>
          <w:rFonts w:eastAsia="Calibri"/>
        </w:rPr>
        <w:t xml:space="preserve"> APM models for the </w:t>
      </w:r>
      <w:r w:rsidR="00723CE1">
        <w:rPr>
          <w:rFonts w:eastAsia="Calibri"/>
        </w:rPr>
        <w:t xml:space="preserve">CY </w:t>
      </w:r>
      <w:r w:rsidRPr="008D7DB5">
        <w:rPr>
          <w:rFonts w:eastAsia="Calibri"/>
        </w:rPr>
        <w:t>202</w:t>
      </w:r>
      <w:r w:rsidR="00723CE1">
        <w:rPr>
          <w:rFonts w:eastAsia="Calibri"/>
        </w:rPr>
        <w:t>2</w:t>
      </w:r>
      <w:r w:rsidRPr="008D7DB5">
        <w:rPr>
          <w:rFonts w:eastAsia="Calibri"/>
        </w:rPr>
        <w:t xml:space="preserve"> MIPS performance period</w:t>
      </w:r>
      <w:r w:rsidR="00723CE1">
        <w:rPr>
          <w:rFonts w:eastAsia="Calibri"/>
        </w:rPr>
        <w:t>/2024 MIPS payment year</w:t>
      </w:r>
      <w:r w:rsidRPr="008D7DB5">
        <w:rPr>
          <w:rFonts w:eastAsia="Calibri"/>
        </w:rPr>
        <w:t xml:space="preserve"> will qualify for the maximum improvement activities performance category score and, as such, APM Entities will not submit any additional improvement activities. (82 FR 53921 through 53922)</w:t>
      </w:r>
      <w:r w:rsidR="00A3122C">
        <w:rPr>
          <w:rFonts w:eastAsia="Calibri"/>
        </w:rPr>
        <w:t>.</w:t>
      </w:r>
    </w:p>
    <w:p w:rsidRPr="003428D4" w:rsidR="00D92164" w:rsidP="00E12B53" w:rsidRDefault="004F1A68" w14:paraId="1695BA5B" w14:textId="2A23352C">
      <w:pPr>
        <w:rPr>
          <w:rFonts w:eastAsia="Calibri"/>
        </w:rPr>
      </w:pPr>
      <w:r w:rsidRPr="004F1A68">
        <w:rPr>
          <w:rFonts w:eastAsia="Calibri"/>
        </w:rPr>
        <w:t xml:space="preserve">As represented in Table </w:t>
      </w:r>
      <w:r w:rsidR="0045266D">
        <w:rPr>
          <w:rFonts w:eastAsia="Calibri"/>
        </w:rPr>
        <w:t>2</w:t>
      </w:r>
      <w:r w:rsidR="003307D3">
        <w:rPr>
          <w:rFonts w:eastAsia="Calibri"/>
        </w:rPr>
        <w:t>4</w:t>
      </w:r>
      <w:r w:rsidRPr="004F1A68">
        <w:rPr>
          <w:rFonts w:eastAsia="Calibri"/>
        </w:rPr>
        <w:t xml:space="preserve">, </w:t>
      </w:r>
      <w:r w:rsidRPr="00455BE9" w:rsidR="00455BE9">
        <w:rPr>
          <w:rFonts w:eastAsia="Calibri"/>
        </w:rPr>
        <w:t xml:space="preserve">based on </w:t>
      </w:r>
      <w:r w:rsidR="00723CE1">
        <w:rPr>
          <w:rFonts w:eastAsia="Calibri"/>
        </w:rPr>
        <w:t xml:space="preserve">CY </w:t>
      </w:r>
      <w:r w:rsidRPr="00455BE9" w:rsidR="00455BE9">
        <w:rPr>
          <w:rFonts w:eastAsia="Calibri"/>
        </w:rPr>
        <w:t>2019 MIPS performance period</w:t>
      </w:r>
      <w:r w:rsidR="00723CE1">
        <w:rPr>
          <w:rFonts w:eastAsia="Calibri"/>
        </w:rPr>
        <w:t>/2021 MIPS payment year</w:t>
      </w:r>
      <w:r w:rsidRPr="00455BE9" w:rsidR="00455BE9">
        <w:rPr>
          <w:rFonts w:eastAsia="Calibri"/>
        </w:rPr>
        <w:t xml:space="preserve"> data, we estimate that a total of </w:t>
      </w:r>
      <w:r w:rsidR="009577EF">
        <w:rPr>
          <w:rFonts w:eastAsia="Calibri"/>
        </w:rPr>
        <w:t>81,562</w:t>
      </w:r>
      <w:r w:rsidRPr="00455BE9" w:rsidR="00455BE9">
        <w:rPr>
          <w:rFonts w:eastAsia="Calibri"/>
        </w:rPr>
        <w:t xml:space="preserve"> respondents consisting of 6</w:t>
      </w:r>
      <w:r w:rsidR="000B4D25">
        <w:rPr>
          <w:rFonts w:eastAsia="Calibri"/>
        </w:rPr>
        <w:t>3,845</w:t>
      </w:r>
      <w:r w:rsidRPr="00455BE9" w:rsidR="00455BE9">
        <w:rPr>
          <w:rFonts w:eastAsia="Calibri"/>
        </w:rPr>
        <w:t xml:space="preserve"> individual clinicians and 17,</w:t>
      </w:r>
      <w:r w:rsidR="00527387">
        <w:rPr>
          <w:rFonts w:eastAsia="Calibri"/>
        </w:rPr>
        <w:t>717</w:t>
      </w:r>
      <w:r w:rsidRPr="00455BE9" w:rsidR="00455BE9">
        <w:rPr>
          <w:rFonts w:eastAsia="Calibri"/>
        </w:rPr>
        <w:t xml:space="preserve"> groups will submit improvement activities during the </w:t>
      </w:r>
      <w:r w:rsidR="00AB10A2">
        <w:rPr>
          <w:rFonts w:eastAsia="Calibri"/>
        </w:rPr>
        <w:t xml:space="preserve">CY </w:t>
      </w:r>
      <w:r w:rsidRPr="00455BE9" w:rsidR="00455BE9">
        <w:rPr>
          <w:rFonts w:eastAsia="Calibri"/>
        </w:rPr>
        <w:t>202</w:t>
      </w:r>
      <w:r w:rsidR="00AB10A2">
        <w:rPr>
          <w:rFonts w:eastAsia="Calibri"/>
        </w:rPr>
        <w:t>2</w:t>
      </w:r>
      <w:r w:rsidRPr="00455BE9" w:rsidR="00455BE9">
        <w:rPr>
          <w:rFonts w:eastAsia="Calibri"/>
        </w:rPr>
        <w:t xml:space="preserve"> MIPS performance period</w:t>
      </w:r>
      <w:r w:rsidR="00AB10A2">
        <w:rPr>
          <w:rFonts w:eastAsia="Calibri"/>
        </w:rPr>
        <w:t>/2024 MIPS payment year</w:t>
      </w:r>
      <w:r w:rsidR="00455BE9">
        <w:rPr>
          <w:rFonts w:eastAsia="Calibri"/>
        </w:rPr>
        <w:t>, a</w:t>
      </w:r>
      <w:r w:rsidR="00D62396">
        <w:rPr>
          <w:rFonts w:eastAsia="Calibri"/>
        </w:rPr>
        <w:t>n</w:t>
      </w:r>
      <w:r w:rsidRPr="00455BE9" w:rsidR="00455BE9">
        <w:rPr>
          <w:rFonts w:eastAsia="Calibri"/>
        </w:rPr>
        <w:t xml:space="preserve"> </w:t>
      </w:r>
      <w:r w:rsidR="00D62396">
        <w:rPr>
          <w:rFonts w:eastAsia="Calibri"/>
        </w:rPr>
        <w:t>increase</w:t>
      </w:r>
      <w:r w:rsidRPr="00455BE9" w:rsidR="00D62396">
        <w:rPr>
          <w:rFonts w:eastAsia="Calibri"/>
        </w:rPr>
        <w:t xml:space="preserve"> </w:t>
      </w:r>
      <w:r w:rsidRPr="00455BE9" w:rsidR="00455BE9">
        <w:rPr>
          <w:rFonts w:eastAsia="Calibri"/>
        </w:rPr>
        <w:t xml:space="preserve">of </w:t>
      </w:r>
      <w:r w:rsidR="00237A77">
        <w:rPr>
          <w:rFonts w:eastAsia="Calibri"/>
        </w:rPr>
        <w:t>+</w:t>
      </w:r>
      <w:r w:rsidR="00E81E41">
        <w:rPr>
          <w:rFonts w:eastAsia="Calibri"/>
        </w:rPr>
        <w:t>1,635</w:t>
      </w:r>
      <w:r w:rsidRPr="00455BE9" w:rsidR="00455BE9">
        <w:rPr>
          <w:rFonts w:eastAsia="Calibri"/>
        </w:rPr>
        <w:t xml:space="preserve"> respondents </w:t>
      </w:r>
      <w:r w:rsidR="00455BE9">
        <w:rPr>
          <w:rFonts w:eastAsia="Calibri"/>
        </w:rPr>
        <w:t>from our currently approved estimate</w:t>
      </w:r>
      <w:r w:rsidR="000D7165">
        <w:rPr>
          <w:rFonts w:eastAsia="Calibri"/>
        </w:rPr>
        <w:t xml:space="preserve"> of 79,927</w:t>
      </w:r>
      <w:r w:rsidRPr="00CC2BFB" w:rsidR="007324E3">
        <w:rPr>
          <w:rFonts w:eastAsia="Calibri"/>
        </w:rPr>
        <w:t xml:space="preserve">.  </w:t>
      </w:r>
      <w:r w:rsidRPr="00CC2BFB" w:rsidR="007324E3">
        <w:t>In addition</w:t>
      </w:r>
      <w:r w:rsidRPr="00CC2BFB" w:rsidR="007324E3">
        <w:rPr>
          <w:rFonts w:eastAsia="Calibri"/>
        </w:rPr>
        <w:t xml:space="preserve">, </w:t>
      </w:r>
      <w:r w:rsidRPr="008D7DB5" w:rsidR="008D7DB5">
        <w:rPr>
          <w:rFonts w:eastAsia="Calibri"/>
          <w:snapToGrid w:val="0"/>
        </w:rPr>
        <w:t xml:space="preserve">regarding our estimate of clinicians and groups submitting data for the quality and Promoting Interoperability performance categories, we have updated our estimates for the number of clinicians and groups that will submit improvement activities data based on projections of the number of eligible clinicians that were not QPs or members of an ACO in the </w:t>
      </w:r>
      <w:r w:rsidR="00E55189">
        <w:rPr>
          <w:rFonts w:eastAsia="Calibri"/>
          <w:snapToGrid w:val="0"/>
        </w:rPr>
        <w:t xml:space="preserve">CY </w:t>
      </w:r>
      <w:r w:rsidRPr="008D7DB5" w:rsidR="008D7DB5">
        <w:rPr>
          <w:rFonts w:eastAsia="Calibri"/>
          <w:snapToGrid w:val="0"/>
        </w:rPr>
        <w:t>201</w:t>
      </w:r>
      <w:r w:rsidR="00455BE9">
        <w:rPr>
          <w:rFonts w:eastAsia="Calibri"/>
          <w:snapToGrid w:val="0"/>
        </w:rPr>
        <w:t>9</w:t>
      </w:r>
      <w:r w:rsidRPr="008D7DB5" w:rsidR="008D7DB5">
        <w:rPr>
          <w:rFonts w:eastAsia="Calibri"/>
          <w:snapToGrid w:val="0"/>
        </w:rPr>
        <w:t xml:space="preserve"> MIPS performance period</w:t>
      </w:r>
      <w:r w:rsidR="00E55189">
        <w:rPr>
          <w:rFonts w:eastAsia="Calibri"/>
          <w:snapToGrid w:val="0"/>
        </w:rPr>
        <w:t>/2021 MIPS payment year</w:t>
      </w:r>
      <w:r w:rsidR="00183A77">
        <w:rPr>
          <w:rFonts w:eastAsia="Calibri"/>
          <w:snapToGrid w:val="0"/>
        </w:rPr>
        <w:t>,</w:t>
      </w:r>
      <w:r w:rsidRPr="008D7DB5" w:rsidR="008D7DB5">
        <w:rPr>
          <w:rFonts w:eastAsia="Calibri"/>
          <w:snapToGrid w:val="0"/>
        </w:rPr>
        <w:t xml:space="preserve"> but will be in the </w:t>
      </w:r>
      <w:r w:rsidR="00183A77">
        <w:rPr>
          <w:rFonts w:eastAsia="Calibri"/>
          <w:snapToGrid w:val="0"/>
        </w:rPr>
        <w:t xml:space="preserve">CY </w:t>
      </w:r>
      <w:r w:rsidRPr="008D7DB5" w:rsidR="008D7DB5">
        <w:rPr>
          <w:rFonts w:eastAsia="Calibri"/>
          <w:snapToGrid w:val="0"/>
        </w:rPr>
        <w:t>202</w:t>
      </w:r>
      <w:r w:rsidR="00183A77">
        <w:rPr>
          <w:rFonts w:eastAsia="Calibri"/>
          <w:snapToGrid w:val="0"/>
        </w:rPr>
        <w:t>2</w:t>
      </w:r>
      <w:r w:rsidRPr="008D7DB5" w:rsidR="008D7DB5">
        <w:rPr>
          <w:rFonts w:eastAsia="Calibri"/>
          <w:snapToGrid w:val="0"/>
        </w:rPr>
        <w:t xml:space="preserve"> MIPS performance period</w:t>
      </w:r>
      <w:r w:rsidR="00183A77">
        <w:rPr>
          <w:rFonts w:eastAsia="Calibri"/>
          <w:snapToGrid w:val="0"/>
        </w:rPr>
        <w:t>/2024 MIPS payment year</w:t>
      </w:r>
      <w:r w:rsidRPr="008D7DB5" w:rsidR="008D7DB5">
        <w:rPr>
          <w:rFonts w:eastAsia="Calibri"/>
          <w:snapToGrid w:val="0"/>
        </w:rPr>
        <w:t>, and will therefore not be required to submit improvement activities data</w:t>
      </w:r>
      <w:r w:rsidRPr="004F1A68">
        <w:rPr>
          <w:rFonts w:eastAsia="Calibri"/>
        </w:rPr>
        <w:t xml:space="preserve">.   </w:t>
      </w:r>
    </w:p>
    <w:p w:rsidRPr="00C47150" w:rsidR="003C1394" w:rsidP="001E3574" w:rsidRDefault="003C1394" w14:paraId="528C0FD4" w14:textId="23BBA2CA">
      <w:pPr>
        <w:keepNext/>
        <w:keepLines/>
        <w:spacing w:after="0"/>
        <w:jc w:val="center"/>
        <w:rPr>
          <w:b/>
          <w:bCs/>
        </w:rPr>
      </w:pPr>
      <w:r w:rsidRPr="00C47150">
        <w:rPr>
          <w:b/>
          <w:bCs/>
        </w:rPr>
        <w:lastRenderedPageBreak/>
        <w:t xml:space="preserve">TABLE </w:t>
      </w:r>
      <w:r w:rsidR="0045266D">
        <w:rPr>
          <w:b/>
          <w:bCs/>
        </w:rPr>
        <w:t>2</w:t>
      </w:r>
      <w:r w:rsidR="002A601D">
        <w:rPr>
          <w:b/>
          <w:bCs/>
        </w:rPr>
        <w:t>4</w:t>
      </w:r>
      <w:r w:rsidRPr="00C47150">
        <w:rPr>
          <w:b/>
          <w:bCs/>
        </w:rPr>
        <w:t>: Estimated Numbers of Organizations Submitting Improvement Activities Performance Category Data on Behalf of Clinicians</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45"/>
        <w:gridCol w:w="1080"/>
      </w:tblGrid>
      <w:tr w:rsidRPr="00C47150" w:rsidR="003C1394" w:rsidTr="004E13F7" w14:paraId="79EDE030" w14:textId="77777777">
        <w:trPr>
          <w:cantSplit/>
          <w:trHeight w:val="300"/>
          <w:tblHeader/>
        </w:trPr>
        <w:tc>
          <w:tcPr>
            <w:tcW w:w="8545" w:type="dxa"/>
            <w:shd w:val="clear" w:color="auto" w:fill="auto"/>
            <w:hideMark/>
          </w:tcPr>
          <w:p w:rsidRPr="003C1394" w:rsidR="003C1394" w:rsidP="001E3574" w:rsidRDefault="003C1394" w14:paraId="6248215D" w14:textId="1B52A66E">
            <w:pPr>
              <w:keepNext/>
              <w:keepLines/>
              <w:spacing w:after="0"/>
              <w:rPr>
                <w:b/>
                <w:sz w:val="20"/>
                <w:szCs w:val="20"/>
              </w:rPr>
            </w:pPr>
            <w:bookmarkStart w:name="_Hlk495399703" w:id="9"/>
            <w:r w:rsidRPr="003C1394">
              <w:rPr>
                <w:b/>
                <w:sz w:val="20"/>
                <w:szCs w:val="20"/>
              </w:rPr>
              <w:t>Respondent Descriptions</w:t>
            </w:r>
          </w:p>
        </w:tc>
        <w:tc>
          <w:tcPr>
            <w:tcW w:w="1080" w:type="dxa"/>
            <w:shd w:val="clear" w:color="auto" w:fill="auto"/>
            <w:hideMark/>
          </w:tcPr>
          <w:p w:rsidRPr="00925658" w:rsidR="003C1394" w:rsidP="001E3574" w:rsidRDefault="003C1394" w14:paraId="0434D577" w14:textId="77777777">
            <w:pPr>
              <w:keepNext/>
              <w:keepLines/>
              <w:spacing w:after="0"/>
              <w:rPr>
                <w:b/>
                <w:sz w:val="20"/>
                <w:szCs w:val="20"/>
              </w:rPr>
            </w:pPr>
            <w:r w:rsidRPr="00925658">
              <w:rPr>
                <w:b/>
                <w:sz w:val="20"/>
                <w:szCs w:val="20"/>
              </w:rPr>
              <w:t>Count</w:t>
            </w:r>
          </w:p>
        </w:tc>
      </w:tr>
      <w:tr w:rsidRPr="00C47150" w:rsidR="0045266D" w:rsidTr="00A37DA3" w14:paraId="0FBE4A42" w14:textId="77777777">
        <w:trPr>
          <w:trHeight w:val="575"/>
        </w:trPr>
        <w:tc>
          <w:tcPr>
            <w:tcW w:w="8545" w:type="dxa"/>
            <w:shd w:val="clear" w:color="auto" w:fill="auto"/>
            <w:vAlign w:val="center"/>
            <w:hideMark/>
          </w:tcPr>
          <w:p w:rsidRPr="00C54D26" w:rsidR="0045266D" w:rsidP="001E3574" w:rsidRDefault="0045266D" w14:paraId="35BE86DA" w14:textId="7060F5FF">
            <w:pPr>
              <w:keepNext/>
              <w:keepLines/>
              <w:spacing w:after="0"/>
              <w:rPr>
                <w:sz w:val="20"/>
                <w:szCs w:val="20"/>
              </w:rPr>
            </w:pPr>
            <w:r w:rsidRPr="00CC2BFB">
              <w:rPr>
                <w:rFonts w:eastAsia="Calibri"/>
                <w:sz w:val="20"/>
                <w:szCs w:val="20"/>
              </w:rPr>
              <w:t xml:space="preserve"># of clinicians to participate in improvement activities data submission as individuals during the </w:t>
            </w:r>
            <w:r w:rsidR="007F09F0">
              <w:rPr>
                <w:rFonts w:eastAsia="Calibri"/>
                <w:sz w:val="20"/>
                <w:szCs w:val="20"/>
              </w:rPr>
              <w:t xml:space="preserve">CY </w:t>
            </w:r>
            <w:r w:rsidRPr="00CC2BFB">
              <w:rPr>
                <w:rFonts w:eastAsia="Calibri"/>
                <w:sz w:val="20"/>
                <w:szCs w:val="20"/>
              </w:rPr>
              <w:t>202</w:t>
            </w:r>
            <w:r w:rsidR="007F09F0">
              <w:rPr>
                <w:rFonts w:eastAsia="Calibri"/>
                <w:sz w:val="20"/>
                <w:szCs w:val="20"/>
              </w:rPr>
              <w:t>2</w:t>
            </w:r>
            <w:r w:rsidRPr="00CC2BFB">
              <w:rPr>
                <w:rFonts w:eastAsia="Calibri"/>
                <w:sz w:val="20"/>
                <w:szCs w:val="20"/>
              </w:rPr>
              <w:t xml:space="preserve"> MIPS performance period (a)</w:t>
            </w:r>
          </w:p>
        </w:tc>
        <w:tc>
          <w:tcPr>
            <w:tcW w:w="1080" w:type="dxa"/>
            <w:shd w:val="clear" w:color="auto" w:fill="auto"/>
            <w:vAlign w:val="center"/>
            <w:hideMark/>
          </w:tcPr>
          <w:p w:rsidRPr="00925658" w:rsidR="0045266D" w:rsidP="001E3574" w:rsidRDefault="0045266D" w14:paraId="694824F2" w14:textId="52CA36F0">
            <w:pPr>
              <w:keepNext/>
              <w:keepLines/>
              <w:spacing w:after="0"/>
              <w:rPr>
                <w:sz w:val="20"/>
                <w:szCs w:val="20"/>
              </w:rPr>
            </w:pPr>
            <w:r w:rsidRPr="00E3760B">
              <w:rPr>
                <w:rFonts w:eastAsia="Calibri"/>
                <w:sz w:val="20"/>
                <w:szCs w:val="20"/>
              </w:rPr>
              <w:t>6</w:t>
            </w:r>
            <w:r w:rsidR="000D0024">
              <w:rPr>
                <w:rFonts w:eastAsia="Calibri"/>
                <w:sz w:val="20"/>
                <w:szCs w:val="20"/>
              </w:rPr>
              <w:t>3,845</w:t>
            </w:r>
          </w:p>
        </w:tc>
      </w:tr>
      <w:tr w:rsidRPr="00C47150" w:rsidR="0045266D" w:rsidTr="00A37DA3" w14:paraId="1A9934FD" w14:textId="77777777">
        <w:trPr>
          <w:trHeight w:val="530"/>
        </w:trPr>
        <w:tc>
          <w:tcPr>
            <w:tcW w:w="8545" w:type="dxa"/>
            <w:shd w:val="clear" w:color="auto" w:fill="auto"/>
            <w:vAlign w:val="center"/>
            <w:hideMark/>
          </w:tcPr>
          <w:p w:rsidRPr="00C54D26" w:rsidR="0045266D" w:rsidP="001E3574" w:rsidRDefault="0045266D" w14:paraId="28B2ADED" w14:textId="32AA8668">
            <w:pPr>
              <w:keepNext/>
              <w:keepLines/>
              <w:spacing w:after="0"/>
              <w:rPr>
                <w:sz w:val="20"/>
                <w:szCs w:val="20"/>
              </w:rPr>
            </w:pPr>
            <w:r w:rsidRPr="00CC2BFB">
              <w:rPr>
                <w:rFonts w:eastAsia="Calibri"/>
                <w:sz w:val="20"/>
                <w:szCs w:val="20"/>
              </w:rPr>
              <w:t># of Groups to submit improvement activities on behalf of clinicians during the 202</w:t>
            </w:r>
            <w:r w:rsidR="00AF773A">
              <w:rPr>
                <w:rFonts w:eastAsia="Calibri"/>
                <w:sz w:val="20"/>
                <w:szCs w:val="20"/>
              </w:rPr>
              <w:t>2</w:t>
            </w:r>
            <w:r w:rsidRPr="00CC2BFB">
              <w:rPr>
                <w:rFonts w:eastAsia="Calibri"/>
                <w:sz w:val="20"/>
                <w:szCs w:val="20"/>
              </w:rPr>
              <w:t xml:space="preserve"> MIPS performance period (b)</w:t>
            </w:r>
          </w:p>
        </w:tc>
        <w:tc>
          <w:tcPr>
            <w:tcW w:w="1080" w:type="dxa"/>
            <w:shd w:val="clear" w:color="auto" w:fill="auto"/>
            <w:noWrap/>
            <w:vAlign w:val="center"/>
            <w:hideMark/>
          </w:tcPr>
          <w:p w:rsidRPr="00925658" w:rsidR="0045266D" w:rsidP="001E3574" w:rsidRDefault="0045266D" w14:paraId="69C73716" w14:textId="52F308DD">
            <w:pPr>
              <w:keepNext/>
              <w:keepLines/>
              <w:spacing w:after="0"/>
              <w:rPr>
                <w:sz w:val="20"/>
                <w:szCs w:val="20"/>
              </w:rPr>
            </w:pPr>
            <w:r w:rsidRPr="00E3760B">
              <w:rPr>
                <w:rFonts w:eastAsia="Calibri"/>
                <w:sz w:val="20"/>
                <w:szCs w:val="20"/>
              </w:rPr>
              <w:t>17,</w:t>
            </w:r>
            <w:r w:rsidR="00845691">
              <w:rPr>
                <w:rFonts w:eastAsia="Calibri"/>
                <w:sz w:val="20"/>
                <w:szCs w:val="20"/>
              </w:rPr>
              <w:t>717</w:t>
            </w:r>
          </w:p>
        </w:tc>
      </w:tr>
      <w:tr w:rsidRPr="00C47150" w:rsidR="0045266D" w:rsidTr="00A37DA3" w14:paraId="7F908E4E" w14:textId="77777777">
        <w:trPr>
          <w:trHeight w:val="575"/>
        </w:trPr>
        <w:tc>
          <w:tcPr>
            <w:tcW w:w="85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C54D26" w:rsidR="0045266D" w:rsidP="0045266D" w:rsidRDefault="0045266D" w14:paraId="02929A44" w14:textId="308B3F8A">
            <w:pPr>
              <w:spacing w:after="0"/>
              <w:rPr>
                <w:sz w:val="20"/>
                <w:szCs w:val="20"/>
              </w:rPr>
            </w:pPr>
            <w:r w:rsidRPr="00CC2BFB">
              <w:rPr>
                <w:rFonts w:eastAsia="Calibri"/>
                <w:sz w:val="20"/>
                <w:szCs w:val="20"/>
              </w:rPr>
              <w:t xml:space="preserve">Total # of Respondents (Groups, Virtual Groups, and Individual Clinicians) to submit improvement activities data on behalf of clinicians during the </w:t>
            </w:r>
            <w:r w:rsidR="00BA7840">
              <w:rPr>
                <w:rFonts w:eastAsia="Calibri"/>
                <w:sz w:val="20"/>
                <w:szCs w:val="20"/>
              </w:rPr>
              <w:t xml:space="preserve">CY </w:t>
            </w:r>
            <w:r w:rsidRPr="00CC2BFB">
              <w:rPr>
                <w:rFonts w:eastAsia="Calibri"/>
                <w:sz w:val="20"/>
                <w:szCs w:val="20"/>
              </w:rPr>
              <w:t>202</w:t>
            </w:r>
            <w:r w:rsidR="00BA7840">
              <w:rPr>
                <w:rFonts w:eastAsia="Calibri"/>
                <w:sz w:val="20"/>
                <w:szCs w:val="20"/>
              </w:rPr>
              <w:t>2</w:t>
            </w:r>
            <w:r w:rsidRPr="00CC2BFB">
              <w:rPr>
                <w:rFonts w:eastAsia="Calibri"/>
                <w:sz w:val="20"/>
                <w:szCs w:val="20"/>
              </w:rPr>
              <w:t xml:space="preserve"> MIPS performance period (CY 202</w:t>
            </w:r>
            <w:r w:rsidR="00BA7840">
              <w:rPr>
                <w:rFonts w:eastAsia="Calibri"/>
                <w:sz w:val="20"/>
                <w:szCs w:val="20"/>
              </w:rPr>
              <w:t>2</w:t>
            </w:r>
            <w:r>
              <w:rPr>
                <w:rFonts w:eastAsia="Calibri"/>
                <w:sz w:val="20"/>
                <w:szCs w:val="20"/>
              </w:rPr>
              <w:t xml:space="preserve"> </w:t>
            </w:r>
            <w:r w:rsidR="00BA7840">
              <w:rPr>
                <w:rFonts w:eastAsia="Calibri"/>
                <w:sz w:val="20"/>
                <w:szCs w:val="20"/>
              </w:rPr>
              <w:t>Proposed</w:t>
            </w:r>
            <w:r w:rsidRPr="00CC2BFB">
              <w:rPr>
                <w:rFonts w:eastAsia="Calibri"/>
                <w:sz w:val="20"/>
                <w:szCs w:val="20"/>
              </w:rPr>
              <w:t xml:space="preserve"> Rule) (</w:t>
            </w:r>
            <w:r>
              <w:rPr>
                <w:rFonts w:eastAsia="Calibri"/>
                <w:sz w:val="20"/>
                <w:szCs w:val="20"/>
              </w:rPr>
              <w:t>c</w:t>
            </w:r>
            <w:r w:rsidRPr="00CC2BFB">
              <w:rPr>
                <w:rFonts w:eastAsia="Calibri"/>
                <w:sz w:val="20"/>
                <w:szCs w:val="20"/>
              </w:rPr>
              <w:t>) = (a) + (b)</w:t>
            </w:r>
          </w:p>
        </w:tc>
        <w:tc>
          <w:tcPr>
            <w:tcW w:w="1080"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hideMark/>
          </w:tcPr>
          <w:p w:rsidRPr="00925658" w:rsidR="0045266D" w:rsidP="0045266D" w:rsidRDefault="00B21668" w14:paraId="4D34D9B3" w14:textId="69116D4B">
            <w:pPr>
              <w:spacing w:after="0"/>
              <w:rPr>
                <w:sz w:val="20"/>
                <w:szCs w:val="20"/>
              </w:rPr>
            </w:pPr>
            <w:r>
              <w:rPr>
                <w:rFonts w:eastAsia="Calibri"/>
                <w:sz w:val="20"/>
                <w:szCs w:val="20"/>
              </w:rPr>
              <w:t>81,</w:t>
            </w:r>
            <w:r w:rsidR="00AA0ABE">
              <w:rPr>
                <w:rFonts w:eastAsia="Calibri"/>
                <w:sz w:val="20"/>
                <w:szCs w:val="20"/>
              </w:rPr>
              <w:t>562</w:t>
            </w:r>
          </w:p>
        </w:tc>
      </w:tr>
      <w:tr w:rsidRPr="00C47150" w:rsidR="0045266D" w:rsidTr="00A37DA3" w14:paraId="0D5F12E7" w14:textId="77777777">
        <w:trPr>
          <w:trHeight w:val="575"/>
        </w:trPr>
        <w:tc>
          <w:tcPr>
            <w:tcW w:w="85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C54D26" w:rsidR="0045266D" w:rsidP="0045266D" w:rsidRDefault="0045266D" w14:paraId="67B034DA" w14:textId="5C9AC01E">
            <w:pPr>
              <w:spacing w:after="0"/>
              <w:rPr>
                <w:sz w:val="20"/>
                <w:szCs w:val="20"/>
              </w:rPr>
            </w:pPr>
            <w:r w:rsidRPr="00CC2BFB">
              <w:rPr>
                <w:rFonts w:eastAsia="Calibri"/>
                <w:sz w:val="20"/>
                <w:szCs w:val="20"/>
              </w:rPr>
              <w:t xml:space="preserve">*Total # of Respondents (Groups, Virtual Groups, and Individual Clinicians) to submit improvement activities data on behalf of clinicians during the </w:t>
            </w:r>
            <w:r w:rsidR="00735EF9">
              <w:rPr>
                <w:rFonts w:eastAsia="Calibri"/>
                <w:sz w:val="20"/>
                <w:szCs w:val="20"/>
              </w:rPr>
              <w:t xml:space="preserve">CY </w:t>
            </w:r>
            <w:r w:rsidRPr="00CC2BFB">
              <w:rPr>
                <w:rFonts w:eastAsia="Calibri"/>
                <w:sz w:val="20"/>
                <w:szCs w:val="20"/>
              </w:rPr>
              <w:t>2019 MIPS performance period (CY 20</w:t>
            </w:r>
            <w:r>
              <w:rPr>
                <w:rFonts w:eastAsia="Calibri"/>
                <w:sz w:val="20"/>
                <w:szCs w:val="20"/>
              </w:rPr>
              <w:t>2</w:t>
            </w:r>
            <w:r w:rsidR="00320486">
              <w:rPr>
                <w:rFonts w:eastAsia="Calibri"/>
                <w:sz w:val="20"/>
                <w:szCs w:val="20"/>
              </w:rPr>
              <w:t>1</w:t>
            </w:r>
            <w:r w:rsidRPr="00CC2BFB">
              <w:rPr>
                <w:rFonts w:eastAsia="Calibri"/>
                <w:sz w:val="20"/>
                <w:szCs w:val="20"/>
              </w:rPr>
              <w:t xml:space="preserve"> Final Rule) (</w:t>
            </w:r>
            <w:r>
              <w:rPr>
                <w:rFonts w:eastAsia="Calibri"/>
                <w:sz w:val="20"/>
                <w:szCs w:val="20"/>
              </w:rPr>
              <w:t>d</w:t>
            </w:r>
            <w:r w:rsidRPr="00CC2BFB">
              <w:rPr>
                <w:rFonts w:eastAsia="Calibri"/>
                <w:sz w:val="20"/>
                <w:szCs w:val="20"/>
              </w:rPr>
              <w:t>)</w:t>
            </w:r>
          </w:p>
        </w:tc>
        <w:tc>
          <w:tcPr>
            <w:tcW w:w="1080"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rsidRPr="00925658" w:rsidR="0045266D" w:rsidP="0045266D" w:rsidRDefault="002617C0" w14:paraId="6DE88C66" w14:textId="37C931FD">
            <w:pPr>
              <w:spacing w:after="0"/>
              <w:rPr>
                <w:sz w:val="20"/>
                <w:szCs w:val="20"/>
              </w:rPr>
            </w:pPr>
            <w:r>
              <w:rPr>
                <w:rFonts w:eastAsia="Calibri"/>
                <w:sz w:val="20"/>
                <w:szCs w:val="20"/>
              </w:rPr>
              <w:t>79,927</w:t>
            </w:r>
          </w:p>
        </w:tc>
      </w:tr>
      <w:tr w:rsidRPr="00C47150" w:rsidR="0045266D" w:rsidTr="00A37DA3" w14:paraId="700E97FD" w14:textId="77777777">
        <w:trPr>
          <w:trHeight w:val="314"/>
        </w:trPr>
        <w:tc>
          <w:tcPr>
            <w:tcW w:w="85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C54D26" w:rsidR="0045266D" w:rsidP="0045266D" w:rsidRDefault="0045266D" w14:paraId="1364E67C" w14:textId="02CF4302">
            <w:pPr>
              <w:spacing w:after="0"/>
              <w:rPr>
                <w:sz w:val="20"/>
                <w:szCs w:val="20"/>
              </w:rPr>
            </w:pPr>
            <w:r w:rsidRPr="00CC2BFB">
              <w:rPr>
                <w:rFonts w:eastAsia="Calibri"/>
                <w:b/>
                <w:sz w:val="20"/>
                <w:szCs w:val="20"/>
              </w:rPr>
              <w:t>Difference (</w:t>
            </w:r>
            <w:r>
              <w:rPr>
                <w:rFonts w:eastAsia="Calibri"/>
                <w:b/>
                <w:sz w:val="20"/>
                <w:szCs w:val="20"/>
              </w:rPr>
              <w:t>e</w:t>
            </w:r>
            <w:r w:rsidRPr="00CC2BFB">
              <w:rPr>
                <w:rFonts w:eastAsia="Calibri"/>
                <w:b/>
                <w:sz w:val="20"/>
                <w:szCs w:val="20"/>
              </w:rPr>
              <w:t>)=(</w:t>
            </w:r>
            <w:r>
              <w:rPr>
                <w:rFonts w:eastAsia="Calibri"/>
                <w:b/>
                <w:sz w:val="20"/>
                <w:szCs w:val="20"/>
              </w:rPr>
              <w:t>c</w:t>
            </w:r>
            <w:r w:rsidRPr="00CC2BFB">
              <w:rPr>
                <w:rFonts w:eastAsia="Calibri"/>
                <w:b/>
                <w:sz w:val="20"/>
                <w:szCs w:val="20"/>
              </w:rPr>
              <w:t>)-(</w:t>
            </w:r>
            <w:r>
              <w:rPr>
                <w:rFonts w:eastAsia="Calibri"/>
                <w:b/>
                <w:sz w:val="20"/>
                <w:szCs w:val="20"/>
              </w:rPr>
              <w:t>d</w:t>
            </w:r>
            <w:r w:rsidRPr="00CC2BFB">
              <w:rPr>
                <w:rFonts w:eastAsia="Calibri"/>
                <w:b/>
                <w:sz w:val="20"/>
                <w:szCs w:val="20"/>
              </w:rPr>
              <w:t>)</w:t>
            </w:r>
          </w:p>
        </w:tc>
        <w:tc>
          <w:tcPr>
            <w:tcW w:w="1080"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rsidR="0045266D" w:rsidP="0045266D" w:rsidRDefault="007D41AE" w14:paraId="20EAF03A" w14:textId="3C8F90C0">
            <w:pPr>
              <w:spacing w:after="0"/>
              <w:rPr>
                <w:sz w:val="20"/>
                <w:szCs w:val="20"/>
              </w:rPr>
            </w:pPr>
            <w:r>
              <w:rPr>
                <w:rFonts w:eastAsia="Calibri"/>
                <w:b/>
                <w:sz w:val="20"/>
                <w:szCs w:val="20"/>
              </w:rPr>
              <w:t>1,635</w:t>
            </w:r>
          </w:p>
        </w:tc>
      </w:tr>
      <w:bookmarkEnd w:id="9"/>
    </w:tbl>
    <w:p w:rsidR="000160D9" w:rsidP="000160D9" w:rsidRDefault="000160D9" w14:paraId="636734EA" w14:textId="5BE7996B">
      <w:pPr>
        <w:ind w:firstLine="720"/>
      </w:pPr>
    </w:p>
    <w:p w:rsidRPr="006C27F8" w:rsidR="006C27F8" w:rsidP="00E12B53" w:rsidRDefault="00B53D3A" w14:paraId="2AA3FABB" w14:textId="1C3EB345">
      <w:pPr>
        <w:rPr>
          <w:rFonts w:eastAsia="Calibri"/>
        </w:rPr>
      </w:pPr>
      <w:bookmarkStart w:name="_Hlk516985727" w:id="10"/>
      <w:r w:rsidRPr="00CC2BFB">
        <w:rPr>
          <w:rFonts w:eastAsia="Calibri"/>
        </w:rPr>
        <w:t xml:space="preserve">Consistent with </w:t>
      </w:r>
      <w:r w:rsidR="008D7DB5">
        <w:rPr>
          <w:rFonts w:eastAsia="Calibri"/>
        </w:rPr>
        <w:t>our currently approved estimate</w:t>
      </w:r>
      <w:r w:rsidRPr="00CC2BFB">
        <w:rPr>
          <w:rFonts w:eastAsia="Calibri"/>
        </w:rPr>
        <w:t>, we estimate that the per response time required per individual or group is 5 minutes at $9</w:t>
      </w:r>
      <w:r w:rsidR="00D506E2">
        <w:rPr>
          <w:rFonts w:eastAsia="Calibri"/>
        </w:rPr>
        <w:t>5.22</w:t>
      </w:r>
      <w:r w:rsidRPr="00CC2BFB">
        <w:rPr>
          <w:rFonts w:eastAsia="Calibri"/>
        </w:rPr>
        <w:t>/hr for a computer system analyst to submit by logging in and manually attesting that certain activities were performed in the form and manner specified by CMS with a set of authenticated credentials (83 FR 60016</w:t>
      </w:r>
      <w:r w:rsidRPr="00215A6C" w:rsidR="00215A6C">
        <w:rPr>
          <w:rFonts w:eastAsia="Calibri"/>
        </w:rPr>
        <w:t>).</w:t>
      </w:r>
      <w:r w:rsidR="00215A6C">
        <w:rPr>
          <w:rFonts w:eastAsia="Calibri"/>
        </w:rPr>
        <w:t xml:space="preserve">  </w:t>
      </w:r>
      <w:r w:rsidRPr="006C27F8" w:rsidR="006C27F8">
        <w:rPr>
          <w:rFonts w:eastAsia="Calibri"/>
        </w:rPr>
        <w:t xml:space="preserve">  </w:t>
      </w:r>
    </w:p>
    <w:p w:rsidRPr="003428D4" w:rsidR="00D92164" w:rsidP="00E12B53" w:rsidRDefault="006C27F8" w14:paraId="7D2FD4C7" w14:textId="62B6AEFF">
      <w:pPr>
        <w:rPr>
          <w:rFonts w:eastAsia="Calibri"/>
        </w:rPr>
      </w:pPr>
      <w:r w:rsidRPr="006C27F8">
        <w:rPr>
          <w:rFonts w:eastAsia="Calibri"/>
        </w:rPr>
        <w:t xml:space="preserve">As shown in Table </w:t>
      </w:r>
      <w:r w:rsidR="0045266D">
        <w:rPr>
          <w:rFonts w:eastAsia="Calibri"/>
        </w:rPr>
        <w:t>2</w:t>
      </w:r>
      <w:r w:rsidR="007003EC">
        <w:rPr>
          <w:rFonts w:eastAsia="Calibri"/>
        </w:rPr>
        <w:t>5</w:t>
      </w:r>
      <w:r w:rsidRPr="006C27F8">
        <w:rPr>
          <w:rFonts w:eastAsia="Calibri"/>
        </w:rPr>
        <w:t xml:space="preserve">, </w:t>
      </w:r>
      <w:r w:rsidRPr="00C30E10" w:rsidR="00C30E10">
        <w:rPr>
          <w:rFonts w:eastAsia="Calibri"/>
        </w:rPr>
        <w:t>we estimate an annual burden of 6,</w:t>
      </w:r>
      <w:r w:rsidR="00235FFD">
        <w:rPr>
          <w:rFonts w:eastAsia="Calibri"/>
        </w:rPr>
        <w:t>797</w:t>
      </w:r>
      <w:r w:rsidRPr="00C30E10" w:rsidR="00C30E10">
        <w:rPr>
          <w:rFonts w:eastAsia="Calibri"/>
        </w:rPr>
        <w:t xml:space="preserve"> hours (</w:t>
      </w:r>
      <w:r w:rsidR="005A0916">
        <w:rPr>
          <w:rFonts w:eastAsia="Calibri"/>
        </w:rPr>
        <w:t>81,562</w:t>
      </w:r>
      <w:r w:rsidRPr="00C30E10" w:rsidR="00C30E10">
        <w:rPr>
          <w:rFonts w:eastAsia="Calibri"/>
        </w:rPr>
        <w:t xml:space="preserve"> responses x 5 minutes/60) and $6</w:t>
      </w:r>
      <w:r w:rsidR="00651790">
        <w:rPr>
          <w:rFonts w:eastAsia="Calibri"/>
        </w:rPr>
        <w:t>47,</w:t>
      </w:r>
      <w:r w:rsidR="00654E3C">
        <w:rPr>
          <w:rFonts w:eastAsia="Calibri"/>
        </w:rPr>
        <w:t>210</w:t>
      </w:r>
      <w:r w:rsidRPr="00C30E10" w:rsidR="00C30E10">
        <w:rPr>
          <w:rFonts w:eastAsia="Calibri"/>
        </w:rPr>
        <w:t xml:space="preserve"> (6,</w:t>
      </w:r>
      <w:r w:rsidR="00F42A42">
        <w:rPr>
          <w:rFonts w:eastAsia="Calibri"/>
        </w:rPr>
        <w:t>797</w:t>
      </w:r>
      <w:r w:rsidRPr="00C30E10" w:rsidR="00C30E10">
        <w:rPr>
          <w:rFonts w:eastAsia="Calibri"/>
        </w:rPr>
        <w:t xml:space="preserve"> hr x $9</w:t>
      </w:r>
      <w:r w:rsidR="00F42A42">
        <w:rPr>
          <w:rFonts w:eastAsia="Calibri"/>
        </w:rPr>
        <w:t>5.22</w:t>
      </w:r>
      <w:r w:rsidRPr="00CC2BFB" w:rsidR="004F1E7A">
        <w:rPr>
          <w:rFonts w:eastAsia="Calibri"/>
        </w:rPr>
        <w:t>/hr</w:t>
      </w:r>
      <w:r w:rsidRPr="0056401B" w:rsidR="0056401B">
        <w:rPr>
          <w:rFonts w:eastAsia="Calibri"/>
        </w:rPr>
        <w:t>)</w:t>
      </w:r>
      <w:r w:rsidRPr="006C27F8">
        <w:rPr>
          <w:rFonts w:eastAsia="Calibri"/>
        </w:rPr>
        <w:t xml:space="preserve">.  </w:t>
      </w:r>
      <w:bookmarkEnd w:id="10"/>
    </w:p>
    <w:p w:rsidRPr="00C47150" w:rsidR="003C1394" w:rsidP="00334306" w:rsidRDefault="003C1394" w14:paraId="56075C5B" w14:textId="07B36F52">
      <w:pPr>
        <w:keepNext/>
        <w:keepLines/>
        <w:spacing w:after="0"/>
        <w:jc w:val="center"/>
        <w:rPr>
          <w:b/>
          <w:bCs/>
        </w:rPr>
      </w:pPr>
      <w:r w:rsidRPr="00C47150">
        <w:rPr>
          <w:b/>
          <w:bCs/>
        </w:rPr>
        <w:t xml:space="preserve">TABLE </w:t>
      </w:r>
      <w:r w:rsidR="00E520D3">
        <w:rPr>
          <w:b/>
          <w:bCs/>
        </w:rPr>
        <w:t>2</w:t>
      </w:r>
      <w:r w:rsidR="002A601D">
        <w:rPr>
          <w:b/>
          <w:bCs/>
        </w:rPr>
        <w:t>5</w:t>
      </w:r>
      <w:r w:rsidRPr="00C47150">
        <w:rPr>
          <w:b/>
          <w:bCs/>
        </w:rPr>
        <w:t xml:space="preserve">: </w:t>
      </w:r>
      <w:r w:rsidR="001B36F7">
        <w:rPr>
          <w:b/>
          <w:bCs/>
        </w:rPr>
        <w:t xml:space="preserve">Estimated </w:t>
      </w:r>
      <w:r w:rsidRPr="00732012">
        <w:rPr>
          <w:b/>
          <w:bCs/>
        </w:rPr>
        <w:t xml:space="preserve">Burden </w:t>
      </w:r>
      <w:r w:rsidRPr="00C47150">
        <w:rPr>
          <w:b/>
          <w:bCs/>
        </w:rPr>
        <w:t>for Improvement Activities Submission</w:t>
      </w:r>
      <w:r w:rsidR="00901668">
        <w:rPr>
          <w:b/>
          <w:bCs/>
        </w:rPr>
        <w:t xml:space="preserve"> </w:t>
      </w:r>
      <w:r w:rsidR="007E28F5">
        <w:rPr>
          <w:b/>
          <w:bCs/>
        </w:rPr>
        <w:t>in CY 2022</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75"/>
        <w:gridCol w:w="1710"/>
      </w:tblGrid>
      <w:tr w:rsidRPr="00C47150" w:rsidR="003C1394" w:rsidTr="00EA6D44" w14:paraId="4AAF1375" w14:textId="77777777">
        <w:trPr>
          <w:cantSplit/>
          <w:trHeight w:val="300"/>
          <w:tblHeader/>
        </w:trPr>
        <w:tc>
          <w:tcPr>
            <w:tcW w:w="8275" w:type="dxa"/>
            <w:tcBorders>
              <w:bottom w:val="single" w:color="auto" w:sz="4" w:space="0"/>
            </w:tcBorders>
            <w:shd w:val="clear" w:color="auto" w:fill="auto"/>
            <w:hideMark/>
          </w:tcPr>
          <w:p w:rsidRPr="00925658" w:rsidR="003C1394" w:rsidP="00334306" w:rsidRDefault="00493F4D" w14:paraId="736EEA52" w14:textId="6A11631E">
            <w:pPr>
              <w:keepNext/>
              <w:keepLines/>
              <w:spacing w:after="0"/>
              <w:rPr>
                <w:b/>
                <w:sz w:val="20"/>
                <w:szCs w:val="20"/>
              </w:rPr>
            </w:pPr>
            <w:bookmarkStart w:name="_Hlk495399780" w:id="11"/>
            <w:r w:rsidRPr="00B05B18">
              <w:rPr>
                <w:b/>
                <w:sz w:val="20"/>
                <w:szCs w:val="20"/>
              </w:rPr>
              <w:t>Burden and Respondent Descriptions</w:t>
            </w:r>
          </w:p>
        </w:tc>
        <w:tc>
          <w:tcPr>
            <w:tcW w:w="1710" w:type="dxa"/>
            <w:tcBorders>
              <w:bottom w:val="single" w:color="auto" w:sz="4" w:space="0"/>
            </w:tcBorders>
            <w:shd w:val="clear" w:color="auto" w:fill="auto"/>
            <w:vAlign w:val="center"/>
            <w:hideMark/>
          </w:tcPr>
          <w:p w:rsidRPr="00925658" w:rsidR="003C1394" w:rsidP="00334306" w:rsidRDefault="003C1394" w14:paraId="01202EC6" w14:textId="77777777">
            <w:pPr>
              <w:keepNext/>
              <w:keepLines/>
              <w:spacing w:after="0"/>
              <w:rPr>
                <w:b/>
                <w:sz w:val="20"/>
                <w:szCs w:val="20"/>
              </w:rPr>
            </w:pPr>
            <w:r w:rsidRPr="00925658">
              <w:rPr>
                <w:b/>
                <w:sz w:val="20"/>
                <w:szCs w:val="20"/>
              </w:rPr>
              <w:t>Burden Estimate</w:t>
            </w:r>
          </w:p>
        </w:tc>
      </w:tr>
      <w:tr w:rsidRPr="00C47150" w:rsidR="00D92164" w:rsidTr="00EA6D44" w14:paraId="45018D93" w14:textId="77777777">
        <w:trPr>
          <w:trHeight w:val="422"/>
        </w:trPr>
        <w:tc>
          <w:tcPr>
            <w:tcW w:w="8275" w:type="dxa"/>
            <w:shd w:val="clear" w:color="auto" w:fill="auto"/>
            <w:hideMark/>
          </w:tcPr>
          <w:p w:rsidRPr="00925658" w:rsidR="00D92164" w:rsidP="00D92164" w:rsidRDefault="00D92164" w14:paraId="398A4BD1" w14:textId="09C25D4E">
            <w:pPr>
              <w:spacing w:after="0"/>
              <w:rPr>
                <w:sz w:val="20"/>
                <w:szCs w:val="20"/>
              </w:rPr>
            </w:pPr>
            <w:r w:rsidRPr="00925658">
              <w:rPr>
                <w:sz w:val="20"/>
                <w:szCs w:val="20"/>
              </w:rPr>
              <w:t xml:space="preserve">Total # of Respondents (Groups, Virtual Groups, and Individual Clinicians) to submit improvement activities data on behalf of clinicians during the </w:t>
            </w:r>
            <w:r w:rsidR="00F86D35">
              <w:rPr>
                <w:sz w:val="20"/>
                <w:szCs w:val="20"/>
              </w:rPr>
              <w:t xml:space="preserve">CY </w:t>
            </w:r>
            <w:r w:rsidRPr="00925658">
              <w:rPr>
                <w:sz w:val="20"/>
                <w:szCs w:val="20"/>
              </w:rPr>
              <w:t>20</w:t>
            </w:r>
            <w:r w:rsidR="00F86D35">
              <w:rPr>
                <w:sz w:val="20"/>
                <w:szCs w:val="20"/>
              </w:rPr>
              <w:t>22</w:t>
            </w:r>
            <w:r w:rsidRPr="00925658">
              <w:rPr>
                <w:sz w:val="20"/>
                <w:szCs w:val="20"/>
              </w:rPr>
              <w:t xml:space="preserve"> MIPS performance period</w:t>
            </w:r>
            <w:r w:rsidRPr="00925658" w:rsidDel="00A72B9F">
              <w:rPr>
                <w:sz w:val="20"/>
                <w:szCs w:val="20"/>
              </w:rPr>
              <w:t xml:space="preserve"> </w:t>
            </w:r>
            <w:r w:rsidRPr="00925658">
              <w:rPr>
                <w:sz w:val="20"/>
                <w:szCs w:val="20"/>
              </w:rPr>
              <w:t>(a)</w:t>
            </w:r>
          </w:p>
        </w:tc>
        <w:tc>
          <w:tcPr>
            <w:tcW w:w="1710" w:type="dxa"/>
            <w:shd w:val="clear" w:color="auto" w:fill="auto"/>
            <w:vAlign w:val="center"/>
            <w:hideMark/>
          </w:tcPr>
          <w:p w:rsidRPr="00925658" w:rsidR="00D92164" w:rsidP="00D92164" w:rsidRDefault="00BF738E" w14:paraId="098B6DD7" w14:textId="00823BE0">
            <w:pPr>
              <w:spacing w:after="0"/>
              <w:rPr>
                <w:sz w:val="20"/>
                <w:szCs w:val="20"/>
              </w:rPr>
            </w:pPr>
            <w:r>
              <w:rPr>
                <w:rFonts w:eastAsia="Calibri"/>
                <w:sz w:val="20"/>
                <w:szCs w:val="20"/>
              </w:rPr>
              <w:t>81,562</w:t>
            </w:r>
          </w:p>
        </w:tc>
      </w:tr>
      <w:tr w:rsidRPr="00C47150" w:rsidR="00D92164" w:rsidTr="00EA6D44" w14:paraId="2D5DD2D8" w14:textId="77777777">
        <w:trPr>
          <w:trHeight w:val="268"/>
        </w:trPr>
        <w:tc>
          <w:tcPr>
            <w:tcW w:w="8275" w:type="dxa"/>
            <w:shd w:val="clear" w:color="auto" w:fill="auto"/>
            <w:hideMark/>
          </w:tcPr>
          <w:p w:rsidRPr="00925658" w:rsidR="00D92164" w:rsidP="00D92164" w:rsidRDefault="00D92164" w14:paraId="67A10A48" w14:textId="77777777">
            <w:pPr>
              <w:spacing w:after="0"/>
              <w:rPr>
                <w:sz w:val="20"/>
                <w:szCs w:val="20"/>
              </w:rPr>
            </w:pPr>
            <w:r w:rsidRPr="00732012">
              <w:rPr>
                <w:sz w:val="20"/>
                <w:szCs w:val="20"/>
              </w:rPr>
              <w:t xml:space="preserve">Total Annual Hours Per Respondent (b) </w:t>
            </w:r>
          </w:p>
        </w:tc>
        <w:tc>
          <w:tcPr>
            <w:tcW w:w="1710" w:type="dxa"/>
            <w:shd w:val="clear" w:color="auto" w:fill="auto"/>
            <w:vAlign w:val="center"/>
            <w:hideMark/>
          </w:tcPr>
          <w:p w:rsidRPr="00925658" w:rsidR="00D92164" w:rsidP="00D92164" w:rsidRDefault="009A005C" w14:paraId="281449BE" w14:textId="1F3FBF3E">
            <w:pPr>
              <w:spacing w:after="0"/>
              <w:rPr>
                <w:sz w:val="20"/>
                <w:szCs w:val="20"/>
              </w:rPr>
            </w:pPr>
            <w:r>
              <w:rPr>
                <w:rFonts w:eastAsia="Calibri"/>
                <w:sz w:val="20"/>
                <w:szCs w:val="20"/>
              </w:rPr>
              <w:t>0.083</w:t>
            </w:r>
          </w:p>
        </w:tc>
      </w:tr>
      <w:tr w:rsidRPr="00C47150" w:rsidR="00D92164" w:rsidTr="00EA6D44" w14:paraId="73D51D54" w14:textId="77777777">
        <w:trPr>
          <w:trHeight w:val="215"/>
        </w:trPr>
        <w:tc>
          <w:tcPr>
            <w:tcW w:w="8275" w:type="dxa"/>
            <w:shd w:val="clear" w:color="auto" w:fill="D9D9D9" w:themeFill="background1" w:themeFillShade="D9"/>
            <w:hideMark/>
          </w:tcPr>
          <w:p w:rsidRPr="0042686B" w:rsidR="00D92164" w:rsidP="00D92164" w:rsidRDefault="00D92164" w14:paraId="036E73A0" w14:textId="77777777">
            <w:pPr>
              <w:spacing w:after="0"/>
              <w:rPr>
                <w:b/>
                <w:sz w:val="20"/>
                <w:szCs w:val="20"/>
              </w:rPr>
            </w:pPr>
            <w:r w:rsidRPr="0042686B">
              <w:rPr>
                <w:b/>
                <w:sz w:val="20"/>
                <w:szCs w:val="20"/>
              </w:rPr>
              <w:t xml:space="preserve">Total Annual Hours (c) </w:t>
            </w:r>
          </w:p>
        </w:tc>
        <w:tc>
          <w:tcPr>
            <w:tcW w:w="1710" w:type="dxa"/>
            <w:shd w:val="clear" w:color="auto" w:fill="D9D9D9" w:themeFill="background1" w:themeFillShade="D9"/>
            <w:vAlign w:val="center"/>
            <w:hideMark/>
          </w:tcPr>
          <w:p w:rsidRPr="0042686B" w:rsidR="00D92164" w:rsidP="00D92164" w:rsidRDefault="00C30E10" w14:paraId="3F567BB8" w14:textId="6B987035">
            <w:pPr>
              <w:spacing w:after="0"/>
              <w:rPr>
                <w:b/>
                <w:sz w:val="20"/>
                <w:szCs w:val="20"/>
              </w:rPr>
            </w:pPr>
            <w:r>
              <w:rPr>
                <w:b/>
                <w:sz w:val="20"/>
                <w:szCs w:val="20"/>
              </w:rPr>
              <w:t>6,</w:t>
            </w:r>
            <w:r w:rsidR="00DB4038">
              <w:rPr>
                <w:b/>
                <w:sz w:val="20"/>
                <w:szCs w:val="20"/>
              </w:rPr>
              <w:t>797</w:t>
            </w:r>
          </w:p>
        </w:tc>
      </w:tr>
      <w:tr w:rsidRPr="00C47150" w:rsidR="00D92164" w:rsidTr="00EA6D44" w14:paraId="64C3627A" w14:textId="77777777">
        <w:trPr>
          <w:trHeight w:val="305"/>
        </w:trPr>
        <w:tc>
          <w:tcPr>
            <w:tcW w:w="8275" w:type="dxa"/>
            <w:shd w:val="clear" w:color="auto" w:fill="auto"/>
            <w:hideMark/>
          </w:tcPr>
          <w:p w:rsidRPr="00925658" w:rsidR="00D92164" w:rsidP="00D92164" w:rsidRDefault="00D92164" w14:paraId="51D31766" w14:textId="77777777">
            <w:pPr>
              <w:spacing w:after="0"/>
              <w:rPr>
                <w:sz w:val="20"/>
                <w:szCs w:val="20"/>
              </w:rPr>
            </w:pPr>
            <w:r w:rsidRPr="00732012">
              <w:rPr>
                <w:sz w:val="20"/>
                <w:szCs w:val="20"/>
              </w:rPr>
              <w:t>Labor rate for a computer systems analyst to submit improvement activities (d)</w:t>
            </w:r>
          </w:p>
        </w:tc>
        <w:tc>
          <w:tcPr>
            <w:tcW w:w="1710" w:type="dxa"/>
            <w:shd w:val="clear" w:color="auto" w:fill="auto"/>
            <w:vAlign w:val="center"/>
            <w:hideMark/>
          </w:tcPr>
          <w:p w:rsidRPr="00925658" w:rsidR="00D92164" w:rsidP="00D92164" w:rsidRDefault="00D92164" w14:paraId="2A3595DF" w14:textId="52159FEB">
            <w:pPr>
              <w:spacing w:after="0"/>
              <w:rPr>
                <w:sz w:val="20"/>
                <w:szCs w:val="20"/>
              </w:rPr>
            </w:pPr>
            <w:r w:rsidRPr="00317099">
              <w:rPr>
                <w:rFonts w:eastAsia="Calibri"/>
                <w:sz w:val="20"/>
                <w:szCs w:val="20"/>
              </w:rPr>
              <w:t>$</w:t>
            </w:r>
            <w:r w:rsidR="002B67EB">
              <w:rPr>
                <w:rFonts w:eastAsia="Calibri"/>
                <w:sz w:val="20"/>
                <w:szCs w:val="20"/>
              </w:rPr>
              <w:t>9</w:t>
            </w:r>
            <w:r w:rsidR="007005AA">
              <w:rPr>
                <w:rFonts w:eastAsia="Calibri"/>
                <w:sz w:val="20"/>
                <w:szCs w:val="20"/>
              </w:rPr>
              <w:t>5.22</w:t>
            </w:r>
            <w:r w:rsidRPr="00317099">
              <w:rPr>
                <w:rFonts w:eastAsia="Calibri"/>
                <w:sz w:val="20"/>
                <w:szCs w:val="20"/>
              </w:rPr>
              <w:t>/hr</w:t>
            </w:r>
          </w:p>
        </w:tc>
      </w:tr>
      <w:tr w:rsidRPr="00C47150" w:rsidR="00D92164" w:rsidTr="00EA6D44" w14:paraId="0BD46FBD" w14:textId="77777777">
        <w:trPr>
          <w:trHeight w:val="300"/>
        </w:trPr>
        <w:tc>
          <w:tcPr>
            <w:tcW w:w="8275" w:type="dxa"/>
            <w:shd w:val="clear" w:color="auto" w:fill="D9D9D9" w:themeFill="background1" w:themeFillShade="D9"/>
            <w:hideMark/>
          </w:tcPr>
          <w:p w:rsidRPr="0042686B" w:rsidR="00D92164" w:rsidP="00D92164" w:rsidRDefault="00D92164" w14:paraId="36A5D3B0" w14:textId="46B91C98">
            <w:pPr>
              <w:spacing w:after="0"/>
              <w:rPr>
                <w:b/>
                <w:sz w:val="20"/>
                <w:szCs w:val="20"/>
              </w:rPr>
            </w:pPr>
            <w:r w:rsidRPr="0042686B">
              <w:rPr>
                <w:b/>
                <w:sz w:val="20"/>
                <w:szCs w:val="20"/>
              </w:rPr>
              <w:t>Total Annual Cost (e) = (</w:t>
            </w:r>
            <w:r w:rsidR="00DB63D5">
              <w:rPr>
                <w:b/>
                <w:sz w:val="20"/>
                <w:szCs w:val="20"/>
              </w:rPr>
              <w:t>c</w:t>
            </w:r>
            <w:r w:rsidRPr="0042686B">
              <w:rPr>
                <w:b/>
                <w:sz w:val="20"/>
                <w:szCs w:val="20"/>
              </w:rPr>
              <w:t>)*(d)</w:t>
            </w:r>
          </w:p>
        </w:tc>
        <w:tc>
          <w:tcPr>
            <w:tcW w:w="1710" w:type="dxa"/>
            <w:shd w:val="clear" w:color="auto" w:fill="D9D9D9" w:themeFill="background1" w:themeFillShade="D9"/>
            <w:vAlign w:val="center"/>
            <w:hideMark/>
          </w:tcPr>
          <w:p w:rsidRPr="0042686B" w:rsidR="00D92164" w:rsidP="00D92164" w:rsidRDefault="00D92164" w14:paraId="12B6D9F6" w14:textId="3D82D15E">
            <w:pPr>
              <w:spacing w:after="0"/>
              <w:rPr>
                <w:b/>
                <w:sz w:val="20"/>
                <w:szCs w:val="20"/>
              </w:rPr>
            </w:pPr>
            <w:r w:rsidRPr="0042686B">
              <w:rPr>
                <w:rFonts w:eastAsia="Calibri"/>
                <w:b/>
                <w:sz w:val="20"/>
                <w:szCs w:val="20"/>
              </w:rPr>
              <w:t>$</w:t>
            </w:r>
            <w:r w:rsidR="00C30E10">
              <w:rPr>
                <w:rFonts w:eastAsia="Calibri"/>
                <w:b/>
                <w:sz w:val="20"/>
                <w:szCs w:val="20"/>
              </w:rPr>
              <w:t>6</w:t>
            </w:r>
            <w:r w:rsidR="00FB55DD">
              <w:rPr>
                <w:rFonts w:eastAsia="Calibri"/>
                <w:b/>
                <w:sz w:val="20"/>
                <w:szCs w:val="20"/>
              </w:rPr>
              <w:t>47,</w:t>
            </w:r>
            <w:r w:rsidR="00C16EC0">
              <w:rPr>
                <w:rFonts w:eastAsia="Calibri"/>
                <w:b/>
                <w:sz w:val="20"/>
                <w:szCs w:val="20"/>
              </w:rPr>
              <w:t>210</w:t>
            </w:r>
            <w:r w:rsidR="009A005C">
              <w:rPr>
                <w:rFonts w:eastAsia="Calibri"/>
                <w:b/>
                <w:sz w:val="20"/>
                <w:szCs w:val="20"/>
              </w:rPr>
              <w:t>*</w:t>
            </w:r>
          </w:p>
        </w:tc>
      </w:tr>
    </w:tbl>
    <w:bookmarkEnd w:id="11"/>
    <w:p w:rsidR="00E337D8" w:rsidP="00E53E05" w:rsidRDefault="009A005C" w14:paraId="1EB01409" w14:textId="3542EA12">
      <w:pPr>
        <w:keepNext/>
        <w:keepLines/>
        <w:widowControl w:val="0"/>
        <w:rPr>
          <w:rFonts w:eastAsia="Calibri"/>
          <w:snapToGrid w:val="0"/>
        </w:rPr>
      </w:pPr>
      <w:r w:rsidRPr="00871E51">
        <w:rPr>
          <w:rFonts w:eastAsia="Calibri"/>
          <w:sz w:val="20"/>
          <w:szCs w:val="20"/>
        </w:rPr>
        <w:t>*Due to burden for certain activities being estimated in fractions of hours, totals may not reflect the sum of individual rows due to rounding.</w:t>
      </w:r>
    </w:p>
    <w:p w:rsidR="003C1394" w:rsidP="00E87915" w:rsidRDefault="00E337D8" w14:paraId="0AE66F94" w14:textId="66570315">
      <w:pPr>
        <w:ind w:firstLine="720"/>
        <w:rPr>
          <w:rFonts w:eastAsia="Calibri"/>
        </w:rPr>
      </w:pPr>
      <w:r>
        <w:rPr>
          <w:rFonts w:eastAsia="Calibri"/>
          <w:snapToGrid w:val="0"/>
        </w:rPr>
        <w:t>In th</w:t>
      </w:r>
      <w:r w:rsidR="00222083">
        <w:rPr>
          <w:rFonts w:eastAsia="Calibri"/>
          <w:snapToGrid w:val="0"/>
        </w:rPr>
        <w:t xml:space="preserve">e CY 2022 PFS </w:t>
      </w:r>
      <w:r>
        <w:rPr>
          <w:rFonts w:eastAsia="Calibri"/>
          <w:snapToGrid w:val="0"/>
        </w:rPr>
        <w:t>proposed rule</w:t>
      </w:r>
      <w:r w:rsidR="001A6764">
        <w:rPr>
          <w:rFonts w:eastAsia="Calibri"/>
          <w:snapToGrid w:val="0"/>
        </w:rPr>
        <w:t xml:space="preserve"> (86 FR 39357 through 39358)</w:t>
      </w:r>
      <w:r>
        <w:rPr>
          <w:rFonts w:eastAsia="Calibri"/>
          <w:snapToGrid w:val="0"/>
        </w:rPr>
        <w:t>, we are proposing subgroup reporting in the CY 2023 MIPS performance period</w:t>
      </w:r>
      <w:r>
        <w:rPr>
          <w:rFonts w:eastAsia="Calibri"/>
        </w:rPr>
        <w:t>/2025 MIPS payment year</w:t>
      </w:r>
      <w:r>
        <w:rPr>
          <w:rFonts w:eastAsia="Calibri"/>
          <w:snapToGrid w:val="0"/>
        </w:rPr>
        <w:t>. We estimate that there will be 20 subgroup reporters in the CY 2023 MIPS performance period</w:t>
      </w:r>
      <w:r>
        <w:rPr>
          <w:rFonts w:eastAsia="Calibri"/>
        </w:rPr>
        <w:t>/2025 MIPS payment year</w:t>
      </w:r>
      <w:r>
        <w:rPr>
          <w:rFonts w:eastAsia="Calibri"/>
          <w:snapToGrid w:val="0"/>
        </w:rPr>
        <w:t>, each of which will have burden related to the submission of improvement activities.</w:t>
      </w:r>
      <w:r w:rsidR="00AA7030">
        <w:rPr>
          <w:rFonts w:eastAsia="Calibri"/>
          <w:snapToGrid w:val="0"/>
        </w:rPr>
        <w:t xml:space="preserve"> </w:t>
      </w:r>
      <w:r w:rsidR="00E4782F">
        <w:rPr>
          <w:rFonts w:eastAsia="Calibri"/>
          <w:snapToGrid w:val="0"/>
        </w:rPr>
        <w:t xml:space="preserve">For </w:t>
      </w:r>
      <w:r w:rsidR="00E4782F">
        <w:rPr>
          <w:rFonts w:eastAsia="Calibri"/>
        </w:rPr>
        <w:t>the CY 2023 MIPS performance period/2025 MIPS payment year,</w:t>
      </w:r>
      <w:r w:rsidRPr="00977610" w:rsidR="00E4782F">
        <w:rPr>
          <w:rFonts w:eastAsia="Calibri"/>
        </w:rPr>
        <w:t xml:space="preserve"> we estimate an annual burden of 6,</w:t>
      </w:r>
      <w:r w:rsidR="00E4782F">
        <w:rPr>
          <w:rFonts w:eastAsia="Calibri"/>
        </w:rPr>
        <w:t>7</w:t>
      </w:r>
      <w:r w:rsidR="001B5240">
        <w:rPr>
          <w:rFonts w:eastAsia="Calibri"/>
        </w:rPr>
        <w:t>71</w:t>
      </w:r>
      <w:r w:rsidRPr="00977610" w:rsidR="00E4782F">
        <w:rPr>
          <w:rFonts w:eastAsia="Calibri"/>
        </w:rPr>
        <w:t xml:space="preserve"> hours (</w:t>
      </w:r>
      <w:r w:rsidR="00E4782F">
        <w:rPr>
          <w:rFonts w:eastAsia="Calibri"/>
        </w:rPr>
        <w:t>81,582</w:t>
      </w:r>
      <w:r w:rsidRPr="00977610" w:rsidR="00E4782F">
        <w:rPr>
          <w:rFonts w:eastAsia="Calibri"/>
        </w:rPr>
        <w:t xml:space="preserve"> responses x </w:t>
      </w:r>
      <w:r w:rsidR="001B5240">
        <w:rPr>
          <w:rFonts w:eastAsia="Calibri"/>
        </w:rPr>
        <w:t>0</w:t>
      </w:r>
      <w:r w:rsidR="00F97D07">
        <w:rPr>
          <w:rFonts w:eastAsia="Calibri"/>
        </w:rPr>
        <w:t>.083</w:t>
      </w:r>
      <w:r w:rsidRPr="00977610" w:rsidR="00E4782F">
        <w:rPr>
          <w:rFonts w:eastAsia="Calibri"/>
        </w:rPr>
        <w:t>) and $</w:t>
      </w:r>
      <w:r w:rsidR="00E4782F">
        <w:rPr>
          <w:rFonts w:eastAsia="Calibri"/>
        </w:rPr>
        <w:t>64</w:t>
      </w:r>
      <w:r w:rsidR="001B5240">
        <w:rPr>
          <w:rFonts w:eastAsia="Calibri"/>
        </w:rPr>
        <w:t>4</w:t>
      </w:r>
      <w:r w:rsidR="00E4782F">
        <w:rPr>
          <w:rFonts w:eastAsia="Calibri"/>
        </w:rPr>
        <w:t>,</w:t>
      </w:r>
      <w:r w:rsidR="001B5240">
        <w:rPr>
          <w:rFonts w:eastAsia="Calibri"/>
        </w:rPr>
        <w:t>735</w:t>
      </w:r>
      <w:r w:rsidRPr="00977610" w:rsidR="00E4782F">
        <w:rPr>
          <w:rFonts w:eastAsia="Calibri"/>
        </w:rPr>
        <w:t xml:space="preserve"> (6,</w:t>
      </w:r>
      <w:r w:rsidR="00E4782F">
        <w:rPr>
          <w:rFonts w:eastAsia="Calibri"/>
        </w:rPr>
        <w:t>7</w:t>
      </w:r>
      <w:r w:rsidR="001B5240">
        <w:rPr>
          <w:rFonts w:eastAsia="Calibri"/>
        </w:rPr>
        <w:t>71</w:t>
      </w:r>
      <w:r w:rsidRPr="00977610" w:rsidR="00E4782F">
        <w:rPr>
          <w:rFonts w:eastAsia="Calibri"/>
        </w:rPr>
        <w:t xml:space="preserve"> hr x $</w:t>
      </w:r>
      <w:r w:rsidR="00E4782F">
        <w:rPr>
          <w:rFonts w:eastAsia="Calibri"/>
        </w:rPr>
        <w:t>95.22</w:t>
      </w:r>
      <w:r w:rsidRPr="00977610" w:rsidR="00E4782F">
        <w:rPr>
          <w:rFonts w:eastAsia="Calibri"/>
        </w:rPr>
        <w:t>/hr)</w:t>
      </w:r>
      <w:r w:rsidR="008D5226">
        <w:rPr>
          <w:rFonts w:eastAsia="Calibri"/>
        </w:rPr>
        <w:t xml:space="preserve">. </w:t>
      </w:r>
    </w:p>
    <w:p w:rsidRPr="00C47150" w:rsidR="00901668" w:rsidP="00901668" w:rsidRDefault="00901668" w14:paraId="7192A531" w14:textId="0B200492">
      <w:pPr>
        <w:keepNext/>
        <w:keepLines/>
        <w:spacing w:after="0"/>
        <w:jc w:val="center"/>
        <w:rPr>
          <w:b/>
          <w:bCs/>
        </w:rPr>
      </w:pPr>
      <w:r w:rsidRPr="00C47150">
        <w:rPr>
          <w:b/>
          <w:bCs/>
        </w:rPr>
        <w:t xml:space="preserve">TABLE </w:t>
      </w:r>
      <w:r>
        <w:rPr>
          <w:b/>
          <w:bCs/>
        </w:rPr>
        <w:t>2</w:t>
      </w:r>
      <w:r w:rsidR="002A601D">
        <w:rPr>
          <w:b/>
          <w:bCs/>
        </w:rPr>
        <w:t>6</w:t>
      </w:r>
      <w:r w:rsidRPr="00C47150">
        <w:rPr>
          <w:b/>
          <w:bCs/>
        </w:rPr>
        <w:t xml:space="preserve">: </w:t>
      </w:r>
      <w:r>
        <w:rPr>
          <w:b/>
          <w:bCs/>
        </w:rPr>
        <w:t xml:space="preserve">Estimated </w:t>
      </w:r>
      <w:r w:rsidRPr="00732012">
        <w:rPr>
          <w:b/>
          <w:bCs/>
        </w:rPr>
        <w:t xml:space="preserve">Burden </w:t>
      </w:r>
      <w:r w:rsidRPr="00C47150">
        <w:rPr>
          <w:b/>
          <w:bCs/>
        </w:rPr>
        <w:t>for Improvement Activities Submission</w:t>
      </w:r>
      <w:r w:rsidR="007E28F5">
        <w:rPr>
          <w:b/>
          <w:bCs/>
        </w:rPr>
        <w:t xml:space="preserve"> in CY 2023</w:t>
      </w:r>
    </w:p>
    <w:tbl>
      <w:tblPr>
        <w:tblW w:w="10115"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70"/>
        <w:gridCol w:w="1745"/>
      </w:tblGrid>
      <w:tr w:rsidRPr="00C47150" w:rsidR="00901668" w:rsidTr="00721EBD" w14:paraId="1F334858" w14:textId="77777777">
        <w:trPr>
          <w:cantSplit/>
          <w:trHeight w:val="300"/>
          <w:tblHeader/>
        </w:trPr>
        <w:tc>
          <w:tcPr>
            <w:tcW w:w="8370" w:type="dxa"/>
            <w:tcBorders>
              <w:bottom w:val="single" w:color="auto" w:sz="4" w:space="0"/>
            </w:tcBorders>
            <w:shd w:val="clear" w:color="auto" w:fill="auto"/>
            <w:hideMark/>
          </w:tcPr>
          <w:p w:rsidRPr="00925658" w:rsidR="00901668" w:rsidP="003D73AE" w:rsidRDefault="00901668" w14:paraId="21D845B5" w14:textId="77777777">
            <w:pPr>
              <w:keepNext/>
              <w:keepLines/>
              <w:spacing w:after="0"/>
              <w:rPr>
                <w:b/>
                <w:sz w:val="20"/>
                <w:szCs w:val="20"/>
              </w:rPr>
            </w:pPr>
            <w:r w:rsidRPr="00B05B18">
              <w:rPr>
                <w:b/>
                <w:sz w:val="20"/>
                <w:szCs w:val="20"/>
              </w:rPr>
              <w:t>Burden and Respondent Descriptions</w:t>
            </w:r>
          </w:p>
        </w:tc>
        <w:tc>
          <w:tcPr>
            <w:tcW w:w="1745" w:type="dxa"/>
            <w:tcBorders>
              <w:bottom w:val="single" w:color="auto" w:sz="4" w:space="0"/>
            </w:tcBorders>
            <w:shd w:val="clear" w:color="auto" w:fill="auto"/>
            <w:vAlign w:val="center"/>
            <w:hideMark/>
          </w:tcPr>
          <w:p w:rsidRPr="00925658" w:rsidR="00901668" w:rsidP="003D73AE" w:rsidRDefault="00901668" w14:paraId="00F702CE" w14:textId="77777777">
            <w:pPr>
              <w:keepNext/>
              <w:keepLines/>
              <w:spacing w:after="0"/>
              <w:rPr>
                <w:b/>
                <w:sz w:val="20"/>
                <w:szCs w:val="20"/>
              </w:rPr>
            </w:pPr>
            <w:r w:rsidRPr="00925658">
              <w:rPr>
                <w:b/>
                <w:sz w:val="20"/>
                <w:szCs w:val="20"/>
              </w:rPr>
              <w:t>Burden Estimate</w:t>
            </w:r>
          </w:p>
        </w:tc>
      </w:tr>
      <w:tr w:rsidRPr="00C47150" w:rsidR="00901668" w:rsidTr="00721EBD" w14:paraId="7EA8DA90" w14:textId="77777777">
        <w:trPr>
          <w:trHeight w:val="422"/>
        </w:trPr>
        <w:tc>
          <w:tcPr>
            <w:tcW w:w="8370" w:type="dxa"/>
            <w:shd w:val="clear" w:color="auto" w:fill="auto"/>
            <w:hideMark/>
          </w:tcPr>
          <w:p w:rsidRPr="00925658" w:rsidR="00901668" w:rsidP="003D73AE" w:rsidRDefault="00901668" w14:paraId="0D6B1198" w14:textId="665C14A7">
            <w:pPr>
              <w:spacing w:after="0"/>
              <w:rPr>
                <w:sz w:val="20"/>
                <w:szCs w:val="20"/>
              </w:rPr>
            </w:pPr>
            <w:r w:rsidRPr="00925658">
              <w:rPr>
                <w:sz w:val="20"/>
                <w:szCs w:val="20"/>
              </w:rPr>
              <w:t xml:space="preserve">Total # of Respondents (Groups, </w:t>
            </w:r>
            <w:r w:rsidR="00D8242C">
              <w:rPr>
                <w:sz w:val="20"/>
                <w:szCs w:val="20"/>
              </w:rPr>
              <w:t xml:space="preserve">Subgroups, </w:t>
            </w:r>
            <w:r w:rsidRPr="00925658">
              <w:rPr>
                <w:sz w:val="20"/>
                <w:szCs w:val="20"/>
              </w:rPr>
              <w:t xml:space="preserve">Virtual Groups, and Individual Clinicians) to submit improvement activities data on behalf of clinicians during the </w:t>
            </w:r>
            <w:r>
              <w:rPr>
                <w:sz w:val="20"/>
                <w:szCs w:val="20"/>
              </w:rPr>
              <w:t xml:space="preserve">CY </w:t>
            </w:r>
            <w:r w:rsidRPr="00925658">
              <w:rPr>
                <w:sz w:val="20"/>
                <w:szCs w:val="20"/>
              </w:rPr>
              <w:t>20</w:t>
            </w:r>
            <w:r>
              <w:rPr>
                <w:sz w:val="20"/>
                <w:szCs w:val="20"/>
              </w:rPr>
              <w:t>2</w:t>
            </w:r>
            <w:r w:rsidR="00337EA3">
              <w:rPr>
                <w:sz w:val="20"/>
                <w:szCs w:val="20"/>
              </w:rPr>
              <w:t>3</w:t>
            </w:r>
            <w:r w:rsidRPr="00925658">
              <w:rPr>
                <w:sz w:val="20"/>
                <w:szCs w:val="20"/>
              </w:rPr>
              <w:t xml:space="preserve"> MIPS performance period</w:t>
            </w:r>
            <w:r w:rsidRPr="00925658" w:rsidDel="00A72B9F">
              <w:rPr>
                <w:sz w:val="20"/>
                <w:szCs w:val="20"/>
              </w:rPr>
              <w:t xml:space="preserve"> </w:t>
            </w:r>
            <w:r w:rsidRPr="00925658">
              <w:rPr>
                <w:sz w:val="20"/>
                <w:szCs w:val="20"/>
              </w:rPr>
              <w:t>(a)</w:t>
            </w:r>
          </w:p>
        </w:tc>
        <w:tc>
          <w:tcPr>
            <w:tcW w:w="1745" w:type="dxa"/>
            <w:shd w:val="clear" w:color="auto" w:fill="auto"/>
            <w:vAlign w:val="center"/>
            <w:hideMark/>
          </w:tcPr>
          <w:p w:rsidRPr="00925658" w:rsidR="00901668" w:rsidP="003D73AE" w:rsidRDefault="00901668" w14:paraId="5F8EA6FB" w14:textId="75912CAC">
            <w:pPr>
              <w:spacing w:after="0"/>
              <w:rPr>
                <w:sz w:val="20"/>
                <w:szCs w:val="20"/>
              </w:rPr>
            </w:pPr>
            <w:r>
              <w:rPr>
                <w:rFonts w:eastAsia="Calibri"/>
                <w:sz w:val="20"/>
                <w:szCs w:val="20"/>
              </w:rPr>
              <w:t>81,5</w:t>
            </w:r>
            <w:r w:rsidR="00E81B0D">
              <w:rPr>
                <w:rFonts w:eastAsia="Calibri"/>
                <w:sz w:val="20"/>
                <w:szCs w:val="20"/>
              </w:rPr>
              <w:t>8</w:t>
            </w:r>
            <w:r>
              <w:rPr>
                <w:rFonts w:eastAsia="Calibri"/>
                <w:sz w:val="20"/>
                <w:szCs w:val="20"/>
              </w:rPr>
              <w:t>2</w:t>
            </w:r>
          </w:p>
        </w:tc>
      </w:tr>
      <w:tr w:rsidRPr="00C47150" w:rsidR="00901668" w:rsidTr="00721EBD" w14:paraId="00AF0BF6" w14:textId="77777777">
        <w:trPr>
          <w:trHeight w:val="268"/>
        </w:trPr>
        <w:tc>
          <w:tcPr>
            <w:tcW w:w="8370" w:type="dxa"/>
            <w:shd w:val="clear" w:color="auto" w:fill="auto"/>
            <w:hideMark/>
          </w:tcPr>
          <w:p w:rsidRPr="00925658" w:rsidR="00901668" w:rsidP="003D73AE" w:rsidRDefault="00901668" w14:paraId="2ED5B3B6" w14:textId="77777777">
            <w:pPr>
              <w:spacing w:after="0"/>
              <w:rPr>
                <w:sz w:val="20"/>
                <w:szCs w:val="20"/>
              </w:rPr>
            </w:pPr>
            <w:r w:rsidRPr="00732012">
              <w:rPr>
                <w:sz w:val="20"/>
                <w:szCs w:val="20"/>
              </w:rPr>
              <w:t xml:space="preserve">Total Annual Hours Per Respondent (b) </w:t>
            </w:r>
          </w:p>
        </w:tc>
        <w:tc>
          <w:tcPr>
            <w:tcW w:w="1745" w:type="dxa"/>
            <w:shd w:val="clear" w:color="auto" w:fill="auto"/>
            <w:vAlign w:val="center"/>
            <w:hideMark/>
          </w:tcPr>
          <w:p w:rsidRPr="00925658" w:rsidR="00901668" w:rsidP="003D73AE" w:rsidRDefault="001B5240" w14:paraId="575C0816" w14:textId="6A4D5D98">
            <w:pPr>
              <w:spacing w:after="0"/>
              <w:rPr>
                <w:sz w:val="20"/>
                <w:szCs w:val="20"/>
              </w:rPr>
            </w:pPr>
            <w:r>
              <w:rPr>
                <w:rFonts w:eastAsia="Calibri"/>
                <w:sz w:val="20"/>
                <w:szCs w:val="20"/>
              </w:rPr>
              <w:t>0</w:t>
            </w:r>
            <w:r w:rsidR="00F97D07">
              <w:rPr>
                <w:rFonts w:eastAsia="Calibri"/>
                <w:sz w:val="20"/>
                <w:szCs w:val="20"/>
              </w:rPr>
              <w:t>.083</w:t>
            </w:r>
          </w:p>
        </w:tc>
      </w:tr>
      <w:tr w:rsidRPr="00C47150" w:rsidR="00901668" w:rsidTr="00721EBD" w14:paraId="2C821F28" w14:textId="77777777">
        <w:trPr>
          <w:trHeight w:val="215"/>
        </w:trPr>
        <w:tc>
          <w:tcPr>
            <w:tcW w:w="8370" w:type="dxa"/>
            <w:shd w:val="clear" w:color="auto" w:fill="D9D9D9" w:themeFill="background1" w:themeFillShade="D9"/>
            <w:hideMark/>
          </w:tcPr>
          <w:p w:rsidRPr="0042686B" w:rsidR="00901668" w:rsidP="003D73AE" w:rsidRDefault="00901668" w14:paraId="566A9948" w14:textId="77777777">
            <w:pPr>
              <w:spacing w:after="0"/>
              <w:rPr>
                <w:b/>
                <w:sz w:val="20"/>
                <w:szCs w:val="20"/>
              </w:rPr>
            </w:pPr>
            <w:r w:rsidRPr="0042686B">
              <w:rPr>
                <w:b/>
                <w:sz w:val="20"/>
                <w:szCs w:val="20"/>
              </w:rPr>
              <w:t xml:space="preserve">Total Annual Hours (c) </w:t>
            </w:r>
          </w:p>
        </w:tc>
        <w:tc>
          <w:tcPr>
            <w:tcW w:w="1745" w:type="dxa"/>
            <w:shd w:val="clear" w:color="auto" w:fill="D9D9D9" w:themeFill="background1" w:themeFillShade="D9"/>
            <w:vAlign w:val="center"/>
            <w:hideMark/>
          </w:tcPr>
          <w:p w:rsidRPr="0042686B" w:rsidR="00ED245B" w:rsidP="00737B92" w:rsidRDefault="00901668" w14:paraId="528752D9" w14:textId="24E364AC">
            <w:pPr>
              <w:spacing w:after="0"/>
              <w:rPr>
                <w:b/>
                <w:sz w:val="20"/>
                <w:szCs w:val="20"/>
              </w:rPr>
            </w:pPr>
            <w:r>
              <w:rPr>
                <w:b/>
                <w:sz w:val="20"/>
                <w:szCs w:val="20"/>
              </w:rPr>
              <w:t>6,7</w:t>
            </w:r>
            <w:r w:rsidR="001B5240">
              <w:rPr>
                <w:b/>
                <w:sz w:val="20"/>
                <w:szCs w:val="20"/>
              </w:rPr>
              <w:t>71</w:t>
            </w:r>
          </w:p>
        </w:tc>
      </w:tr>
      <w:tr w:rsidRPr="00C47150" w:rsidR="00901668" w:rsidTr="00721EBD" w14:paraId="57669D35" w14:textId="77777777">
        <w:trPr>
          <w:trHeight w:val="305"/>
        </w:trPr>
        <w:tc>
          <w:tcPr>
            <w:tcW w:w="8370" w:type="dxa"/>
            <w:shd w:val="clear" w:color="auto" w:fill="auto"/>
            <w:hideMark/>
          </w:tcPr>
          <w:p w:rsidRPr="00925658" w:rsidR="00901668" w:rsidP="003D73AE" w:rsidRDefault="00901668" w14:paraId="16F21095" w14:textId="77777777">
            <w:pPr>
              <w:spacing w:after="0"/>
              <w:rPr>
                <w:sz w:val="20"/>
                <w:szCs w:val="20"/>
              </w:rPr>
            </w:pPr>
            <w:r w:rsidRPr="00732012">
              <w:rPr>
                <w:sz w:val="20"/>
                <w:szCs w:val="20"/>
              </w:rPr>
              <w:t>Labor rate for a computer systems analyst to submit improvement activities (d)</w:t>
            </w:r>
          </w:p>
        </w:tc>
        <w:tc>
          <w:tcPr>
            <w:tcW w:w="1745" w:type="dxa"/>
            <w:shd w:val="clear" w:color="auto" w:fill="auto"/>
            <w:vAlign w:val="center"/>
            <w:hideMark/>
          </w:tcPr>
          <w:p w:rsidRPr="00925658" w:rsidR="00901668" w:rsidP="003D73AE" w:rsidRDefault="00901668" w14:paraId="5F72EFCE" w14:textId="77777777">
            <w:pPr>
              <w:spacing w:after="0"/>
              <w:rPr>
                <w:sz w:val="20"/>
                <w:szCs w:val="20"/>
              </w:rPr>
            </w:pPr>
            <w:r w:rsidRPr="00317099">
              <w:rPr>
                <w:rFonts w:eastAsia="Calibri"/>
                <w:sz w:val="20"/>
                <w:szCs w:val="20"/>
              </w:rPr>
              <w:t>$</w:t>
            </w:r>
            <w:r>
              <w:rPr>
                <w:rFonts w:eastAsia="Calibri"/>
                <w:sz w:val="20"/>
                <w:szCs w:val="20"/>
              </w:rPr>
              <w:t>95.22</w:t>
            </w:r>
            <w:r w:rsidRPr="00317099">
              <w:rPr>
                <w:rFonts w:eastAsia="Calibri"/>
                <w:sz w:val="20"/>
                <w:szCs w:val="20"/>
              </w:rPr>
              <w:t>/hr</w:t>
            </w:r>
          </w:p>
        </w:tc>
      </w:tr>
      <w:tr w:rsidRPr="00C47150" w:rsidR="00901668" w:rsidTr="00721EBD" w14:paraId="67A56D6D" w14:textId="77777777">
        <w:trPr>
          <w:trHeight w:val="300"/>
        </w:trPr>
        <w:tc>
          <w:tcPr>
            <w:tcW w:w="8370" w:type="dxa"/>
            <w:shd w:val="clear" w:color="auto" w:fill="D9D9D9" w:themeFill="background1" w:themeFillShade="D9"/>
            <w:hideMark/>
          </w:tcPr>
          <w:p w:rsidRPr="0042686B" w:rsidR="00901668" w:rsidP="003D73AE" w:rsidRDefault="00901668" w14:paraId="16A9DF43" w14:textId="77777777">
            <w:pPr>
              <w:spacing w:after="0"/>
              <w:rPr>
                <w:b/>
                <w:sz w:val="20"/>
                <w:szCs w:val="20"/>
              </w:rPr>
            </w:pPr>
            <w:r w:rsidRPr="0042686B">
              <w:rPr>
                <w:b/>
                <w:sz w:val="20"/>
                <w:szCs w:val="20"/>
              </w:rPr>
              <w:lastRenderedPageBreak/>
              <w:t>Total Annual Cost (e) = (</w:t>
            </w:r>
            <w:r>
              <w:rPr>
                <w:b/>
                <w:sz w:val="20"/>
                <w:szCs w:val="20"/>
              </w:rPr>
              <w:t>c</w:t>
            </w:r>
            <w:r w:rsidRPr="0042686B">
              <w:rPr>
                <w:b/>
                <w:sz w:val="20"/>
                <w:szCs w:val="20"/>
              </w:rPr>
              <w:t>)*(d)</w:t>
            </w:r>
          </w:p>
        </w:tc>
        <w:tc>
          <w:tcPr>
            <w:tcW w:w="1745" w:type="dxa"/>
            <w:shd w:val="clear" w:color="auto" w:fill="D9D9D9" w:themeFill="background1" w:themeFillShade="D9"/>
            <w:vAlign w:val="center"/>
            <w:hideMark/>
          </w:tcPr>
          <w:p w:rsidRPr="0042686B" w:rsidR="00901668" w:rsidP="003D73AE" w:rsidRDefault="00901668" w14:paraId="0DE6BB20" w14:textId="246D6649">
            <w:pPr>
              <w:spacing w:after="0"/>
              <w:rPr>
                <w:b/>
                <w:sz w:val="20"/>
                <w:szCs w:val="20"/>
              </w:rPr>
            </w:pPr>
            <w:r w:rsidRPr="0042686B">
              <w:rPr>
                <w:rFonts w:eastAsia="Calibri"/>
                <w:b/>
                <w:sz w:val="20"/>
                <w:szCs w:val="20"/>
              </w:rPr>
              <w:t>$</w:t>
            </w:r>
            <w:r>
              <w:rPr>
                <w:rFonts w:eastAsia="Calibri"/>
                <w:b/>
                <w:sz w:val="20"/>
                <w:szCs w:val="20"/>
              </w:rPr>
              <w:t>64</w:t>
            </w:r>
            <w:r w:rsidR="001B5240">
              <w:rPr>
                <w:rFonts w:eastAsia="Calibri"/>
                <w:b/>
                <w:sz w:val="20"/>
                <w:szCs w:val="20"/>
              </w:rPr>
              <w:t>4</w:t>
            </w:r>
            <w:r>
              <w:rPr>
                <w:rFonts w:eastAsia="Calibri"/>
                <w:b/>
                <w:sz w:val="20"/>
                <w:szCs w:val="20"/>
              </w:rPr>
              <w:t>,</w:t>
            </w:r>
            <w:r w:rsidR="001B5240">
              <w:rPr>
                <w:rFonts w:eastAsia="Calibri"/>
                <w:b/>
                <w:sz w:val="20"/>
                <w:szCs w:val="20"/>
              </w:rPr>
              <w:t>735</w:t>
            </w:r>
            <w:r w:rsidR="00CD0463">
              <w:rPr>
                <w:rFonts w:eastAsia="Calibri"/>
                <w:b/>
                <w:sz w:val="20"/>
                <w:szCs w:val="20"/>
              </w:rPr>
              <w:t>*</w:t>
            </w:r>
          </w:p>
        </w:tc>
      </w:tr>
    </w:tbl>
    <w:p w:rsidR="00901668" w:rsidP="00E53E05" w:rsidRDefault="00CD0463" w14:paraId="5A986E11" w14:textId="1EF7E22C">
      <w:pPr>
        <w:keepNext/>
        <w:keepLines/>
        <w:widowControl w:val="0"/>
      </w:pPr>
      <w:r w:rsidRPr="00871E51">
        <w:rPr>
          <w:rFonts w:eastAsia="Calibri"/>
          <w:sz w:val="20"/>
          <w:szCs w:val="20"/>
        </w:rPr>
        <w:t>*Due to burden for certain activities being estimated in fractions of hours, totals may not reflect the sum of individual rows due to rounding.</w:t>
      </w:r>
    </w:p>
    <w:p w:rsidRPr="004330C9" w:rsidR="00A7478F" w:rsidP="004330C9" w:rsidRDefault="00A7478F" w14:paraId="3015E32F" w14:textId="2016AF3A">
      <w:pPr>
        <w:pStyle w:val="Heading3"/>
      </w:pPr>
      <w:bookmarkStart w:name="_Hlk532899259" w:id="12"/>
      <w:r w:rsidRPr="004330C9">
        <w:t>Burden Estimate for the Nomination of Improvement Activities</w:t>
      </w:r>
    </w:p>
    <w:p w:rsidR="008D7DB5" w:rsidP="00E12B53" w:rsidRDefault="002414E6" w14:paraId="467D374D" w14:textId="3C720509">
      <w:pPr>
        <w:rPr>
          <w:rFonts w:eastAsia="Calibri"/>
        </w:rPr>
      </w:pPr>
      <w:bookmarkStart w:name="_Hlk497143230" w:id="13"/>
      <w:bookmarkEnd w:id="12"/>
      <w:r>
        <w:rPr>
          <w:rFonts w:eastAsia="Calibri"/>
        </w:rPr>
        <w:t>S</w:t>
      </w:r>
      <w:r w:rsidRPr="00CC2BFB" w:rsidR="004E2923">
        <w:rPr>
          <w:rFonts w:eastAsia="Calibri"/>
        </w:rPr>
        <w:t xml:space="preserve">takeholders </w:t>
      </w:r>
      <w:r>
        <w:rPr>
          <w:rFonts w:eastAsia="Calibri"/>
        </w:rPr>
        <w:t>a</w:t>
      </w:r>
      <w:r w:rsidRPr="00CC2BFB" w:rsidR="004E2923">
        <w:rPr>
          <w:rFonts w:eastAsia="Calibri"/>
        </w:rPr>
        <w:t xml:space="preserve">re provided an opportunity to propose new activities formally via the Annual Call for Activities nomination form posted on the CMS website.  </w:t>
      </w:r>
      <w:bookmarkEnd w:id="13"/>
      <w:r w:rsidRPr="00FC4695" w:rsidR="00FC4695">
        <w:rPr>
          <w:rFonts w:eastAsia="Calibri"/>
        </w:rPr>
        <w:t>Due to the PHE for COVID-19, we continue to use our currently approved assumption that we will receive 31 nominations of new or modified activities which will be evaluated for the Improvement Activities Under Consideration (IAUC) list for possible inclusion in the CY 2022 Improvement Activities Inventory as we believe this estimate is more realistic than basing our estimate on the number of nominations received during the 2020 Annual Call for Activities</w:t>
      </w:r>
    </w:p>
    <w:p w:rsidR="00BD34DC" w:rsidP="003E4F59" w:rsidRDefault="00D6222F" w14:paraId="22DBDDC8" w14:textId="46FFCC41">
      <w:pPr>
        <w:rPr>
          <w:rFonts w:eastAsia="Calibri"/>
        </w:rPr>
      </w:pPr>
      <w:r w:rsidRPr="00871E51">
        <w:rPr>
          <w:rFonts w:eastAsia="Calibri"/>
        </w:rPr>
        <w:t>In th</w:t>
      </w:r>
      <w:r w:rsidR="00D16B38">
        <w:rPr>
          <w:rFonts w:eastAsia="Calibri"/>
        </w:rPr>
        <w:t>e CY 2022 PFS proposed</w:t>
      </w:r>
      <w:r w:rsidRPr="00871E51">
        <w:rPr>
          <w:rFonts w:eastAsia="Calibri"/>
        </w:rPr>
        <w:t xml:space="preserve"> rule, </w:t>
      </w:r>
      <w:r w:rsidRPr="003E4F59" w:rsidR="003E4F59">
        <w:rPr>
          <w:rFonts w:eastAsia="Calibri"/>
        </w:rPr>
        <w:t>we are proposing 2 new criteria that beginning with the CY 2022 Annual Call for Activities MIPS improvement activities: (1) should not duplicate other improvement activities in the Inventory; and (2) should drive improvements that go beyond purely common clinical practices.</w:t>
      </w:r>
      <w:r w:rsidR="00C1293B">
        <w:rPr>
          <w:rFonts w:eastAsia="Calibri"/>
        </w:rPr>
        <w:t xml:space="preserve"> </w:t>
      </w:r>
      <w:r w:rsidRPr="003E4F59" w:rsidR="003E4F59">
        <w:rPr>
          <w:rFonts w:eastAsia="Calibri"/>
        </w:rPr>
        <w:t>Additionally, we are proposing to increase the number of criteria stakeholders are required to meet when submitting an activity proposal from a minimum of 1 to all 8 criteria, which includes the two new proposed criteria</w:t>
      </w:r>
      <w:r w:rsidR="00301D15">
        <w:rPr>
          <w:rFonts w:eastAsia="Calibri"/>
        </w:rPr>
        <w:t xml:space="preserve"> (86 FR 39406 through 39408)</w:t>
      </w:r>
      <w:r w:rsidRPr="003E4F59" w:rsidR="003E4F59">
        <w:rPr>
          <w:rFonts w:eastAsia="Calibri"/>
        </w:rPr>
        <w:t xml:space="preserve">.  </w:t>
      </w:r>
      <w:r w:rsidRPr="00871E51" w:rsidR="009E5F9A">
        <w:rPr>
          <w:rFonts w:eastAsia="Calibri"/>
        </w:rPr>
        <w:t xml:space="preserve">We believe that this proposal would provide clearer guidance to stakeholders when submitting a nomination for an improvement activity. In the CY 2021 PFS final rule, we estimated that it would require 0.6 hours for a medical and health services manager or equivalent and 0.4 hours for a physician to link the nominated improvement activity to existing and related cost and quality measures (85 FR 84989). </w:t>
      </w:r>
      <w:r w:rsidRPr="00871E51" w:rsidR="00CD08C7">
        <w:rPr>
          <w:rFonts w:eastAsia="Calibri"/>
        </w:rPr>
        <w:t>Given that our current approved estimated time per respondent to nominate an improvement activity is 3 hours (1.8 hours for a medical and health services manager or equivalent and 1.2 hours for a physician), we assume that the proposed new requirement to meet all 8 criteria would require approximately 1 hour at $114.24/hr for a medical and health services manager to identify and submit an activity and 0.4 hours at a rate of $21</w:t>
      </w:r>
      <w:r w:rsidR="00CD08C7">
        <w:rPr>
          <w:rFonts w:eastAsia="Calibri"/>
        </w:rPr>
        <w:t>7.32</w:t>
      </w:r>
      <w:r w:rsidRPr="00871E51" w:rsidR="00CD08C7">
        <w:rPr>
          <w:rFonts w:eastAsia="Calibri"/>
        </w:rPr>
        <w:t>/hr for a clinician to review each activity.  Combined with our currently approved burden estimate, we propose to revise our estimate to 2.8 hours at $114.24/hr for a medical and health services manager or equivalent and 1.6 hours at $21</w:t>
      </w:r>
      <w:r w:rsidR="00CD08C7">
        <w:rPr>
          <w:rFonts w:eastAsia="Calibri"/>
        </w:rPr>
        <w:t xml:space="preserve">7.32 </w:t>
      </w:r>
      <w:r w:rsidRPr="00871E51" w:rsidR="00CD08C7">
        <w:rPr>
          <w:rFonts w:eastAsia="Calibri"/>
        </w:rPr>
        <w:t>/hr for a physician to nominate an improvement activity.  This represents a change of +1 hours (2.8 hr - 1.8 hr) for a medical and health services manager or equivalent and +0.4 hours (2 hr -1.6 hr) for a physician and an overall increase of 1.4 hours.  We considered whether we should double our estimates for nomination of an improvement activity to 6 hours.  Since only 2 of the required 8 criteria are new, we assume that stakeholders are familiar with the existing criteria and would not need additional time to review but would need the additional time to verify and confirm if the considered activity meets all the 8 criteria.</w:t>
      </w:r>
      <w:r w:rsidRPr="00871E51" w:rsidR="009E5F9A">
        <w:rPr>
          <w:rFonts w:eastAsia="Calibri"/>
        </w:rPr>
        <w:t xml:space="preserve"> </w:t>
      </w:r>
      <w:r w:rsidR="00A23A66">
        <w:rPr>
          <w:rFonts w:eastAsia="Calibri"/>
        </w:rPr>
        <w:t>W</w:t>
      </w:r>
      <w:r w:rsidRPr="00871E51" w:rsidR="00A23A66">
        <w:rPr>
          <w:rFonts w:eastAsia="Calibri"/>
        </w:rPr>
        <w:t>e continue to use our currently approved assumption that we will receive 31 nominations of new or modified activities which will be evaluated for the Improvement Activities Under Consideration (IAUC) list for possible inclusion in the CY 2023 Improvement Activities Inventory.</w:t>
      </w:r>
      <w:r w:rsidR="00A23A66">
        <w:rPr>
          <w:rFonts w:eastAsia="Calibri"/>
        </w:rPr>
        <w:t xml:space="preserve"> Therefore, w</w:t>
      </w:r>
      <w:r w:rsidRPr="00BD34DC" w:rsidR="00BD34DC">
        <w:rPr>
          <w:rFonts w:eastAsia="Calibri"/>
        </w:rPr>
        <w:t xml:space="preserve">e </w:t>
      </w:r>
      <w:r w:rsidRPr="008D7DB5" w:rsidR="008D7DB5">
        <w:rPr>
          <w:rFonts w:eastAsia="Calibri"/>
        </w:rPr>
        <w:t xml:space="preserve">estimate an annual information collection burden of </w:t>
      </w:r>
      <w:r w:rsidR="00D42E74">
        <w:rPr>
          <w:rFonts w:eastAsia="Calibri"/>
        </w:rPr>
        <w:t>136</w:t>
      </w:r>
      <w:r w:rsidRPr="008D7DB5" w:rsidR="008D7DB5">
        <w:rPr>
          <w:rFonts w:eastAsia="Calibri"/>
        </w:rPr>
        <w:t xml:space="preserve"> hours (31 nominations x </w:t>
      </w:r>
      <w:r w:rsidR="00D42E74">
        <w:rPr>
          <w:rFonts w:eastAsia="Calibri"/>
        </w:rPr>
        <w:t>4.4</w:t>
      </w:r>
      <w:r w:rsidRPr="008D7DB5" w:rsidR="008D7DB5">
        <w:rPr>
          <w:rFonts w:eastAsia="Calibri"/>
        </w:rPr>
        <w:t xml:space="preserve"> hr/nomination) at a cost of $</w:t>
      </w:r>
      <w:r w:rsidR="008A672D">
        <w:rPr>
          <w:rFonts w:eastAsia="Calibri"/>
        </w:rPr>
        <w:t>20,695</w:t>
      </w:r>
      <w:r w:rsidRPr="008D7DB5" w:rsidR="008D7DB5">
        <w:rPr>
          <w:rFonts w:eastAsia="Calibri"/>
        </w:rPr>
        <w:t xml:space="preserve"> (31 x [(</w:t>
      </w:r>
      <w:r w:rsidR="009A55A8">
        <w:rPr>
          <w:rFonts w:eastAsia="Calibri"/>
        </w:rPr>
        <w:t>2</w:t>
      </w:r>
      <w:r w:rsidRPr="008D7DB5" w:rsidR="008D7DB5">
        <w:rPr>
          <w:rFonts w:eastAsia="Calibri"/>
        </w:rPr>
        <w:t>.8 hr x $11</w:t>
      </w:r>
      <w:r w:rsidR="009A55A8">
        <w:rPr>
          <w:rFonts w:eastAsia="Calibri"/>
        </w:rPr>
        <w:t>4.24</w:t>
      </w:r>
      <w:r w:rsidRPr="008D7DB5" w:rsidR="008D7DB5">
        <w:rPr>
          <w:rFonts w:eastAsia="Calibri"/>
        </w:rPr>
        <w:t>/hr) + (1.</w:t>
      </w:r>
      <w:r w:rsidR="009A55A8">
        <w:rPr>
          <w:rFonts w:eastAsia="Calibri"/>
        </w:rPr>
        <w:t>6</w:t>
      </w:r>
      <w:r w:rsidRPr="008D7DB5" w:rsidR="008D7DB5">
        <w:rPr>
          <w:rFonts w:eastAsia="Calibri"/>
        </w:rPr>
        <w:t xml:space="preserve"> hr x $21</w:t>
      </w:r>
      <w:r w:rsidR="009A55A8">
        <w:rPr>
          <w:rFonts w:eastAsia="Calibri"/>
        </w:rPr>
        <w:t>7.32</w:t>
      </w:r>
      <w:r w:rsidRPr="008D7DB5" w:rsidR="008D7DB5">
        <w:rPr>
          <w:rFonts w:eastAsia="Calibri"/>
        </w:rPr>
        <w:t>/hr)]</w:t>
      </w:r>
      <w:r w:rsidRPr="00BD34DC" w:rsidR="00BD34DC">
        <w:rPr>
          <w:rFonts w:eastAsia="Calibri"/>
        </w:rPr>
        <w:t xml:space="preserve">).  </w:t>
      </w:r>
    </w:p>
    <w:p w:rsidRPr="00C47150" w:rsidR="00FF7AB6" w:rsidP="004E13F7" w:rsidRDefault="00FF7AB6" w14:paraId="37EC7A7E" w14:textId="76AEE2EB">
      <w:pPr>
        <w:keepNext/>
        <w:keepLines/>
        <w:jc w:val="center"/>
        <w:rPr>
          <w:b/>
          <w:bCs/>
        </w:rPr>
      </w:pPr>
      <w:r w:rsidRPr="00C47150">
        <w:rPr>
          <w:b/>
          <w:bCs/>
        </w:rPr>
        <w:lastRenderedPageBreak/>
        <w:t xml:space="preserve">TABLE </w:t>
      </w:r>
      <w:r>
        <w:rPr>
          <w:b/>
          <w:bCs/>
        </w:rPr>
        <w:t>2</w:t>
      </w:r>
      <w:r w:rsidR="004868A0">
        <w:rPr>
          <w:b/>
          <w:bCs/>
        </w:rPr>
        <w:t>7</w:t>
      </w:r>
      <w:r w:rsidRPr="00C47150">
        <w:rPr>
          <w:b/>
          <w:bCs/>
        </w:rPr>
        <w:t xml:space="preserve">: </w:t>
      </w:r>
      <w:r w:rsidRPr="00732012">
        <w:rPr>
          <w:b/>
          <w:bCs/>
        </w:rPr>
        <w:t>Burden Estimates</w:t>
      </w:r>
      <w:r w:rsidRPr="00C47150">
        <w:rPr>
          <w:b/>
          <w:bCs/>
        </w:rPr>
        <w:t xml:space="preserve"> for Nomination of Improvement Activities</w:t>
      </w:r>
    </w:p>
    <w:tbl>
      <w:tblPr>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39"/>
        <w:gridCol w:w="1316"/>
      </w:tblGrid>
      <w:tr w:rsidRPr="00C47150" w:rsidR="00FF7AB6" w:rsidTr="00FF7AB6" w14:paraId="5BDFF9EC" w14:textId="77777777">
        <w:trPr>
          <w:trHeight w:val="322"/>
          <w:jc w:val="center"/>
        </w:trPr>
        <w:tc>
          <w:tcPr>
            <w:tcW w:w="8239" w:type="dxa"/>
            <w:shd w:val="clear" w:color="auto" w:fill="auto"/>
            <w:vAlign w:val="center"/>
            <w:hideMark/>
          </w:tcPr>
          <w:p w:rsidRPr="00FF7AB6" w:rsidR="00FF7AB6" w:rsidP="004E13F7" w:rsidRDefault="00FF7AB6" w14:paraId="06240DC4" w14:textId="5D69A603">
            <w:pPr>
              <w:keepNext/>
              <w:keepLines/>
              <w:spacing w:after="0"/>
              <w:rPr>
                <w:b/>
                <w:sz w:val="20"/>
                <w:szCs w:val="20"/>
              </w:rPr>
            </w:pPr>
            <w:r w:rsidRPr="00925658">
              <w:rPr>
                <w:sz w:val="20"/>
                <w:szCs w:val="20"/>
              </w:rPr>
              <w:t> </w:t>
            </w:r>
            <w:r w:rsidRPr="00FF7AB6">
              <w:rPr>
                <w:b/>
                <w:sz w:val="20"/>
                <w:szCs w:val="20"/>
              </w:rPr>
              <w:t>Burden and Respondent Descriptions</w:t>
            </w:r>
          </w:p>
        </w:tc>
        <w:tc>
          <w:tcPr>
            <w:tcW w:w="1316" w:type="dxa"/>
            <w:shd w:val="clear" w:color="auto" w:fill="auto"/>
            <w:vAlign w:val="center"/>
            <w:hideMark/>
          </w:tcPr>
          <w:p w:rsidRPr="00925658" w:rsidR="00FF7AB6" w:rsidP="004E13F7" w:rsidRDefault="00FF7AB6" w14:paraId="3030D173" w14:textId="22035B98">
            <w:pPr>
              <w:keepNext/>
              <w:keepLines/>
              <w:spacing w:after="0"/>
              <w:jc w:val="center"/>
              <w:rPr>
                <w:b/>
                <w:sz w:val="20"/>
                <w:szCs w:val="20"/>
              </w:rPr>
            </w:pPr>
            <w:r w:rsidRPr="00925658">
              <w:rPr>
                <w:b/>
                <w:sz w:val="20"/>
                <w:szCs w:val="20"/>
              </w:rPr>
              <w:t xml:space="preserve">Burden </w:t>
            </w:r>
            <w:r w:rsidR="00B404FD">
              <w:rPr>
                <w:b/>
                <w:sz w:val="20"/>
                <w:szCs w:val="20"/>
              </w:rPr>
              <w:t>E</w:t>
            </w:r>
            <w:r w:rsidRPr="00925658">
              <w:rPr>
                <w:b/>
                <w:sz w:val="20"/>
                <w:szCs w:val="20"/>
              </w:rPr>
              <w:t>stimate</w:t>
            </w:r>
          </w:p>
        </w:tc>
      </w:tr>
      <w:tr w:rsidRPr="00C47150" w:rsidR="00FF7AB6" w:rsidTr="00A639D4" w14:paraId="353E612B" w14:textId="77777777">
        <w:trPr>
          <w:trHeight w:val="300"/>
          <w:jc w:val="center"/>
        </w:trPr>
        <w:tc>
          <w:tcPr>
            <w:tcW w:w="8239" w:type="dxa"/>
            <w:shd w:val="clear" w:color="auto" w:fill="auto"/>
            <w:hideMark/>
          </w:tcPr>
          <w:p w:rsidRPr="00925658" w:rsidR="00FF7AB6" w:rsidP="00A639D4" w:rsidRDefault="00FF7AB6" w14:paraId="3A83C813" w14:textId="77777777">
            <w:pPr>
              <w:spacing w:after="0"/>
              <w:rPr>
                <w:sz w:val="20"/>
                <w:szCs w:val="20"/>
              </w:rPr>
            </w:pPr>
            <w:r w:rsidRPr="00732012">
              <w:rPr>
                <w:sz w:val="20"/>
                <w:szCs w:val="20"/>
              </w:rPr>
              <w:t># of Organizations Nominating New Improvement Activities (a)</w:t>
            </w:r>
          </w:p>
        </w:tc>
        <w:tc>
          <w:tcPr>
            <w:tcW w:w="1316" w:type="dxa"/>
            <w:shd w:val="clear" w:color="auto" w:fill="auto"/>
            <w:noWrap/>
            <w:hideMark/>
          </w:tcPr>
          <w:p w:rsidRPr="00925658" w:rsidR="00FF7AB6" w:rsidP="00A639D4" w:rsidRDefault="00F140C7" w14:paraId="6C9F459C" w14:textId="550EA230">
            <w:pPr>
              <w:spacing w:after="0"/>
              <w:rPr>
                <w:sz w:val="20"/>
                <w:szCs w:val="20"/>
              </w:rPr>
            </w:pPr>
            <w:r>
              <w:rPr>
                <w:sz w:val="20"/>
                <w:szCs w:val="20"/>
              </w:rPr>
              <w:t>31</w:t>
            </w:r>
          </w:p>
        </w:tc>
      </w:tr>
      <w:tr w:rsidRPr="00C47150" w:rsidR="00FF7AB6" w:rsidTr="00A639D4" w14:paraId="258297C3" w14:textId="77777777">
        <w:trPr>
          <w:trHeight w:val="305"/>
          <w:jc w:val="center"/>
        </w:trPr>
        <w:tc>
          <w:tcPr>
            <w:tcW w:w="8239" w:type="dxa"/>
            <w:shd w:val="clear" w:color="auto" w:fill="auto"/>
            <w:hideMark/>
          </w:tcPr>
          <w:p w:rsidRPr="00925658" w:rsidR="00FF7AB6" w:rsidP="00A639D4" w:rsidRDefault="00FF7AB6" w14:paraId="35226CE3" w14:textId="01A17121">
            <w:pPr>
              <w:spacing w:after="0"/>
              <w:rPr>
                <w:sz w:val="20"/>
                <w:szCs w:val="20"/>
              </w:rPr>
            </w:pPr>
            <w:r w:rsidRPr="00732012">
              <w:rPr>
                <w:sz w:val="20"/>
                <w:szCs w:val="20"/>
              </w:rPr>
              <w:t xml:space="preserve"># of Hours Per </w:t>
            </w:r>
            <w:r w:rsidR="008D7DB5">
              <w:rPr>
                <w:sz w:val="20"/>
                <w:szCs w:val="20"/>
              </w:rPr>
              <w:t>Medical and health services manager</w:t>
            </w:r>
            <w:r w:rsidRPr="00732012">
              <w:rPr>
                <w:sz w:val="20"/>
                <w:szCs w:val="20"/>
              </w:rPr>
              <w:t xml:space="preserve"> to Identify and Propose Activity (b) </w:t>
            </w:r>
          </w:p>
        </w:tc>
        <w:tc>
          <w:tcPr>
            <w:tcW w:w="1316" w:type="dxa"/>
            <w:shd w:val="clear" w:color="auto" w:fill="auto"/>
            <w:noWrap/>
            <w:hideMark/>
          </w:tcPr>
          <w:p w:rsidRPr="00925658" w:rsidR="00FF7AB6" w:rsidP="00A639D4" w:rsidRDefault="00345BDC" w14:paraId="04B81823" w14:textId="2E4449DB">
            <w:pPr>
              <w:spacing w:after="0"/>
              <w:rPr>
                <w:sz w:val="20"/>
                <w:szCs w:val="20"/>
              </w:rPr>
            </w:pPr>
            <w:r>
              <w:rPr>
                <w:sz w:val="20"/>
                <w:szCs w:val="20"/>
              </w:rPr>
              <w:t>2</w:t>
            </w:r>
            <w:r w:rsidRPr="00925658" w:rsidR="00FF7AB6">
              <w:rPr>
                <w:sz w:val="20"/>
                <w:szCs w:val="20"/>
              </w:rPr>
              <w:t>.</w:t>
            </w:r>
            <w:r w:rsidR="008D7DB5">
              <w:rPr>
                <w:sz w:val="20"/>
                <w:szCs w:val="20"/>
              </w:rPr>
              <w:t>8</w:t>
            </w:r>
          </w:p>
        </w:tc>
      </w:tr>
      <w:tr w:rsidRPr="00C47150" w:rsidR="00FF7AB6" w:rsidTr="00A639D4" w14:paraId="0DBEC4AE" w14:textId="77777777">
        <w:trPr>
          <w:trHeight w:val="260"/>
          <w:jc w:val="center"/>
        </w:trPr>
        <w:tc>
          <w:tcPr>
            <w:tcW w:w="8239" w:type="dxa"/>
            <w:shd w:val="clear" w:color="auto" w:fill="auto"/>
            <w:hideMark/>
          </w:tcPr>
          <w:p w:rsidRPr="00925658" w:rsidR="00FF7AB6" w:rsidP="00A639D4" w:rsidRDefault="00FF7AB6" w14:paraId="1E04CB4A" w14:textId="77777777">
            <w:pPr>
              <w:spacing w:after="0"/>
              <w:rPr>
                <w:sz w:val="20"/>
                <w:szCs w:val="20"/>
              </w:rPr>
            </w:pPr>
            <w:r w:rsidRPr="00732012">
              <w:rPr>
                <w:sz w:val="20"/>
                <w:szCs w:val="20"/>
              </w:rPr>
              <w:t># of Hours Per Clinician to Identify Activity (c)</w:t>
            </w:r>
          </w:p>
        </w:tc>
        <w:tc>
          <w:tcPr>
            <w:tcW w:w="1316" w:type="dxa"/>
            <w:shd w:val="clear" w:color="auto" w:fill="auto"/>
            <w:hideMark/>
          </w:tcPr>
          <w:p w:rsidRPr="00925658" w:rsidR="00FF7AB6" w:rsidP="00A639D4" w:rsidRDefault="008D7DB5" w14:paraId="38F7993E" w14:textId="0CD23366">
            <w:pPr>
              <w:spacing w:after="0"/>
              <w:rPr>
                <w:sz w:val="20"/>
                <w:szCs w:val="20"/>
              </w:rPr>
            </w:pPr>
            <w:r>
              <w:rPr>
                <w:sz w:val="20"/>
                <w:szCs w:val="20"/>
              </w:rPr>
              <w:t>1.</w:t>
            </w:r>
            <w:r w:rsidR="00345BDC">
              <w:rPr>
                <w:sz w:val="20"/>
                <w:szCs w:val="20"/>
              </w:rPr>
              <w:t>6</w:t>
            </w:r>
          </w:p>
        </w:tc>
      </w:tr>
      <w:tr w:rsidRPr="00C47150" w:rsidR="00FF7AB6" w:rsidTr="00A639D4" w14:paraId="3161D109" w14:textId="77777777">
        <w:trPr>
          <w:trHeight w:val="300"/>
          <w:jc w:val="center"/>
        </w:trPr>
        <w:tc>
          <w:tcPr>
            <w:tcW w:w="8239" w:type="dxa"/>
            <w:shd w:val="clear" w:color="auto" w:fill="D9D9D9" w:themeFill="background1" w:themeFillShade="D9"/>
            <w:hideMark/>
          </w:tcPr>
          <w:p w:rsidRPr="00925658" w:rsidR="00FF7AB6" w:rsidP="00A639D4" w:rsidRDefault="00FF7AB6" w14:paraId="6A8C02ED" w14:textId="77777777">
            <w:pPr>
              <w:spacing w:after="0"/>
              <w:rPr>
                <w:sz w:val="20"/>
                <w:szCs w:val="20"/>
              </w:rPr>
            </w:pPr>
            <w:r w:rsidRPr="00732012">
              <w:rPr>
                <w:sz w:val="20"/>
                <w:szCs w:val="20"/>
              </w:rPr>
              <w:t>Annual Hours Per Respondent (d)= (b) + (c)</w:t>
            </w:r>
          </w:p>
        </w:tc>
        <w:tc>
          <w:tcPr>
            <w:tcW w:w="1316" w:type="dxa"/>
            <w:shd w:val="clear" w:color="auto" w:fill="D9D9D9" w:themeFill="background1" w:themeFillShade="D9"/>
            <w:hideMark/>
          </w:tcPr>
          <w:p w:rsidRPr="00925658" w:rsidR="00FF7AB6" w:rsidP="00A639D4" w:rsidRDefault="00345BDC" w14:paraId="18593563" w14:textId="770A858D">
            <w:pPr>
              <w:spacing w:after="0"/>
              <w:rPr>
                <w:sz w:val="20"/>
                <w:szCs w:val="20"/>
              </w:rPr>
            </w:pPr>
            <w:r>
              <w:rPr>
                <w:sz w:val="20"/>
                <w:szCs w:val="20"/>
              </w:rPr>
              <w:t>4.4</w:t>
            </w:r>
          </w:p>
        </w:tc>
      </w:tr>
      <w:tr w:rsidRPr="00C47150" w:rsidR="00FF7AB6" w:rsidTr="00A639D4" w14:paraId="7C9D09A6" w14:textId="77777777">
        <w:trPr>
          <w:trHeight w:val="300"/>
          <w:jc w:val="center"/>
        </w:trPr>
        <w:tc>
          <w:tcPr>
            <w:tcW w:w="8239" w:type="dxa"/>
            <w:shd w:val="clear" w:color="auto" w:fill="D9D9D9" w:themeFill="background1" w:themeFillShade="D9"/>
            <w:hideMark/>
          </w:tcPr>
          <w:p w:rsidRPr="00CE4A05" w:rsidR="00FF7AB6" w:rsidP="00A639D4" w:rsidRDefault="00FF7AB6" w14:paraId="109D1758" w14:textId="77777777">
            <w:pPr>
              <w:spacing w:after="0"/>
              <w:rPr>
                <w:b/>
                <w:sz w:val="20"/>
                <w:szCs w:val="20"/>
              </w:rPr>
            </w:pPr>
            <w:r w:rsidRPr="00CE4A05">
              <w:rPr>
                <w:b/>
                <w:sz w:val="20"/>
                <w:szCs w:val="20"/>
              </w:rPr>
              <w:t>Total Annual Hours (e) = (a)*(d)</w:t>
            </w:r>
          </w:p>
        </w:tc>
        <w:tc>
          <w:tcPr>
            <w:tcW w:w="1316" w:type="dxa"/>
            <w:shd w:val="clear" w:color="auto" w:fill="D9D9D9" w:themeFill="background1" w:themeFillShade="D9"/>
            <w:hideMark/>
          </w:tcPr>
          <w:p w:rsidRPr="00CE4A05" w:rsidR="00FF7AB6" w:rsidP="00A639D4" w:rsidRDefault="00BA6A94" w14:paraId="759552F9" w14:textId="69B26696">
            <w:pPr>
              <w:spacing w:after="0"/>
              <w:rPr>
                <w:b/>
                <w:sz w:val="20"/>
                <w:szCs w:val="20"/>
              </w:rPr>
            </w:pPr>
            <w:r>
              <w:rPr>
                <w:b/>
                <w:sz w:val="20"/>
                <w:szCs w:val="20"/>
              </w:rPr>
              <w:t>136</w:t>
            </w:r>
          </w:p>
        </w:tc>
      </w:tr>
      <w:tr w:rsidRPr="00C47150" w:rsidR="00FF7AB6" w:rsidTr="00A639D4" w14:paraId="7AB58ABE" w14:textId="77777777">
        <w:trPr>
          <w:trHeight w:val="233"/>
          <w:jc w:val="center"/>
        </w:trPr>
        <w:tc>
          <w:tcPr>
            <w:tcW w:w="8239" w:type="dxa"/>
            <w:shd w:val="clear" w:color="auto" w:fill="auto"/>
            <w:hideMark/>
          </w:tcPr>
          <w:p w:rsidRPr="00925658" w:rsidR="00FF7AB6" w:rsidP="00A639D4" w:rsidRDefault="00FF7AB6" w14:paraId="2F88146D" w14:textId="36467E1F">
            <w:pPr>
              <w:spacing w:after="0"/>
              <w:rPr>
                <w:sz w:val="20"/>
                <w:szCs w:val="20"/>
              </w:rPr>
            </w:pPr>
            <w:r w:rsidRPr="00732012">
              <w:rPr>
                <w:sz w:val="20"/>
                <w:szCs w:val="20"/>
              </w:rPr>
              <w:t xml:space="preserve">Cost to Identify and Submit Activity (@ </w:t>
            </w:r>
            <w:r w:rsidR="008D7DB5">
              <w:rPr>
                <w:sz w:val="20"/>
                <w:szCs w:val="20"/>
              </w:rPr>
              <w:t>medical and health services manager</w:t>
            </w:r>
            <w:r w:rsidRPr="00732012">
              <w:rPr>
                <w:sz w:val="20"/>
                <w:szCs w:val="20"/>
              </w:rPr>
              <w:t>'s labor rate of $1</w:t>
            </w:r>
            <w:r w:rsidR="008D7DB5">
              <w:rPr>
                <w:sz w:val="20"/>
                <w:szCs w:val="20"/>
              </w:rPr>
              <w:t>1</w:t>
            </w:r>
            <w:r w:rsidR="001234F3">
              <w:rPr>
                <w:sz w:val="20"/>
                <w:szCs w:val="20"/>
              </w:rPr>
              <w:t>4.</w:t>
            </w:r>
            <w:r w:rsidR="00317277">
              <w:rPr>
                <w:sz w:val="20"/>
                <w:szCs w:val="20"/>
              </w:rPr>
              <w:t>24</w:t>
            </w:r>
            <w:r w:rsidRPr="00732012">
              <w:rPr>
                <w:sz w:val="20"/>
                <w:szCs w:val="20"/>
              </w:rPr>
              <w:t>/hr.) (f)</w:t>
            </w:r>
          </w:p>
        </w:tc>
        <w:tc>
          <w:tcPr>
            <w:tcW w:w="1316" w:type="dxa"/>
            <w:shd w:val="clear" w:color="auto" w:fill="auto"/>
            <w:hideMark/>
          </w:tcPr>
          <w:p w:rsidRPr="00925658" w:rsidR="00FF7AB6" w:rsidP="00A639D4" w:rsidRDefault="00FF7AB6" w14:paraId="12845B76" w14:textId="024B629B">
            <w:pPr>
              <w:spacing w:after="0"/>
              <w:rPr>
                <w:sz w:val="20"/>
                <w:szCs w:val="20"/>
              </w:rPr>
            </w:pPr>
            <w:r w:rsidRPr="00925658">
              <w:rPr>
                <w:sz w:val="20"/>
                <w:szCs w:val="20"/>
              </w:rPr>
              <w:t>$</w:t>
            </w:r>
            <w:r w:rsidR="006F5F02">
              <w:rPr>
                <w:sz w:val="20"/>
                <w:szCs w:val="20"/>
              </w:rPr>
              <w:t>319.87</w:t>
            </w:r>
          </w:p>
        </w:tc>
      </w:tr>
      <w:tr w:rsidRPr="00C47150" w:rsidR="00FF7AB6" w:rsidTr="00A639D4" w14:paraId="65DE46ED" w14:textId="77777777">
        <w:trPr>
          <w:trHeight w:val="242"/>
          <w:jc w:val="center"/>
        </w:trPr>
        <w:tc>
          <w:tcPr>
            <w:tcW w:w="8239" w:type="dxa"/>
            <w:shd w:val="clear" w:color="auto" w:fill="auto"/>
            <w:hideMark/>
          </w:tcPr>
          <w:p w:rsidRPr="00925658" w:rsidR="00FF7AB6" w:rsidP="00A639D4" w:rsidRDefault="00FF7AB6" w14:paraId="219882CD" w14:textId="3470DEF0">
            <w:pPr>
              <w:spacing w:after="0"/>
              <w:rPr>
                <w:sz w:val="20"/>
                <w:szCs w:val="20"/>
              </w:rPr>
            </w:pPr>
            <w:r w:rsidRPr="00732012">
              <w:rPr>
                <w:sz w:val="20"/>
                <w:szCs w:val="20"/>
              </w:rPr>
              <w:t>Cost to Identify Improvement Activity (@ physician’s labor rate of $2</w:t>
            </w:r>
            <w:r w:rsidR="008D7DB5">
              <w:rPr>
                <w:sz w:val="20"/>
                <w:szCs w:val="20"/>
              </w:rPr>
              <w:t>1</w:t>
            </w:r>
            <w:r w:rsidR="00317277">
              <w:rPr>
                <w:sz w:val="20"/>
                <w:szCs w:val="20"/>
              </w:rPr>
              <w:t>7.32</w:t>
            </w:r>
            <w:r w:rsidRPr="00732012">
              <w:rPr>
                <w:sz w:val="20"/>
                <w:szCs w:val="20"/>
              </w:rPr>
              <w:t>/hr.) (g)</w:t>
            </w:r>
          </w:p>
        </w:tc>
        <w:tc>
          <w:tcPr>
            <w:tcW w:w="1316" w:type="dxa"/>
            <w:shd w:val="clear" w:color="auto" w:fill="auto"/>
            <w:noWrap/>
            <w:hideMark/>
          </w:tcPr>
          <w:p w:rsidRPr="00925658" w:rsidR="00FF7AB6" w:rsidP="00A639D4" w:rsidRDefault="00FF7AB6" w14:paraId="72DEBBF9" w14:textId="21128996">
            <w:pPr>
              <w:spacing w:after="0"/>
              <w:rPr>
                <w:sz w:val="20"/>
                <w:szCs w:val="20"/>
              </w:rPr>
            </w:pPr>
            <w:r w:rsidRPr="00925658">
              <w:rPr>
                <w:sz w:val="20"/>
                <w:szCs w:val="20"/>
              </w:rPr>
              <w:t>$</w:t>
            </w:r>
            <w:r w:rsidR="001D7F3E">
              <w:rPr>
                <w:sz w:val="20"/>
                <w:szCs w:val="20"/>
              </w:rPr>
              <w:t>347.71</w:t>
            </w:r>
          </w:p>
        </w:tc>
      </w:tr>
      <w:tr w:rsidRPr="00C47150" w:rsidR="00FF7AB6" w:rsidTr="00A639D4" w14:paraId="1975E592" w14:textId="77777777">
        <w:trPr>
          <w:trHeight w:val="300"/>
          <w:jc w:val="center"/>
        </w:trPr>
        <w:tc>
          <w:tcPr>
            <w:tcW w:w="8239" w:type="dxa"/>
            <w:shd w:val="clear" w:color="auto" w:fill="E7E6E6" w:themeFill="background2"/>
            <w:hideMark/>
          </w:tcPr>
          <w:p w:rsidRPr="00925658" w:rsidR="00FF7AB6" w:rsidP="00A639D4" w:rsidRDefault="00FF7AB6" w14:paraId="1B53DB86" w14:textId="77777777">
            <w:pPr>
              <w:spacing w:after="0"/>
              <w:rPr>
                <w:sz w:val="20"/>
                <w:szCs w:val="20"/>
              </w:rPr>
            </w:pPr>
            <w:r w:rsidRPr="00732012">
              <w:rPr>
                <w:sz w:val="20"/>
                <w:szCs w:val="20"/>
              </w:rPr>
              <w:t>Total Annual Cost Per Respondent (h)=(f)+(g)</w:t>
            </w:r>
          </w:p>
        </w:tc>
        <w:tc>
          <w:tcPr>
            <w:tcW w:w="1316" w:type="dxa"/>
            <w:shd w:val="clear" w:color="auto" w:fill="E7E6E6" w:themeFill="background2"/>
            <w:noWrap/>
            <w:hideMark/>
          </w:tcPr>
          <w:p w:rsidRPr="00925658" w:rsidR="00FF7AB6" w:rsidP="00A639D4" w:rsidRDefault="00FF7AB6" w14:paraId="7B196CF5" w14:textId="5F34F897">
            <w:pPr>
              <w:spacing w:after="0"/>
              <w:rPr>
                <w:sz w:val="20"/>
                <w:szCs w:val="20"/>
              </w:rPr>
            </w:pPr>
            <w:r w:rsidRPr="00925658">
              <w:rPr>
                <w:sz w:val="20"/>
                <w:szCs w:val="20"/>
              </w:rPr>
              <w:t>$</w:t>
            </w:r>
            <w:r w:rsidR="00AA3868">
              <w:rPr>
                <w:sz w:val="20"/>
                <w:szCs w:val="20"/>
              </w:rPr>
              <w:t>667.58</w:t>
            </w:r>
          </w:p>
        </w:tc>
      </w:tr>
      <w:tr w:rsidRPr="00C47150" w:rsidR="00FF7AB6" w:rsidTr="00A639D4" w14:paraId="0230C8A0" w14:textId="77777777">
        <w:trPr>
          <w:trHeight w:val="300"/>
          <w:jc w:val="center"/>
        </w:trPr>
        <w:tc>
          <w:tcPr>
            <w:tcW w:w="8239" w:type="dxa"/>
            <w:shd w:val="clear" w:color="auto" w:fill="E7E6E6" w:themeFill="background2"/>
            <w:hideMark/>
          </w:tcPr>
          <w:p w:rsidRPr="00CE4A05" w:rsidR="00FF7AB6" w:rsidP="00A639D4" w:rsidRDefault="00FF7AB6" w14:paraId="5AF4E189" w14:textId="77777777">
            <w:pPr>
              <w:spacing w:after="0"/>
              <w:rPr>
                <w:b/>
                <w:sz w:val="20"/>
                <w:szCs w:val="20"/>
              </w:rPr>
            </w:pPr>
            <w:r w:rsidRPr="00CE4A05">
              <w:rPr>
                <w:b/>
                <w:sz w:val="20"/>
                <w:szCs w:val="20"/>
              </w:rPr>
              <w:t>Total Annual Cost (i)=(a)*(h)</w:t>
            </w:r>
          </w:p>
        </w:tc>
        <w:tc>
          <w:tcPr>
            <w:tcW w:w="1316" w:type="dxa"/>
            <w:shd w:val="clear" w:color="auto" w:fill="E7E6E6" w:themeFill="background2"/>
            <w:noWrap/>
            <w:hideMark/>
          </w:tcPr>
          <w:p w:rsidRPr="00CE4A05" w:rsidR="00FF7AB6" w:rsidP="00A639D4" w:rsidRDefault="00FF7AB6" w14:paraId="7F7D3A41" w14:textId="0E319313">
            <w:pPr>
              <w:spacing w:after="0"/>
              <w:rPr>
                <w:b/>
                <w:sz w:val="20"/>
                <w:szCs w:val="20"/>
              </w:rPr>
            </w:pPr>
            <w:r w:rsidRPr="00CE4A05">
              <w:rPr>
                <w:b/>
                <w:sz w:val="20"/>
                <w:szCs w:val="20"/>
              </w:rPr>
              <w:t>$</w:t>
            </w:r>
            <w:r w:rsidR="008A672D">
              <w:rPr>
                <w:b/>
                <w:sz w:val="20"/>
                <w:szCs w:val="20"/>
              </w:rPr>
              <w:t>20,695</w:t>
            </w:r>
          </w:p>
        </w:tc>
      </w:tr>
    </w:tbl>
    <w:p w:rsidR="00FF7AB6" w:rsidP="00FF7AB6" w:rsidRDefault="00FF7AB6" w14:paraId="2888B3C6" w14:textId="19A3BC62">
      <w:pPr>
        <w:ind w:firstLine="720"/>
      </w:pPr>
    </w:p>
    <w:p w:rsidRPr="004330C9" w:rsidR="008D7DB5" w:rsidP="004330C9" w:rsidRDefault="008D7DB5" w14:paraId="68B91B0A" w14:textId="01E16287">
      <w:pPr>
        <w:pStyle w:val="Heading3"/>
      </w:pPr>
      <w:bookmarkStart w:name="_Hlk532899268" w:id="14"/>
      <w:r w:rsidRPr="004330C9">
        <w:t>Nomination of MVPs</w:t>
      </w:r>
    </w:p>
    <w:p w:rsidR="008D7DB5" w:rsidP="008D7DB5" w:rsidRDefault="008D7DB5" w14:paraId="1B2433D4" w14:textId="36F68390">
      <w:r>
        <w:t xml:space="preserve">Beginning </w:t>
      </w:r>
      <w:r w:rsidR="0026206B">
        <w:t xml:space="preserve">in CY 2021 for purposes of </w:t>
      </w:r>
      <w:r w:rsidR="00207C7B">
        <w:t>the CY</w:t>
      </w:r>
      <w:r w:rsidR="0026206B">
        <w:t xml:space="preserve"> 2022 policymaking</w:t>
      </w:r>
      <w:r>
        <w:t xml:space="preserve">, we </w:t>
      </w:r>
      <w:r w:rsidR="006A1724">
        <w:t>stated</w:t>
      </w:r>
      <w:r>
        <w:t xml:space="preserve"> stakeholders should formally submit their MVP candidates utilizing a standardized template, which will be published in the QPP resource library </w:t>
      </w:r>
      <w:r w:rsidR="004D64D2">
        <w:t xml:space="preserve">for </w:t>
      </w:r>
      <w:r>
        <w:t xml:space="preserve">our consideration for future implementation. Stakeholders should submit all information including a description of how their MVP abides by the MVP development criteria as described in </w:t>
      </w:r>
      <w:r w:rsidR="009F04A5">
        <w:t>the CY 2021 PFS</w:t>
      </w:r>
      <w:r>
        <w:t xml:space="preserve"> </w:t>
      </w:r>
      <w:r w:rsidR="00E520D3">
        <w:t>final</w:t>
      </w:r>
      <w:r>
        <w:t xml:space="preserve"> rule</w:t>
      </w:r>
      <w:r w:rsidRPr="00DE1D7D" w:rsidR="00554885">
        <w:t xml:space="preserve"> (85 FR </w:t>
      </w:r>
      <w:r w:rsidR="007548D2">
        <w:t>84849</w:t>
      </w:r>
      <w:r w:rsidRPr="00DE1D7D" w:rsidR="00554885">
        <w:t xml:space="preserve"> through </w:t>
      </w:r>
      <w:r w:rsidR="007548D2">
        <w:t>84859</w:t>
      </w:r>
      <w:r w:rsidRPr="00DE1D7D" w:rsidR="00554885">
        <w:t>)</w:t>
      </w:r>
      <w:r w:rsidRPr="00DE1D7D">
        <w:t>,</w:t>
      </w:r>
      <w:r>
        <w:t xml:space="preserve"> and provide rationales as to why specific measures and activities were chosen to construct the MVP.  As MVP candidates are received, they will be reviewed, vetted, and evaluated by CMS and our contractors to determine if the MVP is feasible and ready for inclusion in the upcoming performance period.  For the </w:t>
      </w:r>
      <w:r w:rsidR="008F6B7D">
        <w:t xml:space="preserve">CY </w:t>
      </w:r>
      <w:r>
        <w:t>202</w:t>
      </w:r>
      <w:r w:rsidR="008F6B7D">
        <w:t>2</w:t>
      </w:r>
      <w:r>
        <w:t xml:space="preserve"> MIPS performance period</w:t>
      </w:r>
      <w:r w:rsidR="008F6B7D">
        <w:t>/2024 MIPS payment year</w:t>
      </w:r>
      <w:r>
        <w:t>, we assume 25 MVP nominations will be received and the estimated time required to submit all required information is 12 hours per nomination.</w:t>
      </w:r>
    </w:p>
    <w:p w:rsidRPr="00A05EDE" w:rsidR="008D7DB5" w:rsidP="008D7DB5" w:rsidRDefault="008D7DB5" w14:paraId="0307ADEB" w14:textId="75188741">
      <w:r>
        <w:t>Similar to the call for quality measures, nomination of Promoting Interoperability measures, and the nomination of improvement activities, we assume MVP nomination will be performed by both practice administration staff or their equivalents and clinicians.  We estimate 7.2 hours at $11</w:t>
      </w:r>
      <w:r w:rsidR="002134B6">
        <w:t>4.24</w:t>
      </w:r>
      <w:r>
        <w:t>/hr for a medical and health services manager or equivalent and 4.8 hours at $21</w:t>
      </w:r>
      <w:r w:rsidR="00ED36E1">
        <w:t>7.32</w:t>
      </w:r>
      <w:r>
        <w:t xml:space="preserve">/hr for a physician to nominate an MVP.  As shown in Table </w:t>
      </w:r>
      <w:r w:rsidR="009F04A5">
        <w:t>2</w:t>
      </w:r>
      <w:r w:rsidR="00ED36E1">
        <w:t>8</w:t>
      </w:r>
      <w:r>
        <w:t xml:space="preserve">, we estimate an annual burden of 300 hours (25 nominations x 12 hr/nomination) at a cost of </w:t>
      </w:r>
      <w:r w:rsidRPr="00A05EDE">
        <w:t>$4</w:t>
      </w:r>
      <w:r w:rsidR="00710BED">
        <w:t>6,642</w:t>
      </w:r>
      <w:r w:rsidRPr="00A05EDE">
        <w:t xml:space="preserve"> (25 x [(7.2 hr x $11</w:t>
      </w:r>
      <w:r w:rsidR="00313E77">
        <w:t>4</w:t>
      </w:r>
      <w:r w:rsidRPr="00A05EDE">
        <w:t>.</w:t>
      </w:r>
      <w:r w:rsidR="00313E77">
        <w:t>2</w:t>
      </w:r>
      <w:r w:rsidRPr="00A05EDE">
        <w:t>4/hr) + (4.8 hr x $21</w:t>
      </w:r>
      <w:r w:rsidR="00D228CB">
        <w:t>7.32</w:t>
      </w:r>
      <w:r w:rsidRPr="00A05EDE">
        <w:t xml:space="preserve">/hr)]).  </w:t>
      </w:r>
    </w:p>
    <w:p w:rsidRPr="00A05EDE" w:rsidR="009F04A5" w:rsidP="009F04A5" w:rsidRDefault="009F04A5" w14:paraId="1DC9715D" w14:textId="5D74F3AA">
      <w:pPr>
        <w:keepNext/>
        <w:keepLines/>
        <w:spacing w:after="0"/>
        <w:jc w:val="center"/>
        <w:rPr>
          <w:rFonts w:eastAsia="Calibri"/>
          <w:b/>
          <w:bCs/>
        </w:rPr>
      </w:pPr>
      <w:r w:rsidRPr="00A05EDE">
        <w:rPr>
          <w:rFonts w:eastAsia="Calibri"/>
          <w:b/>
          <w:bCs/>
        </w:rPr>
        <w:lastRenderedPageBreak/>
        <w:t xml:space="preserve">TABLE </w:t>
      </w:r>
      <w:r w:rsidRPr="00A05EDE">
        <w:rPr>
          <w:rFonts w:eastAsia="Calibri"/>
          <w:b/>
        </w:rPr>
        <w:t>2</w:t>
      </w:r>
      <w:r w:rsidR="004868A0">
        <w:rPr>
          <w:rFonts w:eastAsia="Calibri"/>
          <w:b/>
        </w:rPr>
        <w:t>8</w:t>
      </w:r>
      <w:r w:rsidRPr="00A05EDE">
        <w:rPr>
          <w:rFonts w:eastAsia="Calibri"/>
          <w:b/>
          <w:bCs/>
        </w:rPr>
        <w:t>:  Estimated Burden for Nomination of MVPs</w:t>
      </w:r>
    </w:p>
    <w:tbl>
      <w:tblPr>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94"/>
        <w:gridCol w:w="1016"/>
      </w:tblGrid>
      <w:tr w:rsidRPr="00A05EDE" w:rsidR="009F04A5" w:rsidTr="008034F5" w14:paraId="7E5C4B5E"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493F4D" w:rsidRDefault="00493F4D" w14:paraId="540EB521" w14:textId="2F8D6743">
            <w:pPr>
              <w:keepNext/>
              <w:keepLines/>
              <w:spacing w:after="0"/>
              <w:rPr>
                <w:rFonts w:eastAsia="Calibri"/>
                <w:sz w:val="20"/>
                <w:szCs w:val="20"/>
              </w:rPr>
            </w:pPr>
            <w:r w:rsidRPr="00A05EDE">
              <w:rPr>
                <w:b/>
                <w:sz w:val="20"/>
                <w:szCs w:val="20"/>
              </w:rPr>
              <w:t>Burden and Respondent Descriptions</w:t>
            </w:r>
          </w:p>
        </w:tc>
        <w:tc>
          <w:tcPr>
            <w:tcW w:w="1015" w:type="dxa"/>
            <w:tcBorders>
              <w:top w:val="single" w:color="auto" w:sz="4" w:space="0"/>
              <w:left w:val="single" w:color="auto" w:sz="4" w:space="0"/>
              <w:bottom w:val="single" w:color="auto" w:sz="4" w:space="0"/>
              <w:right w:val="single" w:color="auto" w:sz="4" w:space="0"/>
            </w:tcBorders>
            <w:hideMark/>
          </w:tcPr>
          <w:p w:rsidRPr="00A05EDE" w:rsidR="009F04A5" w:rsidP="00B90263" w:rsidRDefault="009F04A5" w14:paraId="5347A39B" w14:textId="77777777">
            <w:pPr>
              <w:keepNext/>
              <w:keepLines/>
              <w:spacing w:after="0"/>
              <w:jc w:val="center"/>
              <w:rPr>
                <w:rFonts w:eastAsia="Calibri"/>
                <w:b/>
                <w:sz w:val="20"/>
                <w:szCs w:val="20"/>
              </w:rPr>
            </w:pPr>
            <w:r w:rsidRPr="00A05EDE">
              <w:rPr>
                <w:rFonts w:eastAsia="Calibri"/>
                <w:b/>
                <w:sz w:val="20"/>
                <w:szCs w:val="20"/>
              </w:rPr>
              <w:t>Burden Estimate</w:t>
            </w:r>
          </w:p>
        </w:tc>
      </w:tr>
      <w:tr w:rsidRPr="00A05EDE" w:rsidR="009F04A5" w:rsidTr="008034F5" w14:paraId="2AEA33D3"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35C46217" w14:textId="77777777">
            <w:pPr>
              <w:keepNext/>
              <w:keepLines/>
              <w:spacing w:after="0"/>
              <w:rPr>
                <w:rFonts w:eastAsia="Calibri"/>
                <w:sz w:val="20"/>
                <w:szCs w:val="20"/>
              </w:rPr>
            </w:pPr>
            <w:r w:rsidRPr="00A05EDE">
              <w:rPr>
                <w:rFonts w:eastAsia="Calibri"/>
                <w:sz w:val="20"/>
                <w:szCs w:val="20"/>
              </w:rPr>
              <w:t># of Nominations of New Improvement Activities (a)</w:t>
            </w:r>
          </w:p>
        </w:tc>
        <w:tc>
          <w:tcPr>
            <w:tcW w:w="1015" w:type="dxa"/>
            <w:tcBorders>
              <w:top w:val="single" w:color="auto" w:sz="4" w:space="0"/>
              <w:left w:val="single" w:color="auto" w:sz="4" w:space="0"/>
              <w:bottom w:val="single" w:color="auto" w:sz="4" w:space="0"/>
              <w:right w:val="single" w:color="auto" w:sz="4" w:space="0"/>
            </w:tcBorders>
            <w:noWrap/>
            <w:vAlign w:val="center"/>
            <w:hideMark/>
          </w:tcPr>
          <w:p w:rsidRPr="00A05EDE" w:rsidR="009F04A5" w:rsidP="00B90263" w:rsidRDefault="009F04A5" w14:paraId="49F3D975" w14:textId="77777777">
            <w:pPr>
              <w:keepNext/>
              <w:keepLines/>
              <w:spacing w:after="0"/>
              <w:jc w:val="right"/>
              <w:rPr>
                <w:rFonts w:eastAsia="Calibri"/>
                <w:sz w:val="20"/>
                <w:szCs w:val="20"/>
              </w:rPr>
            </w:pPr>
            <w:r w:rsidRPr="00A05EDE">
              <w:rPr>
                <w:rFonts w:eastAsia="Calibri"/>
                <w:sz w:val="20"/>
                <w:szCs w:val="20"/>
              </w:rPr>
              <w:t>25</w:t>
            </w:r>
          </w:p>
        </w:tc>
      </w:tr>
      <w:tr w:rsidRPr="00A05EDE" w:rsidR="009F04A5" w:rsidTr="008034F5" w14:paraId="4A8256F0"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75D2E2B7" w14:textId="77777777">
            <w:pPr>
              <w:keepNext/>
              <w:keepLines/>
              <w:spacing w:after="0"/>
              <w:rPr>
                <w:rFonts w:eastAsia="Calibri"/>
                <w:sz w:val="20"/>
                <w:szCs w:val="20"/>
              </w:rPr>
            </w:pPr>
            <w:r w:rsidRPr="00A05EDE">
              <w:rPr>
                <w:rFonts w:eastAsia="Calibri"/>
                <w:sz w:val="20"/>
                <w:szCs w:val="20"/>
              </w:rPr>
              <w:t xml:space="preserve"># of Hours Per Medical and Health Services Manager (b) </w:t>
            </w:r>
          </w:p>
        </w:tc>
        <w:tc>
          <w:tcPr>
            <w:tcW w:w="1015" w:type="dxa"/>
            <w:tcBorders>
              <w:top w:val="single" w:color="auto" w:sz="4" w:space="0"/>
              <w:left w:val="single" w:color="auto" w:sz="4" w:space="0"/>
              <w:bottom w:val="single" w:color="auto" w:sz="4" w:space="0"/>
              <w:right w:val="single" w:color="auto" w:sz="4" w:space="0"/>
            </w:tcBorders>
            <w:noWrap/>
            <w:vAlign w:val="center"/>
            <w:hideMark/>
          </w:tcPr>
          <w:p w:rsidRPr="00A05EDE" w:rsidR="009F04A5" w:rsidP="00B90263" w:rsidRDefault="009F04A5" w14:paraId="3650881B" w14:textId="77777777">
            <w:pPr>
              <w:keepNext/>
              <w:keepLines/>
              <w:spacing w:after="0"/>
              <w:jc w:val="right"/>
              <w:rPr>
                <w:rFonts w:eastAsia="Calibri"/>
                <w:sz w:val="20"/>
                <w:szCs w:val="20"/>
              </w:rPr>
            </w:pPr>
            <w:r w:rsidRPr="00A05EDE">
              <w:rPr>
                <w:rFonts w:eastAsia="Calibri"/>
                <w:sz w:val="20"/>
                <w:szCs w:val="20"/>
              </w:rPr>
              <w:t>7.2</w:t>
            </w:r>
          </w:p>
        </w:tc>
      </w:tr>
      <w:tr w:rsidRPr="00A05EDE" w:rsidR="009F04A5" w:rsidTr="008034F5" w14:paraId="782B48FB"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054E1AF2" w14:textId="77777777">
            <w:pPr>
              <w:keepNext/>
              <w:keepLines/>
              <w:spacing w:after="0"/>
              <w:rPr>
                <w:rFonts w:eastAsia="Calibri"/>
                <w:sz w:val="20"/>
                <w:szCs w:val="20"/>
              </w:rPr>
            </w:pPr>
            <w:r w:rsidRPr="00A05EDE">
              <w:rPr>
                <w:rFonts w:eastAsia="Calibri"/>
                <w:sz w:val="20"/>
                <w:szCs w:val="20"/>
              </w:rPr>
              <w:t># of Hours Per Physician (c)</w:t>
            </w:r>
          </w:p>
        </w:tc>
        <w:tc>
          <w:tcPr>
            <w:tcW w:w="101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206C5CA7" w14:textId="77777777">
            <w:pPr>
              <w:keepNext/>
              <w:keepLines/>
              <w:spacing w:after="0"/>
              <w:jc w:val="right"/>
              <w:rPr>
                <w:rFonts w:eastAsia="Calibri"/>
                <w:sz w:val="20"/>
                <w:szCs w:val="20"/>
              </w:rPr>
            </w:pPr>
            <w:r w:rsidRPr="00A05EDE">
              <w:rPr>
                <w:rFonts w:eastAsia="Calibri"/>
                <w:sz w:val="20"/>
                <w:szCs w:val="20"/>
              </w:rPr>
              <w:t>4.8</w:t>
            </w:r>
          </w:p>
        </w:tc>
      </w:tr>
      <w:tr w:rsidRPr="00A05EDE" w:rsidR="009F04A5" w:rsidTr="008034F5" w14:paraId="0EF1707C"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05EDE" w:rsidR="009F04A5" w:rsidP="00B90263" w:rsidRDefault="009F04A5" w14:paraId="2F9BCEFA" w14:textId="77777777">
            <w:pPr>
              <w:keepNext/>
              <w:keepLines/>
              <w:spacing w:after="0"/>
              <w:rPr>
                <w:rFonts w:eastAsia="Calibri"/>
                <w:sz w:val="20"/>
                <w:szCs w:val="20"/>
              </w:rPr>
            </w:pPr>
            <w:r w:rsidRPr="00A05EDE">
              <w:rPr>
                <w:rFonts w:eastAsia="Calibri"/>
                <w:sz w:val="20"/>
                <w:szCs w:val="20"/>
              </w:rPr>
              <w:t>Annual Hours Per Respondent (d)= (b) + (c)</w:t>
            </w:r>
          </w:p>
        </w:tc>
        <w:tc>
          <w:tcPr>
            <w:tcW w:w="10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05EDE" w:rsidR="009F04A5" w:rsidP="00B90263" w:rsidRDefault="009F04A5" w14:paraId="07602829" w14:textId="77777777">
            <w:pPr>
              <w:keepNext/>
              <w:keepLines/>
              <w:spacing w:after="0"/>
              <w:jc w:val="right"/>
              <w:rPr>
                <w:rFonts w:eastAsia="Calibri"/>
                <w:sz w:val="20"/>
                <w:szCs w:val="20"/>
              </w:rPr>
            </w:pPr>
            <w:r w:rsidRPr="00A05EDE">
              <w:rPr>
                <w:rFonts w:eastAsia="Calibri"/>
                <w:sz w:val="20"/>
                <w:szCs w:val="20"/>
              </w:rPr>
              <w:t>12</w:t>
            </w:r>
          </w:p>
        </w:tc>
      </w:tr>
      <w:tr w:rsidRPr="00A05EDE" w:rsidR="009F04A5" w:rsidTr="008034F5" w14:paraId="5B92B10D"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05EDE" w:rsidR="009F04A5" w:rsidP="00B90263" w:rsidRDefault="009F04A5" w14:paraId="5F74F260" w14:textId="77777777">
            <w:pPr>
              <w:keepNext/>
              <w:keepLines/>
              <w:spacing w:after="0"/>
              <w:rPr>
                <w:rFonts w:eastAsia="Calibri"/>
                <w:b/>
                <w:bCs/>
                <w:sz w:val="20"/>
                <w:szCs w:val="20"/>
              </w:rPr>
            </w:pPr>
            <w:r w:rsidRPr="00A05EDE">
              <w:rPr>
                <w:rFonts w:eastAsia="Calibri"/>
                <w:b/>
                <w:bCs/>
                <w:sz w:val="20"/>
                <w:szCs w:val="20"/>
              </w:rPr>
              <w:t>Total Annual Hours (e) = (a)*(d)</w:t>
            </w:r>
          </w:p>
        </w:tc>
        <w:tc>
          <w:tcPr>
            <w:tcW w:w="10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05EDE" w:rsidR="009F04A5" w:rsidP="00B90263" w:rsidRDefault="009F04A5" w14:paraId="248348F5" w14:textId="77777777">
            <w:pPr>
              <w:keepNext/>
              <w:keepLines/>
              <w:spacing w:after="0"/>
              <w:jc w:val="right"/>
              <w:rPr>
                <w:rFonts w:eastAsia="Calibri"/>
                <w:b/>
                <w:bCs/>
                <w:sz w:val="20"/>
                <w:szCs w:val="20"/>
              </w:rPr>
            </w:pPr>
            <w:r w:rsidRPr="00A05EDE">
              <w:rPr>
                <w:rFonts w:eastAsia="Calibri"/>
                <w:b/>
                <w:bCs/>
                <w:sz w:val="20"/>
                <w:szCs w:val="20"/>
              </w:rPr>
              <w:t>300</w:t>
            </w:r>
          </w:p>
        </w:tc>
      </w:tr>
      <w:tr w:rsidRPr="00A05EDE" w:rsidR="009F04A5" w:rsidTr="008034F5" w14:paraId="637B02BB"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259F1598" w14:textId="6AB495E0">
            <w:pPr>
              <w:keepNext/>
              <w:keepLines/>
              <w:spacing w:after="0"/>
              <w:rPr>
                <w:rFonts w:eastAsia="Calibri"/>
                <w:sz w:val="20"/>
                <w:szCs w:val="20"/>
              </w:rPr>
            </w:pPr>
            <w:r w:rsidRPr="00A05EDE">
              <w:rPr>
                <w:rFonts w:eastAsia="Calibri"/>
                <w:sz w:val="20"/>
                <w:szCs w:val="20"/>
              </w:rPr>
              <w:t>Cost to Nominate an MVP (@ medical and health services manager's labor rate of $11</w:t>
            </w:r>
            <w:r w:rsidR="002134B6">
              <w:rPr>
                <w:rFonts w:eastAsia="Calibri"/>
                <w:sz w:val="20"/>
                <w:szCs w:val="20"/>
              </w:rPr>
              <w:t>4.24</w:t>
            </w:r>
            <w:r w:rsidRPr="00A05EDE">
              <w:rPr>
                <w:rFonts w:eastAsia="Calibri"/>
                <w:sz w:val="20"/>
                <w:szCs w:val="20"/>
              </w:rPr>
              <w:t>/hr) (f)</w:t>
            </w:r>
          </w:p>
        </w:tc>
        <w:tc>
          <w:tcPr>
            <w:tcW w:w="101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630C21D6" w14:textId="2CE69967">
            <w:pPr>
              <w:keepNext/>
              <w:keepLines/>
              <w:spacing w:after="0"/>
              <w:jc w:val="right"/>
              <w:rPr>
                <w:rFonts w:eastAsia="Calibri"/>
                <w:sz w:val="20"/>
                <w:szCs w:val="20"/>
              </w:rPr>
            </w:pPr>
            <w:r w:rsidRPr="00A05EDE">
              <w:rPr>
                <w:rFonts w:eastAsia="Calibri"/>
                <w:sz w:val="20"/>
                <w:szCs w:val="20"/>
              </w:rPr>
              <w:t>$</w:t>
            </w:r>
            <w:r w:rsidR="002A1F75">
              <w:rPr>
                <w:rFonts w:eastAsia="Calibri"/>
                <w:sz w:val="20"/>
                <w:szCs w:val="20"/>
              </w:rPr>
              <w:t>822.53</w:t>
            </w:r>
          </w:p>
        </w:tc>
      </w:tr>
      <w:tr w:rsidRPr="00A05EDE" w:rsidR="009F04A5" w:rsidTr="008034F5" w14:paraId="7B208546"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0124A0AC" w14:textId="2597D4E5">
            <w:pPr>
              <w:keepNext/>
              <w:keepLines/>
              <w:spacing w:after="0"/>
              <w:rPr>
                <w:rFonts w:eastAsia="Calibri"/>
                <w:sz w:val="20"/>
                <w:szCs w:val="20"/>
              </w:rPr>
            </w:pPr>
            <w:r w:rsidRPr="00A05EDE">
              <w:rPr>
                <w:rFonts w:eastAsia="Calibri"/>
                <w:sz w:val="20"/>
                <w:szCs w:val="20"/>
              </w:rPr>
              <w:t>Cost to Nominate an MVP (@ physician’s labor rate of $21</w:t>
            </w:r>
            <w:r w:rsidR="002134B6">
              <w:rPr>
                <w:rFonts w:eastAsia="Calibri"/>
                <w:sz w:val="20"/>
                <w:szCs w:val="20"/>
              </w:rPr>
              <w:t>7.32</w:t>
            </w:r>
            <w:r w:rsidRPr="00A05EDE">
              <w:rPr>
                <w:rFonts w:eastAsia="Calibri"/>
                <w:sz w:val="20"/>
                <w:szCs w:val="20"/>
              </w:rPr>
              <w:t>/hr) (g)</w:t>
            </w:r>
          </w:p>
        </w:tc>
        <w:tc>
          <w:tcPr>
            <w:tcW w:w="1015" w:type="dxa"/>
            <w:tcBorders>
              <w:top w:val="single" w:color="auto" w:sz="4" w:space="0"/>
              <w:left w:val="single" w:color="auto" w:sz="4" w:space="0"/>
              <w:bottom w:val="single" w:color="auto" w:sz="4" w:space="0"/>
              <w:right w:val="single" w:color="auto" w:sz="4" w:space="0"/>
            </w:tcBorders>
            <w:noWrap/>
            <w:vAlign w:val="center"/>
            <w:hideMark/>
          </w:tcPr>
          <w:p w:rsidRPr="00A05EDE" w:rsidR="009F04A5" w:rsidP="00B90263" w:rsidRDefault="009F04A5" w14:paraId="753486B3" w14:textId="4CCF0BD0">
            <w:pPr>
              <w:keepNext/>
              <w:keepLines/>
              <w:spacing w:after="0"/>
              <w:jc w:val="right"/>
              <w:rPr>
                <w:rFonts w:eastAsia="Calibri"/>
                <w:sz w:val="20"/>
                <w:szCs w:val="20"/>
              </w:rPr>
            </w:pPr>
            <w:r w:rsidRPr="00A05EDE">
              <w:rPr>
                <w:rFonts w:eastAsia="Calibri"/>
                <w:sz w:val="20"/>
                <w:szCs w:val="20"/>
              </w:rPr>
              <w:t>$1,0</w:t>
            </w:r>
            <w:r w:rsidR="002A1F75">
              <w:rPr>
                <w:rFonts w:eastAsia="Calibri"/>
                <w:sz w:val="20"/>
                <w:szCs w:val="20"/>
              </w:rPr>
              <w:t>43.14</w:t>
            </w:r>
          </w:p>
        </w:tc>
      </w:tr>
      <w:tr w:rsidRPr="00A05EDE" w:rsidR="009F04A5" w:rsidTr="008034F5" w14:paraId="6124C1A0"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05EDE" w:rsidR="009F04A5" w:rsidP="00B90263" w:rsidRDefault="009F04A5" w14:paraId="29A5CABD" w14:textId="77777777">
            <w:pPr>
              <w:keepNext/>
              <w:keepLines/>
              <w:spacing w:after="0"/>
              <w:rPr>
                <w:rFonts w:eastAsia="Calibri"/>
                <w:sz w:val="20"/>
                <w:szCs w:val="20"/>
              </w:rPr>
            </w:pPr>
            <w:r w:rsidRPr="00A05EDE">
              <w:rPr>
                <w:rFonts w:eastAsia="Calibri"/>
                <w:sz w:val="20"/>
                <w:szCs w:val="20"/>
              </w:rPr>
              <w:t>Total Annual Cost Per Respondent (h)=(f)+(g)</w:t>
            </w:r>
          </w:p>
        </w:tc>
        <w:tc>
          <w:tcPr>
            <w:tcW w:w="1015"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hideMark/>
          </w:tcPr>
          <w:p w:rsidRPr="00A05EDE" w:rsidR="009F04A5" w:rsidP="00B90263" w:rsidRDefault="009F04A5" w14:paraId="585F7552" w14:textId="3E05145D">
            <w:pPr>
              <w:keepNext/>
              <w:keepLines/>
              <w:spacing w:after="0"/>
              <w:jc w:val="right"/>
              <w:rPr>
                <w:rFonts w:eastAsia="Calibri"/>
                <w:sz w:val="20"/>
                <w:szCs w:val="20"/>
              </w:rPr>
            </w:pPr>
            <w:r w:rsidRPr="00A05EDE">
              <w:rPr>
                <w:rFonts w:eastAsia="Calibri"/>
                <w:sz w:val="20"/>
                <w:szCs w:val="20"/>
              </w:rPr>
              <w:t>$1,8</w:t>
            </w:r>
            <w:r w:rsidR="00710BED">
              <w:rPr>
                <w:rFonts w:eastAsia="Calibri"/>
                <w:sz w:val="20"/>
                <w:szCs w:val="20"/>
              </w:rPr>
              <w:t>65</w:t>
            </w:r>
            <w:r w:rsidRPr="00A05EDE">
              <w:rPr>
                <w:rFonts w:eastAsia="Calibri"/>
                <w:sz w:val="20"/>
                <w:szCs w:val="20"/>
              </w:rPr>
              <w:t>.67</w:t>
            </w:r>
          </w:p>
        </w:tc>
      </w:tr>
      <w:tr w:rsidRPr="00A05EDE" w:rsidR="009F04A5" w:rsidTr="008034F5" w14:paraId="15927938"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05EDE" w:rsidR="009F04A5" w:rsidP="00B90263" w:rsidRDefault="009F04A5" w14:paraId="5A24F41C" w14:textId="77777777">
            <w:pPr>
              <w:keepNext/>
              <w:keepLines/>
              <w:spacing w:after="0"/>
              <w:rPr>
                <w:rFonts w:eastAsia="Calibri"/>
                <w:b/>
                <w:sz w:val="20"/>
                <w:szCs w:val="20"/>
              </w:rPr>
            </w:pPr>
            <w:r w:rsidRPr="00A05EDE">
              <w:rPr>
                <w:rFonts w:eastAsia="Calibri"/>
                <w:b/>
                <w:sz w:val="20"/>
                <w:szCs w:val="20"/>
              </w:rPr>
              <w:t>Total Annual Cost (i)=(a)*(h)</w:t>
            </w:r>
          </w:p>
        </w:tc>
        <w:tc>
          <w:tcPr>
            <w:tcW w:w="1015"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hideMark/>
          </w:tcPr>
          <w:p w:rsidRPr="00A05EDE" w:rsidR="009F04A5" w:rsidP="00B90263" w:rsidRDefault="009F04A5" w14:paraId="56B5BFF8" w14:textId="63EAF98B">
            <w:pPr>
              <w:keepNext/>
              <w:keepLines/>
              <w:spacing w:after="0"/>
              <w:jc w:val="right"/>
              <w:rPr>
                <w:rFonts w:eastAsia="Calibri"/>
                <w:b/>
                <w:sz w:val="20"/>
                <w:szCs w:val="20"/>
              </w:rPr>
            </w:pPr>
            <w:r w:rsidRPr="00A05EDE">
              <w:rPr>
                <w:rFonts w:eastAsia="Calibri"/>
                <w:b/>
                <w:sz w:val="20"/>
                <w:szCs w:val="20"/>
              </w:rPr>
              <w:t>$4</w:t>
            </w:r>
            <w:r w:rsidR="00710BED">
              <w:rPr>
                <w:rFonts w:eastAsia="Calibri"/>
                <w:b/>
                <w:sz w:val="20"/>
                <w:szCs w:val="20"/>
              </w:rPr>
              <w:t>6,642</w:t>
            </w:r>
          </w:p>
        </w:tc>
      </w:tr>
    </w:tbl>
    <w:p w:rsidRPr="00A05EDE" w:rsidR="009F04A5" w:rsidP="008D7DB5" w:rsidRDefault="009F04A5" w14:paraId="1EB195B8" w14:textId="77777777"/>
    <w:p w:rsidRPr="00A05EDE" w:rsidR="003065CD" w:rsidP="004330C9" w:rsidRDefault="003065CD" w14:paraId="2AABC24D" w14:textId="71807944">
      <w:pPr>
        <w:pStyle w:val="Heading3"/>
      </w:pPr>
      <w:r w:rsidRPr="00A05EDE">
        <w:t>Burden Estimate for the Cost Performance Category</w:t>
      </w:r>
      <w:bookmarkEnd w:id="14"/>
    </w:p>
    <w:p w:rsidR="00537CEB" w:rsidP="00E12B53" w:rsidRDefault="00E4238B" w14:paraId="7FE31198" w14:textId="69255E86">
      <w:pPr>
        <w:rPr>
          <w:rFonts w:eastAsia="Calibri"/>
        </w:rPr>
      </w:pPr>
      <w:r w:rsidRPr="00CC2BFB">
        <w:rPr>
          <w:rFonts w:eastAsia="Calibri"/>
        </w:rPr>
        <w:t xml:space="preserve">The cost performance category relies on administrative claims data.  The Medicare Parts A and B claims submission process (OMB control number 0938-1197; CMS-1500 and CMS-1490S) is used to collect data on cost measures from MIPS eligible clinicians.  MIPS eligible clinicians are not required to provide any documentation by CD or hardcopy, including for the </w:t>
      </w:r>
      <w:r w:rsidRPr="00A62F99">
        <w:rPr>
          <w:rFonts w:eastAsia="Calibri"/>
        </w:rPr>
        <w:t>10</w:t>
      </w:r>
      <w:r w:rsidRPr="00CC2BFB">
        <w:rPr>
          <w:rFonts w:eastAsia="Calibri"/>
        </w:rPr>
        <w:t xml:space="preserve"> episode-based measures we </w:t>
      </w:r>
      <w:r w:rsidR="00B75D3C">
        <w:rPr>
          <w:rFonts w:eastAsia="Calibri"/>
        </w:rPr>
        <w:t>included</w:t>
      </w:r>
      <w:r w:rsidRPr="00CC2BFB">
        <w:rPr>
          <w:rFonts w:eastAsia="Calibri"/>
        </w:rPr>
        <w:t xml:space="preserve"> in the cost performance category as discussed in </w:t>
      </w:r>
      <w:r w:rsidR="006B4537">
        <w:rPr>
          <w:rFonts w:eastAsia="Calibri"/>
        </w:rPr>
        <w:t>the CY 2020 PFS final</w:t>
      </w:r>
      <w:r w:rsidRPr="00CC2BFB">
        <w:rPr>
          <w:rFonts w:eastAsia="Calibri"/>
        </w:rPr>
        <w:t xml:space="preserve"> rule</w:t>
      </w:r>
      <w:r w:rsidR="001B2AFD">
        <w:rPr>
          <w:rFonts w:eastAsia="Calibri"/>
        </w:rPr>
        <w:t xml:space="preserve"> (84 FR </w:t>
      </w:r>
      <w:r w:rsidR="001B2AFD">
        <w:t>62959)</w:t>
      </w:r>
      <w:r w:rsidRPr="00CC2BFB">
        <w:rPr>
          <w:rFonts w:eastAsia="Calibri"/>
        </w:rPr>
        <w:t>.  Moreover, the p</w:t>
      </w:r>
      <w:r w:rsidR="00D228CB">
        <w:rPr>
          <w:rFonts w:eastAsia="Calibri"/>
        </w:rPr>
        <w:t>olicies</w:t>
      </w:r>
      <w:r w:rsidRPr="00CC2BFB">
        <w:rPr>
          <w:rFonts w:eastAsia="Calibri"/>
        </w:rPr>
        <w:t xml:space="preserve"> of th</w:t>
      </w:r>
      <w:r w:rsidR="00FF3A84">
        <w:rPr>
          <w:rFonts w:eastAsia="Calibri"/>
        </w:rPr>
        <w:t>e CY 2022</w:t>
      </w:r>
      <w:r w:rsidRPr="00CC2BFB">
        <w:rPr>
          <w:rFonts w:eastAsia="Calibri"/>
        </w:rPr>
        <w:t xml:space="preserve"> </w:t>
      </w:r>
      <w:r w:rsidR="00D228CB">
        <w:rPr>
          <w:rFonts w:eastAsia="Calibri"/>
        </w:rPr>
        <w:t>proposed</w:t>
      </w:r>
      <w:r w:rsidRPr="00CC2BFB">
        <w:rPr>
          <w:rFonts w:eastAsia="Calibri"/>
        </w:rPr>
        <w:t xml:space="preserve"> rule </w:t>
      </w:r>
      <w:r w:rsidRPr="00CC2BFB">
        <w:rPr>
          <w:rFonts w:eastAsia="Calibri"/>
          <w:snapToGrid w:val="0"/>
          <w:szCs w:val="20"/>
        </w:rPr>
        <w:t xml:space="preserve">do </w:t>
      </w:r>
      <w:r w:rsidRPr="00CC2BFB">
        <w:rPr>
          <w:rFonts w:eastAsia="Calibri"/>
        </w:rPr>
        <w:t xml:space="preserve">not result in the need to add or revise or delete any claims data fields.  Therefore, we </w:t>
      </w:r>
      <w:r w:rsidR="002C3204">
        <w:rPr>
          <w:rFonts w:eastAsia="Calibri"/>
        </w:rPr>
        <w:t>did</w:t>
      </w:r>
      <w:r w:rsidRPr="00CC2BFB">
        <w:rPr>
          <w:rFonts w:eastAsia="Calibri"/>
        </w:rPr>
        <w:t xml:space="preserve"> not </w:t>
      </w:r>
      <w:r w:rsidR="00F072FD">
        <w:rPr>
          <w:rFonts w:eastAsia="Calibri"/>
        </w:rPr>
        <w:t>propose</w:t>
      </w:r>
      <w:r w:rsidRPr="00CC2BFB">
        <w:rPr>
          <w:rFonts w:eastAsia="Calibri"/>
        </w:rPr>
        <w:t xml:space="preserve"> any new or revised collection of information requirements or burden for MIPS eligible clinicians resulting from the cost performance category</w:t>
      </w:r>
      <w:r w:rsidRPr="003428D4" w:rsidR="00537CEB">
        <w:rPr>
          <w:rFonts w:eastAsia="Calibri"/>
        </w:rPr>
        <w:t>.</w:t>
      </w:r>
    </w:p>
    <w:p w:rsidRPr="004330C9" w:rsidR="003065CD" w:rsidP="004330C9" w:rsidRDefault="003065CD" w14:paraId="5F3E5B0A" w14:textId="23D63440">
      <w:pPr>
        <w:pStyle w:val="Heading3"/>
      </w:pPr>
      <w:bookmarkStart w:name="_Hlk532899276" w:id="15"/>
      <w:r w:rsidRPr="004330C9">
        <w:t>Burden Estimate for Partial QP Elections</w:t>
      </w:r>
      <w:bookmarkEnd w:id="15"/>
    </w:p>
    <w:p w:rsidRPr="00C123DE" w:rsidR="00C123DE" w:rsidP="00E12B53" w:rsidRDefault="00C123DE" w14:paraId="5AE0EB5A" w14:textId="3E5C0348">
      <w:pPr>
        <w:rPr>
          <w:rFonts w:eastAsia="Calibri"/>
        </w:rPr>
      </w:pPr>
      <w:r w:rsidRPr="00C123DE">
        <w:rPr>
          <w:rFonts w:eastAsia="Calibri"/>
        </w:rPr>
        <w:t xml:space="preserve">APM Entities may face a data submission burden under MIPS </w:t>
      </w:r>
      <w:r w:rsidR="00162F6D">
        <w:rPr>
          <w:rFonts w:eastAsia="Calibri"/>
        </w:rPr>
        <w:t xml:space="preserve">if they attain </w:t>
      </w:r>
      <w:r w:rsidRPr="00C123DE">
        <w:rPr>
          <w:rFonts w:eastAsia="Calibri"/>
        </w:rPr>
        <w:t xml:space="preserve">Partial QP </w:t>
      </w:r>
      <w:r w:rsidR="00162F6D">
        <w:rPr>
          <w:rFonts w:eastAsia="Calibri"/>
        </w:rPr>
        <w:t>status and elect to participate in MIPS</w:t>
      </w:r>
      <w:r w:rsidRPr="00C123DE">
        <w:rPr>
          <w:rFonts w:eastAsia="Calibri"/>
        </w:rPr>
        <w:t xml:space="preserve">.  Advanced APM participants will be notified about their QP or Partial QP status as soon as possible after each QP determination.  Where Partial QP status is earned at the APM Entity level, the burden of Partial QP election will be incurred by a representative of the participating APM Entity.  Where Partial QP status is earned at the eligible clinician level, the burden of Partial QP election will be incurred by the eligible clinician.  For the purposes of this burden estimate, we assume that all MIPS eligible clinicians determined to be Partial QPs will participate in MIPS.  </w:t>
      </w:r>
    </w:p>
    <w:p w:rsidR="007126F1" w:rsidP="00E12B53" w:rsidRDefault="00C123DE" w14:paraId="596877E3" w14:textId="46D3BFAE">
      <w:pPr>
        <w:rPr>
          <w:rFonts w:eastAsia="Calibri"/>
        </w:rPr>
      </w:pPr>
      <w:r w:rsidRPr="00C123DE">
        <w:rPr>
          <w:rFonts w:eastAsia="Calibri"/>
        </w:rPr>
        <w:t xml:space="preserve">As shown in </w:t>
      </w:r>
      <w:r w:rsidR="00C244E7">
        <w:rPr>
          <w:rFonts w:eastAsia="Calibri"/>
        </w:rPr>
        <w:t xml:space="preserve">Table </w:t>
      </w:r>
      <w:r w:rsidRPr="00C123DE">
        <w:rPr>
          <w:rFonts w:eastAsia="Calibri"/>
        </w:rPr>
        <w:t>2</w:t>
      </w:r>
      <w:r w:rsidR="00240322">
        <w:rPr>
          <w:rFonts w:eastAsia="Calibri"/>
        </w:rPr>
        <w:t>9</w:t>
      </w:r>
      <w:r w:rsidRPr="00C123DE">
        <w:rPr>
          <w:rFonts w:eastAsia="Calibri"/>
        </w:rPr>
        <w:t xml:space="preserve">, </w:t>
      </w:r>
      <w:r w:rsidRPr="00367710" w:rsidR="00367710">
        <w:rPr>
          <w:rFonts w:eastAsia="Calibri"/>
        </w:rPr>
        <w:t xml:space="preserve">based on historical response rates in </w:t>
      </w:r>
      <w:r w:rsidR="0092405B">
        <w:rPr>
          <w:rFonts w:eastAsia="Calibri"/>
        </w:rPr>
        <w:t>the CY</w:t>
      </w:r>
      <w:r w:rsidRPr="00367710" w:rsidR="00367710">
        <w:rPr>
          <w:rFonts w:eastAsia="Calibri"/>
        </w:rPr>
        <w:t xml:space="preserve"> 20</w:t>
      </w:r>
      <w:r w:rsidR="00965172">
        <w:rPr>
          <w:rFonts w:eastAsia="Calibri"/>
        </w:rPr>
        <w:t>20 MIPS performance period/2022 MIPS payment year</w:t>
      </w:r>
      <w:r w:rsidRPr="00367710" w:rsidR="00367710">
        <w:rPr>
          <w:rFonts w:eastAsia="Calibri"/>
        </w:rPr>
        <w:t>, we estimate that 1</w:t>
      </w:r>
      <w:r w:rsidR="009B4F28">
        <w:rPr>
          <w:rFonts w:eastAsia="Calibri"/>
        </w:rPr>
        <w:t>50</w:t>
      </w:r>
      <w:r w:rsidRPr="00367710" w:rsidR="00367710">
        <w:rPr>
          <w:rFonts w:eastAsia="Calibri"/>
        </w:rPr>
        <w:t xml:space="preserve"> APM Entities and </w:t>
      </w:r>
      <w:r w:rsidR="009B4F28">
        <w:rPr>
          <w:rFonts w:eastAsia="Calibri"/>
        </w:rPr>
        <w:t>1</w:t>
      </w:r>
      <w:r w:rsidRPr="00367710" w:rsidR="00367710">
        <w:rPr>
          <w:rFonts w:eastAsia="Calibri"/>
        </w:rPr>
        <w:t xml:space="preserve">00 eligible clinicians (representing approximately </w:t>
      </w:r>
      <w:r w:rsidR="00FC79FC">
        <w:rPr>
          <w:rFonts w:eastAsia="Calibri"/>
        </w:rPr>
        <w:t>9,000</w:t>
      </w:r>
      <w:r w:rsidRPr="00367710" w:rsidR="00367710">
        <w:rPr>
          <w:rFonts w:eastAsia="Calibri"/>
        </w:rPr>
        <w:t xml:space="preserve"> Partial QPs) will make the election to participate as a Partial QP in MIPS, a total of </w:t>
      </w:r>
      <w:r w:rsidR="00132B46">
        <w:rPr>
          <w:rFonts w:eastAsia="Calibri"/>
        </w:rPr>
        <w:t>250</w:t>
      </w:r>
      <w:r w:rsidRPr="00367710" w:rsidR="00367710">
        <w:rPr>
          <w:rFonts w:eastAsia="Calibri"/>
        </w:rPr>
        <w:t xml:space="preserve"> elections which is a decrease of </w:t>
      </w:r>
      <w:r w:rsidR="00132B46">
        <w:rPr>
          <w:rFonts w:eastAsia="Calibri"/>
        </w:rPr>
        <w:t>50</w:t>
      </w:r>
      <w:r w:rsidRPr="00367710" w:rsidR="00367710">
        <w:rPr>
          <w:rFonts w:eastAsia="Calibri"/>
        </w:rPr>
        <w:t xml:space="preserve"> from the </w:t>
      </w:r>
      <w:r w:rsidR="00132B46">
        <w:rPr>
          <w:rFonts w:eastAsia="Calibri"/>
        </w:rPr>
        <w:t>300</w:t>
      </w:r>
      <w:r w:rsidRPr="00367710" w:rsidR="00367710">
        <w:rPr>
          <w:rFonts w:eastAsia="Calibri"/>
        </w:rPr>
        <w:t xml:space="preserve"> elections that are currently approved by OMB under the aforementioned control number.  We continue to estimate it will take the APM Entity representative or eligible clinician 15 minutes (0.25 hr) to make this election.  In aggregate, we estimate an annual burden of </w:t>
      </w:r>
      <w:r w:rsidR="00ED4EF4">
        <w:rPr>
          <w:rFonts w:eastAsia="Calibri"/>
        </w:rPr>
        <w:t>63</w:t>
      </w:r>
      <w:r w:rsidRPr="00367710" w:rsidR="00367710">
        <w:rPr>
          <w:rFonts w:eastAsia="Calibri"/>
        </w:rPr>
        <w:t xml:space="preserve"> hours (</w:t>
      </w:r>
      <w:r w:rsidR="00D9069E">
        <w:rPr>
          <w:rFonts w:eastAsia="Calibri"/>
        </w:rPr>
        <w:t>250</w:t>
      </w:r>
      <w:r w:rsidRPr="00367710" w:rsidR="00367710">
        <w:rPr>
          <w:rFonts w:eastAsia="Calibri"/>
        </w:rPr>
        <w:t xml:space="preserve"> respondents x 0.25 hr/election) and $</w:t>
      </w:r>
      <w:r w:rsidR="008E7B4A">
        <w:rPr>
          <w:rFonts w:eastAsia="Calibri"/>
        </w:rPr>
        <w:t>5,9</w:t>
      </w:r>
      <w:r w:rsidR="00B61847">
        <w:rPr>
          <w:rFonts w:eastAsia="Calibri"/>
        </w:rPr>
        <w:t>99</w:t>
      </w:r>
      <w:r w:rsidRPr="00367710" w:rsidR="00367710">
        <w:rPr>
          <w:rFonts w:eastAsia="Calibri"/>
        </w:rPr>
        <w:t xml:space="preserve"> (</w:t>
      </w:r>
      <w:r w:rsidR="00B61847">
        <w:rPr>
          <w:rFonts w:eastAsia="Calibri"/>
        </w:rPr>
        <w:t>63 hr</w:t>
      </w:r>
      <w:r w:rsidRPr="00367710" w:rsidR="00367710">
        <w:rPr>
          <w:rFonts w:eastAsia="Calibri"/>
        </w:rPr>
        <w:t xml:space="preserve"> x $9</w:t>
      </w:r>
      <w:r w:rsidR="00AA03D8">
        <w:rPr>
          <w:rFonts w:eastAsia="Calibri"/>
        </w:rPr>
        <w:t>5.22</w:t>
      </w:r>
      <w:r w:rsidRPr="00367710" w:rsidR="00367710">
        <w:rPr>
          <w:rFonts w:eastAsia="Calibri"/>
        </w:rPr>
        <w:t>/hr)</w:t>
      </w:r>
      <w:r w:rsidRPr="003366A8" w:rsidR="003366A8">
        <w:rPr>
          <w:rFonts w:eastAsia="Calibri"/>
        </w:rPr>
        <w:t>.</w:t>
      </w:r>
    </w:p>
    <w:p w:rsidRPr="00C47150" w:rsidR="003065CD" w:rsidP="00334306" w:rsidRDefault="003065CD" w14:paraId="2B396829" w14:textId="152768DB">
      <w:pPr>
        <w:keepNext/>
        <w:keepLines/>
        <w:spacing w:after="0"/>
        <w:jc w:val="center"/>
        <w:rPr>
          <w:b/>
          <w:bCs/>
        </w:rPr>
      </w:pPr>
      <w:r w:rsidRPr="00C47150">
        <w:rPr>
          <w:b/>
          <w:bCs/>
        </w:rPr>
        <w:lastRenderedPageBreak/>
        <w:t xml:space="preserve">TABLE </w:t>
      </w:r>
      <w:r>
        <w:rPr>
          <w:b/>
          <w:bCs/>
        </w:rPr>
        <w:t>2</w:t>
      </w:r>
      <w:r w:rsidR="004868A0">
        <w:rPr>
          <w:b/>
          <w:bCs/>
        </w:rPr>
        <w:t>9</w:t>
      </w:r>
      <w:r w:rsidRPr="00C47150">
        <w:rPr>
          <w:b/>
          <w:bCs/>
        </w:rPr>
        <w:t xml:space="preserve">:  </w:t>
      </w:r>
      <w:r w:rsidR="00E117F8">
        <w:rPr>
          <w:b/>
          <w:bCs/>
        </w:rPr>
        <w:t>Estimated Burde</w:t>
      </w:r>
      <w:r w:rsidRPr="00C47150">
        <w:rPr>
          <w:b/>
          <w:bCs/>
        </w:rPr>
        <w:t>n for Partial QP Election</w:t>
      </w:r>
    </w:p>
    <w:tbl>
      <w:tblPr>
        <w:tblW w:w="9000" w:type="dxa"/>
        <w:jc w:val="center"/>
        <w:tblLook w:val="04A0" w:firstRow="1" w:lastRow="0" w:firstColumn="1" w:lastColumn="0" w:noHBand="0" w:noVBand="1"/>
      </w:tblPr>
      <w:tblGrid>
        <w:gridCol w:w="7645"/>
        <w:gridCol w:w="1355"/>
      </w:tblGrid>
      <w:tr w:rsidRPr="00C47150" w:rsidR="003065CD" w:rsidTr="00EA6D44" w14:paraId="2FD7E97B" w14:textId="77777777">
        <w:trPr>
          <w:trHeight w:val="300"/>
          <w:jc w:val="center"/>
        </w:trPr>
        <w:tc>
          <w:tcPr>
            <w:tcW w:w="7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hideMark/>
          </w:tcPr>
          <w:p w:rsidRPr="003065CD" w:rsidR="003065CD" w:rsidP="00334306" w:rsidRDefault="003065CD" w14:paraId="545DC1F0" w14:textId="71CC6F8E">
            <w:pPr>
              <w:keepNext/>
              <w:keepLines/>
              <w:spacing w:after="0"/>
              <w:rPr>
                <w:b/>
                <w:sz w:val="20"/>
                <w:szCs w:val="20"/>
              </w:rPr>
            </w:pPr>
            <w:r w:rsidRPr="003065CD">
              <w:rPr>
                <w:b/>
                <w:sz w:val="20"/>
                <w:szCs w:val="20"/>
              </w:rPr>
              <w:t> Burden and Respondent Descriptions</w:t>
            </w:r>
          </w:p>
        </w:tc>
        <w:tc>
          <w:tcPr>
            <w:tcW w:w="1355" w:type="dxa"/>
            <w:tcBorders>
              <w:top w:val="single" w:color="000000" w:themeColor="text1" w:sz="4" w:space="0"/>
              <w:left w:val="nil"/>
              <w:bottom w:val="single" w:color="000000" w:themeColor="text1" w:sz="4" w:space="0"/>
              <w:right w:val="single" w:color="000000" w:themeColor="text1" w:sz="4" w:space="0"/>
            </w:tcBorders>
            <w:shd w:val="clear" w:color="auto" w:fill="auto"/>
            <w:vAlign w:val="center"/>
            <w:hideMark/>
          </w:tcPr>
          <w:p w:rsidRPr="00663B38" w:rsidR="003065CD" w:rsidP="00334306" w:rsidRDefault="003065CD" w14:paraId="2BE5F43F" w14:textId="77777777">
            <w:pPr>
              <w:keepNext/>
              <w:keepLines/>
              <w:spacing w:after="0"/>
              <w:jc w:val="center"/>
              <w:rPr>
                <w:b/>
                <w:sz w:val="20"/>
                <w:szCs w:val="20"/>
              </w:rPr>
            </w:pPr>
            <w:r w:rsidRPr="00663B38">
              <w:rPr>
                <w:b/>
                <w:sz w:val="20"/>
                <w:szCs w:val="20"/>
              </w:rPr>
              <w:t>Burden Estimate</w:t>
            </w:r>
          </w:p>
        </w:tc>
      </w:tr>
      <w:tr w:rsidRPr="00C47150" w:rsidR="003065CD" w:rsidTr="00EA6D44" w14:paraId="0C56470B" w14:textId="77777777">
        <w:trPr>
          <w:trHeight w:val="305"/>
          <w:jc w:val="center"/>
        </w:trPr>
        <w:tc>
          <w:tcPr>
            <w:tcW w:w="7645" w:type="dxa"/>
            <w:tcBorders>
              <w:top w:val="nil"/>
              <w:left w:val="single" w:color="000000" w:themeColor="text1" w:sz="4" w:space="0"/>
              <w:bottom w:val="single" w:color="000000" w:themeColor="text1" w:sz="4" w:space="0"/>
              <w:right w:val="single" w:color="000000" w:themeColor="text1" w:sz="4" w:space="0"/>
            </w:tcBorders>
            <w:shd w:val="clear" w:color="auto" w:fill="auto"/>
          </w:tcPr>
          <w:p w:rsidRPr="00663B38" w:rsidR="003065CD" w:rsidP="00334306" w:rsidRDefault="003065CD" w14:paraId="0924F04C" w14:textId="2E26B11B">
            <w:pPr>
              <w:keepNext/>
              <w:keepLines/>
              <w:spacing w:after="0"/>
              <w:rPr>
                <w:sz w:val="20"/>
                <w:szCs w:val="20"/>
              </w:rPr>
            </w:pPr>
            <w:r>
              <w:rPr>
                <w:sz w:val="20"/>
                <w:szCs w:val="20"/>
              </w:rPr>
              <w:t># of respondents making Partial QP election (</w:t>
            </w:r>
            <w:r w:rsidR="00460137">
              <w:rPr>
                <w:sz w:val="20"/>
                <w:szCs w:val="20"/>
              </w:rPr>
              <w:t>1</w:t>
            </w:r>
            <w:r w:rsidR="00E84792">
              <w:rPr>
                <w:sz w:val="20"/>
                <w:szCs w:val="20"/>
              </w:rPr>
              <w:t>50</w:t>
            </w:r>
            <w:r>
              <w:rPr>
                <w:sz w:val="20"/>
                <w:szCs w:val="20"/>
              </w:rPr>
              <w:t xml:space="preserve"> APM Entities, </w:t>
            </w:r>
            <w:r w:rsidR="00460137">
              <w:rPr>
                <w:sz w:val="20"/>
                <w:szCs w:val="20"/>
              </w:rPr>
              <w:t>10</w:t>
            </w:r>
            <w:r w:rsidR="00E84792">
              <w:rPr>
                <w:sz w:val="20"/>
                <w:szCs w:val="20"/>
              </w:rPr>
              <w:t>0</w:t>
            </w:r>
            <w:r>
              <w:rPr>
                <w:sz w:val="20"/>
                <w:szCs w:val="20"/>
              </w:rPr>
              <w:t xml:space="preserve"> eligible clinicians) (a)</w:t>
            </w:r>
          </w:p>
        </w:tc>
        <w:tc>
          <w:tcPr>
            <w:tcW w:w="1355" w:type="dxa"/>
            <w:tcBorders>
              <w:top w:val="nil"/>
              <w:left w:val="nil"/>
              <w:bottom w:val="single" w:color="000000" w:themeColor="text1" w:sz="4" w:space="0"/>
              <w:right w:val="single" w:color="000000" w:themeColor="text1" w:sz="4" w:space="0"/>
            </w:tcBorders>
            <w:shd w:val="clear" w:color="auto" w:fill="auto"/>
            <w:noWrap/>
            <w:vAlign w:val="bottom"/>
          </w:tcPr>
          <w:p w:rsidR="003065CD" w:rsidP="00334306" w:rsidRDefault="00A04864" w14:paraId="69235A90" w14:textId="23EE64F0">
            <w:pPr>
              <w:keepNext/>
              <w:keepLines/>
              <w:spacing w:after="0"/>
              <w:rPr>
                <w:sz w:val="20"/>
                <w:szCs w:val="20"/>
              </w:rPr>
            </w:pPr>
            <w:r>
              <w:rPr>
                <w:sz w:val="20"/>
                <w:szCs w:val="20"/>
              </w:rPr>
              <w:t>250</w:t>
            </w:r>
          </w:p>
        </w:tc>
      </w:tr>
      <w:tr w:rsidRPr="00C47150" w:rsidR="003065CD" w:rsidTr="00EA6D44" w14:paraId="60D5ED99" w14:textId="77777777">
        <w:trPr>
          <w:trHeight w:val="305"/>
          <w:jc w:val="center"/>
        </w:trPr>
        <w:tc>
          <w:tcPr>
            <w:tcW w:w="7645" w:type="dxa"/>
            <w:tcBorders>
              <w:top w:val="nil"/>
              <w:left w:val="single" w:color="000000" w:themeColor="text1" w:sz="4" w:space="0"/>
              <w:bottom w:val="single" w:color="000000" w:themeColor="text1" w:sz="4" w:space="0"/>
              <w:right w:val="single" w:color="000000" w:themeColor="text1" w:sz="4" w:space="0"/>
            </w:tcBorders>
            <w:shd w:val="clear" w:color="auto" w:fill="auto"/>
            <w:hideMark/>
          </w:tcPr>
          <w:p w:rsidRPr="00663B38" w:rsidR="003065CD" w:rsidP="00A639D4" w:rsidRDefault="003065CD" w14:paraId="64F026B8" w14:textId="77777777">
            <w:pPr>
              <w:spacing w:after="0"/>
              <w:rPr>
                <w:sz w:val="20"/>
                <w:szCs w:val="20"/>
              </w:rPr>
            </w:pPr>
            <w:r>
              <w:rPr>
                <w:sz w:val="20"/>
                <w:szCs w:val="20"/>
              </w:rPr>
              <w:t xml:space="preserve">Total </w:t>
            </w:r>
            <w:r w:rsidRPr="00732012">
              <w:rPr>
                <w:sz w:val="20"/>
                <w:szCs w:val="20"/>
              </w:rPr>
              <w:t>Hours Per Respondent to Elect to Participate as Partial QP (</w:t>
            </w:r>
            <w:r>
              <w:rPr>
                <w:sz w:val="20"/>
                <w:szCs w:val="20"/>
              </w:rPr>
              <w:t>b</w:t>
            </w:r>
            <w:r w:rsidRPr="00732012">
              <w:rPr>
                <w:sz w:val="20"/>
                <w:szCs w:val="20"/>
              </w:rPr>
              <w:t xml:space="preserve">) </w:t>
            </w:r>
          </w:p>
        </w:tc>
        <w:tc>
          <w:tcPr>
            <w:tcW w:w="1355" w:type="dxa"/>
            <w:tcBorders>
              <w:top w:val="nil"/>
              <w:left w:val="nil"/>
              <w:bottom w:val="single" w:color="000000" w:themeColor="text1" w:sz="4" w:space="0"/>
              <w:right w:val="single" w:color="000000" w:themeColor="text1" w:sz="4" w:space="0"/>
            </w:tcBorders>
            <w:shd w:val="clear" w:color="auto" w:fill="auto"/>
            <w:noWrap/>
            <w:vAlign w:val="bottom"/>
            <w:hideMark/>
          </w:tcPr>
          <w:p w:rsidRPr="00663B38" w:rsidR="003065CD" w:rsidP="00A639D4" w:rsidRDefault="003065CD" w14:paraId="6C0A43BF" w14:textId="6E045899">
            <w:pPr>
              <w:spacing w:after="0"/>
              <w:rPr>
                <w:sz w:val="20"/>
                <w:szCs w:val="20"/>
              </w:rPr>
            </w:pPr>
            <w:r>
              <w:rPr>
                <w:sz w:val="20"/>
                <w:szCs w:val="20"/>
              </w:rPr>
              <w:t>0.25</w:t>
            </w:r>
          </w:p>
        </w:tc>
      </w:tr>
      <w:tr w:rsidRPr="00C47150" w:rsidR="003065CD" w:rsidTr="00EA6D44" w14:paraId="17F6D61C" w14:textId="77777777">
        <w:trPr>
          <w:trHeight w:val="260"/>
          <w:jc w:val="center"/>
        </w:trPr>
        <w:tc>
          <w:tcPr>
            <w:tcW w:w="7645" w:type="dxa"/>
            <w:tcBorders>
              <w:top w:val="nil"/>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EB040E" w:rsidR="003065CD" w:rsidP="00A639D4" w:rsidRDefault="003065CD" w14:paraId="0A08E020" w14:textId="77777777">
            <w:pPr>
              <w:spacing w:after="0"/>
              <w:rPr>
                <w:b/>
                <w:sz w:val="20"/>
                <w:szCs w:val="20"/>
              </w:rPr>
            </w:pPr>
            <w:r w:rsidRPr="00EB040E">
              <w:rPr>
                <w:b/>
                <w:sz w:val="20"/>
                <w:szCs w:val="20"/>
              </w:rPr>
              <w:t>Total Annual Hours (c) = (a)*(b)</w:t>
            </w:r>
          </w:p>
        </w:tc>
        <w:tc>
          <w:tcPr>
            <w:tcW w:w="1355" w:type="dxa"/>
            <w:tcBorders>
              <w:top w:val="nil"/>
              <w:left w:val="nil"/>
              <w:bottom w:val="single" w:color="000000" w:themeColor="text1" w:sz="4" w:space="0"/>
              <w:right w:val="single" w:color="000000" w:themeColor="text1" w:sz="4" w:space="0"/>
            </w:tcBorders>
            <w:shd w:val="clear" w:color="auto" w:fill="D9D9D9" w:themeFill="background1" w:themeFillShade="D9"/>
            <w:vAlign w:val="center"/>
          </w:tcPr>
          <w:p w:rsidRPr="00EB040E" w:rsidR="003065CD" w:rsidP="00A639D4" w:rsidRDefault="00A04864" w14:paraId="118AE16D" w14:textId="1D652C5B">
            <w:pPr>
              <w:spacing w:after="0"/>
              <w:rPr>
                <w:b/>
                <w:sz w:val="20"/>
                <w:szCs w:val="20"/>
              </w:rPr>
            </w:pPr>
            <w:r>
              <w:rPr>
                <w:b/>
                <w:sz w:val="20"/>
                <w:szCs w:val="20"/>
              </w:rPr>
              <w:t>63</w:t>
            </w:r>
          </w:p>
        </w:tc>
      </w:tr>
      <w:tr w:rsidRPr="00C47150" w:rsidR="003065CD" w:rsidTr="00EA6D44" w14:paraId="0031FD71" w14:textId="77777777">
        <w:trPr>
          <w:trHeight w:val="260"/>
          <w:jc w:val="center"/>
        </w:trPr>
        <w:tc>
          <w:tcPr>
            <w:tcW w:w="7645" w:type="dxa"/>
            <w:tcBorders>
              <w:top w:val="nil"/>
              <w:left w:val="single" w:color="000000" w:themeColor="text1" w:sz="4" w:space="0"/>
              <w:bottom w:val="single" w:color="000000" w:themeColor="text1" w:sz="4" w:space="0"/>
              <w:right w:val="single" w:color="000000" w:themeColor="text1" w:sz="4" w:space="0"/>
            </w:tcBorders>
            <w:shd w:val="clear" w:color="auto" w:fill="auto"/>
            <w:hideMark/>
          </w:tcPr>
          <w:p w:rsidRPr="00663B38" w:rsidR="003065CD" w:rsidP="00A639D4" w:rsidRDefault="003065CD" w14:paraId="7380BCE5" w14:textId="77777777">
            <w:pPr>
              <w:spacing w:after="0"/>
              <w:rPr>
                <w:sz w:val="20"/>
                <w:szCs w:val="20"/>
              </w:rPr>
            </w:pPr>
            <w:r>
              <w:rPr>
                <w:sz w:val="20"/>
                <w:szCs w:val="20"/>
              </w:rPr>
              <w:t xml:space="preserve">Labor rate for computer systems analyst </w:t>
            </w:r>
            <w:r w:rsidRPr="00732012">
              <w:rPr>
                <w:sz w:val="20"/>
                <w:szCs w:val="20"/>
              </w:rPr>
              <w:t>(</w:t>
            </w:r>
            <w:r>
              <w:rPr>
                <w:sz w:val="20"/>
                <w:szCs w:val="20"/>
              </w:rPr>
              <w:t>d</w:t>
            </w:r>
            <w:r w:rsidRPr="00732012">
              <w:rPr>
                <w:sz w:val="20"/>
                <w:szCs w:val="20"/>
              </w:rPr>
              <w:t>)</w:t>
            </w:r>
          </w:p>
        </w:tc>
        <w:tc>
          <w:tcPr>
            <w:tcW w:w="1355" w:type="dxa"/>
            <w:tcBorders>
              <w:top w:val="nil"/>
              <w:left w:val="nil"/>
              <w:bottom w:val="single" w:color="000000" w:themeColor="text1" w:sz="4" w:space="0"/>
              <w:right w:val="single" w:color="000000" w:themeColor="text1" w:sz="4" w:space="0"/>
            </w:tcBorders>
            <w:shd w:val="clear" w:color="auto" w:fill="auto"/>
            <w:vAlign w:val="center"/>
            <w:hideMark/>
          </w:tcPr>
          <w:p w:rsidRPr="00663B38" w:rsidR="003065CD" w:rsidP="00A639D4" w:rsidRDefault="003065CD" w14:paraId="2CDB9D65" w14:textId="0B43A111">
            <w:pPr>
              <w:spacing w:after="0"/>
              <w:rPr>
                <w:sz w:val="20"/>
                <w:szCs w:val="20"/>
              </w:rPr>
            </w:pPr>
            <w:r w:rsidRPr="00732012">
              <w:rPr>
                <w:sz w:val="20"/>
                <w:szCs w:val="20"/>
              </w:rPr>
              <w:t>$</w:t>
            </w:r>
            <w:r w:rsidR="003366A8">
              <w:rPr>
                <w:sz w:val="20"/>
                <w:szCs w:val="20"/>
              </w:rPr>
              <w:t>9</w:t>
            </w:r>
            <w:r w:rsidR="00125CE1">
              <w:rPr>
                <w:sz w:val="20"/>
                <w:szCs w:val="20"/>
              </w:rPr>
              <w:t>5.22</w:t>
            </w:r>
            <w:r w:rsidRPr="00732012">
              <w:rPr>
                <w:sz w:val="20"/>
                <w:szCs w:val="20"/>
              </w:rPr>
              <w:t>/</w:t>
            </w:r>
            <w:r w:rsidR="00EB040E">
              <w:rPr>
                <w:sz w:val="20"/>
                <w:szCs w:val="20"/>
              </w:rPr>
              <w:t>hr</w:t>
            </w:r>
          </w:p>
        </w:tc>
      </w:tr>
      <w:tr w:rsidRPr="00C47150" w:rsidR="003065CD" w:rsidTr="00EA6D44" w14:paraId="765FCFB9" w14:textId="77777777">
        <w:trPr>
          <w:trHeight w:val="278"/>
          <w:jc w:val="center"/>
        </w:trPr>
        <w:tc>
          <w:tcPr>
            <w:tcW w:w="7645" w:type="dxa"/>
            <w:tcBorders>
              <w:top w:val="nil"/>
              <w:left w:val="single" w:color="000000" w:themeColor="text1" w:sz="4" w:space="0"/>
              <w:bottom w:val="single" w:color="000000" w:themeColor="text1" w:sz="4" w:space="0"/>
              <w:right w:val="single" w:color="000000" w:themeColor="text1" w:sz="4" w:space="0"/>
            </w:tcBorders>
            <w:shd w:val="clear" w:color="auto" w:fill="D9D9D9" w:themeFill="background1" w:themeFillShade="D9"/>
            <w:hideMark/>
          </w:tcPr>
          <w:p w:rsidRPr="00EB040E" w:rsidR="003065CD" w:rsidP="00A639D4" w:rsidRDefault="003065CD" w14:paraId="18D4920C" w14:textId="134CCEDA">
            <w:pPr>
              <w:spacing w:after="0"/>
              <w:rPr>
                <w:b/>
                <w:sz w:val="20"/>
                <w:szCs w:val="20"/>
              </w:rPr>
            </w:pPr>
            <w:r w:rsidRPr="00EB040E">
              <w:rPr>
                <w:b/>
                <w:sz w:val="20"/>
                <w:szCs w:val="20"/>
              </w:rPr>
              <w:t>Total Annual Cost (</w:t>
            </w:r>
            <w:r w:rsidR="00CF2515">
              <w:rPr>
                <w:b/>
                <w:sz w:val="20"/>
                <w:szCs w:val="20"/>
              </w:rPr>
              <w:t>e</w:t>
            </w:r>
            <w:r w:rsidRPr="00EB040E">
              <w:rPr>
                <w:b/>
                <w:sz w:val="20"/>
                <w:szCs w:val="20"/>
              </w:rPr>
              <w:t>) = (c)*(d)</w:t>
            </w:r>
          </w:p>
        </w:tc>
        <w:tc>
          <w:tcPr>
            <w:tcW w:w="1355" w:type="dxa"/>
            <w:tcBorders>
              <w:top w:val="nil"/>
              <w:left w:val="nil"/>
              <w:bottom w:val="single" w:color="000000" w:themeColor="text1" w:sz="4" w:space="0"/>
              <w:right w:val="single" w:color="000000" w:themeColor="text1" w:sz="4" w:space="0"/>
            </w:tcBorders>
            <w:shd w:val="clear" w:color="auto" w:fill="D9D9D9" w:themeFill="background1" w:themeFillShade="D9"/>
            <w:vAlign w:val="center"/>
            <w:hideMark/>
          </w:tcPr>
          <w:p w:rsidRPr="00EB040E" w:rsidR="003065CD" w:rsidP="00A639D4" w:rsidRDefault="003065CD" w14:paraId="2DF3A077" w14:textId="796D2064">
            <w:pPr>
              <w:spacing w:after="0"/>
              <w:rPr>
                <w:b/>
                <w:sz w:val="20"/>
                <w:szCs w:val="20"/>
              </w:rPr>
            </w:pPr>
            <w:r w:rsidRPr="00EB040E">
              <w:rPr>
                <w:b/>
                <w:sz w:val="20"/>
                <w:szCs w:val="20"/>
              </w:rPr>
              <w:t>$</w:t>
            </w:r>
            <w:r w:rsidR="002177F0">
              <w:rPr>
                <w:b/>
                <w:sz w:val="20"/>
                <w:szCs w:val="20"/>
              </w:rPr>
              <w:t>5,9</w:t>
            </w:r>
            <w:r w:rsidR="00B61847">
              <w:rPr>
                <w:b/>
                <w:sz w:val="20"/>
                <w:szCs w:val="20"/>
              </w:rPr>
              <w:t>99</w:t>
            </w:r>
          </w:p>
        </w:tc>
      </w:tr>
    </w:tbl>
    <w:p w:rsidR="001D6295" w:rsidP="00CF538E" w:rsidRDefault="001D6295" w14:paraId="49EC0E33" w14:textId="77777777">
      <w:bookmarkStart w:name="_Hlk532899285" w:id="16"/>
    </w:p>
    <w:p w:rsidRPr="004330C9" w:rsidR="0088351C" w:rsidP="004330C9" w:rsidRDefault="0088351C" w14:paraId="52657B27" w14:textId="6E86F183">
      <w:pPr>
        <w:pStyle w:val="Heading3"/>
      </w:pPr>
      <w:r w:rsidRPr="004330C9">
        <w:t>Burden Estimate for Other-Payer Advanced APM Determinations</w:t>
      </w:r>
      <w:bookmarkEnd w:id="16"/>
    </w:p>
    <w:p w:rsidRPr="004330C9" w:rsidR="0088351C" w:rsidP="004330C9" w:rsidRDefault="0088351C" w14:paraId="256D9611" w14:textId="2BFED442">
      <w:pPr>
        <w:pStyle w:val="Heading4"/>
        <w:numPr>
          <w:ilvl w:val="0"/>
          <w:numId w:val="20"/>
        </w:numPr>
        <w:ind w:left="2880"/>
      </w:pPr>
      <w:r w:rsidRPr="004330C9">
        <w:t>Payer-Initiated Process</w:t>
      </w:r>
    </w:p>
    <w:p w:rsidR="005709D0" w:rsidP="005709D0" w:rsidRDefault="000252CE" w14:paraId="0E6C8E61" w14:textId="432CC381">
      <w:pPr>
        <w:rPr>
          <w:rFonts w:eastAsia="Calibri"/>
        </w:rPr>
      </w:pPr>
      <w:r>
        <w:rPr>
          <w:rFonts w:eastAsia="Calibri"/>
        </w:rPr>
        <w:t>As previously d</w:t>
      </w:r>
      <w:r w:rsidR="005709D0">
        <w:rPr>
          <w:rFonts w:eastAsia="Calibri"/>
        </w:rPr>
        <w:t>iscuss</w:t>
      </w:r>
      <w:r>
        <w:rPr>
          <w:rFonts w:eastAsia="Calibri"/>
        </w:rPr>
        <w:t>e</w:t>
      </w:r>
      <w:r w:rsidR="005709D0">
        <w:rPr>
          <w:rFonts w:eastAsia="Calibri"/>
        </w:rPr>
        <w:t>d in the “</w:t>
      </w:r>
      <w:r w:rsidRPr="005709D0" w:rsidR="005709D0">
        <w:rPr>
          <w:rFonts w:eastAsia="Calibri"/>
        </w:rPr>
        <w:t>Data Collection related to Advanced APMs</w:t>
      </w:r>
      <w:r w:rsidR="005709D0">
        <w:rPr>
          <w:rFonts w:eastAsia="Calibri"/>
        </w:rPr>
        <w:t>” section, t</w:t>
      </w:r>
      <w:r w:rsidRPr="00AA3126" w:rsidR="00AA3126">
        <w:rPr>
          <w:rFonts w:eastAsia="Calibri"/>
        </w:rPr>
        <w:t xml:space="preserve">he All-Payer Combination Option </w:t>
      </w:r>
      <w:r w:rsidR="002414E6">
        <w:rPr>
          <w:rFonts w:eastAsia="Calibri"/>
        </w:rPr>
        <w:t>is</w:t>
      </w:r>
      <w:r w:rsidRPr="00AA3126" w:rsidR="002414E6">
        <w:rPr>
          <w:rFonts w:eastAsia="Calibri"/>
        </w:rPr>
        <w:t xml:space="preserve"> </w:t>
      </w:r>
      <w:r w:rsidRPr="00AA3126" w:rsidR="00AA3126">
        <w:rPr>
          <w:rFonts w:eastAsia="Calibri"/>
        </w:rPr>
        <w:t xml:space="preserve">an available pathway to QP status for eligible clinicians participating sufficiently in Advanced APMs and Other Payer Advanced APMs.  Payers seeking to submit payment arrangement information for Other Payer Advanced APM determination through the payer-initiated process are required to complete a Payer Initiated Submission Form, instructions for which is available at https://qpp.cms.gov/. </w:t>
      </w:r>
      <w:r w:rsidR="00AA242F">
        <w:rPr>
          <w:rFonts w:eastAsia="Calibri"/>
        </w:rPr>
        <w:t xml:space="preserve"> </w:t>
      </w:r>
    </w:p>
    <w:p w:rsidR="003B0C28" w:rsidRDefault="00AA3126" w14:paraId="72E0FBBD" w14:textId="12E62447">
      <w:pPr>
        <w:rPr>
          <w:rFonts w:eastAsia="Calibri"/>
        </w:rPr>
      </w:pPr>
      <w:r w:rsidRPr="00AA3126">
        <w:rPr>
          <w:rFonts w:eastAsia="Calibri"/>
        </w:rPr>
        <w:t xml:space="preserve">As shown in Table </w:t>
      </w:r>
      <w:r w:rsidR="003579D1">
        <w:rPr>
          <w:rFonts w:eastAsia="Calibri"/>
        </w:rPr>
        <w:t>30</w:t>
      </w:r>
      <w:r w:rsidRPr="00AA3126">
        <w:rPr>
          <w:rFonts w:eastAsia="Calibri"/>
        </w:rPr>
        <w:t xml:space="preserve">, </w:t>
      </w:r>
      <w:r w:rsidRPr="00367710" w:rsidR="00367710">
        <w:rPr>
          <w:rFonts w:eastAsia="Calibri"/>
        </w:rPr>
        <w:t>based on the actual number of requests received</w:t>
      </w:r>
      <w:r w:rsidR="00AD7059">
        <w:rPr>
          <w:rFonts w:eastAsia="Calibri"/>
        </w:rPr>
        <w:t xml:space="preserve"> for</w:t>
      </w:r>
      <w:r w:rsidRPr="00367710" w:rsidR="00367710">
        <w:rPr>
          <w:rFonts w:eastAsia="Calibri"/>
        </w:rPr>
        <w:t xml:space="preserve"> in the 20</w:t>
      </w:r>
      <w:r w:rsidR="0037695D">
        <w:rPr>
          <w:rFonts w:eastAsia="Calibri"/>
        </w:rPr>
        <w:t>20</w:t>
      </w:r>
      <w:r w:rsidRPr="00367710" w:rsidR="00367710">
        <w:rPr>
          <w:rFonts w:eastAsia="Calibri"/>
        </w:rPr>
        <w:t xml:space="preserve"> QP performance period, we</w:t>
      </w:r>
      <w:r w:rsidR="00456652">
        <w:rPr>
          <w:rFonts w:eastAsia="Calibri"/>
        </w:rPr>
        <w:t xml:space="preserve"> propose to revise our</w:t>
      </w:r>
      <w:r w:rsidRPr="00367710" w:rsidR="00367710">
        <w:rPr>
          <w:rFonts w:eastAsia="Calibri"/>
        </w:rPr>
        <w:t xml:space="preserve"> estimate that</w:t>
      </w:r>
      <w:r w:rsidR="00047D27">
        <w:rPr>
          <w:rFonts w:eastAsia="Calibri"/>
        </w:rPr>
        <w:t xml:space="preserve"> in </w:t>
      </w:r>
      <w:r w:rsidR="008449BD">
        <w:rPr>
          <w:rFonts w:eastAsia="Calibri"/>
        </w:rPr>
        <w:t xml:space="preserve">CY </w:t>
      </w:r>
      <w:r w:rsidR="00047D27">
        <w:rPr>
          <w:rFonts w:eastAsia="Calibri"/>
        </w:rPr>
        <w:t>2022</w:t>
      </w:r>
      <w:r w:rsidRPr="00367710" w:rsidR="00367710">
        <w:rPr>
          <w:rFonts w:eastAsia="Calibri"/>
        </w:rPr>
        <w:t xml:space="preserve"> </w:t>
      </w:r>
      <w:r w:rsidR="00B17F5E">
        <w:rPr>
          <w:rFonts w:eastAsia="Calibri"/>
        </w:rPr>
        <w:t>for the 202</w:t>
      </w:r>
      <w:r w:rsidR="00C6478A">
        <w:rPr>
          <w:rFonts w:eastAsia="Calibri"/>
        </w:rPr>
        <w:t>3</w:t>
      </w:r>
      <w:r w:rsidRPr="00367710" w:rsidR="00367710">
        <w:rPr>
          <w:rFonts w:eastAsia="Calibri"/>
        </w:rPr>
        <w:t xml:space="preserve"> QP performance period</w:t>
      </w:r>
      <w:r w:rsidR="00AF2F81">
        <w:rPr>
          <w:rFonts w:eastAsia="Calibri"/>
        </w:rPr>
        <w:t>,</w:t>
      </w:r>
      <w:r w:rsidRPr="00367710" w:rsidR="00367710">
        <w:rPr>
          <w:rFonts w:eastAsia="Calibri"/>
        </w:rPr>
        <w:t xml:space="preserve"> </w:t>
      </w:r>
      <w:r w:rsidR="00AF2F81">
        <w:rPr>
          <w:rFonts w:eastAsia="Calibri"/>
        </w:rPr>
        <w:t>15</w:t>
      </w:r>
      <w:r w:rsidRPr="00367710" w:rsidR="00367710">
        <w:rPr>
          <w:rFonts w:eastAsia="Calibri"/>
        </w:rPr>
        <w:t xml:space="preserve"> payer-initiated requests for Other Payer Advanced APM determinations will be submitted (</w:t>
      </w:r>
      <w:r w:rsidR="00500E9A">
        <w:rPr>
          <w:rFonts w:eastAsia="Calibri"/>
        </w:rPr>
        <w:t xml:space="preserve">6 </w:t>
      </w:r>
      <w:r w:rsidRPr="00367710" w:rsidR="00367710">
        <w:rPr>
          <w:rFonts w:eastAsia="Calibri"/>
        </w:rPr>
        <w:t xml:space="preserve">Medicaid payers, </w:t>
      </w:r>
      <w:r w:rsidR="00CC3608">
        <w:rPr>
          <w:rFonts w:eastAsia="Calibri"/>
        </w:rPr>
        <w:t>6</w:t>
      </w:r>
      <w:r w:rsidRPr="00367710" w:rsidR="00367710">
        <w:rPr>
          <w:rFonts w:eastAsia="Calibri"/>
        </w:rPr>
        <w:t xml:space="preserve"> Medicare Advantage Organizations, and </w:t>
      </w:r>
      <w:r w:rsidR="00CC3608">
        <w:rPr>
          <w:rFonts w:eastAsia="Calibri"/>
        </w:rPr>
        <w:t>3</w:t>
      </w:r>
      <w:r w:rsidRPr="00367710" w:rsidR="00367710">
        <w:rPr>
          <w:rFonts w:eastAsia="Calibri"/>
        </w:rPr>
        <w:t xml:space="preserve"> remaining other payers), a decrease of </w:t>
      </w:r>
      <w:r w:rsidR="00214D87">
        <w:rPr>
          <w:rFonts w:eastAsia="Calibri"/>
        </w:rPr>
        <w:t>65</w:t>
      </w:r>
      <w:r w:rsidRPr="00367710" w:rsidR="00367710">
        <w:rPr>
          <w:rFonts w:eastAsia="Calibri"/>
        </w:rPr>
        <w:t xml:space="preserve"> from the </w:t>
      </w:r>
      <w:r w:rsidR="00214D87">
        <w:rPr>
          <w:rFonts w:eastAsia="Calibri"/>
        </w:rPr>
        <w:t>8</w:t>
      </w:r>
      <w:r w:rsidRPr="00367710" w:rsidR="00367710">
        <w:rPr>
          <w:rFonts w:eastAsia="Calibri"/>
        </w:rPr>
        <w:t xml:space="preserve">0 total requests currently approved by OMB under the aforementioned control number.  We continue to estimate it will take 10 hours for a computer system analyst per arrangement submission.  We estimate an annual burden of </w:t>
      </w:r>
      <w:r w:rsidR="00702F4A">
        <w:rPr>
          <w:rFonts w:eastAsia="Calibri"/>
        </w:rPr>
        <w:t>150</w:t>
      </w:r>
      <w:r w:rsidRPr="00367710" w:rsidR="00367710">
        <w:rPr>
          <w:rFonts w:eastAsia="Calibri"/>
        </w:rPr>
        <w:t xml:space="preserve"> hours (</w:t>
      </w:r>
      <w:r w:rsidR="00485231">
        <w:rPr>
          <w:rFonts w:eastAsia="Calibri"/>
        </w:rPr>
        <w:t>15</w:t>
      </w:r>
      <w:r w:rsidRPr="00367710" w:rsidR="00367710">
        <w:rPr>
          <w:rFonts w:eastAsia="Calibri"/>
        </w:rPr>
        <w:t xml:space="preserve"> submissions x 10 hr/submission) and $</w:t>
      </w:r>
      <w:r w:rsidR="00860598">
        <w:rPr>
          <w:rFonts w:eastAsia="Calibri"/>
        </w:rPr>
        <w:t>14,283</w:t>
      </w:r>
      <w:r w:rsidRPr="00367710" w:rsidR="00367710">
        <w:rPr>
          <w:rFonts w:eastAsia="Calibri"/>
        </w:rPr>
        <w:t xml:space="preserve"> (</w:t>
      </w:r>
      <w:r w:rsidR="000B400C">
        <w:rPr>
          <w:rFonts w:eastAsia="Calibri"/>
        </w:rPr>
        <w:t>150</w:t>
      </w:r>
      <w:r w:rsidRPr="00367710" w:rsidR="00367710">
        <w:rPr>
          <w:rFonts w:eastAsia="Calibri"/>
        </w:rPr>
        <w:t xml:space="preserve"> hr x $9</w:t>
      </w:r>
      <w:r w:rsidR="000B400C">
        <w:rPr>
          <w:rFonts w:eastAsia="Calibri"/>
        </w:rPr>
        <w:t>5.22</w:t>
      </w:r>
      <w:r w:rsidRPr="00367710" w:rsidR="00367710">
        <w:rPr>
          <w:rFonts w:eastAsia="Calibri"/>
        </w:rPr>
        <w:t>/hr)</w:t>
      </w:r>
      <w:r w:rsidRPr="00092667" w:rsidR="00092667">
        <w:rPr>
          <w:rFonts w:eastAsia="Calibri"/>
        </w:rPr>
        <w:t>.</w:t>
      </w:r>
    </w:p>
    <w:p w:rsidRPr="00C47150" w:rsidR="0088351C" w:rsidP="0088351C" w:rsidRDefault="0088351C" w14:paraId="3F33F031" w14:textId="1A41EAA7">
      <w:pPr>
        <w:keepNext/>
        <w:spacing w:after="0"/>
        <w:jc w:val="center"/>
        <w:rPr>
          <w:b/>
          <w:bCs/>
        </w:rPr>
      </w:pPr>
      <w:bookmarkStart w:name="_Hlk495401649" w:id="17"/>
      <w:r w:rsidRPr="00C47150">
        <w:rPr>
          <w:b/>
          <w:bCs/>
        </w:rPr>
        <w:t xml:space="preserve">TABLE </w:t>
      </w:r>
      <w:r w:rsidR="004868A0">
        <w:rPr>
          <w:b/>
          <w:bCs/>
        </w:rPr>
        <w:t>30</w:t>
      </w:r>
      <w:r w:rsidRPr="00C47150">
        <w:rPr>
          <w:b/>
          <w:bCs/>
        </w:rPr>
        <w:t xml:space="preserve">: </w:t>
      </w:r>
      <w:r w:rsidR="00E117F8">
        <w:rPr>
          <w:b/>
          <w:bCs/>
        </w:rPr>
        <w:t xml:space="preserve">Estimated </w:t>
      </w:r>
      <w:r w:rsidRPr="00C47150">
        <w:rPr>
          <w:b/>
          <w:bCs/>
        </w:rPr>
        <w:t>Burden</w:t>
      </w:r>
      <w:r w:rsidRPr="00732012">
        <w:rPr>
          <w:b/>
          <w:bCs/>
        </w:rPr>
        <w:t xml:space="preserve"> </w:t>
      </w:r>
      <w:r w:rsidRPr="00C47150">
        <w:rPr>
          <w:b/>
          <w:bCs/>
        </w:rPr>
        <w:t>for Other Payer Advanced APM Identification Determinations: Payer-Initiated Process</w:t>
      </w:r>
      <w:bookmarkEnd w:id="17"/>
    </w:p>
    <w:tbl>
      <w:tblPr>
        <w:tblW w:w="9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14"/>
        <w:gridCol w:w="2216"/>
      </w:tblGrid>
      <w:tr w:rsidRPr="00C47150" w:rsidR="0088351C" w:rsidTr="00A639D4" w14:paraId="3E8FE68D" w14:textId="77777777">
        <w:trPr>
          <w:trHeight w:val="322"/>
        </w:trPr>
        <w:tc>
          <w:tcPr>
            <w:tcW w:w="7314" w:type="dxa"/>
            <w:shd w:val="clear" w:color="auto" w:fill="auto"/>
            <w:vAlign w:val="center"/>
            <w:hideMark/>
          </w:tcPr>
          <w:p w:rsidRPr="0088351C" w:rsidR="0088351C" w:rsidP="00A639D4" w:rsidRDefault="0088351C" w14:paraId="4692672F" w14:textId="47D94343">
            <w:pPr>
              <w:keepNext/>
              <w:spacing w:after="0"/>
              <w:rPr>
                <w:b/>
                <w:sz w:val="20"/>
                <w:szCs w:val="20"/>
              </w:rPr>
            </w:pPr>
            <w:r w:rsidRPr="00663B38">
              <w:rPr>
                <w:sz w:val="20"/>
                <w:szCs w:val="20"/>
              </w:rPr>
              <w:t> </w:t>
            </w:r>
            <w:r w:rsidRPr="0088351C">
              <w:rPr>
                <w:b/>
                <w:sz w:val="20"/>
                <w:szCs w:val="20"/>
              </w:rPr>
              <w:t>Burden and Respondent Descriptions</w:t>
            </w:r>
          </w:p>
        </w:tc>
        <w:tc>
          <w:tcPr>
            <w:tcW w:w="2216" w:type="dxa"/>
            <w:shd w:val="clear" w:color="auto" w:fill="auto"/>
            <w:vAlign w:val="center"/>
            <w:hideMark/>
          </w:tcPr>
          <w:p w:rsidRPr="00663B38" w:rsidR="0088351C" w:rsidP="00A639D4" w:rsidRDefault="0088351C" w14:paraId="798D58AD" w14:textId="77777777">
            <w:pPr>
              <w:keepNext/>
              <w:spacing w:after="0"/>
              <w:rPr>
                <w:b/>
                <w:sz w:val="20"/>
                <w:szCs w:val="20"/>
              </w:rPr>
            </w:pPr>
            <w:r w:rsidRPr="00663B38">
              <w:rPr>
                <w:b/>
                <w:sz w:val="20"/>
                <w:szCs w:val="20"/>
              </w:rPr>
              <w:t>Burden Estimate</w:t>
            </w:r>
          </w:p>
        </w:tc>
      </w:tr>
      <w:tr w:rsidRPr="00C47150" w:rsidR="007126F1" w:rsidTr="0053664A" w14:paraId="0FE28ACE" w14:textId="77777777">
        <w:trPr>
          <w:trHeight w:val="467"/>
        </w:trPr>
        <w:tc>
          <w:tcPr>
            <w:tcW w:w="7314" w:type="dxa"/>
            <w:shd w:val="clear" w:color="auto" w:fill="auto"/>
            <w:hideMark/>
          </w:tcPr>
          <w:p w:rsidRPr="00663B38" w:rsidR="007126F1" w:rsidP="007126F1" w:rsidRDefault="007126F1" w14:paraId="318C72E2" w14:textId="4FA37E46">
            <w:pPr>
              <w:keepNext/>
              <w:spacing w:after="0"/>
              <w:rPr>
                <w:sz w:val="20"/>
                <w:szCs w:val="20"/>
              </w:rPr>
            </w:pPr>
            <w:r w:rsidRPr="00732012">
              <w:rPr>
                <w:sz w:val="20"/>
                <w:szCs w:val="20"/>
              </w:rPr>
              <w:t># of other payer payment arrangements (</w:t>
            </w:r>
            <w:r w:rsidR="00EC4741">
              <w:rPr>
                <w:sz w:val="20"/>
                <w:szCs w:val="20"/>
              </w:rPr>
              <w:t>6</w:t>
            </w:r>
            <w:r w:rsidRPr="00732012">
              <w:rPr>
                <w:sz w:val="20"/>
                <w:szCs w:val="20"/>
              </w:rPr>
              <w:t xml:space="preserve"> Medicaid, </w:t>
            </w:r>
            <w:r w:rsidR="00EC4741">
              <w:rPr>
                <w:sz w:val="20"/>
                <w:szCs w:val="20"/>
              </w:rPr>
              <w:t>6</w:t>
            </w:r>
            <w:r w:rsidRPr="00732012">
              <w:rPr>
                <w:sz w:val="20"/>
                <w:szCs w:val="20"/>
              </w:rPr>
              <w:t xml:space="preserve"> Medicare Advantage Organization</w:t>
            </w:r>
            <w:r>
              <w:rPr>
                <w:sz w:val="20"/>
                <w:szCs w:val="20"/>
              </w:rPr>
              <w:t xml:space="preserve">s, </w:t>
            </w:r>
            <w:r w:rsidR="00EC4741">
              <w:rPr>
                <w:sz w:val="20"/>
                <w:szCs w:val="20"/>
              </w:rPr>
              <w:t>3</w:t>
            </w:r>
            <w:r w:rsidRPr="00732012">
              <w:rPr>
                <w:sz w:val="20"/>
                <w:szCs w:val="20"/>
              </w:rPr>
              <w:t xml:space="preserve"> </w:t>
            </w:r>
            <w:r>
              <w:rPr>
                <w:sz w:val="20"/>
                <w:szCs w:val="20"/>
              </w:rPr>
              <w:t xml:space="preserve">remaining other </w:t>
            </w:r>
            <w:r w:rsidRPr="00732012">
              <w:rPr>
                <w:sz w:val="20"/>
                <w:szCs w:val="20"/>
              </w:rPr>
              <w:t>payers) (a)</w:t>
            </w:r>
          </w:p>
        </w:tc>
        <w:tc>
          <w:tcPr>
            <w:tcW w:w="2216" w:type="dxa"/>
            <w:shd w:val="clear" w:color="auto" w:fill="auto"/>
            <w:vAlign w:val="center"/>
            <w:hideMark/>
          </w:tcPr>
          <w:p w:rsidRPr="00663B38" w:rsidR="007126F1" w:rsidP="007126F1" w:rsidRDefault="00FF466F" w14:paraId="742022C3" w14:textId="4E303313">
            <w:pPr>
              <w:keepNext/>
              <w:spacing w:after="0"/>
              <w:rPr>
                <w:sz w:val="20"/>
                <w:szCs w:val="20"/>
              </w:rPr>
            </w:pPr>
            <w:r>
              <w:rPr>
                <w:sz w:val="20"/>
                <w:szCs w:val="20"/>
              </w:rPr>
              <w:t>15</w:t>
            </w:r>
          </w:p>
        </w:tc>
      </w:tr>
      <w:tr w:rsidRPr="00C47150" w:rsidR="007126F1" w:rsidTr="00390730" w14:paraId="6207A667" w14:textId="77777777">
        <w:trPr>
          <w:trHeight w:val="324"/>
        </w:trPr>
        <w:tc>
          <w:tcPr>
            <w:tcW w:w="7314" w:type="dxa"/>
            <w:shd w:val="clear" w:color="auto" w:fill="auto"/>
            <w:hideMark/>
          </w:tcPr>
          <w:p w:rsidRPr="00663B38" w:rsidR="007126F1" w:rsidP="007126F1" w:rsidRDefault="007126F1" w14:paraId="00F3ACF9" w14:textId="77777777">
            <w:pPr>
              <w:keepNext/>
              <w:spacing w:after="0"/>
              <w:rPr>
                <w:sz w:val="20"/>
                <w:szCs w:val="20"/>
              </w:rPr>
            </w:pPr>
            <w:r w:rsidRPr="00732012">
              <w:rPr>
                <w:sz w:val="20"/>
                <w:szCs w:val="20"/>
              </w:rPr>
              <w:t>Total Annual Hours Per other payer payment arrangement (b)</w:t>
            </w:r>
          </w:p>
        </w:tc>
        <w:tc>
          <w:tcPr>
            <w:tcW w:w="2216" w:type="dxa"/>
            <w:shd w:val="clear" w:color="auto" w:fill="auto"/>
            <w:vAlign w:val="center"/>
            <w:hideMark/>
          </w:tcPr>
          <w:p w:rsidRPr="00663B38" w:rsidR="007126F1" w:rsidP="007126F1" w:rsidRDefault="007126F1" w14:paraId="1F3F7F69" w14:textId="11341CE1">
            <w:pPr>
              <w:keepNext/>
              <w:spacing w:after="0"/>
              <w:rPr>
                <w:sz w:val="20"/>
                <w:szCs w:val="20"/>
              </w:rPr>
            </w:pPr>
            <w:r w:rsidRPr="003428D4">
              <w:rPr>
                <w:rFonts w:eastAsia="Calibri"/>
                <w:sz w:val="20"/>
                <w:szCs w:val="20"/>
              </w:rPr>
              <w:t>10</w:t>
            </w:r>
          </w:p>
        </w:tc>
      </w:tr>
      <w:tr w:rsidRPr="00C47150" w:rsidR="007126F1" w:rsidTr="00390730" w14:paraId="7DD61484" w14:textId="77777777">
        <w:trPr>
          <w:trHeight w:val="278"/>
        </w:trPr>
        <w:tc>
          <w:tcPr>
            <w:tcW w:w="7314" w:type="dxa"/>
            <w:shd w:val="clear" w:color="auto" w:fill="D9D9D9" w:themeFill="background1" w:themeFillShade="D9"/>
            <w:hideMark/>
          </w:tcPr>
          <w:p w:rsidRPr="00AA3126" w:rsidR="007126F1" w:rsidP="007126F1" w:rsidRDefault="007126F1" w14:paraId="5A8798CB" w14:textId="77777777">
            <w:pPr>
              <w:keepNext/>
              <w:spacing w:after="0"/>
              <w:rPr>
                <w:b/>
                <w:sz w:val="20"/>
                <w:szCs w:val="20"/>
              </w:rPr>
            </w:pPr>
            <w:r w:rsidRPr="00AA3126">
              <w:rPr>
                <w:b/>
                <w:sz w:val="20"/>
                <w:szCs w:val="20"/>
              </w:rPr>
              <w:t>Total Annual Hours (c) = (a)*(b)</w:t>
            </w:r>
          </w:p>
        </w:tc>
        <w:tc>
          <w:tcPr>
            <w:tcW w:w="2216" w:type="dxa"/>
            <w:shd w:val="clear" w:color="auto" w:fill="D9D9D9" w:themeFill="background1" w:themeFillShade="D9"/>
            <w:vAlign w:val="center"/>
            <w:hideMark/>
          </w:tcPr>
          <w:p w:rsidRPr="00AA3126" w:rsidR="007126F1" w:rsidP="007126F1" w:rsidRDefault="00B01E91" w14:paraId="1EFD7DF6" w14:textId="2A242C1B">
            <w:pPr>
              <w:keepNext/>
              <w:spacing w:after="0"/>
              <w:rPr>
                <w:b/>
                <w:sz w:val="20"/>
                <w:szCs w:val="20"/>
              </w:rPr>
            </w:pPr>
            <w:r>
              <w:rPr>
                <w:b/>
                <w:sz w:val="20"/>
                <w:szCs w:val="20"/>
              </w:rPr>
              <w:t>150</w:t>
            </w:r>
          </w:p>
        </w:tc>
      </w:tr>
      <w:tr w:rsidRPr="00C47150" w:rsidR="007126F1" w:rsidTr="00390730" w14:paraId="19B924BF" w14:textId="77777777">
        <w:trPr>
          <w:trHeight w:val="260"/>
        </w:trPr>
        <w:tc>
          <w:tcPr>
            <w:tcW w:w="7314" w:type="dxa"/>
            <w:shd w:val="clear" w:color="auto" w:fill="auto"/>
            <w:hideMark/>
          </w:tcPr>
          <w:p w:rsidRPr="00663B38" w:rsidR="007126F1" w:rsidP="007126F1" w:rsidRDefault="007126F1" w14:paraId="18DDF71A" w14:textId="77777777">
            <w:pPr>
              <w:keepNext/>
              <w:spacing w:after="0"/>
              <w:rPr>
                <w:sz w:val="20"/>
                <w:szCs w:val="20"/>
              </w:rPr>
            </w:pPr>
            <w:r w:rsidRPr="00732012">
              <w:rPr>
                <w:sz w:val="20"/>
                <w:szCs w:val="20"/>
              </w:rPr>
              <w:t>Labor rate for a computer systems analyst (d)</w:t>
            </w:r>
          </w:p>
        </w:tc>
        <w:tc>
          <w:tcPr>
            <w:tcW w:w="2216" w:type="dxa"/>
            <w:shd w:val="clear" w:color="auto" w:fill="auto"/>
            <w:vAlign w:val="center"/>
            <w:hideMark/>
          </w:tcPr>
          <w:p w:rsidRPr="00663B38" w:rsidR="007126F1" w:rsidP="007126F1" w:rsidRDefault="007126F1" w14:paraId="165D70B2" w14:textId="48BCD73B">
            <w:pPr>
              <w:keepNext/>
              <w:spacing w:after="0"/>
              <w:rPr>
                <w:sz w:val="20"/>
                <w:szCs w:val="20"/>
              </w:rPr>
            </w:pPr>
            <w:r w:rsidRPr="003428D4">
              <w:rPr>
                <w:rFonts w:eastAsia="Calibri"/>
                <w:sz w:val="20"/>
                <w:szCs w:val="20"/>
              </w:rPr>
              <w:t>$</w:t>
            </w:r>
            <w:r w:rsidR="00092667">
              <w:rPr>
                <w:rFonts w:eastAsia="Calibri"/>
                <w:sz w:val="20"/>
                <w:szCs w:val="20"/>
              </w:rPr>
              <w:t>9</w:t>
            </w:r>
            <w:r w:rsidR="004A6379">
              <w:rPr>
                <w:rFonts w:eastAsia="Calibri"/>
                <w:sz w:val="20"/>
                <w:szCs w:val="20"/>
              </w:rPr>
              <w:t>5.22</w:t>
            </w:r>
            <w:r w:rsidRPr="003428D4">
              <w:rPr>
                <w:rFonts w:eastAsia="Calibri"/>
                <w:sz w:val="20"/>
                <w:szCs w:val="20"/>
              </w:rPr>
              <w:t>/hr</w:t>
            </w:r>
          </w:p>
        </w:tc>
      </w:tr>
      <w:tr w:rsidRPr="00C47150" w:rsidR="007126F1" w:rsidTr="00390730" w14:paraId="740CD410" w14:textId="77777777">
        <w:trPr>
          <w:trHeight w:val="260"/>
        </w:trPr>
        <w:tc>
          <w:tcPr>
            <w:tcW w:w="7314" w:type="dxa"/>
            <w:shd w:val="clear" w:color="auto" w:fill="D9D9D9" w:themeFill="background1" w:themeFillShade="D9"/>
            <w:hideMark/>
          </w:tcPr>
          <w:p w:rsidRPr="00AA3126" w:rsidR="007126F1" w:rsidP="007126F1" w:rsidRDefault="007126F1" w14:paraId="6EC3832F" w14:textId="298E2930">
            <w:pPr>
              <w:keepNext/>
              <w:spacing w:after="0"/>
              <w:rPr>
                <w:b/>
                <w:sz w:val="20"/>
                <w:szCs w:val="20"/>
              </w:rPr>
            </w:pPr>
            <w:r w:rsidRPr="00AA3126">
              <w:rPr>
                <w:b/>
                <w:sz w:val="20"/>
                <w:szCs w:val="20"/>
              </w:rPr>
              <w:t>Total Annual Cost (e) = (</w:t>
            </w:r>
            <w:r w:rsidR="00CF2515">
              <w:rPr>
                <w:b/>
                <w:sz w:val="20"/>
                <w:szCs w:val="20"/>
              </w:rPr>
              <w:t>c</w:t>
            </w:r>
            <w:r w:rsidRPr="00AA3126">
              <w:rPr>
                <w:b/>
                <w:sz w:val="20"/>
                <w:szCs w:val="20"/>
              </w:rPr>
              <w:t>)*(d)</w:t>
            </w:r>
          </w:p>
        </w:tc>
        <w:tc>
          <w:tcPr>
            <w:tcW w:w="2216" w:type="dxa"/>
            <w:shd w:val="clear" w:color="auto" w:fill="D9D9D9" w:themeFill="background1" w:themeFillShade="D9"/>
            <w:vAlign w:val="center"/>
            <w:hideMark/>
          </w:tcPr>
          <w:p w:rsidRPr="00AA3126" w:rsidR="007126F1" w:rsidP="007126F1" w:rsidRDefault="007126F1" w14:paraId="5D8C8D12" w14:textId="0F99E0F5">
            <w:pPr>
              <w:keepNext/>
              <w:spacing w:after="0"/>
              <w:rPr>
                <w:b/>
                <w:sz w:val="20"/>
                <w:szCs w:val="20"/>
              </w:rPr>
            </w:pPr>
            <w:r w:rsidRPr="00AA3126">
              <w:rPr>
                <w:rFonts w:eastAsia="Calibri"/>
                <w:b/>
                <w:sz w:val="20"/>
                <w:szCs w:val="20"/>
              </w:rPr>
              <w:t>$</w:t>
            </w:r>
            <w:r w:rsidR="00CA78B7">
              <w:rPr>
                <w:rFonts w:eastAsia="Calibri"/>
                <w:b/>
                <w:sz w:val="20"/>
                <w:szCs w:val="20"/>
              </w:rPr>
              <w:t>14,283</w:t>
            </w:r>
          </w:p>
        </w:tc>
      </w:tr>
    </w:tbl>
    <w:p w:rsidR="0088351C" w:rsidP="0088351C" w:rsidRDefault="0088351C" w14:paraId="2F044285" w14:textId="3AF9FB1F"/>
    <w:p w:rsidRPr="004330C9" w:rsidR="0088351C" w:rsidP="00721EBD" w:rsidRDefault="0088351C" w14:paraId="2A368AB5" w14:textId="3CD45BC6">
      <w:pPr>
        <w:pStyle w:val="Heading4"/>
        <w:numPr>
          <w:ilvl w:val="0"/>
          <w:numId w:val="20"/>
        </w:numPr>
        <w:ind w:left="2880"/>
      </w:pPr>
      <w:r w:rsidRPr="00041A6A">
        <w:lastRenderedPageBreak/>
        <w:t>Eligible Clinician</w:t>
      </w:r>
      <w:r w:rsidRPr="00B41D6E" w:rsidR="00AA242F">
        <w:t xml:space="preserve"> </w:t>
      </w:r>
      <w:r w:rsidRPr="00B41D6E">
        <w:t>Initiated Process</w:t>
      </w:r>
    </w:p>
    <w:p w:rsidR="007126F1" w:rsidP="00721EBD" w:rsidRDefault="00AA242F" w14:paraId="1EA7BE52" w14:textId="1E3C59A1">
      <w:pPr>
        <w:keepNext/>
        <w:keepLines/>
        <w:rPr>
          <w:rFonts w:eastAsia="Calibri"/>
        </w:rPr>
      </w:pPr>
      <w:r>
        <w:rPr>
          <w:rFonts w:eastAsia="Calibri"/>
        </w:rPr>
        <w:t>U</w:t>
      </w:r>
      <w:r w:rsidRPr="003428D4" w:rsidR="007126F1">
        <w:rPr>
          <w:rFonts w:eastAsia="Calibri"/>
        </w:rPr>
        <w:t>nder the Eligible Clinician Initiated Process, APM Entities and eligible clinicians participating in other payer arrangement</w:t>
      </w:r>
      <w:r w:rsidRPr="00F1123B" w:rsidR="007126F1">
        <w:rPr>
          <w:rFonts w:eastAsia="Calibri"/>
        </w:rPr>
        <w:t>s have</w:t>
      </w:r>
      <w:r w:rsidRPr="003428D4" w:rsidR="007126F1">
        <w:rPr>
          <w:rFonts w:eastAsia="Calibri"/>
        </w:rPr>
        <w:t xml:space="preserve"> an opportunity to request that we determine for the year whether those other payer arrangements are Other Payer Advanced APMs.  Eligible clinicians or APM Entities seeking </w:t>
      </w:r>
      <w:r w:rsidR="007126F1">
        <w:rPr>
          <w:rFonts w:eastAsia="Calibri"/>
        </w:rPr>
        <w:t xml:space="preserve">to </w:t>
      </w:r>
      <w:r w:rsidRPr="003428D4" w:rsidR="007126F1">
        <w:rPr>
          <w:rFonts w:eastAsia="Calibri"/>
        </w:rPr>
        <w:t>submit payment arrangement information for Other Payer Advanced APM determination through the Eligible Clinician-Initiated process are required to complete an Eligible Clinician Initiated Submission Form, instructions for which can be found at https://qpp.cms.gov/</w:t>
      </w:r>
      <w:r w:rsidR="007126F1">
        <w:rPr>
          <w:rFonts w:eastAsia="Calibri"/>
        </w:rPr>
        <w:t>.</w:t>
      </w:r>
      <w:r w:rsidRPr="003428D4" w:rsidR="007126F1">
        <w:rPr>
          <w:rFonts w:eastAsia="Calibri"/>
        </w:rPr>
        <w:t xml:space="preserve">  </w:t>
      </w:r>
    </w:p>
    <w:p w:rsidR="0088351C" w:rsidP="00E12B53" w:rsidRDefault="00367710" w14:paraId="0CEE3BC4" w14:textId="2B4373E3">
      <w:r>
        <w:t xml:space="preserve">We are not making any changes to our currently approved estimates.  </w:t>
      </w:r>
      <w:r w:rsidR="007126F1">
        <w:t xml:space="preserve">As shown in Table </w:t>
      </w:r>
      <w:r w:rsidR="001A60AD">
        <w:t>31</w:t>
      </w:r>
      <w:r w:rsidR="0088351C">
        <w:t>, we estimate 15 other payer arrangements will be submitted by APM Entities and eligible Other Payer Advanced APM determinations</w:t>
      </w:r>
      <w:r w:rsidR="00F03714">
        <w:t xml:space="preserve"> in the CY 2022 MIPS performance period/2024 payment year</w:t>
      </w:r>
      <w:r w:rsidR="0088351C">
        <w:t xml:space="preserve">.  </w:t>
      </w:r>
    </w:p>
    <w:p w:rsidRPr="0088351C" w:rsidR="0088351C" w:rsidP="00E12B53" w:rsidRDefault="0088351C" w14:paraId="2F9A790B" w14:textId="25895E8E">
      <w:r>
        <w:t>We estimate it would take 10 hours at $</w:t>
      </w:r>
      <w:r w:rsidR="003B0C28">
        <w:t>9</w:t>
      </w:r>
      <w:r w:rsidR="00E95FC1">
        <w:t>5.22</w:t>
      </w:r>
      <w:r>
        <w:t>/hr for a computer system analyst per arrangement submission. In aggregate we estimate an annual burden of 1</w:t>
      </w:r>
      <w:r w:rsidR="00E95FC1">
        <w:t>50</w:t>
      </w:r>
      <w:r>
        <w:t xml:space="preserve"> hours (15</w:t>
      </w:r>
      <w:r w:rsidR="00E95FC1">
        <w:t xml:space="preserve"> </w:t>
      </w:r>
      <w:r>
        <w:t>submissions x 10 hr/submission) at a cost of $1</w:t>
      </w:r>
      <w:r w:rsidR="00BE16B4">
        <w:t>4,283</w:t>
      </w:r>
      <w:r w:rsidR="00E117F8">
        <w:t xml:space="preserve"> (1</w:t>
      </w:r>
      <w:r w:rsidR="00BE16B4">
        <w:t>50</w:t>
      </w:r>
      <w:r w:rsidR="00E117F8">
        <w:t xml:space="preserve"> hr x $</w:t>
      </w:r>
      <w:r w:rsidR="003B0C28">
        <w:t>9</w:t>
      </w:r>
      <w:r w:rsidR="00BE16B4">
        <w:t>5.22</w:t>
      </w:r>
      <w:r w:rsidR="00E117F8">
        <w:t xml:space="preserve">/hr).  </w:t>
      </w:r>
    </w:p>
    <w:p w:rsidRPr="00C47150" w:rsidR="0088351C" w:rsidP="0088351C" w:rsidRDefault="0088351C" w14:paraId="00719259" w14:textId="0C7074DC">
      <w:pPr>
        <w:spacing w:after="0"/>
        <w:jc w:val="center"/>
        <w:rPr>
          <w:b/>
          <w:bCs/>
        </w:rPr>
      </w:pPr>
      <w:bookmarkStart w:name="_Hlk495401670" w:id="18"/>
      <w:r w:rsidRPr="00C47150">
        <w:rPr>
          <w:b/>
          <w:bCs/>
        </w:rPr>
        <w:t xml:space="preserve">TABLE </w:t>
      </w:r>
      <w:r w:rsidR="001A60AD">
        <w:rPr>
          <w:b/>
          <w:bCs/>
        </w:rPr>
        <w:t>31</w:t>
      </w:r>
      <w:r w:rsidR="00E117F8">
        <w:rPr>
          <w:b/>
          <w:bCs/>
        </w:rPr>
        <w:t>: Estimated</w:t>
      </w:r>
      <w:r w:rsidRPr="00732012">
        <w:rPr>
          <w:b/>
          <w:bCs/>
        </w:rPr>
        <w:t xml:space="preserve"> </w:t>
      </w:r>
      <w:r w:rsidR="00E117F8">
        <w:rPr>
          <w:b/>
          <w:bCs/>
        </w:rPr>
        <w:t xml:space="preserve">Burden </w:t>
      </w:r>
      <w:r w:rsidRPr="00C47150">
        <w:rPr>
          <w:b/>
          <w:bCs/>
        </w:rPr>
        <w:t xml:space="preserve">for Other Payer Advanced APM Determinations: </w:t>
      </w:r>
      <w:r w:rsidR="00FC7A11">
        <w:rPr>
          <w:b/>
          <w:bCs/>
        </w:rPr>
        <w:br/>
      </w:r>
      <w:r w:rsidRPr="00C47150">
        <w:rPr>
          <w:b/>
          <w:bCs/>
        </w:rPr>
        <w:t>Eligible Clinician Initiated Process</w:t>
      </w:r>
    </w:p>
    <w:tbl>
      <w:tblPr>
        <w:tblW w:w="9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05"/>
        <w:gridCol w:w="1525"/>
      </w:tblGrid>
      <w:tr w:rsidRPr="00C47150" w:rsidR="0088351C" w:rsidTr="00573EB4" w14:paraId="7476D4D3" w14:textId="77777777">
        <w:trPr>
          <w:trHeight w:val="322"/>
        </w:trPr>
        <w:tc>
          <w:tcPr>
            <w:tcW w:w="8005" w:type="dxa"/>
            <w:shd w:val="clear" w:color="auto" w:fill="auto"/>
            <w:vAlign w:val="center"/>
            <w:hideMark/>
          </w:tcPr>
          <w:bookmarkEnd w:id="18"/>
          <w:p w:rsidRPr="0047482B" w:rsidR="0088351C" w:rsidP="00A639D4" w:rsidRDefault="00493F4D" w14:paraId="2008153C" w14:textId="38145DC0">
            <w:pPr>
              <w:spacing w:after="0"/>
              <w:rPr>
                <w:sz w:val="20"/>
                <w:szCs w:val="20"/>
              </w:rPr>
            </w:pPr>
            <w:r w:rsidRPr="00B05B18">
              <w:rPr>
                <w:b/>
                <w:sz w:val="20"/>
                <w:szCs w:val="20"/>
              </w:rPr>
              <w:t>Burden and Respondent Descriptions</w:t>
            </w:r>
          </w:p>
        </w:tc>
        <w:tc>
          <w:tcPr>
            <w:tcW w:w="1525" w:type="dxa"/>
            <w:shd w:val="clear" w:color="auto" w:fill="auto"/>
            <w:vAlign w:val="center"/>
            <w:hideMark/>
          </w:tcPr>
          <w:p w:rsidRPr="0047482B" w:rsidR="0088351C" w:rsidP="00A639D4" w:rsidRDefault="0088351C" w14:paraId="71235B6A" w14:textId="77777777">
            <w:pPr>
              <w:spacing w:after="0"/>
              <w:rPr>
                <w:b/>
                <w:sz w:val="20"/>
                <w:szCs w:val="20"/>
              </w:rPr>
            </w:pPr>
            <w:r w:rsidRPr="0047482B">
              <w:rPr>
                <w:b/>
                <w:sz w:val="20"/>
                <w:szCs w:val="20"/>
              </w:rPr>
              <w:t>Burden Estimate</w:t>
            </w:r>
          </w:p>
        </w:tc>
      </w:tr>
      <w:tr w:rsidRPr="00C47150" w:rsidR="0088351C" w:rsidTr="00573EB4" w14:paraId="4A1372CE" w14:textId="77777777">
        <w:trPr>
          <w:trHeight w:val="323"/>
        </w:trPr>
        <w:tc>
          <w:tcPr>
            <w:tcW w:w="8005" w:type="dxa"/>
            <w:shd w:val="clear" w:color="auto" w:fill="auto"/>
            <w:hideMark/>
          </w:tcPr>
          <w:p w:rsidRPr="0047482B" w:rsidR="0088351C" w:rsidP="00A639D4" w:rsidRDefault="0088351C" w14:paraId="0DCF86AF" w14:textId="77777777">
            <w:pPr>
              <w:spacing w:after="0"/>
              <w:rPr>
                <w:sz w:val="20"/>
                <w:szCs w:val="20"/>
              </w:rPr>
            </w:pPr>
            <w:r w:rsidRPr="00732012">
              <w:rPr>
                <w:sz w:val="20"/>
                <w:szCs w:val="20"/>
              </w:rPr>
              <w:t># of other payer payment arrangements from APM Entities and eligible clinicians</w:t>
            </w:r>
          </w:p>
        </w:tc>
        <w:tc>
          <w:tcPr>
            <w:tcW w:w="1525" w:type="dxa"/>
            <w:shd w:val="clear" w:color="auto" w:fill="auto"/>
            <w:hideMark/>
          </w:tcPr>
          <w:p w:rsidRPr="0047482B" w:rsidR="0088351C" w:rsidP="00A639D4" w:rsidRDefault="0088351C" w14:paraId="6D6EADEE" w14:textId="641157CC">
            <w:pPr>
              <w:spacing w:after="0"/>
              <w:rPr>
                <w:sz w:val="20"/>
                <w:szCs w:val="20"/>
              </w:rPr>
            </w:pPr>
            <w:r w:rsidRPr="00D950B2">
              <w:rPr>
                <w:sz w:val="20"/>
                <w:szCs w:val="20"/>
              </w:rPr>
              <w:t>15</w:t>
            </w:r>
          </w:p>
        </w:tc>
      </w:tr>
      <w:tr w:rsidRPr="00C47150" w:rsidR="0088351C" w:rsidTr="00573EB4" w14:paraId="7B03F413" w14:textId="77777777">
        <w:trPr>
          <w:trHeight w:val="324"/>
        </w:trPr>
        <w:tc>
          <w:tcPr>
            <w:tcW w:w="8005" w:type="dxa"/>
            <w:shd w:val="clear" w:color="auto" w:fill="auto"/>
            <w:hideMark/>
          </w:tcPr>
          <w:p w:rsidRPr="0047482B" w:rsidR="0088351C" w:rsidP="00A639D4" w:rsidRDefault="0088351C" w14:paraId="67281FAD" w14:textId="77777777">
            <w:pPr>
              <w:spacing w:after="0"/>
              <w:rPr>
                <w:sz w:val="20"/>
                <w:szCs w:val="20"/>
              </w:rPr>
            </w:pPr>
            <w:r w:rsidRPr="00732012">
              <w:rPr>
                <w:sz w:val="20"/>
                <w:szCs w:val="20"/>
              </w:rPr>
              <w:t>Total Annual Hours Per other payer payment arrangement (b)</w:t>
            </w:r>
          </w:p>
        </w:tc>
        <w:tc>
          <w:tcPr>
            <w:tcW w:w="1525" w:type="dxa"/>
            <w:shd w:val="clear" w:color="auto" w:fill="auto"/>
            <w:hideMark/>
          </w:tcPr>
          <w:p w:rsidRPr="0047482B" w:rsidR="0088351C" w:rsidP="00A639D4" w:rsidRDefault="0088351C" w14:paraId="09541DB2" w14:textId="77777777">
            <w:pPr>
              <w:spacing w:after="0"/>
              <w:rPr>
                <w:sz w:val="20"/>
                <w:szCs w:val="20"/>
              </w:rPr>
            </w:pPr>
            <w:r w:rsidRPr="00732012">
              <w:rPr>
                <w:sz w:val="20"/>
                <w:szCs w:val="20"/>
              </w:rPr>
              <w:t>10</w:t>
            </w:r>
          </w:p>
        </w:tc>
      </w:tr>
      <w:tr w:rsidRPr="00C47150" w:rsidR="0088351C" w:rsidTr="00573EB4" w14:paraId="0596A6E9" w14:textId="77777777">
        <w:trPr>
          <w:trHeight w:val="278"/>
        </w:trPr>
        <w:tc>
          <w:tcPr>
            <w:tcW w:w="8005" w:type="dxa"/>
            <w:shd w:val="clear" w:color="auto" w:fill="D9D9D9" w:themeFill="background1" w:themeFillShade="D9"/>
            <w:hideMark/>
          </w:tcPr>
          <w:p w:rsidRPr="00573EB4" w:rsidR="0088351C" w:rsidP="00A639D4" w:rsidRDefault="0088351C" w14:paraId="61B788DE" w14:textId="77777777">
            <w:pPr>
              <w:spacing w:after="0"/>
              <w:rPr>
                <w:b/>
                <w:sz w:val="20"/>
                <w:szCs w:val="20"/>
              </w:rPr>
            </w:pPr>
            <w:r w:rsidRPr="00573EB4">
              <w:rPr>
                <w:b/>
                <w:sz w:val="20"/>
                <w:szCs w:val="20"/>
              </w:rPr>
              <w:t>Total Annual Hours (c) = (a)*(b)</w:t>
            </w:r>
          </w:p>
        </w:tc>
        <w:tc>
          <w:tcPr>
            <w:tcW w:w="1525" w:type="dxa"/>
            <w:shd w:val="clear" w:color="auto" w:fill="D9D9D9" w:themeFill="background1" w:themeFillShade="D9"/>
            <w:vAlign w:val="center"/>
            <w:hideMark/>
          </w:tcPr>
          <w:p w:rsidRPr="00573EB4" w:rsidR="0088351C" w:rsidP="00A639D4" w:rsidRDefault="0088351C" w14:paraId="590A922D" w14:textId="3460C210">
            <w:pPr>
              <w:spacing w:after="0"/>
              <w:rPr>
                <w:b/>
                <w:sz w:val="20"/>
                <w:szCs w:val="20"/>
              </w:rPr>
            </w:pPr>
            <w:r w:rsidRPr="00573EB4">
              <w:rPr>
                <w:b/>
                <w:sz w:val="20"/>
                <w:szCs w:val="20"/>
              </w:rPr>
              <w:t>150</w:t>
            </w:r>
          </w:p>
        </w:tc>
      </w:tr>
      <w:tr w:rsidRPr="00C47150" w:rsidR="0088351C" w:rsidTr="00573EB4" w14:paraId="5E2BA34F" w14:textId="77777777">
        <w:trPr>
          <w:trHeight w:val="260"/>
        </w:trPr>
        <w:tc>
          <w:tcPr>
            <w:tcW w:w="8005" w:type="dxa"/>
            <w:shd w:val="clear" w:color="auto" w:fill="auto"/>
            <w:hideMark/>
          </w:tcPr>
          <w:p w:rsidRPr="0047482B" w:rsidR="0088351C" w:rsidP="00A639D4" w:rsidRDefault="0088351C" w14:paraId="7F8DF4F5" w14:textId="77777777">
            <w:pPr>
              <w:spacing w:after="0"/>
              <w:rPr>
                <w:sz w:val="20"/>
                <w:szCs w:val="20"/>
              </w:rPr>
            </w:pPr>
            <w:r w:rsidRPr="00732012">
              <w:rPr>
                <w:sz w:val="20"/>
                <w:szCs w:val="20"/>
              </w:rPr>
              <w:t>Labor rate for a computer systems analyst (d)</w:t>
            </w:r>
          </w:p>
        </w:tc>
        <w:tc>
          <w:tcPr>
            <w:tcW w:w="1525" w:type="dxa"/>
            <w:shd w:val="clear" w:color="auto" w:fill="auto"/>
            <w:hideMark/>
          </w:tcPr>
          <w:p w:rsidRPr="00D950B2" w:rsidR="0088351C" w:rsidP="00A639D4" w:rsidRDefault="0088351C" w14:paraId="03FB63AD" w14:textId="7F01A3FE">
            <w:pPr>
              <w:spacing w:after="0"/>
              <w:rPr>
                <w:sz w:val="20"/>
                <w:szCs w:val="20"/>
              </w:rPr>
            </w:pPr>
            <w:r w:rsidRPr="00732012">
              <w:rPr>
                <w:sz w:val="20"/>
                <w:szCs w:val="20"/>
              </w:rPr>
              <w:t>$</w:t>
            </w:r>
            <w:r w:rsidR="00ED2AFE">
              <w:rPr>
                <w:sz w:val="20"/>
                <w:szCs w:val="20"/>
              </w:rPr>
              <w:t>9</w:t>
            </w:r>
            <w:r w:rsidR="00E60148">
              <w:rPr>
                <w:sz w:val="20"/>
                <w:szCs w:val="20"/>
              </w:rPr>
              <w:t>5.22</w:t>
            </w:r>
            <w:r w:rsidRPr="00732012">
              <w:rPr>
                <w:sz w:val="20"/>
                <w:szCs w:val="20"/>
              </w:rPr>
              <w:t>/hr</w:t>
            </w:r>
          </w:p>
        </w:tc>
      </w:tr>
      <w:tr w:rsidRPr="00C47150" w:rsidR="0088351C" w:rsidTr="00573EB4" w14:paraId="685B28A9" w14:textId="77777777">
        <w:trPr>
          <w:trHeight w:val="260"/>
        </w:trPr>
        <w:tc>
          <w:tcPr>
            <w:tcW w:w="8005" w:type="dxa"/>
            <w:shd w:val="clear" w:color="auto" w:fill="D9D9D9" w:themeFill="background1" w:themeFillShade="D9"/>
            <w:hideMark/>
          </w:tcPr>
          <w:p w:rsidRPr="00573EB4" w:rsidR="0088351C" w:rsidP="00A639D4" w:rsidRDefault="0078522E" w14:paraId="4B250822" w14:textId="7445D395">
            <w:pPr>
              <w:spacing w:after="0"/>
              <w:rPr>
                <w:b/>
                <w:sz w:val="20"/>
                <w:szCs w:val="20"/>
              </w:rPr>
            </w:pPr>
            <w:r w:rsidRPr="00573EB4">
              <w:rPr>
                <w:b/>
                <w:sz w:val="20"/>
                <w:szCs w:val="20"/>
              </w:rPr>
              <w:t>Estimated Total Annual</w:t>
            </w:r>
            <w:r w:rsidRPr="00573EB4" w:rsidR="0088351C">
              <w:rPr>
                <w:b/>
                <w:sz w:val="20"/>
                <w:szCs w:val="20"/>
              </w:rPr>
              <w:t xml:space="preserve"> Cost (e) = (</w:t>
            </w:r>
            <w:r w:rsidR="00CF2515">
              <w:rPr>
                <w:b/>
                <w:sz w:val="20"/>
                <w:szCs w:val="20"/>
              </w:rPr>
              <w:t>c</w:t>
            </w:r>
            <w:r w:rsidRPr="00573EB4" w:rsidR="0088351C">
              <w:rPr>
                <w:b/>
                <w:sz w:val="20"/>
                <w:szCs w:val="20"/>
              </w:rPr>
              <w:t>)*(d)</w:t>
            </w:r>
          </w:p>
        </w:tc>
        <w:tc>
          <w:tcPr>
            <w:tcW w:w="1525" w:type="dxa"/>
            <w:shd w:val="clear" w:color="auto" w:fill="D9D9D9" w:themeFill="background1" w:themeFillShade="D9"/>
            <w:hideMark/>
          </w:tcPr>
          <w:p w:rsidRPr="00573EB4" w:rsidR="0088351C" w:rsidP="00A639D4" w:rsidRDefault="0088351C" w14:paraId="66B5D28C" w14:textId="1D5B11AC">
            <w:pPr>
              <w:spacing w:after="0"/>
              <w:rPr>
                <w:b/>
                <w:sz w:val="20"/>
                <w:szCs w:val="20"/>
              </w:rPr>
            </w:pPr>
            <w:r w:rsidRPr="00573EB4">
              <w:rPr>
                <w:b/>
                <w:sz w:val="20"/>
                <w:szCs w:val="20"/>
              </w:rPr>
              <w:t>$1</w:t>
            </w:r>
            <w:r w:rsidR="00C0008E">
              <w:rPr>
                <w:b/>
                <w:sz w:val="20"/>
                <w:szCs w:val="20"/>
              </w:rPr>
              <w:t>4,283</w:t>
            </w:r>
          </w:p>
        </w:tc>
      </w:tr>
    </w:tbl>
    <w:p w:rsidR="003065CD" w:rsidP="0088351C" w:rsidRDefault="003065CD" w14:paraId="397EB96B" w14:textId="2A4ADE55"/>
    <w:p w:rsidRPr="004330C9" w:rsidR="0088351C" w:rsidP="004330C9" w:rsidRDefault="0088351C" w14:paraId="0876ACA8" w14:textId="34847D2C">
      <w:pPr>
        <w:pStyle w:val="Heading4"/>
        <w:numPr>
          <w:ilvl w:val="0"/>
          <w:numId w:val="20"/>
        </w:numPr>
        <w:ind w:left="2880"/>
      </w:pPr>
      <w:bookmarkStart w:name="_Hlk532899314" w:id="19"/>
      <w:r w:rsidRPr="00041A6A">
        <w:t>Submission of Data for QP Determinations under the All-Payer Combination Option</w:t>
      </w:r>
      <w:bookmarkEnd w:id="19"/>
    </w:p>
    <w:p w:rsidRPr="00050972" w:rsidR="00050972" w:rsidP="00E12B53" w:rsidRDefault="005709D0" w14:paraId="6E15BFDC" w14:textId="49C1A935">
      <w:pPr>
        <w:rPr>
          <w:rFonts w:eastAsia="Calibri"/>
        </w:rPr>
      </w:pPr>
      <w:r>
        <w:rPr>
          <w:rFonts w:eastAsia="Calibri"/>
        </w:rPr>
        <w:t>As previously discussed in the “</w:t>
      </w:r>
      <w:r w:rsidRPr="005709D0">
        <w:rPr>
          <w:rFonts w:eastAsia="Calibri"/>
        </w:rPr>
        <w:t>Data Collection related to Advanced APMs</w:t>
      </w:r>
      <w:r>
        <w:rPr>
          <w:rFonts w:eastAsia="Calibri"/>
        </w:rPr>
        <w:t xml:space="preserve">” section, </w:t>
      </w:r>
      <w:r w:rsidRPr="00CC2BFB" w:rsidR="007F0344">
        <w:rPr>
          <w:rFonts w:eastAsia="Calibri"/>
        </w:rPr>
        <w:t xml:space="preserve">APM Entities or individual eligible clinicians must submit </w:t>
      </w:r>
      <w:r w:rsidRPr="00CC2BFB" w:rsidR="00390CCF">
        <w:rPr>
          <w:rFonts w:eastAsia="Calibri"/>
        </w:rPr>
        <w:t xml:space="preserve">payment amount and patient count information: (1) attributable to the eligible clinician or APM Entity through every Other Payer Advanced APM; and (2) for all other payments or patients, except from excluded payers, made or attributed to the eligible clinician during the QP performance period.  </w:t>
      </w:r>
      <w:r w:rsidRPr="00EC5B97" w:rsidR="00EC5B97">
        <w:rPr>
          <w:rFonts w:eastAsia="Calibri"/>
        </w:rPr>
        <w:t xml:space="preserve"> </w:t>
      </w:r>
      <w:r w:rsidRPr="00CC2BFB" w:rsidR="00B23552">
        <w:rPr>
          <w:rFonts w:eastAsia="Calibri"/>
        </w:rPr>
        <w:t xml:space="preserve">APM Entities or eligible clinicians must submit all of the required information about the Other Payer Advanced APMs in which they participate, including those for which there is a pending request for </w:t>
      </w:r>
      <w:proofErr w:type="gramStart"/>
      <w:r w:rsidRPr="00CC2BFB" w:rsidR="00B23552">
        <w:rPr>
          <w:rFonts w:eastAsia="Calibri"/>
        </w:rPr>
        <w:t>an Other</w:t>
      </w:r>
      <w:proofErr w:type="gramEnd"/>
      <w:r w:rsidRPr="00CC2BFB" w:rsidR="00B23552">
        <w:rPr>
          <w:rFonts w:eastAsia="Calibri"/>
        </w:rPr>
        <w:t xml:space="preserve"> Payer Advanced APM determination</w:t>
      </w:r>
      <w:r w:rsidR="00E72DBE">
        <w:rPr>
          <w:rFonts w:eastAsia="Calibri"/>
        </w:rPr>
        <w:t>.</w:t>
      </w:r>
    </w:p>
    <w:p w:rsidR="0088351C" w:rsidP="00E12B53" w:rsidRDefault="00367710" w14:paraId="5572A5FF" w14:textId="48E7DB5C">
      <w:pPr>
        <w:rPr>
          <w:rFonts w:eastAsia="Calibri"/>
        </w:rPr>
      </w:pPr>
      <w:r>
        <w:t xml:space="preserve">We are not making any changes to our currently approved estimates.  </w:t>
      </w:r>
      <w:r w:rsidRPr="00225C8A" w:rsidR="00225C8A">
        <w:rPr>
          <w:rFonts w:eastAsia="Calibri"/>
        </w:rPr>
        <w:t xml:space="preserve">As shown in Table </w:t>
      </w:r>
      <w:r w:rsidR="008A5529">
        <w:rPr>
          <w:rFonts w:eastAsia="Calibri"/>
        </w:rPr>
        <w:t>3</w:t>
      </w:r>
      <w:r w:rsidR="00106C8A">
        <w:rPr>
          <w:rFonts w:eastAsia="Calibri"/>
        </w:rPr>
        <w:t>2</w:t>
      </w:r>
      <w:r w:rsidRPr="00225C8A" w:rsidR="00225C8A">
        <w:rPr>
          <w:rFonts w:eastAsia="Calibri"/>
        </w:rPr>
        <w:t xml:space="preserve">, </w:t>
      </w:r>
      <w:r w:rsidRPr="00CC2BFB" w:rsidR="00EC1FFC">
        <w:rPr>
          <w:rFonts w:eastAsia="Calibri"/>
        </w:rPr>
        <w:t xml:space="preserve">we assume that 20 APM Entities, 448 TINs, and 83 eligible clinicians will submit data for QP determinations under the All-Payer Combination Option in </w:t>
      </w:r>
      <w:r w:rsidR="0080204F">
        <w:rPr>
          <w:rFonts w:eastAsia="Calibri"/>
        </w:rPr>
        <w:t xml:space="preserve">CY </w:t>
      </w:r>
      <w:r w:rsidRPr="00CC2BFB" w:rsidR="00EC1FFC">
        <w:rPr>
          <w:rFonts w:eastAsia="Calibri"/>
        </w:rPr>
        <w:t>20</w:t>
      </w:r>
      <w:r>
        <w:rPr>
          <w:rFonts w:eastAsia="Calibri"/>
        </w:rPr>
        <w:t>2</w:t>
      </w:r>
      <w:r w:rsidR="0080204F">
        <w:rPr>
          <w:rFonts w:eastAsia="Calibri"/>
        </w:rPr>
        <w:t>2</w:t>
      </w:r>
      <w:r w:rsidRPr="00CC2BFB" w:rsidR="00EC1FFC">
        <w:rPr>
          <w:rFonts w:eastAsia="Calibri"/>
        </w:rPr>
        <w:t>.  We estimate it will take the APM Entity representative, TIN representative, or eligible clinician 5 hours at $1</w:t>
      </w:r>
      <w:r>
        <w:rPr>
          <w:rFonts w:eastAsia="Calibri"/>
        </w:rPr>
        <w:t>1</w:t>
      </w:r>
      <w:r w:rsidR="0080204F">
        <w:rPr>
          <w:rFonts w:eastAsia="Calibri"/>
        </w:rPr>
        <w:t>4.24</w:t>
      </w:r>
      <w:r w:rsidRPr="00CC2BFB" w:rsidR="00EC1FFC">
        <w:rPr>
          <w:rFonts w:eastAsia="Calibri"/>
        </w:rPr>
        <w:t xml:space="preserve">/hr for a </w:t>
      </w:r>
      <w:r w:rsidR="008D7DB5">
        <w:rPr>
          <w:rFonts w:eastAsia="Calibri"/>
        </w:rPr>
        <w:t>medical and health services manager</w:t>
      </w:r>
      <w:r w:rsidRPr="00CC2BFB" w:rsidR="00EC1FFC">
        <w:rPr>
          <w:rFonts w:eastAsia="Calibri"/>
        </w:rPr>
        <w:t xml:space="preserve"> to complete this submission.  In aggregate, we estimate an annual burden of 2,755 hours (551 respondents x 5 hr) at a cost of $3</w:t>
      </w:r>
      <w:r w:rsidR="00C86877">
        <w:rPr>
          <w:rFonts w:eastAsia="Calibri"/>
        </w:rPr>
        <w:t>14,731</w:t>
      </w:r>
      <w:r w:rsidRPr="00CC2BFB" w:rsidR="00EC1FFC">
        <w:rPr>
          <w:rFonts w:eastAsia="Calibri"/>
        </w:rPr>
        <w:t xml:space="preserve"> (2,755 hr x $1</w:t>
      </w:r>
      <w:r>
        <w:rPr>
          <w:rFonts w:eastAsia="Calibri"/>
        </w:rPr>
        <w:t>1</w:t>
      </w:r>
      <w:r w:rsidR="00C86877">
        <w:rPr>
          <w:rFonts w:eastAsia="Calibri"/>
        </w:rPr>
        <w:t>4.24</w:t>
      </w:r>
      <w:r w:rsidRPr="00CC2BFB" w:rsidR="00EC1FFC">
        <w:rPr>
          <w:rFonts w:eastAsia="Calibri"/>
        </w:rPr>
        <w:t>/hr</w:t>
      </w:r>
      <w:r w:rsidRPr="009B2388" w:rsidR="009B2388">
        <w:rPr>
          <w:rFonts w:eastAsia="Calibri"/>
        </w:rPr>
        <w:t>)</w:t>
      </w:r>
      <w:r w:rsidR="009B2388">
        <w:rPr>
          <w:rFonts w:eastAsia="Calibri"/>
        </w:rPr>
        <w:t>.</w:t>
      </w:r>
      <w:r w:rsidRPr="00225C8A" w:rsidR="00225C8A">
        <w:rPr>
          <w:rFonts w:eastAsia="Calibri"/>
        </w:rPr>
        <w:t xml:space="preserve">  </w:t>
      </w:r>
    </w:p>
    <w:p w:rsidRPr="00C47150" w:rsidR="0088351C" w:rsidP="00EA6D44" w:rsidRDefault="0088351C" w14:paraId="797CEA56" w14:textId="69E9E768">
      <w:pPr>
        <w:keepNext/>
        <w:keepLines/>
        <w:spacing w:after="0"/>
        <w:jc w:val="center"/>
        <w:rPr>
          <w:b/>
          <w:bCs/>
        </w:rPr>
      </w:pPr>
      <w:r w:rsidRPr="00C47150">
        <w:rPr>
          <w:b/>
          <w:bCs/>
        </w:rPr>
        <w:lastRenderedPageBreak/>
        <w:t xml:space="preserve">TABLE </w:t>
      </w:r>
      <w:r w:rsidR="004868A0">
        <w:rPr>
          <w:b/>
          <w:bCs/>
        </w:rPr>
        <w:t>3</w:t>
      </w:r>
      <w:r w:rsidR="00106C8A">
        <w:rPr>
          <w:b/>
          <w:bCs/>
        </w:rPr>
        <w:t>2</w:t>
      </w:r>
      <w:r w:rsidRPr="00C47150">
        <w:rPr>
          <w:b/>
          <w:bCs/>
        </w:rPr>
        <w:t xml:space="preserve">:  </w:t>
      </w:r>
      <w:r w:rsidR="0078522E">
        <w:rPr>
          <w:b/>
          <w:bCs/>
        </w:rPr>
        <w:t>Estimated Burden</w:t>
      </w:r>
      <w:r w:rsidRPr="00732012">
        <w:rPr>
          <w:b/>
          <w:bCs/>
        </w:rPr>
        <w:t xml:space="preserve"> for the </w:t>
      </w:r>
      <w:r w:rsidRPr="00C47150">
        <w:rPr>
          <w:b/>
          <w:bCs/>
        </w:rPr>
        <w:t xml:space="preserve">Submission of Data for </w:t>
      </w:r>
      <w:r w:rsidR="00EA6D44">
        <w:rPr>
          <w:b/>
          <w:bCs/>
        </w:rPr>
        <w:br/>
      </w:r>
      <w:r w:rsidRPr="00C47150">
        <w:rPr>
          <w:b/>
          <w:bCs/>
        </w:rPr>
        <w:t>All-Payer QP Determinations</w:t>
      </w:r>
    </w:p>
    <w:tbl>
      <w:tblPr>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64"/>
        <w:gridCol w:w="2136"/>
      </w:tblGrid>
      <w:tr w:rsidRPr="00C47150" w:rsidR="0088351C" w:rsidTr="0060225C" w14:paraId="4985175A" w14:textId="77777777">
        <w:trPr>
          <w:cantSplit/>
          <w:trHeight w:val="305"/>
          <w:tblHeader/>
          <w:jc w:val="center"/>
        </w:trPr>
        <w:tc>
          <w:tcPr>
            <w:tcW w:w="6864" w:type="dxa"/>
            <w:vAlign w:val="center"/>
            <w:hideMark/>
          </w:tcPr>
          <w:p w:rsidRPr="0088351C" w:rsidR="0088351C" w:rsidP="00EA6D44" w:rsidRDefault="0088351C" w14:paraId="4836D795" w14:textId="736E7128">
            <w:pPr>
              <w:keepNext/>
              <w:keepLines/>
              <w:spacing w:after="0"/>
              <w:rPr>
                <w:b/>
                <w:sz w:val="20"/>
                <w:szCs w:val="20"/>
              </w:rPr>
            </w:pPr>
            <w:r w:rsidRPr="00732012">
              <w:rPr>
                <w:sz w:val="20"/>
                <w:szCs w:val="20"/>
              </w:rPr>
              <w:t> </w:t>
            </w:r>
            <w:r w:rsidRPr="0088351C">
              <w:rPr>
                <w:b/>
                <w:sz w:val="20"/>
                <w:szCs w:val="20"/>
              </w:rPr>
              <w:t>Burden and Respondent Descriptions</w:t>
            </w:r>
          </w:p>
        </w:tc>
        <w:tc>
          <w:tcPr>
            <w:tcW w:w="2136" w:type="dxa"/>
            <w:noWrap/>
            <w:vAlign w:val="bottom"/>
          </w:tcPr>
          <w:p w:rsidRPr="0047482B" w:rsidR="0088351C" w:rsidP="00EA6D44" w:rsidRDefault="0088351C" w14:paraId="7AF95028" w14:textId="77777777">
            <w:pPr>
              <w:keepNext/>
              <w:keepLines/>
              <w:spacing w:after="0"/>
              <w:rPr>
                <w:sz w:val="20"/>
                <w:szCs w:val="20"/>
              </w:rPr>
            </w:pPr>
            <w:r w:rsidRPr="00732012">
              <w:rPr>
                <w:b/>
                <w:bCs/>
                <w:sz w:val="20"/>
                <w:szCs w:val="20"/>
              </w:rPr>
              <w:t>Burden Estimate</w:t>
            </w:r>
          </w:p>
        </w:tc>
      </w:tr>
      <w:tr w:rsidRPr="00C47150" w:rsidR="0088351C" w:rsidTr="00A639D4" w14:paraId="06124060" w14:textId="77777777">
        <w:trPr>
          <w:trHeight w:val="305"/>
          <w:jc w:val="center"/>
        </w:trPr>
        <w:tc>
          <w:tcPr>
            <w:tcW w:w="6864" w:type="dxa"/>
            <w:hideMark/>
          </w:tcPr>
          <w:p w:rsidRPr="0047482B" w:rsidR="0088351C" w:rsidP="00EA6D44" w:rsidRDefault="0088351C" w14:paraId="11DDA540" w14:textId="77777777">
            <w:pPr>
              <w:keepNext/>
              <w:keepLines/>
              <w:spacing w:after="0"/>
              <w:rPr>
                <w:sz w:val="20"/>
                <w:szCs w:val="20"/>
              </w:rPr>
            </w:pPr>
            <w:r w:rsidRPr="00732012">
              <w:rPr>
                <w:sz w:val="20"/>
                <w:szCs w:val="20"/>
              </w:rPr>
              <w:t># of APM Entities submitting data for All-Payer QP Determinations (a)</w:t>
            </w:r>
          </w:p>
        </w:tc>
        <w:tc>
          <w:tcPr>
            <w:tcW w:w="2136" w:type="dxa"/>
            <w:noWrap/>
            <w:vAlign w:val="bottom"/>
          </w:tcPr>
          <w:p w:rsidRPr="0047482B" w:rsidR="0088351C" w:rsidP="00EA6D44" w:rsidRDefault="00225C8A" w14:paraId="7F193BA6" w14:textId="2A70A8E6">
            <w:pPr>
              <w:keepNext/>
              <w:keepLines/>
              <w:spacing w:after="0"/>
              <w:rPr>
                <w:sz w:val="20"/>
                <w:szCs w:val="20"/>
              </w:rPr>
            </w:pPr>
            <w:r>
              <w:rPr>
                <w:sz w:val="20"/>
                <w:szCs w:val="20"/>
              </w:rPr>
              <w:t>20</w:t>
            </w:r>
          </w:p>
        </w:tc>
      </w:tr>
      <w:tr w:rsidRPr="00C47150" w:rsidR="0088351C" w:rsidTr="00A639D4" w14:paraId="36DB7A12" w14:textId="77777777">
        <w:trPr>
          <w:trHeight w:val="305"/>
          <w:jc w:val="center"/>
        </w:trPr>
        <w:tc>
          <w:tcPr>
            <w:tcW w:w="6864" w:type="dxa"/>
            <w:hideMark/>
          </w:tcPr>
          <w:p w:rsidRPr="0047482B" w:rsidR="0088351C" w:rsidP="00EA6D44" w:rsidRDefault="0088351C" w14:paraId="053C5A1A" w14:textId="77777777">
            <w:pPr>
              <w:keepNext/>
              <w:keepLines/>
              <w:spacing w:after="0"/>
              <w:rPr>
                <w:sz w:val="20"/>
                <w:szCs w:val="20"/>
              </w:rPr>
            </w:pPr>
            <w:r w:rsidRPr="00732012">
              <w:rPr>
                <w:sz w:val="20"/>
                <w:szCs w:val="20"/>
              </w:rPr>
              <w:t xml:space="preserve"># of TINs submitting data for All-Payer QP Determinations (b) </w:t>
            </w:r>
          </w:p>
        </w:tc>
        <w:tc>
          <w:tcPr>
            <w:tcW w:w="2136" w:type="dxa"/>
            <w:noWrap/>
            <w:vAlign w:val="bottom"/>
          </w:tcPr>
          <w:p w:rsidRPr="0047482B" w:rsidR="0088351C" w:rsidP="00EA6D44" w:rsidRDefault="00225C8A" w14:paraId="775945E6" w14:textId="72CD0CDB">
            <w:pPr>
              <w:keepNext/>
              <w:keepLines/>
              <w:spacing w:after="0"/>
              <w:rPr>
                <w:sz w:val="20"/>
                <w:szCs w:val="20"/>
              </w:rPr>
            </w:pPr>
            <w:r>
              <w:rPr>
                <w:sz w:val="20"/>
                <w:szCs w:val="20"/>
              </w:rPr>
              <w:t>448</w:t>
            </w:r>
          </w:p>
        </w:tc>
      </w:tr>
      <w:tr w:rsidRPr="00C47150" w:rsidR="0088351C" w:rsidTr="00A639D4" w14:paraId="230D798A" w14:textId="77777777">
        <w:trPr>
          <w:trHeight w:val="260"/>
          <w:jc w:val="center"/>
        </w:trPr>
        <w:tc>
          <w:tcPr>
            <w:tcW w:w="6864" w:type="dxa"/>
            <w:hideMark/>
          </w:tcPr>
          <w:p w:rsidRPr="0047482B" w:rsidR="0088351C" w:rsidP="00EA6D44" w:rsidRDefault="0088351C" w14:paraId="1CE6E593" w14:textId="77777777">
            <w:pPr>
              <w:keepNext/>
              <w:keepLines/>
              <w:spacing w:after="0"/>
              <w:rPr>
                <w:sz w:val="20"/>
                <w:szCs w:val="20"/>
              </w:rPr>
            </w:pPr>
            <w:r w:rsidRPr="00732012">
              <w:rPr>
                <w:sz w:val="20"/>
                <w:szCs w:val="20"/>
              </w:rPr>
              <w:t># of eligible submitting data for All-Payer QP Determinations (c)</w:t>
            </w:r>
          </w:p>
        </w:tc>
        <w:tc>
          <w:tcPr>
            <w:tcW w:w="2136" w:type="dxa"/>
            <w:vAlign w:val="bottom"/>
          </w:tcPr>
          <w:p w:rsidRPr="0047482B" w:rsidR="0088351C" w:rsidP="00EA6D44" w:rsidRDefault="0088351C" w14:paraId="6101F47E" w14:textId="3CB2F16C">
            <w:pPr>
              <w:keepNext/>
              <w:keepLines/>
              <w:spacing w:after="0"/>
              <w:rPr>
                <w:sz w:val="20"/>
                <w:szCs w:val="20"/>
              </w:rPr>
            </w:pPr>
            <w:r>
              <w:rPr>
                <w:sz w:val="20"/>
                <w:szCs w:val="20"/>
              </w:rPr>
              <w:t>8</w:t>
            </w:r>
            <w:r w:rsidR="00225C8A">
              <w:rPr>
                <w:sz w:val="20"/>
                <w:szCs w:val="20"/>
              </w:rPr>
              <w:t>3</w:t>
            </w:r>
          </w:p>
        </w:tc>
      </w:tr>
      <w:tr w:rsidRPr="00C47150" w:rsidR="0088351C" w:rsidTr="00A639D4" w14:paraId="17AE27D4" w14:textId="77777777">
        <w:trPr>
          <w:trHeight w:val="260"/>
          <w:jc w:val="center"/>
        </w:trPr>
        <w:tc>
          <w:tcPr>
            <w:tcW w:w="6864" w:type="dxa"/>
            <w:hideMark/>
          </w:tcPr>
          <w:p w:rsidRPr="0047482B" w:rsidR="0088351C" w:rsidP="00EA6D44" w:rsidRDefault="0088351C" w14:paraId="56FC6EF6" w14:textId="77777777">
            <w:pPr>
              <w:keepNext/>
              <w:keepLines/>
              <w:spacing w:after="0"/>
              <w:rPr>
                <w:sz w:val="20"/>
                <w:szCs w:val="20"/>
              </w:rPr>
            </w:pPr>
            <w:r w:rsidRPr="00732012">
              <w:rPr>
                <w:sz w:val="20"/>
                <w:szCs w:val="20"/>
              </w:rPr>
              <w:t xml:space="preserve">Hours Per </w:t>
            </w:r>
            <w:r>
              <w:rPr>
                <w:sz w:val="20"/>
                <w:szCs w:val="20"/>
              </w:rPr>
              <w:t>respondent</w:t>
            </w:r>
            <w:r w:rsidRPr="00732012">
              <w:rPr>
                <w:sz w:val="20"/>
                <w:szCs w:val="20"/>
              </w:rPr>
              <w:t xml:space="preserve"> QP Determinations (d)</w:t>
            </w:r>
          </w:p>
        </w:tc>
        <w:tc>
          <w:tcPr>
            <w:tcW w:w="2136" w:type="dxa"/>
            <w:vAlign w:val="center"/>
          </w:tcPr>
          <w:p w:rsidRPr="0047482B" w:rsidR="0088351C" w:rsidP="00EA6D44" w:rsidRDefault="0088351C" w14:paraId="2D39A650" w14:textId="77777777">
            <w:pPr>
              <w:keepNext/>
              <w:keepLines/>
              <w:spacing w:after="0"/>
              <w:rPr>
                <w:sz w:val="20"/>
                <w:szCs w:val="20"/>
              </w:rPr>
            </w:pPr>
            <w:r>
              <w:rPr>
                <w:sz w:val="20"/>
                <w:szCs w:val="20"/>
              </w:rPr>
              <w:t>5</w:t>
            </w:r>
          </w:p>
        </w:tc>
      </w:tr>
      <w:tr w:rsidRPr="00C47150" w:rsidR="0088351C" w:rsidTr="00225C8A" w14:paraId="186DA406" w14:textId="77777777">
        <w:trPr>
          <w:trHeight w:val="287"/>
          <w:jc w:val="center"/>
        </w:trPr>
        <w:tc>
          <w:tcPr>
            <w:tcW w:w="6864" w:type="dxa"/>
            <w:shd w:val="clear" w:color="auto" w:fill="D9D9D9" w:themeFill="background1" w:themeFillShade="D9"/>
            <w:hideMark/>
          </w:tcPr>
          <w:p w:rsidRPr="00225C8A" w:rsidR="0088351C" w:rsidP="00A639D4" w:rsidRDefault="0088351C" w14:paraId="0F3A9E8D" w14:textId="445DD66D">
            <w:pPr>
              <w:spacing w:after="0"/>
              <w:rPr>
                <w:b/>
                <w:sz w:val="20"/>
                <w:szCs w:val="20"/>
              </w:rPr>
            </w:pPr>
            <w:r w:rsidRPr="00225C8A">
              <w:rPr>
                <w:b/>
                <w:sz w:val="20"/>
                <w:szCs w:val="20"/>
              </w:rPr>
              <w:t>Total Hours (g)</w:t>
            </w:r>
            <w:r w:rsidRPr="00225C8A" w:rsidR="00915FEC">
              <w:rPr>
                <w:b/>
                <w:sz w:val="20"/>
                <w:szCs w:val="20"/>
              </w:rPr>
              <w:t xml:space="preserve"> </w:t>
            </w:r>
            <w:r w:rsidRPr="00225C8A">
              <w:rPr>
                <w:b/>
                <w:sz w:val="20"/>
                <w:szCs w:val="20"/>
              </w:rPr>
              <w:t>= [(a)*(d</w:t>
            </w:r>
            <w:proofErr w:type="gramStart"/>
            <w:r w:rsidRPr="00225C8A">
              <w:rPr>
                <w:b/>
                <w:sz w:val="20"/>
                <w:szCs w:val="20"/>
              </w:rPr>
              <w:t>)]+</w:t>
            </w:r>
            <w:proofErr w:type="gramEnd"/>
            <w:r w:rsidRPr="00225C8A">
              <w:rPr>
                <w:b/>
                <w:sz w:val="20"/>
                <w:szCs w:val="20"/>
              </w:rPr>
              <w:t>[(b)*(d)]+[(c)*(d)]</w:t>
            </w:r>
          </w:p>
        </w:tc>
        <w:tc>
          <w:tcPr>
            <w:tcW w:w="2136" w:type="dxa"/>
            <w:shd w:val="clear" w:color="auto" w:fill="D9D9D9" w:themeFill="background1" w:themeFillShade="D9"/>
            <w:vAlign w:val="center"/>
          </w:tcPr>
          <w:p w:rsidRPr="00225C8A" w:rsidR="0088351C" w:rsidP="00A639D4" w:rsidRDefault="00225C8A" w14:paraId="56E132FB" w14:textId="0FFE1938">
            <w:pPr>
              <w:spacing w:after="0"/>
              <w:rPr>
                <w:b/>
                <w:sz w:val="20"/>
                <w:szCs w:val="20"/>
              </w:rPr>
            </w:pPr>
            <w:r>
              <w:rPr>
                <w:b/>
                <w:sz w:val="20"/>
                <w:szCs w:val="20"/>
              </w:rPr>
              <w:t>2,755</w:t>
            </w:r>
          </w:p>
        </w:tc>
      </w:tr>
      <w:tr w:rsidRPr="00C47150" w:rsidR="0088351C" w:rsidTr="00A639D4" w14:paraId="79FC98D3" w14:textId="77777777">
        <w:trPr>
          <w:trHeight w:val="332"/>
          <w:jc w:val="center"/>
        </w:trPr>
        <w:tc>
          <w:tcPr>
            <w:tcW w:w="6864" w:type="dxa"/>
            <w:shd w:val="clear" w:color="auto" w:fill="auto"/>
            <w:hideMark/>
          </w:tcPr>
          <w:p w:rsidRPr="0047482B" w:rsidR="0088351C" w:rsidP="00A639D4" w:rsidRDefault="0088351C" w14:paraId="413A2FAE" w14:textId="6CD7A37F">
            <w:pPr>
              <w:spacing w:after="0"/>
              <w:rPr>
                <w:sz w:val="20"/>
                <w:szCs w:val="20"/>
              </w:rPr>
            </w:pPr>
            <w:r w:rsidRPr="00732012">
              <w:rPr>
                <w:sz w:val="20"/>
                <w:szCs w:val="20"/>
              </w:rPr>
              <w:t xml:space="preserve">Labor rate for a </w:t>
            </w:r>
            <w:r w:rsidR="008D7DB5">
              <w:rPr>
                <w:sz w:val="20"/>
                <w:szCs w:val="20"/>
              </w:rPr>
              <w:t>Medical and health services manager</w:t>
            </w:r>
            <w:r>
              <w:rPr>
                <w:sz w:val="20"/>
                <w:szCs w:val="20"/>
              </w:rPr>
              <w:t xml:space="preserve"> ($1</w:t>
            </w:r>
            <w:r w:rsidR="00367710">
              <w:rPr>
                <w:sz w:val="20"/>
                <w:szCs w:val="20"/>
              </w:rPr>
              <w:t>1</w:t>
            </w:r>
            <w:r w:rsidR="00A21D76">
              <w:rPr>
                <w:sz w:val="20"/>
                <w:szCs w:val="20"/>
              </w:rPr>
              <w:t>4.24</w:t>
            </w:r>
            <w:r w:rsidR="00706DDF">
              <w:rPr>
                <w:sz w:val="20"/>
                <w:szCs w:val="20"/>
              </w:rPr>
              <w:t>/hr</w:t>
            </w:r>
            <w:r>
              <w:rPr>
                <w:sz w:val="20"/>
                <w:szCs w:val="20"/>
              </w:rPr>
              <w:t>)</w:t>
            </w:r>
            <w:r w:rsidRPr="00732012">
              <w:rPr>
                <w:sz w:val="20"/>
                <w:szCs w:val="20"/>
              </w:rPr>
              <w:t xml:space="preserve"> (h)</w:t>
            </w:r>
          </w:p>
        </w:tc>
        <w:tc>
          <w:tcPr>
            <w:tcW w:w="2136" w:type="dxa"/>
            <w:shd w:val="clear" w:color="auto" w:fill="auto"/>
            <w:vAlign w:val="center"/>
          </w:tcPr>
          <w:p w:rsidRPr="0047482B" w:rsidR="0088351C" w:rsidP="00A639D4" w:rsidRDefault="0088351C" w14:paraId="7043F435" w14:textId="27A8226B">
            <w:pPr>
              <w:spacing w:after="0"/>
              <w:rPr>
                <w:sz w:val="20"/>
                <w:szCs w:val="20"/>
              </w:rPr>
            </w:pPr>
            <w:r w:rsidRPr="00732012">
              <w:rPr>
                <w:sz w:val="20"/>
                <w:szCs w:val="20"/>
              </w:rPr>
              <w:t>$</w:t>
            </w:r>
            <w:r>
              <w:rPr>
                <w:sz w:val="20"/>
                <w:szCs w:val="20"/>
              </w:rPr>
              <w:t>1</w:t>
            </w:r>
            <w:r w:rsidR="00367710">
              <w:rPr>
                <w:sz w:val="20"/>
                <w:szCs w:val="20"/>
              </w:rPr>
              <w:t>1</w:t>
            </w:r>
            <w:r w:rsidR="008260A4">
              <w:rPr>
                <w:sz w:val="20"/>
                <w:szCs w:val="20"/>
              </w:rPr>
              <w:t>4.24</w:t>
            </w:r>
            <w:r w:rsidRPr="00732012">
              <w:rPr>
                <w:sz w:val="20"/>
                <w:szCs w:val="20"/>
              </w:rPr>
              <w:t>/hr</w:t>
            </w:r>
          </w:p>
        </w:tc>
      </w:tr>
      <w:tr w:rsidRPr="00C47150" w:rsidR="0088351C" w:rsidTr="00A639D4" w14:paraId="4CBB87E1" w14:textId="77777777">
        <w:trPr>
          <w:trHeight w:val="332"/>
          <w:jc w:val="center"/>
        </w:trPr>
        <w:tc>
          <w:tcPr>
            <w:tcW w:w="6864" w:type="dxa"/>
            <w:shd w:val="clear" w:color="auto" w:fill="BFBFBF" w:themeFill="background1" w:themeFillShade="BF"/>
          </w:tcPr>
          <w:p w:rsidRPr="00225C8A" w:rsidR="0088351C" w:rsidP="00A639D4" w:rsidRDefault="0078522E" w14:paraId="6A7FD55B" w14:textId="255E6BC0">
            <w:pPr>
              <w:spacing w:after="0"/>
              <w:rPr>
                <w:b/>
                <w:sz w:val="20"/>
                <w:szCs w:val="20"/>
              </w:rPr>
            </w:pPr>
            <w:r w:rsidRPr="00225C8A">
              <w:rPr>
                <w:b/>
                <w:sz w:val="20"/>
                <w:szCs w:val="20"/>
              </w:rPr>
              <w:t xml:space="preserve">Total Annual </w:t>
            </w:r>
            <w:r w:rsidRPr="00225C8A" w:rsidR="0088351C">
              <w:rPr>
                <w:b/>
                <w:sz w:val="20"/>
                <w:szCs w:val="20"/>
              </w:rPr>
              <w:t>Cost (i) = (g)*(h)</w:t>
            </w:r>
          </w:p>
        </w:tc>
        <w:tc>
          <w:tcPr>
            <w:tcW w:w="2136" w:type="dxa"/>
            <w:shd w:val="clear" w:color="auto" w:fill="BFBFBF" w:themeFill="background1" w:themeFillShade="BF"/>
            <w:vAlign w:val="center"/>
          </w:tcPr>
          <w:p w:rsidRPr="00225C8A" w:rsidR="0088351C" w:rsidP="00A639D4" w:rsidRDefault="00E77D34" w14:paraId="4528E3E4" w14:textId="5E71B941">
            <w:pPr>
              <w:spacing w:after="0"/>
              <w:rPr>
                <w:b/>
                <w:sz w:val="20"/>
                <w:szCs w:val="20"/>
              </w:rPr>
            </w:pPr>
            <w:r w:rsidRPr="00225C8A">
              <w:rPr>
                <w:b/>
                <w:sz w:val="20"/>
                <w:szCs w:val="20"/>
              </w:rPr>
              <w:t>$</w:t>
            </w:r>
            <w:r w:rsidR="00706DDF">
              <w:rPr>
                <w:b/>
                <w:sz w:val="20"/>
                <w:szCs w:val="20"/>
              </w:rPr>
              <w:t>3</w:t>
            </w:r>
            <w:r w:rsidR="00C86877">
              <w:rPr>
                <w:b/>
                <w:sz w:val="20"/>
                <w:szCs w:val="20"/>
              </w:rPr>
              <w:t>14,731</w:t>
            </w:r>
          </w:p>
        </w:tc>
      </w:tr>
    </w:tbl>
    <w:p w:rsidR="0088351C" w:rsidP="0088351C" w:rsidRDefault="0088351C" w14:paraId="15403F0B" w14:textId="6065CD15"/>
    <w:p w:rsidRPr="00136D86" w:rsidR="0088351C" w:rsidP="00136D86" w:rsidRDefault="0088351C" w14:paraId="5A7DC3D2" w14:textId="002F61D2">
      <w:pPr>
        <w:pStyle w:val="Heading3"/>
      </w:pPr>
      <w:bookmarkStart w:name="_Hlk532899326" w:id="20"/>
      <w:r w:rsidRPr="00136D86">
        <w:t>Burden Estimate for Voluntary Participants to Elect Opt-Out of Performance Data Display on Physician Compare</w:t>
      </w:r>
    </w:p>
    <w:bookmarkEnd w:id="20"/>
    <w:p w:rsidRPr="003A6FE0" w:rsidR="006729C8" w:rsidP="00E12B53" w:rsidRDefault="00D27CC7" w14:paraId="36351A6A" w14:textId="45AB5031">
      <w:pPr>
        <w:rPr>
          <w:rFonts w:ascii="Calibri" w:hAnsi="Calibri" w:eastAsia="Calibri" w:cs="Calibri"/>
          <w:color w:val="000000"/>
          <w:sz w:val="22"/>
          <w:szCs w:val="22"/>
        </w:rPr>
      </w:pPr>
      <w:r w:rsidRPr="00CC2BFB">
        <w:rPr>
          <w:rFonts w:eastAsia="Calibri"/>
        </w:rPr>
        <w:t xml:space="preserve">We estimate </w:t>
      </w:r>
      <w:r w:rsidR="001237C2">
        <w:rPr>
          <w:rFonts w:eastAsia="Calibri"/>
        </w:rPr>
        <w:t>0.1</w:t>
      </w:r>
      <w:r w:rsidRPr="00CC2BFB">
        <w:rPr>
          <w:rFonts w:eastAsia="Calibri"/>
        </w:rPr>
        <w:t xml:space="preserve"> percent of the total clinicians and groups who will voluntarily participate in MIPS will also elect not to participate in public reporting.  </w:t>
      </w:r>
      <w:r w:rsidRPr="00367710" w:rsidR="00367710">
        <w:rPr>
          <w:rFonts w:eastAsia="Calibri"/>
        </w:rPr>
        <w:t xml:space="preserve">This results in a total of </w:t>
      </w:r>
      <w:r w:rsidR="0063585D">
        <w:rPr>
          <w:rFonts w:eastAsia="Calibri"/>
        </w:rPr>
        <w:t>3</w:t>
      </w:r>
      <w:r w:rsidR="00B35F12">
        <w:rPr>
          <w:rFonts w:eastAsia="Calibri"/>
        </w:rPr>
        <w:t>8</w:t>
      </w:r>
      <w:r w:rsidRPr="00367710" w:rsidR="00367710">
        <w:rPr>
          <w:rFonts w:eastAsia="Calibri"/>
        </w:rPr>
        <w:t xml:space="preserve"> (0.</w:t>
      </w:r>
      <w:r w:rsidR="007C12F1">
        <w:rPr>
          <w:rFonts w:eastAsia="Calibri"/>
        </w:rPr>
        <w:t>001</w:t>
      </w:r>
      <w:r w:rsidRPr="00367710" w:rsidR="00367710">
        <w:rPr>
          <w:rFonts w:eastAsia="Calibri"/>
        </w:rPr>
        <w:t xml:space="preserve"> x </w:t>
      </w:r>
      <w:r w:rsidR="0063585D">
        <w:rPr>
          <w:rFonts w:eastAsia="Calibri"/>
        </w:rPr>
        <w:t>3</w:t>
      </w:r>
      <w:r w:rsidR="00C0190D">
        <w:rPr>
          <w:rFonts w:eastAsia="Calibri"/>
        </w:rPr>
        <w:t>7,934</w:t>
      </w:r>
      <w:r w:rsidRPr="00367710" w:rsidR="00367710">
        <w:rPr>
          <w:rFonts w:eastAsia="Calibri"/>
        </w:rPr>
        <w:t xml:space="preserve"> voluntary MIPS participants) clinicians and groups, a decrease of </w:t>
      </w:r>
      <w:r w:rsidR="0063585D">
        <w:rPr>
          <w:rFonts w:eastAsia="Calibri"/>
        </w:rPr>
        <w:t>-</w:t>
      </w:r>
      <w:r w:rsidR="00486894">
        <w:rPr>
          <w:rFonts w:eastAsia="Calibri"/>
        </w:rPr>
        <w:t>3,448</w:t>
      </w:r>
      <w:r w:rsidRPr="00367710" w:rsidR="00367710">
        <w:rPr>
          <w:rFonts w:eastAsia="Calibri"/>
        </w:rPr>
        <w:t xml:space="preserve"> from the currently approved estimate of </w:t>
      </w:r>
      <w:r w:rsidR="00AC5F42">
        <w:rPr>
          <w:rFonts w:eastAsia="Calibri"/>
        </w:rPr>
        <w:t>3,486</w:t>
      </w:r>
      <w:r w:rsidRPr="00367710" w:rsidR="00367710">
        <w:rPr>
          <w:rFonts w:eastAsia="Calibri"/>
        </w:rPr>
        <w:t>.  Voluntary MIPS participants are clinicians that are not QPs and are expected to be excluded from MIPS after applying the eligibility requirements set out in the CY 2019 PFS final rule but have elected to submit data to MIPS.  As discussed</w:t>
      </w:r>
      <w:r w:rsidR="00A755B1">
        <w:rPr>
          <w:rFonts w:eastAsia="Calibri"/>
        </w:rPr>
        <w:t xml:space="preserve"> in</w:t>
      </w:r>
      <w:r w:rsidRPr="00367710" w:rsidR="00367710">
        <w:rPr>
          <w:rFonts w:eastAsia="Calibri"/>
        </w:rPr>
        <w:t xml:space="preserve"> section</w:t>
      </w:r>
      <w:r w:rsidR="00CA3299">
        <w:rPr>
          <w:rFonts w:eastAsia="Calibri"/>
        </w:rPr>
        <w:t xml:space="preserve"> </w:t>
      </w:r>
      <w:r w:rsidRPr="0004584B" w:rsidR="00CA3299">
        <w:rPr>
          <w:color w:val="000000"/>
        </w:rPr>
        <w:t>VII.F.17</w:t>
      </w:r>
      <w:r w:rsidR="005E16EF">
        <w:rPr>
          <w:color w:val="000000"/>
        </w:rPr>
        <w:t>.c</w:t>
      </w:r>
      <w:r w:rsidRPr="00367710" w:rsidR="00367710">
        <w:rPr>
          <w:rFonts w:eastAsia="Calibri"/>
        </w:rPr>
        <w:t xml:space="preserve"> of the CY </w:t>
      </w:r>
      <w:r w:rsidRPr="00367710" w:rsidR="0038547D">
        <w:rPr>
          <w:rFonts w:eastAsia="Calibri"/>
        </w:rPr>
        <w:t>20</w:t>
      </w:r>
      <w:r w:rsidR="0038547D">
        <w:rPr>
          <w:rFonts w:eastAsia="Calibri"/>
        </w:rPr>
        <w:t>2</w:t>
      </w:r>
      <w:r w:rsidR="001261B9">
        <w:rPr>
          <w:rFonts w:eastAsia="Calibri"/>
        </w:rPr>
        <w:t>2</w:t>
      </w:r>
      <w:r w:rsidRPr="00367710" w:rsidR="00367710">
        <w:rPr>
          <w:rFonts w:eastAsia="Calibri"/>
        </w:rPr>
        <w:t xml:space="preserve"> PFS </w:t>
      </w:r>
      <w:r w:rsidR="001261B9">
        <w:rPr>
          <w:rFonts w:eastAsia="Calibri"/>
        </w:rPr>
        <w:t>proposed</w:t>
      </w:r>
      <w:r w:rsidRPr="00367710" w:rsidR="00367710">
        <w:rPr>
          <w:rFonts w:eastAsia="Calibri"/>
        </w:rPr>
        <w:t xml:space="preserve"> rule, we estimate </w:t>
      </w:r>
      <w:r w:rsidR="0038547D">
        <w:rPr>
          <w:rFonts w:eastAsia="Calibri"/>
        </w:rPr>
        <w:t>clinicians who</w:t>
      </w:r>
      <w:r w:rsidRPr="00367710" w:rsidR="00367710">
        <w:rPr>
          <w:rFonts w:eastAsia="Calibri"/>
        </w:rPr>
        <w:t xml:space="preserve"> exceed one (1) of the low-volume criteria, but not all three (3), elect</w:t>
      </w:r>
      <w:r w:rsidR="0038547D">
        <w:rPr>
          <w:rFonts w:eastAsia="Calibri"/>
        </w:rPr>
        <w:t>ed</w:t>
      </w:r>
      <w:r w:rsidRPr="00367710" w:rsidR="00367710">
        <w:rPr>
          <w:rFonts w:eastAsia="Calibri"/>
        </w:rPr>
        <w:t xml:space="preserve"> to opt-in to MIPS</w:t>
      </w:r>
      <w:r w:rsidR="0038547D">
        <w:rPr>
          <w:rFonts w:eastAsia="Calibri"/>
        </w:rPr>
        <w:t xml:space="preserve"> and submitted data in CY 2019</w:t>
      </w:r>
      <w:r w:rsidR="00DB2258">
        <w:rPr>
          <w:rFonts w:eastAsia="Calibri"/>
        </w:rPr>
        <w:t xml:space="preserve"> MIPS performance period/2021 MIPS payment year</w:t>
      </w:r>
      <w:r w:rsidR="0038547D">
        <w:rPr>
          <w:rFonts w:eastAsia="Calibri"/>
        </w:rPr>
        <w:t xml:space="preserve"> will con</w:t>
      </w:r>
      <w:r w:rsidR="0072386B">
        <w:rPr>
          <w:rFonts w:eastAsia="Calibri"/>
        </w:rPr>
        <w:t>tinue to do so in CY 202</w:t>
      </w:r>
      <w:r w:rsidR="006E3151">
        <w:rPr>
          <w:rFonts w:eastAsia="Calibri"/>
        </w:rPr>
        <w:t>2</w:t>
      </w:r>
      <w:r w:rsidR="00DB2258">
        <w:rPr>
          <w:rFonts w:eastAsia="Calibri"/>
        </w:rPr>
        <w:t xml:space="preserve"> MIPS performance period/2024 MIPS payment year</w:t>
      </w:r>
      <w:r w:rsidRPr="006729C8" w:rsidR="006729C8">
        <w:rPr>
          <w:rFonts w:eastAsia="Calibri"/>
        </w:rPr>
        <w:t>.</w:t>
      </w:r>
    </w:p>
    <w:p w:rsidR="00F7398F" w:rsidP="00E12B53" w:rsidRDefault="00D74A09" w14:paraId="12432B04" w14:textId="3C768054">
      <w:pPr>
        <w:rPr>
          <w:rFonts w:eastAsia="Calibri"/>
        </w:rPr>
      </w:pPr>
      <w:r w:rsidRPr="00D74A09">
        <w:rPr>
          <w:rFonts w:eastAsia="Calibri"/>
        </w:rPr>
        <w:t xml:space="preserve">Table </w:t>
      </w:r>
      <w:r w:rsidRPr="00E53E05" w:rsidR="0069375E">
        <w:rPr>
          <w:rFonts w:eastAsia="Calibri"/>
        </w:rPr>
        <w:t>3</w:t>
      </w:r>
      <w:r w:rsidR="00E63E94">
        <w:rPr>
          <w:rFonts w:eastAsia="Calibri"/>
        </w:rPr>
        <w:t>3</w:t>
      </w:r>
      <w:r w:rsidRPr="00D74A09">
        <w:rPr>
          <w:rFonts w:eastAsia="Calibri"/>
        </w:rPr>
        <w:t xml:space="preserve"> shows that for these voluntary participants, we estimate it will take 0.25 hours at $9</w:t>
      </w:r>
      <w:r w:rsidR="00E60513">
        <w:rPr>
          <w:rFonts w:eastAsia="Calibri"/>
        </w:rPr>
        <w:t>5.22</w:t>
      </w:r>
      <w:r w:rsidRPr="00D74A09">
        <w:rPr>
          <w:rFonts w:eastAsia="Calibri"/>
        </w:rPr>
        <w:t xml:space="preserve">/hr for a computer system analyst to submit a request to opt-out.  </w:t>
      </w:r>
      <w:r w:rsidRPr="00107DFD" w:rsidR="00107DFD">
        <w:rPr>
          <w:rFonts w:eastAsia="Calibri"/>
        </w:rPr>
        <w:t xml:space="preserve">In aggregate, we estimate an annual burden of </w:t>
      </w:r>
      <w:r w:rsidR="00EB600B">
        <w:rPr>
          <w:rFonts w:eastAsia="Calibri"/>
        </w:rPr>
        <w:t>10</w:t>
      </w:r>
      <w:r w:rsidRPr="00107DFD" w:rsidR="00107DFD">
        <w:rPr>
          <w:rFonts w:eastAsia="Calibri"/>
        </w:rPr>
        <w:t xml:space="preserve"> hours (</w:t>
      </w:r>
      <w:r w:rsidR="00321C69">
        <w:rPr>
          <w:rFonts w:eastAsia="Calibri"/>
        </w:rPr>
        <w:t>38</w:t>
      </w:r>
      <w:r w:rsidRPr="00107DFD" w:rsidR="00107DFD">
        <w:rPr>
          <w:rFonts w:eastAsia="Calibri"/>
        </w:rPr>
        <w:t xml:space="preserve"> requests x 0.25 hr/request) a</w:t>
      </w:r>
      <w:r w:rsidR="00520CC6">
        <w:rPr>
          <w:rFonts w:eastAsia="Calibri"/>
        </w:rPr>
        <w:t xml:space="preserve">t a cost </w:t>
      </w:r>
      <w:r w:rsidR="00BC3840">
        <w:rPr>
          <w:rFonts w:eastAsia="Calibri"/>
        </w:rPr>
        <w:t xml:space="preserve">of </w:t>
      </w:r>
      <w:r w:rsidRPr="00107DFD" w:rsidR="00BC3840">
        <w:rPr>
          <w:rFonts w:eastAsia="Calibri"/>
        </w:rPr>
        <w:t>$</w:t>
      </w:r>
      <w:r w:rsidR="00DE3351">
        <w:rPr>
          <w:rFonts w:eastAsia="Calibri"/>
        </w:rPr>
        <w:t>9</w:t>
      </w:r>
      <w:r w:rsidR="00186989">
        <w:rPr>
          <w:rFonts w:eastAsia="Calibri"/>
        </w:rPr>
        <w:t>52</w:t>
      </w:r>
      <w:r w:rsidRPr="00107DFD" w:rsidR="00107DFD">
        <w:rPr>
          <w:rFonts w:eastAsia="Calibri"/>
        </w:rPr>
        <w:t xml:space="preserve"> (</w:t>
      </w:r>
      <w:r w:rsidR="00E30CF4">
        <w:rPr>
          <w:rFonts w:eastAsia="Calibri"/>
        </w:rPr>
        <w:t>9</w:t>
      </w:r>
      <w:r w:rsidRPr="00107DFD" w:rsidR="00107DFD">
        <w:rPr>
          <w:rFonts w:eastAsia="Calibri"/>
        </w:rPr>
        <w:t>.5 hr x $9</w:t>
      </w:r>
      <w:r w:rsidR="00E30CF4">
        <w:rPr>
          <w:rFonts w:eastAsia="Calibri"/>
        </w:rPr>
        <w:t>5.22</w:t>
      </w:r>
      <w:r w:rsidRPr="00107DFD" w:rsidR="00107DFD">
        <w:rPr>
          <w:rFonts w:eastAsia="Calibri"/>
        </w:rPr>
        <w:t>/hr)</w:t>
      </w:r>
      <w:r w:rsidRPr="00CC2BFB" w:rsidR="008D5F2A">
        <w:rPr>
          <w:rFonts w:eastAsia="Calibri"/>
        </w:rPr>
        <w:t xml:space="preserve">.   </w:t>
      </w:r>
    </w:p>
    <w:p w:rsidRPr="00C47150" w:rsidR="0088351C" w:rsidP="00FC7A11" w:rsidRDefault="0088351C" w14:paraId="1A8574DD" w14:textId="16BBCD22">
      <w:pPr>
        <w:keepNext/>
        <w:spacing w:after="0"/>
        <w:ind w:firstLine="720"/>
        <w:jc w:val="center"/>
        <w:rPr>
          <w:b/>
          <w:bCs/>
        </w:rPr>
      </w:pPr>
      <w:r w:rsidRPr="001376EC">
        <w:rPr>
          <w:b/>
          <w:bCs/>
        </w:rPr>
        <w:t xml:space="preserve">TABLE </w:t>
      </w:r>
      <w:r w:rsidRPr="001376EC" w:rsidR="004868A0">
        <w:rPr>
          <w:b/>
          <w:bCs/>
        </w:rPr>
        <w:t>3</w:t>
      </w:r>
      <w:r w:rsidRPr="001376EC" w:rsidR="006549F5">
        <w:rPr>
          <w:b/>
          <w:bCs/>
        </w:rPr>
        <w:t>3</w:t>
      </w:r>
      <w:r w:rsidR="0078522E">
        <w:rPr>
          <w:b/>
          <w:bCs/>
        </w:rPr>
        <w:t xml:space="preserve">:  </w:t>
      </w:r>
      <w:r w:rsidRPr="00732012">
        <w:rPr>
          <w:b/>
          <w:bCs/>
        </w:rPr>
        <w:t>Estimate</w:t>
      </w:r>
      <w:r w:rsidR="0078522E">
        <w:rPr>
          <w:b/>
          <w:bCs/>
        </w:rPr>
        <w:t>d</w:t>
      </w:r>
      <w:r w:rsidRPr="00732012">
        <w:rPr>
          <w:b/>
          <w:bCs/>
        </w:rPr>
        <w:t xml:space="preserve"> </w:t>
      </w:r>
      <w:r w:rsidR="0078522E">
        <w:rPr>
          <w:b/>
          <w:bCs/>
        </w:rPr>
        <w:t xml:space="preserve">Burden </w:t>
      </w:r>
      <w:r w:rsidRPr="00C47150">
        <w:rPr>
          <w:b/>
          <w:bCs/>
        </w:rPr>
        <w:t xml:space="preserve">for </w:t>
      </w:r>
      <w:bookmarkStart w:name="_Hlk493192926" w:id="21"/>
      <w:r w:rsidRPr="00C47150">
        <w:rPr>
          <w:b/>
          <w:bCs/>
        </w:rPr>
        <w:t>Voluntary Participants to Elect Opt Out of Performance Data Display on Physician Compare</w:t>
      </w:r>
      <w:bookmarkEnd w:id="21"/>
    </w:p>
    <w:tbl>
      <w:tblPr>
        <w:tblW w:w="9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54"/>
        <w:gridCol w:w="1366"/>
      </w:tblGrid>
      <w:tr w:rsidRPr="00C47150" w:rsidR="0088351C" w:rsidTr="009B49E1" w14:paraId="627E38CB" w14:textId="77777777">
        <w:trPr>
          <w:trHeight w:val="315"/>
        </w:trPr>
        <w:tc>
          <w:tcPr>
            <w:tcW w:w="8354" w:type="dxa"/>
            <w:shd w:val="clear" w:color="auto" w:fill="auto"/>
            <w:vAlign w:val="center"/>
            <w:hideMark/>
          </w:tcPr>
          <w:p w:rsidRPr="0088351C" w:rsidR="0088351C" w:rsidP="00FC7A11" w:rsidRDefault="0088351C" w14:paraId="0CE0FC0F" w14:textId="39CBAE8F">
            <w:pPr>
              <w:keepNext/>
              <w:spacing w:after="0"/>
              <w:rPr>
                <w:b/>
                <w:sz w:val="20"/>
                <w:szCs w:val="20"/>
              </w:rPr>
            </w:pPr>
            <w:r w:rsidRPr="0047482B">
              <w:rPr>
                <w:sz w:val="20"/>
                <w:szCs w:val="20"/>
              </w:rPr>
              <w:t> </w:t>
            </w:r>
            <w:r w:rsidRPr="0088351C">
              <w:rPr>
                <w:b/>
                <w:sz w:val="20"/>
                <w:szCs w:val="20"/>
              </w:rPr>
              <w:t>Burden and Respondent Descriptions</w:t>
            </w:r>
          </w:p>
        </w:tc>
        <w:tc>
          <w:tcPr>
            <w:tcW w:w="1366" w:type="dxa"/>
            <w:shd w:val="clear" w:color="auto" w:fill="auto"/>
            <w:vAlign w:val="center"/>
            <w:hideMark/>
          </w:tcPr>
          <w:p w:rsidRPr="0047482B" w:rsidR="0088351C" w:rsidP="00FC7A11" w:rsidRDefault="0088351C" w14:paraId="2E3280A6" w14:textId="77777777">
            <w:pPr>
              <w:keepNext/>
              <w:spacing w:after="0"/>
              <w:jc w:val="center"/>
              <w:rPr>
                <w:b/>
                <w:sz w:val="20"/>
                <w:szCs w:val="20"/>
              </w:rPr>
            </w:pPr>
            <w:r w:rsidRPr="0047482B">
              <w:rPr>
                <w:b/>
                <w:sz w:val="20"/>
                <w:szCs w:val="20"/>
              </w:rPr>
              <w:t>Burden Estimate</w:t>
            </w:r>
          </w:p>
        </w:tc>
      </w:tr>
      <w:tr w:rsidRPr="00C47150" w:rsidR="007126F1" w:rsidTr="009B49E1" w14:paraId="4D32A2AC" w14:textId="77777777">
        <w:trPr>
          <w:trHeight w:val="188"/>
        </w:trPr>
        <w:tc>
          <w:tcPr>
            <w:tcW w:w="8354" w:type="dxa"/>
            <w:shd w:val="clear" w:color="auto" w:fill="auto"/>
            <w:hideMark/>
          </w:tcPr>
          <w:p w:rsidRPr="0047482B" w:rsidR="007126F1" w:rsidP="00FC7A11" w:rsidRDefault="007126F1" w14:paraId="1F55B172" w14:textId="77777777">
            <w:pPr>
              <w:keepNext/>
              <w:spacing w:after="0"/>
              <w:rPr>
                <w:sz w:val="20"/>
                <w:szCs w:val="20"/>
              </w:rPr>
            </w:pPr>
            <w:r w:rsidRPr="00732012">
              <w:rPr>
                <w:sz w:val="20"/>
                <w:szCs w:val="20"/>
              </w:rPr>
              <w:t># of Voluntary Participants Opting Out of Physician Compare (a)</w:t>
            </w:r>
          </w:p>
        </w:tc>
        <w:tc>
          <w:tcPr>
            <w:tcW w:w="1366" w:type="dxa"/>
            <w:shd w:val="clear" w:color="auto" w:fill="auto"/>
            <w:vAlign w:val="center"/>
            <w:hideMark/>
          </w:tcPr>
          <w:p w:rsidRPr="0047482B" w:rsidR="007126F1" w:rsidP="00FC7A11" w:rsidRDefault="00107DFD" w14:paraId="358512E5" w14:textId="3DB95E61">
            <w:pPr>
              <w:keepNext/>
              <w:spacing w:after="0"/>
              <w:rPr>
                <w:sz w:val="20"/>
                <w:szCs w:val="20"/>
              </w:rPr>
            </w:pPr>
            <w:r>
              <w:rPr>
                <w:sz w:val="20"/>
                <w:szCs w:val="20"/>
              </w:rPr>
              <w:t>3</w:t>
            </w:r>
            <w:r w:rsidR="00855E41">
              <w:rPr>
                <w:sz w:val="20"/>
                <w:szCs w:val="20"/>
              </w:rPr>
              <w:t>8</w:t>
            </w:r>
          </w:p>
        </w:tc>
      </w:tr>
      <w:tr w:rsidRPr="00C47150" w:rsidR="007126F1" w:rsidTr="009B49E1" w14:paraId="63284314" w14:textId="77777777">
        <w:trPr>
          <w:trHeight w:val="215"/>
        </w:trPr>
        <w:tc>
          <w:tcPr>
            <w:tcW w:w="8354" w:type="dxa"/>
            <w:shd w:val="clear" w:color="auto" w:fill="auto"/>
            <w:hideMark/>
          </w:tcPr>
          <w:p w:rsidRPr="0047482B" w:rsidR="007126F1" w:rsidP="00FC7A11" w:rsidRDefault="007126F1" w14:paraId="2A978544" w14:textId="77777777">
            <w:pPr>
              <w:keepNext/>
              <w:spacing w:after="0"/>
              <w:rPr>
                <w:sz w:val="20"/>
                <w:szCs w:val="20"/>
              </w:rPr>
            </w:pPr>
            <w:r w:rsidRPr="00732012">
              <w:rPr>
                <w:sz w:val="20"/>
                <w:szCs w:val="20"/>
              </w:rPr>
              <w:t>Total Annual Hours Per Opt-out Requester (b)</w:t>
            </w:r>
          </w:p>
        </w:tc>
        <w:tc>
          <w:tcPr>
            <w:tcW w:w="1366" w:type="dxa"/>
            <w:shd w:val="clear" w:color="auto" w:fill="auto"/>
            <w:vAlign w:val="center"/>
            <w:hideMark/>
          </w:tcPr>
          <w:p w:rsidRPr="0047482B" w:rsidR="007126F1" w:rsidP="00FC7A11" w:rsidRDefault="007126F1" w14:paraId="11E040F2" w14:textId="69C22518">
            <w:pPr>
              <w:keepNext/>
              <w:spacing w:after="0"/>
              <w:rPr>
                <w:sz w:val="20"/>
                <w:szCs w:val="20"/>
              </w:rPr>
            </w:pPr>
            <w:r w:rsidRPr="00906435">
              <w:rPr>
                <w:rFonts w:eastAsia="Calibri"/>
                <w:sz w:val="20"/>
                <w:szCs w:val="20"/>
              </w:rPr>
              <w:t>0.25</w:t>
            </w:r>
          </w:p>
        </w:tc>
      </w:tr>
      <w:tr w:rsidRPr="00C47150" w:rsidR="007126F1" w:rsidTr="009B49E1" w14:paraId="0B295030" w14:textId="77777777">
        <w:trPr>
          <w:trHeight w:val="260"/>
        </w:trPr>
        <w:tc>
          <w:tcPr>
            <w:tcW w:w="8354" w:type="dxa"/>
            <w:shd w:val="clear" w:color="auto" w:fill="D9D9D9" w:themeFill="background1" w:themeFillShade="D9"/>
            <w:hideMark/>
          </w:tcPr>
          <w:p w:rsidRPr="00485667" w:rsidR="007126F1" w:rsidP="00FC7A11" w:rsidRDefault="007126F1" w14:paraId="1AA234D4" w14:textId="772F2636">
            <w:pPr>
              <w:keepNext/>
              <w:spacing w:after="0"/>
              <w:rPr>
                <w:b/>
                <w:sz w:val="20"/>
                <w:szCs w:val="20"/>
              </w:rPr>
            </w:pPr>
            <w:r w:rsidRPr="00485667">
              <w:rPr>
                <w:b/>
                <w:sz w:val="20"/>
                <w:szCs w:val="20"/>
              </w:rPr>
              <w:t>Total Annual Hours (c) = (a)*(b)</w:t>
            </w:r>
          </w:p>
        </w:tc>
        <w:tc>
          <w:tcPr>
            <w:tcW w:w="1366" w:type="dxa"/>
            <w:shd w:val="clear" w:color="auto" w:fill="D9D9D9" w:themeFill="background1" w:themeFillShade="D9"/>
            <w:vAlign w:val="center"/>
            <w:hideMark/>
          </w:tcPr>
          <w:p w:rsidRPr="00485667" w:rsidR="007126F1" w:rsidP="00FC7A11" w:rsidRDefault="00EB600B" w14:paraId="5BD16555" w14:textId="2F1B2963">
            <w:pPr>
              <w:keepNext/>
              <w:spacing w:after="0"/>
              <w:rPr>
                <w:b/>
                <w:sz w:val="20"/>
                <w:szCs w:val="20"/>
              </w:rPr>
            </w:pPr>
            <w:r>
              <w:rPr>
                <w:b/>
                <w:sz w:val="20"/>
                <w:szCs w:val="20"/>
              </w:rPr>
              <w:t>10</w:t>
            </w:r>
          </w:p>
        </w:tc>
      </w:tr>
      <w:tr w:rsidRPr="00C47150" w:rsidR="007126F1" w:rsidTr="009B49E1" w14:paraId="7F5AC91A" w14:textId="77777777">
        <w:trPr>
          <w:trHeight w:val="269"/>
        </w:trPr>
        <w:tc>
          <w:tcPr>
            <w:tcW w:w="8354" w:type="dxa"/>
            <w:shd w:val="clear" w:color="auto" w:fill="auto"/>
            <w:hideMark/>
          </w:tcPr>
          <w:p w:rsidRPr="0047482B" w:rsidR="007126F1" w:rsidP="00FC7A11" w:rsidRDefault="007126F1" w14:paraId="4AF600E7" w14:textId="77777777">
            <w:pPr>
              <w:keepNext/>
              <w:spacing w:after="0"/>
              <w:rPr>
                <w:sz w:val="20"/>
                <w:szCs w:val="20"/>
              </w:rPr>
            </w:pPr>
            <w:r w:rsidRPr="00732012">
              <w:rPr>
                <w:sz w:val="20"/>
                <w:szCs w:val="20"/>
              </w:rPr>
              <w:t>Labor rate for a computer systems analyst (d)</w:t>
            </w:r>
          </w:p>
        </w:tc>
        <w:tc>
          <w:tcPr>
            <w:tcW w:w="1366" w:type="dxa"/>
            <w:shd w:val="clear" w:color="auto" w:fill="auto"/>
            <w:vAlign w:val="center"/>
            <w:hideMark/>
          </w:tcPr>
          <w:p w:rsidRPr="0047482B" w:rsidR="007126F1" w:rsidP="00FC7A11" w:rsidRDefault="007126F1" w14:paraId="5A8D71FC" w14:textId="7613280A">
            <w:pPr>
              <w:keepNext/>
              <w:spacing w:after="0"/>
              <w:rPr>
                <w:sz w:val="20"/>
                <w:szCs w:val="20"/>
              </w:rPr>
            </w:pPr>
            <w:r w:rsidRPr="00906435">
              <w:rPr>
                <w:rFonts w:eastAsia="Calibri"/>
                <w:sz w:val="20"/>
                <w:szCs w:val="20"/>
              </w:rPr>
              <w:t>$</w:t>
            </w:r>
            <w:r w:rsidR="00D74A09">
              <w:rPr>
                <w:rFonts w:eastAsia="Calibri"/>
                <w:sz w:val="20"/>
                <w:szCs w:val="20"/>
              </w:rPr>
              <w:t>9</w:t>
            </w:r>
            <w:r w:rsidR="00D21D79">
              <w:rPr>
                <w:rFonts w:eastAsia="Calibri"/>
                <w:sz w:val="20"/>
                <w:szCs w:val="20"/>
              </w:rPr>
              <w:t>5.22</w:t>
            </w:r>
            <w:r w:rsidRPr="00906435">
              <w:rPr>
                <w:rFonts w:eastAsia="Calibri"/>
                <w:sz w:val="20"/>
                <w:szCs w:val="20"/>
              </w:rPr>
              <w:t>/hr</w:t>
            </w:r>
          </w:p>
        </w:tc>
      </w:tr>
      <w:tr w:rsidRPr="00C47150" w:rsidR="007126F1" w:rsidTr="009B49E1" w14:paraId="03E15AAC" w14:textId="77777777">
        <w:trPr>
          <w:trHeight w:val="242"/>
        </w:trPr>
        <w:tc>
          <w:tcPr>
            <w:tcW w:w="8354" w:type="dxa"/>
            <w:shd w:val="clear" w:color="auto" w:fill="D9D9D9" w:themeFill="background1" w:themeFillShade="D9"/>
            <w:hideMark/>
          </w:tcPr>
          <w:p w:rsidRPr="00485667" w:rsidR="007126F1" w:rsidP="00FC7A11" w:rsidRDefault="007126F1" w14:paraId="58E1F49D" w14:textId="683A3633">
            <w:pPr>
              <w:keepNext/>
              <w:spacing w:after="0"/>
              <w:rPr>
                <w:b/>
                <w:sz w:val="20"/>
                <w:szCs w:val="20"/>
              </w:rPr>
            </w:pPr>
            <w:r w:rsidRPr="00485667">
              <w:rPr>
                <w:b/>
                <w:sz w:val="20"/>
                <w:szCs w:val="20"/>
              </w:rPr>
              <w:t>Total Annual Cost (e) = (</w:t>
            </w:r>
            <w:r w:rsidR="00302399">
              <w:rPr>
                <w:b/>
                <w:sz w:val="20"/>
                <w:szCs w:val="20"/>
              </w:rPr>
              <w:t>c</w:t>
            </w:r>
            <w:r w:rsidRPr="00485667">
              <w:rPr>
                <w:b/>
                <w:sz w:val="20"/>
                <w:szCs w:val="20"/>
              </w:rPr>
              <w:t>)*(d)</w:t>
            </w:r>
          </w:p>
        </w:tc>
        <w:tc>
          <w:tcPr>
            <w:tcW w:w="1366" w:type="dxa"/>
            <w:shd w:val="clear" w:color="auto" w:fill="D9D9D9" w:themeFill="background1" w:themeFillShade="D9"/>
            <w:vAlign w:val="center"/>
            <w:hideMark/>
          </w:tcPr>
          <w:p w:rsidRPr="00485667" w:rsidR="007126F1" w:rsidP="00FC7A11" w:rsidRDefault="007126F1" w14:paraId="6F7202C6" w14:textId="4E43DCB5">
            <w:pPr>
              <w:keepNext/>
              <w:spacing w:after="0"/>
              <w:rPr>
                <w:b/>
                <w:sz w:val="20"/>
                <w:szCs w:val="20"/>
              </w:rPr>
            </w:pPr>
            <w:r w:rsidRPr="00485667">
              <w:rPr>
                <w:rFonts w:eastAsia="Calibri"/>
                <w:b/>
                <w:sz w:val="20"/>
                <w:szCs w:val="20"/>
              </w:rPr>
              <w:t>$</w:t>
            </w:r>
            <w:r w:rsidR="00C841B5">
              <w:rPr>
                <w:rFonts w:eastAsia="Calibri"/>
                <w:b/>
                <w:sz w:val="20"/>
                <w:szCs w:val="20"/>
              </w:rPr>
              <w:t>9</w:t>
            </w:r>
            <w:r w:rsidR="001F5476">
              <w:rPr>
                <w:rFonts w:eastAsia="Calibri"/>
                <w:b/>
                <w:sz w:val="20"/>
                <w:szCs w:val="20"/>
              </w:rPr>
              <w:t>52</w:t>
            </w:r>
          </w:p>
        </w:tc>
      </w:tr>
    </w:tbl>
    <w:p w:rsidRPr="002A24B4" w:rsidR="002A24B4" w:rsidP="008101FB" w:rsidRDefault="002A24B4" w14:paraId="7C14C6E1" w14:textId="1C9AF7FF">
      <w:pPr>
        <w:pStyle w:val="Heading3"/>
      </w:pPr>
      <w:r>
        <w:t>Burden Estimate Summary</w:t>
      </w:r>
    </w:p>
    <w:p w:rsidRPr="00D74F5F" w:rsidR="0035592A" w:rsidP="0035592A" w:rsidRDefault="0035592A" w14:paraId="53E997D8" w14:textId="2652F0E9">
      <w:pPr>
        <w:rPr>
          <w:rFonts w:eastAsiaTheme="majorEastAsia" w:cstheme="majorBidi"/>
          <w:snapToGrid w:val="0"/>
          <w:szCs w:val="26"/>
        </w:rPr>
      </w:pPr>
      <w:r w:rsidRPr="00D74F5F">
        <w:rPr>
          <w:rFonts w:eastAsiaTheme="majorEastAsia" w:cstheme="majorBidi"/>
          <w:snapToGrid w:val="0"/>
          <w:szCs w:val="26"/>
        </w:rPr>
        <w:t>Table</w:t>
      </w:r>
      <w:r w:rsidRPr="00D74F5F" w:rsidR="00D74F5F">
        <w:rPr>
          <w:rFonts w:eastAsiaTheme="majorEastAsia" w:cstheme="majorBidi"/>
          <w:snapToGrid w:val="0"/>
          <w:szCs w:val="26"/>
        </w:rPr>
        <w:t>s</w:t>
      </w:r>
      <w:r w:rsidRPr="00D74F5F">
        <w:rPr>
          <w:rFonts w:eastAsiaTheme="majorEastAsia" w:cstheme="majorBidi"/>
          <w:snapToGrid w:val="0"/>
          <w:szCs w:val="26"/>
        </w:rPr>
        <w:t xml:space="preserve"> </w:t>
      </w:r>
      <w:r w:rsidR="004868A0">
        <w:rPr>
          <w:rFonts w:eastAsiaTheme="majorEastAsia" w:cstheme="majorBidi"/>
          <w:snapToGrid w:val="0"/>
          <w:szCs w:val="26"/>
        </w:rPr>
        <w:t>3</w:t>
      </w:r>
      <w:r w:rsidR="006549F5">
        <w:rPr>
          <w:rFonts w:eastAsiaTheme="majorEastAsia" w:cstheme="majorBidi"/>
          <w:snapToGrid w:val="0"/>
          <w:szCs w:val="26"/>
        </w:rPr>
        <w:t>4</w:t>
      </w:r>
      <w:r w:rsidRPr="00D74F5F">
        <w:rPr>
          <w:rFonts w:eastAsiaTheme="majorEastAsia" w:cstheme="majorBidi"/>
          <w:snapToGrid w:val="0"/>
          <w:szCs w:val="26"/>
        </w:rPr>
        <w:t xml:space="preserve"> </w:t>
      </w:r>
      <w:r w:rsidRPr="00D74F5F" w:rsidR="000F0FE3">
        <w:rPr>
          <w:rFonts w:eastAsiaTheme="majorEastAsia" w:cstheme="majorBidi"/>
          <w:snapToGrid w:val="0"/>
          <w:szCs w:val="26"/>
        </w:rPr>
        <w:t xml:space="preserve">and </w:t>
      </w:r>
      <w:r w:rsidR="004868A0">
        <w:rPr>
          <w:rFonts w:eastAsiaTheme="majorEastAsia" w:cstheme="majorBidi"/>
          <w:snapToGrid w:val="0"/>
          <w:szCs w:val="26"/>
        </w:rPr>
        <w:t>3</w:t>
      </w:r>
      <w:r w:rsidR="006549F5">
        <w:rPr>
          <w:rFonts w:eastAsiaTheme="majorEastAsia" w:cstheme="majorBidi"/>
          <w:snapToGrid w:val="0"/>
          <w:szCs w:val="26"/>
        </w:rPr>
        <w:t>5</w:t>
      </w:r>
      <w:r w:rsidRPr="00D74F5F" w:rsidR="000F0FE3">
        <w:rPr>
          <w:rFonts w:eastAsiaTheme="majorEastAsia" w:cstheme="majorBidi"/>
          <w:snapToGrid w:val="0"/>
          <w:szCs w:val="26"/>
        </w:rPr>
        <w:t xml:space="preserve"> </w:t>
      </w:r>
      <w:r w:rsidRPr="00D74F5F">
        <w:rPr>
          <w:rFonts w:eastAsiaTheme="majorEastAsia" w:cstheme="majorBidi"/>
          <w:snapToGrid w:val="0"/>
          <w:szCs w:val="26"/>
        </w:rPr>
        <w:t>below provide summar</w:t>
      </w:r>
      <w:r w:rsidRPr="00D74F5F" w:rsidR="000F0FE3">
        <w:rPr>
          <w:rFonts w:eastAsiaTheme="majorEastAsia" w:cstheme="majorBidi"/>
          <w:snapToGrid w:val="0"/>
          <w:szCs w:val="26"/>
        </w:rPr>
        <w:t>ies</w:t>
      </w:r>
      <w:r w:rsidRPr="00D74F5F">
        <w:rPr>
          <w:rFonts w:eastAsiaTheme="majorEastAsia" w:cstheme="majorBidi"/>
          <w:snapToGrid w:val="0"/>
          <w:szCs w:val="26"/>
        </w:rPr>
        <w:t xml:space="preserve"> of all burden estimates for each of the information collections included in this PRA for both the </w:t>
      </w:r>
      <w:r w:rsidR="004868A0">
        <w:rPr>
          <w:rFonts w:eastAsiaTheme="majorEastAsia" w:cstheme="majorBidi"/>
          <w:snapToGrid w:val="0"/>
          <w:szCs w:val="26"/>
        </w:rPr>
        <w:t xml:space="preserve">CY </w:t>
      </w:r>
      <w:r w:rsidRPr="00D74F5F">
        <w:rPr>
          <w:rFonts w:eastAsiaTheme="majorEastAsia" w:cstheme="majorBidi"/>
          <w:snapToGrid w:val="0"/>
          <w:szCs w:val="26"/>
        </w:rPr>
        <w:t>202</w:t>
      </w:r>
      <w:r w:rsidR="004B7D49">
        <w:rPr>
          <w:rFonts w:eastAsiaTheme="majorEastAsia" w:cstheme="majorBidi"/>
          <w:snapToGrid w:val="0"/>
          <w:szCs w:val="26"/>
        </w:rPr>
        <w:t>2</w:t>
      </w:r>
      <w:r w:rsidRPr="00D74F5F">
        <w:rPr>
          <w:rFonts w:eastAsiaTheme="majorEastAsia" w:cstheme="majorBidi"/>
          <w:snapToGrid w:val="0"/>
          <w:szCs w:val="26"/>
        </w:rPr>
        <w:t xml:space="preserve"> and 202</w:t>
      </w:r>
      <w:r w:rsidR="004B7D49">
        <w:rPr>
          <w:rFonts w:eastAsiaTheme="majorEastAsia" w:cstheme="majorBidi"/>
          <w:snapToGrid w:val="0"/>
          <w:szCs w:val="26"/>
        </w:rPr>
        <w:t>3</w:t>
      </w:r>
      <w:r w:rsidRPr="00D74F5F">
        <w:rPr>
          <w:rFonts w:eastAsiaTheme="majorEastAsia" w:cstheme="majorBidi"/>
          <w:snapToGrid w:val="0"/>
          <w:szCs w:val="26"/>
        </w:rPr>
        <w:t xml:space="preserve"> MIPS performance periods</w:t>
      </w:r>
      <w:r w:rsidR="004B7D49">
        <w:rPr>
          <w:rFonts w:eastAsiaTheme="majorEastAsia" w:cstheme="majorBidi"/>
          <w:snapToGrid w:val="0"/>
          <w:szCs w:val="26"/>
        </w:rPr>
        <w:t>/2024 and 2025 MIPS payment years</w:t>
      </w:r>
      <w:r w:rsidRPr="00D74F5F">
        <w:rPr>
          <w:rFonts w:eastAsiaTheme="majorEastAsia" w:cstheme="majorBidi"/>
          <w:snapToGrid w:val="0"/>
          <w:szCs w:val="26"/>
        </w:rPr>
        <w:t>.</w:t>
      </w:r>
    </w:p>
    <w:p w:rsidRPr="00D74F5F" w:rsidR="00117B2D" w:rsidP="00FC7A11" w:rsidRDefault="00117B2D" w14:paraId="60AA83D2" w14:textId="35594D53">
      <w:pPr>
        <w:keepNext/>
        <w:spacing w:after="0"/>
        <w:jc w:val="center"/>
        <w:rPr>
          <w:b/>
          <w:bCs/>
        </w:rPr>
      </w:pPr>
      <w:r w:rsidRPr="00D74F5F">
        <w:rPr>
          <w:b/>
          <w:bCs/>
        </w:rPr>
        <w:lastRenderedPageBreak/>
        <w:t xml:space="preserve">TABLE </w:t>
      </w:r>
      <w:r w:rsidR="004868A0">
        <w:rPr>
          <w:b/>
          <w:bCs/>
        </w:rPr>
        <w:t>3</w:t>
      </w:r>
      <w:r w:rsidR="006549F5">
        <w:rPr>
          <w:b/>
          <w:bCs/>
        </w:rPr>
        <w:t>4</w:t>
      </w:r>
      <w:r w:rsidRPr="00D74F5F">
        <w:rPr>
          <w:b/>
          <w:bCs/>
        </w:rPr>
        <w:t xml:space="preserve">: </w:t>
      </w:r>
      <w:bookmarkStart w:name="OLE_LINK1" w:id="22"/>
      <w:r w:rsidR="004B7D49">
        <w:rPr>
          <w:b/>
          <w:bCs/>
        </w:rPr>
        <w:t xml:space="preserve">CY </w:t>
      </w:r>
      <w:r w:rsidRPr="00D74F5F" w:rsidR="00DB5A0C">
        <w:rPr>
          <w:b/>
          <w:bCs/>
        </w:rPr>
        <w:t>202</w:t>
      </w:r>
      <w:r w:rsidR="004B7D49">
        <w:rPr>
          <w:b/>
          <w:bCs/>
        </w:rPr>
        <w:t>2</w:t>
      </w:r>
      <w:bookmarkEnd w:id="22"/>
      <w:r w:rsidRPr="00D74F5F" w:rsidR="0035592A">
        <w:rPr>
          <w:b/>
          <w:bCs/>
        </w:rPr>
        <w:t xml:space="preserve"> </w:t>
      </w:r>
      <w:r w:rsidRPr="00D74F5F" w:rsidR="00DB5A0C">
        <w:rPr>
          <w:b/>
          <w:bCs/>
        </w:rPr>
        <w:t xml:space="preserve">MIPS Performance Period </w:t>
      </w:r>
      <w:r w:rsidRPr="00D74F5F">
        <w:rPr>
          <w:b/>
          <w:bCs/>
        </w:rPr>
        <w:t>Burden Summary</w:t>
      </w:r>
    </w:p>
    <w:tbl>
      <w:tblPr>
        <w:tblW w:w="10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335"/>
        <w:gridCol w:w="720"/>
        <w:gridCol w:w="1350"/>
        <w:gridCol w:w="1170"/>
        <w:gridCol w:w="1122"/>
        <w:gridCol w:w="1345"/>
        <w:gridCol w:w="1061"/>
        <w:gridCol w:w="1426"/>
      </w:tblGrid>
      <w:tr w:rsidRPr="00E94232" w:rsidR="00A470BC" w:rsidTr="00CE1F63" w14:paraId="050B8D0D" w14:textId="77777777">
        <w:trPr>
          <w:cantSplit/>
          <w:tblHeader/>
          <w:jc w:val="center"/>
        </w:trPr>
        <w:tc>
          <w:tcPr>
            <w:tcW w:w="2335" w:type="dxa"/>
            <w:shd w:val="clear" w:color="auto" w:fill="auto"/>
          </w:tcPr>
          <w:p w:rsidRPr="00E94232" w:rsidR="00A470BC" w:rsidP="00BB7053" w:rsidRDefault="00A470BC" w14:paraId="1DBC758D"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E94232">
              <w:rPr>
                <w:b/>
                <w:bCs/>
                <w:color w:val="000000"/>
                <w:sz w:val="20"/>
                <w:szCs w:val="20"/>
              </w:rPr>
              <w:t>Regulation Section(s) Under Title 42 of the CFR</w:t>
            </w:r>
          </w:p>
        </w:tc>
        <w:tc>
          <w:tcPr>
            <w:tcW w:w="720" w:type="dxa"/>
            <w:shd w:val="clear" w:color="auto" w:fill="auto"/>
          </w:tcPr>
          <w:p w:rsidRPr="00E94232" w:rsidR="00A470BC" w:rsidP="00BB7053" w:rsidRDefault="00A470BC" w14:paraId="0F297550" w14:textId="3407F17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E94232">
              <w:rPr>
                <w:b/>
                <w:bCs/>
                <w:color w:val="000000"/>
                <w:sz w:val="20"/>
                <w:szCs w:val="20"/>
              </w:rPr>
              <w:t>Table No.</w:t>
            </w:r>
          </w:p>
        </w:tc>
        <w:tc>
          <w:tcPr>
            <w:tcW w:w="1350" w:type="dxa"/>
            <w:shd w:val="clear" w:color="auto" w:fill="auto"/>
          </w:tcPr>
          <w:p w:rsidRPr="00E94232" w:rsidR="00A470BC" w:rsidP="00BE2410" w:rsidRDefault="00A470BC" w14:paraId="33AEF024" w14:textId="78D263E5">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E94232">
              <w:rPr>
                <w:b/>
                <w:bCs/>
                <w:color w:val="000000"/>
                <w:sz w:val="20"/>
                <w:szCs w:val="20"/>
              </w:rPr>
              <w:t>No. Respondents</w:t>
            </w:r>
          </w:p>
        </w:tc>
        <w:tc>
          <w:tcPr>
            <w:tcW w:w="1170" w:type="dxa"/>
            <w:shd w:val="clear" w:color="auto" w:fill="auto"/>
          </w:tcPr>
          <w:p w:rsidRPr="00E94232" w:rsidR="00A470BC" w:rsidP="00BB7053" w:rsidRDefault="00A470BC" w14:paraId="61F653C0" w14:textId="00168BA4">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E94232">
              <w:rPr>
                <w:b/>
                <w:bCs/>
                <w:color w:val="000000"/>
                <w:sz w:val="20"/>
                <w:szCs w:val="20"/>
              </w:rPr>
              <w:t>Responses</w:t>
            </w:r>
          </w:p>
        </w:tc>
        <w:tc>
          <w:tcPr>
            <w:tcW w:w="1122" w:type="dxa"/>
            <w:shd w:val="clear" w:color="auto" w:fill="auto"/>
          </w:tcPr>
          <w:p w:rsidRPr="00E94232" w:rsidR="00A470BC" w:rsidP="00BB7053" w:rsidRDefault="00A470BC" w14:paraId="41F7C910" w14:textId="0EDA70FE">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E94232">
              <w:rPr>
                <w:b/>
                <w:bCs/>
                <w:color w:val="000000"/>
                <w:sz w:val="20"/>
                <w:szCs w:val="20"/>
              </w:rPr>
              <w:t>Time per Response (hours)</w:t>
            </w:r>
          </w:p>
        </w:tc>
        <w:tc>
          <w:tcPr>
            <w:tcW w:w="1345" w:type="dxa"/>
            <w:shd w:val="clear" w:color="auto" w:fill="auto"/>
          </w:tcPr>
          <w:p w:rsidRPr="00E94232" w:rsidR="00A470BC" w:rsidP="00BB7053" w:rsidRDefault="00A470BC" w14:paraId="59E93C42" w14:textId="6D2D6CB4">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E94232">
              <w:rPr>
                <w:b/>
                <w:bCs/>
                <w:color w:val="000000"/>
                <w:sz w:val="20"/>
                <w:szCs w:val="20"/>
              </w:rPr>
              <w:t>Total Annual Time (hours)</w:t>
            </w:r>
          </w:p>
        </w:tc>
        <w:tc>
          <w:tcPr>
            <w:tcW w:w="1061" w:type="dxa"/>
            <w:shd w:val="clear" w:color="auto" w:fill="auto"/>
          </w:tcPr>
          <w:p w:rsidRPr="00E94232" w:rsidR="00A470BC" w:rsidP="00BB7053" w:rsidRDefault="00A470BC" w14:paraId="63B99AD3" w14:textId="77777777">
            <w:pPr>
              <w:keepNext/>
              <w:keepLines/>
              <w:spacing w:after="0"/>
              <w:jc w:val="center"/>
              <w:rPr>
                <w:b/>
                <w:bCs/>
                <w:color w:val="000000"/>
                <w:sz w:val="20"/>
                <w:szCs w:val="20"/>
              </w:rPr>
            </w:pPr>
            <w:r w:rsidRPr="00E94232">
              <w:rPr>
                <w:b/>
                <w:bCs/>
                <w:color w:val="000000"/>
                <w:sz w:val="20"/>
                <w:szCs w:val="20"/>
              </w:rPr>
              <w:t>Labor</w:t>
            </w:r>
          </w:p>
          <w:p w:rsidRPr="00E94232" w:rsidR="00A470BC" w:rsidP="00BB7053" w:rsidRDefault="00A470BC" w14:paraId="4D9FF427" w14:textId="2BD704D9">
            <w:pPr>
              <w:keepNext/>
              <w:keepLines/>
              <w:spacing w:after="0"/>
              <w:jc w:val="center"/>
              <w:rPr>
                <w:b/>
                <w:bCs/>
                <w:color w:val="000000"/>
                <w:sz w:val="20"/>
                <w:szCs w:val="20"/>
              </w:rPr>
            </w:pPr>
            <w:r w:rsidRPr="00E94232">
              <w:rPr>
                <w:b/>
                <w:bCs/>
                <w:color w:val="000000"/>
                <w:sz w:val="20"/>
                <w:szCs w:val="20"/>
              </w:rPr>
              <w:t>Cost</w:t>
            </w:r>
          </w:p>
          <w:p w:rsidRPr="00E94232" w:rsidR="00A470BC" w:rsidP="00BB7053" w:rsidRDefault="00A470BC" w14:paraId="0C6652B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E94232">
              <w:rPr>
                <w:b/>
                <w:bCs/>
                <w:color w:val="000000"/>
                <w:sz w:val="20"/>
                <w:szCs w:val="20"/>
              </w:rPr>
              <w:t>($/hr)</w:t>
            </w:r>
          </w:p>
        </w:tc>
        <w:tc>
          <w:tcPr>
            <w:tcW w:w="1426" w:type="dxa"/>
            <w:shd w:val="clear" w:color="auto" w:fill="auto"/>
          </w:tcPr>
          <w:p w:rsidRPr="00E94232" w:rsidR="00A470BC" w:rsidP="00BB7053" w:rsidRDefault="00A470BC" w14:paraId="4C7FE21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E94232">
              <w:rPr>
                <w:b/>
                <w:sz w:val="20"/>
                <w:szCs w:val="20"/>
              </w:rPr>
              <w:t>Total Cost</w:t>
            </w:r>
          </w:p>
          <w:p w:rsidRPr="00E94232" w:rsidR="00A470BC" w:rsidP="00BB7053" w:rsidRDefault="00A470BC" w14:paraId="61115B41" w14:textId="6D087CBD">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E94232">
              <w:rPr>
                <w:b/>
                <w:sz w:val="20"/>
                <w:szCs w:val="20"/>
              </w:rPr>
              <w:t>($)*</w:t>
            </w:r>
          </w:p>
        </w:tc>
      </w:tr>
      <w:tr w:rsidRPr="00E94232" w:rsidR="00A470BC" w:rsidTr="00CE1F63" w14:paraId="14134D47" w14:textId="77777777">
        <w:trPr>
          <w:cantSplit/>
          <w:jc w:val="center"/>
        </w:trPr>
        <w:tc>
          <w:tcPr>
            <w:tcW w:w="2335" w:type="dxa"/>
            <w:shd w:val="clear" w:color="auto" w:fill="auto"/>
          </w:tcPr>
          <w:p w:rsidRPr="00E94232" w:rsidR="00A470BC" w:rsidP="000A6E3E" w:rsidRDefault="00A470BC" w14:paraId="272EE78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t>§414.1400 (Registry self- nomination)</w:t>
            </w:r>
          </w:p>
        </w:tc>
        <w:tc>
          <w:tcPr>
            <w:tcW w:w="720" w:type="dxa"/>
            <w:shd w:val="clear" w:color="auto" w:fill="auto"/>
          </w:tcPr>
          <w:p w:rsidRPr="00E94232" w:rsidR="00A470BC" w:rsidP="000A6E3E" w:rsidRDefault="00A470BC" w14:paraId="69FC5A41" w14:textId="178A88F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3</w:t>
            </w:r>
          </w:p>
        </w:tc>
        <w:tc>
          <w:tcPr>
            <w:tcW w:w="1350" w:type="dxa"/>
            <w:shd w:val="clear" w:color="auto" w:fill="auto"/>
          </w:tcPr>
          <w:p w:rsidRPr="00E94232" w:rsidR="00A470BC" w:rsidP="000A6E3E" w:rsidRDefault="00BA08B6" w14:paraId="6EC8FEFC" w14:textId="4C9B2EC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w:t>
            </w:r>
            <w:r w:rsidRPr="00E94232" w:rsidR="00E60A36">
              <w:rPr>
                <w:sz w:val="20"/>
                <w:szCs w:val="20"/>
              </w:rPr>
              <w:t>10</w:t>
            </w:r>
          </w:p>
        </w:tc>
        <w:tc>
          <w:tcPr>
            <w:tcW w:w="1170" w:type="dxa"/>
            <w:shd w:val="clear" w:color="auto" w:fill="auto"/>
          </w:tcPr>
          <w:p w:rsidRPr="00E94232" w:rsidR="00A470BC" w:rsidP="00764941" w:rsidRDefault="00EA46DE" w14:paraId="4D748AD8" w14:textId="785EE2E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210</w:t>
            </w:r>
          </w:p>
        </w:tc>
        <w:tc>
          <w:tcPr>
            <w:tcW w:w="1122" w:type="dxa"/>
            <w:shd w:val="clear" w:color="auto" w:fill="auto"/>
          </w:tcPr>
          <w:p w:rsidRPr="00E94232" w:rsidR="00A470BC" w:rsidP="000A6E3E" w:rsidRDefault="0056197B" w14:paraId="0AFF5CC9" w14:textId="6B34C5B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w:t>
            </w:r>
          </w:p>
        </w:tc>
        <w:tc>
          <w:tcPr>
            <w:tcW w:w="1345" w:type="dxa"/>
            <w:shd w:val="clear" w:color="auto" w:fill="auto"/>
          </w:tcPr>
          <w:p w:rsidRPr="00E94232" w:rsidR="00A470BC" w:rsidP="00E71286" w:rsidRDefault="00E72B62" w14:paraId="0197361C" w14:textId="6291BDB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1,13</w:t>
            </w:r>
            <w:r w:rsidRPr="00E94232" w:rsidR="00D45700">
              <w:rPr>
                <w:sz w:val="20"/>
                <w:szCs w:val="20"/>
              </w:rPr>
              <w:t>7</w:t>
            </w:r>
            <w:r w:rsidRPr="00E94232" w:rsidR="00201F7B">
              <w:rPr>
                <w:sz w:val="20"/>
                <w:szCs w:val="20"/>
              </w:rPr>
              <w:t>*</w:t>
            </w:r>
            <w:r w:rsidRPr="00E94232" w:rsidR="00F243C0">
              <w:rPr>
                <w:sz w:val="20"/>
                <w:szCs w:val="20"/>
              </w:rPr>
              <w:t>*</w:t>
            </w:r>
          </w:p>
        </w:tc>
        <w:tc>
          <w:tcPr>
            <w:tcW w:w="1061" w:type="dxa"/>
            <w:shd w:val="clear" w:color="auto" w:fill="auto"/>
          </w:tcPr>
          <w:p w:rsidRPr="00E94232" w:rsidR="00A470BC" w:rsidP="000A6E3E" w:rsidRDefault="00A470BC" w14:paraId="21036E4C" w14:textId="0C2722C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w:t>
            </w:r>
            <w:r w:rsidRPr="00E94232" w:rsidR="004A0B45">
              <w:rPr>
                <w:sz w:val="20"/>
                <w:szCs w:val="20"/>
              </w:rPr>
              <w:t>5.22</w:t>
            </w:r>
          </w:p>
        </w:tc>
        <w:tc>
          <w:tcPr>
            <w:tcW w:w="1426" w:type="dxa"/>
            <w:shd w:val="clear" w:color="auto" w:fill="auto"/>
          </w:tcPr>
          <w:p w:rsidRPr="00E94232" w:rsidR="00EC475F" w:rsidP="00BB77C6" w:rsidRDefault="00E72B62" w14:paraId="1BAB0DD7" w14:textId="4140967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10</w:t>
            </w:r>
            <w:r w:rsidRPr="00E94232" w:rsidR="005D6256">
              <w:rPr>
                <w:sz w:val="20"/>
                <w:szCs w:val="20"/>
              </w:rPr>
              <w:t>8,266</w:t>
            </w:r>
          </w:p>
        </w:tc>
      </w:tr>
      <w:tr w:rsidRPr="00E94232" w:rsidR="00A470BC" w:rsidTr="00CE1F63" w14:paraId="0D0A4FC9" w14:textId="77777777">
        <w:trPr>
          <w:cantSplit/>
          <w:trHeight w:val="557"/>
          <w:jc w:val="center"/>
        </w:trPr>
        <w:tc>
          <w:tcPr>
            <w:tcW w:w="2335" w:type="dxa"/>
            <w:shd w:val="clear" w:color="auto" w:fill="auto"/>
          </w:tcPr>
          <w:p w:rsidRPr="00E94232" w:rsidR="00A470BC" w:rsidP="000A6E3E" w:rsidRDefault="00A470BC" w14:paraId="4388587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t>§414.1400 (QCDR self-nomination)</w:t>
            </w:r>
          </w:p>
        </w:tc>
        <w:tc>
          <w:tcPr>
            <w:tcW w:w="720" w:type="dxa"/>
            <w:shd w:val="clear" w:color="auto" w:fill="auto"/>
          </w:tcPr>
          <w:p w:rsidRPr="00E94232" w:rsidR="00A470BC" w:rsidP="000A6E3E" w:rsidRDefault="00A470BC" w14:paraId="793D6E34" w14:textId="0D81F36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4</w:t>
            </w:r>
          </w:p>
        </w:tc>
        <w:tc>
          <w:tcPr>
            <w:tcW w:w="1350" w:type="dxa"/>
            <w:shd w:val="clear" w:color="auto" w:fill="auto"/>
          </w:tcPr>
          <w:p w:rsidRPr="00E94232" w:rsidR="00A470BC" w:rsidP="000A6E3E" w:rsidRDefault="004E07BF" w14:paraId="64219C41" w14:textId="0A27C4C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90</w:t>
            </w:r>
          </w:p>
        </w:tc>
        <w:tc>
          <w:tcPr>
            <w:tcW w:w="1170" w:type="dxa"/>
            <w:shd w:val="clear" w:color="auto" w:fill="auto"/>
          </w:tcPr>
          <w:p w:rsidRPr="00E94232" w:rsidR="00A470BC" w:rsidP="000A6E3E" w:rsidRDefault="004E07BF" w14:paraId="60B58AA4" w14:textId="32B3AEA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90</w:t>
            </w:r>
          </w:p>
        </w:tc>
        <w:tc>
          <w:tcPr>
            <w:tcW w:w="1122" w:type="dxa"/>
            <w:shd w:val="clear" w:color="auto" w:fill="auto"/>
          </w:tcPr>
          <w:p w:rsidRPr="00E94232" w:rsidR="00A470BC" w:rsidP="000A6E3E" w:rsidRDefault="000A0A8F" w14:paraId="2F949A22" w14:textId="323FF94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11.5</w:t>
            </w:r>
          </w:p>
        </w:tc>
        <w:tc>
          <w:tcPr>
            <w:tcW w:w="1345" w:type="dxa"/>
            <w:shd w:val="clear" w:color="auto" w:fill="auto"/>
          </w:tcPr>
          <w:p w:rsidRPr="00E94232" w:rsidR="00A470BC" w:rsidP="000A6E3E" w:rsidRDefault="00481D2F" w14:paraId="72E9DB0C" w14:textId="5B4B3D5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1,265</w:t>
            </w:r>
            <w:r w:rsidRPr="00E94232" w:rsidR="000A0A8F">
              <w:rPr>
                <w:sz w:val="20"/>
                <w:szCs w:val="20"/>
              </w:rPr>
              <w:t>*</w:t>
            </w:r>
            <w:r w:rsidRPr="00E94232" w:rsidR="00F243C0">
              <w:rPr>
                <w:sz w:val="20"/>
                <w:szCs w:val="20"/>
              </w:rPr>
              <w:t>*</w:t>
            </w:r>
          </w:p>
        </w:tc>
        <w:tc>
          <w:tcPr>
            <w:tcW w:w="1061" w:type="dxa"/>
            <w:shd w:val="clear" w:color="auto" w:fill="auto"/>
          </w:tcPr>
          <w:p w:rsidRPr="00E94232" w:rsidR="00A470BC" w:rsidP="000A6E3E" w:rsidRDefault="002E06AF" w14:paraId="10854D41" w14:textId="707CE19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w:t>
            </w:r>
            <w:r w:rsidRPr="00E94232" w:rsidR="004A0B45">
              <w:rPr>
                <w:sz w:val="20"/>
                <w:szCs w:val="20"/>
              </w:rPr>
              <w:t>5.22</w:t>
            </w:r>
          </w:p>
        </w:tc>
        <w:tc>
          <w:tcPr>
            <w:tcW w:w="1426" w:type="dxa"/>
            <w:shd w:val="clear" w:color="auto" w:fill="auto"/>
          </w:tcPr>
          <w:p w:rsidRPr="00E94232" w:rsidR="00EC475F" w:rsidP="00EA6D44" w:rsidRDefault="000C70B4" w14:paraId="64F16DAF" w14:textId="0E071FC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120,454</w:t>
            </w:r>
          </w:p>
        </w:tc>
      </w:tr>
      <w:tr w:rsidRPr="00E94232" w:rsidR="005A7782" w:rsidTr="00CE1F63" w14:paraId="4E0775D0" w14:textId="77777777">
        <w:trPr>
          <w:cantSplit/>
          <w:jc w:val="center"/>
        </w:trPr>
        <w:tc>
          <w:tcPr>
            <w:tcW w:w="2335" w:type="dxa"/>
            <w:shd w:val="clear" w:color="auto" w:fill="auto"/>
          </w:tcPr>
          <w:p w:rsidRPr="00E94232" w:rsidR="005A7782" w:rsidP="0041050D" w:rsidRDefault="005A7782" w14:paraId="14238BF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t>Open Authorization Credentialing and Token Request Process</w:t>
            </w:r>
          </w:p>
        </w:tc>
        <w:tc>
          <w:tcPr>
            <w:tcW w:w="720" w:type="dxa"/>
            <w:shd w:val="clear" w:color="auto" w:fill="auto"/>
          </w:tcPr>
          <w:p w:rsidRPr="00E94232" w:rsidR="005A7782" w:rsidP="0041050D" w:rsidRDefault="005A7782" w14:paraId="32BD047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5</w:t>
            </w:r>
          </w:p>
        </w:tc>
        <w:tc>
          <w:tcPr>
            <w:tcW w:w="1350" w:type="dxa"/>
            <w:shd w:val="clear" w:color="auto" w:fill="auto"/>
          </w:tcPr>
          <w:p w:rsidRPr="00E94232" w:rsidR="005A7782" w:rsidP="0041050D" w:rsidRDefault="005A7782" w14:paraId="1860B6C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15</w:t>
            </w:r>
          </w:p>
        </w:tc>
        <w:tc>
          <w:tcPr>
            <w:tcW w:w="1170" w:type="dxa"/>
            <w:shd w:val="clear" w:color="auto" w:fill="auto"/>
          </w:tcPr>
          <w:p w:rsidRPr="00E94232" w:rsidR="005A7782" w:rsidP="0041050D" w:rsidRDefault="005A7782" w14:paraId="5151961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15</w:t>
            </w:r>
          </w:p>
        </w:tc>
        <w:tc>
          <w:tcPr>
            <w:tcW w:w="1122" w:type="dxa"/>
            <w:shd w:val="clear" w:color="auto" w:fill="auto"/>
          </w:tcPr>
          <w:p w:rsidRPr="00E94232" w:rsidR="005A7782" w:rsidP="0041050D" w:rsidRDefault="005A7782" w14:paraId="41F7AC0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w:t>
            </w:r>
          </w:p>
        </w:tc>
        <w:tc>
          <w:tcPr>
            <w:tcW w:w="1345" w:type="dxa"/>
            <w:shd w:val="clear" w:color="auto" w:fill="auto"/>
          </w:tcPr>
          <w:p w:rsidRPr="00E94232" w:rsidR="005A7782" w:rsidP="0041050D" w:rsidRDefault="005A7782" w14:paraId="558E45F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15</w:t>
            </w:r>
          </w:p>
        </w:tc>
        <w:tc>
          <w:tcPr>
            <w:tcW w:w="1061" w:type="dxa"/>
            <w:shd w:val="clear" w:color="auto" w:fill="auto"/>
          </w:tcPr>
          <w:p w:rsidRPr="00E94232" w:rsidR="005A7782" w:rsidP="0041050D" w:rsidRDefault="005A7782" w14:paraId="4E1E8632" w14:textId="17ECE3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w:t>
            </w:r>
            <w:r w:rsidRPr="00E94232" w:rsidR="004A0B45">
              <w:rPr>
                <w:sz w:val="20"/>
                <w:szCs w:val="20"/>
              </w:rPr>
              <w:t>5.22</w:t>
            </w:r>
          </w:p>
        </w:tc>
        <w:tc>
          <w:tcPr>
            <w:tcW w:w="1426" w:type="dxa"/>
            <w:shd w:val="clear" w:color="auto" w:fill="auto"/>
          </w:tcPr>
          <w:p w:rsidRPr="00E94232" w:rsidR="005A7782" w:rsidP="0041050D" w:rsidRDefault="005A7782" w14:paraId="040EFCDE" w14:textId="75D0159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w:t>
            </w:r>
            <w:r w:rsidRPr="00E94232" w:rsidR="00722F51">
              <w:rPr>
                <w:sz w:val="20"/>
                <w:szCs w:val="20"/>
              </w:rPr>
              <w:t>428</w:t>
            </w:r>
          </w:p>
        </w:tc>
      </w:tr>
      <w:tr w:rsidRPr="00E94232" w:rsidR="00A470BC" w:rsidTr="00CE1F63" w14:paraId="6410520B" w14:textId="77777777">
        <w:trPr>
          <w:cantSplit/>
          <w:jc w:val="center"/>
        </w:trPr>
        <w:tc>
          <w:tcPr>
            <w:tcW w:w="2335" w:type="dxa"/>
            <w:shd w:val="clear" w:color="auto" w:fill="auto"/>
          </w:tcPr>
          <w:p w:rsidRPr="00E94232" w:rsidR="00A470BC" w:rsidP="000A6E3E" w:rsidRDefault="00A470BC" w14:paraId="5FA38E2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t>§414.1325 and 414.1335 (QPP Identity Management Application Process)</w:t>
            </w:r>
          </w:p>
        </w:tc>
        <w:tc>
          <w:tcPr>
            <w:tcW w:w="720" w:type="dxa"/>
            <w:shd w:val="clear" w:color="auto" w:fill="auto"/>
          </w:tcPr>
          <w:p w:rsidRPr="00E94232" w:rsidR="00A470BC" w:rsidP="000A6E3E" w:rsidRDefault="00A470BC" w14:paraId="2639FB92" w14:textId="788829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w:t>
            </w:r>
          </w:p>
        </w:tc>
        <w:tc>
          <w:tcPr>
            <w:tcW w:w="1350" w:type="dxa"/>
            <w:shd w:val="clear" w:color="auto" w:fill="auto"/>
          </w:tcPr>
          <w:p w:rsidRPr="00E94232" w:rsidR="00A470BC" w:rsidP="000A6E3E" w:rsidRDefault="002E06AF" w14:paraId="23267E75" w14:textId="38705D8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3,741</w:t>
            </w:r>
          </w:p>
        </w:tc>
        <w:tc>
          <w:tcPr>
            <w:tcW w:w="1170" w:type="dxa"/>
            <w:shd w:val="clear" w:color="auto" w:fill="auto"/>
          </w:tcPr>
          <w:p w:rsidRPr="00E94232" w:rsidR="00A470BC" w:rsidP="000A6E3E" w:rsidRDefault="00A470BC" w14:paraId="20929BCF" w14:textId="78745D2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3,741</w:t>
            </w:r>
          </w:p>
        </w:tc>
        <w:tc>
          <w:tcPr>
            <w:tcW w:w="1122" w:type="dxa"/>
            <w:shd w:val="clear" w:color="auto" w:fill="auto"/>
          </w:tcPr>
          <w:p w:rsidRPr="00E94232" w:rsidR="00A470BC" w:rsidP="000A6E3E" w:rsidRDefault="00A470BC" w14:paraId="33701BE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w:t>
            </w:r>
          </w:p>
        </w:tc>
        <w:tc>
          <w:tcPr>
            <w:tcW w:w="1345" w:type="dxa"/>
            <w:shd w:val="clear" w:color="auto" w:fill="auto"/>
          </w:tcPr>
          <w:p w:rsidRPr="00E94232" w:rsidR="00A470BC" w:rsidP="000A6E3E" w:rsidRDefault="00A470BC" w14:paraId="6EEB669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3,741</w:t>
            </w:r>
          </w:p>
        </w:tc>
        <w:tc>
          <w:tcPr>
            <w:tcW w:w="1061" w:type="dxa"/>
            <w:shd w:val="clear" w:color="auto" w:fill="auto"/>
          </w:tcPr>
          <w:p w:rsidRPr="00E94232" w:rsidR="00A470BC" w:rsidP="000A6E3E" w:rsidRDefault="002E06AF" w14:paraId="57CBFB2F" w14:textId="4AD9097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w:t>
            </w:r>
            <w:r w:rsidRPr="00E94232" w:rsidR="004A0B45">
              <w:rPr>
                <w:sz w:val="20"/>
                <w:szCs w:val="20"/>
              </w:rPr>
              <w:t>5.22</w:t>
            </w:r>
          </w:p>
        </w:tc>
        <w:tc>
          <w:tcPr>
            <w:tcW w:w="1426" w:type="dxa"/>
            <w:shd w:val="clear" w:color="auto" w:fill="auto"/>
          </w:tcPr>
          <w:p w:rsidRPr="00E94232" w:rsidR="00A470BC" w:rsidP="000A6E3E" w:rsidRDefault="002E06AF" w14:paraId="477020CD" w14:textId="034DCCC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3</w:t>
            </w:r>
            <w:r w:rsidRPr="00E94232" w:rsidR="00A73AB2">
              <w:rPr>
                <w:sz w:val="20"/>
                <w:szCs w:val="20"/>
              </w:rPr>
              <w:t>56,218</w:t>
            </w:r>
            <w:r w:rsidRPr="00E94232" w:rsidR="00B22614">
              <w:rPr>
                <w:sz w:val="20"/>
                <w:szCs w:val="20"/>
              </w:rPr>
              <w:t xml:space="preserve"> </w:t>
            </w:r>
          </w:p>
        </w:tc>
      </w:tr>
      <w:tr w:rsidRPr="00E94232" w:rsidR="00A470BC" w:rsidTr="00CE1F63" w14:paraId="38D78CAC" w14:textId="77777777">
        <w:trPr>
          <w:cantSplit/>
          <w:jc w:val="center"/>
        </w:trPr>
        <w:tc>
          <w:tcPr>
            <w:tcW w:w="2335" w:type="dxa"/>
            <w:shd w:val="clear" w:color="auto" w:fill="auto"/>
          </w:tcPr>
          <w:p w:rsidRPr="00E94232" w:rsidR="00A470BC" w:rsidP="000A6E3E" w:rsidRDefault="00A470BC" w14:paraId="61286A3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t>§414.1325 and 414.1335 [(Quality Performance Category) Claims Collection Type]</w:t>
            </w:r>
          </w:p>
        </w:tc>
        <w:tc>
          <w:tcPr>
            <w:tcW w:w="720" w:type="dxa"/>
            <w:shd w:val="clear" w:color="auto" w:fill="auto"/>
          </w:tcPr>
          <w:p w:rsidRPr="00E94232" w:rsidR="00A470BC" w:rsidP="000A6E3E" w:rsidRDefault="00A470BC" w14:paraId="3123FD9E" w14:textId="76CA441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10</w:t>
            </w:r>
          </w:p>
        </w:tc>
        <w:tc>
          <w:tcPr>
            <w:tcW w:w="1350" w:type="dxa"/>
            <w:shd w:val="clear" w:color="auto" w:fill="auto"/>
          </w:tcPr>
          <w:p w:rsidRPr="00E94232" w:rsidR="00A470BC" w:rsidP="000A6E3E" w:rsidRDefault="009B13EA" w14:paraId="79038248" w14:textId="5AB5323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w:t>
            </w:r>
            <w:r w:rsidRPr="00E94232" w:rsidR="00565881">
              <w:rPr>
                <w:sz w:val="20"/>
                <w:szCs w:val="20"/>
              </w:rPr>
              <w:t>8,252</w:t>
            </w:r>
          </w:p>
        </w:tc>
        <w:tc>
          <w:tcPr>
            <w:tcW w:w="1170" w:type="dxa"/>
            <w:shd w:val="clear" w:color="auto" w:fill="auto"/>
          </w:tcPr>
          <w:p w:rsidRPr="00E94232" w:rsidR="00A470BC" w:rsidP="000A6E3E" w:rsidRDefault="009B13EA" w14:paraId="667F308B" w14:textId="7453B4C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w:t>
            </w:r>
            <w:r w:rsidRPr="00E94232" w:rsidR="00565881">
              <w:rPr>
                <w:sz w:val="20"/>
                <w:szCs w:val="20"/>
              </w:rPr>
              <w:t>8,252</w:t>
            </w:r>
          </w:p>
        </w:tc>
        <w:tc>
          <w:tcPr>
            <w:tcW w:w="1122" w:type="dxa"/>
            <w:shd w:val="clear" w:color="auto" w:fill="auto"/>
          </w:tcPr>
          <w:p w:rsidRPr="00E94232" w:rsidR="00A470BC" w:rsidP="000A6E3E" w:rsidRDefault="00A470BC" w14:paraId="387634A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14.2</w:t>
            </w:r>
          </w:p>
        </w:tc>
        <w:tc>
          <w:tcPr>
            <w:tcW w:w="1345" w:type="dxa"/>
            <w:shd w:val="clear" w:color="auto" w:fill="auto"/>
          </w:tcPr>
          <w:p w:rsidRPr="00E94232" w:rsidR="00A470BC" w:rsidP="000A6E3E" w:rsidRDefault="009B13EA" w14:paraId="29CF3460" w14:textId="4A4C315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4</w:t>
            </w:r>
            <w:r w:rsidRPr="00E94232" w:rsidR="008C5E93">
              <w:rPr>
                <w:sz w:val="20"/>
                <w:szCs w:val="20"/>
              </w:rPr>
              <w:t>01,178</w:t>
            </w:r>
          </w:p>
        </w:tc>
        <w:tc>
          <w:tcPr>
            <w:tcW w:w="1061" w:type="dxa"/>
            <w:shd w:val="clear" w:color="auto" w:fill="auto"/>
          </w:tcPr>
          <w:p w:rsidRPr="00E94232" w:rsidR="00A470BC" w:rsidP="000A6E3E" w:rsidRDefault="00A470BC" w14:paraId="0D191FD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Varies (see table 10)</w:t>
            </w:r>
          </w:p>
        </w:tc>
        <w:tc>
          <w:tcPr>
            <w:tcW w:w="1426" w:type="dxa"/>
            <w:shd w:val="clear" w:color="auto" w:fill="auto"/>
          </w:tcPr>
          <w:p w:rsidRPr="00E94232" w:rsidR="00A470BC" w:rsidP="000A6E3E" w:rsidRDefault="009B13EA" w14:paraId="17E65FB5" w14:textId="784BB3D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40,</w:t>
            </w:r>
            <w:r w:rsidRPr="00E94232" w:rsidR="00641C07">
              <w:rPr>
                <w:sz w:val="20"/>
                <w:szCs w:val="20"/>
              </w:rPr>
              <w:t>372,</w:t>
            </w:r>
            <w:r w:rsidRPr="00E94232" w:rsidR="00164065">
              <w:rPr>
                <w:sz w:val="20"/>
                <w:szCs w:val="20"/>
              </w:rPr>
              <w:t>673</w:t>
            </w:r>
          </w:p>
        </w:tc>
      </w:tr>
      <w:tr w:rsidRPr="00E94232" w:rsidR="00A470BC" w:rsidTr="00CE1F63" w14:paraId="3C2B4217" w14:textId="77777777">
        <w:trPr>
          <w:cantSplit/>
          <w:jc w:val="center"/>
        </w:trPr>
        <w:tc>
          <w:tcPr>
            <w:tcW w:w="2335" w:type="dxa"/>
            <w:shd w:val="clear" w:color="auto" w:fill="auto"/>
          </w:tcPr>
          <w:p w:rsidRPr="00E94232" w:rsidR="00A470BC" w:rsidP="000A6E3E" w:rsidRDefault="00A470BC" w14:paraId="403C7F8C" w14:textId="7884EEB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t>§414.1325 and 414.1335 [(Quality Performance Category) QCDR/MIPS CQM Collection Type]</w:t>
            </w:r>
          </w:p>
        </w:tc>
        <w:tc>
          <w:tcPr>
            <w:tcW w:w="720" w:type="dxa"/>
            <w:shd w:val="clear" w:color="auto" w:fill="auto"/>
          </w:tcPr>
          <w:p w:rsidRPr="00E94232" w:rsidR="00A470BC" w:rsidP="000A6E3E" w:rsidRDefault="00A470BC" w14:paraId="48D23AFC" w14:textId="0741DB4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11</w:t>
            </w:r>
          </w:p>
        </w:tc>
        <w:tc>
          <w:tcPr>
            <w:tcW w:w="1350" w:type="dxa"/>
            <w:shd w:val="clear" w:color="auto" w:fill="auto"/>
          </w:tcPr>
          <w:p w:rsidRPr="00E94232" w:rsidR="00A470BC" w:rsidP="000A6E3E" w:rsidRDefault="0091015F" w14:paraId="13AF8C96" w14:textId="7B34D4D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52</w:t>
            </w:r>
            <w:r w:rsidRPr="00E94232" w:rsidR="007C009F">
              <w:rPr>
                <w:sz w:val="20"/>
                <w:szCs w:val="20"/>
              </w:rPr>
              <w:t>,036</w:t>
            </w:r>
          </w:p>
        </w:tc>
        <w:tc>
          <w:tcPr>
            <w:tcW w:w="1170" w:type="dxa"/>
            <w:shd w:val="clear" w:color="auto" w:fill="auto"/>
          </w:tcPr>
          <w:p w:rsidRPr="00E94232" w:rsidR="00A470BC" w:rsidP="000A6E3E" w:rsidRDefault="0091015F" w14:paraId="6BF5E843" w14:textId="34D5D4F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52,</w:t>
            </w:r>
            <w:r w:rsidRPr="00E94232" w:rsidR="007C009F">
              <w:rPr>
                <w:sz w:val="20"/>
                <w:szCs w:val="20"/>
              </w:rPr>
              <w:t>036</w:t>
            </w:r>
          </w:p>
        </w:tc>
        <w:tc>
          <w:tcPr>
            <w:tcW w:w="1122" w:type="dxa"/>
            <w:shd w:val="clear" w:color="auto" w:fill="auto"/>
          </w:tcPr>
          <w:p w:rsidRPr="00E94232" w:rsidR="00A470BC" w:rsidP="000A6E3E" w:rsidRDefault="00A470BC" w14:paraId="53DC3A57" w14:textId="1AEEE69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9.083</w:t>
            </w:r>
          </w:p>
        </w:tc>
        <w:tc>
          <w:tcPr>
            <w:tcW w:w="1345" w:type="dxa"/>
            <w:shd w:val="clear" w:color="auto" w:fill="auto"/>
          </w:tcPr>
          <w:p w:rsidRPr="00E94232" w:rsidR="00A470BC" w:rsidP="000A6E3E" w:rsidRDefault="0091015F" w14:paraId="42B6F9F1" w14:textId="0A5886B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4</w:t>
            </w:r>
            <w:r w:rsidRPr="00E94232" w:rsidR="00A868BF">
              <w:rPr>
                <w:sz w:val="20"/>
                <w:szCs w:val="20"/>
              </w:rPr>
              <w:t>72,643</w:t>
            </w:r>
          </w:p>
        </w:tc>
        <w:tc>
          <w:tcPr>
            <w:tcW w:w="1061" w:type="dxa"/>
            <w:shd w:val="clear" w:color="auto" w:fill="auto"/>
          </w:tcPr>
          <w:p w:rsidRPr="00E94232" w:rsidR="00A470BC" w:rsidP="000A6E3E" w:rsidRDefault="00A470BC" w14:paraId="009F605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Varies (see table 11)</w:t>
            </w:r>
          </w:p>
        </w:tc>
        <w:tc>
          <w:tcPr>
            <w:tcW w:w="1426" w:type="dxa"/>
            <w:shd w:val="clear" w:color="auto" w:fill="auto"/>
          </w:tcPr>
          <w:p w:rsidRPr="00E94232" w:rsidR="00A470BC" w:rsidP="000A6E3E" w:rsidRDefault="0091015F" w14:paraId="7D3F3ED1" w14:textId="0B3F330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4</w:t>
            </w:r>
            <w:r w:rsidRPr="00E94232" w:rsidR="00541545">
              <w:rPr>
                <w:sz w:val="20"/>
                <w:szCs w:val="20"/>
              </w:rPr>
              <w:t>8,016,</w:t>
            </w:r>
            <w:r w:rsidRPr="00E94232" w:rsidR="00A94411">
              <w:rPr>
                <w:sz w:val="20"/>
                <w:szCs w:val="20"/>
              </w:rPr>
              <w:t>739</w:t>
            </w:r>
          </w:p>
        </w:tc>
      </w:tr>
      <w:tr w:rsidRPr="00E94232" w:rsidR="009A011A" w:rsidTr="00CE1F63" w14:paraId="0F30198C" w14:textId="77777777">
        <w:trPr>
          <w:cantSplit/>
          <w:jc w:val="center"/>
        </w:trPr>
        <w:tc>
          <w:tcPr>
            <w:tcW w:w="2335" w:type="dxa"/>
            <w:shd w:val="clear" w:color="auto" w:fill="auto"/>
          </w:tcPr>
          <w:p w:rsidRPr="00E94232" w:rsidR="009A011A" w:rsidP="009A011A" w:rsidRDefault="009A011A" w14:paraId="62933CAD" w14:textId="2365BA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t>§414.1325 and 414.1335 [(Quality Performance Category) eCQM Collection Type]</w:t>
            </w:r>
          </w:p>
        </w:tc>
        <w:tc>
          <w:tcPr>
            <w:tcW w:w="720" w:type="dxa"/>
            <w:shd w:val="clear" w:color="auto" w:fill="auto"/>
          </w:tcPr>
          <w:p w:rsidRPr="00E94232" w:rsidR="009A011A" w:rsidP="009A011A" w:rsidRDefault="009A011A" w14:paraId="287A5175" w14:textId="1BB6FC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12</w:t>
            </w:r>
          </w:p>
        </w:tc>
        <w:tc>
          <w:tcPr>
            <w:tcW w:w="1350" w:type="dxa"/>
            <w:shd w:val="clear" w:color="auto" w:fill="auto"/>
          </w:tcPr>
          <w:p w:rsidRPr="00E94232" w:rsidR="009A011A" w:rsidP="009A011A" w:rsidRDefault="00A0766A" w14:paraId="32F7DF58" w14:textId="5A77325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48,573</w:t>
            </w:r>
          </w:p>
        </w:tc>
        <w:tc>
          <w:tcPr>
            <w:tcW w:w="1170" w:type="dxa"/>
            <w:shd w:val="clear" w:color="auto" w:fill="auto"/>
          </w:tcPr>
          <w:p w:rsidRPr="00E94232" w:rsidR="009A011A" w:rsidP="009A011A" w:rsidRDefault="009327D9" w14:paraId="458BAE43" w14:textId="29D371A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48,573</w:t>
            </w:r>
          </w:p>
        </w:tc>
        <w:tc>
          <w:tcPr>
            <w:tcW w:w="1122" w:type="dxa"/>
            <w:shd w:val="clear" w:color="auto" w:fill="auto"/>
          </w:tcPr>
          <w:p w:rsidRPr="00E94232" w:rsidR="009A011A" w:rsidP="009A011A" w:rsidRDefault="009A011A" w14:paraId="1AA90C0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8.0</w:t>
            </w:r>
          </w:p>
        </w:tc>
        <w:tc>
          <w:tcPr>
            <w:tcW w:w="1345" w:type="dxa"/>
            <w:shd w:val="clear" w:color="auto" w:fill="auto"/>
          </w:tcPr>
          <w:p w:rsidRPr="00E94232" w:rsidR="009A011A" w:rsidP="009A011A" w:rsidRDefault="006514A4" w14:paraId="623EE0D3" w14:textId="2FBAD32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388,584</w:t>
            </w:r>
          </w:p>
        </w:tc>
        <w:tc>
          <w:tcPr>
            <w:tcW w:w="1061" w:type="dxa"/>
            <w:shd w:val="clear" w:color="auto" w:fill="auto"/>
          </w:tcPr>
          <w:p w:rsidRPr="00E94232" w:rsidR="009A011A" w:rsidP="009A011A" w:rsidRDefault="009A011A" w14:paraId="2143E3A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Varies (see table 12)</w:t>
            </w:r>
          </w:p>
        </w:tc>
        <w:tc>
          <w:tcPr>
            <w:tcW w:w="1426" w:type="dxa"/>
            <w:shd w:val="clear" w:color="auto" w:fill="auto"/>
          </w:tcPr>
          <w:p w:rsidRPr="00E94232" w:rsidR="009A011A" w:rsidP="009A011A" w:rsidRDefault="00D50613" w14:paraId="4481782D" w14:textId="2D444D3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39,812,374</w:t>
            </w:r>
          </w:p>
        </w:tc>
      </w:tr>
      <w:tr w:rsidRPr="00E94232" w:rsidR="009A011A" w:rsidTr="00CE1F63" w14:paraId="5FF35920" w14:textId="77777777">
        <w:trPr>
          <w:cantSplit/>
          <w:jc w:val="center"/>
        </w:trPr>
        <w:tc>
          <w:tcPr>
            <w:tcW w:w="2335" w:type="dxa"/>
            <w:shd w:val="clear" w:color="auto" w:fill="auto"/>
          </w:tcPr>
          <w:p w:rsidRPr="00E94232" w:rsidR="009A011A" w:rsidP="009A011A" w:rsidRDefault="009A011A" w14:paraId="0EF1E6F9" w14:textId="4DB9437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t>§414.1325 and 414.1335 [(Quality Performance Category) CMS Web Interface Submission Type]</w:t>
            </w:r>
          </w:p>
        </w:tc>
        <w:tc>
          <w:tcPr>
            <w:tcW w:w="720" w:type="dxa"/>
            <w:shd w:val="clear" w:color="auto" w:fill="auto"/>
          </w:tcPr>
          <w:p w:rsidRPr="00E94232" w:rsidR="009A011A" w:rsidP="009A011A" w:rsidRDefault="009A011A" w14:paraId="713685F1" w14:textId="30526D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w:t>
            </w:r>
            <w:r w:rsidRPr="00E94232" w:rsidR="006A5096">
              <w:rPr>
                <w:sz w:val="20"/>
                <w:szCs w:val="20"/>
              </w:rPr>
              <w:t>6</w:t>
            </w:r>
          </w:p>
        </w:tc>
        <w:tc>
          <w:tcPr>
            <w:tcW w:w="1350" w:type="dxa"/>
            <w:shd w:val="clear" w:color="auto" w:fill="auto"/>
          </w:tcPr>
          <w:p w:rsidRPr="00E94232" w:rsidR="009A011A" w:rsidP="009A011A" w:rsidRDefault="009A011A" w14:paraId="53BD6430" w14:textId="654FF31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11</w:t>
            </w:r>
            <w:r w:rsidRPr="00E94232" w:rsidR="00CE43EB">
              <w:rPr>
                <w:sz w:val="20"/>
                <w:szCs w:val="20"/>
              </w:rPr>
              <w:t>4</w:t>
            </w:r>
          </w:p>
        </w:tc>
        <w:tc>
          <w:tcPr>
            <w:tcW w:w="1170" w:type="dxa"/>
            <w:shd w:val="clear" w:color="auto" w:fill="auto"/>
          </w:tcPr>
          <w:p w:rsidRPr="00E94232" w:rsidR="009A011A" w:rsidP="009A011A" w:rsidRDefault="009A011A" w14:paraId="23B9662C" w14:textId="472E8D7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11</w:t>
            </w:r>
            <w:r w:rsidRPr="00E94232" w:rsidR="00CE43EB">
              <w:rPr>
                <w:sz w:val="20"/>
                <w:szCs w:val="20"/>
              </w:rPr>
              <w:t>4</w:t>
            </w:r>
          </w:p>
        </w:tc>
        <w:tc>
          <w:tcPr>
            <w:tcW w:w="1122" w:type="dxa"/>
            <w:shd w:val="clear" w:color="auto" w:fill="auto"/>
          </w:tcPr>
          <w:p w:rsidRPr="00E94232" w:rsidR="009A011A" w:rsidP="009A011A" w:rsidRDefault="009A011A" w14:paraId="1A916C92" w14:textId="2967730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61.7</w:t>
            </w:r>
          </w:p>
        </w:tc>
        <w:tc>
          <w:tcPr>
            <w:tcW w:w="1345" w:type="dxa"/>
            <w:shd w:val="clear" w:color="auto" w:fill="auto"/>
          </w:tcPr>
          <w:p w:rsidRPr="00E94232" w:rsidR="009A011A" w:rsidP="009A011A" w:rsidRDefault="00CE43EB" w14:paraId="57FED48F" w14:textId="5FF586E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7,030</w:t>
            </w:r>
          </w:p>
        </w:tc>
        <w:tc>
          <w:tcPr>
            <w:tcW w:w="1061" w:type="dxa"/>
            <w:shd w:val="clear" w:color="auto" w:fill="auto"/>
          </w:tcPr>
          <w:p w:rsidRPr="00E94232" w:rsidR="009A011A" w:rsidP="009A011A" w:rsidRDefault="004A0B45" w14:paraId="662D62A4" w14:textId="694493F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95.22</w:t>
            </w:r>
          </w:p>
        </w:tc>
        <w:tc>
          <w:tcPr>
            <w:tcW w:w="1426" w:type="dxa"/>
            <w:shd w:val="clear" w:color="auto" w:fill="auto"/>
          </w:tcPr>
          <w:p w:rsidRPr="00E94232" w:rsidR="009A011A" w:rsidP="009A011A" w:rsidRDefault="009A011A" w14:paraId="762E0E9B" w14:textId="06EC90D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6</w:t>
            </w:r>
            <w:r w:rsidRPr="00E94232" w:rsidR="00161E65">
              <w:rPr>
                <w:sz w:val="20"/>
                <w:szCs w:val="20"/>
              </w:rPr>
              <w:t>69,433</w:t>
            </w:r>
          </w:p>
        </w:tc>
      </w:tr>
      <w:tr w:rsidRPr="00E94232" w:rsidR="009A011A" w:rsidTr="00CE1F63" w14:paraId="7C77E345" w14:textId="77777777">
        <w:trPr>
          <w:cantSplit/>
          <w:jc w:val="center"/>
        </w:trPr>
        <w:tc>
          <w:tcPr>
            <w:tcW w:w="2335" w:type="dxa"/>
            <w:shd w:val="clear" w:color="auto" w:fill="auto"/>
          </w:tcPr>
          <w:p w:rsidRPr="00E94232" w:rsidR="009A011A" w:rsidP="009A011A" w:rsidRDefault="009A011A" w14:paraId="5E4D09A8" w14:textId="20F3F89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t>§414.1325 and 414.1335 [(Quality Performance Category) Registration and Enrollment for CMS Web Interface]</w:t>
            </w:r>
          </w:p>
        </w:tc>
        <w:tc>
          <w:tcPr>
            <w:tcW w:w="720" w:type="dxa"/>
            <w:shd w:val="clear" w:color="auto" w:fill="auto"/>
          </w:tcPr>
          <w:p w:rsidRPr="00E94232" w:rsidR="009A011A" w:rsidP="009A011A" w:rsidRDefault="009A011A" w14:paraId="4C786678" w14:textId="3C7C7CF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w:t>
            </w:r>
            <w:r w:rsidRPr="00E94232" w:rsidR="002C4059">
              <w:rPr>
                <w:sz w:val="20"/>
                <w:szCs w:val="20"/>
              </w:rPr>
              <w:t>7</w:t>
            </w:r>
          </w:p>
        </w:tc>
        <w:tc>
          <w:tcPr>
            <w:tcW w:w="1350" w:type="dxa"/>
            <w:shd w:val="clear" w:color="auto" w:fill="auto"/>
          </w:tcPr>
          <w:p w:rsidRPr="00E94232" w:rsidR="009A011A" w:rsidP="009A011A" w:rsidRDefault="009A011A" w14:paraId="41FFEDC6" w14:textId="65A5F13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90</w:t>
            </w:r>
          </w:p>
        </w:tc>
        <w:tc>
          <w:tcPr>
            <w:tcW w:w="1170" w:type="dxa"/>
            <w:shd w:val="clear" w:color="auto" w:fill="auto"/>
          </w:tcPr>
          <w:p w:rsidRPr="00E94232" w:rsidR="009A011A" w:rsidP="009A011A" w:rsidRDefault="009A011A" w14:paraId="12519927" w14:textId="1F6B15E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90</w:t>
            </w:r>
          </w:p>
        </w:tc>
        <w:tc>
          <w:tcPr>
            <w:tcW w:w="1122" w:type="dxa"/>
            <w:shd w:val="clear" w:color="auto" w:fill="auto"/>
          </w:tcPr>
          <w:p w:rsidRPr="00E94232" w:rsidR="009A011A" w:rsidP="009A011A" w:rsidRDefault="009A011A" w14:paraId="5F6D26F0" w14:textId="6C0BA82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0.25</w:t>
            </w:r>
          </w:p>
        </w:tc>
        <w:tc>
          <w:tcPr>
            <w:tcW w:w="1345" w:type="dxa"/>
            <w:shd w:val="clear" w:color="auto" w:fill="auto"/>
          </w:tcPr>
          <w:p w:rsidRPr="00E94232" w:rsidR="009A011A" w:rsidP="009A011A" w:rsidRDefault="009A011A" w14:paraId="797BA0BF" w14:textId="0028BD1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2</w:t>
            </w:r>
            <w:r w:rsidRPr="00E94232" w:rsidR="003D1710">
              <w:rPr>
                <w:sz w:val="20"/>
                <w:szCs w:val="20"/>
              </w:rPr>
              <w:t>3</w:t>
            </w:r>
          </w:p>
        </w:tc>
        <w:tc>
          <w:tcPr>
            <w:tcW w:w="1061" w:type="dxa"/>
            <w:shd w:val="clear" w:color="auto" w:fill="auto"/>
          </w:tcPr>
          <w:p w:rsidRPr="00E94232" w:rsidR="009A011A" w:rsidP="009A011A" w:rsidRDefault="009A011A" w14:paraId="16D2BE3E" w14:textId="0ED2DDC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w:t>
            </w:r>
            <w:r w:rsidRPr="00E94232" w:rsidR="004A0B45">
              <w:rPr>
                <w:sz w:val="20"/>
                <w:szCs w:val="20"/>
              </w:rPr>
              <w:t>5.22</w:t>
            </w:r>
          </w:p>
        </w:tc>
        <w:tc>
          <w:tcPr>
            <w:tcW w:w="1426" w:type="dxa"/>
            <w:shd w:val="clear" w:color="auto" w:fill="auto"/>
          </w:tcPr>
          <w:p w:rsidRPr="00E94232" w:rsidR="009A011A" w:rsidP="009A011A" w:rsidRDefault="009A011A" w14:paraId="2DD917EE" w14:textId="35EAF1D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w:t>
            </w:r>
            <w:r w:rsidRPr="00E94232" w:rsidR="00B7729E">
              <w:rPr>
                <w:sz w:val="20"/>
                <w:szCs w:val="20"/>
              </w:rPr>
              <w:t>1</w:t>
            </w:r>
            <w:r w:rsidR="00E33DC6">
              <w:rPr>
                <w:sz w:val="20"/>
                <w:szCs w:val="20"/>
              </w:rPr>
              <w:t>90</w:t>
            </w:r>
          </w:p>
        </w:tc>
      </w:tr>
      <w:tr w:rsidRPr="00E94232" w:rsidR="009A011A" w:rsidTr="00CE1F63" w14:paraId="46265663" w14:textId="77777777">
        <w:trPr>
          <w:cantSplit/>
          <w:jc w:val="center"/>
        </w:trPr>
        <w:tc>
          <w:tcPr>
            <w:tcW w:w="2335" w:type="dxa"/>
            <w:shd w:val="clear" w:color="auto" w:fill="auto"/>
          </w:tcPr>
          <w:p w:rsidRPr="00E94232" w:rsidR="009A011A" w:rsidP="009A011A" w:rsidRDefault="009A011A" w14:paraId="246C51DE" w14:textId="77777777">
            <w:pPr>
              <w:spacing w:after="0"/>
              <w:rPr>
                <w:sz w:val="20"/>
                <w:szCs w:val="20"/>
              </w:rPr>
            </w:pPr>
            <w:r w:rsidRPr="00E94232">
              <w:rPr>
                <w:sz w:val="20"/>
                <w:szCs w:val="20"/>
              </w:rPr>
              <w:t>[(Quality Performance Category)</w:t>
            </w:r>
          </w:p>
          <w:p w:rsidRPr="00E94232" w:rsidR="009A011A" w:rsidP="009A011A" w:rsidRDefault="009A011A" w14:paraId="6A8D7F7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t>Call for Quality Measures]</w:t>
            </w:r>
          </w:p>
        </w:tc>
        <w:tc>
          <w:tcPr>
            <w:tcW w:w="720" w:type="dxa"/>
            <w:shd w:val="clear" w:color="auto" w:fill="auto"/>
          </w:tcPr>
          <w:p w:rsidRPr="00E94232" w:rsidR="009A011A" w:rsidP="009A011A" w:rsidRDefault="009A011A" w14:paraId="5A3ACD4F" w14:textId="2C9DC9A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w:t>
            </w:r>
            <w:r w:rsidRPr="00E94232" w:rsidR="00264F32">
              <w:rPr>
                <w:sz w:val="20"/>
                <w:szCs w:val="20"/>
              </w:rPr>
              <w:t>8</w:t>
            </w:r>
          </w:p>
        </w:tc>
        <w:tc>
          <w:tcPr>
            <w:tcW w:w="1350" w:type="dxa"/>
            <w:shd w:val="clear" w:color="auto" w:fill="auto"/>
          </w:tcPr>
          <w:p w:rsidRPr="00E94232" w:rsidR="009A011A" w:rsidP="009A011A" w:rsidRDefault="009A011A" w14:paraId="0838D4DA" w14:textId="3C8BD3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28</w:t>
            </w:r>
          </w:p>
        </w:tc>
        <w:tc>
          <w:tcPr>
            <w:tcW w:w="1170" w:type="dxa"/>
            <w:shd w:val="clear" w:color="auto" w:fill="auto"/>
          </w:tcPr>
          <w:p w:rsidRPr="00E94232" w:rsidR="009A011A" w:rsidP="009A011A" w:rsidRDefault="009A011A" w14:paraId="516120C6" w14:textId="7CF2C33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28</w:t>
            </w:r>
          </w:p>
        </w:tc>
        <w:tc>
          <w:tcPr>
            <w:tcW w:w="1122" w:type="dxa"/>
            <w:shd w:val="clear" w:color="auto" w:fill="auto"/>
          </w:tcPr>
          <w:p w:rsidRPr="00E94232" w:rsidR="009A011A" w:rsidP="009A011A" w:rsidRDefault="009A011A" w14:paraId="16332C8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5.5</w:t>
            </w:r>
          </w:p>
        </w:tc>
        <w:tc>
          <w:tcPr>
            <w:tcW w:w="1345" w:type="dxa"/>
            <w:shd w:val="clear" w:color="auto" w:fill="auto"/>
          </w:tcPr>
          <w:p w:rsidRPr="00E94232" w:rsidR="009A011A" w:rsidP="009A011A" w:rsidRDefault="009A011A" w14:paraId="443F7C9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154</w:t>
            </w:r>
          </w:p>
        </w:tc>
        <w:tc>
          <w:tcPr>
            <w:tcW w:w="1061" w:type="dxa"/>
            <w:shd w:val="clear" w:color="auto" w:fill="auto"/>
          </w:tcPr>
          <w:p w:rsidRPr="00E94232" w:rsidR="009A011A" w:rsidP="009A011A" w:rsidRDefault="009A011A" w14:paraId="529BDFB5" w14:textId="3C4EAB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Varies (see table 1</w:t>
            </w:r>
            <w:r w:rsidRPr="00E94232" w:rsidR="00842DB5">
              <w:rPr>
                <w:sz w:val="20"/>
                <w:szCs w:val="20"/>
              </w:rPr>
              <w:t>8</w:t>
            </w:r>
            <w:r w:rsidRPr="00E94232">
              <w:rPr>
                <w:sz w:val="20"/>
                <w:szCs w:val="20"/>
              </w:rPr>
              <w:t>)</w:t>
            </w:r>
          </w:p>
        </w:tc>
        <w:tc>
          <w:tcPr>
            <w:tcW w:w="1426" w:type="dxa"/>
            <w:shd w:val="clear" w:color="auto" w:fill="auto"/>
          </w:tcPr>
          <w:p w:rsidRPr="00E94232" w:rsidR="009A011A" w:rsidP="009A011A" w:rsidRDefault="0073397D" w14:paraId="40E212B2" w14:textId="129520A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26,54</w:t>
            </w:r>
            <w:r w:rsidRPr="00E94232" w:rsidR="00C812B7">
              <w:rPr>
                <w:sz w:val="20"/>
                <w:szCs w:val="20"/>
              </w:rPr>
              <w:t>1</w:t>
            </w:r>
          </w:p>
        </w:tc>
      </w:tr>
      <w:tr w:rsidRPr="00E94232" w:rsidR="009A011A" w:rsidTr="00CE1F63" w14:paraId="52169EBD" w14:textId="77777777">
        <w:trPr>
          <w:cantSplit/>
          <w:jc w:val="center"/>
        </w:trPr>
        <w:tc>
          <w:tcPr>
            <w:tcW w:w="2335" w:type="dxa"/>
            <w:shd w:val="clear" w:color="auto" w:fill="auto"/>
          </w:tcPr>
          <w:p w:rsidRPr="00E94232" w:rsidR="009A011A" w:rsidP="009A011A" w:rsidRDefault="009A011A" w14:paraId="47CCDCA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t xml:space="preserve">§414.1375 and 414.1380[(PI Performance Category) Reweighting Applications for Promoting Interoperability and Other Performance Categories </w:t>
            </w:r>
          </w:p>
        </w:tc>
        <w:tc>
          <w:tcPr>
            <w:tcW w:w="720" w:type="dxa"/>
            <w:shd w:val="clear" w:color="auto" w:fill="auto"/>
          </w:tcPr>
          <w:p w:rsidRPr="00E94232" w:rsidR="009A011A" w:rsidP="009A011A" w:rsidRDefault="009A011A" w14:paraId="549A63D3" w14:textId="31529F4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w:t>
            </w:r>
            <w:r w:rsidRPr="00E94232" w:rsidR="00412588">
              <w:rPr>
                <w:sz w:val="20"/>
                <w:szCs w:val="20"/>
              </w:rPr>
              <w:t>9</w:t>
            </w:r>
          </w:p>
        </w:tc>
        <w:tc>
          <w:tcPr>
            <w:tcW w:w="1350" w:type="dxa"/>
            <w:shd w:val="clear" w:color="auto" w:fill="auto"/>
          </w:tcPr>
          <w:p w:rsidRPr="00E94232" w:rsidR="009A011A" w:rsidP="009A011A" w:rsidRDefault="007E1591" w14:paraId="4E2AD5F6" w14:textId="49B4577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42,827</w:t>
            </w:r>
          </w:p>
        </w:tc>
        <w:tc>
          <w:tcPr>
            <w:tcW w:w="1170" w:type="dxa"/>
            <w:shd w:val="clear" w:color="auto" w:fill="auto"/>
          </w:tcPr>
          <w:p w:rsidRPr="00E94232" w:rsidR="009A011A" w:rsidP="009A011A" w:rsidRDefault="007E1591" w14:paraId="19398720" w14:textId="268BEAF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42,827</w:t>
            </w:r>
          </w:p>
        </w:tc>
        <w:tc>
          <w:tcPr>
            <w:tcW w:w="1122" w:type="dxa"/>
            <w:shd w:val="clear" w:color="auto" w:fill="auto"/>
          </w:tcPr>
          <w:p w:rsidRPr="00E94232" w:rsidR="009A011A" w:rsidP="009A011A" w:rsidRDefault="009A011A" w14:paraId="4F01A0A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0.25</w:t>
            </w:r>
          </w:p>
        </w:tc>
        <w:tc>
          <w:tcPr>
            <w:tcW w:w="1345" w:type="dxa"/>
            <w:shd w:val="clear" w:color="auto" w:fill="auto"/>
          </w:tcPr>
          <w:p w:rsidRPr="00E94232" w:rsidR="009A011A" w:rsidP="009A011A" w:rsidRDefault="009A011A" w14:paraId="0C7D1232" w14:textId="60C2AA5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1</w:t>
            </w:r>
            <w:r w:rsidRPr="00E94232" w:rsidR="00657683">
              <w:rPr>
                <w:sz w:val="20"/>
                <w:szCs w:val="20"/>
              </w:rPr>
              <w:t>0,707</w:t>
            </w:r>
          </w:p>
        </w:tc>
        <w:tc>
          <w:tcPr>
            <w:tcW w:w="1061" w:type="dxa"/>
            <w:shd w:val="clear" w:color="auto" w:fill="auto"/>
          </w:tcPr>
          <w:p w:rsidRPr="00E94232" w:rsidR="009A011A" w:rsidP="009A011A" w:rsidRDefault="009A011A" w14:paraId="352FAE61" w14:textId="270D17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w:t>
            </w:r>
            <w:r w:rsidRPr="00E94232" w:rsidR="004A0B45">
              <w:rPr>
                <w:sz w:val="20"/>
                <w:szCs w:val="20"/>
              </w:rPr>
              <w:t>5.22</w:t>
            </w:r>
          </w:p>
        </w:tc>
        <w:tc>
          <w:tcPr>
            <w:tcW w:w="1426" w:type="dxa"/>
            <w:shd w:val="clear" w:color="auto" w:fill="auto"/>
          </w:tcPr>
          <w:p w:rsidRPr="00E94232" w:rsidR="009A011A" w:rsidP="009A011A" w:rsidRDefault="009A011A" w14:paraId="01418B25" w14:textId="7E129EB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w:t>
            </w:r>
            <w:r w:rsidRPr="00E94232" w:rsidR="00E63940">
              <w:rPr>
                <w:sz w:val="20"/>
                <w:szCs w:val="20"/>
              </w:rPr>
              <w:t>019,</w:t>
            </w:r>
            <w:r w:rsidRPr="00E94232" w:rsidR="003920B0">
              <w:rPr>
                <w:sz w:val="20"/>
                <w:szCs w:val="20"/>
              </w:rPr>
              <w:t>521</w:t>
            </w:r>
          </w:p>
        </w:tc>
      </w:tr>
      <w:tr w:rsidRPr="00E94232" w:rsidR="009A011A" w:rsidTr="00CE1F63" w14:paraId="4A5FCD5F" w14:textId="77777777">
        <w:trPr>
          <w:cantSplit/>
          <w:jc w:val="center"/>
        </w:trPr>
        <w:tc>
          <w:tcPr>
            <w:tcW w:w="2335" w:type="dxa"/>
            <w:shd w:val="clear" w:color="auto" w:fill="auto"/>
          </w:tcPr>
          <w:p w:rsidRPr="00E94232" w:rsidR="009A011A" w:rsidP="009A011A" w:rsidRDefault="009A011A" w14:paraId="48D4A59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t>§414.1375 [(PI Performance Category) Data Submission]</w:t>
            </w:r>
          </w:p>
        </w:tc>
        <w:tc>
          <w:tcPr>
            <w:tcW w:w="720" w:type="dxa"/>
            <w:shd w:val="clear" w:color="auto" w:fill="auto"/>
          </w:tcPr>
          <w:p w:rsidRPr="00E94232" w:rsidR="009A011A" w:rsidP="009A011A" w:rsidRDefault="009D3BF0" w14:paraId="5CD2BF00" w14:textId="2132600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w:t>
            </w:r>
            <w:r w:rsidRPr="00E94232" w:rsidR="002B516C">
              <w:rPr>
                <w:sz w:val="20"/>
                <w:szCs w:val="20"/>
              </w:rPr>
              <w:t>1</w:t>
            </w:r>
          </w:p>
        </w:tc>
        <w:tc>
          <w:tcPr>
            <w:tcW w:w="1350" w:type="dxa"/>
            <w:shd w:val="clear" w:color="auto" w:fill="auto"/>
          </w:tcPr>
          <w:p w:rsidRPr="00E94232" w:rsidR="009A011A" w:rsidP="009A011A" w:rsidRDefault="009A011A" w14:paraId="4A77D52A" w14:textId="24999F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5</w:t>
            </w:r>
            <w:r w:rsidRPr="00E94232" w:rsidR="009D3BF0">
              <w:rPr>
                <w:sz w:val="20"/>
                <w:szCs w:val="20"/>
              </w:rPr>
              <w:t>1,647</w:t>
            </w:r>
          </w:p>
        </w:tc>
        <w:tc>
          <w:tcPr>
            <w:tcW w:w="1170" w:type="dxa"/>
            <w:shd w:val="clear" w:color="auto" w:fill="auto"/>
          </w:tcPr>
          <w:p w:rsidRPr="00E94232" w:rsidR="009A011A" w:rsidP="009A011A" w:rsidRDefault="009A011A" w14:paraId="20E20932" w14:textId="34876C4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5</w:t>
            </w:r>
            <w:r w:rsidRPr="00E94232" w:rsidR="00257F36">
              <w:rPr>
                <w:sz w:val="20"/>
                <w:szCs w:val="20"/>
              </w:rPr>
              <w:t>1,647</w:t>
            </w:r>
          </w:p>
        </w:tc>
        <w:tc>
          <w:tcPr>
            <w:tcW w:w="1122" w:type="dxa"/>
            <w:shd w:val="clear" w:color="auto" w:fill="auto"/>
          </w:tcPr>
          <w:p w:rsidRPr="00E94232" w:rsidR="009A011A" w:rsidP="009A011A" w:rsidRDefault="009A011A" w14:paraId="1A878D7F" w14:textId="4A52982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2.6</w:t>
            </w:r>
            <w:r w:rsidRPr="00E94232" w:rsidR="0042672C">
              <w:rPr>
                <w:sz w:val="20"/>
                <w:szCs w:val="20"/>
              </w:rPr>
              <w:t>9</w:t>
            </w:r>
          </w:p>
        </w:tc>
        <w:tc>
          <w:tcPr>
            <w:tcW w:w="1345" w:type="dxa"/>
            <w:shd w:val="clear" w:color="auto" w:fill="auto"/>
          </w:tcPr>
          <w:p w:rsidRPr="00E94232" w:rsidR="009A011A" w:rsidP="009A011A" w:rsidRDefault="00A52A45" w14:paraId="5D4BFBCE" w14:textId="5DA48D6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1</w:t>
            </w:r>
            <w:r w:rsidRPr="00E94232" w:rsidR="001A3F89">
              <w:rPr>
                <w:sz w:val="20"/>
                <w:szCs w:val="20"/>
              </w:rPr>
              <w:t>38,930</w:t>
            </w:r>
          </w:p>
        </w:tc>
        <w:tc>
          <w:tcPr>
            <w:tcW w:w="1061" w:type="dxa"/>
            <w:shd w:val="clear" w:color="auto" w:fill="auto"/>
          </w:tcPr>
          <w:p w:rsidRPr="00E94232" w:rsidR="009A011A" w:rsidP="009A011A" w:rsidRDefault="009A011A" w14:paraId="4707F04B" w14:textId="0CD2665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w:t>
            </w:r>
            <w:r w:rsidRPr="00E94232" w:rsidR="00E619F3">
              <w:rPr>
                <w:sz w:val="20"/>
                <w:szCs w:val="20"/>
              </w:rPr>
              <w:t>5.22</w:t>
            </w:r>
          </w:p>
        </w:tc>
        <w:tc>
          <w:tcPr>
            <w:tcW w:w="1426" w:type="dxa"/>
            <w:shd w:val="clear" w:color="auto" w:fill="auto"/>
          </w:tcPr>
          <w:p w:rsidRPr="00E94232" w:rsidR="009A011A" w:rsidP="00A52A45" w:rsidRDefault="00A52A45" w14:paraId="169A3AA6" w14:textId="6FD8002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13,2</w:t>
            </w:r>
            <w:r w:rsidRPr="00E94232" w:rsidR="00342193">
              <w:rPr>
                <w:sz w:val="20"/>
                <w:szCs w:val="20"/>
              </w:rPr>
              <w:t>28,915</w:t>
            </w:r>
          </w:p>
        </w:tc>
      </w:tr>
      <w:tr w:rsidRPr="00E94232" w:rsidR="009A011A" w:rsidTr="00CE1F63" w14:paraId="070C3CC0" w14:textId="77777777">
        <w:trPr>
          <w:cantSplit/>
          <w:jc w:val="center"/>
        </w:trPr>
        <w:tc>
          <w:tcPr>
            <w:tcW w:w="2335" w:type="dxa"/>
            <w:shd w:val="clear" w:color="auto" w:fill="auto"/>
          </w:tcPr>
          <w:p w:rsidRPr="00E94232" w:rsidR="009A011A" w:rsidP="009A011A" w:rsidRDefault="009A011A" w14:paraId="58568A8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lastRenderedPageBreak/>
              <w:t>[(PI Performance Category) Call for Promoting Interoperability Measures]</w:t>
            </w:r>
          </w:p>
        </w:tc>
        <w:tc>
          <w:tcPr>
            <w:tcW w:w="720" w:type="dxa"/>
            <w:shd w:val="clear" w:color="auto" w:fill="auto"/>
          </w:tcPr>
          <w:p w:rsidRPr="00E94232" w:rsidR="009A011A" w:rsidP="009A011A" w:rsidRDefault="00F64395" w14:paraId="51D366E7" w14:textId="4C8BF3A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23</w:t>
            </w:r>
          </w:p>
        </w:tc>
        <w:tc>
          <w:tcPr>
            <w:tcW w:w="1350" w:type="dxa"/>
            <w:shd w:val="clear" w:color="auto" w:fill="auto"/>
          </w:tcPr>
          <w:p w:rsidRPr="00E94232" w:rsidR="009A011A" w:rsidP="009A011A" w:rsidRDefault="009A011A" w14:paraId="21AC97D8" w14:textId="6A143FF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10</w:t>
            </w:r>
          </w:p>
        </w:tc>
        <w:tc>
          <w:tcPr>
            <w:tcW w:w="1170" w:type="dxa"/>
            <w:shd w:val="clear" w:color="auto" w:fill="auto"/>
          </w:tcPr>
          <w:p w:rsidRPr="00E94232" w:rsidR="009A011A" w:rsidP="009A011A" w:rsidRDefault="009A011A" w14:paraId="0B0E49A6" w14:textId="7239778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10</w:t>
            </w:r>
          </w:p>
        </w:tc>
        <w:tc>
          <w:tcPr>
            <w:tcW w:w="1122" w:type="dxa"/>
            <w:shd w:val="clear" w:color="auto" w:fill="auto"/>
          </w:tcPr>
          <w:p w:rsidRPr="00E94232" w:rsidR="009A011A" w:rsidP="009A011A" w:rsidRDefault="009A011A" w14:paraId="3E2C138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0.5</w:t>
            </w:r>
          </w:p>
        </w:tc>
        <w:tc>
          <w:tcPr>
            <w:tcW w:w="1345" w:type="dxa"/>
            <w:shd w:val="clear" w:color="auto" w:fill="auto"/>
          </w:tcPr>
          <w:p w:rsidRPr="00E94232" w:rsidR="009A011A" w:rsidP="009A011A" w:rsidRDefault="009A011A" w14:paraId="3BF64B6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5</w:t>
            </w:r>
          </w:p>
        </w:tc>
        <w:tc>
          <w:tcPr>
            <w:tcW w:w="1061" w:type="dxa"/>
            <w:shd w:val="clear" w:color="auto" w:fill="auto"/>
          </w:tcPr>
          <w:p w:rsidRPr="00E94232" w:rsidR="009A011A" w:rsidP="009A011A" w:rsidRDefault="009A011A" w14:paraId="72B6B58E" w14:textId="7071870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 xml:space="preserve">Varies (see table </w:t>
            </w:r>
            <w:r w:rsidRPr="00E94232" w:rsidR="00842DB5">
              <w:rPr>
                <w:sz w:val="20"/>
                <w:szCs w:val="20"/>
              </w:rPr>
              <w:t>23</w:t>
            </w:r>
            <w:r w:rsidRPr="00E94232">
              <w:rPr>
                <w:sz w:val="20"/>
                <w:szCs w:val="20"/>
              </w:rPr>
              <w:t>)</w:t>
            </w:r>
          </w:p>
        </w:tc>
        <w:tc>
          <w:tcPr>
            <w:tcW w:w="1426" w:type="dxa"/>
            <w:shd w:val="clear" w:color="auto" w:fill="auto"/>
          </w:tcPr>
          <w:p w:rsidRPr="00E94232" w:rsidR="009A011A" w:rsidP="009A011A" w:rsidRDefault="009A011A" w14:paraId="66600950" w14:textId="4E573C1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7</w:t>
            </w:r>
            <w:r w:rsidRPr="00E94232" w:rsidR="00AD1A79">
              <w:rPr>
                <w:sz w:val="20"/>
                <w:szCs w:val="20"/>
              </w:rPr>
              <w:t>77</w:t>
            </w:r>
          </w:p>
        </w:tc>
      </w:tr>
      <w:tr w:rsidRPr="00E94232" w:rsidR="009A011A" w:rsidTr="00CE1F63" w14:paraId="3277BDF4" w14:textId="77777777">
        <w:trPr>
          <w:cantSplit/>
          <w:jc w:val="center"/>
        </w:trPr>
        <w:tc>
          <w:tcPr>
            <w:tcW w:w="2335" w:type="dxa"/>
            <w:shd w:val="clear" w:color="auto" w:fill="auto"/>
          </w:tcPr>
          <w:p w:rsidRPr="00E94232" w:rsidR="009A011A" w:rsidP="009A011A" w:rsidRDefault="009A011A" w14:paraId="7B83459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t>§414.1360 [(Improvement Activities Performance Category) Data Submission]</w:t>
            </w:r>
          </w:p>
        </w:tc>
        <w:tc>
          <w:tcPr>
            <w:tcW w:w="720" w:type="dxa"/>
            <w:shd w:val="clear" w:color="auto" w:fill="auto"/>
          </w:tcPr>
          <w:p w:rsidRPr="00E94232" w:rsidR="009A011A" w:rsidP="009A011A" w:rsidRDefault="009A011A" w14:paraId="76016B1D" w14:textId="03AA138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w:t>
            </w:r>
            <w:r w:rsidRPr="00E94232" w:rsidR="00A10A06">
              <w:rPr>
                <w:sz w:val="20"/>
                <w:szCs w:val="20"/>
              </w:rPr>
              <w:t>5</w:t>
            </w:r>
          </w:p>
        </w:tc>
        <w:tc>
          <w:tcPr>
            <w:tcW w:w="1350" w:type="dxa"/>
            <w:shd w:val="clear" w:color="auto" w:fill="auto"/>
          </w:tcPr>
          <w:p w:rsidRPr="00E94232" w:rsidR="009A011A" w:rsidP="009A011A" w:rsidRDefault="0068290A" w14:paraId="34D69AC1" w14:textId="2EBB161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81,562</w:t>
            </w:r>
          </w:p>
        </w:tc>
        <w:tc>
          <w:tcPr>
            <w:tcW w:w="1170" w:type="dxa"/>
            <w:shd w:val="clear" w:color="auto" w:fill="auto"/>
          </w:tcPr>
          <w:p w:rsidRPr="00E94232" w:rsidR="009A011A" w:rsidP="009A011A" w:rsidRDefault="00983D4F" w14:paraId="7611F318" w14:textId="5A4ACB6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81,562</w:t>
            </w:r>
          </w:p>
        </w:tc>
        <w:tc>
          <w:tcPr>
            <w:tcW w:w="1122" w:type="dxa"/>
            <w:shd w:val="clear" w:color="auto" w:fill="auto"/>
          </w:tcPr>
          <w:p w:rsidRPr="00E94232" w:rsidR="009A011A" w:rsidP="009A011A" w:rsidRDefault="009A011A" w14:paraId="29A7CAF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0.083</w:t>
            </w:r>
          </w:p>
        </w:tc>
        <w:tc>
          <w:tcPr>
            <w:tcW w:w="1345" w:type="dxa"/>
            <w:shd w:val="clear" w:color="auto" w:fill="auto"/>
          </w:tcPr>
          <w:p w:rsidRPr="00E94232" w:rsidR="009A011A" w:rsidP="009A011A" w:rsidRDefault="009A011A" w14:paraId="252156B2" w14:textId="026A8C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6</w:t>
            </w:r>
            <w:r w:rsidRPr="00E94232" w:rsidR="006853EA">
              <w:rPr>
                <w:sz w:val="20"/>
                <w:szCs w:val="20"/>
              </w:rPr>
              <w:t>,797</w:t>
            </w:r>
          </w:p>
        </w:tc>
        <w:tc>
          <w:tcPr>
            <w:tcW w:w="1061" w:type="dxa"/>
            <w:shd w:val="clear" w:color="auto" w:fill="auto"/>
          </w:tcPr>
          <w:p w:rsidRPr="00E94232" w:rsidR="009A011A" w:rsidP="009A011A" w:rsidRDefault="009A011A" w14:paraId="0B07A7A9" w14:textId="4CA2D92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w:t>
            </w:r>
            <w:r w:rsidRPr="00E94232" w:rsidR="00E619F3">
              <w:rPr>
                <w:sz w:val="20"/>
                <w:szCs w:val="20"/>
              </w:rPr>
              <w:t>5.22</w:t>
            </w:r>
          </w:p>
        </w:tc>
        <w:tc>
          <w:tcPr>
            <w:tcW w:w="1426" w:type="dxa"/>
            <w:shd w:val="clear" w:color="auto" w:fill="auto"/>
          </w:tcPr>
          <w:p w:rsidRPr="00E94232" w:rsidR="009A011A" w:rsidP="009A011A" w:rsidRDefault="009A011A" w14:paraId="3FB7AC53" w14:textId="2B5F38C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6</w:t>
            </w:r>
            <w:r w:rsidRPr="00E94232" w:rsidR="00C800A2">
              <w:rPr>
                <w:sz w:val="20"/>
                <w:szCs w:val="20"/>
              </w:rPr>
              <w:t>47,</w:t>
            </w:r>
            <w:r w:rsidRPr="00E94232" w:rsidR="005C7917">
              <w:rPr>
                <w:sz w:val="20"/>
                <w:szCs w:val="20"/>
              </w:rPr>
              <w:t>210</w:t>
            </w:r>
          </w:p>
        </w:tc>
      </w:tr>
      <w:tr w:rsidRPr="00E94232" w:rsidR="009A011A" w:rsidTr="00CE1F63" w14:paraId="44B8E438" w14:textId="77777777">
        <w:trPr>
          <w:cantSplit/>
          <w:jc w:val="center"/>
        </w:trPr>
        <w:tc>
          <w:tcPr>
            <w:tcW w:w="2335" w:type="dxa"/>
            <w:shd w:val="clear" w:color="auto" w:fill="auto"/>
          </w:tcPr>
          <w:p w:rsidRPr="00E94232" w:rsidR="009A011A" w:rsidP="009A011A" w:rsidRDefault="009A011A" w14:paraId="36BEFD7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t>§414.1360 [(Improvement Activities Performance Category) Nomination of Improvement Activities]</w:t>
            </w:r>
          </w:p>
        </w:tc>
        <w:tc>
          <w:tcPr>
            <w:tcW w:w="720" w:type="dxa"/>
            <w:shd w:val="clear" w:color="auto" w:fill="auto"/>
          </w:tcPr>
          <w:p w:rsidRPr="00E94232" w:rsidR="009A011A" w:rsidP="009A011A" w:rsidRDefault="009A011A" w14:paraId="0C123A71" w14:textId="5F189FE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w:t>
            </w:r>
            <w:r w:rsidRPr="00E94232" w:rsidR="007D2F3B">
              <w:rPr>
                <w:sz w:val="20"/>
                <w:szCs w:val="20"/>
              </w:rPr>
              <w:t>7</w:t>
            </w:r>
          </w:p>
        </w:tc>
        <w:tc>
          <w:tcPr>
            <w:tcW w:w="1350" w:type="dxa"/>
            <w:shd w:val="clear" w:color="auto" w:fill="auto"/>
          </w:tcPr>
          <w:p w:rsidRPr="00E94232" w:rsidR="009A011A" w:rsidP="009A011A" w:rsidRDefault="009A011A" w14:paraId="7B9C820A" w14:textId="7F76D6B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31</w:t>
            </w:r>
          </w:p>
        </w:tc>
        <w:tc>
          <w:tcPr>
            <w:tcW w:w="1170" w:type="dxa"/>
            <w:shd w:val="clear" w:color="auto" w:fill="auto"/>
          </w:tcPr>
          <w:p w:rsidRPr="00E94232" w:rsidR="009A011A" w:rsidP="009A011A" w:rsidRDefault="009A011A" w14:paraId="580E0D60" w14:textId="27FBA2A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31</w:t>
            </w:r>
          </w:p>
        </w:tc>
        <w:tc>
          <w:tcPr>
            <w:tcW w:w="1122" w:type="dxa"/>
            <w:shd w:val="clear" w:color="auto" w:fill="auto"/>
          </w:tcPr>
          <w:p w:rsidRPr="00E94232" w:rsidR="009A011A" w:rsidP="009A011A" w:rsidRDefault="001773E5" w14:paraId="2E240B98" w14:textId="4EBADE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4.4</w:t>
            </w:r>
          </w:p>
        </w:tc>
        <w:tc>
          <w:tcPr>
            <w:tcW w:w="1345" w:type="dxa"/>
            <w:shd w:val="clear" w:color="auto" w:fill="auto"/>
          </w:tcPr>
          <w:p w:rsidRPr="00E94232" w:rsidR="009A011A" w:rsidP="009A011A" w:rsidRDefault="001773E5" w14:paraId="37DD9964" w14:textId="71EBF5D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136</w:t>
            </w:r>
          </w:p>
        </w:tc>
        <w:tc>
          <w:tcPr>
            <w:tcW w:w="1061" w:type="dxa"/>
            <w:shd w:val="clear" w:color="auto" w:fill="auto"/>
          </w:tcPr>
          <w:p w:rsidRPr="00E94232" w:rsidR="009A011A" w:rsidP="009A011A" w:rsidRDefault="009A011A" w14:paraId="4B525CA1" w14:textId="0444123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Varies (see table 2</w:t>
            </w:r>
            <w:r w:rsidRPr="00E94232" w:rsidR="00842DB5">
              <w:rPr>
                <w:sz w:val="20"/>
                <w:szCs w:val="20"/>
              </w:rPr>
              <w:t>7</w:t>
            </w:r>
            <w:r w:rsidRPr="00E94232">
              <w:rPr>
                <w:sz w:val="20"/>
                <w:szCs w:val="20"/>
              </w:rPr>
              <w:t>)</w:t>
            </w:r>
          </w:p>
        </w:tc>
        <w:tc>
          <w:tcPr>
            <w:tcW w:w="1426" w:type="dxa"/>
            <w:shd w:val="clear" w:color="auto" w:fill="auto"/>
          </w:tcPr>
          <w:p w:rsidRPr="00E94232" w:rsidR="009A011A" w:rsidP="009A011A" w:rsidRDefault="002A7067" w14:paraId="31B87B62" w14:textId="427C071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20,695</w:t>
            </w:r>
          </w:p>
        </w:tc>
      </w:tr>
      <w:tr w:rsidRPr="00E94232" w:rsidR="00245CE3" w:rsidTr="00CE1F63" w14:paraId="793D89C6" w14:textId="77777777">
        <w:trPr>
          <w:cantSplit/>
          <w:jc w:val="center"/>
        </w:trPr>
        <w:tc>
          <w:tcPr>
            <w:tcW w:w="2335" w:type="dxa"/>
            <w:shd w:val="clear" w:color="auto" w:fill="auto"/>
          </w:tcPr>
          <w:p w:rsidRPr="00E94232" w:rsidR="00245CE3" w:rsidP="00245CE3" w:rsidRDefault="00245CE3" w14:paraId="689A7A54" w14:textId="301EFE3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t>Nomination of MVPs</w:t>
            </w:r>
          </w:p>
        </w:tc>
        <w:tc>
          <w:tcPr>
            <w:tcW w:w="720" w:type="dxa"/>
            <w:shd w:val="clear" w:color="auto" w:fill="auto"/>
          </w:tcPr>
          <w:p w:rsidRPr="00E94232" w:rsidR="00245CE3" w:rsidP="00245CE3" w:rsidRDefault="00245CE3" w14:paraId="0953E6B3" w14:textId="2B2A181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w:t>
            </w:r>
            <w:r w:rsidRPr="00E94232" w:rsidR="00086C47">
              <w:rPr>
                <w:sz w:val="20"/>
                <w:szCs w:val="20"/>
              </w:rPr>
              <w:t>8</w:t>
            </w:r>
          </w:p>
        </w:tc>
        <w:tc>
          <w:tcPr>
            <w:tcW w:w="1350" w:type="dxa"/>
            <w:shd w:val="clear" w:color="auto" w:fill="auto"/>
          </w:tcPr>
          <w:p w:rsidRPr="00E94232" w:rsidR="00245CE3" w:rsidP="00245CE3" w:rsidRDefault="00245CE3" w14:paraId="72C61001" w14:textId="473C355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25</w:t>
            </w:r>
          </w:p>
        </w:tc>
        <w:tc>
          <w:tcPr>
            <w:tcW w:w="1170" w:type="dxa"/>
            <w:shd w:val="clear" w:color="auto" w:fill="auto"/>
          </w:tcPr>
          <w:p w:rsidRPr="00E94232" w:rsidR="00245CE3" w:rsidP="00245CE3" w:rsidRDefault="00245CE3" w14:paraId="3360F24C" w14:textId="6BD6B99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25</w:t>
            </w:r>
          </w:p>
        </w:tc>
        <w:tc>
          <w:tcPr>
            <w:tcW w:w="1122" w:type="dxa"/>
            <w:shd w:val="clear" w:color="auto" w:fill="auto"/>
          </w:tcPr>
          <w:p w:rsidRPr="00E94232" w:rsidR="00245CE3" w:rsidP="00245CE3" w:rsidRDefault="00245CE3" w14:paraId="293C11DF" w14:textId="279AF38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12</w:t>
            </w:r>
          </w:p>
        </w:tc>
        <w:tc>
          <w:tcPr>
            <w:tcW w:w="1345" w:type="dxa"/>
            <w:shd w:val="clear" w:color="auto" w:fill="auto"/>
          </w:tcPr>
          <w:p w:rsidRPr="00E94232" w:rsidR="00245CE3" w:rsidP="00245CE3" w:rsidRDefault="00245CE3" w14:paraId="00865DB3" w14:textId="7E7C7C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300</w:t>
            </w:r>
          </w:p>
        </w:tc>
        <w:tc>
          <w:tcPr>
            <w:tcW w:w="1061" w:type="dxa"/>
            <w:shd w:val="clear" w:color="auto" w:fill="auto"/>
          </w:tcPr>
          <w:p w:rsidRPr="00E94232" w:rsidR="00245CE3" w:rsidP="00245CE3" w:rsidRDefault="00245CE3" w14:paraId="3DC54CA8" w14:textId="08EBE0F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Varies (see table 2</w:t>
            </w:r>
            <w:r w:rsidRPr="00E94232" w:rsidR="00842DB5">
              <w:rPr>
                <w:sz w:val="20"/>
                <w:szCs w:val="20"/>
              </w:rPr>
              <w:t>8</w:t>
            </w:r>
            <w:r w:rsidRPr="00E94232">
              <w:rPr>
                <w:sz w:val="20"/>
                <w:szCs w:val="20"/>
              </w:rPr>
              <w:t>)</w:t>
            </w:r>
          </w:p>
        </w:tc>
        <w:tc>
          <w:tcPr>
            <w:tcW w:w="1426" w:type="dxa"/>
            <w:shd w:val="clear" w:color="auto" w:fill="auto"/>
          </w:tcPr>
          <w:p w:rsidRPr="00E94232" w:rsidR="00245CE3" w:rsidP="00245CE3" w:rsidRDefault="00245CE3" w14:paraId="551A9E73" w14:textId="5C2106D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4</w:t>
            </w:r>
            <w:r w:rsidRPr="00E94232" w:rsidR="00B100C3">
              <w:rPr>
                <w:sz w:val="20"/>
                <w:szCs w:val="20"/>
              </w:rPr>
              <w:t>6,642</w:t>
            </w:r>
          </w:p>
        </w:tc>
      </w:tr>
      <w:tr w:rsidRPr="00E94232" w:rsidR="00245CE3" w:rsidTr="00CE1F63" w14:paraId="6DBE5AC3" w14:textId="77777777">
        <w:trPr>
          <w:cantSplit/>
          <w:jc w:val="center"/>
        </w:trPr>
        <w:tc>
          <w:tcPr>
            <w:tcW w:w="2335" w:type="dxa"/>
            <w:shd w:val="clear" w:color="auto" w:fill="auto"/>
          </w:tcPr>
          <w:p w:rsidRPr="00E94232" w:rsidR="00245CE3" w:rsidP="00245CE3" w:rsidRDefault="00245CE3" w14:paraId="04180BF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t>§414.1430 [Partial Qualifying APM Participant (QP) Election]</w:t>
            </w:r>
          </w:p>
        </w:tc>
        <w:tc>
          <w:tcPr>
            <w:tcW w:w="720" w:type="dxa"/>
            <w:shd w:val="clear" w:color="auto" w:fill="auto"/>
          </w:tcPr>
          <w:p w:rsidRPr="00E94232" w:rsidR="00245CE3" w:rsidP="00245CE3" w:rsidRDefault="00245CE3" w14:paraId="110105FC" w14:textId="7A10540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w:t>
            </w:r>
            <w:r w:rsidRPr="00E94232" w:rsidR="00AC3F48">
              <w:rPr>
                <w:sz w:val="20"/>
                <w:szCs w:val="20"/>
              </w:rPr>
              <w:t>9</w:t>
            </w:r>
          </w:p>
        </w:tc>
        <w:tc>
          <w:tcPr>
            <w:tcW w:w="1350" w:type="dxa"/>
            <w:shd w:val="clear" w:color="auto" w:fill="auto"/>
          </w:tcPr>
          <w:p w:rsidRPr="00E94232" w:rsidR="00245CE3" w:rsidP="00245CE3" w:rsidRDefault="00807122" w14:paraId="2B4179DB" w14:textId="5F7455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250</w:t>
            </w:r>
          </w:p>
        </w:tc>
        <w:tc>
          <w:tcPr>
            <w:tcW w:w="1170" w:type="dxa"/>
            <w:shd w:val="clear" w:color="auto" w:fill="auto"/>
          </w:tcPr>
          <w:p w:rsidRPr="00E94232" w:rsidR="00245CE3" w:rsidP="00245CE3" w:rsidRDefault="00807122" w14:paraId="298FD17B" w14:textId="0D1146B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250</w:t>
            </w:r>
          </w:p>
        </w:tc>
        <w:tc>
          <w:tcPr>
            <w:tcW w:w="1122" w:type="dxa"/>
            <w:shd w:val="clear" w:color="auto" w:fill="auto"/>
          </w:tcPr>
          <w:p w:rsidRPr="00E94232" w:rsidR="00245CE3" w:rsidP="00245CE3" w:rsidRDefault="00245CE3" w14:paraId="0D6431D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0.25</w:t>
            </w:r>
          </w:p>
        </w:tc>
        <w:tc>
          <w:tcPr>
            <w:tcW w:w="1345" w:type="dxa"/>
            <w:shd w:val="clear" w:color="auto" w:fill="auto"/>
          </w:tcPr>
          <w:p w:rsidRPr="00E94232" w:rsidR="00245CE3" w:rsidP="00245CE3" w:rsidRDefault="00807122" w14:paraId="57D94DB0" w14:textId="6AD3416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63</w:t>
            </w:r>
          </w:p>
        </w:tc>
        <w:tc>
          <w:tcPr>
            <w:tcW w:w="1061" w:type="dxa"/>
            <w:shd w:val="clear" w:color="auto" w:fill="auto"/>
          </w:tcPr>
          <w:p w:rsidRPr="00E94232" w:rsidR="00245CE3" w:rsidP="00245CE3" w:rsidRDefault="00245CE3" w14:paraId="46863C71" w14:textId="45812BF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w:t>
            </w:r>
            <w:r w:rsidRPr="00E94232" w:rsidR="00E619F3">
              <w:rPr>
                <w:sz w:val="20"/>
                <w:szCs w:val="20"/>
              </w:rPr>
              <w:t>5.22</w:t>
            </w:r>
          </w:p>
        </w:tc>
        <w:tc>
          <w:tcPr>
            <w:tcW w:w="1426" w:type="dxa"/>
            <w:shd w:val="clear" w:color="auto" w:fill="auto"/>
          </w:tcPr>
          <w:p w:rsidRPr="00E94232" w:rsidR="00245CE3" w:rsidP="00245CE3" w:rsidRDefault="00951D42" w14:paraId="26C99D49" w14:textId="7F121EF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5,9</w:t>
            </w:r>
            <w:r w:rsidRPr="00E94232" w:rsidR="002C444F">
              <w:rPr>
                <w:sz w:val="20"/>
                <w:szCs w:val="20"/>
              </w:rPr>
              <w:t>99</w:t>
            </w:r>
          </w:p>
        </w:tc>
      </w:tr>
      <w:tr w:rsidRPr="00E94232" w:rsidR="00245CE3" w:rsidTr="00CE1F63" w14:paraId="67CAF06D" w14:textId="77777777">
        <w:trPr>
          <w:cantSplit/>
          <w:jc w:val="center"/>
        </w:trPr>
        <w:tc>
          <w:tcPr>
            <w:tcW w:w="2335" w:type="dxa"/>
            <w:shd w:val="clear" w:color="auto" w:fill="auto"/>
          </w:tcPr>
          <w:p w:rsidRPr="00E94232" w:rsidR="00245CE3" w:rsidP="00245CE3" w:rsidRDefault="00245CE3" w14:paraId="3AACD22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t>§414.1440 [Other Payer Advanced APM Identification: Payer Initiated Process]</w:t>
            </w:r>
          </w:p>
        </w:tc>
        <w:tc>
          <w:tcPr>
            <w:tcW w:w="720" w:type="dxa"/>
            <w:shd w:val="clear" w:color="auto" w:fill="auto"/>
          </w:tcPr>
          <w:p w:rsidRPr="00E94232" w:rsidR="00245CE3" w:rsidP="00245CE3" w:rsidRDefault="008A735C" w14:paraId="4FF53B11" w14:textId="2F7D115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30</w:t>
            </w:r>
          </w:p>
        </w:tc>
        <w:tc>
          <w:tcPr>
            <w:tcW w:w="1350" w:type="dxa"/>
            <w:shd w:val="clear" w:color="auto" w:fill="auto"/>
          </w:tcPr>
          <w:p w:rsidRPr="00E94232" w:rsidR="00245CE3" w:rsidP="00245CE3" w:rsidRDefault="006941D2" w14:paraId="5528A25B" w14:textId="6C0F8DF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15</w:t>
            </w:r>
          </w:p>
        </w:tc>
        <w:tc>
          <w:tcPr>
            <w:tcW w:w="1170" w:type="dxa"/>
            <w:shd w:val="clear" w:color="auto" w:fill="auto"/>
          </w:tcPr>
          <w:p w:rsidRPr="00E94232" w:rsidR="00245CE3" w:rsidP="00245CE3" w:rsidRDefault="006941D2" w14:paraId="130781AF" w14:textId="2BC57E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15</w:t>
            </w:r>
          </w:p>
        </w:tc>
        <w:tc>
          <w:tcPr>
            <w:tcW w:w="1122" w:type="dxa"/>
            <w:shd w:val="clear" w:color="auto" w:fill="auto"/>
          </w:tcPr>
          <w:p w:rsidRPr="00E94232" w:rsidR="00245CE3" w:rsidP="00245CE3" w:rsidRDefault="00245CE3" w14:paraId="2206C3A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10</w:t>
            </w:r>
          </w:p>
        </w:tc>
        <w:tc>
          <w:tcPr>
            <w:tcW w:w="1345" w:type="dxa"/>
            <w:shd w:val="clear" w:color="auto" w:fill="auto"/>
          </w:tcPr>
          <w:p w:rsidRPr="00E94232" w:rsidR="00245CE3" w:rsidP="00245CE3" w:rsidRDefault="006941D2" w14:paraId="788DD162" w14:textId="5291775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150</w:t>
            </w:r>
          </w:p>
        </w:tc>
        <w:tc>
          <w:tcPr>
            <w:tcW w:w="1061" w:type="dxa"/>
            <w:shd w:val="clear" w:color="auto" w:fill="auto"/>
          </w:tcPr>
          <w:p w:rsidRPr="00E94232" w:rsidR="00245CE3" w:rsidP="00245CE3" w:rsidRDefault="00245CE3" w14:paraId="73A6A15F" w14:textId="319B415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w:t>
            </w:r>
            <w:r w:rsidRPr="00E94232" w:rsidR="00E619F3">
              <w:rPr>
                <w:sz w:val="20"/>
                <w:szCs w:val="20"/>
              </w:rPr>
              <w:t>5.22</w:t>
            </w:r>
          </w:p>
        </w:tc>
        <w:tc>
          <w:tcPr>
            <w:tcW w:w="1426" w:type="dxa"/>
            <w:shd w:val="clear" w:color="auto" w:fill="auto"/>
          </w:tcPr>
          <w:p w:rsidRPr="00E94232" w:rsidR="00245CE3" w:rsidP="00245CE3" w:rsidRDefault="00A11BC5" w14:paraId="5A89B49E" w14:textId="2C262AB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14,283</w:t>
            </w:r>
          </w:p>
        </w:tc>
      </w:tr>
      <w:tr w:rsidRPr="00E94232" w:rsidR="00245CE3" w:rsidTr="00CE1F63" w14:paraId="056B0511" w14:textId="77777777">
        <w:trPr>
          <w:cantSplit/>
          <w:jc w:val="center"/>
        </w:trPr>
        <w:tc>
          <w:tcPr>
            <w:tcW w:w="2335" w:type="dxa"/>
            <w:shd w:val="clear" w:color="auto" w:fill="auto"/>
          </w:tcPr>
          <w:p w:rsidRPr="00E94232" w:rsidR="00245CE3" w:rsidP="00245CE3" w:rsidRDefault="00245CE3" w14:paraId="6F766906" w14:textId="77777777">
            <w:pPr>
              <w:spacing w:after="0"/>
              <w:rPr>
                <w:sz w:val="20"/>
                <w:szCs w:val="20"/>
              </w:rPr>
            </w:pPr>
            <w:r w:rsidRPr="00E94232">
              <w:rPr>
                <w:sz w:val="20"/>
                <w:szCs w:val="20"/>
              </w:rPr>
              <w:t>§414.1445 [Other Payer Advanced APM Identification: Clinician Initiated Process]</w:t>
            </w:r>
          </w:p>
          <w:p w:rsidRPr="00E94232" w:rsidR="00245CE3" w:rsidP="00245CE3" w:rsidRDefault="00245CE3" w14:paraId="2CA80CC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p>
        </w:tc>
        <w:tc>
          <w:tcPr>
            <w:tcW w:w="720" w:type="dxa"/>
            <w:shd w:val="clear" w:color="auto" w:fill="auto"/>
          </w:tcPr>
          <w:p w:rsidRPr="00E94232" w:rsidR="00245CE3" w:rsidP="00245CE3" w:rsidRDefault="00874E7F" w14:paraId="11FACB18" w14:textId="4F41FB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31</w:t>
            </w:r>
          </w:p>
        </w:tc>
        <w:tc>
          <w:tcPr>
            <w:tcW w:w="1350" w:type="dxa"/>
            <w:shd w:val="clear" w:color="auto" w:fill="auto"/>
          </w:tcPr>
          <w:p w:rsidRPr="00E94232" w:rsidR="00245CE3" w:rsidP="00245CE3" w:rsidRDefault="00245CE3" w14:paraId="1E9791A2" w14:textId="31485D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15</w:t>
            </w:r>
          </w:p>
        </w:tc>
        <w:tc>
          <w:tcPr>
            <w:tcW w:w="1170" w:type="dxa"/>
            <w:shd w:val="clear" w:color="auto" w:fill="auto"/>
          </w:tcPr>
          <w:p w:rsidRPr="00E94232" w:rsidR="00245CE3" w:rsidP="00245CE3" w:rsidRDefault="00245CE3" w14:paraId="46001DF7" w14:textId="403665D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15</w:t>
            </w:r>
          </w:p>
        </w:tc>
        <w:tc>
          <w:tcPr>
            <w:tcW w:w="1122" w:type="dxa"/>
            <w:shd w:val="clear" w:color="auto" w:fill="auto"/>
          </w:tcPr>
          <w:p w:rsidRPr="00E94232" w:rsidR="00245CE3" w:rsidP="00245CE3" w:rsidRDefault="00245CE3" w14:paraId="0D8A727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10</w:t>
            </w:r>
          </w:p>
        </w:tc>
        <w:tc>
          <w:tcPr>
            <w:tcW w:w="1345" w:type="dxa"/>
            <w:shd w:val="clear" w:color="auto" w:fill="auto"/>
          </w:tcPr>
          <w:p w:rsidRPr="00E94232" w:rsidR="00245CE3" w:rsidP="00245CE3" w:rsidRDefault="00245CE3" w14:paraId="1356CC27" w14:textId="01EE9BA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1</w:t>
            </w:r>
            <w:r w:rsidRPr="00E94232" w:rsidR="00065C26">
              <w:rPr>
                <w:sz w:val="20"/>
                <w:szCs w:val="20"/>
              </w:rPr>
              <w:t>50</w:t>
            </w:r>
          </w:p>
        </w:tc>
        <w:tc>
          <w:tcPr>
            <w:tcW w:w="1061" w:type="dxa"/>
            <w:shd w:val="clear" w:color="auto" w:fill="auto"/>
          </w:tcPr>
          <w:p w:rsidRPr="00E94232" w:rsidR="00245CE3" w:rsidP="00245CE3" w:rsidRDefault="00245CE3" w14:paraId="03E2A420" w14:textId="39D5999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w:t>
            </w:r>
            <w:r w:rsidRPr="00E94232" w:rsidR="00E619F3">
              <w:rPr>
                <w:sz w:val="20"/>
                <w:szCs w:val="20"/>
              </w:rPr>
              <w:t>5.22</w:t>
            </w:r>
          </w:p>
        </w:tc>
        <w:tc>
          <w:tcPr>
            <w:tcW w:w="1426" w:type="dxa"/>
            <w:shd w:val="clear" w:color="auto" w:fill="auto"/>
          </w:tcPr>
          <w:p w:rsidRPr="00E94232" w:rsidR="00245CE3" w:rsidP="00245CE3" w:rsidRDefault="00245CE3" w14:paraId="28BF1CB1" w14:textId="527182A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w:t>
            </w:r>
            <w:r w:rsidRPr="00E94232" w:rsidR="000D39CE">
              <w:rPr>
                <w:sz w:val="20"/>
                <w:szCs w:val="20"/>
              </w:rPr>
              <w:t>4,283</w:t>
            </w:r>
          </w:p>
        </w:tc>
      </w:tr>
      <w:tr w:rsidRPr="00E94232" w:rsidR="00245CE3" w:rsidTr="00CE1F63" w14:paraId="1205A9C4" w14:textId="77777777">
        <w:trPr>
          <w:cantSplit/>
          <w:jc w:val="center"/>
        </w:trPr>
        <w:tc>
          <w:tcPr>
            <w:tcW w:w="2335" w:type="dxa"/>
            <w:shd w:val="clear" w:color="auto" w:fill="auto"/>
          </w:tcPr>
          <w:p w:rsidRPr="00E94232" w:rsidR="00245CE3" w:rsidP="00245CE3" w:rsidRDefault="00245CE3" w14:paraId="75AE0C2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t>§414.1440 [Submission of Data for All-Payer QP Determinations under the All-Payer Combination Option]</w:t>
            </w:r>
          </w:p>
        </w:tc>
        <w:tc>
          <w:tcPr>
            <w:tcW w:w="720" w:type="dxa"/>
            <w:shd w:val="clear" w:color="auto" w:fill="auto"/>
          </w:tcPr>
          <w:p w:rsidRPr="00E94232" w:rsidR="00245CE3" w:rsidP="00245CE3" w:rsidRDefault="00315D50" w14:paraId="16CE064E" w14:textId="67AF3BB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32</w:t>
            </w:r>
          </w:p>
        </w:tc>
        <w:tc>
          <w:tcPr>
            <w:tcW w:w="1350" w:type="dxa"/>
            <w:shd w:val="clear" w:color="auto" w:fill="auto"/>
          </w:tcPr>
          <w:p w:rsidRPr="00E94232" w:rsidR="00245CE3" w:rsidP="00245CE3" w:rsidRDefault="00245CE3" w14:paraId="0EF9EFF5" w14:textId="7EA2A1C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551</w:t>
            </w:r>
          </w:p>
        </w:tc>
        <w:tc>
          <w:tcPr>
            <w:tcW w:w="1170" w:type="dxa"/>
            <w:shd w:val="clear" w:color="auto" w:fill="auto"/>
          </w:tcPr>
          <w:p w:rsidRPr="00E94232" w:rsidR="00245CE3" w:rsidP="00245CE3" w:rsidRDefault="00245CE3" w14:paraId="3115301A" w14:textId="37BAA93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551</w:t>
            </w:r>
          </w:p>
        </w:tc>
        <w:tc>
          <w:tcPr>
            <w:tcW w:w="1122" w:type="dxa"/>
            <w:shd w:val="clear" w:color="auto" w:fill="auto"/>
          </w:tcPr>
          <w:p w:rsidRPr="00E94232" w:rsidR="00245CE3" w:rsidP="00245CE3" w:rsidRDefault="00245CE3" w14:paraId="14E319B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5</w:t>
            </w:r>
          </w:p>
        </w:tc>
        <w:tc>
          <w:tcPr>
            <w:tcW w:w="1345" w:type="dxa"/>
            <w:shd w:val="clear" w:color="auto" w:fill="auto"/>
          </w:tcPr>
          <w:p w:rsidRPr="00E94232" w:rsidR="00245CE3" w:rsidP="00245CE3" w:rsidRDefault="00245CE3" w14:paraId="675DFA6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2,755</w:t>
            </w:r>
          </w:p>
        </w:tc>
        <w:tc>
          <w:tcPr>
            <w:tcW w:w="1061" w:type="dxa"/>
            <w:shd w:val="clear" w:color="auto" w:fill="auto"/>
          </w:tcPr>
          <w:p w:rsidRPr="00E94232" w:rsidR="00245CE3" w:rsidP="00245CE3" w:rsidRDefault="00245CE3" w14:paraId="1B5D71AF" w14:textId="48934BB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11</w:t>
            </w:r>
            <w:r w:rsidRPr="00E94232" w:rsidR="00E619F3">
              <w:rPr>
                <w:sz w:val="20"/>
                <w:szCs w:val="20"/>
              </w:rPr>
              <w:t>4.24</w:t>
            </w:r>
          </w:p>
        </w:tc>
        <w:tc>
          <w:tcPr>
            <w:tcW w:w="1426" w:type="dxa"/>
            <w:shd w:val="clear" w:color="auto" w:fill="auto"/>
          </w:tcPr>
          <w:p w:rsidRPr="00E94232" w:rsidR="00245CE3" w:rsidP="00245CE3" w:rsidRDefault="00245CE3" w14:paraId="6ADEF5A0" w14:textId="55CBF8E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3</w:t>
            </w:r>
            <w:r w:rsidRPr="00E94232" w:rsidR="008E417C">
              <w:rPr>
                <w:sz w:val="20"/>
                <w:szCs w:val="20"/>
              </w:rPr>
              <w:t>14,731</w:t>
            </w:r>
          </w:p>
        </w:tc>
      </w:tr>
      <w:tr w:rsidRPr="00E94232" w:rsidR="00245CE3" w:rsidTr="00CE1F63" w14:paraId="64FCCACA" w14:textId="77777777">
        <w:trPr>
          <w:cantSplit/>
          <w:jc w:val="center"/>
        </w:trPr>
        <w:tc>
          <w:tcPr>
            <w:tcW w:w="2335" w:type="dxa"/>
            <w:shd w:val="clear" w:color="auto" w:fill="auto"/>
          </w:tcPr>
          <w:p w:rsidRPr="00E94232" w:rsidR="00245CE3" w:rsidP="00245CE3" w:rsidRDefault="00245CE3" w14:paraId="7E4E756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E94232">
              <w:rPr>
                <w:sz w:val="20"/>
                <w:szCs w:val="20"/>
              </w:rPr>
              <w:t>§414.1395 [(Physician Compare) Opt Out for Voluntary Participants]</w:t>
            </w:r>
          </w:p>
        </w:tc>
        <w:tc>
          <w:tcPr>
            <w:tcW w:w="720" w:type="dxa"/>
            <w:shd w:val="clear" w:color="auto" w:fill="auto"/>
          </w:tcPr>
          <w:p w:rsidRPr="00E94232" w:rsidR="00245CE3" w:rsidP="00245CE3" w:rsidRDefault="00480358" w14:paraId="0D5530F6" w14:textId="0D189ED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33</w:t>
            </w:r>
          </w:p>
        </w:tc>
        <w:tc>
          <w:tcPr>
            <w:tcW w:w="1350" w:type="dxa"/>
            <w:shd w:val="clear" w:color="auto" w:fill="auto"/>
          </w:tcPr>
          <w:p w:rsidRPr="00E94232" w:rsidR="00245CE3" w:rsidP="00245CE3" w:rsidRDefault="00245CE3" w14:paraId="6C3BF54F" w14:textId="04919D2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3</w:t>
            </w:r>
            <w:r w:rsidRPr="00E94232" w:rsidR="002C4B4E">
              <w:rPr>
                <w:sz w:val="20"/>
                <w:szCs w:val="20"/>
              </w:rPr>
              <w:t>8</w:t>
            </w:r>
          </w:p>
        </w:tc>
        <w:tc>
          <w:tcPr>
            <w:tcW w:w="1170" w:type="dxa"/>
            <w:shd w:val="clear" w:color="auto" w:fill="auto"/>
          </w:tcPr>
          <w:p w:rsidRPr="00E94232" w:rsidR="00245CE3" w:rsidP="00245CE3" w:rsidRDefault="00245CE3" w14:paraId="22FBE3C4" w14:textId="6146CA3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3</w:t>
            </w:r>
            <w:r w:rsidRPr="00E94232" w:rsidR="002C4B4E">
              <w:rPr>
                <w:sz w:val="20"/>
                <w:szCs w:val="20"/>
              </w:rPr>
              <w:t>8</w:t>
            </w:r>
          </w:p>
        </w:tc>
        <w:tc>
          <w:tcPr>
            <w:tcW w:w="1122" w:type="dxa"/>
            <w:shd w:val="clear" w:color="auto" w:fill="auto"/>
          </w:tcPr>
          <w:p w:rsidRPr="00E94232" w:rsidR="00245CE3" w:rsidP="00245CE3" w:rsidRDefault="00245CE3" w14:paraId="345D91C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0.25</w:t>
            </w:r>
          </w:p>
        </w:tc>
        <w:tc>
          <w:tcPr>
            <w:tcW w:w="1345" w:type="dxa"/>
            <w:shd w:val="clear" w:color="auto" w:fill="auto"/>
          </w:tcPr>
          <w:p w:rsidRPr="00E94232" w:rsidR="00245CE3" w:rsidP="00245CE3" w:rsidRDefault="00A70D04" w14:paraId="04AE1BEB" w14:textId="114BF6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E94232">
              <w:rPr>
                <w:sz w:val="20"/>
                <w:szCs w:val="20"/>
              </w:rPr>
              <w:t>10</w:t>
            </w:r>
          </w:p>
        </w:tc>
        <w:tc>
          <w:tcPr>
            <w:tcW w:w="1061" w:type="dxa"/>
            <w:shd w:val="clear" w:color="auto" w:fill="auto"/>
          </w:tcPr>
          <w:p w:rsidRPr="00E94232" w:rsidR="00245CE3" w:rsidP="00245CE3" w:rsidRDefault="00245CE3" w14:paraId="2671C8AF" w14:textId="70C1D33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w:t>
            </w:r>
            <w:r w:rsidRPr="00E94232" w:rsidR="00E619F3">
              <w:rPr>
                <w:sz w:val="20"/>
                <w:szCs w:val="20"/>
              </w:rPr>
              <w:t>5.22</w:t>
            </w:r>
          </w:p>
        </w:tc>
        <w:tc>
          <w:tcPr>
            <w:tcW w:w="1426" w:type="dxa"/>
            <w:shd w:val="clear" w:color="auto" w:fill="auto"/>
          </w:tcPr>
          <w:p w:rsidRPr="00E94232" w:rsidR="00245CE3" w:rsidP="00245CE3" w:rsidRDefault="00881903" w14:paraId="762CB1E5" w14:textId="5146E39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E94232">
              <w:rPr>
                <w:sz w:val="20"/>
                <w:szCs w:val="20"/>
              </w:rPr>
              <w:t>9</w:t>
            </w:r>
            <w:r w:rsidR="00E33DC6">
              <w:rPr>
                <w:sz w:val="20"/>
                <w:szCs w:val="20"/>
              </w:rPr>
              <w:t>52</w:t>
            </w:r>
          </w:p>
        </w:tc>
      </w:tr>
      <w:tr w:rsidRPr="00E94232" w:rsidR="00F37138" w:rsidTr="00CE1F63" w14:paraId="1E09D061" w14:textId="77777777">
        <w:trPr>
          <w:cantSplit/>
          <w:jc w:val="center"/>
        </w:trPr>
        <w:tc>
          <w:tcPr>
            <w:tcW w:w="2335" w:type="dxa"/>
            <w:shd w:val="clear" w:color="auto" w:fill="auto"/>
          </w:tcPr>
          <w:p w:rsidRPr="00E94232" w:rsidR="00F37138" w:rsidP="00245CE3" w:rsidRDefault="00F37138" w14:paraId="5D71D06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E94232">
              <w:rPr>
                <w:b/>
                <w:sz w:val="20"/>
                <w:szCs w:val="20"/>
              </w:rPr>
              <w:t>TOTAL</w:t>
            </w:r>
          </w:p>
        </w:tc>
        <w:tc>
          <w:tcPr>
            <w:tcW w:w="720" w:type="dxa"/>
            <w:shd w:val="clear" w:color="auto" w:fill="auto"/>
          </w:tcPr>
          <w:p w:rsidRPr="00E94232" w:rsidR="00F37138" w:rsidP="00245CE3" w:rsidRDefault="00F37138" w14:paraId="38B9E881" w14:textId="169AF5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E94232">
              <w:rPr>
                <w:b/>
                <w:sz w:val="20"/>
                <w:szCs w:val="20"/>
              </w:rPr>
              <w:t>n/a</w:t>
            </w:r>
          </w:p>
        </w:tc>
        <w:tc>
          <w:tcPr>
            <w:tcW w:w="1350" w:type="dxa"/>
            <w:shd w:val="clear" w:color="auto" w:fill="auto"/>
          </w:tcPr>
          <w:p w:rsidRPr="00E94232" w:rsidR="00F37138" w:rsidP="00245CE3" w:rsidRDefault="00F37138" w14:paraId="4F197ECB" w14:textId="63A27BB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E94232">
              <w:rPr>
                <w:b/>
                <w:sz w:val="20"/>
                <w:szCs w:val="20"/>
              </w:rPr>
              <w:t>119,890***</w:t>
            </w:r>
          </w:p>
        </w:tc>
        <w:tc>
          <w:tcPr>
            <w:tcW w:w="1170" w:type="dxa"/>
            <w:shd w:val="clear" w:color="auto" w:fill="auto"/>
          </w:tcPr>
          <w:p w:rsidRPr="00E94232" w:rsidR="00F37138" w:rsidP="006F53C8" w:rsidRDefault="00F37138" w14:paraId="20221B19" w14:textId="27E36A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E94232">
              <w:rPr>
                <w:b/>
                <w:sz w:val="20"/>
                <w:szCs w:val="20"/>
              </w:rPr>
              <w:t>310,120</w:t>
            </w:r>
          </w:p>
        </w:tc>
        <w:tc>
          <w:tcPr>
            <w:tcW w:w="1122" w:type="dxa"/>
            <w:shd w:val="clear" w:color="auto" w:fill="auto"/>
          </w:tcPr>
          <w:p w:rsidRPr="00E94232" w:rsidR="00F37138" w:rsidP="00245CE3" w:rsidRDefault="00F37138" w14:paraId="5776506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E94232">
              <w:rPr>
                <w:b/>
                <w:sz w:val="20"/>
                <w:szCs w:val="20"/>
              </w:rPr>
              <w:t>Varies</w:t>
            </w:r>
          </w:p>
        </w:tc>
        <w:tc>
          <w:tcPr>
            <w:tcW w:w="1345" w:type="dxa"/>
            <w:shd w:val="clear" w:color="auto" w:fill="auto"/>
          </w:tcPr>
          <w:p w:rsidRPr="00E94232" w:rsidR="00F37138" w:rsidP="006F53C8" w:rsidRDefault="00171F52" w14:paraId="70F70303" w14:textId="279729E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sz w:val="20"/>
                <w:szCs w:val="20"/>
              </w:rPr>
            </w:pPr>
            <w:r w:rsidRPr="00E94232">
              <w:rPr>
                <w:b/>
                <w:sz w:val="20"/>
                <w:szCs w:val="20"/>
              </w:rPr>
              <w:t>1,435,77</w:t>
            </w:r>
            <w:r w:rsidRPr="00E94232" w:rsidR="000E1833">
              <w:rPr>
                <w:b/>
                <w:sz w:val="20"/>
                <w:szCs w:val="20"/>
              </w:rPr>
              <w:t>3</w:t>
            </w:r>
          </w:p>
        </w:tc>
        <w:tc>
          <w:tcPr>
            <w:tcW w:w="1061" w:type="dxa"/>
            <w:shd w:val="clear" w:color="auto" w:fill="auto"/>
          </w:tcPr>
          <w:p w:rsidRPr="00E94232" w:rsidR="00F37138" w:rsidP="00245CE3" w:rsidRDefault="00F37138" w14:paraId="4F3B7F8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E94232">
              <w:rPr>
                <w:b/>
                <w:sz w:val="20"/>
                <w:szCs w:val="20"/>
              </w:rPr>
              <w:t>Varies</w:t>
            </w:r>
          </w:p>
        </w:tc>
        <w:tc>
          <w:tcPr>
            <w:tcW w:w="1426" w:type="dxa"/>
            <w:shd w:val="clear" w:color="auto" w:fill="auto"/>
          </w:tcPr>
          <w:p w:rsidRPr="00E94232" w:rsidR="00F37138" w:rsidP="006F53C8" w:rsidRDefault="00F37138" w14:paraId="3897439E" w14:textId="6D3010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E94232">
              <w:rPr>
                <w:b/>
                <w:sz w:val="20"/>
                <w:szCs w:val="20"/>
              </w:rPr>
              <w:t>144,800,</w:t>
            </w:r>
            <w:r w:rsidR="00805B20">
              <w:rPr>
                <w:b/>
                <w:sz w:val="20"/>
                <w:szCs w:val="20"/>
              </w:rPr>
              <w:t>324</w:t>
            </w:r>
          </w:p>
        </w:tc>
      </w:tr>
    </w:tbl>
    <w:p w:rsidR="00B634B1" w:rsidP="00B634B1" w:rsidRDefault="0071054B" w14:paraId="2B884160" w14:textId="529475C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74F5F">
        <w:rPr>
          <w:sz w:val="18"/>
          <w:szCs w:val="18"/>
        </w:rPr>
        <w:t>*With respect to the PRA, the CY 202</w:t>
      </w:r>
      <w:r w:rsidR="007A2613">
        <w:rPr>
          <w:sz w:val="18"/>
          <w:szCs w:val="18"/>
        </w:rPr>
        <w:t>2</w:t>
      </w:r>
      <w:r w:rsidRPr="00D74F5F">
        <w:rPr>
          <w:sz w:val="18"/>
          <w:szCs w:val="18"/>
        </w:rPr>
        <w:t xml:space="preserve"> PFS </w:t>
      </w:r>
      <w:r w:rsidR="007A2613">
        <w:rPr>
          <w:sz w:val="18"/>
          <w:szCs w:val="18"/>
        </w:rPr>
        <w:t>proposed</w:t>
      </w:r>
      <w:r w:rsidRPr="00D74F5F">
        <w:rPr>
          <w:sz w:val="18"/>
          <w:szCs w:val="18"/>
        </w:rPr>
        <w:t xml:space="preserve"> rule does not impose any non-labor costs.</w:t>
      </w:r>
      <w:r w:rsidRPr="00342EA6" w:rsidR="00342EA6">
        <w:t xml:space="preserve"> </w:t>
      </w:r>
      <w:r w:rsidRPr="00342EA6" w:rsidR="00342EA6">
        <w:rPr>
          <w:sz w:val="18"/>
          <w:szCs w:val="18"/>
        </w:rPr>
        <w:t>Due to burden for certain activities being estimated in fractions of hours, totals may not reflect the sum of individual rows due to rounding.</w:t>
      </w:r>
    </w:p>
    <w:p w:rsidRPr="00D74F5F" w:rsidR="00F243C0" w:rsidP="00B634B1" w:rsidRDefault="00F243C0" w14:paraId="3F1A5A4C" w14:textId="247634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Pr>
          <w:sz w:val="18"/>
          <w:szCs w:val="18"/>
        </w:rPr>
        <w:t>**</w:t>
      </w:r>
      <w:r w:rsidR="00AD3C3B">
        <w:rPr>
          <w:sz w:val="18"/>
          <w:szCs w:val="18"/>
        </w:rPr>
        <w:t>The additional time needed for some qualified registries and QCDRs to submit targeted audits, participation plans</w:t>
      </w:r>
      <w:r w:rsidR="00EC2DE1">
        <w:rPr>
          <w:sz w:val="18"/>
          <w:szCs w:val="18"/>
        </w:rPr>
        <w:t xml:space="preserve"> and</w:t>
      </w:r>
      <w:r w:rsidR="005C76A2">
        <w:rPr>
          <w:sz w:val="18"/>
          <w:szCs w:val="18"/>
        </w:rPr>
        <w:t xml:space="preserve"> </w:t>
      </w:r>
      <w:r w:rsidR="00D7295D">
        <w:rPr>
          <w:sz w:val="18"/>
          <w:szCs w:val="18"/>
        </w:rPr>
        <w:t>CAPs</w:t>
      </w:r>
      <w:r w:rsidR="00EC2DE1">
        <w:rPr>
          <w:sz w:val="18"/>
          <w:szCs w:val="18"/>
        </w:rPr>
        <w:t xml:space="preserve"> is included </w:t>
      </w:r>
      <w:r w:rsidR="005029FF">
        <w:rPr>
          <w:sz w:val="18"/>
          <w:szCs w:val="18"/>
        </w:rPr>
        <w:t>in this total</w:t>
      </w:r>
      <w:r w:rsidR="00A17082">
        <w:rPr>
          <w:sz w:val="18"/>
          <w:szCs w:val="18"/>
        </w:rPr>
        <w:t>.</w:t>
      </w:r>
    </w:p>
    <w:p w:rsidRPr="00D74F5F" w:rsidR="00B634B1" w:rsidP="00B634B1" w:rsidRDefault="00B634B1" w14:paraId="0DBF0DD7" w14:textId="1B682D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74F5F">
        <w:rPr>
          <w:sz w:val="18"/>
          <w:szCs w:val="18"/>
        </w:rPr>
        <w:t>**</w:t>
      </w:r>
      <w:r w:rsidR="00C45FC4">
        <w:rPr>
          <w:sz w:val="18"/>
          <w:szCs w:val="18"/>
        </w:rPr>
        <w:t>*</w:t>
      </w:r>
      <w:r w:rsidRPr="00D74F5F">
        <w:rPr>
          <w:sz w:val="18"/>
          <w:szCs w:val="18"/>
        </w:rPr>
        <w:t xml:space="preserve"> Total number of unique respondents to quality, Promoting Interoperability, and improvement activity performance categories is calculated to be </w:t>
      </w:r>
      <w:r w:rsidRPr="00D74F5F" w:rsidR="00313EED">
        <w:rPr>
          <w:sz w:val="18"/>
          <w:szCs w:val="18"/>
        </w:rPr>
        <w:t>1</w:t>
      </w:r>
      <w:r w:rsidR="00A66E6B">
        <w:rPr>
          <w:sz w:val="18"/>
          <w:szCs w:val="18"/>
        </w:rPr>
        <w:t>1</w:t>
      </w:r>
      <w:r w:rsidR="00037929">
        <w:rPr>
          <w:sz w:val="18"/>
          <w:szCs w:val="18"/>
        </w:rPr>
        <w:t>8,548</w:t>
      </w:r>
      <w:r w:rsidRPr="00D74F5F">
        <w:rPr>
          <w:sz w:val="18"/>
          <w:szCs w:val="18"/>
        </w:rPr>
        <w:t xml:space="preserve">.  </w:t>
      </w:r>
      <w:r w:rsidRPr="00D74F5F" w:rsidR="0069295D">
        <w:rPr>
          <w:sz w:val="18"/>
          <w:szCs w:val="18"/>
        </w:rPr>
        <w:t>Apart from</w:t>
      </w:r>
      <w:r w:rsidRPr="00D74F5F" w:rsidR="00B03519">
        <w:rPr>
          <w:sz w:val="18"/>
          <w:szCs w:val="18"/>
        </w:rPr>
        <w:t xml:space="preserve"> extreme and uncontrollable exception applications, we assume remaining number of applications for reweighting are included in this total.  We also assume all voluntary participants that opt out of Physician Compare are included in this total.</w:t>
      </w:r>
    </w:p>
    <w:p w:rsidRPr="00D74F5F" w:rsidR="008D1460" w:rsidP="00BA2FFA" w:rsidRDefault="008D1460" w14:paraId="06DFE963" w14:textId="1DC48DA7">
      <w:pPr>
        <w:rPr>
          <w:i/>
        </w:rPr>
      </w:pPr>
    </w:p>
    <w:p w:rsidRPr="00D74F5F" w:rsidR="000F0FE3" w:rsidP="00721EBD" w:rsidRDefault="000F0FE3" w14:paraId="42FC1F84" w14:textId="67F35A06">
      <w:pPr>
        <w:keepNext/>
        <w:keepLines/>
        <w:spacing w:after="0"/>
        <w:jc w:val="center"/>
        <w:rPr>
          <w:b/>
          <w:bCs/>
        </w:rPr>
      </w:pPr>
      <w:r w:rsidRPr="00D74F5F">
        <w:rPr>
          <w:b/>
          <w:bCs/>
        </w:rPr>
        <w:lastRenderedPageBreak/>
        <w:t>TABLE 3</w:t>
      </w:r>
      <w:r w:rsidR="006549F5">
        <w:rPr>
          <w:b/>
          <w:bCs/>
        </w:rPr>
        <w:t>5</w:t>
      </w:r>
      <w:r w:rsidRPr="00D74F5F">
        <w:rPr>
          <w:b/>
          <w:bCs/>
        </w:rPr>
        <w:t xml:space="preserve">: </w:t>
      </w:r>
      <w:r w:rsidR="004B7D49">
        <w:rPr>
          <w:b/>
          <w:bCs/>
        </w:rPr>
        <w:t xml:space="preserve">CY </w:t>
      </w:r>
      <w:r w:rsidRPr="00D74F5F">
        <w:rPr>
          <w:b/>
          <w:bCs/>
        </w:rPr>
        <w:t>202</w:t>
      </w:r>
      <w:r w:rsidR="004B7D49">
        <w:rPr>
          <w:b/>
          <w:bCs/>
        </w:rPr>
        <w:t>3</w:t>
      </w:r>
      <w:r w:rsidRPr="00D74F5F">
        <w:rPr>
          <w:b/>
          <w:bCs/>
        </w:rPr>
        <w:t xml:space="preserve"> MIPS Performance Period Burden Summary</w:t>
      </w:r>
    </w:p>
    <w:tbl>
      <w:tblPr>
        <w:tblW w:w="10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885"/>
        <w:gridCol w:w="1080"/>
        <w:gridCol w:w="1530"/>
        <w:gridCol w:w="1170"/>
        <w:gridCol w:w="1170"/>
        <w:gridCol w:w="1350"/>
        <w:gridCol w:w="1080"/>
        <w:gridCol w:w="1264"/>
      </w:tblGrid>
      <w:tr w:rsidRPr="00924421" w:rsidR="000F0FE3" w:rsidTr="00EA6D44" w14:paraId="6F99C3EB" w14:textId="77777777">
        <w:trPr>
          <w:cantSplit/>
          <w:tblHeader/>
          <w:jc w:val="center"/>
        </w:trPr>
        <w:tc>
          <w:tcPr>
            <w:tcW w:w="1885" w:type="dxa"/>
          </w:tcPr>
          <w:p w:rsidRPr="00924421" w:rsidR="000F0FE3" w:rsidP="00721EBD" w:rsidRDefault="000F0FE3" w14:paraId="5D51D4FB"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color w:val="000000"/>
                <w:sz w:val="20"/>
                <w:szCs w:val="20"/>
              </w:rPr>
              <w:t>Regulation Section(s) Under Title 42 of the CFR</w:t>
            </w:r>
          </w:p>
        </w:tc>
        <w:tc>
          <w:tcPr>
            <w:tcW w:w="1080" w:type="dxa"/>
          </w:tcPr>
          <w:p w:rsidRPr="00924421" w:rsidR="000F0FE3" w:rsidP="00721EBD" w:rsidRDefault="000F0FE3" w14:paraId="27648CB5"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924421">
              <w:rPr>
                <w:b/>
                <w:bCs/>
                <w:color w:val="000000"/>
                <w:sz w:val="20"/>
                <w:szCs w:val="20"/>
              </w:rPr>
              <w:t>Table No.</w:t>
            </w:r>
          </w:p>
        </w:tc>
        <w:tc>
          <w:tcPr>
            <w:tcW w:w="1530" w:type="dxa"/>
          </w:tcPr>
          <w:p w:rsidRPr="00924421" w:rsidR="000F0FE3" w:rsidP="00721EBD" w:rsidRDefault="000F0FE3" w14:paraId="5776C854"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924421">
              <w:rPr>
                <w:b/>
                <w:bCs/>
                <w:color w:val="000000"/>
                <w:sz w:val="20"/>
                <w:szCs w:val="20"/>
              </w:rPr>
              <w:t>No. Respondents</w:t>
            </w:r>
          </w:p>
        </w:tc>
        <w:tc>
          <w:tcPr>
            <w:tcW w:w="1170" w:type="dxa"/>
          </w:tcPr>
          <w:p w:rsidRPr="00924421" w:rsidR="000F0FE3" w:rsidP="00721EBD" w:rsidRDefault="000F0FE3" w14:paraId="02F030C9"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color w:val="000000"/>
                <w:sz w:val="20"/>
                <w:szCs w:val="20"/>
              </w:rPr>
              <w:t>Responses</w:t>
            </w:r>
          </w:p>
        </w:tc>
        <w:tc>
          <w:tcPr>
            <w:tcW w:w="1170" w:type="dxa"/>
          </w:tcPr>
          <w:p w:rsidRPr="00924421" w:rsidR="000F0FE3" w:rsidP="00721EBD" w:rsidRDefault="000F0FE3" w14:paraId="538C4292"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color w:val="000000"/>
                <w:sz w:val="20"/>
                <w:szCs w:val="20"/>
              </w:rPr>
              <w:t>Time per Response (hours)</w:t>
            </w:r>
          </w:p>
        </w:tc>
        <w:tc>
          <w:tcPr>
            <w:tcW w:w="1350" w:type="dxa"/>
          </w:tcPr>
          <w:p w:rsidRPr="00924421" w:rsidR="000F0FE3" w:rsidP="00721EBD" w:rsidRDefault="000F0FE3" w14:paraId="46E2B3AE"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color w:val="000000"/>
                <w:sz w:val="20"/>
                <w:szCs w:val="20"/>
              </w:rPr>
              <w:t>Total Annual Time (hours)</w:t>
            </w:r>
          </w:p>
        </w:tc>
        <w:tc>
          <w:tcPr>
            <w:tcW w:w="1080" w:type="dxa"/>
          </w:tcPr>
          <w:p w:rsidRPr="00924421" w:rsidR="000F0FE3" w:rsidP="00721EBD" w:rsidRDefault="000F0FE3" w14:paraId="0214067D" w14:textId="77777777">
            <w:pPr>
              <w:keepNext/>
              <w:keepLines/>
              <w:spacing w:after="0"/>
              <w:jc w:val="center"/>
              <w:rPr>
                <w:b/>
                <w:bCs/>
                <w:color w:val="000000"/>
                <w:sz w:val="20"/>
                <w:szCs w:val="20"/>
              </w:rPr>
            </w:pPr>
            <w:r w:rsidRPr="00924421">
              <w:rPr>
                <w:b/>
                <w:bCs/>
                <w:color w:val="000000"/>
                <w:sz w:val="20"/>
                <w:szCs w:val="20"/>
              </w:rPr>
              <w:t>Labor</w:t>
            </w:r>
          </w:p>
          <w:p w:rsidRPr="00924421" w:rsidR="000F0FE3" w:rsidP="00721EBD" w:rsidRDefault="000F0FE3" w14:paraId="55498894" w14:textId="77777777">
            <w:pPr>
              <w:keepNext/>
              <w:keepLines/>
              <w:spacing w:after="0"/>
              <w:jc w:val="center"/>
              <w:rPr>
                <w:b/>
                <w:bCs/>
                <w:color w:val="000000"/>
                <w:sz w:val="20"/>
                <w:szCs w:val="20"/>
              </w:rPr>
            </w:pPr>
            <w:r w:rsidRPr="00924421">
              <w:rPr>
                <w:b/>
                <w:bCs/>
                <w:color w:val="000000"/>
                <w:sz w:val="20"/>
                <w:szCs w:val="20"/>
              </w:rPr>
              <w:t>Cost</w:t>
            </w:r>
          </w:p>
          <w:p w:rsidRPr="00924421" w:rsidR="000F0FE3" w:rsidP="00721EBD" w:rsidRDefault="000F0FE3" w14:paraId="01098531"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color w:val="000000"/>
                <w:sz w:val="20"/>
                <w:szCs w:val="20"/>
              </w:rPr>
              <w:t>($/hr)</w:t>
            </w:r>
          </w:p>
        </w:tc>
        <w:tc>
          <w:tcPr>
            <w:tcW w:w="1264" w:type="dxa"/>
          </w:tcPr>
          <w:p w:rsidRPr="00924421" w:rsidR="000F0FE3" w:rsidP="00721EBD" w:rsidRDefault="000F0FE3" w14:paraId="654750BC"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sz w:val="20"/>
                <w:szCs w:val="20"/>
              </w:rPr>
              <w:t>Total Cost</w:t>
            </w:r>
          </w:p>
          <w:p w:rsidRPr="00924421" w:rsidR="000F0FE3" w:rsidP="00721EBD" w:rsidRDefault="000F0FE3" w14:paraId="7BF13561"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sz w:val="20"/>
                <w:szCs w:val="20"/>
              </w:rPr>
              <w:t>($)*</w:t>
            </w:r>
          </w:p>
        </w:tc>
      </w:tr>
      <w:tr w:rsidRPr="00924421" w:rsidR="000F0FE3" w:rsidTr="00EA6D44" w14:paraId="43791570" w14:textId="77777777">
        <w:trPr>
          <w:cantSplit/>
          <w:jc w:val="center"/>
        </w:trPr>
        <w:tc>
          <w:tcPr>
            <w:tcW w:w="1885" w:type="dxa"/>
          </w:tcPr>
          <w:p w:rsidRPr="00924421" w:rsidR="000F0FE3" w:rsidP="00721EBD" w:rsidRDefault="000F0FE3" w14:paraId="78FE0DF9"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§414.1400 (Registry self- nomination)</w:t>
            </w:r>
          </w:p>
        </w:tc>
        <w:tc>
          <w:tcPr>
            <w:tcW w:w="1080" w:type="dxa"/>
          </w:tcPr>
          <w:p w:rsidRPr="00924421" w:rsidR="000F0FE3" w:rsidP="00721EBD" w:rsidRDefault="000F0FE3" w14:paraId="456AF02F"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w:t>
            </w:r>
          </w:p>
        </w:tc>
        <w:tc>
          <w:tcPr>
            <w:tcW w:w="1530" w:type="dxa"/>
          </w:tcPr>
          <w:p w:rsidRPr="00924421" w:rsidR="000F0FE3" w:rsidP="00721EBD" w:rsidRDefault="00D73FE1" w14:paraId="328D161D" w14:textId="55617321">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210</w:t>
            </w:r>
          </w:p>
        </w:tc>
        <w:tc>
          <w:tcPr>
            <w:tcW w:w="1170" w:type="dxa"/>
          </w:tcPr>
          <w:p w:rsidRPr="00924421" w:rsidR="000F0FE3" w:rsidP="00721EBD" w:rsidRDefault="00D73FE1" w14:paraId="6996249C" w14:textId="168A89EA">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210</w:t>
            </w:r>
          </w:p>
        </w:tc>
        <w:tc>
          <w:tcPr>
            <w:tcW w:w="1170" w:type="dxa"/>
          </w:tcPr>
          <w:p w:rsidRPr="00924421" w:rsidR="000F0FE3" w:rsidP="00721EBD" w:rsidRDefault="00D73FE1" w14:paraId="400758DA" w14:textId="5BD99013">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p>
        </w:tc>
        <w:tc>
          <w:tcPr>
            <w:tcW w:w="1350" w:type="dxa"/>
          </w:tcPr>
          <w:p w:rsidRPr="00924421" w:rsidR="000F0FE3" w:rsidP="00721EBD" w:rsidRDefault="00EC7248" w14:paraId="74E87769" w14:textId="4479205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1,13</w:t>
            </w:r>
            <w:r w:rsidRPr="00924421" w:rsidR="00D73FE1">
              <w:rPr>
                <w:sz w:val="20"/>
                <w:szCs w:val="20"/>
              </w:rPr>
              <w:t>7</w:t>
            </w:r>
          </w:p>
        </w:tc>
        <w:tc>
          <w:tcPr>
            <w:tcW w:w="1080" w:type="dxa"/>
          </w:tcPr>
          <w:p w:rsidRPr="00924421" w:rsidR="000F0FE3" w:rsidP="00721EBD" w:rsidRDefault="000F0FE3" w14:paraId="1539FDA5" w14:textId="75DA719C">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Pr="00924421" w:rsidR="0025554D">
              <w:rPr>
                <w:sz w:val="20"/>
                <w:szCs w:val="20"/>
              </w:rPr>
              <w:t>5.22</w:t>
            </w:r>
          </w:p>
        </w:tc>
        <w:tc>
          <w:tcPr>
            <w:tcW w:w="1264" w:type="dxa"/>
          </w:tcPr>
          <w:p w:rsidRPr="00924421" w:rsidR="000F0FE3" w:rsidP="00721EBD" w:rsidRDefault="00193F6D" w14:paraId="6CC45837" w14:textId="58455CDD">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10</w:t>
            </w:r>
            <w:r w:rsidRPr="00924421" w:rsidR="00D23175">
              <w:rPr>
                <w:sz w:val="20"/>
                <w:szCs w:val="20"/>
              </w:rPr>
              <w:t>8,266</w:t>
            </w:r>
          </w:p>
        </w:tc>
      </w:tr>
      <w:tr w:rsidRPr="00924421" w:rsidR="000F0FE3" w:rsidTr="00EA6D44" w14:paraId="0490C1AC" w14:textId="77777777">
        <w:trPr>
          <w:cantSplit/>
          <w:jc w:val="center"/>
        </w:trPr>
        <w:tc>
          <w:tcPr>
            <w:tcW w:w="1885" w:type="dxa"/>
          </w:tcPr>
          <w:p w:rsidRPr="00924421" w:rsidR="000F0FE3" w:rsidP="00721EBD" w:rsidRDefault="000F0FE3" w14:paraId="1738536A"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§414.1400 (QCDR self-nomination)</w:t>
            </w:r>
          </w:p>
        </w:tc>
        <w:tc>
          <w:tcPr>
            <w:tcW w:w="1080" w:type="dxa"/>
          </w:tcPr>
          <w:p w:rsidRPr="00924421" w:rsidR="000F0FE3" w:rsidP="00721EBD" w:rsidRDefault="000F0FE3" w14:paraId="66E4C84C"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w:t>
            </w:r>
          </w:p>
        </w:tc>
        <w:tc>
          <w:tcPr>
            <w:tcW w:w="1530" w:type="dxa"/>
          </w:tcPr>
          <w:p w:rsidRPr="00924421" w:rsidR="000F0FE3" w:rsidP="00721EBD" w:rsidRDefault="006B40AC" w14:paraId="71E4EDB0" w14:textId="7808796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90</w:t>
            </w:r>
          </w:p>
        </w:tc>
        <w:tc>
          <w:tcPr>
            <w:tcW w:w="1170" w:type="dxa"/>
          </w:tcPr>
          <w:p w:rsidRPr="00924421" w:rsidR="000F0FE3" w:rsidP="00721EBD" w:rsidRDefault="006B40AC" w14:paraId="767F7038" w14:textId="78264C91">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90</w:t>
            </w:r>
          </w:p>
        </w:tc>
        <w:tc>
          <w:tcPr>
            <w:tcW w:w="1170" w:type="dxa"/>
          </w:tcPr>
          <w:p w:rsidRPr="00924421" w:rsidR="000F0FE3" w:rsidP="00721EBD" w:rsidRDefault="0068090C" w14:paraId="12011B25" w14:textId="70544318">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11.5</w:t>
            </w:r>
          </w:p>
        </w:tc>
        <w:tc>
          <w:tcPr>
            <w:tcW w:w="1350" w:type="dxa"/>
          </w:tcPr>
          <w:p w:rsidRPr="00924421" w:rsidR="000F0FE3" w:rsidP="00721EBD" w:rsidRDefault="00386E74" w14:paraId="4F7B053A" w14:textId="6B9EE9A0">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1,265</w:t>
            </w:r>
          </w:p>
        </w:tc>
        <w:tc>
          <w:tcPr>
            <w:tcW w:w="1080" w:type="dxa"/>
          </w:tcPr>
          <w:p w:rsidRPr="00924421" w:rsidR="000F0FE3" w:rsidP="00721EBD" w:rsidRDefault="000F0FE3" w14:paraId="3D84510C" w14:textId="4A758D58">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Pr="00924421" w:rsidR="0025554D">
              <w:rPr>
                <w:sz w:val="20"/>
                <w:szCs w:val="20"/>
              </w:rPr>
              <w:t>5.22</w:t>
            </w:r>
          </w:p>
        </w:tc>
        <w:tc>
          <w:tcPr>
            <w:tcW w:w="1264" w:type="dxa"/>
          </w:tcPr>
          <w:p w:rsidRPr="00924421" w:rsidR="000F0FE3" w:rsidP="00721EBD" w:rsidRDefault="000027AB" w14:paraId="1825FE12" w14:textId="1ABC4A4E">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120,454</w:t>
            </w:r>
          </w:p>
        </w:tc>
      </w:tr>
      <w:tr w:rsidRPr="00924421" w:rsidR="000F0FE3" w:rsidTr="00EA6D44" w14:paraId="06C5421F" w14:textId="77777777">
        <w:trPr>
          <w:cantSplit/>
          <w:jc w:val="center"/>
        </w:trPr>
        <w:tc>
          <w:tcPr>
            <w:tcW w:w="1885" w:type="dxa"/>
          </w:tcPr>
          <w:p w:rsidRPr="00924421" w:rsidR="000F0FE3" w:rsidP="00DF0E74" w:rsidRDefault="000F0FE3" w14:paraId="4062A1C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Open Authorization Credentialing and Token Request Process</w:t>
            </w:r>
          </w:p>
        </w:tc>
        <w:tc>
          <w:tcPr>
            <w:tcW w:w="1080" w:type="dxa"/>
          </w:tcPr>
          <w:p w:rsidRPr="00924421" w:rsidR="000F0FE3" w:rsidP="00DF0E74" w:rsidRDefault="000F0FE3" w14:paraId="22E41A6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w:t>
            </w:r>
          </w:p>
        </w:tc>
        <w:tc>
          <w:tcPr>
            <w:tcW w:w="1530" w:type="dxa"/>
          </w:tcPr>
          <w:p w:rsidRPr="00924421" w:rsidR="000F0FE3" w:rsidP="00DF0E74" w:rsidRDefault="000F0FE3" w14:paraId="23D6424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Pr="00924421" w:rsidR="000F0FE3" w:rsidP="00DF0E74" w:rsidRDefault="000F0FE3" w14:paraId="6DB97B9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Pr="00924421" w:rsidR="000F0FE3" w:rsidP="00DF0E74" w:rsidRDefault="000F0FE3" w14:paraId="7FC7ACA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p>
        </w:tc>
        <w:tc>
          <w:tcPr>
            <w:tcW w:w="1350" w:type="dxa"/>
          </w:tcPr>
          <w:p w:rsidRPr="00924421" w:rsidR="000F0FE3" w:rsidP="00DF0E74" w:rsidRDefault="000F0FE3" w14:paraId="2A38015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15</w:t>
            </w:r>
          </w:p>
        </w:tc>
        <w:tc>
          <w:tcPr>
            <w:tcW w:w="1080" w:type="dxa"/>
          </w:tcPr>
          <w:p w:rsidRPr="00924421" w:rsidR="000F0FE3" w:rsidP="00DF0E74" w:rsidRDefault="000F0FE3" w14:paraId="41989C75" w14:textId="447B43F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Pr="00924421" w:rsidR="0025554D">
              <w:rPr>
                <w:sz w:val="20"/>
                <w:szCs w:val="20"/>
              </w:rPr>
              <w:t>5.22</w:t>
            </w:r>
          </w:p>
        </w:tc>
        <w:tc>
          <w:tcPr>
            <w:tcW w:w="1264" w:type="dxa"/>
          </w:tcPr>
          <w:p w:rsidRPr="00924421" w:rsidR="000F0FE3" w:rsidP="00DF0E74" w:rsidRDefault="000F0FE3" w14:paraId="16B70847" w14:textId="47EA317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Pr="00924421" w:rsidR="00F32E27">
              <w:rPr>
                <w:sz w:val="20"/>
                <w:szCs w:val="20"/>
              </w:rPr>
              <w:t>428</w:t>
            </w:r>
          </w:p>
        </w:tc>
      </w:tr>
      <w:tr w:rsidRPr="00924421" w:rsidR="000F0FE3" w:rsidTr="00EA6D44" w14:paraId="3A685F3C" w14:textId="77777777">
        <w:trPr>
          <w:cantSplit/>
          <w:jc w:val="center"/>
        </w:trPr>
        <w:tc>
          <w:tcPr>
            <w:tcW w:w="1885" w:type="dxa"/>
          </w:tcPr>
          <w:p w:rsidRPr="00924421" w:rsidR="000F0FE3" w:rsidP="00DF0E74" w:rsidRDefault="000F0FE3" w14:paraId="588646D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§414.1325 and 414.1335 (QPP Identity Management Application Process)</w:t>
            </w:r>
          </w:p>
        </w:tc>
        <w:tc>
          <w:tcPr>
            <w:tcW w:w="1080" w:type="dxa"/>
          </w:tcPr>
          <w:p w:rsidRPr="00924421" w:rsidR="000F0FE3" w:rsidP="00DF0E74" w:rsidRDefault="000F0FE3" w14:paraId="3257E2E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p>
        </w:tc>
        <w:tc>
          <w:tcPr>
            <w:tcW w:w="1530" w:type="dxa"/>
          </w:tcPr>
          <w:p w:rsidRPr="00924421" w:rsidR="000F0FE3" w:rsidP="00DF0E74" w:rsidRDefault="000F0FE3" w14:paraId="70A847A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3,741</w:t>
            </w:r>
          </w:p>
        </w:tc>
        <w:tc>
          <w:tcPr>
            <w:tcW w:w="1170" w:type="dxa"/>
          </w:tcPr>
          <w:p w:rsidRPr="00924421" w:rsidR="000F0FE3" w:rsidP="00DF0E74" w:rsidRDefault="000F0FE3" w14:paraId="02D1B10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3,741</w:t>
            </w:r>
          </w:p>
        </w:tc>
        <w:tc>
          <w:tcPr>
            <w:tcW w:w="1170" w:type="dxa"/>
          </w:tcPr>
          <w:p w:rsidRPr="00924421" w:rsidR="000F0FE3" w:rsidP="00DF0E74" w:rsidRDefault="000F0FE3" w14:paraId="4182226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p>
        </w:tc>
        <w:tc>
          <w:tcPr>
            <w:tcW w:w="1350" w:type="dxa"/>
          </w:tcPr>
          <w:p w:rsidRPr="00924421" w:rsidR="000F0FE3" w:rsidP="00DF0E74" w:rsidRDefault="000F0FE3" w14:paraId="386EABB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3,741</w:t>
            </w:r>
          </w:p>
        </w:tc>
        <w:tc>
          <w:tcPr>
            <w:tcW w:w="1080" w:type="dxa"/>
          </w:tcPr>
          <w:p w:rsidRPr="00924421" w:rsidR="000F0FE3" w:rsidP="00DF0E74" w:rsidRDefault="000F0FE3" w14:paraId="08BED50B" w14:textId="7E7895E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Pr="00924421" w:rsidR="0025554D">
              <w:rPr>
                <w:sz w:val="20"/>
                <w:szCs w:val="20"/>
              </w:rPr>
              <w:t>5.22</w:t>
            </w:r>
          </w:p>
        </w:tc>
        <w:tc>
          <w:tcPr>
            <w:tcW w:w="1264" w:type="dxa"/>
          </w:tcPr>
          <w:p w:rsidRPr="00924421" w:rsidR="000F0FE3" w:rsidP="00DF0E74" w:rsidRDefault="000F0FE3" w14:paraId="1BFFABA3" w14:textId="731C439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w:t>
            </w:r>
            <w:r w:rsidRPr="00924421" w:rsidR="00FC5E81">
              <w:rPr>
                <w:sz w:val="20"/>
                <w:szCs w:val="20"/>
              </w:rPr>
              <w:t>56,218</w:t>
            </w:r>
          </w:p>
        </w:tc>
      </w:tr>
      <w:tr w:rsidRPr="00924421" w:rsidR="000F0FE3" w:rsidTr="00EA6D44" w14:paraId="440F0D3B" w14:textId="77777777">
        <w:trPr>
          <w:cantSplit/>
          <w:jc w:val="center"/>
        </w:trPr>
        <w:tc>
          <w:tcPr>
            <w:tcW w:w="1885" w:type="dxa"/>
          </w:tcPr>
          <w:p w:rsidRPr="00924421" w:rsidR="000F0FE3" w:rsidP="00DF0E74" w:rsidRDefault="000F0FE3" w14:paraId="511A648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§414.1325 and 414.1335 [(Quality Performance Category) Claims Collection Type]</w:t>
            </w:r>
          </w:p>
        </w:tc>
        <w:tc>
          <w:tcPr>
            <w:tcW w:w="1080" w:type="dxa"/>
          </w:tcPr>
          <w:p w:rsidRPr="00924421" w:rsidR="000F0FE3" w:rsidP="00DF0E74" w:rsidRDefault="000F0FE3" w14:paraId="7C8F5FD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10</w:t>
            </w:r>
          </w:p>
        </w:tc>
        <w:tc>
          <w:tcPr>
            <w:tcW w:w="1530" w:type="dxa"/>
          </w:tcPr>
          <w:p w:rsidRPr="00924421" w:rsidR="000F0FE3" w:rsidP="00DF0E74" w:rsidRDefault="000F0FE3" w14:paraId="235BA76D" w14:textId="1E59F55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Pr="00924421" w:rsidR="00CA3F7C">
              <w:rPr>
                <w:sz w:val="20"/>
                <w:szCs w:val="20"/>
              </w:rPr>
              <w:t>5,427</w:t>
            </w:r>
          </w:p>
        </w:tc>
        <w:tc>
          <w:tcPr>
            <w:tcW w:w="1170" w:type="dxa"/>
          </w:tcPr>
          <w:p w:rsidRPr="00924421" w:rsidR="000F0FE3" w:rsidP="00DF0E74" w:rsidRDefault="000F0FE3" w14:paraId="0E32B3A1" w14:textId="7C26ADD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Pr="00924421" w:rsidR="00CA3F7C">
              <w:rPr>
                <w:sz w:val="20"/>
                <w:szCs w:val="20"/>
              </w:rPr>
              <w:t>5,427</w:t>
            </w:r>
          </w:p>
        </w:tc>
        <w:tc>
          <w:tcPr>
            <w:tcW w:w="1170" w:type="dxa"/>
          </w:tcPr>
          <w:p w:rsidRPr="00924421" w:rsidR="000F0FE3" w:rsidP="00DF0E74" w:rsidRDefault="000F0FE3" w14:paraId="4A21CF5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14.2</w:t>
            </w:r>
          </w:p>
        </w:tc>
        <w:tc>
          <w:tcPr>
            <w:tcW w:w="1350" w:type="dxa"/>
          </w:tcPr>
          <w:p w:rsidRPr="00924421" w:rsidR="000F0FE3" w:rsidP="00DF0E74" w:rsidRDefault="00414779" w14:paraId="0E1C7B74" w14:textId="410621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361,06</w:t>
            </w:r>
            <w:r w:rsidRPr="00924421" w:rsidR="00BB0073">
              <w:rPr>
                <w:sz w:val="20"/>
                <w:szCs w:val="20"/>
              </w:rPr>
              <w:t>3</w:t>
            </w:r>
          </w:p>
        </w:tc>
        <w:tc>
          <w:tcPr>
            <w:tcW w:w="1080" w:type="dxa"/>
          </w:tcPr>
          <w:p w:rsidRPr="00924421" w:rsidR="000F0FE3" w:rsidP="00DF0E74" w:rsidRDefault="000F0FE3" w14:paraId="75B8B6C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 (see table 10)</w:t>
            </w:r>
          </w:p>
        </w:tc>
        <w:tc>
          <w:tcPr>
            <w:tcW w:w="1264" w:type="dxa"/>
          </w:tcPr>
          <w:p w:rsidRPr="00924421" w:rsidR="000F0FE3" w:rsidP="00DF0E74" w:rsidRDefault="008035F9" w14:paraId="4A47EAFF" w14:textId="1334BA9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36</w:t>
            </w:r>
            <w:r w:rsidRPr="00924421" w:rsidR="007B4DD7">
              <w:rPr>
                <w:sz w:val="20"/>
                <w:szCs w:val="20"/>
              </w:rPr>
              <w:t>,3</w:t>
            </w:r>
            <w:r w:rsidRPr="00924421" w:rsidR="00641C07">
              <w:rPr>
                <w:sz w:val="20"/>
                <w:szCs w:val="20"/>
              </w:rPr>
              <w:t>35,</w:t>
            </w:r>
            <w:r w:rsidRPr="00924421" w:rsidR="00267E03">
              <w:rPr>
                <w:sz w:val="20"/>
                <w:szCs w:val="20"/>
              </w:rPr>
              <w:t>692</w:t>
            </w:r>
          </w:p>
        </w:tc>
      </w:tr>
      <w:tr w:rsidRPr="00924421" w:rsidR="000F0FE3" w:rsidTr="00EA6D44" w14:paraId="5D7F0D98" w14:textId="77777777">
        <w:trPr>
          <w:cantSplit/>
          <w:jc w:val="center"/>
        </w:trPr>
        <w:tc>
          <w:tcPr>
            <w:tcW w:w="1885" w:type="dxa"/>
          </w:tcPr>
          <w:p w:rsidRPr="00924421" w:rsidR="000F0FE3" w:rsidP="00DF0E74" w:rsidRDefault="000F0FE3" w14:paraId="5AC870DF" w14:textId="768DAF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§414.1325 and 414.1335 [(Quality Performance Category) QCDR/MIPS CQM Collection Type]</w:t>
            </w:r>
          </w:p>
        </w:tc>
        <w:tc>
          <w:tcPr>
            <w:tcW w:w="1080" w:type="dxa"/>
          </w:tcPr>
          <w:p w:rsidRPr="00924421" w:rsidR="000F0FE3" w:rsidP="00DF0E74" w:rsidRDefault="000F0FE3" w14:paraId="569EF39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11</w:t>
            </w:r>
          </w:p>
        </w:tc>
        <w:tc>
          <w:tcPr>
            <w:tcW w:w="1530" w:type="dxa"/>
          </w:tcPr>
          <w:p w:rsidRPr="00924421" w:rsidR="000F0FE3" w:rsidP="00DF0E74" w:rsidRDefault="00B869A0" w14:paraId="2AF34311" w14:textId="233D848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46,8</w:t>
            </w:r>
            <w:r w:rsidRPr="00924421" w:rsidR="00536C8A">
              <w:rPr>
                <w:sz w:val="20"/>
                <w:szCs w:val="20"/>
              </w:rPr>
              <w:t>90</w:t>
            </w:r>
          </w:p>
        </w:tc>
        <w:tc>
          <w:tcPr>
            <w:tcW w:w="1170" w:type="dxa"/>
          </w:tcPr>
          <w:p w:rsidRPr="00924421" w:rsidR="000F0FE3" w:rsidP="00DF0E74" w:rsidRDefault="005A6F49" w14:paraId="5160B5E5" w14:textId="0A12FE4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46,8</w:t>
            </w:r>
            <w:r w:rsidRPr="00924421" w:rsidR="00176A18">
              <w:rPr>
                <w:sz w:val="20"/>
                <w:szCs w:val="20"/>
              </w:rPr>
              <w:t>90</w:t>
            </w:r>
          </w:p>
        </w:tc>
        <w:tc>
          <w:tcPr>
            <w:tcW w:w="1170" w:type="dxa"/>
          </w:tcPr>
          <w:p w:rsidRPr="00924421" w:rsidR="000F0FE3" w:rsidP="00DF0E74" w:rsidRDefault="000F0FE3" w14:paraId="062F006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9.083</w:t>
            </w:r>
          </w:p>
        </w:tc>
        <w:tc>
          <w:tcPr>
            <w:tcW w:w="1350" w:type="dxa"/>
          </w:tcPr>
          <w:p w:rsidRPr="00924421" w:rsidR="000F0FE3" w:rsidP="00DF0E74" w:rsidRDefault="000F0FE3" w14:paraId="542F9D67" w14:textId="15B1903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4</w:t>
            </w:r>
            <w:r w:rsidRPr="00924421" w:rsidR="0098741B">
              <w:rPr>
                <w:sz w:val="20"/>
                <w:szCs w:val="20"/>
              </w:rPr>
              <w:t>25,</w:t>
            </w:r>
            <w:r w:rsidRPr="00924421" w:rsidR="009620CD">
              <w:rPr>
                <w:sz w:val="20"/>
                <w:szCs w:val="20"/>
              </w:rPr>
              <w:t>902</w:t>
            </w:r>
          </w:p>
        </w:tc>
        <w:tc>
          <w:tcPr>
            <w:tcW w:w="1080" w:type="dxa"/>
          </w:tcPr>
          <w:p w:rsidRPr="00924421" w:rsidR="000F0FE3" w:rsidP="00DF0E74" w:rsidRDefault="000F0FE3" w14:paraId="41B6496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 (see table 11)</w:t>
            </w:r>
          </w:p>
        </w:tc>
        <w:tc>
          <w:tcPr>
            <w:tcW w:w="1264" w:type="dxa"/>
          </w:tcPr>
          <w:p w:rsidRPr="00924421" w:rsidR="000F0FE3" w:rsidP="00DF0E74" w:rsidRDefault="000F0FE3" w14:paraId="092B4EEA" w14:textId="3B0400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w:t>
            </w:r>
            <w:r w:rsidRPr="00924421" w:rsidR="00AA4250">
              <w:rPr>
                <w:sz w:val="20"/>
                <w:szCs w:val="20"/>
              </w:rPr>
              <w:t>3,2</w:t>
            </w:r>
            <w:r w:rsidRPr="00924421" w:rsidR="00F045BB">
              <w:rPr>
                <w:sz w:val="20"/>
                <w:szCs w:val="20"/>
              </w:rPr>
              <w:t>68,216</w:t>
            </w:r>
          </w:p>
        </w:tc>
      </w:tr>
      <w:tr w:rsidRPr="00924421" w:rsidR="000F0FE3" w:rsidTr="00EA6D44" w14:paraId="0E254EED" w14:textId="77777777">
        <w:trPr>
          <w:cantSplit/>
          <w:jc w:val="center"/>
        </w:trPr>
        <w:tc>
          <w:tcPr>
            <w:tcW w:w="1885" w:type="dxa"/>
          </w:tcPr>
          <w:p w:rsidRPr="00924421" w:rsidR="000F0FE3" w:rsidP="00DF0E74" w:rsidRDefault="000F0FE3" w14:paraId="1C620554" w14:textId="720218C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§414.1325 and 414.1335 [(Quality Performance Category) eCQM Collection Type]</w:t>
            </w:r>
          </w:p>
        </w:tc>
        <w:tc>
          <w:tcPr>
            <w:tcW w:w="1080" w:type="dxa"/>
          </w:tcPr>
          <w:p w:rsidRPr="00924421" w:rsidR="000F0FE3" w:rsidP="00DF0E74" w:rsidRDefault="000F0FE3" w14:paraId="7773189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12</w:t>
            </w:r>
          </w:p>
        </w:tc>
        <w:tc>
          <w:tcPr>
            <w:tcW w:w="1530" w:type="dxa"/>
          </w:tcPr>
          <w:p w:rsidRPr="00924421" w:rsidR="000F0FE3" w:rsidP="00DF0E74" w:rsidRDefault="002B11A9" w14:paraId="15835816" w14:textId="69BFA86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43,773</w:t>
            </w:r>
          </w:p>
        </w:tc>
        <w:tc>
          <w:tcPr>
            <w:tcW w:w="1170" w:type="dxa"/>
          </w:tcPr>
          <w:p w:rsidRPr="00924421" w:rsidR="000F0FE3" w:rsidP="00DF0E74" w:rsidRDefault="003D713D" w14:paraId="6AD707F3" w14:textId="78ABFC5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43,773</w:t>
            </w:r>
          </w:p>
        </w:tc>
        <w:tc>
          <w:tcPr>
            <w:tcW w:w="1170" w:type="dxa"/>
          </w:tcPr>
          <w:p w:rsidRPr="00924421" w:rsidR="000F0FE3" w:rsidP="00DF0E74" w:rsidRDefault="000F0FE3" w14:paraId="5658EBD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8.0</w:t>
            </w:r>
          </w:p>
        </w:tc>
        <w:tc>
          <w:tcPr>
            <w:tcW w:w="1350" w:type="dxa"/>
          </w:tcPr>
          <w:p w:rsidRPr="00924421" w:rsidR="000F0FE3" w:rsidP="00DF0E74" w:rsidRDefault="00B509FC" w14:paraId="2C5B7231" w14:textId="7DD1810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350,18</w:t>
            </w:r>
            <w:r w:rsidRPr="00924421" w:rsidR="00092069">
              <w:rPr>
                <w:sz w:val="20"/>
                <w:szCs w:val="20"/>
              </w:rPr>
              <w:t>4</w:t>
            </w:r>
          </w:p>
        </w:tc>
        <w:tc>
          <w:tcPr>
            <w:tcW w:w="1080" w:type="dxa"/>
          </w:tcPr>
          <w:p w:rsidRPr="00924421" w:rsidR="000F0FE3" w:rsidP="00DF0E74" w:rsidRDefault="000F0FE3" w14:paraId="4B387D4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 (see table 12)</w:t>
            </w:r>
          </w:p>
        </w:tc>
        <w:tc>
          <w:tcPr>
            <w:tcW w:w="1264" w:type="dxa"/>
          </w:tcPr>
          <w:p w:rsidRPr="00924421" w:rsidR="000F0FE3" w:rsidP="00DF0E74" w:rsidRDefault="00375A59" w14:paraId="512B88A0" w14:textId="2BCC62F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35,878,</w:t>
            </w:r>
            <w:r w:rsidRPr="00924421" w:rsidR="002E2AE3">
              <w:rPr>
                <w:sz w:val="20"/>
                <w:szCs w:val="20"/>
              </w:rPr>
              <w:t>102</w:t>
            </w:r>
          </w:p>
        </w:tc>
      </w:tr>
      <w:tr w:rsidRPr="00924421" w:rsidR="0040029B" w:rsidTr="00EA6D44" w14:paraId="7B046168" w14:textId="77777777">
        <w:trPr>
          <w:cantSplit/>
          <w:jc w:val="center"/>
        </w:trPr>
        <w:tc>
          <w:tcPr>
            <w:tcW w:w="1885" w:type="dxa"/>
            <w:vAlign w:val="bottom"/>
          </w:tcPr>
          <w:p w:rsidRPr="00924421" w:rsidR="0040029B" w:rsidP="0040029B" w:rsidRDefault="0040029B" w14:paraId="25915E2F" w14:textId="16ADC02A">
            <w:pPr>
              <w:spacing w:after="0"/>
              <w:rPr>
                <w:sz w:val="20"/>
                <w:szCs w:val="20"/>
              </w:rPr>
            </w:pPr>
            <w:r w:rsidRPr="00924421">
              <w:rPr>
                <w:color w:val="000000"/>
                <w:sz w:val="20"/>
                <w:szCs w:val="20"/>
              </w:rPr>
              <w:t>§ 414.1365 MVP Registration: 2023 Performance Period</w:t>
            </w:r>
          </w:p>
        </w:tc>
        <w:tc>
          <w:tcPr>
            <w:tcW w:w="1080" w:type="dxa"/>
          </w:tcPr>
          <w:p w:rsidRPr="00924421" w:rsidR="0040029B" w:rsidP="0040029B" w:rsidRDefault="0040029B" w14:paraId="54D70837" w14:textId="03C3D24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13</w:t>
            </w:r>
          </w:p>
        </w:tc>
        <w:tc>
          <w:tcPr>
            <w:tcW w:w="1530" w:type="dxa"/>
          </w:tcPr>
          <w:p w:rsidRPr="00924421" w:rsidR="0040029B" w:rsidP="0040029B" w:rsidRDefault="0040029B" w14:paraId="58630956" w14:textId="694EE19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12,91</w:t>
            </w:r>
            <w:r w:rsidR="00714FEC">
              <w:rPr>
                <w:sz w:val="20"/>
                <w:szCs w:val="20"/>
              </w:rPr>
              <w:t>7</w:t>
            </w:r>
          </w:p>
        </w:tc>
        <w:tc>
          <w:tcPr>
            <w:tcW w:w="1170" w:type="dxa"/>
          </w:tcPr>
          <w:p w:rsidRPr="00924421" w:rsidR="0040029B" w:rsidP="0040029B" w:rsidRDefault="0040029B" w14:paraId="6A69FC89" w14:textId="12327E1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12,91</w:t>
            </w:r>
            <w:r w:rsidR="00714FEC">
              <w:rPr>
                <w:sz w:val="20"/>
                <w:szCs w:val="20"/>
              </w:rPr>
              <w:t>7</w:t>
            </w:r>
          </w:p>
        </w:tc>
        <w:tc>
          <w:tcPr>
            <w:tcW w:w="1170" w:type="dxa"/>
          </w:tcPr>
          <w:p w:rsidRPr="00924421" w:rsidR="0040029B" w:rsidP="0040029B" w:rsidRDefault="0040029B" w14:paraId="7F09FADE" w14:textId="62ACA39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0.25</w:t>
            </w:r>
          </w:p>
        </w:tc>
        <w:tc>
          <w:tcPr>
            <w:tcW w:w="1350" w:type="dxa"/>
          </w:tcPr>
          <w:p w:rsidRPr="00924421" w:rsidR="0040029B" w:rsidP="0040029B" w:rsidRDefault="0040029B" w14:paraId="3CEA1474" w14:textId="361BC5F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3,2</w:t>
            </w:r>
            <w:r w:rsidR="005105A8">
              <w:rPr>
                <w:sz w:val="20"/>
                <w:szCs w:val="20"/>
              </w:rPr>
              <w:t>29</w:t>
            </w:r>
          </w:p>
        </w:tc>
        <w:tc>
          <w:tcPr>
            <w:tcW w:w="1080" w:type="dxa"/>
          </w:tcPr>
          <w:p w:rsidRPr="00924421" w:rsidR="0040029B" w:rsidP="0040029B" w:rsidRDefault="0040029B" w14:paraId="7B1F7F14" w14:textId="3742F58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95.22</w:t>
            </w:r>
          </w:p>
        </w:tc>
        <w:tc>
          <w:tcPr>
            <w:tcW w:w="1264" w:type="dxa"/>
          </w:tcPr>
          <w:p w:rsidRPr="00924421" w:rsidR="0040029B" w:rsidP="0040029B" w:rsidRDefault="0040029B" w14:paraId="025B1369" w14:textId="02E1155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307,</w:t>
            </w:r>
            <w:r w:rsidR="007E17C5">
              <w:rPr>
                <w:sz w:val="20"/>
                <w:szCs w:val="20"/>
              </w:rPr>
              <w:t>465</w:t>
            </w:r>
          </w:p>
        </w:tc>
      </w:tr>
      <w:tr w:rsidRPr="00924421" w:rsidR="0040029B" w:rsidTr="00EA6D44" w14:paraId="460C36C0" w14:textId="77777777">
        <w:trPr>
          <w:cantSplit/>
          <w:jc w:val="center"/>
        </w:trPr>
        <w:tc>
          <w:tcPr>
            <w:tcW w:w="1885" w:type="dxa"/>
            <w:vAlign w:val="bottom"/>
          </w:tcPr>
          <w:p w:rsidRPr="00924421" w:rsidR="0040029B" w:rsidP="0040029B" w:rsidRDefault="0040029B" w14:paraId="5F53D93E" w14:textId="6849B3FF">
            <w:pPr>
              <w:spacing w:after="0"/>
              <w:rPr>
                <w:sz w:val="20"/>
                <w:szCs w:val="20"/>
              </w:rPr>
            </w:pPr>
            <w:r w:rsidRPr="00924421">
              <w:rPr>
                <w:color w:val="000000"/>
                <w:sz w:val="20"/>
                <w:szCs w:val="20"/>
              </w:rPr>
              <w:t>§ 414.1365 Subgroup Registration: 2023 Performance Period</w:t>
            </w:r>
          </w:p>
        </w:tc>
        <w:tc>
          <w:tcPr>
            <w:tcW w:w="1080" w:type="dxa"/>
          </w:tcPr>
          <w:p w:rsidRPr="00924421" w:rsidR="0040029B" w:rsidP="0040029B" w:rsidRDefault="0040029B" w14:paraId="2EC1F697" w14:textId="469CDD6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14</w:t>
            </w:r>
          </w:p>
        </w:tc>
        <w:tc>
          <w:tcPr>
            <w:tcW w:w="1530" w:type="dxa"/>
          </w:tcPr>
          <w:p w:rsidRPr="00924421" w:rsidR="0040029B" w:rsidP="0040029B" w:rsidRDefault="0040029B" w14:paraId="621DDB3E" w14:textId="0AE73DF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20</w:t>
            </w:r>
          </w:p>
        </w:tc>
        <w:tc>
          <w:tcPr>
            <w:tcW w:w="1170" w:type="dxa"/>
          </w:tcPr>
          <w:p w:rsidRPr="00924421" w:rsidR="0040029B" w:rsidP="0040029B" w:rsidRDefault="0040029B" w14:paraId="2E70B1F1" w14:textId="6442173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20</w:t>
            </w:r>
          </w:p>
        </w:tc>
        <w:tc>
          <w:tcPr>
            <w:tcW w:w="1170" w:type="dxa"/>
          </w:tcPr>
          <w:p w:rsidRPr="00924421" w:rsidR="0040029B" w:rsidP="0040029B" w:rsidRDefault="0040029B" w14:paraId="34672AEA" w14:textId="56822A1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0.5</w:t>
            </w:r>
          </w:p>
        </w:tc>
        <w:tc>
          <w:tcPr>
            <w:tcW w:w="1350" w:type="dxa"/>
          </w:tcPr>
          <w:p w:rsidRPr="00924421" w:rsidR="0040029B" w:rsidP="0040029B" w:rsidRDefault="0040029B" w14:paraId="74E62DF8" w14:textId="5A95B7A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10</w:t>
            </w:r>
          </w:p>
        </w:tc>
        <w:tc>
          <w:tcPr>
            <w:tcW w:w="1080" w:type="dxa"/>
          </w:tcPr>
          <w:p w:rsidRPr="00924421" w:rsidR="0040029B" w:rsidP="0040029B" w:rsidRDefault="0040029B" w14:paraId="3D7E7091" w14:textId="3CB27E5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95.22</w:t>
            </w:r>
          </w:p>
        </w:tc>
        <w:tc>
          <w:tcPr>
            <w:tcW w:w="1264" w:type="dxa"/>
          </w:tcPr>
          <w:p w:rsidRPr="00924421" w:rsidR="0040029B" w:rsidP="0040029B" w:rsidRDefault="0040029B" w14:paraId="36B12CB0" w14:textId="26A4D9A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952</w:t>
            </w:r>
          </w:p>
        </w:tc>
      </w:tr>
      <w:tr w:rsidRPr="00924421" w:rsidR="0040029B" w:rsidTr="00EA6D44" w14:paraId="0A8CD9B7" w14:textId="77777777">
        <w:trPr>
          <w:cantSplit/>
          <w:jc w:val="center"/>
        </w:trPr>
        <w:tc>
          <w:tcPr>
            <w:tcW w:w="1885" w:type="dxa"/>
            <w:vAlign w:val="bottom"/>
          </w:tcPr>
          <w:p w:rsidRPr="00924421" w:rsidR="0040029B" w:rsidP="0040029B" w:rsidRDefault="0040029B" w14:paraId="1EA5CDF9" w14:textId="705F9831">
            <w:pPr>
              <w:spacing w:after="0"/>
              <w:rPr>
                <w:sz w:val="20"/>
                <w:szCs w:val="20"/>
              </w:rPr>
            </w:pPr>
            <w:r w:rsidRPr="00924421">
              <w:rPr>
                <w:color w:val="000000"/>
                <w:sz w:val="20"/>
                <w:szCs w:val="20"/>
              </w:rPr>
              <w:t>§ 414.1365 MVP Quality Submission: 2023 Performance Period</w:t>
            </w:r>
          </w:p>
        </w:tc>
        <w:tc>
          <w:tcPr>
            <w:tcW w:w="1080" w:type="dxa"/>
          </w:tcPr>
          <w:p w:rsidRPr="00924421" w:rsidR="0040029B" w:rsidP="0040029B" w:rsidRDefault="0040029B" w14:paraId="59DB93A3" w14:textId="2154BE9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530" w:type="dxa"/>
          </w:tcPr>
          <w:p w:rsidRPr="00924421" w:rsidR="0040029B" w:rsidP="0040029B" w:rsidRDefault="0040029B" w14:paraId="57BBA74F" w14:textId="0FFC085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12,91</w:t>
            </w:r>
            <w:r w:rsidRPr="00924421" w:rsidR="00B33819">
              <w:rPr>
                <w:sz w:val="20"/>
                <w:szCs w:val="20"/>
              </w:rPr>
              <w:t>7</w:t>
            </w:r>
          </w:p>
        </w:tc>
        <w:tc>
          <w:tcPr>
            <w:tcW w:w="1170" w:type="dxa"/>
          </w:tcPr>
          <w:p w:rsidRPr="00924421" w:rsidR="0040029B" w:rsidP="0040029B" w:rsidRDefault="0040029B" w14:paraId="550E6C65" w14:textId="52D9B14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12,91</w:t>
            </w:r>
            <w:r w:rsidR="00714FEC">
              <w:rPr>
                <w:sz w:val="20"/>
                <w:szCs w:val="20"/>
              </w:rPr>
              <w:t>7</w:t>
            </w:r>
          </w:p>
        </w:tc>
        <w:tc>
          <w:tcPr>
            <w:tcW w:w="1170" w:type="dxa"/>
          </w:tcPr>
          <w:p w:rsidRPr="00924421" w:rsidR="0040029B" w:rsidP="0040029B" w:rsidRDefault="0040029B" w14:paraId="256151B5" w14:textId="2EF2CFF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w:t>
            </w:r>
          </w:p>
        </w:tc>
        <w:tc>
          <w:tcPr>
            <w:tcW w:w="1350" w:type="dxa"/>
          </w:tcPr>
          <w:p w:rsidRPr="00924421" w:rsidR="0040029B" w:rsidP="0040029B" w:rsidRDefault="0040029B" w14:paraId="21885FA0" w14:textId="3421C8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83,673</w:t>
            </w:r>
          </w:p>
        </w:tc>
        <w:tc>
          <w:tcPr>
            <w:tcW w:w="1080" w:type="dxa"/>
          </w:tcPr>
          <w:p w:rsidRPr="00924421" w:rsidR="0040029B" w:rsidP="0040029B" w:rsidRDefault="0040029B" w14:paraId="07C952EC" w14:textId="7CD9866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w:t>
            </w:r>
            <w:r w:rsidRPr="00924421" w:rsidR="00BD2055">
              <w:rPr>
                <w:sz w:val="20"/>
                <w:szCs w:val="20"/>
              </w:rPr>
              <w:t xml:space="preserve"> (see table 15)</w:t>
            </w:r>
          </w:p>
        </w:tc>
        <w:tc>
          <w:tcPr>
            <w:tcW w:w="1264" w:type="dxa"/>
          </w:tcPr>
          <w:p w:rsidRPr="00924421" w:rsidR="0040029B" w:rsidP="0040029B" w:rsidRDefault="0040029B" w14:paraId="517EDA63" w14:textId="538F57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8,564,736</w:t>
            </w:r>
          </w:p>
        </w:tc>
      </w:tr>
      <w:tr w:rsidRPr="00924421" w:rsidR="0040029B" w:rsidTr="00EA6D44" w14:paraId="67468529" w14:textId="77777777">
        <w:trPr>
          <w:cantSplit/>
          <w:jc w:val="center"/>
        </w:trPr>
        <w:tc>
          <w:tcPr>
            <w:tcW w:w="1885" w:type="dxa"/>
            <w:vAlign w:val="bottom"/>
          </w:tcPr>
          <w:p w:rsidRPr="00924421" w:rsidR="0040029B" w:rsidP="00827359" w:rsidRDefault="0040029B" w14:paraId="47084942" w14:textId="510F97BE">
            <w:pPr>
              <w:spacing w:after="0"/>
              <w:rPr>
                <w:sz w:val="20"/>
                <w:szCs w:val="20"/>
              </w:rPr>
            </w:pPr>
            <w:r w:rsidRPr="00924421">
              <w:rPr>
                <w:sz w:val="20"/>
                <w:szCs w:val="20"/>
              </w:rPr>
              <w:t>[(Quality Performance Category)</w:t>
            </w:r>
            <w:r w:rsidRPr="00924421" w:rsidR="0094328C">
              <w:rPr>
                <w:sz w:val="20"/>
                <w:szCs w:val="20"/>
              </w:rPr>
              <w:t xml:space="preserve"> </w:t>
            </w:r>
            <w:r w:rsidRPr="00924421">
              <w:rPr>
                <w:sz w:val="20"/>
                <w:szCs w:val="20"/>
              </w:rPr>
              <w:t>Call for Quality Measures]</w:t>
            </w:r>
          </w:p>
        </w:tc>
        <w:tc>
          <w:tcPr>
            <w:tcW w:w="1080" w:type="dxa"/>
          </w:tcPr>
          <w:p w:rsidRPr="00924421" w:rsidR="0040029B" w:rsidP="0040029B" w:rsidRDefault="0040029B" w14:paraId="23EF3D6C" w14:textId="0B64504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Pr="00924421" w:rsidR="005F142E">
              <w:rPr>
                <w:sz w:val="20"/>
                <w:szCs w:val="20"/>
              </w:rPr>
              <w:t>8</w:t>
            </w:r>
          </w:p>
        </w:tc>
        <w:tc>
          <w:tcPr>
            <w:tcW w:w="1530" w:type="dxa"/>
          </w:tcPr>
          <w:p w:rsidRPr="00924421" w:rsidR="0040029B" w:rsidP="0040029B" w:rsidRDefault="0040029B" w14:paraId="2C1426E9" w14:textId="69A2F28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28</w:t>
            </w:r>
          </w:p>
        </w:tc>
        <w:tc>
          <w:tcPr>
            <w:tcW w:w="1170" w:type="dxa"/>
          </w:tcPr>
          <w:p w:rsidRPr="00924421" w:rsidR="0040029B" w:rsidP="0040029B" w:rsidRDefault="0040029B" w14:paraId="1C2587D9" w14:textId="2B40528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28</w:t>
            </w:r>
          </w:p>
        </w:tc>
        <w:tc>
          <w:tcPr>
            <w:tcW w:w="1170" w:type="dxa"/>
          </w:tcPr>
          <w:p w:rsidRPr="00924421" w:rsidR="0040029B" w:rsidP="0040029B" w:rsidRDefault="0040029B" w14:paraId="66D94315" w14:textId="5DAB0B8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5.5</w:t>
            </w:r>
          </w:p>
        </w:tc>
        <w:tc>
          <w:tcPr>
            <w:tcW w:w="1350" w:type="dxa"/>
          </w:tcPr>
          <w:p w:rsidRPr="00924421" w:rsidR="0040029B" w:rsidP="0040029B" w:rsidRDefault="0040029B" w14:paraId="37EF5FC3" w14:textId="05E688B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154</w:t>
            </w:r>
          </w:p>
        </w:tc>
        <w:tc>
          <w:tcPr>
            <w:tcW w:w="1080" w:type="dxa"/>
          </w:tcPr>
          <w:p w:rsidRPr="00924421" w:rsidR="0040029B" w:rsidP="0040029B" w:rsidRDefault="0040029B" w14:paraId="75397B3A" w14:textId="2268443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 (see table 1</w:t>
            </w:r>
            <w:r w:rsidRPr="00924421" w:rsidR="00B00231">
              <w:rPr>
                <w:sz w:val="20"/>
                <w:szCs w:val="20"/>
              </w:rPr>
              <w:t>8</w:t>
            </w:r>
            <w:r w:rsidRPr="00924421">
              <w:rPr>
                <w:sz w:val="20"/>
                <w:szCs w:val="20"/>
              </w:rPr>
              <w:t>)</w:t>
            </w:r>
          </w:p>
        </w:tc>
        <w:tc>
          <w:tcPr>
            <w:tcW w:w="1264" w:type="dxa"/>
          </w:tcPr>
          <w:p w:rsidRPr="00924421" w:rsidR="0040029B" w:rsidP="0040029B" w:rsidRDefault="00FD4BC1" w14:paraId="39395389" w14:textId="18A58CA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26,54</w:t>
            </w:r>
            <w:r w:rsidRPr="00924421" w:rsidR="00C812B7">
              <w:rPr>
                <w:sz w:val="20"/>
                <w:szCs w:val="20"/>
              </w:rPr>
              <w:t>1</w:t>
            </w:r>
          </w:p>
        </w:tc>
      </w:tr>
      <w:tr w:rsidRPr="00924421" w:rsidR="0040029B" w:rsidTr="00EA6D44" w14:paraId="1AE0EAFB" w14:textId="77777777">
        <w:trPr>
          <w:cantSplit/>
          <w:jc w:val="center"/>
        </w:trPr>
        <w:tc>
          <w:tcPr>
            <w:tcW w:w="1885" w:type="dxa"/>
            <w:vAlign w:val="bottom"/>
          </w:tcPr>
          <w:p w:rsidRPr="00924421" w:rsidR="0040029B" w:rsidP="0040029B" w:rsidRDefault="0040029B" w14:paraId="176F604C" w14:textId="4A8D46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lastRenderedPageBreak/>
              <w:t xml:space="preserve">§414.1375 and 414.1380[(PI Performance Category) Reweighting Applications for Promoting Interoperability and Other Performance Categories </w:t>
            </w:r>
          </w:p>
        </w:tc>
        <w:tc>
          <w:tcPr>
            <w:tcW w:w="1080" w:type="dxa"/>
          </w:tcPr>
          <w:p w:rsidRPr="00924421" w:rsidR="0040029B" w:rsidP="0040029B" w:rsidRDefault="0040029B" w14:paraId="26CDF464" w14:textId="6541890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Pr="00924421" w:rsidR="00217B82">
              <w:rPr>
                <w:sz w:val="20"/>
                <w:szCs w:val="20"/>
              </w:rPr>
              <w:t>9</w:t>
            </w:r>
          </w:p>
        </w:tc>
        <w:tc>
          <w:tcPr>
            <w:tcW w:w="1530" w:type="dxa"/>
          </w:tcPr>
          <w:p w:rsidRPr="00924421" w:rsidR="0040029B" w:rsidP="0040029B" w:rsidRDefault="002D7F32" w14:paraId="46255D52" w14:textId="1E33A85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42,827</w:t>
            </w:r>
          </w:p>
        </w:tc>
        <w:tc>
          <w:tcPr>
            <w:tcW w:w="1170" w:type="dxa"/>
          </w:tcPr>
          <w:p w:rsidRPr="00924421" w:rsidR="0040029B" w:rsidP="0040029B" w:rsidRDefault="002D7F32" w14:paraId="2279E716" w14:textId="3ECDEBA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42,827</w:t>
            </w:r>
          </w:p>
        </w:tc>
        <w:tc>
          <w:tcPr>
            <w:tcW w:w="1170" w:type="dxa"/>
          </w:tcPr>
          <w:p w:rsidRPr="00924421" w:rsidR="0040029B" w:rsidP="0040029B" w:rsidRDefault="0040029B" w14:paraId="39A2F7BB" w14:textId="2D072B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0.25</w:t>
            </w:r>
          </w:p>
        </w:tc>
        <w:tc>
          <w:tcPr>
            <w:tcW w:w="1350" w:type="dxa"/>
          </w:tcPr>
          <w:p w:rsidRPr="00924421" w:rsidR="0040029B" w:rsidP="0040029B" w:rsidRDefault="002E23F6" w14:paraId="3C069860" w14:textId="7CD6E5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10,707</w:t>
            </w:r>
          </w:p>
        </w:tc>
        <w:tc>
          <w:tcPr>
            <w:tcW w:w="1080" w:type="dxa"/>
          </w:tcPr>
          <w:p w:rsidRPr="00924421" w:rsidR="0040029B" w:rsidP="0040029B" w:rsidRDefault="0040029B" w14:paraId="641073BD" w14:textId="5B36D10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95.22</w:t>
            </w:r>
          </w:p>
        </w:tc>
        <w:tc>
          <w:tcPr>
            <w:tcW w:w="1264" w:type="dxa"/>
          </w:tcPr>
          <w:p w:rsidRPr="00924421" w:rsidR="0040029B" w:rsidP="0040029B" w:rsidRDefault="0040029B" w14:paraId="663503D5" w14:textId="2B4EEAE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Pr="00924421" w:rsidR="00480FAF">
              <w:rPr>
                <w:sz w:val="20"/>
                <w:szCs w:val="20"/>
              </w:rPr>
              <w:t>019,</w:t>
            </w:r>
            <w:r w:rsidRPr="00924421" w:rsidR="000F5F52">
              <w:rPr>
                <w:sz w:val="20"/>
                <w:szCs w:val="20"/>
              </w:rPr>
              <w:t>497</w:t>
            </w:r>
          </w:p>
        </w:tc>
      </w:tr>
      <w:tr w:rsidRPr="00924421" w:rsidR="00833D03" w:rsidTr="00EA6D44" w14:paraId="5DC44975" w14:textId="77777777">
        <w:trPr>
          <w:cantSplit/>
          <w:jc w:val="center"/>
        </w:trPr>
        <w:tc>
          <w:tcPr>
            <w:tcW w:w="1885" w:type="dxa"/>
          </w:tcPr>
          <w:p w:rsidRPr="00924421" w:rsidR="00833D03" w:rsidP="00833D03" w:rsidRDefault="00833D03" w14:paraId="41A3688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§414.1375 [(PI Performance Category) Data Submission]</w:t>
            </w:r>
          </w:p>
        </w:tc>
        <w:tc>
          <w:tcPr>
            <w:tcW w:w="1080" w:type="dxa"/>
          </w:tcPr>
          <w:p w:rsidRPr="00924421" w:rsidR="00833D03" w:rsidP="00833D03" w:rsidRDefault="00833D03" w14:paraId="34EE494E" w14:textId="0D956E4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22</w:t>
            </w:r>
          </w:p>
        </w:tc>
        <w:tc>
          <w:tcPr>
            <w:tcW w:w="1530" w:type="dxa"/>
          </w:tcPr>
          <w:p w:rsidRPr="00924421" w:rsidR="00833D03" w:rsidP="00833D03" w:rsidRDefault="00833D03" w14:paraId="347F00A4" w14:textId="38B3E6D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51,667</w:t>
            </w:r>
          </w:p>
        </w:tc>
        <w:tc>
          <w:tcPr>
            <w:tcW w:w="1170" w:type="dxa"/>
          </w:tcPr>
          <w:p w:rsidRPr="00924421" w:rsidR="00833D03" w:rsidP="00833D03" w:rsidRDefault="00833D03" w14:paraId="07485C1D" w14:textId="68ABB28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51,667</w:t>
            </w:r>
          </w:p>
        </w:tc>
        <w:tc>
          <w:tcPr>
            <w:tcW w:w="1170" w:type="dxa"/>
          </w:tcPr>
          <w:p w:rsidRPr="00924421" w:rsidR="00833D03" w:rsidP="00833D03" w:rsidRDefault="00833D03" w14:paraId="7E02716A" w14:textId="1DECB88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2.69</w:t>
            </w:r>
          </w:p>
        </w:tc>
        <w:tc>
          <w:tcPr>
            <w:tcW w:w="1350" w:type="dxa"/>
          </w:tcPr>
          <w:p w:rsidRPr="00924421" w:rsidR="00833D03" w:rsidP="00833D03" w:rsidRDefault="00833D03" w14:paraId="3EC5E825" w14:textId="54E01D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138,984</w:t>
            </w:r>
          </w:p>
        </w:tc>
        <w:tc>
          <w:tcPr>
            <w:tcW w:w="1080" w:type="dxa"/>
          </w:tcPr>
          <w:p w:rsidRPr="00924421" w:rsidR="00833D03" w:rsidP="00833D03" w:rsidRDefault="00833D03" w14:paraId="49679800" w14:textId="34DCE4C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95.22</w:t>
            </w:r>
          </w:p>
        </w:tc>
        <w:tc>
          <w:tcPr>
            <w:tcW w:w="1264" w:type="dxa"/>
          </w:tcPr>
          <w:p w:rsidRPr="00924421" w:rsidR="00833D03" w:rsidP="00833D03" w:rsidRDefault="00002EB6" w14:paraId="263F198F" w14:textId="24B733B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13,234,078</w:t>
            </w:r>
          </w:p>
        </w:tc>
      </w:tr>
      <w:tr w:rsidRPr="00924421" w:rsidR="0040029B" w:rsidTr="00EA6D44" w14:paraId="1026A6E0" w14:textId="77777777">
        <w:trPr>
          <w:cantSplit/>
          <w:jc w:val="center"/>
        </w:trPr>
        <w:tc>
          <w:tcPr>
            <w:tcW w:w="1885" w:type="dxa"/>
          </w:tcPr>
          <w:p w:rsidRPr="00924421" w:rsidR="0040029B" w:rsidP="0040029B" w:rsidRDefault="0040029B" w14:paraId="4E42E46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[(PI Performance Category) Call for Promoting Interoperability Measures]</w:t>
            </w:r>
          </w:p>
        </w:tc>
        <w:tc>
          <w:tcPr>
            <w:tcW w:w="1080" w:type="dxa"/>
          </w:tcPr>
          <w:p w:rsidRPr="00924421" w:rsidR="0040029B" w:rsidP="0040029B" w:rsidRDefault="0030233B" w14:paraId="7741D1AE" w14:textId="2348D49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23</w:t>
            </w:r>
          </w:p>
        </w:tc>
        <w:tc>
          <w:tcPr>
            <w:tcW w:w="1530" w:type="dxa"/>
          </w:tcPr>
          <w:p w:rsidRPr="00924421" w:rsidR="0040029B" w:rsidP="0040029B" w:rsidRDefault="0040029B" w14:paraId="3316073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10</w:t>
            </w:r>
          </w:p>
        </w:tc>
        <w:tc>
          <w:tcPr>
            <w:tcW w:w="1170" w:type="dxa"/>
          </w:tcPr>
          <w:p w:rsidRPr="00924421" w:rsidR="0040029B" w:rsidP="0040029B" w:rsidRDefault="0040029B" w14:paraId="6F20488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10</w:t>
            </w:r>
          </w:p>
        </w:tc>
        <w:tc>
          <w:tcPr>
            <w:tcW w:w="1170" w:type="dxa"/>
          </w:tcPr>
          <w:p w:rsidRPr="00924421" w:rsidR="0040029B" w:rsidP="0040029B" w:rsidRDefault="0040029B" w14:paraId="448C85E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0.5</w:t>
            </w:r>
          </w:p>
        </w:tc>
        <w:tc>
          <w:tcPr>
            <w:tcW w:w="1350" w:type="dxa"/>
          </w:tcPr>
          <w:p w:rsidRPr="00924421" w:rsidR="0040029B" w:rsidP="0040029B" w:rsidRDefault="0040029B" w14:paraId="5DF9640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5</w:t>
            </w:r>
          </w:p>
        </w:tc>
        <w:tc>
          <w:tcPr>
            <w:tcW w:w="1080" w:type="dxa"/>
          </w:tcPr>
          <w:p w:rsidRPr="00924421" w:rsidR="0040029B" w:rsidP="0040029B" w:rsidRDefault="0040029B" w14:paraId="438039F6" w14:textId="3C118E0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table </w:t>
            </w:r>
            <w:r w:rsidRPr="00924421" w:rsidR="00B00231">
              <w:rPr>
                <w:sz w:val="20"/>
                <w:szCs w:val="20"/>
              </w:rPr>
              <w:t>23</w:t>
            </w:r>
            <w:r w:rsidRPr="00924421">
              <w:rPr>
                <w:sz w:val="20"/>
                <w:szCs w:val="20"/>
              </w:rPr>
              <w:t>)</w:t>
            </w:r>
          </w:p>
        </w:tc>
        <w:tc>
          <w:tcPr>
            <w:tcW w:w="1264" w:type="dxa"/>
          </w:tcPr>
          <w:p w:rsidRPr="00924421" w:rsidR="0040029B" w:rsidP="0040029B" w:rsidRDefault="0040029B" w14:paraId="293C7A25" w14:textId="0881D00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7</w:t>
            </w:r>
            <w:r w:rsidRPr="00924421" w:rsidR="0030233B">
              <w:rPr>
                <w:sz w:val="20"/>
                <w:szCs w:val="20"/>
              </w:rPr>
              <w:t>77</w:t>
            </w:r>
          </w:p>
        </w:tc>
      </w:tr>
      <w:tr w:rsidRPr="00924421" w:rsidR="005942E7" w:rsidTr="00EA6D44" w14:paraId="3EE8BDB8" w14:textId="77777777">
        <w:trPr>
          <w:cantSplit/>
          <w:jc w:val="center"/>
        </w:trPr>
        <w:tc>
          <w:tcPr>
            <w:tcW w:w="1885" w:type="dxa"/>
          </w:tcPr>
          <w:p w:rsidRPr="00924421" w:rsidR="005942E7" w:rsidP="005942E7" w:rsidRDefault="005942E7" w14:paraId="35DC932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§414.1360 [(Improvement Activities Performance Category) Data Submission]</w:t>
            </w:r>
          </w:p>
        </w:tc>
        <w:tc>
          <w:tcPr>
            <w:tcW w:w="1080" w:type="dxa"/>
          </w:tcPr>
          <w:p w:rsidRPr="00924421" w:rsidR="005942E7" w:rsidP="005942E7" w:rsidRDefault="005942E7" w14:paraId="6A060659" w14:textId="771736B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26</w:t>
            </w:r>
          </w:p>
        </w:tc>
        <w:tc>
          <w:tcPr>
            <w:tcW w:w="1530" w:type="dxa"/>
          </w:tcPr>
          <w:p w:rsidRPr="00924421" w:rsidR="005942E7" w:rsidP="005942E7" w:rsidRDefault="005942E7" w14:paraId="042E739B" w14:textId="509B334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81,582</w:t>
            </w:r>
          </w:p>
        </w:tc>
        <w:tc>
          <w:tcPr>
            <w:tcW w:w="1170" w:type="dxa"/>
          </w:tcPr>
          <w:p w:rsidRPr="00924421" w:rsidR="005942E7" w:rsidP="005942E7" w:rsidRDefault="005942E7" w14:paraId="0515AAAC" w14:textId="6D0BA73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81,582</w:t>
            </w:r>
          </w:p>
        </w:tc>
        <w:tc>
          <w:tcPr>
            <w:tcW w:w="1170" w:type="dxa"/>
          </w:tcPr>
          <w:p w:rsidRPr="00924421" w:rsidR="005942E7" w:rsidP="005942E7" w:rsidRDefault="005942E7" w14:paraId="2B41462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0.083</w:t>
            </w:r>
          </w:p>
        </w:tc>
        <w:tc>
          <w:tcPr>
            <w:tcW w:w="1350" w:type="dxa"/>
          </w:tcPr>
          <w:p w:rsidRPr="00924421" w:rsidR="005942E7" w:rsidP="005942E7" w:rsidRDefault="00D23DFA" w14:paraId="022D0C74" w14:textId="0471D07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6,7</w:t>
            </w:r>
            <w:r w:rsidRPr="00924421" w:rsidR="002E0221">
              <w:rPr>
                <w:sz w:val="20"/>
                <w:szCs w:val="20"/>
              </w:rPr>
              <w:t>71</w:t>
            </w:r>
          </w:p>
        </w:tc>
        <w:tc>
          <w:tcPr>
            <w:tcW w:w="1080" w:type="dxa"/>
          </w:tcPr>
          <w:p w:rsidRPr="00924421" w:rsidR="005942E7" w:rsidP="005942E7" w:rsidRDefault="005942E7" w14:paraId="15438028" w14:textId="75A260C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95.22</w:t>
            </w:r>
          </w:p>
        </w:tc>
        <w:tc>
          <w:tcPr>
            <w:tcW w:w="1264" w:type="dxa"/>
          </w:tcPr>
          <w:p w:rsidRPr="00924421" w:rsidR="005942E7" w:rsidP="005942E7" w:rsidRDefault="00FE4359" w14:paraId="599832FB" w14:textId="1C061F2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64</w:t>
            </w:r>
            <w:r w:rsidRPr="00924421" w:rsidR="00E33229">
              <w:rPr>
                <w:sz w:val="20"/>
                <w:szCs w:val="20"/>
              </w:rPr>
              <w:t>4,735</w:t>
            </w:r>
          </w:p>
        </w:tc>
      </w:tr>
      <w:tr w:rsidRPr="00924421" w:rsidR="0040029B" w:rsidTr="00EA6D44" w14:paraId="038BAAF8" w14:textId="77777777">
        <w:trPr>
          <w:cantSplit/>
          <w:jc w:val="center"/>
        </w:trPr>
        <w:tc>
          <w:tcPr>
            <w:tcW w:w="1885" w:type="dxa"/>
          </w:tcPr>
          <w:p w:rsidRPr="00924421" w:rsidR="0040029B" w:rsidP="0040029B" w:rsidRDefault="0040029B" w14:paraId="01C3235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§414.1360 [(Improvement Activities Performance Category) Nomination of Improvement Activities]</w:t>
            </w:r>
          </w:p>
        </w:tc>
        <w:tc>
          <w:tcPr>
            <w:tcW w:w="1080" w:type="dxa"/>
          </w:tcPr>
          <w:p w:rsidRPr="00924421" w:rsidR="0040029B" w:rsidP="0040029B" w:rsidRDefault="004C45D2" w14:paraId="362ED4B6" w14:textId="512EA3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27</w:t>
            </w:r>
          </w:p>
        </w:tc>
        <w:tc>
          <w:tcPr>
            <w:tcW w:w="1530" w:type="dxa"/>
          </w:tcPr>
          <w:p w:rsidRPr="00924421" w:rsidR="0040029B" w:rsidP="0040029B" w:rsidRDefault="0040029B" w14:paraId="3DA30E6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31</w:t>
            </w:r>
          </w:p>
        </w:tc>
        <w:tc>
          <w:tcPr>
            <w:tcW w:w="1170" w:type="dxa"/>
          </w:tcPr>
          <w:p w:rsidRPr="00924421" w:rsidR="0040029B" w:rsidP="0040029B" w:rsidRDefault="0040029B" w14:paraId="336B7BE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31</w:t>
            </w:r>
          </w:p>
        </w:tc>
        <w:tc>
          <w:tcPr>
            <w:tcW w:w="1170" w:type="dxa"/>
          </w:tcPr>
          <w:p w:rsidRPr="00924421" w:rsidR="0040029B" w:rsidP="0040029B" w:rsidRDefault="004C45D2" w14:paraId="3D7E0106" w14:textId="054E853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4.4</w:t>
            </w:r>
          </w:p>
        </w:tc>
        <w:tc>
          <w:tcPr>
            <w:tcW w:w="1350" w:type="dxa"/>
          </w:tcPr>
          <w:p w:rsidRPr="00924421" w:rsidR="0040029B" w:rsidP="0040029B" w:rsidRDefault="004C45D2" w14:paraId="25FA196D" w14:textId="3058E9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136</w:t>
            </w:r>
          </w:p>
        </w:tc>
        <w:tc>
          <w:tcPr>
            <w:tcW w:w="1080" w:type="dxa"/>
          </w:tcPr>
          <w:p w:rsidRPr="00924421" w:rsidR="0040029B" w:rsidP="0040029B" w:rsidRDefault="0040029B" w14:paraId="06AE20B3" w14:textId="5DFAAE1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 (see table 2</w:t>
            </w:r>
            <w:r w:rsidRPr="00924421" w:rsidR="00B00231">
              <w:rPr>
                <w:sz w:val="20"/>
                <w:szCs w:val="20"/>
              </w:rPr>
              <w:t>7</w:t>
            </w:r>
            <w:r w:rsidRPr="00924421">
              <w:rPr>
                <w:sz w:val="20"/>
                <w:szCs w:val="20"/>
              </w:rPr>
              <w:t>)</w:t>
            </w:r>
          </w:p>
        </w:tc>
        <w:tc>
          <w:tcPr>
            <w:tcW w:w="1264" w:type="dxa"/>
          </w:tcPr>
          <w:p w:rsidRPr="00924421" w:rsidR="0040029B" w:rsidP="0040029B" w:rsidRDefault="00F51F01" w14:paraId="61292C0C" w14:textId="74F4E1D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20,695</w:t>
            </w:r>
          </w:p>
        </w:tc>
      </w:tr>
      <w:tr w:rsidRPr="00924421" w:rsidR="0040029B" w:rsidTr="00EA6D44" w14:paraId="0B0D16FC" w14:textId="77777777">
        <w:trPr>
          <w:cantSplit/>
          <w:jc w:val="center"/>
        </w:trPr>
        <w:tc>
          <w:tcPr>
            <w:tcW w:w="1885" w:type="dxa"/>
          </w:tcPr>
          <w:p w:rsidRPr="00924421" w:rsidR="0040029B" w:rsidP="0040029B" w:rsidRDefault="0040029B" w14:paraId="202AA11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Nomination of MVPs</w:t>
            </w:r>
          </w:p>
        </w:tc>
        <w:tc>
          <w:tcPr>
            <w:tcW w:w="1080" w:type="dxa"/>
          </w:tcPr>
          <w:p w:rsidRPr="00924421" w:rsidR="0040029B" w:rsidP="0040029B" w:rsidRDefault="000D3364" w14:paraId="1E71F320" w14:textId="71891E9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28</w:t>
            </w:r>
          </w:p>
        </w:tc>
        <w:tc>
          <w:tcPr>
            <w:tcW w:w="1530" w:type="dxa"/>
          </w:tcPr>
          <w:p w:rsidRPr="00924421" w:rsidR="0040029B" w:rsidP="0040029B" w:rsidRDefault="0040029B" w14:paraId="1488E65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25</w:t>
            </w:r>
          </w:p>
        </w:tc>
        <w:tc>
          <w:tcPr>
            <w:tcW w:w="1170" w:type="dxa"/>
          </w:tcPr>
          <w:p w:rsidRPr="00924421" w:rsidR="0040029B" w:rsidP="0040029B" w:rsidRDefault="0040029B" w14:paraId="62F8AD8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25</w:t>
            </w:r>
          </w:p>
        </w:tc>
        <w:tc>
          <w:tcPr>
            <w:tcW w:w="1170" w:type="dxa"/>
          </w:tcPr>
          <w:p w:rsidRPr="00924421" w:rsidR="0040029B" w:rsidP="0040029B" w:rsidRDefault="0040029B" w14:paraId="7925264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12</w:t>
            </w:r>
          </w:p>
        </w:tc>
        <w:tc>
          <w:tcPr>
            <w:tcW w:w="1350" w:type="dxa"/>
          </w:tcPr>
          <w:p w:rsidRPr="00924421" w:rsidR="0040029B" w:rsidP="0040029B" w:rsidRDefault="0040029B" w14:paraId="213A214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300</w:t>
            </w:r>
          </w:p>
        </w:tc>
        <w:tc>
          <w:tcPr>
            <w:tcW w:w="1080" w:type="dxa"/>
          </w:tcPr>
          <w:p w:rsidRPr="00924421" w:rsidR="0040029B" w:rsidP="0040029B" w:rsidRDefault="0040029B" w14:paraId="4E1C40BE" w14:textId="3467824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 (see table 2</w:t>
            </w:r>
            <w:r w:rsidRPr="00924421" w:rsidR="001576AB">
              <w:rPr>
                <w:sz w:val="20"/>
                <w:szCs w:val="20"/>
              </w:rPr>
              <w:t>8</w:t>
            </w:r>
            <w:r w:rsidRPr="00924421">
              <w:rPr>
                <w:sz w:val="20"/>
                <w:szCs w:val="20"/>
              </w:rPr>
              <w:t>)</w:t>
            </w:r>
          </w:p>
        </w:tc>
        <w:tc>
          <w:tcPr>
            <w:tcW w:w="1264" w:type="dxa"/>
          </w:tcPr>
          <w:p w:rsidRPr="00924421" w:rsidR="0040029B" w:rsidP="0040029B" w:rsidRDefault="001576AB" w14:paraId="2CEC9496" w14:textId="01FD247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46,642</w:t>
            </w:r>
          </w:p>
        </w:tc>
      </w:tr>
      <w:tr w:rsidRPr="00924421" w:rsidR="00DE3A63" w:rsidTr="00EA6D44" w14:paraId="0CE84DA0" w14:textId="77777777">
        <w:trPr>
          <w:cantSplit/>
          <w:jc w:val="center"/>
        </w:trPr>
        <w:tc>
          <w:tcPr>
            <w:tcW w:w="1885" w:type="dxa"/>
          </w:tcPr>
          <w:p w:rsidRPr="00924421" w:rsidR="00DE3A63" w:rsidP="00DE3A63" w:rsidRDefault="00DE3A63" w14:paraId="103788E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§414.1430 [Partial Qualifying APM Participant (QP) Election]</w:t>
            </w:r>
          </w:p>
        </w:tc>
        <w:tc>
          <w:tcPr>
            <w:tcW w:w="1080" w:type="dxa"/>
          </w:tcPr>
          <w:p w:rsidRPr="00924421" w:rsidR="00DE3A63" w:rsidP="00DE3A63" w:rsidRDefault="00DE3A63" w14:paraId="3D8AF695" w14:textId="676D118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29</w:t>
            </w:r>
          </w:p>
        </w:tc>
        <w:tc>
          <w:tcPr>
            <w:tcW w:w="1530" w:type="dxa"/>
          </w:tcPr>
          <w:p w:rsidRPr="00924421" w:rsidR="00DE3A63" w:rsidP="00DE3A63" w:rsidRDefault="00DE3A63" w14:paraId="1722799D" w14:textId="5E45F3C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250</w:t>
            </w:r>
          </w:p>
        </w:tc>
        <w:tc>
          <w:tcPr>
            <w:tcW w:w="1170" w:type="dxa"/>
          </w:tcPr>
          <w:p w:rsidRPr="00924421" w:rsidR="00DE3A63" w:rsidP="00DE3A63" w:rsidRDefault="00DE3A63" w14:paraId="20A03A74" w14:textId="3CA72A8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250</w:t>
            </w:r>
          </w:p>
        </w:tc>
        <w:tc>
          <w:tcPr>
            <w:tcW w:w="1170" w:type="dxa"/>
          </w:tcPr>
          <w:p w:rsidRPr="00924421" w:rsidR="00DE3A63" w:rsidP="00DE3A63" w:rsidRDefault="00DE3A63" w14:paraId="3DEF336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0.25</w:t>
            </w:r>
          </w:p>
        </w:tc>
        <w:tc>
          <w:tcPr>
            <w:tcW w:w="1350" w:type="dxa"/>
          </w:tcPr>
          <w:p w:rsidRPr="00924421" w:rsidR="00DE3A63" w:rsidP="00DE3A63" w:rsidRDefault="00932DDF" w14:paraId="1C92F5C5" w14:textId="7417978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63</w:t>
            </w:r>
          </w:p>
        </w:tc>
        <w:tc>
          <w:tcPr>
            <w:tcW w:w="1080" w:type="dxa"/>
          </w:tcPr>
          <w:p w:rsidRPr="00924421" w:rsidR="00DE3A63" w:rsidP="00DE3A63" w:rsidRDefault="00DE3A63" w14:paraId="4CEB3EC3" w14:textId="481D9E2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95.22</w:t>
            </w:r>
          </w:p>
        </w:tc>
        <w:tc>
          <w:tcPr>
            <w:tcW w:w="1264" w:type="dxa"/>
          </w:tcPr>
          <w:p w:rsidRPr="00924421" w:rsidR="00DE3A63" w:rsidP="00DE3A63" w:rsidRDefault="00932DDF" w14:paraId="77D3A184" w14:textId="425451D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5,9</w:t>
            </w:r>
            <w:r w:rsidRPr="00924421" w:rsidR="005E6CC6">
              <w:rPr>
                <w:sz w:val="20"/>
                <w:szCs w:val="20"/>
              </w:rPr>
              <w:t>99</w:t>
            </w:r>
          </w:p>
        </w:tc>
      </w:tr>
      <w:tr w:rsidRPr="00924421" w:rsidR="00B6320D" w:rsidTr="00EA6D44" w14:paraId="6F2D9E98" w14:textId="77777777">
        <w:trPr>
          <w:cantSplit/>
          <w:jc w:val="center"/>
        </w:trPr>
        <w:tc>
          <w:tcPr>
            <w:tcW w:w="1885" w:type="dxa"/>
          </w:tcPr>
          <w:p w:rsidRPr="00924421" w:rsidR="00B6320D" w:rsidP="00B6320D" w:rsidRDefault="00B6320D" w14:paraId="46F6B29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§414.1440 [Other Payer Advanced APM Identification: Payer Initiated Process]</w:t>
            </w:r>
          </w:p>
        </w:tc>
        <w:tc>
          <w:tcPr>
            <w:tcW w:w="1080" w:type="dxa"/>
          </w:tcPr>
          <w:p w:rsidRPr="00924421" w:rsidR="00B6320D" w:rsidP="00B6320D" w:rsidRDefault="00B6320D" w14:paraId="012E1EEE" w14:textId="0F139C8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30</w:t>
            </w:r>
          </w:p>
        </w:tc>
        <w:tc>
          <w:tcPr>
            <w:tcW w:w="1530" w:type="dxa"/>
          </w:tcPr>
          <w:p w:rsidRPr="00924421" w:rsidR="00B6320D" w:rsidP="00B6320D" w:rsidRDefault="00B6320D" w14:paraId="61653C4B" w14:textId="7E6938B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Pr="00924421" w:rsidR="00B6320D" w:rsidP="00B6320D" w:rsidRDefault="00B6320D" w14:paraId="03C6ED0E" w14:textId="25B0C0F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Pr="00924421" w:rsidR="00B6320D" w:rsidP="00B6320D" w:rsidRDefault="00B6320D" w14:paraId="0180EEEF" w14:textId="08E83F9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10</w:t>
            </w:r>
          </w:p>
        </w:tc>
        <w:tc>
          <w:tcPr>
            <w:tcW w:w="1350" w:type="dxa"/>
          </w:tcPr>
          <w:p w:rsidRPr="00924421" w:rsidR="00B6320D" w:rsidP="00B6320D" w:rsidRDefault="00B6320D" w14:paraId="4A5AE6D1" w14:textId="50DB641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150</w:t>
            </w:r>
          </w:p>
        </w:tc>
        <w:tc>
          <w:tcPr>
            <w:tcW w:w="1080" w:type="dxa"/>
          </w:tcPr>
          <w:p w:rsidRPr="00924421" w:rsidR="00B6320D" w:rsidP="00B6320D" w:rsidRDefault="00B6320D" w14:paraId="1C55CF46" w14:textId="0B9C562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95.22</w:t>
            </w:r>
          </w:p>
        </w:tc>
        <w:tc>
          <w:tcPr>
            <w:tcW w:w="1264" w:type="dxa"/>
          </w:tcPr>
          <w:p w:rsidRPr="00924421" w:rsidR="00B6320D" w:rsidP="00B6320D" w:rsidRDefault="00B6320D" w14:paraId="22FD6C39" w14:textId="07A0B5D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14,283</w:t>
            </w:r>
          </w:p>
        </w:tc>
      </w:tr>
      <w:tr w:rsidRPr="00924421" w:rsidR="004242A4" w:rsidTr="00EA6D44" w14:paraId="31A7FE1A" w14:textId="77777777">
        <w:trPr>
          <w:cantSplit/>
          <w:jc w:val="center"/>
        </w:trPr>
        <w:tc>
          <w:tcPr>
            <w:tcW w:w="1885" w:type="dxa"/>
          </w:tcPr>
          <w:p w:rsidRPr="00924421" w:rsidR="004242A4" w:rsidP="009A52AA" w:rsidRDefault="004242A4" w14:paraId="217C35A4" w14:textId="077AE256">
            <w:pPr>
              <w:spacing w:after="0"/>
              <w:rPr>
                <w:sz w:val="20"/>
                <w:szCs w:val="20"/>
              </w:rPr>
            </w:pPr>
            <w:r w:rsidRPr="00924421">
              <w:rPr>
                <w:sz w:val="20"/>
                <w:szCs w:val="20"/>
              </w:rPr>
              <w:t>§414.1445 [Other Payer Advanced APM Identification: Clinician Initiated Process]</w:t>
            </w:r>
          </w:p>
        </w:tc>
        <w:tc>
          <w:tcPr>
            <w:tcW w:w="1080" w:type="dxa"/>
          </w:tcPr>
          <w:p w:rsidRPr="00924421" w:rsidR="004242A4" w:rsidP="004242A4" w:rsidRDefault="004242A4" w14:paraId="35229910" w14:textId="3B6C8CA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31</w:t>
            </w:r>
          </w:p>
        </w:tc>
        <w:tc>
          <w:tcPr>
            <w:tcW w:w="1530" w:type="dxa"/>
          </w:tcPr>
          <w:p w:rsidRPr="00924421" w:rsidR="004242A4" w:rsidP="004242A4" w:rsidRDefault="004242A4" w14:paraId="0B56D568" w14:textId="4E5D18E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Pr="00924421" w:rsidR="004242A4" w:rsidP="004242A4" w:rsidRDefault="004242A4" w14:paraId="1D459B0D" w14:textId="6490D97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Pr="00924421" w:rsidR="004242A4" w:rsidP="004242A4" w:rsidRDefault="004242A4" w14:paraId="1259F1E8" w14:textId="23F28C2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10</w:t>
            </w:r>
          </w:p>
        </w:tc>
        <w:tc>
          <w:tcPr>
            <w:tcW w:w="1350" w:type="dxa"/>
          </w:tcPr>
          <w:p w:rsidRPr="00924421" w:rsidR="004242A4" w:rsidP="004242A4" w:rsidRDefault="004242A4" w14:paraId="1FA1FCE4" w14:textId="2AF6C42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150</w:t>
            </w:r>
          </w:p>
        </w:tc>
        <w:tc>
          <w:tcPr>
            <w:tcW w:w="1080" w:type="dxa"/>
          </w:tcPr>
          <w:p w:rsidRPr="00924421" w:rsidR="004242A4" w:rsidP="004242A4" w:rsidRDefault="004242A4" w14:paraId="246F85BB" w14:textId="57CFD0C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95.22</w:t>
            </w:r>
          </w:p>
        </w:tc>
        <w:tc>
          <w:tcPr>
            <w:tcW w:w="1264" w:type="dxa"/>
          </w:tcPr>
          <w:p w:rsidRPr="00924421" w:rsidR="004242A4" w:rsidP="004242A4" w:rsidRDefault="004242A4" w14:paraId="656A14AC" w14:textId="5A8A30F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14,283</w:t>
            </w:r>
          </w:p>
        </w:tc>
      </w:tr>
      <w:tr w:rsidRPr="00924421" w:rsidR="0040029B" w:rsidTr="006858EF" w14:paraId="5B76B41D" w14:textId="77777777">
        <w:trPr>
          <w:cantSplit/>
          <w:jc w:val="center"/>
        </w:trPr>
        <w:tc>
          <w:tcPr>
            <w:tcW w:w="1885" w:type="dxa"/>
            <w:shd w:val="clear" w:color="auto" w:fill="auto"/>
          </w:tcPr>
          <w:p w:rsidRPr="00924421" w:rsidR="0040029B" w:rsidP="0040029B" w:rsidRDefault="0040029B" w14:paraId="14CBE95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lastRenderedPageBreak/>
              <w:t>§414.1440 [Submission of Data for All-Payer QP Determinations under the All-Payer Combination Option]</w:t>
            </w:r>
          </w:p>
        </w:tc>
        <w:tc>
          <w:tcPr>
            <w:tcW w:w="1080" w:type="dxa"/>
            <w:shd w:val="clear" w:color="auto" w:fill="auto"/>
          </w:tcPr>
          <w:p w:rsidRPr="00924421" w:rsidR="0040029B" w:rsidP="0040029B" w:rsidRDefault="00744E89" w14:paraId="6DC3636D" w14:textId="02868F6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32</w:t>
            </w:r>
          </w:p>
        </w:tc>
        <w:tc>
          <w:tcPr>
            <w:tcW w:w="1530" w:type="dxa"/>
            <w:shd w:val="clear" w:color="auto" w:fill="auto"/>
          </w:tcPr>
          <w:p w:rsidRPr="00924421" w:rsidR="0040029B" w:rsidP="0040029B" w:rsidRDefault="0040029B" w14:paraId="7BCA4EF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551</w:t>
            </w:r>
          </w:p>
        </w:tc>
        <w:tc>
          <w:tcPr>
            <w:tcW w:w="1170" w:type="dxa"/>
            <w:shd w:val="clear" w:color="auto" w:fill="auto"/>
          </w:tcPr>
          <w:p w:rsidRPr="00924421" w:rsidR="0040029B" w:rsidP="0040029B" w:rsidRDefault="0040029B" w14:paraId="1B44826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551</w:t>
            </w:r>
          </w:p>
        </w:tc>
        <w:tc>
          <w:tcPr>
            <w:tcW w:w="1170" w:type="dxa"/>
            <w:shd w:val="clear" w:color="auto" w:fill="auto"/>
          </w:tcPr>
          <w:p w:rsidRPr="00924421" w:rsidR="0040029B" w:rsidP="0040029B" w:rsidRDefault="0040029B" w14:paraId="2E4B31B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w:t>
            </w:r>
          </w:p>
        </w:tc>
        <w:tc>
          <w:tcPr>
            <w:tcW w:w="1350" w:type="dxa"/>
            <w:shd w:val="clear" w:color="auto" w:fill="auto"/>
          </w:tcPr>
          <w:p w:rsidRPr="00924421" w:rsidR="0040029B" w:rsidP="0040029B" w:rsidRDefault="0040029B" w14:paraId="15BFD95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2,755</w:t>
            </w:r>
          </w:p>
        </w:tc>
        <w:tc>
          <w:tcPr>
            <w:tcW w:w="1080" w:type="dxa"/>
            <w:shd w:val="clear" w:color="auto" w:fill="auto"/>
          </w:tcPr>
          <w:p w:rsidRPr="00924421" w:rsidR="0040029B" w:rsidP="0040029B" w:rsidRDefault="0040029B" w14:paraId="7C024CA6" w14:textId="7F37A04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114.24</w:t>
            </w:r>
          </w:p>
        </w:tc>
        <w:tc>
          <w:tcPr>
            <w:tcW w:w="1264" w:type="dxa"/>
            <w:shd w:val="clear" w:color="auto" w:fill="auto"/>
          </w:tcPr>
          <w:p w:rsidRPr="00924421" w:rsidR="0040029B" w:rsidP="0040029B" w:rsidRDefault="0040029B" w14:paraId="7F437F47" w14:textId="140BCEE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w:t>
            </w:r>
            <w:r w:rsidRPr="00924421" w:rsidR="00744E89">
              <w:rPr>
                <w:sz w:val="20"/>
                <w:szCs w:val="20"/>
              </w:rPr>
              <w:t>14,731</w:t>
            </w:r>
          </w:p>
        </w:tc>
      </w:tr>
      <w:tr w:rsidRPr="00924421" w:rsidR="000A4812" w:rsidTr="00EA6D44" w14:paraId="32A305A4" w14:textId="77777777">
        <w:trPr>
          <w:cantSplit/>
          <w:jc w:val="center"/>
        </w:trPr>
        <w:tc>
          <w:tcPr>
            <w:tcW w:w="1885" w:type="dxa"/>
          </w:tcPr>
          <w:p w:rsidRPr="00924421" w:rsidR="000A4812" w:rsidP="000A4812" w:rsidRDefault="000A4812" w14:paraId="73E896F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§414.1395 [(Physician Compare) Opt Out for Voluntary Participants]</w:t>
            </w:r>
          </w:p>
        </w:tc>
        <w:tc>
          <w:tcPr>
            <w:tcW w:w="1080" w:type="dxa"/>
          </w:tcPr>
          <w:p w:rsidRPr="00924421" w:rsidR="000A4812" w:rsidP="000A4812" w:rsidRDefault="000A4812" w14:paraId="3CF4B183" w14:textId="240D7D6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33</w:t>
            </w:r>
          </w:p>
        </w:tc>
        <w:tc>
          <w:tcPr>
            <w:tcW w:w="1530" w:type="dxa"/>
          </w:tcPr>
          <w:p w:rsidRPr="00924421" w:rsidR="000A4812" w:rsidP="000A4812" w:rsidRDefault="000A4812" w14:paraId="124ACD87" w14:textId="34910AE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38</w:t>
            </w:r>
          </w:p>
        </w:tc>
        <w:tc>
          <w:tcPr>
            <w:tcW w:w="1170" w:type="dxa"/>
          </w:tcPr>
          <w:p w:rsidRPr="00924421" w:rsidR="000A4812" w:rsidP="000A4812" w:rsidRDefault="000A4812" w14:paraId="5ABB6CD6" w14:textId="3B5BE6A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38</w:t>
            </w:r>
          </w:p>
        </w:tc>
        <w:tc>
          <w:tcPr>
            <w:tcW w:w="1170" w:type="dxa"/>
          </w:tcPr>
          <w:p w:rsidRPr="00924421" w:rsidR="000A4812" w:rsidP="000A4812" w:rsidRDefault="000A4812" w14:paraId="634B41C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0.25</w:t>
            </w:r>
          </w:p>
        </w:tc>
        <w:tc>
          <w:tcPr>
            <w:tcW w:w="1350" w:type="dxa"/>
          </w:tcPr>
          <w:p w:rsidRPr="00924421" w:rsidR="000A4812" w:rsidP="000A4812" w:rsidRDefault="00CD3CB6" w14:paraId="59286389" w14:textId="31E5ABB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10</w:t>
            </w:r>
          </w:p>
        </w:tc>
        <w:tc>
          <w:tcPr>
            <w:tcW w:w="1080" w:type="dxa"/>
          </w:tcPr>
          <w:p w:rsidRPr="00924421" w:rsidR="000A4812" w:rsidP="000A4812" w:rsidRDefault="000A4812" w14:paraId="7D7F6797" w14:textId="2A50E6C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95.22</w:t>
            </w:r>
          </w:p>
        </w:tc>
        <w:tc>
          <w:tcPr>
            <w:tcW w:w="1264" w:type="dxa"/>
          </w:tcPr>
          <w:p w:rsidRPr="00924421" w:rsidR="000A4812" w:rsidP="000A4812" w:rsidRDefault="00E65B47" w14:paraId="1BB6107B" w14:textId="56C1DC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00F465D2">
              <w:rPr>
                <w:sz w:val="20"/>
                <w:szCs w:val="20"/>
              </w:rPr>
              <w:t>52</w:t>
            </w:r>
          </w:p>
        </w:tc>
      </w:tr>
      <w:tr w:rsidRPr="00924421" w:rsidR="00D26368" w:rsidTr="00EA6D44" w14:paraId="1A07A5B0" w14:textId="77777777">
        <w:trPr>
          <w:cantSplit/>
          <w:jc w:val="center"/>
        </w:trPr>
        <w:tc>
          <w:tcPr>
            <w:tcW w:w="1885" w:type="dxa"/>
            <w:shd w:val="clear" w:color="auto" w:fill="D9D9D9" w:themeFill="background1" w:themeFillShade="D9"/>
          </w:tcPr>
          <w:p w:rsidRPr="00924421" w:rsidR="00D26368" w:rsidP="00B01FE5" w:rsidRDefault="00D26368" w14:paraId="438C89E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sz w:val="20"/>
                <w:szCs w:val="20"/>
              </w:rPr>
              <w:t>TOTAL</w:t>
            </w:r>
          </w:p>
        </w:tc>
        <w:tc>
          <w:tcPr>
            <w:tcW w:w="1080" w:type="dxa"/>
            <w:shd w:val="clear" w:color="auto" w:fill="D9D9D9" w:themeFill="background1" w:themeFillShade="D9"/>
          </w:tcPr>
          <w:p w:rsidRPr="00924421" w:rsidR="00D26368" w:rsidP="00B01FE5" w:rsidRDefault="00D26368" w14:paraId="331C3EF1" w14:textId="14C25BF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sz w:val="20"/>
                <w:szCs w:val="20"/>
              </w:rPr>
              <w:t>n/a</w:t>
            </w:r>
          </w:p>
        </w:tc>
        <w:tc>
          <w:tcPr>
            <w:tcW w:w="1530" w:type="dxa"/>
            <w:shd w:val="clear" w:color="auto" w:fill="D9D9D9" w:themeFill="background1" w:themeFillShade="D9"/>
          </w:tcPr>
          <w:p w:rsidRPr="00924421" w:rsidR="00D26368" w:rsidP="00B01FE5" w:rsidRDefault="00D26368" w14:paraId="5DA77FA3" w14:textId="32C69AE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sz w:val="20"/>
                <w:szCs w:val="20"/>
              </w:rPr>
              <w:t>119,9</w:t>
            </w:r>
            <w:r w:rsidRPr="00924421" w:rsidR="002D345D">
              <w:rPr>
                <w:b/>
                <w:sz w:val="20"/>
                <w:szCs w:val="20"/>
              </w:rPr>
              <w:t>2</w:t>
            </w:r>
            <w:r w:rsidR="00795CA4">
              <w:rPr>
                <w:b/>
                <w:sz w:val="20"/>
                <w:szCs w:val="20"/>
              </w:rPr>
              <w:t>3</w:t>
            </w:r>
            <w:r w:rsidRPr="00924421">
              <w:rPr>
                <w:b/>
                <w:sz w:val="20"/>
                <w:szCs w:val="20"/>
              </w:rPr>
              <w:t>**</w:t>
            </w:r>
          </w:p>
        </w:tc>
        <w:tc>
          <w:tcPr>
            <w:tcW w:w="1170" w:type="dxa"/>
            <w:shd w:val="clear" w:color="auto" w:fill="D9D9D9" w:themeFill="background1" w:themeFillShade="D9"/>
            <w:vAlign w:val="center"/>
          </w:tcPr>
          <w:p w:rsidRPr="00924421" w:rsidR="00D26368" w:rsidP="00B01FE5" w:rsidRDefault="00D26368" w14:paraId="7DD8731E" w14:textId="616E5C7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sz w:val="20"/>
                <w:szCs w:val="20"/>
              </w:rPr>
              <w:t>323,0</w:t>
            </w:r>
            <w:r w:rsidR="00037833">
              <w:rPr>
                <w:b/>
                <w:bCs/>
                <w:sz w:val="20"/>
                <w:szCs w:val="20"/>
              </w:rPr>
              <w:t>39</w:t>
            </w:r>
          </w:p>
        </w:tc>
        <w:tc>
          <w:tcPr>
            <w:tcW w:w="1170" w:type="dxa"/>
            <w:shd w:val="clear" w:color="auto" w:fill="D9D9D9" w:themeFill="background1" w:themeFillShade="D9"/>
            <w:vAlign w:val="center"/>
          </w:tcPr>
          <w:p w:rsidRPr="00924421" w:rsidR="00D26368" w:rsidP="00B01FE5" w:rsidRDefault="00D26368" w14:paraId="73C53D1B" w14:textId="0592457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sz w:val="20"/>
                <w:szCs w:val="20"/>
              </w:rPr>
              <w:t>Varies</w:t>
            </w:r>
          </w:p>
        </w:tc>
        <w:tc>
          <w:tcPr>
            <w:tcW w:w="1350" w:type="dxa"/>
            <w:shd w:val="clear" w:color="auto" w:fill="D9D9D9" w:themeFill="background1" w:themeFillShade="D9"/>
            <w:vAlign w:val="center"/>
          </w:tcPr>
          <w:p w:rsidRPr="00924421" w:rsidR="00D26368" w:rsidP="00B01FE5" w:rsidRDefault="00D26368" w14:paraId="70C634B5" w14:textId="0F1D7E6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sz w:val="20"/>
                <w:szCs w:val="20"/>
              </w:rPr>
            </w:pPr>
            <w:r w:rsidRPr="00924421">
              <w:rPr>
                <w:b/>
                <w:bCs/>
                <w:sz w:val="20"/>
                <w:szCs w:val="20"/>
              </w:rPr>
              <w:t>1,390,</w:t>
            </w:r>
            <w:r w:rsidRPr="00924421" w:rsidR="003303E5">
              <w:rPr>
                <w:b/>
                <w:bCs/>
                <w:sz w:val="20"/>
                <w:szCs w:val="20"/>
              </w:rPr>
              <w:t>4</w:t>
            </w:r>
            <w:r w:rsidRPr="00924421" w:rsidR="000E1833">
              <w:rPr>
                <w:b/>
                <w:bCs/>
                <w:sz w:val="20"/>
                <w:szCs w:val="20"/>
              </w:rPr>
              <w:t>0</w:t>
            </w:r>
            <w:r w:rsidR="00F972FA">
              <w:rPr>
                <w:b/>
                <w:bCs/>
                <w:sz w:val="20"/>
                <w:szCs w:val="20"/>
              </w:rPr>
              <w:t>4</w:t>
            </w:r>
          </w:p>
        </w:tc>
        <w:tc>
          <w:tcPr>
            <w:tcW w:w="1080" w:type="dxa"/>
            <w:shd w:val="clear" w:color="auto" w:fill="D9D9D9" w:themeFill="background1" w:themeFillShade="D9"/>
            <w:vAlign w:val="center"/>
          </w:tcPr>
          <w:p w:rsidRPr="00924421" w:rsidR="00D26368" w:rsidP="00B01FE5" w:rsidRDefault="00D26368" w14:paraId="7EE1065A" w14:textId="01EFF4B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sz w:val="20"/>
                <w:szCs w:val="20"/>
              </w:rPr>
              <w:t>Varies</w:t>
            </w:r>
          </w:p>
        </w:tc>
        <w:tc>
          <w:tcPr>
            <w:tcW w:w="1264" w:type="dxa"/>
            <w:shd w:val="clear" w:color="auto" w:fill="D9D9D9" w:themeFill="background1" w:themeFillShade="D9"/>
            <w:vAlign w:val="center"/>
          </w:tcPr>
          <w:p w:rsidRPr="00924421" w:rsidR="00D26368" w:rsidP="00B01FE5" w:rsidRDefault="00D26368" w14:paraId="19BD9B9D" w14:textId="798645C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sz w:val="20"/>
                <w:szCs w:val="20"/>
              </w:rPr>
              <w:t>140,</w:t>
            </w:r>
            <w:r w:rsidRPr="00924421" w:rsidR="00C33C31">
              <w:rPr>
                <w:b/>
                <w:bCs/>
                <w:sz w:val="20"/>
                <w:szCs w:val="20"/>
              </w:rPr>
              <w:t>28</w:t>
            </w:r>
            <w:r w:rsidRPr="00924421" w:rsidR="00111ECC">
              <w:rPr>
                <w:b/>
                <w:bCs/>
                <w:sz w:val="20"/>
                <w:szCs w:val="20"/>
              </w:rPr>
              <w:t>4</w:t>
            </w:r>
            <w:r w:rsidRPr="00924421" w:rsidR="00C33C31">
              <w:rPr>
                <w:b/>
                <w:bCs/>
                <w:sz w:val="20"/>
                <w:szCs w:val="20"/>
              </w:rPr>
              <w:t>,</w:t>
            </w:r>
            <w:r w:rsidRPr="00924421" w:rsidR="00111ECC">
              <w:rPr>
                <w:b/>
                <w:bCs/>
                <w:sz w:val="20"/>
                <w:szCs w:val="20"/>
              </w:rPr>
              <w:t>742</w:t>
            </w:r>
          </w:p>
        </w:tc>
      </w:tr>
    </w:tbl>
    <w:p w:rsidRPr="00D74F5F" w:rsidR="000F0FE3" w:rsidP="000F0FE3" w:rsidRDefault="000F0FE3" w14:paraId="326C07A3" w14:textId="033029B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924421">
        <w:rPr>
          <w:sz w:val="18"/>
          <w:szCs w:val="18"/>
        </w:rPr>
        <w:t>*With respect to the PRA, the CY 202</w:t>
      </w:r>
      <w:r w:rsidRPr="00924421" w:rsidR="00342EA6">
        <w:rPr>
          <w:sz w:val="18"/>
          <w:szCs w:val="18"/>
        </w:rPr>
        <w:t>2</w:t>
      </w:r>
      <w:r w:rsidRPr="00924421">
        <w:rPr>
          <w:sz w:val="18"/>
          <w:szCs w:val="18"/>
        </w:rPr>
        <w:t xml:space="preserve"> PFS </w:t>
      </w:r>
      <w:r w:rsidRPr="00924421" w:rsidR="00342EA6">
        <w:rPr>
          <w:sz w:val="18"/>
          <w:szCs w:val="18"/>
        </w:rPr>
        <w:t>proposed</w:t>
      </w:r>
      <w:r w:rsidRPr="00924421">
        <w:rPr>
          <w:sz w:val="18"/>
          <w:szCs w:val="18"/>
        </w:rPr>
        <w:t xml:space="preserve"> rule does not impose any</w:t>
      </w:r>
      <w:r w:rsidRPr="00D74F5F">
        <w:rPr>
          <w:sz w:val="18"/>
          <w:szCs w:val="18"/>
        </w:rPr>
        <w:t xml:space="preserve"> non-labor costs.</w:t>
      </w:r>
      <w:r w:rsidR="007411B4">
        <w:rPr>
          <w:sz w:val="18"/>
          <w:szCs w:val="18"/>
        </w:rPr>
        <w:t xml:space="preserve"> </w:t>
      </w:r>
      <w:r w:rsidRPr="007411B4" w:rsidR="007411B4">
        <w:rPr>
          <w:sz w:val="18"/>
          <w:szCs w:val="18"/>
        </w:rPr>
        <w:t>Due to burden for certain activities being estimated in fractions of hours, totals may not reflect the sum of individual rows due to rounding.</w:t>
      </w:r>
    </w:p>
    <w:p w:rsidRPr="00732012" w:rsidR="000F0FE3" w:rsidP="000F0FE3" w:rsidRDefault="000F0FE3" w14:paraId="756DC29E" w14:textId="43B1C2A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74F5F">
        <w:rPr>
          <w:sz w:val="18"/>
          <w:szCs w:val="18"/>
        </w:rPr>
        <w:t>** Total number of unique respondents to quality, Promoting Interoperability, and improvement activity performance categories is calculated to be 1</w:t>
      </w:r>
      <w:r w:rsidR="00A66E6B">
        <w:rPr>
          <w:sz w:val="18"/>
          <w:szCs w:val="18"/>
        </w:rPr>
        <w:t>1</w:t>
      </w:r>
      <w:r w:rsidR="005E65AE">
        <w:rPr>
          <w:sz w:val="18"/>
          <w:szCs w:val="18"/>
        </w:rPr>
        <w:t>8,568</w:t>
      </w:r>
      <w:r w:rsidRPr="00D74F5F">
        <w:rPr>
          <w:sz w:val="18"/>
          <w:szCs w:val="18"/>
        </w:rPr>
        <w:t>.</w:t>
      </w:r>
      <w:r>
        <w:rPr>
          <w:sz w:val="18"/>
          <w:szCs w:val="18"/>
        </w:rPr>
        <w:t xml:space="preserve">  With the exception of extreme and uncontrollable exception applications, we assume remaining number of applications for reweighting are included in this total.  We also assume that all voluntary participants that opt out of Physician Compare are included in this total.</w:t>
      </w:r>
    </w:p>
    <w:p w:rsidR="00DB0596" w:rsidP="00D13DA4" w:rsidRDefault="00DB0596" w14:paraId="75BF9E88" w14:textId="77777777">
      <w:pPr>
        <w:jc w:val="center"/>
      </w:pPr>
    </w:p>
    <w:p w:rsidRPr="00BE2410" w:rsidR="00D13DA4" w:rsidP="00BE2410" w:rsidRDefault="00BE2410" w14:paraId="7DE0283F" w14:textId="51C2FDC6">
      <w:pPr>
        <w:keepNext/>
        <w:spacing w:after="0"/>
        <w:jc w:val="center"/>
        <w:rPr>
          <w:b/>
          <w:bCs/>
        </w:rPr>
      </w:pPr>
      <w:r w:rsidRPr="00BE2410">
        <w:rPr>
          <w:b/>
          <w:bCs/>
        </w:rPr>
        <w:t>TABLE 3</w:t>
      </w:r>
      <w:r w:rsidR="001F630B">
        <w:rPr>
          <w:b/>
          <w:bCs/>
        </w:rPr>
        <w:t>6</w:t>
      </w:r>
      <w:r w:rsidRPr="00BE2410">
        <w:rPr>
          <w:b/>
          <w:bCs/>
        </w:rPr>
        <w:t xml:space="preserve">: </w:t>
      </w:r>
      <w:r w:rsidRPr="00BE2410" w:rsidR="00FB6701">
        <w:rPr>
          <w:b/>
          <w:bCs/>
        </w:rPr>
        <w:t xml:space="preserve">CY </w:t>
      </w:r>
      <w:r w:rsidRPr="00BE2410" w:rsidR="00D13DA4">
        <w:rPr>
          <w:b/>
          <w:bCs/>
        </w:rPr>
        <w:t>202</w:t>
      </w:r>
      <w:r w:rsidRPr="00BE2410" w:rsidR="00FB6701">
        <w:rPr>
          <w:b/>
          <w:bCs/>
        </w:rPr>
        <w:t>2</w:t>
      </w:r>
      <w:r w:rsidRPr="00BE2410" w:rsidR="00D13DA4">
        <w:rPr>
          <w:b/>
          <w:bCs/>
        </w:rPr>
        <w:t xml:space="preserve"> and 202</w:t>
      </w:r>
      <w:r w:rsidRPr="00BE2410" w:rsidR="00FB6701">
        <w:rPr>
          <w:b/>
          <w:bCs/>
        </w:rPr>
        <w:t>3</w:t>
      </w:r>
      <w:r w:rsidRPr="00BE2410" w:rsidR="00D13DA4">
        <w:rPr>
          <w:b/>
          <w:bCs/>
        </w:rPr>
        <w:t xml:space="preserve"> MIPS Performance Period </w:t>
      </w:r>
      <w:r w:rsidRPr="00BE2410" w:rsidR="00425FF9">
        <w:rPr>
          <w:b/>
          <w:bCs/>
        </w:rPr>
        <w:t xml:space="preserve">Total </w:t>
      </w:r>
      <w:r w:rsidRPr="00BE2410" w:rsidR="00D13DA4">
        <w:rPr>
          <w:b/>
          <w:bCs/>
        </w:rPr>
        <w:t>Burden</w:t>
      </w:r>
    </w:p>
    <w:tbl>
      <w:tblPr>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327"/>
        <w:gridCol w:w="1039"/>
        <w:gridCol w:w="1039"/>
        <w:gridCol w:w="1253"/>
        <w:gridCol w:w="1345"/>
        <w:gridCol w:w="1061"/>
        <w:gridCol w:w="1426"/>
      </w:tblGrid>
      <w:tr w:rsidRPr="00AF322A" w:rsidR="00054407" w:rsidTr="00192E2E" w14:paraId="43CF48AA" w14:textId="77777777">
        <w:trPr>
          <w:cantSplit/>
          <w:tblHeader/>
          <w:jc w:val="center"/>
        </w:trPr>
        <w:tc>
          <w:tcPr>
            <w:tcW w:w="2327" w:type="dxa"/>
          </w:tcPr>
          <w:p w:rsidRPr="00AF322A" w:rsidR="00054407" w:rsidP="00DF0E74" w:rsidRDefault="00EA6D44" w14:paraId="7977E861" w14:textId="1E669C63">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sz w:val="20"/>
                <w:szCs w:val="20"/>
              </w:rPr>
              <w:t>Table</w:t>
            </w:r>
          </w:p>
        </w:tc>
        <w:tc>
          <w:tcPr>
            <w:tcW w:w="1039" w:type="dxa"/>
          </w:tcPr>
          <w:p w:rsidRPr="00AF322A" w:rsidR="00054407" w:rsidP="00DF0E74" w:rsidRDefault="00054407" w14:paraId="070457D6"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AF322A">
              <w:rPr>
                <w:b/>
                <w:bCs/>
                <w:color w:val="000000"/>
                <w:sz w:val="20"/>
                <w:szCs w:val="20"/>
              </w:rPr>
              <w:t>No. Respondents</w:t>
            </w:r>
          </w:p>
        </w:tc>
        <w:tc>
          <w:tcPr>
            <w:tcW w:w="1039" w:type="dxa"/>
          </w:tcPr>
          <w:p w:rsidRPr="00AF322A" w:rsidR="00054407" w:rsidP="00DF0E74" w:rsidRDefault="00054407" w14:paraId="4CAA51C2"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bCs/>
                <w:color w:val="000000"/>
                <w:sz w:val="20"/>
                <w:szCs w:val="20"/>
              </w:rPr>
              <w:t>Responses</w:t>
            </w:r>
          </w:p>
        </w:tc>
        <w:tc>
          <w:tcPr>
            <w:tcW w:w="1253" w:type="dxa"/>
          </w:tcPr>
          <w:p w:rsidRPr="00AF322A" w:rsidR="00054407" w:rsidP="00DF0E74" w:rsidRDefault="00054407" w14:paraId="3D0F4EFA"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bCs/>
                <w:color w:val="000000"/>
                <w:sz w:val="20"/>
                <w:szCs w:val="20"/>
              </w:rPr>
              <w:t>Time per Response (hours)</w:t>
            </w:r>
          </w:p>
        </w:tc>
        <w:tc>
          <w:tcPr>
            <w:tcW w:w="1345" w:type="dxa"/>
          </w:tcPr>
          <w:p w:rsidRPr="00AF322A" w:rsidR="00054407" w:rsidP="00DF0E74" w:rsidRDefault="00054407" w14:paraId="0F559BF3"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bCs/>
                <w:color w:val="000000"/>
                <w:sz w:val="20"/>
                <w:szCs w:val="20"/>
              </w:rPr>
              <w:t>Total Annual Time (hours)</w:t>
            </w:r>
          </w:p>
        </w:tc>
        <w:tc>
          <w:tcPr>
            <w:tcW w:w="1061" w:type="dxa"/>
          </w:tcPr>
          <w:p w:rsidRPr="00AF322A" w:rsidR="00054407" w:rsidP="00DF0E74" w:rsidRDefault="00054407" w14:paraId="624C658F" w14:textId="77777777">
            <w:pPr>
              <w:keepNext/>
              <w:keepLines/>
              <w:spacing w:after="0"/>
              <w:jc w:val="center"/>
              <w:rPr>
                <w:b/>
                <w:bCs/>
                <w:color w:val="000000"/>
                <w:sz w:val="20"/>
                <w:szCs w:val="20"/>
              </w:rPr>
            </w:pPr>
            <w:r w:rsidRPr="00AF322A">
              <w:rPr>
                <w:b/>
                <w:bCs/>
                <w:color w:val="000000"/>
                <w:sz w:val="20"/>
                <w:szCs w:val="20"/>
              </w:rPr>
              <w:t>Labor</w:t>
            </w:r>
          </w:p>
          <w:p w:rsidRPr="00AF322A" w:rsidR="00054407" w:rsidP="00DF0E74" w:rsidRDefault="00054407" w14:paraId="27E10634" w14:textId="77777777">
            <w:pPr>
              <w:keepNext/>
              <w:keepLines/>
              <w:spacing w:after="0"/>
              <w:jc w:val="center"/>
              <w:rPr>
                <w:b/>
                <w:bCs/>
                <w:color w:val="000000"/>
                <w:sz w:val="20"/>
                <w:szCs w:val="20"/>
              </w:rPr>
            </w:pPr>
            <w:r w:rsidRPr="00AF322A">
              <w:rPr>
                <w:b/>
                <w:bCs/>
                <w:color w:val="000000"/>
                <w:sz w:val="20"/>
                <w:szCs w:val="20"/>
              </w:rPr>
              <w:t>Cost</w:t>
            </w:r>
          </w:p>
          <w:p w:rsidRPr="00AF322A" w:rsidR="00054407" w:rsidP="00DF0E74" w:rsidRDefault="00054407" w14:paraId="7EB7B7E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bCs/>
                <w:color w:val="000000"/>
                <w:sz w:val="20"/>
                <w:szCs w:val="20"/>
              </w:rPr>
              <w:t>($/hr)</w:t>
            </w:r>
          </w:p>
        </w:tc>
        <w:tc>
          <w:tcPr>
            <w:tcW w:w="1426" w:type="dxa"/>
          </w:tcPr>
          <w:p w:rsidRPr="00AF322A" w:rsidR="00054407" w:rsidP="00DF0E74" w:rsidRDefault="00054407" w14:paraId="69170FE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sz w:val="20"/>
                <w:szCs w:val="20"/>
              </w:rPr>
              <w:t>Total Cost</w:t>
            </w:r>
          </w:p>
          <w:p w:rsidRPr="00AF322A" w:rsidR="00054407" w:rsidP="00DF0E74" w:rsidRDefault="00054407" w14:paraId="34C9FBD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sz w:val="20"/>
                <w:szCs w:val="20"/>
              </w:rPr>
              <w:t>($)*</w:t>
            </w:r>
          </w:p>
        </w:tc>
      </w:tr>
      <w:tr w:rsidRPr="00054407" w:rsidR="004006ED" w:rsidTr="005E6666" w14:paraId="7AD83C15" w14:textId="77777777">
        <w:trPr>
          <w:cantSplit/>
          <w:jc w:val="center"/>
        </w:trPr>
        <w:tc>
          <w:tcPr>
            <w:tcW w:w="2327" w:type="dxa"/>
            <w:shd w:val="clear" w:color="auto" w:fill="auto"/>
          </w:tcPr>
          <w:p w:rsidRPr="00054407" w:rsidR="004006ED" w:rsidP="004006ED" w:rsidRDefault="004006ED" w14:paraId="02236845" w14:textId="2A6BB25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054407">
              <w:rPr>
                <w:sz w:val="20"/>
                <w:szCs w:val="20"/>
              </w:rPr>
              <w:t xml:space="preserve">Table </w:t>
            </w:r>
            <w:r>
              <w:rPr>
                <w:sz w:val="20"/>
                <w:szCs w:val="20"/>
              </w:rPr>
              <w:t>34</w:t>
            </w:r>
            <w:r w:rsidRPr="00054407">
              <w:rPr>
                <w:sz w:val="20"/>
                <w:szCs w:val="20"/>
              </w:rPr>
              <w:t>: 202</w:t>
            </w:r>
            <w:r>
              <w:rPr>
                <w:sz w:val="20"/>
                <w:szCs w:val="20"/>
              </w:rPr>
              <w:t>2</w:t>
            </w:r>
            <w:r w:rsidRPr="00054407">
              <w:rPr>
                <w:sz w:val="20"/>
                <w:szCs w:val="20"/>
              </w:rPr>
              <w:t xml:space="preserve"> MIPS Performance Period Burden Summary</w:t>
            </w:r>
          </w:p>
        </w:tc>
        <w:tc>
          <w:tcPr>
            <w:tcW w:w="1039" w:type="dxa"/>
            <w:shd w:val="clear" w:color="auto" w:fill="auto"/>
          </w:tcPr>
          <w:p w:rsidRPr="00DD657A" w:rsidR="004006ED" w:rsidP="004E5611" w:rsidRDefault="004006ED" w14:paraId="4720D537" w14:textId="1177C80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A38D5">
              <w:rPr>
                <w:sz w:val="20"/>
                <w:szCs w:val="20"/>
              </w:rPr>
              <w:t>119,890</w:t>
            </w:r>
          </w:p>
        </w:tc>
        <w:tc>
          <w:tcPr>
            <w:tcW w:w="1039" w:type="dxa"/>
            <w:shd w:val="clear" w:color="auto" w:fill="auto"/>
          </w:tcPr>
          <w:p w:rsidRPr="00DD657A" w:rsidR="004006ED" w:rsidP="00006A28" w:rsidRDefault="004006ED" w14:paraId="51A07047" w14:textId="581DD71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376EC">
              <w:rPr>
                <w:sz w:val="20"/>
                <w:szCs w:val="20"/>
              </w:rPr>
              <w:t>310,120</w:t>
            </w:r>
          </w:p>
        </w:tc>
        <w:tc>
          <w:tcPr>
            <w:tcW w:w="1253" w:type="dxa"/>
            <w:shd w:val="clear" w:color="auto" w:fill="auto"/>
          </w:tcPr>
          <w:p w:rsidRPr="00DD657A" w:rsidR="004006ED" w:rsidRDefault="004006ED" w14:paraId="130030B5" w14:textId="18B9F4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376EC">
              <w:rPr>
                <w:sz w:val="20"/>
                <w:szCs w:val="20"/>
              </w:rPr>
              <w:t>Varies</w:t>
            </w:r>
          </w:p>
        </w:tc>
        <w:tc>
          <w:tcPr>
            <w:tcW w:w="1345" w:type="dxa"/>
            <w:shd w:val="clear" w:color="auto" w:fill="auto"/>
          </w:tcPr>
          <w:p w:rsidRPr="00DD657A" w:rsidR="004006ED" w:rsidRDefault="004006ED" w14:paraId="09594C3A" w14:textId="408E868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376EC">
              <w:rPr>
                <w:sz w:val="20"/>
                <w:szCs w:val="20"/>
              </w:rPr>
              <w:t>1,43</w:t>
            </w:r>
            <w:r w:rsidR="00816D75">
              <w:rPr>
                <w:sz w:val="20"/>
                <w:szCs w:val="20"/>
              </w:rPr>
              <w:t>5</w:t>
            </w:r>
            <w:r w:rsidRPr="001376EC">
              <w:rPr>
                <w:sz w:val="20"/>
                <w:szCs w:val="20"/>
              </w:rPr>
              <w:t>,</w:t>
            </w:r>
            <w:r w:rsidR="00816D75">
              <w:rPr>
                <w:sz w:val="20"/>
                <w:szCs w:val="20"/>
              </w:rPr>
              <w:t>77</w:t>
            </w:r>
            <w:r w:rsidR="006E0E3B">
              <w:rPr>
                <w:sz w:val="20"/>
                <w:szCs w:val="20"/>
              </w:rPr>
              <w:t>3</w:t>
            </w:r>
          </w:p>
        </w:tc>
        <w:tc>
          <w:tcPr>
            <w:tcW w:w="1061" w:type="dxa"/>
            <w:shd w:val="clear" w:color="auto" w:fill="auto"/>
          </w:tcPr>
          <w:p w:rsidRPr="00DD657A" w:rsidR="004006ED" w:rsidRDefault="004006ED" w14:paraId="41CDF096" w14:textId="30D7EB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376EC">
              <w:rPr>
                <w:sz w:val="20"/>
                <w:szCs w:val="20"/>
              </w:rPr>
              <w:t>Varies</w:t>
            </w:r>
          </w:p>
        </w:tc>
        <w:tc>
          <w:tcPr>
            <w:tcW w:w="1426" w:type="dxa"/>
            <w:shd w:val="clear" w:color="auto" w:fill="auto"/>
          </w:tcPr>
          <w:p w:rsidRPr="00DD657A" w:rsidR="004006ED" w:rsidRDefault="004006ED" w14:paraId="14938815" w14:textId="36CB843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376EC">
              <w:rPr>
                <w:sz w:val="20"/>
                <w:szCs w:val="20"/>
              </w:rPr>
              <w:t>144,800,</w:t>
            </w:r>
            <w:r w:rsidR="00AC302A">
              <w:rPr>
                <w:sz w:val="20"/>
                <w:szCs w:val="20"/>
              </w:rPr>
              <w:t>324</w:t>
            </w:r>
          </w:p>
        </w:tc>
      </w:tr>
      <w:tr w:rsidRPr="00054407" w:rsidR="00EF431A" w:rsidTr="005E6666" w14:paraId="1C504FEF" w14:textId="77777777">
        <w:trPr>
          <w:cantSplit/>
          <w:jc w:val="center"/>
        </w:trPr>
        <w:tc>
          <w:tcPr>
            <w:tcW w:w="2327" w:type="dxa"/>
          </w:tcPr>
          <w:p w:rsidRPr="00054407" w:rsidR="00EF431A" w:rsidP="00EF431A" w:rsidRDefault="00EF431A" w14:paraId="5485E325" w14:textId="5603CC3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054407">
              <w:rPr>
                <w:sz w:val="20"/>
                <w:szCs w:val="20"/>
              </w:rPr>
              <w:t>Table 3</w:t>
            </w:r>
            <w:r>
              <w:rPr>
                <w:sz w:val="20"/>
                <w:szCs w:val="20"/>
              </w:rPr>
              <w:t>5</w:t>
            </w:r>
            <w:r w:rsidRPr="00054407">
              <w:rPr>
                <w:sz w:val="20"/>
                <w:szCs w:val="20"/>
              </w:rPr>
              <w:t>: 202</w:t>
            </w:r>
            <w:r>
              <w:rPr>
                <w:sz w:val="20"/>
                <w:szCs w:val="20"/>
              </w:rPr>
              <w:t xml:space="preserve">3 </w:t>
            </w:r>
            <w:r w:rsidRPr="00054407">
              <w:rPr>
                <w:sz w:val="20"/>
                <w:szCs w:val="20"/>
              </w:rPr>
              <w:t>MIPS Performance Period Burden Summary</w:t>
            </w:r>
          </w:p>
        </w:tc>
        <w:tc>
          <w:tcPr>
            <w:tcW w:w="1039" w:type="dxa"/>
          </w:tcPr>
          <w:p w:rsidRPr="00DD657A" w:rsidR="00EF431A" w:rsidP="004E5611" w:rsidRDefault="00EF431A" w14:paraId="3F8E7B6A" w14:textId="43692DA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A38D5">
              <w:rPr>
                <w:sz w:val="20"/>
                <w:szCs w:val="20"/>
              </w:rPr>
              <w:t>119,9</w:t>
            </w:r>
            <w:r w:rsidR="0052159B">
              <w:rPr>
                <w:sz w:val="20"/>
                <w:szCs w:val="20"/>
              </w:rPr>
              <w:t>2</w:t>
            </w:r>
            <w:r w:rsidR="00795CA4">
              <w:rPr>
                <w:sz w:val="20"/>
                <w:szCs w:val="20"/>
              </w:rPr>
              <w:t>3</w:t>
            </w:r>
          </w:p>
        </w:tc>
        <w:tc>
          <w:tcPr>
            <w:tcW w:w="1039" w:type="dxa"/>
          </w:tcPr>
          <w:p w:rsidRPr="00DD657A" w:rsidR="00EF431A" w:rsidP="00006A28" w:rsidRDefault="00EF431A" w14:paraId="58215EE8" w14:textId="7D5D9D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376EC">
              <w:rPr>
                <w:sz w:val="20"/>
                <w:szCs w:val="20"/>
              </w:rPr>
              <w:t>323,0</w:t>
            </w:r>
            <w:r w:rsidR="00956A43">
              <w:rPr>
                <w:sz w:val="20"/>
                <w:szCs w:val="20"/>
              </w:rPr>
              <w:t>39</w:t>
            </w:r>
          </w:p>
        </w:tc>
        <w:tc>
          <w:tcPr>
            <w:tcW w:w="1253" w:type="dxa"/>
          </w:tcPr>
          <w:p w:rsidRPr="00DD657A" w:rsidR="00EF431A" w:rsidRDefault="00EF431A" w14:paraId="1342DC7A" w14:textId="35F25B4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376EC">
              <w:rPr>
                <w:sz w:val="20"/>
                <w:szCs w:val="20"/>
              </w:rPr>
              <w:t>Varies</w:t>
            </w:r>
          </w:p>
        </w:tc>
        <w:tc>
          <w:tcPr>
            <w:tcW w:w="1345" w:type="dxa"/>
          </w:tcPr>
          <w:p w:rsidRPr="00DD657A" w:rsidR="00EF431A" w:rsidRDefault="00EF431A" w14:paraId="0710E0E8" w14:textId="301806B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376EC">
              <w:rPr>
                <w:sz w:val="20"/>
                <w:szCs w:val="20"/>
              </w:rPr>
              <w:t>1,390,</w:t>
            </w:r>
            <w:r w:rsidR="0052159B">
              <w:rPr>
                <w:sz w:val="20"/>
                <w:szCs w:val="20"/>
              </w:rPr>
              <w:t>4</w:t>
            </w:r>
            <w:r w:rsidR="005266D0">
              <w:rPr>
                <w:sz w:val="20"/>
                <w:szCs w:val="20"/>
              </w:rPr>
              <w:t>0</w:t>
            </w:r>
            <w:r w:rsidR="00677F4A">
              <w:rPr>
                <w:sz w:val="20"/>
                <w:szCs w:val="20"/>
              </w:rPr>
              <w:t>4</w:t>
            </w:r>
          </w:p>
        </w:tc>
        <w:tc>
          <w:tcPr>
            <w:tcW w:w="1061" w:type="dxa"/>
          </w:tcPr>
          <w:p w:rsidRPr="00DD657A" w:rsidR="00EF431A" w:rsidRDefault="00EF431A" w14:paraId="2D90DAAE" w14:textId="3B7AF20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376EC">
              <w:rPr>
                <w:sz w:val="20"/>
                <w:szCs w:val="20"/>
              </w:rPr>
              <w:t>Varies</w:t>
            </w:r>
          </w:p>
        </w:tc>
        <w:tc>
          <w:tcPr>
            <w:tcW w:w="1426" w:type="dxa"/>
          </w:tcPr>
          <w:p w:rsidRPr="00DD657A" w:rsidR="00EF431A" w:rsidRDefault="00EF431A" w14:paraId="29221A1B" w14:textId="3D9A343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376EC">
              <w:rPr>
                <w:sz w:val="20"/>
                <w:szCs w:val="20"/>
              </w:rPr>
              <w:t>140,2</w:t>
            </w:r>
            <w:r w:rsidR="0052159B">
              <w:rPr>
                <w:sz w:val="20"/>
                <w:szCs w:val="20"/>
              </w:rPr>
              <w:t>8</w:t>
            </w:r>
            <w:r w:rsidR="005266D0">
              <w:rPr>
                <w:sz w:val="20"/>
                <w:szCs w:val="20"/>
              </w:rPr>
              <w:t>4</w:t>
            </w:r>
            <w:r w:rsidR="003811E8">
              <w:rPr>
                <w:sz w:val="20"/>
                <w:szCs w:val="20"/>
              </w:rPr>
              <w:t>,</w:t>
            </w:r>
            <w:r w:rsidR="005266D0">
              <w:rPr>
                <w:sz w:val="20"/>
                <w:szCs w:val="20"/>
              </w:rPr>
              <w:t>742</w:t>
            </w:r>
          </w:p>
        </w:tc>
      </w:tr>
      <w:tr w:rsidRPr="00732012" w:rsidR="00DD657A" w:rsidTr="00DD657A" w14:paraId="3E9682C4" w14:textId="77777777">
        <w:trPr>
          <w:cantSplit/>
          <w:jc w:val="center"/>
        </w:trPr>
        <w:tc>
          <w:tcPr>
            <w:tcW w:w="2327" w:type="dxa"/>
            <w:shd w:val="clear" w:color="auto" w:fill="D9D9D9" w:themeFill="background1" w:themeFillShade="D9"/>
          </w:tcPr>
          <w:p w:rsidRPr="00507190" w:rsidR="00DD657A" w:rsidP="00DD657A" w:rsidRDefault="00DD657A" w14:paraId="50173A4C" w14:textId="1049080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Pr>
                <w:sz w:val="20"/>
                <w:szCs w:val="20"/>
              </w:rPr>
              <w:t>TOTAL</w:t>
            </w:r>
          </w:p>
        </w:tc>
        <w:tc>
          <w:tcPr>
            <w:tcW w:w="1039" w:type="dxa"/>
            <w:shd w:val="clear" w:color="auto" w:fill="D9D9D9" w:themeFill="background1" w:themeFillShade="D9"/>
          </w:tcPr>
          <w:p w:rsidRPr="008A38D5" w:rsidR="00DD657A" w:rsidP="00DD657A" w:rsidRDefault="00DD657A" w14:paraId="5A565CF5" w14:textId="489DA6E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A38D5">
              <w:rPr>
                <w:sz w:val="20"/>
                <w:szCs w:val="20"/>
              </w:rPr>
              <w:t>239,8</w:t>
            </w:r>
            <w:r w:rsidR="003811E8">
              <w:rPr>
                <w:sz w:val="20"/>
                <w:szCs w:val="20"/>
              </w:rPr>
              <w:t>1</w:t>
            </w:r>
            <w:r w:rsidR="00795CA4">
              <w:rPr>
                <w:sz w:val="20"/>
                <w:szCs w:val="20"/>
              </w:rPr>
              <w:t>3</w:t>
            </w:r>
          </w:p>
        </w:tc>
        <w:tc>
          <w:tcPr>
            <w:tcW w:w="1039" w:type="dxa"/>
            <w:shd w:val="clear" w:color="auto" w:fill="D9D9D9" w:themeFill="background1" w:themeFillShade="D9"/>
            <w:vAlign w:val="center"/>
          </w:tcPr>
          <w:p w:rsidRPr="00DD657A" w:rsidR="00DD657A" w:rsidP="00DD657A" w:rsidRDefault="00DD657A" w14:paraId="3E390037" w14:textId="2CC0EF9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657A">
              <w:rPr>
                <w:sz w:val="20"/>
                <w:szCs w:val="20"/>
              </w:rPr>
              <w:t>633,1</w:t>
            </w:r>
            <w:r w:rsidR="009F2C75">
              <w:rPr>
                <w:sz w:val="20"/>
                <w:szCs w:val="20"/>
              </w:rPr>
              <w:t>59</w:t>
            </w:r>
          </w:p>
        </w:tc>
        <w:tc>
          <w:tcPr>
            <w:tcW w:w="1253" w:type="dxa"/>
            <w:shd w:val="clear" w:color="auto" w:fill="D9D9D9" w:themeFill="background1" w:themeFillShade="D9"/>
            <w:vAlign w:val="center"/>
          </w:tcPr>
          <w:p w:rsidRPr="00DD657A" w:rsidR="00DD657A" w:rsidP="00DD657A" w:rsidRDefault="00DD657A" w14:paraId="2BCA1653" w14:textId="3EC6355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657A">
              <w:rPr>
                <w:sz w:val="20"/>
                <w:szCs w:val="20"/>
              </w:rPr>
              <w:t>Varies</w:t>
            </w:r>
          </w:p>
        </w:tc>
        <w:tc>
          <w:tcPr>
            <w:tcW w:w="1345" w:type="dxa"/>
            <w:shd w:val="clear" w:color="auto" w:fill="D9D9D9" w:themeFill="background1" w:themeFillShade="D9"/>
            <w:vAlign w:val="center"/>
          </w:tcPr>
          <w:p w:rsidRPr="00DD657A" w:rsidR="00DD657A" w:rsidP="00DD657A" w:rsidRDefault="00DD657A" w14:paraId="02C7278D" w14:textId="17CC16C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657A">
              <w:rPr>
                <w:sz w:val="20"/>
                <w:szCs w:val="20"/>
              </w:rPr>
              <w:t>2,82</w:t>
            </w:r>
            <w:r w:rsidR="00816D75">
              <w:rPr>
                <w:sz w:val="20"/>
                <w:szCs w:val="20"/>
              </w:rPr>
              <w:t>6</w:t>
            </w:r>
            <w:r w:rsidRPr="00DD657A">
              <w:rPr>
                <w:sz w:val="20"/>
                <w:szCs w:val="20"/>
              </w:rPr>
              <w:t>,</w:t>
            </w:r>
            <w:r w:rsidR="00CC4A1A">
              <w:rPr>
                <w:sz w:val="20"/>
                <w:szCs w:val="20"/>
              </w:rPr>
              <w:t>17</w:t>
            </w:r>
            <w:r w:rsidR="003660DC">
              <w:rPr>
                <w:sz w:val="20"/>
                <w:szCs w:val="20"/>
              </w:rPr>
              <w:t>7</w:t>
            </w:r>
          </w:p>
        </w:tc>
        <w:tc>
          <w:tcPr>
            <w:tcW w:w="1061" w:type="dxa"/>
            <w:shd w:val="clear" w:color="auto" w:fill="D9D9D9" w:themeFill="background1" w:themeFillShade="D9"/>
            <w:vAlign w:val="center"/>
          </w:tcPr>
          <w:p w:rsidRPr="00DD657A" w:rsidR="00DD657A" w:rsidP="00DD657A" w:rsidRDefault="00DD657A" w14:paraId="2D4504F2" w14:textId="7A37C5C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657A">
              <w:rPr>
                <w:sz w:val="20"/>
                <w:szCs w:val="20"/>
              </w:rPr>
              <w:t>Varies</w:t>
            </w:r>
          </w:p>
        </w:tc>
        <w:tc>
          <w:tcPr>
            <w:tcW w:w="1426" w:type="dxa"/>
            <w:shd w:val="clear" w:color="auto" w:fill="D9D9D9" w:themeFill="background1" w:themeFillShade="D9"/>
            <w:vAlign w:val="center"/>
          </w:tcPr>
          <w:p w:rsidRPr="00DD657A" w:rsidR="00DD657A" w:rsidP="00DD657A" w:rsidRDefault="00DD657A" w14:paraId="4BDB7EA6" w14:textId="5A7963B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657A">
              <w:rPr>
                <w:sz w:val="20"/>
                <w:szCs w:val="20"/>
              </w:rPr>
              <w:t>285,0</w:t>
            </w:r>
            <w:r w:rsidR="00095776">
              <w:rPr>
                <w:sz w:val="20"/>
                <w:szCs w:val="20"/>
              </w:rPr>
              <w:t>8</w:t>
            </w:r>
            <w:r w:rsidR="00AF69C3">
              <w:rPr>
                <w:sz w:val="20"/>
                <w:szCs w:val="20"/>
              </w:rPr>
              <w:t>5,066</w:t>
            </w:r>
          </w:p>
        </w:tc>
      </w:tr>
    </w:tbl>
    <w:p w:rsidR="007A7388" w:rsidP="00BA2FFA" w:rsidRDefault="007A7388" w14:paraId="4E5E8DA4" w14:textId="77777777">
      <w:pPr>
        <w:rPr>
          <w:i/>
        </w:rPr>
      </w:pPr>
    </w:p>
    <w:p w:rsidRPr="00BC25AD" w:rsidR="00334306" w:rsidP="00BA2FFA" w:rsidRDefault="00BA2FFA" w14:paraId="6259403B" w14:textId="7F111BA5">
      <w:pPr>
        <w:rPr>
          <w:i/>
        </w:rPr>
      </w:pPr>
      <w:r w:rsidRPr="00BC25AD">
        <w:rPr>
          <w:i/>
        </w:rPr>
        <w:t>Information Collection Instruments/Instructions</w:t>
      </w:r>
    </w:p>
    <w:p w:rsidRPr="00B00319" w:rsidR="00BA2FFA" w:rsidP="00BA2FFA" w:rsidRDefault="00BA2FFA" w14:paraId="6534995B" w14:textId="4169D212">
      <w:r w:rsidRPr="00B00319">
        <w:t xml:space="preserve">Appendix </w:t>
      </w:r>
      <w:r w:rsidRPr="00B00319" w:rsidR="00686195">
        <w:t>A</w:t>
      </w:r>
      <w:r w:rsidRPr="00B00319" w:rsidR="00E13F4C">
        <w:t>1</w:t>
      </w:r>
      <w:r w:rsidRPr="00B00319" w:rsidR="00BD5393">
        <w:t xml:space="preserve"> (See Table </w:t>
      </w:r>
      <w:r w:rsidRPr="00B00319" w:rsidR="008E6B13">
        <w:t>3)</w:t>
      </w:r>
      <w:r w:rsidRPr="00B00319">
        <w:t xml:space="preserve">: </w:t>
      </w:r>
      <w:r w:rsidRPr="00B00319" w:rsidR="00686195">
        <w:t>20</w:t>
      </w:r>
      <w:r w:rsidRPr="00B00319" w:rsidR="0090246D">
        <w:t>2</w:t>
      </w:r>
      <w:r w:rsidRPr="00B00319" w:rsidR="0019452C">
        <w:t>2</w:t>
      </w:r>
      <w:r w:rsidRPr="00B00319" w:rsidR="00686195">
        <w:t xml:space="preserve"> Qualified Registry Fact Sheet</w:t>
      </w:r>
      <w:r w:rsidRPr="00B00319">
        <w:t xml:space="preserve"> </w:t>
      </w:r>
      <w:r w:rsidRPr="00B00319" w:rsidR="00CF2851">
        <w:t>(Revised)</w:t>
      </w:r>
    </w:p>
    <w:p w:rsidRPr="00B00319" w:rsidR="00DA3E00" w:rsidP="00BA2FFA" w:rsidRDefault="00DA3E00" w14:paraId="5440AC80" w14:textId="13ACCC44">
      <w:r w:rsidRPr="00B00319">
        <w:t xml:space="preserve">Appendix </w:t>
      </w:r>
      <w:r w:rsidRPr="00B00319" w:rsidR="00E13F4C">
        <w:t>A2</w:t>
      </w:r>
      <w:r w:rsidRPr="00B00319">
        <w:t xml:space="preserve"> (See Table 3): 202</w:t>
      </w:r>
      <w:r w:rsidRPr="00B00319" w:rsidR="0019452C">
        <w:t>2</w:t>
      </w:r>
      <w:r w:rsidRPr="00B00319">
        <w:t xml:space="preserve"> Qualified Registry Fact Sheet Crosswalk</w:t>
      </w:r>
    </w:p>
    <w:p w:rsidRPr="00B00319" w:rsidR="00BA2FFA" w:rsidP="00BA2FFA" w:rsidRDefault="00BA2FFA" w14:paraId="2DEC2AED" w14:textId="2ACE6070">
      <w:r w:rsidRPr="00B00319">
        <w:t xml:space="preserve">Appendix </w:t>
      </w:r>
      <w:r w:rsidRPr="00B00319" w:rsidR="00E13F4C">
        <w:t>B1</w:t>
      </w:r>
      <w:r w:rsidRPr="00B00319" w:rsidR="00BD5393">
        <w:t xml:space="preserve"> (See Table </w:t>
      </w:r>
      <w:r w:rsidRPr="00B00319" w:rsidR="008E6B13">
        <w:t>4</w:t>
      </w:r>
      <w:r w:rsidRPr="00B00319" w:rsidR="00BD5393">
        <w:t>)</w:t>
      </w:r>
      <w:r w:rsidRPr="00B00319">
        <w:t xml:space="preserve">: </w:t>
      </w:r>
      <w:r w:rsidRPr="00B00319" w:rsidR="00E5343C">
        <w:t>20</w:t>
      </w:r>
      <w:r w:rsidRPr="00B00319" w:rsidR="0090246D">
        <w:t>2</w:t>
      </w:r>
      <w:r w:rsidRPr="00B00319" w:rsidR="0019452C">
        <w:t>2</w:t>
      </w:r>
      <w:r w:rsidRPr="00B00319" w:rsidR="00E5343C">
        <w:t xml:space="preserve"> Qualified Clinical Data Registry (QCDR) Fact Sheet</w:t>
      </w:r>
      <w:r w:rsidRPr="00B00319">
        <w:t xml:space="preserve"> </w:t>
      </w:r>
      <w:r w:rsidRPr="00B00319" w:rsidR="00697911">
        <w:t>(Revised)</w:t>
      </w:r>
    </w:p>
    <w:p w:rsidRPr="00B00319" w:rsidR="00C03AC3" w:rsidP="00BA2FFA" w:rsidRDefault="00DA3E00" w14:paraId="10CB1AC8" w14:textId="4A5672DE">
      <w:r w:rsidRPr="00B00319">
        <w:t xml:space="preserve">Appendix </w:t>
      </w:r>
      <w:r w:rsidRPr="00B00319" w:rsidR="00E13F4C">
        <w:t>B2</w:t>
      </w:r>
      <w:r w:rsidRPr="00B00319">
        <w:t xml:space="preserve"> (See Table 4): 202</w:t>
      </w:r>
      <w:r w:rsidRPr="00B00319" w:rsidR="0019452C">
        <w:t>2</w:t>
      </w:r>
      <w:r w:rsidRPr="00B00319">
        <w:t xml:space="preserve"> Qualified Clinical Data Registry (QCDR) Fact Sheet Crosswalk</w:t>
      </w:r>
    </w:p>
    <w:p w:rsidRPr="00B00319" w:rsidR="0090246D" w:rsidP="00BA2FFA" w:rsidRDefault="0090246D" w14:paraId="6C9D368A" w14:textId="15BB5821">
      <w:r w:rsidRPr="00B00319">
        <w:t xml:space="preserve">Appendix </w:t>
      </w:r>
      <w:r w:rsidRPr="00B00319" w:rsidR="00E13F4C">
        <w:t>C1</w:t>
      </w:r>
      <w:r w:rsidRPr="00B00319">
        <w:t xml:space="preserve"> (Table 4): 202</w:t>
      </w:r>
      <w:r w:rsidRPr="00B00319" w:rsidR="00CB4F33">
        <w:t>2</w:t>
      </w:r>
      <w:r w:rsidRPr="00B00319">
        <w:t xml:space="preserve"> Qualified Clinical Data Registry (QCDR</w:t>
      </w:r>
      <w:r w:rsidRPr="00B00319" w:rsidR="00600332">
        <w:t>) Measure Submission Template</w:t>
      </w:r>
      <w:r w:rsidRPr="00B00319" w:rsidR="00D96352">
        <w:t xml:space="preserve"> </w:t>
      </w:r>
      <w:r w:rsidRPr="00B00319" w:rsidR="00912DEE">
        <w:t>(Revised</w:t>
      </w:r>
      <w:r w:rsidRPr="00B00319" w:rsidR="75FFE246">
        <w:t>, Conversion to Webform</w:t>
      </w:r>
      <w:r w:rsidRPr="00B00319" w:rsidR="00912DEE">
        <w:t>)</w:t>
      </w:r>
    </w:p>
    <w:p w:rsidRPr="00B00319" w:rsidR="00DA3E00" w:rsidP="00BA2FFA" w:rsidRDefault="00DA3E00" w14:paraId="625BB9E1" w14:textId="2085973A">
      <w:r w:rsidRPr="00B00319">
        <w:t xml:space="preserve">Appendix </w:t>
      </w:r>
      <w:r w:rsidRPr="00B00319" w:rsidR="00E13F4C">
        <w:t>C2</w:t>
      </w:r>
      <w:r w:rsidRPr="00B00319">
        <w:t xml:space="preserve"> (Table 4): 202</w:t>
      </w:r>
      <w:r w:rsidRPr="00B00319" w:rsidR="00CB4F33">
        <w:t>2</w:t>
      </w:r>
      <w:r w:rsidRPr="00B00319">
        <w:t xml:space="preserve"> Qualified Clinical Data Registry (QCDR) Measure Submission Template Crosswalk</w:t>
      </w:r>
    </w:p>
    <w:p w:rsidRPr="00B00319" w:rsidR="00466862" w:rsidP="00466862" w:rsidRDefault="00466862" w14:paraId="785E060D" w14:textId="46AD5186">
      <w:r w:rsidRPr="00B00319">
        <w:lastRenderedPageBreak/>
        <w:t xml:space="preserve">Appendix </w:t>
      </w:r>
      <w:r w:rsidRPr="00B00319" w:rsidR="00496976">
        <w:t>D</w:t>
      </w:r>
      <w:r w:rsidRPr="00B00319" w:rsidR="00FE1CC7">
        <w:t>1</w:t>
      </w:r>
      <w:r w:rsidRPr="00B00319">
        <w:t xml:space="preserve"> (See Table </w:t>
      </w:r>
      <w:r w:rsidRPr="00B00319" w:rsidR="005D755A">
        <w:t>30</w:t>
      </w:r>
      <w:r w:rsidRPr="00B00319">
        <w:t xml:space="preserve">): </w:t>
      </w:r>
      <w:r w:rsidRPr="00B00319" w:rsidR="004310F4">
        <w:t xml:space="preserve">2022 </w:t>
      </w:r>
      <w:r w:rsidRPr="00B00319">
        <w:t xml:space="preserve">Submission Form for Other Payer Requests for Other Payer Advanced Alternative Payment Model Determinations (Payer Initiated Submission Form) </w:t>
      </w:r>
      <w:r w:rsidRPr="00B00319" w:rsidR="00597FEC">
        <w:t>(Revised)</w:t>
      </w:r>
    </w:p>
    <w:p w:rsidRPr="00B00319" w:rsidR="00FE1CC7" w:rsidP="00466862" w:rsidRDefault="00FE1CC7" w14:paraId="23EAEE72" w14:textId="1DEB0610">
      <w:r w:rsidRPr="00B00319">
        <w:t xml:space="preserve">Appendix </w:t>
      </w:r>
      <w:r w:rsidRPr="00B00319" w:rsidR="00496976">
        <w:t>D</w:t>
      </w:r>
      <w:r w:rsidRPr="00B00319">
        <w:t xml:space="preserve">2 (See Table </w:t>
      </w:r>
      <w:r w:rsidRPr="00B00319" w:rsidR="00E76DA3">
        <w:t>30</w:t>
      </w:r>
      <w:r w:rsidRPr="00B00319">
        <w:t xml:space="preserve">): </w:t>
      </w:r>
      <w:r w:rsidRPr="00B00319" w:rsidR="004310F4">
        <w:t xml:space="preserve">2022 </w:t>
      </w:r>
      <w:r w:rsidRPr="00B00319">
        <w:t>Submission Form for Other Payer Requests for Other Payer Advanced Alternative Payment Model Determinations Crosswalk (Payer Init</w:t>
      </w:r>
      <w:r w:rsidRPr="00B00319" w:rsidR="005F34C3">
        <w:t>iated Submission Form)</w:t>
      </w:r>
    </w:p>
    <w:p w:rsidRPr="00B00319" w:rsidR="00BA2FFA" w:rsidP="00BA2FFA" w:rsidRDefault="00BA2FFA" w14:paraId="65DD8FF0" w14:textId="3E532052">
      <w:r w:rsidRPr="00B00319">
        <w:t xml:space="preserve">Appendix </w:t>
      </w:r>
      <w:r w:rsidRPr="00B00319" w:rsidR="00496976">
        <w:t>E</w:t>
      </w:r>
      <w:r w:rsidRPr="00B00319" w:rsidR="00FE1CC7">
        <w:t>1</w:t>
      </w:r>
      <w:r w:rsidRPr="00B00319" w:rsidR="00BD5393">
        <w:t xml:space="preserve"> (See Table </w:t>
      </w:r>
      <w:r w:rsidRPr="00B00319" w:rsidR="00E94A7C">
        <w:t>31</w:t>
      </w:r>
      <w:r w:rsidRPr="00B00319" w:rsidR="00BD5393">
        <w:t>)</w:t>
      </w:r>
      <w:r w:rsidRPr="00B00319">
        <w:t xml:space="preserve">: </w:t>
      </w:r>
      <w:r w:rsidR="00BF15CE">
        <w:t xml:space="preserve">2022 </w:t>
      </w:r>
      <w:r w:rsidRPr="00B00319" w:rsidR="00290BB7">
        <w:t>Submission Form for Eligible Clinician and APM Entity Requests for Other Payer Advanced Alternative Payment Model Determinations (Eligible Clinician Initiated Submission Form)</w:t>
      </w:r>
      <w:r w:rsidRPr="00B00319">
        <w:t xml:space="preserve"> (</w:t>
      </w:r>
      <w:r w:rsidRPr="00B00319" w:rsidR="000534C3">
        <w:t>Revised</w:t>
      </w:r>
      <w:r w:rsidRPr="00B00319">
        <w:t>)</w:t>
      </w:r>
    </w:p>
    <w:p w:rsidRPr="00B00319" w:rsidR="00FE1CC7" w:rsidP="00BA2FFA" w:rsidRDefault="00FE1CC7" w14:paraId="0720CD76" w14:textId="6D279212">
      <w:r w:rsidRPr="00B00319">
        <w:t xml:space="preserve">Appendix </w:t>
      </w:r>
      <w:r w:rsidRPr="00B00319" w:rsidR="00496976">
        <w:t>E</w:t>
      </w:r>
      <w:r w:rsidRPr="00B00319">
        <w:t xml:space="preserve">2 (See Table </w:t>
      </w:r>
      <w:r w:rsidRPr="00B00319" w:rsidR="00E94A7C">
        <w:t>31</w:t>
      </w:r>
      <w:r w:rsidRPr="00B00319">
        <w:t xml:space="preserve">): </w:t>
      </w:r>
      <w:r w:rsidR="00BF15CE">
        <w:t xml:space="preserve">2022 </w:t>
      </w:r>
      <w:r w:rsidRPr="00B00319">
        <w:t>Submission Form for Eligible Clinician and APM Entity Requests for Other Payer Advanced Alternative Payment Model Determinations (Eligible Clinician Initiated Submission Form) Crosswalk</w:t>
      </w:r>
    </w:p>
    <w:p w:rsidRPr="00B00319" w:rsidR="00964ADF" w:rsidP="00964ADF" w:rsidRDefault="002B0123" w14:paraId="2B0588D0" w14:textId="418C5765">
      <w:r w:rsidRPr="00B00319">
        <w:t xml:space="preserve">Appendix </w:t>
      </w:r>
      <w:r w:rsidRPr="00B00319" w:rsidR="00496976">
        <w:t>F</w:t>
      </w:r>
      <w:r w:rsidRPr="00B00319" w:rsidR="00FE1CC7">
        <w:t>1</w:t>
      </w:r>
      <w:r w:rsidRPr="00B00319" w:rsidR="00BD5393">
        <w:t xml:space="preserve"> (See Table </w:t>
      </w:r>
      <w:r w:rsidRPr="00B00319" w:rsidR="00FE7857">
        <w:t>32</w:t>
      </w:r>
      <w:r w:rsidRPr="00B00319" w:rsidR="00BD5393">
        <w:t>)</w:t>
      </w:r>
      <w:r w:rsidRPr="00B00319">
        <w:t xml:space="preserve">: </w:t>
      </w:r>
      <w:r w:rsidR="00BF15CE">
        <w:t xml:space="preserve">2022 </w:t>
      </w:r>
      <w:r w:rsidRPr="00B00319" w:rsidR="00D8597D">
        <w:t>S</w:t>
      </w:r>
      <w:r w:rsidRPr="00B00319" w:rsidR="00964ADF">
        <w:t>ubmission Form for Requests for Qualifying Alternative Payment Model Participant (QP) Determinations under the All-Payer Combination Option</w:t>
      </w:r>
      <w:r w:rsidRPr="00B00319" w:rsidR="00597FEC">
        <w:t xml:space="preserve"> (Revised)</w:t>
      </w:r>
    </w:p>
    <w:p w:rsidRPr="00B00319" w:rsidR="00FE1CC7" w:rsidP="00964ADF" w:rsidRDefault="00FE1CC7" w14:paraId="5707F9CA" w14:textId="48D072F4">
      <w:r w:rsidRPr="00B00319">
        <w:t xml:space="preserve">Appendix </w:t>
      </w:r>
      <w:r w:rsidRPr="00B00319" w:rsidR="00496976">
        <w:t>F</w:t>
      </w:r>
      <w:r w:rsidRPr="00B00319">
        <w:t xml:space="preserve">2 (See Table </w:t>
      </w:r>
      <w:r w:rsidRPr="00B00319" w:rsidR="00FE7857">
        <w:t>32</w:t>
      </w:r>
      <w:r w:rsidRPr="00B00319">
        <w:t xml:space="preserve">): </w:t>
      </w:r>
      <w:r w:rsidR="00BF15CE">
        <w:t xml:space="preserve">2022 </w:t>
      </w:r>
      <w:r w:rsidRPr="00B00319">
        <w:t>Submission Form for Requests for Qualifying Alternative Payment Model Participant (QP) Determinations under the All-Payer Combination Option Crosswalk</w:t>
      </w:r>
    </w:p>
    <w:p w:rsidRPr="00B00319" w:rsidR="002B0123" w:rsidP="002B0123" w:rsidRDefault="002B0123" w14:paraId="7DA048CA" w14:textId="51161D58">
      <w:r w:rsidRPr="00B00319">
        <w:t xml:space="preserve">Appendix </w:t>
      </w:r>
      <w:r w:rsidRPr="00B00319" w:rsidR="00496976">
        <w:t>G</w:t>
      </w:r>
      <w:r w:rsidRPr="00B00319" w:rsidR="00FE1CC7">
        <w:t>1</w:t>
      </w:r>
      <w:r w:rsidRPr="00B00319" w:rsidR="00BD5393">
        <w:t xml:space="preserve"> (See Table </w:t>
      </w:r>
      <w:r w:rsidRPr="00B00319" w:rsidR="008E6B13">
        <w:t>1</w:t>
      </w:r>
      <w:r w:rsidRPr="00B00319" w:rsidR="00695892">
        <w:t>8</w:t>
      </w:r>
      <w:r w:rsidRPr="00B00319" w:rsidR="00BD5393">
        <w:t>)</w:t>
      </w:r>
      <w:r w:rsidRPr="00B00319">
        <w:t xml:space="preserve">: </w:t>
      </w:r>
      <w:r w:rsidRPr="00B00319" w:rsidR="00957184">
        <w:t xml:space="preserve">Measures under Consideration </w:t>
      </w:r>
      <w:r w:rsidRPr="00B00319" w:rsidR="00FE1CC7">
        <w:t>202</w:t>
      </w:r>
      <w:r w:rsidRPr="00B00319" w:rsidR="00DE4752">
        <w:t>1</w:t>
      </w:r>
      <w:r w:rsidRPr="00B00319" w:rsidR="00957184">
        <w:t>, Data Template for Candidate Measures</w:t>
      </w:r>
      <w:r w:rsidRPr="00B00319">
        <w:t xml:space="preserve"> (</w:t>
      </w:r>
      <w:r w:rsidRPr="00B00319" w:rsidR="00DA3E00">
        <w:t>Revised</w:t>
      </w:r>
      <w:r w:rsidRPr="00B00319">
        <w:t>)</w:t>
      </w:r>
    </w:p>
    <w:p w:rsidRPr="00B00319" w:rsidR="00FE1CC7" w:rsidP="002B0123" w:rsidRDefault="00FE1CC7" w14:paraId="30D4F95A" w14:textId="71F65E48">
      <w:r w:rsidRPr="00B00319">
        <w:t xml:space="preserve">Appendix </w:t>
      </w:r>
      <w:r w:rsidRPr="00B00319" w:rsidR="00496976">
        <w:t>G</w:t>
      </w:r>
      <w:r w:rsidRPr="00B00319">
        <w:t>2 (See Table 1</w:t>
      </w:r>
      <w:r w:rsidRPr="00B00319" w:rsidR="00695892">
        <w:t>8</w:t>
      </w:r>
      <w:r w:rsidRPr="00B00319">
        <w:t>): Measures under Consideration 202</w:t>
      </w:r>
      <w:r w:rsidRPr="00B00319" w:rsidR="00DE4752">
        <w:t>1</w:t>
      </w:r>
      <w:r w:rsidRPr="00B00319">
        <w:t>, Data Template for Candidate Measures Crosswalk</w:t>
      </w:r>
    </w:p>
    <w:p w:rsidRPr="00B00319" w:rsidR="00D12A35" w:rsidP="00D12A35" w:rsidRDefault="00D12A35" w14:paraId="22B09C51" w14:textId="6E78EB1B">
      <w:r w:rsidRPr="00B00319">
        <w:t>Appendix H1 (See Table 1</w:t>
      </w:r>
      <w:r w:rsidRPr="00B00319" w:rsidR="002234AC">
        <w:t>8</w:t>
      </w:r>
      <w:r w:rsidRPr="00B00319">
        <w:t xml:space="preserve">):  </w:t>
      </w:r>
      <w:r w:rsidR="008566E5">
        <w:t>202</w:t>
      </w:r>
      <w:r w:rsidR="00C40B0B">
        <w:t xml:space="preserve">2 </w:t>
      </w:r>
      <w:r w:rsidRPr="00B00319">
        <w:t xml:space="preserve">Peer Reviewed Journal Article Requirement Template </w:t>
      </w:r>
      <w:r w:rsidRPr="00B00319" w:rsidR="005B4623">
        <w:t>(Revised)</w:t>
      </w:r>
    </w:p>
    <w:p w:rsidRPr="00B00319" w:rsidR="00D12A35" w:rsidP="002B0123" w:rsidRDefault="00D12A35" w14:paraId="650C4499" w14:textId="5BF35CAC">
      <w:r w:rsidRPr="00B00319">
        <w:t>Appendix H2 (See Table 1</w:t>
      </w:r>
      <w:r w:rsidRPr="00B00319" w:rsidR="00695892">
        <w:t>8</w:t>
      </w:r>
      <w:r w:rsidRPr="00B00319">
        <w:t xml:space="preserve">): </w:t>
      </w:r>
      <w:r w:rsidR="009264E0">
        <w:t xml:space="preserve">2022 </w:t>
      </w:r>
      <w:r w:rsidRPr="00B00319">
        <w:t>Peer Reviewed Journal Article Requirement Template Crosswalk</w:t>
      </w:r>
    </w:p>
    <w:p w:rsidRPr="00B00319" w:rsidR="002B0123" w:rsidP="00C540B4" w:rsidRDefault="002B0123" w14:paraId="0915741C" w14:textId="7D249FC8">
      <w:r w:rsidRPr="00B00319">
        <w:t xml:space="preserve">Appendix </w:t>
      </w:r>
      <w:r w:rsidRPr="00B00319" w:rsidR="00D12A35">
        <w:t>I</w:t>
      </w:r>
      <w:r w:rsidRPr="00B00319" w:rsidR="001609BE">
        <w:t>1</w:t>
      </w:r>
      <w:r w:rsidRPr="00B00319" w:rsidR="00BD5393">
        <w:t xml:space="preserve"> (See Table </w:t>
      </w:r>
      <w:r w:rsidRPr="00B00319" w:rsidR="00DF12C6">
        <w:t>23</w:t>
      </w:r>
      <w:r w:rsidRPr="00B00319" w:rsidR="00BD5393">
        <w:t>)</w:t>
      </w:r>
      <w:r w:rsidRPr="00B00319">
        <w:t xml:space="preserve">: </w:t>
      </w:r>
      <w:r w:rsidRPr="00B00319" w:rsidR="00C540B4">
        <w:t xml:space="preserve"> Promoting Interoperability Performance Category, </w:t>
      </w:r>
      <w:r w:rsidRPr="00B00319" w:rsidR="00B4441F">
        <w:t>20</w:t>
      </w:r>
      <w:r w:rsidRPr="00B00319" w:rsidR="00313BF4">
        <w:t>2</w:t>
      </w:r>
      <w:r w:rsidRPr="00B00319" w:rsidR="00841873">
        <w:t>2</w:t>
      </w:r>
      <w:r w:rsidRPr="00B00319" w:rsidR="00B4441F">
        <w:t xml:space="preserve"> </w:t>
      </w:r>
      <w:r w:rsidRPr="00B00319" w:rsidR="00C540B4">
        <w:t>Call for Measures Submission Form</w:t>
      </w:r>
      <w:r w:rsidRPr="00B00319">
        <w:t xml:space="preserve"> </w:t>
      </w:r>
      <w:r w:rsidRPr="00B00319" w:rsidR="00E01221">
        <w:t>(Revised)</w:t>
      </w:r>
    </w:p>
    <w:p w:rsidRPr="00BC25AD" w:rsidR="001609BE" w:rsidP="00C540B4" w:rsidRDefault="001609BE" w14:paraId="134968B5" w14:textId="0348254B">
      <w:r w:rsidRPr="00B00319">
        <w:t xml:space="preserve">Appendix I2 (See Table </w:t>
      </w:r>
      <w:r w:rsidRPr="00B00319" w:rsidR="00841873">
        <w:t>23</w:t>
      </w:r>
      <w:r w:rsidRPr="00B00319">
        <w:t>):  Promoting Interoperability Performance Category, 202</w:t>
      </w:r>
      <w:r w:rsidRPr="00B00319" w:rsidR="00841873">
        <w:t>2</w:t>
      </w:r>
      <w:r w:rsidRPr="00B00319">
        <w:t xml:space="preserve"> Call for Measures Submission Form Crosswalk</w:t>
      </w:r>
    </w:p>
    <w:p w:rsidRPr="00BC25AD" w:rsidR="002B0123" w:rsidP="00AF6380" w:rsidRDefault="002B0123" w14:paraId="67B5BDBE" w14:textId="619EBC4A">
      <w:r w:rsidRPr="00BC25AD">
        <w:t xml:space="preserve">Appendix </w:t>
      </w:r>
      <w:r w:rsidRPr="00BC25AD" w:rsidR="00D12A35">
        <w:t>J</w:t>
      </w:r>
      <w:r w:rsidRPr="00BC25AD" w:rsidR="001609BE">
        <w:t>1</w:t>
      </w:r>
      <w:r w:rsidRPr="00BC25AD" w:rsidR="00BD5393">
        <w:t xml:space="preserve"> (See Table </w:t>
      </w:r>
      <w:r w:rsidRPr="00BC25AD" w:rsidR="008E6B13">
        <w:t>2</w:t>
      </w:r>
      <w:r w:rsidR="0084317B">
        <w:t>7</w:t>
      </w:r>
      <w:r w:rsidRPr="00BC25AD" w:rsidR="00BD5393">
        <w:t>)</w:t>
      </w:r>
      <w:r w:rsidRPr="00BC25AD">
        <w:t xml:space="preserve">: </w:t>
      </w:r>
      <w:r w:rsidRPr="00BC25AD" w:rsidR="00AF6380">
        <w:t xml:space="preserve"> Improvement Activities Performance Category, </w:t>
      </w:r>
      <w:r w:rsidR="00B4441F">
        <w:t>20</w:t>
      </w:r>
      <w:r w:rsidR="003C4278">
        <w:t>2</w:t>
      </w:r>
      <w:r>
        <w:t>1</w:t>
      </w:r>
      <w:r w:rsidRPr="00BC25AD" w:rsidR="00B4441F">
        <w:t xml:space="preserve"> </w:t>
      </w:r>
      <w:r w:rsidRPr="00BC25AD" w:rsidR="00AF6380">
        <w:t>Call for Activities Submission Form</w:t>
      </w:r>
      <w:r w:rsidR="007A3C57">
        <w:t xml:space="preserve"> (No change)</w:t>
      </w:r>
    </w:p>
    <w:p w:rsidRPr="00BC25AD" w:rsidR="00CE3A0A" w:rsidP="00CE3A0A" w:rsidRDefault="00CE3A0A" w14:paraId="487E1206" w14:textId="1F5DBBE8">
      <w:r w:rsidRPr="00BC25AD">
        <w:t xml:space="preserve">Appendix </w:t>
      </w:r>
      <w:r w:rsidRPr="00BC25AD" w:rsidR="00496976">
        <w:t>K</w:t>
      </w:r>
      <w:r w:rsidRPr="00BC25AD" w:rsidR="00E13F4C">
        <w:t>1</w:t>
      </w:r>
      <w:r w:rsidRPr="00BC25AD">
        <w:t xml:space="preserve"> (See Table 1</w:t>
      </w:r>
      <w:r w:rsidR="004B4648">
        <w:t>9</w:t>
      </w:r>
      <w:r w:rsidRPr="00BC25AD">
        <w:t>):</w:t>
      </w:r>
      <w:r w:rsidR="0040551D">
        <w:t xml:space="preserve"> 2021</w:t>
      </w:r>
      <w:r w:rsidRPr="00BC25AD">
        <w:t xml:space="preserve"> Hardshi</w:t>
      </w:r>
      <w:r w:rsidRPr="00BC25AD" w:rsidR="00632BCD">
        <w:t>p Exception Application Form</w:t>
      </w:r>
      <w:r w:rsidR="00E41464">
        <w:t xml:space="preserve"> (No change)</w:t>
      </w:r>
    </w:p>
    <w:p w:rsidRPr="00BC25AD" w:rsidR="00640932" w:rsidP="00CE3A0A" w:rsidRDefault="00CE3A0A" w14:paraId="448ADFDC" w14:textId="69FE736B">
      <w:r w:rsidRPr="00BC25AD">
        <w:t xml:space="preserve">Appendix </w:t>
      </w:r>
      <w:r w:rsidRPr="00BC25AD" w:rsidR="00496976">
        <w:t>L</w:t>
      </w:r>
      <w:r w:rsidRPr="00BC25AD" w:rsidR="00E13F4C">
        <w:t>1</w:t>
      </w:r>
      <w:r w:rsidRPr="00BC25AD">
        <w:t xml:space="preserve"> (See Table 1</w:t>
      </w:r>
      <w:r w:rsidR="004B4648">
        <w:t>9</w:t>
      </w:r>
      <w:r w:rsidRPr="00BC25AD">
        <w:t xml:space="preserve">): </w:t>
      </w:r>
      <w:r w:rsidR="0040551D">
        <w:t xml:space="preserve">2021 </w:t>
      </w:r>
      <w:r w:rsidRPr="00BC25AD" w:rsidR="00632BCD">
        <w:t xml:space="preserve">Extreme and Uncontrollable Circumstances Application Form </w:t>
      </w:r>
      <w:r w:rsidR="00B97757">
        <w:t>(No change)</w:t>
      </w:r>
    </w:p>
    <w:p w:rsidRPr="00BC25AD" w:rsidR="00DA3E00" w:rsidP="00CE3A0A" w:rsidRDefault="004B3AFB" w14:paraId="6DA3CA33" w14:textId="3A9D4092">
      <w:r w:rsidRPr="00BC25AD">
        <w:t xml:space="preserve">Appendix </w:t>
      </w:r>
      <w:r w:rsidRPr="00BC25AD" w:rsidR="00496976">
        <w:t>M</w:t>
      </w:r>
      <w:r w:rsidRPr="00BC25AD">
        <w:t xml:space="preserve"> (See Table 2</w:t>
      </w:r>
      <w:r w:rsidR="00745552">
        <w:t>8</w:t>
      </w:r>
      <w:r w:rsidRPr="00BC25AD">
        <w:t xml:space="preserve">): </w:t>
      </w:r>
      <w:r w:rsidR="0040551D">
        <w:t xml:space="preserve">2021 </w:t>
      </w:r>
      <w:r w:rsidRPr="00BC25AD">
        <w:t xml:space="preserve">MVP Candidates: Instructions and Template </w:t>
      </w:r>
      <w:r w:rsidR="00B97757">
        <w:t>(No change)</w:t>
      </w:r>
    </w:p>
    <w:p w:rsidRPr="00B00319" w:rsidR="00C072CA" w:rsidP="00CE3A0A" w:rsidRDefault="00C072CA" w14:paraId="75CC7F76" w14:textId="0C2A07EB">
      <w:r w:rsidRPr="00B00319">
        <w:lastRenderedPageBreak/>
        <w:t xml:space="preserve">Appendix N1 </w:t>
      </w:r>
      <w:r w:rsidRPr="00B00319" w:rsidR="00C56B51">
        <w:t>(See Table 1</w:t>
      </w:r>
      <w:r w:rsidRPr="00B00319" w:rsidR="0081369E">
        <w:t>6</w:t>
      </w:r>
      <w:r w:rsidRPr="00B00319" w:rsidR="00C56B51">
        <w:t xml:space="preserve">): </w:t>
      </w:r>
      <w:r w:rsidRPr="00B00319">
        <w:t xml:space="preserve">2021 </w:t>
      </w:r>
      <w:r w:rsidRPr="00B00319" w:rsidR="00C56B51">
        <w:t xml:space="preserve">CMS Web Interface and CAHPS for MIPS Registration Guide </w:t>
      </w:r>
      <w:r w:rsidRPr="00B00319" w:rsidR="001409CC">
        <w:t>(Revised)</w:t>
      </w:r>
    </w:p>
    <w:p w:rsidRPr="00B00319" w:rsidR="00C56B51" w:rsidP="00CE3A0A" w:rsidRDefault="00C56B51" w14:paraId="3CB4F696" w14:textId="437E86C8">
      <w:r w:rsidRPr="00B00319">
        <w:t>Appendix N2 (See Table 1</w:t>
      </w:r>
      <w:r w:rsidRPr="00B00319" w:rsidR="0081369E">
        <w:t>6</w:t>
      </w:r>
      <w:r w:rsidRPr="00B00319">
        <w:t>): 2021 CMS Web Interface and CAHPS for MIPS Registration Guide Crosswalk</w:t>
      </w:r>
    </w:p>
    <w:p w:rsidRPr="00BC25AD" w:rsidR="00E61EC3" w:rsidP="00CE3A0A" w:rsidRDefault="00E61EC3" w14:paraId="3A79618C" w14:textId="16E25EFE">
      <w:r w:rsidRPr="00B00319">
        <w:t xml:space="preserve">Appendix O1 </w:t>
      </w:r>
      <w:r w:rsidRPr="00B00319" w:rsidR="00D65A4E">
        <w:t xml:space="preserve">(See Table 29): </w:t>
      </w:r>
      <w:r w:rsidR="00D67B19">
        <w:t xml:space="preserve">2020 </w:t>
      </w:r>
      <w:r w:rsidRPr="00B00319" w:rsidR="00D65A4E">
        <w:t>Partial QP Election Form</w:t>
      </w:r>
      <w:r w:rsidR="00D67B19">
        <w:t xml:space="preserve"> (for the </w:t>
      </w:r>
      <w:r w:rsidR="001E1CF0">
        <w:t>2022 MIPS payment year</w:t>
      </w:r>
      <w:r w:rsidR="00D67B19">
        <w:t>)</w:t>
      </w:r>
      <w:r w:rsidRPr="00B00319" w:rsidR="00D65A4E">
        <w:t xml:space="preserve"> (New)</w:t>
      </w:r>
    </w:p>
    <w:p w:rsidRPr="00BC25AD" w:rsidR="002E06AF" w:rsidP="00136D86" w:rsidRDefault="00E10E3A" w14:paraId="34127EDE" w14:textId="60B5B42E">
      <w:pPr>
        <w:pStyle w:val="Heading2"/>
      </w:pPr>
      <w:r w:rsidRPr="00BC25AD">
        <w:t>Capital Costs</w:t>
      </w:r>
    </w:p>
    <w:p w:rsidR="00104ED5" w:rsidP="00715C78" w:rsidRDefault="00104ED5" w14:paraId="42BF1197" w14:textId="5DE69D2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We</w:t>
      </w:r>
      <w:r w:rsidR="00435EAA">
        <w:t xml:space="preserve"> propose to</w:t>
      </w:r>
      <w:r>
        <w:t xml:space="preserve"> sunset the CMS Web Interface measures as a collection type for groups and virtual groups with 25 or more eligible clinicians starting with the </w:t>
      </w:r>
      <w:r w:rsidR="00D16382">
        <w:t xml:space="preserve">CY </w:t>
      </w:r>
      <w:r>
        <w:t>202</w:t>
      </w:r>
      <w:r w:rsidR="00D16382">
        <w:t>3 MIPS</w:t>
      </w:r>
      <w:r>
        <w:t xml:space="preserve"> performance period</w:t>
      </w:r>
      <w:r w:rsidR="00D16382">
        <w:t>/2025 MIPS payment year</w:t>
      </w:r>
      <w:r>
        <w:t>.  We recognize that the</w:t>
      </w:r>
      <w:r w:rsidR="00011801">
        <w:t xml:space="preserve"> proposed</w:t>
      </w:r>
      <w:r>
        <w:t xml:space="preserve"> sunset of the CMS Web Interface for groups and virtual groups may be burdensome to current groups and virtual groups submitting quality data on CMS Web Interface measures.  Such groups and virtual groups would need to select a different collection type/submission type and redesign their systems to be able to interact with the new collection type/submission type.  Given that the Medicare Part B claims collection type is limited to small practices, the alternatives for these groups and virtual groups would be either the MIPS CQM, QCDR</w:t>
      </w:r>
      <w:r w:rsidR="00BE1570">
        <w:t>,</w:t>
      </w:r>
      <w:r>
        <w:t xml:space="preserve"> or eCQM collection types.  Given the size of the affected groups and virtual groups, we believe the majority are likely to already be using a QCDR, qualified registry, or EHR as part of their practice workflow. Of the </w:t>
      </w:r>
      <w:r w:rsidR="0059611E">
        <w:t>3,61</w:t>
      </w:r>
      <w:r w:rsidR="0040737B">
        <w:t>1</w:t>
      </w:r>
      <w:r>
        <w:t xml:space="preserve"> TINs comprised of 25 or more clinicians who submitted MIPS data via a collection type other than the CMS Web Interface, </w:t>
      </w:r>
      <w:r w:rsidR="0059611E">
        <w:t>5</w:t>
      </w:r>
      <w:r w:rsidR="009D5F3D">
        <w:t>6</w:t>
      </w:r>
      <w:r>
        <w:t xml:space="preserve"> percent reported via the MIP CQM and QCDR collection type and </w:t>
      </w:r>
      <w:r w:rsidR="0059611E">
        <w:t>4</w:t>
      </w:r>
      <w:r w:rsidR="009D5F3D">
        <w:t>4</w:t>
      </w:r>
      <w:r>
        <w:t xml:space="preserve"> percent reported via the eCQM collection type.  For groups converting from Web Interface, there will be some non-recurring costs associated with modifying clinical and MIPS data reporting workflows to utilize an alternate collection type.  For any remaining groups and virtual groups there will also be registry fees paid to a QCDR or qualified registry or the financial expense of purchasing/licensing and deploying an EHR system.  Because we are unable to assess either the existing workflows of each individual group and virtual group or the decisions each group and virtual group will make in response to this p</w:t>
      </w:r>
      <w:r w:rsidR="006A7A97">
        <w:t>olicy</w:t>
      </w:r>
      <w:r>
        <w:t xml:space="preserve">, we cannot quantify the resulting economic impact.  While there may be an initial increase in burden for current groups and virtual groups utilizing the CMS Web Interface measures having to transition to the utilization of a different collection type/submission type, we recognize that we would also be reducing reporting requirements. Groups and virtual groups would no longer have to completely report on all pre-determined CMS Web Interface measures and would be able to select their own measures (at least 6) to report. </w:t>
      </w:r>
    </w:p>
    <w:p w:rsidR="002406BF" w:rsidP="00715C78" w:rsidRDefault="00104ED5" w14:paraId="00935E51" w14:textId="2AF0DEA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Groups and virtual groups account for less than 20 percent of organizations utilizing the CMS Web Interface measures while ACOs participating in the Medicare Shared Savings Program and Next Generation ACO Model account for more than 80 percent.  In assessing the utilization of the CMS Web Interface by groups and virtual groups, there has been a substantial decrease in participation each year since the inception of MIPS in the 2017 performance period.  From 2017 to 2019, the number of groups eligible to report quality measures via the CMS Web Interface (groups registered to utilize the CMS Web Interface) decreased by approximately 45 </w:t>
      </w:r>
      <w:r w:rsidR="00047C66">
        <w:t>percent.</w:t>
      </w:r>
      <w:r>
        <w:t xml:space="preserve">  Similarly, the number of groups utilizing the CMS Web Interface as a collection type decreased by approximately 40 percent from 2017 to 2019</w:t>
      </w:r>
      <w:r w:rsidR="00570D1A">
        <w:t xml:space="preserve"> (85 FR 85020 through 85021)</w:t>
      </w:r>
      <w:r>
        <w:t xml:space="preserve">.  </w:t>
      </w:r>
    </w:p>
    <w:p w:rsidRPr="00136D86" w:rsidR="002E06AF" w:rsidP="00136D86" w:rsidRDefault="00A64ED4" w14:paraId="35D2B3D9" w14:textId="1692C248">
      <w:pPr>
        <w:pStyle w:val="Heading2"/>
      </w:pPr>
      <w:r w:rsidRPr="00136D86">
        <w:lastRenderedPageBreak/>
        <w:t>Cost to Federal Government</w:t>
      </w:r>
    </w:p>
    <w:p w:rsidR="003C4605" w:rsidP="00536031" w:rsidRDefault="0078551D" w14:paraId="0755C832" w14:textId="3AAAF6B0">
      <w:pPr>
        <w:rPr>
          <w:szCs w:val="20"/>
        </w:rPr>
      </w:pPr>
      <w:r w:rsidRPr="0007426C">
        <w:rPr>
          <w:szCs w:val="20"/>
        </w:rPr>
        <w:t>Aside from program administrative and implementation costs, MIPS payment incentives and penalties are budget</w:t>
      </w:r>
      <w:r>
        <w:rPr>
          <w:szCs w:val="20"/>
        </w:rPr>
        <w:t>-</w:t>
      </w:r>
      <w:r w:rsidRPr="0007426C">
        <w:rPr>
          <w:szCs w:val="20"/>
        </w:rPr>
        <w:t>neutral and present no cost to the federal government</w:t>
      </w:r>
      <w:r>
        <w:rPr>
          <w:szCs w:val="20"/>
        </w:rPr>
        <w:t>,</w:t>
      </w:r>
      <w:r w:rsidRPr="0007426C">
        <w:rPr>
          <w:szCs w:val="20"/>
        </w:rPr>
        <w:t xml:space="preserve"> with respect to the application of the MIPS payment adjustments. </w:t>
      </w:r>
    </w:p>
    <w:p w:rsidR="000273E3" w:rsidP="00536031" w:rsidRDefault="000273E3" w14:paraId="4BC68438" w14:textId="0A756FFE">
      <w:pPr>
        <w:rPr>
          <w:szCs w:val="20"/>
        </w:rPr>
      </w:pPr>
      <w:r w:rsidRPr="000273E3">
        <w:rPr>
          <w:szCs w:val="20"/>
        </w:rPr>
        <w:t>In the CY 2021 PFS final rule</w:t>
      </w:r>
      <w:r w:rsidR="00530100">
        <w:rPr>
          <w:szCs w:val="20"/>
        </w:rPr>
        <w:t xml:space="preserve"> (85 FR 84884 through 84885)</w:t>
      </w:r>
      <w:r w:rsidRPr="000273E3">
        <w:rPr>
          <w:szCs w:val="20"/>
        </w:rPr>
        <w:t>, we stated</w:t>
      </w:r>
      <w:r w:rsidR="0040031D">
        <w:rPr>
          <w:szCs w:val="20"/>
        </w:rPr>
        <w:t xml:space="preserve"> </w:t>
      </w:r>
      <w:r w:rsidRPr="0040031D" w:rsidR="0040031D">
        <w:rPr>
          <w:szCs w:val="20"/>
        </w:rPr>
        <w:t>to consider agency-nominated improvement activities</w:t>
      </w:r>
      <w:r w:rsidRPr="000273E3">
        <w:rPr>
          <w:szCs w:val="20"/>
        </w:rPr>
        <w:t xml:space="preserve"> beginning with the CY 2021 </w:t>
      </w:r>
      <w:r w:rsidR="002B2834">
        <w:rPr>
          <w:szCs w:val="20"/>
        </w:rPr>
        <w:t xml:space="preserve">MIPS </w:t>
      </w:r>
      <w:r w:rsidRPr="000273E3">
        <w:rPr>
          <w:szCs w:val="20"/>
        </w:rPr>
        <w:t>performance period</w:t>
      </w:r>
      <w:r w:rsidR="002B2834">
        <w:rPr>
          <w:szCs w:val="20"/>
        </w:rPr>
        <w:t>/2023 MIPS payment year</w:t>
      </w:r>
      <w:r w:rsidRPr="000273E3">
        <w:rPr>
          <w:szCs w:val="20"/>
        </w:rPr>
        <w:t xml:space="preserve"> and future years. </w:t>
      </w:r>
      <w:r w:rsidR="008D0596">
        <w:rPr>
          <w:szCs w:val="20"/>
        </w:rPr>
        <w:t>As dis</w:t>
      </w:r>
      <w:r w:rsidR="007C1278">
        <w:rPr>
          <w:szCs w:val="20"/>
        </w:rPr>
        <w:t>cussed in the CY 2021 PFS final rule</w:t>
      </w:r>
      <w:r w:rsidR="006D0DBB">
        <w:rPr>
          <w:szCs w:val="20"/>
        </w:rPr>
        <w:t xml:space="preserve"> (85 FR </w:t>
      </w:r>
      <w:r w:rsidR="005A3D5C">
        <w:rPr>
          <w:szCs w:val="20"/>
        </w:rPr>
        <w:t>85021</w:t>
      </w:r>
      <w:r w:rsidR="006D0DBB">
        <w:rPr>
          <w:szCs w:val="20"/>
        </w:rPr>
        <w:t>)</w:t>
      </w:r>
      <w:r w:rsidR="007C1278">
        <w:rPr>
          <w:szCs w:val="20"/>
        </w:rPr>
        <w:t>, w</w:t>
      </w:r>
      <w:r w:rsidRPr="000273E3">
        <w:rPr>
          <w:szCs w:val="20"/>
        </w:rPr>
        <w:t>e are unable to estimate the number of improvement activity nominations we will receive</w:t>
      </w:r>
      <w:r w:rsidR="007C1278">
        <w:rPr>
          <w:szCs w:val="20"/>
        </w:rPr>
        <w:t>. Therefore,</w:t>
      </w:r>
      <w:r w:rsidRPr="000273E3">
        <w:rPr>
          <w:szCs w:val="20"/>
        </w:rPr>
        <w:t xml:space="preserve"> we</w:t>
      </w:r>
      <w:r w:rsidR="008D0596">
        <w:rPr>
          <w:szCs w:val="20"/>
        </w:rPr>
        <w:t xml:space="preserve"> continue to</w:t>
      </w:r>
      <w:r w:rsidRPr="000273E3">
        <w:rPr>
          <w:szCs w:val="20"/>
        </w:rPr>
        <w:t xml:space="preserve"> assume it will require 3 hours at $5</w:t>
      </w:r>
      <w:r w:rsidR="008D56A9">
        <w:rPr>
          <w:szCs w:val="20"/>
        </w:rPr>
        <w:t>8</w:t>
      </w:r>
      <w:r w:rsidRPr="000273E3">
        <w:rPr>
          <w:szCs w:val="20"/>
        </w:rPr>
        <w:t>.7</w:t>
      </w:r>
      <w:r w:rsidR="008D56A9">
        <w:rPr>
          <w:szCs w:val="20"/>
        </w:rPr>
        <w:t>6</w:t>
      </w:r>
      <w:r w:rsidRPr="000273E3">
        <w:rPr>
          <w:szCs w:val="20"/>
        </w:rPr>
        <w:t>/hr for a GS-13 Step 5 to nominate an improvement activity for a total cost of $1</w:t>
      </w:r>
      <w:r w:rsidR="000B4321">
        <w:rPr>
          <w:szCs w:val="20"/>
        </w:rPr>
        <w:t>76</w:t>
      </w:r>
      <w:r w:rsidRPr="000273E3">
        <w:rPr>
          <w:szCs w:val="20"/>
        </w:rPr>
        <w:t>.2</w:t>
      </w:r>
      <w:r w:rsidR="000B4321">
        <w:rPr>
          <w:szCs w:val="20"/>
        </w:rPr>
        <w:t>8</w:t>
      </w:r>
      <w:r w:rsidRPr="000273E3">
        <w:rPr>
          <w:szCs w:val="20"/>
        </w:rPr>
        <w:t xml:space="preserve"> (3 hrs x $5</w:t>
      </w:r>
      <w:r w:rsidR="008D56A9">
        <w:rPr>
          <w:szCs w:val="20"/>
        </w:rPr>
        <w:t>8</w:t>
      </w:r>
      <w:r w:rsidRPr="000273E3">
        <w:rPr>
          <w:szCs w:val="20"/>
        </w:rPr>
        <w:t>.7</w:t>
      </w:r>
      <w:r w:rsidR="008D56A9">
        <w:rPr>
          <w:szCs w:val="20"/>
        </w:rPr>
        <w:t>6</w:t>
      </w:r>
      <w:r w:rsidRPr="000273E3">
        <w:rPr>
          <w:szCs w:val="20"/>
        </w:rPr>
        <w:t>/hr) per activity.</w:t>
      </w:r>
    </w:p>
    <w:p w:rsidR="00777F48" w:rsidP="00536031" w:rsidRDefault="00F95629" w14:paraId="01E1AF4C" w14:textId="2D45D5A1">
      <w:pPr>
        <w:rPr>
          <w:szCs w:val="20"/>
        </w:rPr>
      </w:pPr>
      <w:r>
        <w:rPr>
          <w:szCs w:val="20"/>
        </w:rPr>
        <w:t xml:space="preserve">Due to the proposed policy to continue the CMS Web Interface measures as a collection type/submission type for the CY 2022 MIPS performance period/ </w:t>
      </w:r>
      <w:r w:rsidR="00641426">
        <w:rPr>
          <w:szCs w:val="20"/>
        </w:rPr>
        <w:t>2024 MIPS payment year</w:t>
      </w:r>
      <w:r w:rsidR="00524AD0">
        <w:rPr>
          <w:szCs w:val="20"/>
        </w:rPr>
        <w:t xml:space="preserve">, the federal government will </w:t>
      </w:r>
      <w:r w:rsidR="00325103">
        <w:rPr>
          <w:szCs w:val="20"/>
        </w:rPr>
        <w:t>continue to fund the operation and maintenance of the CMS Web Interface measures</w:t>
      </w:r>
      <w:r w:rsidR="00425C89">
        <w:rPr>
          <w:szCs w:val="20"/>
        </w:rPr>
        <w:t xml:space="preserve">, the </w:t>
      </w:r>
      <w:r w:rsidR="00053903">
        <w:rPr>
          <w:szCs w:val="20"/>
        </w:rPr>
        <w:t>establishment and maintenance of benchmarks, and the provision of technical support, education, and outreach</w:t>
      </w:r>
      <w:r w:rsidR="00425C89">
        <w:rPr>
          <w:szCs w:val="20"/>
        </w:rPr>
        <w:t xml:space="preserve">. </w:t>
      </w:r>
      <w:r w:rsidR="00641426">
        <w:rPr>
          <w:szCs w:val="20"/>
        </w:rPr>
        <w:t xml:space="preserve"> </w:t>
      </w:r>
      <w:r w:rsidR="00777F48">
        <w:rPr>
          <w:szCs w:val="20"/>
        </w:rPr>
        <w:t xml:space="preserve">The </w:t>
      </w:r>
      <w:r w:rsidR="007C6DDF">
        <w:rPr>
          <w:szCs w:val="20"/>
        </w:rPr>
        <w:t>proposed</w:t>
      </w:r>
      <w:r w:rsidR="00777F48">
        <w:rPr>
          <w:szCs w:val="20"/>
        </w:rPr>
        <w:t xml:space="preserve"> policy to sunset the CMS Web Interface </w:t>
      </w:r>
      <w:r w:rsidR="000C38D6">
        <w:rPr>
          <w:szCs w:val="20"/>
        </w:rPr>
        <w:t xml:space="preserve">measures as a collection type/submission type beginning with the </w:t>
      </w:r>
      <w:r w:rsidR="00E4275C">
        <w:rPr>
          <w:szCs w:val="20"/>
        </w:rPr>
        <w:t xml:space="preserve">CY </w:t>
      </w:r>
      <w:r w:rsidR="000C38D6">
        <w:rPr>
          <w:szCs w:val="20"/>
        </w:rPr>
        <w:t>202</w:t>
      </w:r>
      <w:r w:rsidR="00E4275C">
        <w:rPr>
          <w:szCs w:val="20"/>
        </w:rPr>
        <w:t>3</w:t>
      </w:r>
      <w:r w:rsidR="000C38D6">
        <w:rPr>
          <w:szCs w:val="20"/>
        </w:rPr>
        <w:t xml:space="preserve"> MIPS performance period</w:t>
      </w:r>
      <w:r w:rsidR="00E4275C">
        <w:rPr>
          <w:szCs w:val="20"/>
        </w:rPr>
        <w:t>/2025 MIPS payment year</w:t>
      </w:r>
      <w:r w:rsidR="000C38D6">
        <w:rPr>
          <w:szCs w:val="20"/>
        </w:rPr>
        <w:t xml:space="preserve"> will result in cost savings to the federal government</w:t>
      </w:r>
      <w:r w:rsidR="001B3E20">
        <w:rPr>
          <w:szCs w:val="20"/>
        </w:rPr>
        <w:t xml:space="preserve"> as </w:t>
      </w:r>
      <w:r w:rsidR="0059705F">
        <w:rPr>
          <w:szCs w:val="20"/>
        </w:rPr>
        <w:t>it will no longer be required to operate and maintain the CMS Web Interface measures</w:t>
      </w:r>
      <w:r w:rsidR="00A15AC7">
        <w:rPr>
          <w:szCs w:val="20"/>
        </w:rPr>
        <w:t>, establish and maintain benchmarks, conduct assignment and sampling, and provide technical support, education, and outreach.</w:t>
      </w:r>
    </w:p>
    <w:p w:rsidR="00CC4CA8" w:rsidP="00136D86" w:rsidRDefault="005F4B49" w14:paraId="12E9A98A" w14:textId="5AC101C1">
      <w:pPr>
        <w:pStyle w:val="Heading2"/>
      </w:pPr>
      <w:r w:rsidRPr="00136D86">
        <w:t xml:space="preserve">Program </w:t>
      </w:r>
      <w:r w:rsidRPr="00136D86" w:rsidR="005A0F91">
        <w:t>and</w:t>
      </w:r>
      <w:r w:rsidRPr="00136D86">
        <w:t xml:space="preserve"> Burden Changes</w:t>
      </w:r>
    </w:p>
    <w:p w:rsidRPr="00422324" w:rsidR="004C0DD3" w:rsidP="00AF486F" w:rsidRDefault="006B4A38" w14:paraId="196E8AEE" w14:textId="6364FBB0">
      <w:r>
        <w:t xml:space="preserve">In this section, we have included the proposed change in estimated burden for the CY 2022 and CY 2023 MIPS performance periods due to the proposed policies and information collections in </w:t>
      </w:r>
      <w:r w:rsidRPr="00771999">
        <w:t xml:space="preserve">the CY 2022 PFS proposed rule. </w:t>
      </w:r>
    </w:p>
    <w:p w:rsidR="004C0DD3" w:rsidP="00422324" w:rsidRDefault="00CD3205" w14:paraId="00EEC968" w14:textId="7812B9A4">
      <w:pPr>
        <w:spacing w:after="0"/>
      </w:pPr>
      <w:r w:rsidRPr="00422324">
        <w:t xml:space="preserve">To help readers </w:t>
      </w:r>
      <w:r w:rsidR="00B24B82">
        <w:t xml:space="preserve">better </w:t>
      </w:r>
      <w:r w:rsidRPr="00422324">
        <w:t>navigate through all of the proposed changes, this section deviates from the COI (Collection of Inform</w:t>
      </w:r>
      <w:r w:rsidRPr="00B24B82">
        <w:t xml:space="preserve">ation) section of the proposed rule. </w:t>
      </w:r>
      <w:r w:rsidRPr="00B24B82" w:rsidR="00771999">
        <w:t>While the end result is the same</w:t>
      </w:r>
      <w:r w:rsidRPr="009E3BD7" w:rsidR="00771999">
        <w:t xml:space="preserve">, this section </w:t>
      </w:r>
      <w:r w:rsidRPr="00771999" w:rsidR="004C0DD3">
        <w:t>reformats the information into a more logical and easier to follow presentation.</w:t>
      </w:r>
      <w:r w:rsidRPr="00771999" w:rsidR="00771999">
        <w:t xml:space="preserve"> W</w:t>
      </w:r>
      <w:r w:rsidRPr="00771999" w:rsidR="004C0DD3">
        <w:t>hat differs is how each CY of burden compares with other</w:t>
      </w:r>
      <w:r w:rsidRPr="00771999" w:rsidR="00771999">
        <w:t>s</w:t>
      </w:r>
      <w:r w:rsidRPr="00771999" w:rsidR="004C0DD3">
        <w:t>.</w:t>
      </w:r>
      <w:r w:rsidR="009E3BD7">
        <w:t xml:space="preserve"> </w:t>
      </w:r>
      <w:r w:rsidR="006E6C88">
        <w:t>Specifically:</w:t>
      </w:r>
    </w:p>
    <w:p w:rsidRPr="00771999" w:rsidR="00422324" w:rsidP="00422324" w:rsidRDefault="00422324" w14:paraId="25D55D5C" w14:textId="77777777">
      <w:pPr>
        <w:spacing w:after="0"/>
      </w:pPr>
    </w:p>
    <w:p w:rsidR="009E3BD7" w:rsidP="00CD2378" w:rsidRDefault="00771999" w14:paraId="3F2A27B5" w14:textId="2AAC5BC3">
      <w:pPr>
        <w:pStyle w:val="ListParagraph"/>
        <w:numPr>
          <w:ilvl w:val="0"/>
          <w:numId w:val="40"/>
        </w:numPr>
        <w:spacing w:after="0"/>
      </w:pPr>
      <w:r w:rsidRPr="00771999">
        <w:t xml:space="preserve">For CY 2021 </w:t>
      </w:r>
      <w:r w:rsidR="009E3BD7">
        <w:t xml:space="preserve">we </w:t>
      </w:r>
      <w:r w:rsidRPr="00771999">
        <w:t xml:space="preserve">subtract all </w:t>
      </w:r>
      <w:r w:rsidRPr="00771999" w:rsidR="004C0DD3">
        <w:t xml:space="preserve">of the CY 2021 burden that was set out in the CY 2021 final rule’s Supporting Statement. The figures are negative since </w:t>
      </w:r>
      <w:r w:rsidRPr="00771999">
        <w:t xml:space="preserve">they are being </w:t>
      </w:r>
      <w:r w:rsidRPr="00771999" w:rsidR="004C0DD3">
        <w:t>remov</w:t>
      </w:r>
      <w:r w:rsidRPr="00771999">
        <w:t>ed</w:t>
      </w:r>
      <w:r w:rsidR="009E3BD7">
        <w:t>.</w:t>
      </w:r>
    </w:p>
    <w:p w:rsidR="009E3BD7" w:rsidP="00CD2378" w:rsidRDefault="009E3BD7" w14:paraId="3A61422C" w14:textId="77777777">
      <w:pPr>
        <w:spacing w:after="0"/>
      </w:pPr>
    </w:p>
    <w:p w:rsidR="009E3BD7" w:rsidP="00CD2378" w:rsidRDefault="00771999" w14:paraId="0F46AF0D" w14:textId="77777777">
      <w:pPr>
        <w:pStyle w:val="ListParagraph"/>
        <w:numPr>
          <w:ilvl w:val="0"/>
          <w:numId w:val="40"/>
        </w:numPr>
        <w:spacing w:after="0"/>
      </w:pPr>
      <w:r w:rsidRPr="00771999">
        <w:t>F</w:t>
      </w:r>
      <w:r w:rsidRPr="00771999" w:rsidR="004C0DD3">
        <w:t xml:space="preserve">or CY 2022 </w:t>
      </w:r>
      <w:r w:rsidR="009E3BD7">
        <w:t xml:space="preserve">we </w:t>
      </w:r>
      <w:r w:rsidRPr="00771999">
        <w:t>a</w:t>
      </w:r>
      <w:r w:rsidRPr="00771999" w:rsidR="004C0DD3">
        <w:t>djust (+/-) all of the CY 2022 burden that was set out in the CY 2021 final rule’s Supporting Statement by comparing/contrasting this with section 12 of th</w:t>
      </w:r>
      <w:r w:rsidR="009E3BD7">
        <w:t>is</w:t>
      </w:r>
      <w:r w:rsidRPr="00771999" w:rsidR="004C0DD3">
        <w:t xml:space="preserve"> CY 2022 proposed rule’s Supporting Statement</w:t>
      </w:r>
      <w:r w:rsidR="009E3BD7">
        <w:t>.</w:t>
      </w:r>
    </w:p>
    <w:p w:rsidR="009E3BD7" w:rsidP="00CD2378" w:rsidRDefault="009E3BD7" w14:paraId="25B6354E" w14:textId="77777777">
      <w:pPr>
        <w:pStyle w:val="ListParagraph"/>
        <w:spacing w:after="0"/>
        <w:ind w:left="0"/>
        <w:contextualSpacing w:val="0"/>
      </w:pPr>
    </w:p>
    <w:p w:rsidRPr="00771999" w:rsidR="004C0DD3" w:rsidP="00CD2378" w:rsidRDefault="00771999" w14:paraId="7A30E6A6" w14:textId="0134868F">
      <w:pPr>
        <w:pStyle w:val="ListParagraph"/>
        <w:numPr>
          <w:ilvl w:val="0"/>
          <w:numId w:val="40"/>
        </w:numPr>
        <w:spacing w:after="0"/>
      </w:pPr>
      <w:r w:rsidRPr="00771999">
        <w:t>F</w:t>
      </w:r>
      <w:r w:rsidRPr="00771999" w:rsidR="004C0DD3">
        <w:t>or CY 2023</w:t>
      </w:r>
      <w:r w:rsidR="009E3BD7">
        <w:t xml:space="preserve"> we </w:t>
      </w:r>
      <w:r w:rsidRPr="00771999">
        <w:t>a</w:t>
      </w:r>
      <w:r w:rsidRPr="00771999" w:rsidR="004C0DD3">
        <w:t xml:space="preserve">dd all of the CY 2023 burden that </w:t>
      </w:r>
      <w:r w:rsidRPr="00771999">
        <w:t>i</w:t>
      </w:r>
      <w:r w:rsidRPr="00771999" w:rsidR="004C0DD3">
        <w:t xml:space="preserve">s set out in section 12 of the CY 2022 proposed rule’s Supporting Statement. </w:t>
      </w:r>
      <w:r w:rsidRPr="00771999">
        <w:t>A</w:t>
      </w:r>
      <w:r w:rsidRPr="00771999" w:rsidR="004C0DD3">
        <w:t>ll of the figures are positive (added) since this is new burden.</w:t>
      </w:r>
    </w:p>
    <w:p w:rsidRPr="00771999" w:rsidR="004C0DD3" w:rsidP="00422324" w:rsidRDefault="004C0DD3" w14:paraId="0D7B4EE7" w14:textId="3DCE58AD">
      <w:pPr>
        <w:spacing w:after="0"/>
      </w:pPr>
    </w:p>
    <w:p w:rsidR="006B4A38" w:rsidP="006B4A38" w:rsidRDefault="006B4A38" w14:paraId="16E4C989" w14:textId="001DACD0">
      <w:r w:rsidRPr="009E3BD7">
        <w:t xml:space="preserve">The proposed policies in the CY 2022 PFS proposed rule impact the burden estimates for the CY 2022 and CY 2023 MIPS performance periods. However, our currently approved burden </w:t>
      </w:r>
      <w:r>
        <w:lastRenderedPageBreak/>
        <w:t>estimates for the CY 2021 MIPS performance period (85 FR 84958 through 84998) approved by OMB on May 28, 2021, included estimated burden due to finalized policies and assumptions for the CY 2021 and CY 2022 MIPS performance periods. The currently approved estimated burden for the package does not include the CY 2023 MIPS performance period. In order to understand the burden implications of the policies proposed in the CY 2022 PFS proposed rule relative to the current package that was approved by OMB on May 28, 2021:</w:t>
      </w:r>
    </w:p>
    <w:p w:rsidR="006B4A38" w:rsidP="005E6666" w:rsidRDefault="006B4A38" w14:paraId="621453A6" w14:textId="37A9E11C">
      <w:pPr>
        <w:pStyle w:val="ListParagraph"/>
        <w:numPr>
          <w:ilvl w:val="0"/>
          <w:numId w:val="3"/>
        </w:numPr>
      </w:pPr>
      <w:r>
        <w:t>We have subtracted the burden for the policies and information collections set forth for the CY 2021 MIPS performance period</w:t>
      </w:r>
      <w:r w:rsidR="00F266BF">
        <w:t>/2023 MIPS payment year</w:t>
      </w:r>
      <w:r>
        <w:t xml:space="preserve"> in the CY 2021 PFS final rule (see table </w:t>
      </w:r>
      <w:r w:rsidR="002B09FC">
        <w:t>37</w:t>
      </w:r>
      <w:r>
        <w:t xml:space="preserve">). </w:t>
      </w:r>
      <w:r w:rsidR="00006A28">
        <w:tab/>
      </w:r>
    </w:p>
    <w:p w:rsidR="006B4A38" w:rsidP="005E6666" w:rsidRDefault="006B4A38" w14:paraId="40DA0110" w14:textId="7606CF73">
      <w:pPr>
        <w:pStyle w:val="ListParagraph"/>
        <w:numPr>
          <w:ilvl w:val="0"/>
          <w:numId w:val="3"/>
        </w:numPr>
      </w:pPr>
      <w:r>
        <w:t>We have revised our burden estimates for the CY 2022 MIPS performance period</w:t>
      </w:r>
      <w:r w:rsidR="00353549">
        <w:t>/2024 MIPS payment year</w:t>
      </w:r>
      <w:r>
        <w:t xml:space="preserve"> due to proposed policies in the CY 2022 PFS proposed rule and changes for continuing the policies and information collections set forth in the CY 2021 PFS final rule into the CY 2022 MIPS performance period</w:t>
      </w:r>
      <w:r w:rsidR="00353549">
        <w:t>/2</w:t>
      </w:r>
      <w:r w:rsidR="00F266BF">
        <w:t>024 MIPS payment year</w:t>
      </w:r>
      <w:r>
        <w:t xml:space="preserve"> (see </w:t>
      </w:r>
      <w:r w:rsidR="00DD1B9B">
        <w:t>table</w:t>
      </w:r>
      <w:r w:rsidR="00082A13">
        <w:t xml:space="preserve"> </w:t>
      </w:r>
      <w:r w:rsidR="00DD1B9B">
        <w:t xml:space="preserve">38 with additional information in </w:t>
      </w:r>
      <w:r>
        <w:t>tables</w:t>
      </w:r>
      <w:r w:rsidR="00082A13">
        <w:t xml:space="preserve"> </w:t>
      </w:r>
      <w:r w:rsidR="002B09FC">
        <w:t>38</w:t>
      </w:r>
      <w:r w:rsidR="00A64C2E">
        <w:t>A through 38U</w:t>
      </w:r>
      <w:r>
        <w:t xml:space="preserve">). </w:t>
      </w:r>
    </w:p>
    <w:p w:rsidR="006B4A38" w:rsidP="005E6666" w:rsidRDefault="006B4A38" w14:paraId="0667A306" w14:textId="7E516409">
      <w:pPr>
        <w:pStyle w:val="ListParagraph"/>
        <w:numPr>
          <w:ilvl w:val="0"/>
          <w:numId w:val="3"/>
        </w:numPr>
      </w:pPr>
      <w:r>
        <w:t>We are setting forth new burden for the CY 2023 MIPS performance period</w:t>
      </w:r>
      <w:r w:rsidR="00F266BF">
        <w:t>/2025 MIPS payment year</w:t>
      </w:r>
      <w:r>
        <w:t xml:space="preserve"> (see tables</w:t>
      </w:r>
      <w:r w:rsidR="00F76366">
        <w:t xml:space="preserve"> </w:t>
      </w:r>
      <w:r w:rsidR="00082A13">
        <w:t>40 and 41</w:t>
      </w:r>
      <w:r>
        <w:t>).</w:t>
      </w:r>
    </w:p>
    <w:p w:rsidR="006B4A38" w:rsidP="006B4A38" w:rsidRDefault="006B4A38" w14:paraId="396D2221" w14:textId="2B407364">
      <w:r>
        <w:t xml:space="preserve">Due to the multiple performance periods included in the currently approved burden set forth in the CY 2021 PFS final rule for this package, we believe that the above approach would help readers easily understand and follow the changes in the estimated burden due to the proposed policies and assumptions in the CY 2022 PFS proposed rule relative to the currently approved burden for this package.  </w:t>
      </w:r>
    </w:p>
    <w:p w:rsidRPr="003830B0" w:rsidR="007864CC" w:rsidP="00BB657E" w:rsidRDefault="005C5315" w14:paraId="2D3D1CA3" w14:textId="132ECCD7">
      <w:pPr>
        <w:ind w:left="720" w:firstLine="720"/>
      </w:pPr>
      <w:r>
        <w:t xml:space="preserve">a. </w:t>
      </w:r>
      <w:r w:rsidR="001D2754">
        <w:t xml:space="preserve"> </w:t>
      </w:r>
      <w:r w:rsidRPr="003830B0" w:rsidR="007864CC">
        <w:t>CY 2021 MIPS Performance Period</w:t>
      </w:r>
      <w:r w:rsidR="00316ABE">
        <w:t>/2023 MIPS Payment Year</w:t>
      </w:r>
      <w:r w:rsidRPr="003830B0" w:rsidR="007864CC">
        <w:t xml:space="preserve"> Burden</w:t>
      </w:r>
    </w:p>
    <w:p w:rsidRPr="003830B0" w:rsidR="007864CC" w:rsidP="003830B0" w:rsidRDefault="007864CC" w14:paraId="1C805C6E" w14:textId="7051B6DF">
      <w:r w:rsidRPr="003830B0">
        <w:t>The currently approved burden estimate for the policies and information collections in the CY 2021 MIPS performance period was set forth in the CY 2021 PFS final rule. This burden is associated with the policies and information collections for the CY 2021 MIPS performance period</w:t>
      </w:r>
      <w:r w:rsidR="00822C4C">
        <w:t xml:space="preserve">/CY 2023 MIPS payment year </w:t>
      </w:r>
      <w:r w:rsidRPr="003830B0">
        <w:t>and is not relevant to the proposed policies and information collections in the CY 2022 and CY 2023 MIPS performance periods</w:t>
      </w:r>
      <w:r w:rsidR="00822C4C">
        <w:t>/CY 2024 and 2025 MIPS payment years</w:t>
      </w:r>
      <w:r w:rsidRPr="003830B0">
        <w:t xml:space="preserve">, set forth in the CY 2022 PFS proposed rule. Therefore, as shown in table </w:t>
      </w:r>
      <w:r w:rsidR="005C4AEA">
        <w:t>37</w:t>
      </w:r>
      <w:r w:rsidRPr="003830B0">
        <w:t>, we subtracted this burden in our burden calculations for the CY 2022 and 2023 MIPS performance periods</w:t>
      </w:r>
      <w:r w:rsidR="00822C4C">
        <w:t>/2024 and 2025 MIPS payment years</w:t>
      </w:r>
      <w:r w:rsidRPr="003830B0">
        <w:t>.</w:t>
      </w:r>
    </w:p>
    <w:p w:rsidRPr="00630042" w:rsidR="00B5672D" w:rsidP="00630042" w:rsidRDefault="00B5672D" w14:paraId="2AF71B8B" w14:textId="416F1227">
      <w:pPr>
        <w:spacing w:after="0"/>
        <w:jc w:val="center"/>
        <w:rPr>
          <w:b/>
          <w:bCs/>
        </w:rPr>
      </w:pPr>
      <w:r w:rsidRPr="00BE2410">
        <w:rPr>
          <w:b/>
          <w:bCs/>
        </w:rPr>
        <w:t>TABLE 3</w:t>
      </w:r>
      <w:r>
        <w:rPr>
          <w:b/>
          <w:bCs/>
        </w:rPr>
        <w:t>7</w:t>
      </w:r>
      <w:r w:rsidRPr="00BE2410">
        <w:rPr>
          <w:b/>
          <w:bCs/>
        </w:rPr>
        <w:t xml:space="preserve">: </w:t>
      </w:r>
      <w:r w:rsidR="0049129B">
        <w:rPr>
          <w:b/>
          <w:bCs/>
        </w:rPr>
        <w:t xml:space="preserve">Change in Burden </w:t>
      </w:r>
      <w:r w:rsidR="00630042">
        <w:rPr>
          <w:b/>
          <w:bCs/>
        </w:rPr>
        <w:t>for CY 2021 MIPS Performance Period/2023 MIPS              Payment Year</w:t>
      </w:r>
    </w:p>
    <w:tbl>
      <w:tblPr>
        <w:tblW w:w="9495" w:type="dxa"/>
        <w:jc w:val="center"/>
        <w:tblCellMar>
          <w:left w:w="0" w:type="dxa"/>
          <w:right w:w="0" w:type="dxa"/>
        </w:tblCellMar>
        <w:tblLook w:val="04A0" w:firstRow="1" w:lastRow="0" w:firstColumn="1" w:lastColumn="0" w:noHBand="0" w:noVBand="1"/>
      </w:tblPr>
      <w:tblGrid>
        <w:gridCol w:w="1645"/>
        <w:gridCol w:w="1513"/>
        <w:gridCol w:w="1317"/>
        <w:gridCol w:w="1210"/>
        <w:gridCol w:w="1342"/>
        <w:gridCol w:w="882"/>
        <w:gridCol w:w="1586"/>
      </w:tblGrid>
      <w:tr w:rsidRPr="00C42889" w:rsidR="007864CC" w:rsidTr="00641B70" w14:paraId="7B1CFF56" w14:textId="77777777">
        <w:trPr>
          <w:cantSplit/>
          <w:tblHeader/>
          <w:jc w:val="center"/>
        </w:trPr>
        <w:tc>
          <w:tcPr>
            <w:tcW w:w="16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30042" w:rsidR="007864CC" w:rsidP="00641B70" w:rsidRDefault="007864CC" w14:paraId="12014DE4" w14:textId="77777777">
            <w:pPr>
              <w:keepNext/>
              <w:spacing w:after="0"/>
              <w:jc w:val="center"/>
              <w:rPr>
                <w:bCs/>
                <w:sz w:val="20"/>
                <w:szCs w:val="20"/>
              </w:rPr>
            </w:pPr>
          </w:p>
        </w:tc>
        <w:tc>
          <w:tcPr>
            <w:tcW w:w="151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A0AFD" w:rsidR="007864CC" w:rsidP="00641B70" w:rsidRDefault="007864CC" w14:paraId="5715CDA3" w14:textId="77777777">
            <w:pPr>
              <w:keepNext/>
              <w:spacing w:after="0"/>
              <w:jc w:val="center"/>
              <w:rPr>
                <w:b/>
                <w:sz w:val="20"/>
                <w:szCs w:val="20"/>
              </w:rPr>
            </w:pPr>
            <w:r w:rsidRPr="00AA0AFD">
              <w:rPr>
                <w:b/>
                <w:sz w:val="20"/>
                <w:szCs w:val="20"/>
              </w:rPr>
              <w:t>No. Respondents</w:t>
            </w:r>
          </w:p>
        </w:tc>
        <w:tc>
          <w:tcPr>
            <w:tcW w:w="13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A0AFD" w:rsidR="007864CC" w:rsidP="00641B70" w:rsidRDefault="007864CC" w14:paraId="7A7ECDB0" w14:textId="77777777">
            <w:pPr>
              <w:keepNext/>
              <w:spacing w:after="0"/>
              <w:jc w:val="center"/>
              <w:rPr>
                <w:b/>
                <w:sz w:val="20"/>
                <w:szCs w:val="20"/>
              </w:rPr>
            </w:pPr>
            <w:r w:rsidRPr="00AA0AFD">
              <w:rPr>
                <w:b/>
                <w:sz w:val="20"/>
                <w:szCs w:val="20"/>
              </w:rPr>
              <w:t>Responses</w:t>
            </w:r>
          </w:p>
        </w:tc>
        <w:tc>
          <w:tcPr>
            <w:tcW w:w="12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A0AFD" w:rsidR="007864CC" w:rsidP="00641B70" w:rsidRDefault="007864CC" w14:paraId="6DA5D338" w14:textId="77777777">
            <w:pPr>
              <w:keepNext/>
              <w:spacing w:after="0"/>
              <w:jc w:val="center"/>
              <w:rPr>
                <w:b/>
                <w:sz w:val="20"/>
                <w:szCs w:val="20"/>
              </w:rPr>
            </w:pPr>
            <w:r w:rsidRPr="00AA0AFD">
              <w:rPr>
                <w:b/>
                <w:sz w:val="20"/>
                <w:szCs w:val="20"/>
              </w:rPr>
              <w:t>Time per Response (hours)</w:t>
            </w:r>
          </w:p>
        </w:tc>
        <w:tc>
          <w:tcPr>
            <w:tcW w:w="134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A0AFD" w:rsidR="007864CC" w:rsidP="00641B70" w:rsidRDefault="007864CC" w14:paraId="0DA4F5F8" w14:textId="77777777">
            <w:pPr>
              <w:keepNext/>
              <w:spacing w:after="0"/>
              <w:jc w:val="center"/>
              <w:rPr>
                <w:b/>
                <w:sz w:val="20"/>
                <w:szCs w:val="20"/>
              </w:rPr>
            </w:pPr>
            <w:r w:rsidRPr="00AA0AFD">
              <w:rPr>
                <w:b/>
                <w:sz w:val="20"/>
                <w:szCs w:val="20"/>
              </w:rPr>
              <w:t>Total Annual Time (hours)</w:t>
            </w:r>
          </w:p>
        </w:tc>
        <w:tc>
          <w:tcPr>
            <w:tcW w:w="88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A0AFD" w:rsidR="007864CC" w:rsidP="00641B70" w:rsidRDefault="007864CC" w14:paraId="0C7CF0DB" w14:textId="77777777">
            <w:pPr>
              <w:keepNext/>
              <w:spacing w:after="0"/>
              <w:jc w:val="center"/>
              <w:rPr>
                <w:b/>
                <w:sz w:val="20"/>
                <w:szCs w:val="20"/>
              </w:rPr>
            </w:pPr>
            <w:r w:rsidRPr="00AA0AFD">
              <w:rPr>
                <w:b/>
                <w:sz w:val="20"/>
                <w:szCs w:val="20"/>
              </w:rPr>
              <w:t>Labor</w:t>
            </w:r>
          </w:p>
          <w:p w:rsidRPr="00AA0AFD" w:rsidR="007864CC" w:rsidP="00641B70" w:rsidRDefault="007864CC" w14:paraId="3030B928" w14:textId="77777777">
            <w:pPr>
              <w:keepNext/>
              <w:spacing w:after="0"/>
              <w:jc w:val="center"/>
              <w:rPr>
                <w:b/>
                <w:sz w:val="20"/>
                <w:szCs w:val="20"/>
              </w:rPr>
            </w:pPr>
            <w:r w:rsidRPr="00AA0AFD">
              <w:rPr>
                <w:b/>
                <w:sz w:val="20"/>
                <w:szCs w:val="20"/>
              </w:rPr>
              <w:t>Cost</w:t>
            </w:r>
          </w:p>
          <w:p w:rsidRPr="00AA0AFD" w:rsidR="007864CC" w:rsidP="00641B70" w:rsidRDefault="007864CC" w14:paraId="583C04D4" w14:textId="77777777">
            <w:pPr>
              <w:keepNext/>
              <w:spacing w:after="0"/>
              <w:jc w:val="center"/>
              <w:rPr>
                <w:b/>
                <w:sz w:val="20"/>
                <w:szCs w:val="20"/>
              </w:rPr>
            </w:pPr>
            <w:r w:rsidRPr="00AA0AFD">
              <w:rPr>
                <w:b/>
                <w:sz w:val="20"/>
                <w:szCs w:val="20"/>
              </w:rPr>
              <w:t>($/hr)</w:t>
            </w:r>
          </w:p>
        </w:tc>
        <w:tc>
          <w:tcPr>
            <w:tcW w:w="15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A0AFD" w:rsidR="007864CC" w:rsidP="00641B70" w:rsidRDefault="007864CC" w14:paraId="119215EE" w14:textId="77777777">
            <w:pPr>
              <w:keepNext/>
              <w:spacing w:after="0"/>
              <w:jc w:val="center"/>
              <w:rPr>
                <w:b/>
                <w:sz w:val="20"/>
                <w:szCs w:val="20"/>
              </w:rPr>
            </w:pPr>
            <w:r w:rsidRPr="00AA0AFD">
              <w:rPr>
                <w:b/>
                <w:sz w:val="20"/>
                <w:szCs w:val="20"/>
              </w:rPr>
              <w:t>Total Cost</w:t>
            </w:r>
          </w:p>
          <w:p w:rsidRPr="00AA0AFD" w:rsidR="007864CC" w:rsidP="00641B70" w:rsidRDefault="007864CC" w14:paraId="2C6007EE" w14:textId="77777777">
            <w:pPr>
              <w:keepNext/>
              <w:spacing w:after="0"/>
              <w:jc w:val="center"/>
              <w:rPr>
                <w:b/>
                <w:sz w:val="20"/>
                <w:szCs w:val="20"/>
              </w:rPr>
            </w:pPr>
            <w:r w:rsidRPr="00AA0AFD">
              <w:rPr>
                <w:b/>
                <w:sz w:val="20"/>
                <w:szCs w:val="20"/>
              </w:rPr>
              <w:t>($)*</w:t>
            </w:r>
          </w:p>
        </w:tc>
      </w:tr>
      <w:tr w:rsidRPr="00C42889" w:rsidR="007864CC" w:rsidTr="00641B70" w14:paraId="3E153945" w14:textId="77777777">
        <w:trPr>
          <w:cantSplit/>
          <w:jc w:val="center"/>
        </w:trPr>
        <w:tc>
          <w:tcPr>
            <w:tcW w:w="16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30042" w:rsidR="007864CC" w:rsidP="00641B70" w:rsidRDefault="007864CC" w14:paraId="227C8A31" w14:textId="77777777">
            <w:pPr>
              <w:spacing w:after="0"/>
              <w:rPr>
                <w:bCs/>
                <w:sz w:val="20"/>
                <w:szCs w:val="20"/>
              </w:rPr>
            </w:pPr>
            <w:r w:rsidRPr="00630042">
              <w:rPr>
                <w:bCs/>
                <w:sz w:val="20"/>
                <w:szCs w:val="20"/>
              </w:rPr>
              <w:t>2021 MIPS Performance Period Burden Summary</w:t>
            </w:r>
          </w:p>
        </w:tc>
        <w:tc>
          <w:tcPr>
            <w:tcW w:w="1513" w:type="dxa"/>
            <w:tcBorders>
              <w:top w:val="nil"/>
              <w:left w:val="nil"/>
              <w:bottom w:val="single" w:color="auto" w:sz="8" w:space="0"/>
              <w:right w:val="single" w:color="auto" w:sz="8" w:space="0"/>
            </w:tcBorders>
            <w:tcMar>
              <w:top w:w="0" w:type="dxa"/>
              <w:left w:w="108" w:type="dxa"/>
              <w:bottom w:w="0" w:type="dxa"/>
              <w:right w:w="108" w:type="dxa"/>
            </w:tcMar>
            <w:hideMark/>
          </w:tcPr>
          <w:p w:rsidRPr="00630042" w:rsidR="007864CC" w:rsidP="00641B70" w:rsidRDefault="007864CC" w14:paraId="1ECE4EB2" w14:textId="77777777">
            <w:pPr>
              <w:spacing w:after="0"/>
              <w:jc w:val="center"/>
              <w:rPr>
                <w:bCs/>
                <w:sz w:val="20"/>
                <w:szCs w:val="20"/>
              </w:rPr>
            </w:pPr>
            <w:r w:rsidRPr="00630042">
              <w:rPr>
                <w:bCs/>
                <w:sz w:val="20"/>
                <w:szCs w:val="20"/>
              </w:rPr>
              <w:t>(123,619)</w:t>
            </w:r>
          </w:p>
        </w:tc>
        <w:tc>
          <w:tcPr>
            <w:tcW w:w="1317" w:type="dxa"/>
            <w:tcBorders>
              <w:top w:val="nil"/>
              <w:left w:val="nil"/>
              <w:bottom w:val="single" w:color="auto" w:sz="8" w:space="0"/>
              <w:right w:val="single" w:color="auto" w:sz="8" w:space="0"/>
            </w:tcBorders>
            <w:tcMar>
              <w:top w:w="0" w:type="dxa"/>
              <w:left w:w="108" w:type="dxa"/>
              <w:bottom w:w="0" w:type="dxa"/>
              <w:right w:w="108" w:type="dxa"/>
            </w:tcMar>
            <w:hideMark/>
          </w:tcPr>
          <w:p w:rsidRPr="00630042" w:rsidR="007864CC" w:rsidP="00641B70" w:rsidRDefault="007864CC" w14:paraId="6BADD4C8" w14:textId="77777777">
            <w:pPr>
              <w:spacing w:after="0"/>
              <w:jc w:val="center"/>
              <w:rPr>
                <w:bCs/>
                <w:sz w:val="20"/>
                <w:szCs w:val="20"/>
              </w:rPr>
            </w:pPr>
            <w:r w:rsidRPr="00630042">
              <w:rPr>
                <w:bCs/>
                <w:sz w:val="20"/>
                <w:szCs w:val="20"/>
              </w:rPr>
              <w:t>(327,126)</w:t>
            </w:r>
          </w:p>
        </w:tc>
        <w:tc>
          <w:tcPr>
            <w:tcW w:w="1210" w:type="dxa"/>
            <w:tcBorders>
              <w:top w:val="nil"/>
              <w:left w:val="nil"/>
              <w:bottom w:val="single" w:color="auto" w:sz="8" w:space="0"/>
              <w:right w:val="single" w:color="auto" w:sz="8" w:space="0"/>
            </w:tcBorders>
            <w:tcMar>
              <w:top w:w="0" w:type="dxa"/>
              <w:left w:w="108" w:type="dxa"/>
              <w:bottom w:w="0" w:type="dxa"/>
              <w:right w:w="108" w:type="dxa"/>
            </w:tcMar>
            <w:hideMark/>
          </w:tcPr>
          <w:p w:rsidRPr="00630042" w:rsidR="007864CC" w:rsidP="00641B70" w:rsidRDefault="007864CC" w14:paraId="06C8FFDC" w14:textId="77777777">
            <w:pPr>
              <w:spacing w:after="0"/>
              <w:jc w:val="center"/>
              <w:rPr>
                <w:bCs/>
                <w:sz w:val="20"/>
                <w:szCs w:val="20"/>
              </w:rPr>
            </w:pPr>
            <w:r w:rsidRPr="00630042">
              <w:rPr>
                <w:bCs/>
                <w:sz w:val="20"/>
                <w:szCs w:val="20"/>
              </w:rPr>
              <w:t>Varies</w:t>
            </w:r>
          </w:p>
        </w:tc>
        <w:tc>
          <w:tcPr>
            <w:tcW w:w="1342" w:type="dxa"/>
            <w:tcBorders>
              <w:top w:val="nil"/>
              <w:left w:val="nil"/>
              <w:bottom w:val="single" w:color="auto" w:sz="8" w:space="0"/>
              <w:right w:val="single" w:color="auto" w:sz="8" w:space="0"/>
            </w:tcBorders>
            <w:tcMar>
              <w:top w:w="0" w:type="dxa"/>
              <w:left w:w="108" w:type="dxa"/>
              <w:bottom w:w="0" w:type="dxa"/>
              <w:right w:w="108" w:type="dxa"/>
            </w:tcMar>
            <w:hideMark/>
          </w:tcPr>
          <w:p w:rsidRPr="00630042" w:rsidR="007864CC" w:rsidP="00641B70" w:rsidRDefault="007864CC" w14:paraId="680C507E" w14:textId="77777777">
            <w:pPr>
              <w:spacing w:after="0"/>
              <w:jc w:val="center"/>
              <w:rPr>
                <w:bCs/>
                <w:sz w:val="20"/>
                <w:szCs w:val="20"/>
              </w:rPr>
            </w:pPr>
            <w:r w:rsidRPr="00630042">
              <w:rPr>
                <w:bCs/>
                <w:sz w:val="20"/>
                <w:szCs w:val="20"/>
              </w:rPr>
              <w:t>(1,481,468)</w:t>
            </w:r>
          </w:p>
        </w:tc>
        <w:tc>
          <w:tcPr>
            <w:tcW w:w="882" w:type="dxa"/>
            <w:tcBorders>
              <w:top w:val="nil"/>
              <w:left w:val="nil"/>
              <w:bottom w:val="single" w:color="auto" w:sz="8" w:space="0"/>
              <w:right w:val="single" w:color="auto" w:sz="8" w:space="0"/>
            </w:tcBorders>
            <w:tcMar>
              <w:top w:w="0" w:type="dxa"/>
              <w:left w:w="108" w:type="dxa"/>
              <w:bottom w:w="0" w:type="dxa"/>
              <w:right w:w="108" w:type="dxa"/>
            </w:tcMar>
            <w:hideMark/>
          </w:tcPr>
          <w:p w:rsidRPr="00630042" w:rsidR="007864CC" w:rsidP="00641B70" w:rsidRDefault="007864CC" w14:paraId="3B78ED1B" w14:textId="77777777">
            <w:pPr>
              <w:spacing w:after="0"/>
              <w:jc w:val="center"/>
              <w:rPr>
                <w:bCs/>
                <w:sz w:val="20"/>
                <w:szCs w:val="20"/>
              </w:rPr>
            </w:pPr>
            <w:r w:rsidRPr="00630042">
              <w:rPr>
                <w:bCs/>
                <w:sz w:val="20"/>
                <w:szCs w:val="20"/>
              </w:rPr>
              <w:t>Varies</w:t>
            </w:r>
          </w:p>
        </w:tc>
        <w:tc>
          <w:tcPr>
            <w:tcW w:w="1586" w:type="dxa"/>
            <w:tcBorders>
              <w:top w:val="nil"/>
              <w:left w:val="nil"/>
              <w:bottom w:val="single" w:color="auto" w:sz="8" w:space="0"/>
              <w:right w:val="single" w:color="auto" w:sz="8" w:space="0"/>
            </w:tcBorders>
            <w:tcMar>
              <w:top w:w="0" w:type="dxa"/>
              <w:left w:w="108" w:type="dxa"/>
              <w:bottom w:w="0" w:type="dxa"/>
              <w:right w:w="108" w:type="dxa"/>
            </w:tcMar>
            <w:hideMark/>
          </w:tcPr>
          <w:p w:rsidRPr="00630042" w:rsidR="007864CC" w:rsidP="00641B70" w:rsidRDefault="007864CC" w14:paraId="292CFDE6" w14:textId="77777777">
            <w:pPr>
              <w:spacing w:after="0"/>
              <w:jc w:val="center"/>
              <w:rPr>
                <w:bCs/>
                <w:sz w:val="20"/>
                <w:szCs w:val="20"/>
              </w:rPr>
            </w:pPr>
            <w:r w:rsidRPr="00630042">
              <w:rPr>
                <w:bCs/>
                <w:sz w:val="20"/>
                <w:szCs w:val="20"/>
              </w:rPr>
              <w:t>(145,245,912)</w:t>
            </w:r>
          </w:p>
        </w:tc>
      </w:tr>
    </w:tbl>
    <w:p w:rsidR="007864CC" w:rsidP="006B4A38" w:rsidRDefault="007864CC" w14:paraId="62977C46" w14:textId="30D169F6"/>
    <w:p w:rsidRPr="003830B0" w:rsidR="001028B7" w:rsidP="003830B0" w:rsidRDefault="001028B7" w14:paraId="6CDAD144" w14:textId="48B94D59">
      <w:pPr>
        <w:pStyle w:val="ListParagraph"/>
        <w:numPr>
          <w:ilvl w:val="2"/>
          <w:numId w:val="23"/>
        </w:numPr>
      </w:pPr>
      <w:r>
        <w:t>CY 2022 MIPS Performance Period/2024 MIPS Payment Year Burden</w:t>
      </w:r>
    </w:p>
    <w:p w:rsidR="009F0F33" w:rsidP="00BB7053" w:rsidRDefault="00C265CF" w14:paraId="64C33A40" w14:textId="5214DF1E">
      <w:pPr>
        <w:rPr>
          <w:b/>
          <w:bCs/>
        </w:rPr>
      </w:pPr>
      <w:r w:rsidRPr="00C265CF">
        <w:lastRenderedPageBreak/>
        <w:t>We have revised Appendices A1 (202</w:t>
      </w:r>
      <w:r w:rsidR="00D65A4E">
        <w:t>2</w:t>
      </w:r>
      <w:r w:rsidRPr="00C265CF">
        <w:t xml:space="preserve"> Qualified Registry Fact Sheet), B1 (202</w:t>
      </w:r>
      <w:r w:rsidR="00D65A4E">
        <w:t>2</w:t>
      </w:r>
      <w:r w:rsidRPr="00C265CF">
        <w:t xml:space="preserve"> QCDR Fact Sheet), C1 (202</w:t>
      </w:r>
      <w:r w:rsidR="00D65A4E">
        <w:t>2</w:t>
      </w:r>
      <w:r w:rsidRPr="00C265CF">
        <w:t xml:space="preserve"> QCDR Measure Submission Template), </w:t>
      </w:r>
      <w:r w:rsidR="00496976">
        <w:t>D</w:t>
      </w:r>
      <w:r w:rsidRPr="00C265CF">
        <w:t xml:space="preserve">1 (Payer Initiated Submission Form), </w:t>
      </w:r>
      <w:r w:rsidR="00496976">
        <w:t>E</w:t>
      </w:r>
      <w:r w:rsidRPr="00C265CF">
        <w:t xml:space="preserve">1 (Eligible Clinician Initiated Submission Form), </w:t>
      </w:r>
      <w:r w:rsidR="00496976">
        <w:t>F</w:t>
      </w:r>
      <w:r w:rsidRPr="00C265CF">
        <w:t xml:space="preserve">1 (Requests form for QP Determinations under the All-Payer Combination Option), </w:t>
      </w:r>
      <w:r w:rsidR="00496976">
        <w:t>G</w:t>
      </w:r>
      <w:r w:rsidRPr="00C265CF">
        <w:t>1 (202</w:t>
      </w:r>
      <w:r w:rsidR="00D65A4E">
        <w:t>1</w:t>
      </w:r>
      <w:r w:rsidRPr="00C265CF">
        <w:t xml:space="preserve"> Measures Under Consideration Data Template), </w:t>
      </w:r>
      <w:r w:rsidR="00D12A35">
        <w:t>H</w:t>
      </w:r>
      <w:r w:rsidRPr="00C265CF">
        <w:t xml:space="preserve">1 (Peer Reviewed Journal Article Requirement Template), </w:t>
      </w:r>
      <w:r w:rsidR="00500977">
        <w:t>I1 (Call for Promoting Interoperability Measures</w:t>
      </w:r>
      <w:r w:rsidR="004A6484">
        <w:t xml:space="preserve"> Submission Form), and N1 (CMS Web Interface and CAHPS for MIPS Registration Guide)</w:t>
      </w:r>
      <w:r w:rsidRPr="00C265CF">
        <w:t xml:space="preserve"> which are included in this PRA submittal to reflect changes due to  revised terminology as well as to provide additional clarity.  Crosswalks have been provided in Appendices A2, B2, C2, </w:t>
      </w:r>
      <w:r w:rsidR="00496976">
        <w:t>D</w:t>
      </w:r>
      <w:r w:rsidRPr="00C265CF">
        <w:t xml:space="preserve">2, </w:t>
      </w:r>
      <w:r w:rsidR="00496976">
        <w:t>E</w:t>
      </w:r>
      <w:r w:rsidRPr="00C265CF">
        <w:t xml:space="preserve">2, </w:t>
      </w:r>
      <w:r w:rsidR="00496976">
        <w:t>F</w:t>
      </w:r>
      <w:r w:rsidRPr="00C265CF">
        <w:t xml:space="preserve">2, </w:t>
      </w:r>
      <w:r w:rsidR="00496976">
        <w:t>G</w:t>
      </w:r>
      <w:r w:rsidRPr="00C265CF">
        <w:t xml:space="preserve">2, </w:t>
      </w:r>
      <w:r w:rsidR="004A6484">
        <w:t>I2, and N2</w:t>
      </w:r>
      <w:r w:rsidRPr="00C265CF">
        <w:t xml:space="preserve"> which describe all changes from previous submittals.  Also included in this PRA is one new appendix: </w:t>
      </w:r>
      <w:r w:rsidR="002931DB">
        <w:t>O</w:t>
      </w:r>
      <w:r w:rsidRPr="00C265CF">
        <w:t xml:space="preserve"> (</w:t>
      </w:r>
      <w:r w:rsidR="002931DB">
        <w:t>Partial QP Election Form</w:t>
      </w:r>
      <w:r w:rsidRPr="00C265CF">
        <w:t xml:space="preserve">). </w:t>
      </w:r>
      <w:r w:rsidR="002931DB">
        <w:t xml:space="preserve">We </w:t>
      </w:r>
      <w:r w:rsidR="00001454">
        <w:t>have been capturing th</w:t>
      </w:r>
      <w:r w:rsidRPr="00C265CF">
        <w:t>e burden associated with completing this form</w:t>
      </w:r>
      <w:r w:rsidR="00530C21">
        <w:t>, however, we want to note that the actual form was not</w:t>
      </w:r>
      <w:r w:rsidRPr="00C265CF">
        <w:t xml:space="preserve"> included in </w:t>
      </w:r>
      <w:r w:rsidR="00485488">
        <w:t xml:space="preserve">previous </w:t>
      </w:r>
      <w:r w:rsidRPr="00C265CF" w:rsidR="00485488">
        <w:t>PRA</w:t>
      </w:r>
      <w:r w:rsidR="00485488">
        <w:t xml:space="preserve"> packages</w:t>
      </w:r>
      <w:r w:rsidR="00671C9C">
        <w:t xml:space="preserve">.  </w:t>
      </w:r>
    </w:p>
    <w:p w:rsidRPr="00B90263" w:rsidR="00B90263" w:rsidP="004227D4" w:rsidRDefault="00B90263" w14:paraId="2DBD4EC5" w14:textId="514E0EAD">
      <w:pPr>
        <w:keepNext/>
        <w:keepLines/>
        <w:jc w:val="center"/>
        <w:rPr>
          <w:b/>
          <w:bCs/>
        </w:rPr>
      </w:pPr>
      <w:bookmarkStart w:name="_Hlk78872000" w:id="23"/>
      <w:r w:rsidRPr="00B90263">
        <w:rPr>
          <w:b/>
          <w:bCs/>
        </w:rPr>
        <w:t>T</w:t>
      </w:r>
      <w:r>
        <w:rPr>
          <w:b/>
          <w:bCs/>
        </w:rPr>
        <w:t>ABLE</w:t>
      </w:r>
      <w:r w:rsidRPr="00B90263">
        <w:rPr>
          <w:b/>
          <w:bCs/>
        </w:rPr>
        <w:t xml:space="preserve"> </w:t>
      </w:r>
      <w:r w:rsidR="00B9260B">
        <w:rPr>
          <w:b/>
          <w:bCs/>
        </w:rPr>
        <w:t>3</w:t>
      </w:r>
      <w:r w:rsidR="00075892">
        <w:rPr>
          <w:b/>
          <w:bCs/>
        </w:rPr>
        <w:t>8</w:t>
      </w:r>
      <w:r w:rsidR="00681FC9">
        <w:rPr>
          <w:b/>
          <w:bCs/>
        </w:rPr>
        <w:t>:</w:t>
      </w:r>
      <w:r>
        <w:rPr>
          <w:b/>
          <w:bCs/>
        </w:rPr>
        <w:t xml:space="preserve"> Change in Burden</w:t>
      </w:r>
      <w:r w:rsidR="00C1361E">
        <w:rPr>
          <w:b/>
          <w:bCs/>
        </w:rPr>
        <w:t xml:space="preserve"> for </w:t>
      </w:r>
      <w:r w:rsidR="009B074F">
        <w:rPr>
          <w:b/>
          <w:bCs/>
        </w:rPr>
        <w:t xml:space="preserve">CY </w:t>
      </w:r>
      <w:r w:rsidR="00C1361E">
        <w:rPr>
          <w:b/>
          <w:bCs/>
        </w:rPr>
        <w:t>202</w:t>
      </w:r>
      <w:r w:rsidR="009B074F">
        <w:rPr>
          <w:b/>
          <w:bCs/>
        </w:rPr>
        <w:t>2</w:t>
      </w:r>
      <w:r w:rsidR="00C1361E">
        <w:rPr>
          <w:b/>
          <w:bCs/>
        </w:rPr>
        <w:t xml:space="preserve"> MIPS Performance Period</w:t>
      </w:r>
      <w:r w:rsidR="009B074F">
        <w:rPr>
          <w:b/>
          <w:bCs/>
        </w:rPr>
        <w:t>/</w:t>
      </w:r>
      <w:r w:rsidR="00721EBD">
        <w:rPr>
          <w:b/>
          <w:bCs/>
        </w:rPr>
        <w:br/>
      </w:r>
      <w:r w:rsidR="009B074F">
        <w:rPr>
          <w:b/>
          <w:bCs/>
        </w:rPr>
        <w:t>2024 MIPS Payment Year</w:t>
      </w:r>
    </w:p>
    <w:tbl>
      <w:tblPr>
        <w:tblStyle w:val="TableGrid"/>
        <w:tblW w:w="9985" w:type="dxa"/>
        <w:tblLayout w:type="fixed"/>
        <w:tblLook w:val="04A0" w:firstRow="1" w:lastRow="0" w:firstColumn="1" w:lastColumn="0" w:noHBand="0" w:noVBand="1"/>
      </w:tblPr>
      <w:tblGrid>
        <w:gridCol w:w="2238"/>
        <w:gridCol w:w="1627"/>
        <w:gridCol w:w="1440"/>
        <w:gridCol w:w="1530"/>
        <w:gridCol w:w="1620"/>
        <w:gridCol w:w="1530"/>
      </w:tblGrid>
      <w:tr w:rsidRPr="00D66128" w:rsidR="001D765C" w:rsidTr="00D26368" w14:paraId="7A33F22A" w14:textId="77777777">
        <w:tc>
          <w:tcPr>
            <w:tcW w:w="2238" w:type="dxa"/>
          </w:tcPr>
          <w:p w:rsidRPr="00D66128" w:rsidR="00B90263" w:rsidP="004227D4" w:rsidRDefault="00B90263" w14:paraId="77BEA862" w14:textId="41B8594F">
            <w:pPr>
              <w:keepNext/>
              <w:keepLines/>
              <w:rPr>
                <w:b/>
                <w:bCs/>
                <w:sz w:val="20"/>
                <w:szCs w:val="20"/>
              </w:rPr>
            </w:pPr>
            <w:r w:rsidRPr="00D66128">
              <w:rPr>
                <w:b/>
                <w:bCs/>
                <w:sz w:val="20"/>
                <w:szCs w:val="20"/>
              </w:rPr>
              <w:t>Burden Type</w:t>
            </w:r>
          </w:p>
        </w:tc>
        <w:tc>
          <w:tcPr>
            <w:tcW w:w="1627" w:type="dxa"/>
          </w:tcPr>
          <w:p w:rsidRPr="00D66128" w:rsidR="00B90263" w:rsidP="004227D4" w:rsidRDefault="00B90263" w14:paraId="684EBFBE" w14:textId="4D45FB63">
            <w:pPr>
              <w:keepNext/>
              <w:keepLines/>
              <w:rPr>
                <w:b/>
                <w:bCs/>
                <w:sz w:val="20"/>
                <w:szCs w:val="20"/>
              </w:rPr>
            </w:pPr>
            <w:r w:rsidRPr="00D66128">
              <w:rPr>
                <w:b/>
                <w:bCs/>
                <w:sz w:val="20"/>
                <w:szCs w:val="20"/>
              </w:rPr>
              <w:t>Total Requested (A)</w:t>
            </w:r>
          </w:p>
        </w:tc>
        <w:tc>
          <w:tcPr>
            <w:tcW w:w="1440" w:type="dxa"/>
          </w:tcPr>
          <w:p w:rsidRPr="00D66128" w:rsidR="00B90263" w:rsidP="004227D4" w:rsidRDefault="00B90263" w14:paraId="301EDDE0" w14:textId="6EB55F63">
            <w:pPr>
              <w:keepNext/>
              <w:keepLines/>
              <w:rPr>
                <w:b/>
                <w:bCs/>
                <w:sz w:val="20"/>
                <w:szCs w:val="20"/>
              </w:rPr>
            </w:pPr>
            <w:r w:rsidRPr="00D66128">
              <w:rPr>
                <w:b/>
                <w:bCs/>
                <w:sz w:val="20"/>
                <w:szCs w:val="20"/>
              </w:rPr>
              <w:t>Change Due to New Statute (B)</w:t>
            </w:r>
          </w:p>
        </w:tc>
        <w:tc>
          <w:tcPr>
            <w:tcW w:w="1530" w:type="dxa"/>
          </w:tcPr>
          <w:p w:rsidRPr="00D66128" w:rsidR="00B90263" w:rsidP="004227D4" w:rsidRDefault="00B90263" w14:paraId="2B32ABE6" w14:textId="0138327D">
            <w:pPr>
              <w:keepNext/>
              <w:keepLines/>
              <w:rPr>
                <w:b/>
                <w:bCs/>
                <w:sz w:val="20"/>
                <w:szCs w:val="20"/>
              </w:rPr>
            </w:pPr>
            <w:r w:rsidRPr="00D66128">
              <w:rPr>
                <w:b/>
                <w:bCs/>
                <w:sz w:val="20"/>
                <w:szCs w:val="20"/>
              </w:rPr>
              <w:t xml:space="preserve">Change </w:t>
            </w:r>
            <w:r w:rsidRPr="00D66128" w:rsidR="00A76AE1">
              <w:rPr>
                <w:b/>
                <w:bCs/>
                <w:sz w:val="20"/>
                <w:szCs w:val="20"/>
              </w:rPr>
              <w:t>Due</w:t>
            </w:r>
            <w:r w:rsidRPr="00D66128">
              <w:rPr>
                <w:b/>
                <w:bCs/>
                <w:sz w:val="20"/>
                <w:szCs w:val="20"/>
              </w:rPr>
              <w:t xml:space="preserve"> to Program Discretion (C)</w:t>
            </w:r>
          </w:p>
        </w:tc>
        <w:tc>
          <w:tcPr>
            <w:tcW w:w="1620" w:type="dxa"/>
          </w:tcPr>
          <w:p w:rsidRPr="00D66128" w:rsidR="00B90263" w:rsidP="004227D4" w:rsidRDefault="00B90263" w14:paraId="51F96202" w14:textId="192D6ABE">
            <w:pPr>
              <w:keepNext/>
              <w:keepLines/>
              <w:rPr>
                <w:b/>
                <w:bCs/>
                <w:sz w:val="20"/>
                <w:szCs w:val="20"/>
              </w:rPr>
            </w:pPr>
            <w:r w:rsidRPr="00D66128">
              <w:rPr>
                <w:b/>
                <w:bCs/>
                <w:sz w:val="20"/>
                <w:szCs w:val="20"/>
              </w:rPr>
              <w:t>Change Due to Program Adjustment (D)</w:t>
            </w:r>
          </w:p>
        </w:tc>
        <w:tc>
          <w:tcPr>
            <w:tcW w:w="1530" w:type="dxa"/>
          </w:tcPr>
          <w:p w:rsidR="00B90263" w:rsidP="004227D4" w:rsidRDefault="00B90263" w14:paraId="44D259BA" w14:textId="77777777">
            <w:pPr>
              <w:keepNext/>
              <w:keepLines/>
              <w:rPr>
                <w:b/>
                <w:bCs/>
                <w:sz w:val="20"/>
                <w:szCs w:val="20"/>
              </w:rPr>
            </w:pPr>
            <w:r w:rsidRPr="00D66128">
              <w:rPr>
                <w:b/>
                <w:bCs/>
                <w:sz w:val="20"/>
                <w:szCs w:val="20"/>
              </w:rPr>
              <w:t>Total Currently Approved (E)</w:t>
            </w:r>
          </w:p>
          <w:p w:rsidR="00286250" w:rsidP="004227D4" w:rsidRDefault="00286250" w14:paraId="40E71C0F" w14:textId="77777777">
            <w:pPr>
              <w:keepNext/>
              <w:keepLines/>
              <w:rPr>
                <w:b/>
                <w:bCs/>
                <w:sz w:val="20"/>
                <w:szCs w:val="20"/>
              </w:rPr>
            </w:pPr>
          </w:p>
          <w:p w:rsidRPr="00D66128" w:rsidR="00286250" w:rsidP="004227D4" w:rsidRDefault="00286250" w14:paraId="6731BD31" w14:textId="2497CB90">
            <w:pPr>
              <w:keepNext/>
              <w:keepLines/>
              <w:rPr>
                <w:b/>
                <w:bCs/>
                <w:sz w:val="20"/>
                <w:szCs w:val="20"/>
              </w:rPr>
            </w:pPr>
            <w:r>
              <w:rPr>
                <w:b/>
                <w:bCs/>
                <w:sz w:val="20"/>
                <w:szCs w:val="20"/>
              </w:rPr>
              <w:t>(</w:t>
            </w:r>
            <w:r w:rsidRPr="0044035F">
              <w:rPr>
                <w:b/>
                <w:bCs/>
                <w:sz w:val="20"/>
                <w:szCs w:val="20"/>
              </w:rPr>
              <w:t>202</w:t>
            </w:r>
            <w:r>
              <w:rPr>
                <w:b/>
                <w:bCs/>
                <w:sz w:val="20"/>
                <w:szCs w:val="20"/>
              </w:rPr>
              <w:t>2</w:t>
            </w:r>
            <w:r w:rsidRPr="0044035F">
              <w:rPr>
                <w:b/>
                <w:bCs/>
                <w:sz w:val="20"/>
                <w:szCs w:val="20"/>
              </w:rPr>
              <w:t xml:space="preserve"> MIPS Performance Period</w:t>
            </w:r>
            <w:r>
              <w:rPr>
                <w:b/>
                <w:bCs/>
                <w:sz w:val="20"/>
                <w:szCs w:val="20"/>
              </w:rPr>
              <w:t>)</w:t>
            </w:r>
          </w:p>
        </w:tc>
      </w:tr>
      <w:tr w:rsidRPr="00D66128" w:rsidR="001D765C" w:rsidTr="00D26368" w14:paraId="07E3D2B8" w14:textId="77777777">
        <w:tc>
          <w:tcPr>
            <w:tcW w:w="2238" w:type="dxa"/>
          </w:tcPr>
          <w:p w:rsidRPr="00D66128" w:rsidR="00B90263" w:rsidP="004227D4" w:rsidRDefault="00B90263" w14:paraId="35DE2EA5" w14:textId="63C9A2A0">
            <w:pPr>
              <w:keepNext/>
              <w:keepLines/>
              <w:rPr>
                <w:sz w:val="20"/>
                <w:szCs w:val="20"/>
              </w:rPr>
            </w:pPr>
            <w:r w:rsidRPr="00D66128">
              <w:rPr>
                <w:sz w:val="20"/>
                <w:szCs w:val="20"/>
              </w:rPr>
              <w:t>Total Responses</w:t>
            </w:r>
          </w:p>
        </w:tc>
        <w:tc>
          <w:tcPr>
            <w:tcW w:w="1627" w:type="dxa"/>
          </w:tcPr>
          <w:p w:rsidRPr="00D66128" w:rsidR="00B90263" w:rsidP="002D0233" w:rsidRDefault="0083307F" w14:paraId="27B02D4F" w14:textId="49DD40BB">
            <w:pPr>
              <w:keepNext/>
              <w:keepLines/>
              <w:rPr>
                <w:sz w:val="20"/>
                <w:szCs w:val="20"/>
              </w:rPr>
            </w:pPr>
            <w:r w:rsidRPr="00D66128">
              <w:rPr>
                <w:sz w:val="20"/>
                <w:szCs w:val="20"/>
              </w:rPr>
              <w:t>3</w:t>
            </w:r>
            <w:r w:rsidR="00EB5042">
              <w:rPr>
                <w:sz w:val="20"/>
                <w:szCs w:val="20"/>
              </w:rPr>
              <w:t>10,120</w:t>
            </w:r>
          </w:p>
        </w:tc>
        <w:tc>
          <w:tcPr>
            <w:tcW w:w="1440" w:type="dxa"/>
          </w:tcPr>
          <w:p w:rsidRPr="00D66128" w:rsidR="00B90263" w:rsidP="004227D4" w:rsidRDefault="00FC193D" w14:paraId="2CC70079" w14:textId="671F73C5">
            <w:pPr>
              <w:keepNext/>
              <w:keepLines/>
              <w:rPr>
                <w:sz w:val="20"/>
                <w:szCs w:val="20"/>
              </w:rPr>
            </w:pPr>
            <w:r>
              <w:rPr>
                <w:sz w:val="20"/>
                <w:szCs w:val="20"/>
              </w:rPr>
              <w:t>-13,</w:t>
            </w:r>
            <w:r w:rsidR="00BE0582">
              <w:rPr>
                <w:sz w:val="20"/>
                <w:szCs w:val="20"/>
              </w:rPr>
              <w:t>77</w:t>
            </w:r>
            <w:r w:rsidR="005A10FD">
              <w:rPr>
                <w:sz w:val="20"/>
                <w:szCs w:val="20"/>
              </w:rPr>
              <w:t>5</w:t>
            </w:r>
            <w:r w:rsidR="000C54E3">
              <w:rPr>
                <w:sz w:val="20"/>
                <w:szCs w:val="20"/>
              </w:rPr>
              <w:t>*</w:t>
            </w:r>
          </w:p>
        </w:tc>
        <w:tc>
          <w:tcPr>
            <w:tcW w:w="1530" w:type="dxa"/>
          </w:tcPr>
          <w:p w:rsidRPr="00D66128" w:rsidR="00B90263" w:rsidP="004227D4" w:rsidRDefault="00EE5AE5" w14:paraId="6969F473" w14:textId="6D815656">
            <w:pPr>
              <w:keepNext/>
              <w:keepLines/>
              <w:rPr>
                <w:sz w:val="20"/>
                <w:szCs w:val="20"/>
              </w:rPr>
            </w:pPr>
            <w:r>
              <w:rPr>
                <w:sz w:val="20"/>
                <w:szCs w:val="20"/>
              </w:rPr>
              <w:t xml:space="preserve">    0</w:t>
            </w:r>
          </w:p>
        </w:tc>
        <w:tc>
          <w:tcPr>
            <w:tcW w:w="1620" w:type="dxa"/>
          </w:tcPr>
          <w:p w:rsidRPr="00D66128" w:rsidR="00B90263" w:rsidP="004227D4" w:rsidRDefault="006A301A" w14:paraId="20D3DF75" w14:textId="430DBFAA">
            <w:pPr>
              <w:keepNext/>
              <w:keepLines/>
              <w:rPr>
                <w:sz w:val="20"/>
                <w:szCs w:val="20"/>
              </w:rPr>
            </w:pPr>
            <w:r>
              <w:rPr>
                <w:sz w:val="20"/>
                <w:szCs w:val="20"/>
              </w:rPr>
              <w:t>-3,1</w:t>
            </w:r>
            <w:r w:rsidR="00891A62">
              <w:rPr>
                <w:sz w:val="20"/>
                <w:szCs w:val="20"/>
              </w:rPr>
              <w:t>41</w:t>
            </w:r>
          </w:p>
        </w:tc>
        <w:tc>
          <w:tcPr>
            <w:tcW w:w="1530" w:type="dxa"/>
          </w:tcPr>
          <w:p w:rsidRPr="00D66128" w:rsidR="00B90263" w:rsidP="004227D4" w:rsidRDefault="002F0227" w14:paraId="7B3052C2" w14:textId="7B6CB2DD">
            <w:pPr>
              <w:keepNext/>
              <w:keepLines/>
              <w:rPr>
                <w:sz w:val="20"/>
                <w:szCs w:val="20"/>
              </w:rPr>
            </w:pPr>
            <w:r w:rsidRPr="002F0227">
              <w:rPr>
                <w:sz w:val="20"/>
                <w:szCs w:val="20"/>
              </w:rPr>
              <w:t>327,</w:t>
            </w:r>
            <w:r w:rsidR="00942617">
              <w:rPr>
                <w:sz w:val="20"/>
                <w:szCs w:val="20"/>
              </w:rPr>
              <w:t>036</w:t>
            </w:r>
          </w:p>
        </w:tc>
      </w:tr>
      <w:tr w:rsidRPr="00D66128" w:rsidR="001D765C" w:rsidTr="00D26368" w14:paraId="3B309FA6" w14:textId="77777777">
        <w:tc>
          <w:tcPr>
            <w:tcW w:w="2238" w:type="dxa"/>
          </w:tcPr>
          <w:p w:rsidRPr="00D66128" w:rsidR="00B90263" w:rsidP="004227D4" w:rsidRDefault="00B90263" w14:paraId="4A17823C" w14:textId="13D96C48">
            <w:pPr>
              <w:keepNext/>
              <w:keepLines/>
              <w:rPr>
                <w:sz w:val="20"/>
                <w:szCs w:val="20"/>
              </w:rPr>
            </w:pPr>
            <w:r w:rsidRPr="00D66128">
              <w:rPr>
                <w:sz w:val="20"/>
                <w:szCs w:val="20"/>
              </w:rPr>
              <w:t>Total Time (hr)</w:t>
            </w:r>
          </w:p>
        </w:tc>
        <w:tc>
          <w:tcPr>
            <w:tcW w:w="1627" w:type="dxa"/>
          </w:tcPr>
          <w:p w:rsidRPr="00D66128" w:rsidR="00B90263" w:rsidP="002D0233" w:rsidRDefault="000A1F8E" w14:paraId="02EC03C7" w14:textId="7AB98204">
            <w:pPr>
              <w:keepNext/>
              <w:keepLines/>
              <w:rPr>
                <w:sz w:val="20"/>
                <w:szCs w:val="20"/>
              </w:rPr>
            </w:pPr>
            <w:r w:rsidRPr="000A1F8E">
              <w:rPr>
                <w:sz w:val="20"/>
                <w:szCs w:val="20"/>
              </w:rPr>
              <w:t>1,435,77</w:t>
            </w:r>
            <w:r w:rsidR="00FE6645">
              <w:rPr>
                <w:sz w:val="20"/>
                <w:szCs w:val="20"/>
              </w:rPr>
              <w:t>3</w:t>
            </w:r>
          </w:p>
        </w:tc>
        <w:tc>
          <w:tcPr>
            <w:tcW w:w="1440" w:type="dxa"/>
          </w:tcPr>
          <w:p w:rsidRPr="00D66128" w:rsidR="00B90263" w:rsidP="004227D4" w:rsidRDefault="00561EAD" w14:paraId="3359A3D0" w14:textId="39BDC485">
            <w:pPr>
              <w:keepNext/>
              <w:keepLines/>
              <w:rPr>
                <w:sz w:val="20"/>
                <w:szCs w:val="20"/>
              </w:rPr>
            </w:pPr>
            <w:r w:rsidRPr="00D66128">
              <w:rPr>
                <w:sz w:val="20"/>
                <w:szCs w:val="20"/>
              </w:rPr>
              <w:t>+</w:t>
            </w:r>
            <w:r w:rsidR="00CE6689">
              <w:rPr>
                <w:sz w:val="20"/>
                <w:szCs w:val="20"/>
              </w:rPr>
              <w:t>3,</w:t>
            </w:r>
            <w:r w:rsidR="005A10FD">
              <w:rPr>
                <w:sz w:val="20"/>
                <w:szCs w:val="20"/>
              </w:rPr>
              <w:t>62</w:t>
            </w:r>
            <w:r w:rsidR="00827F68">
              <w:rPr>
                <w:sz w:val="20"/>
                <w:szCs w:val="20"/>
              </w:rPr>
              <w:t>0</w:t>
            </w:r>
            <w:r w:rsidRPr="00D66128" w:rsidR="00471B0F">
              <w:rPr>
                <w:sz w:val="20"/>
                <w:szCs w:val="20"/>
              </w:rPr>
              <w:t>**</w:t>
            </w:r>
          </w:p>
        </w:tc>
        <w:tc>
          <w:tcPr>
            <w:tcW w:w="1530" w:type="dxa"/>
          </w:tcPr>
          <w:p w:rsidRPr="00D66128" w:rsidR="00B90263" w:rsidP="004227D4" w:rsidRDefault="00EE5AE5" w14:paraId="10EE3716" w14:textId="30A342AD">
            <w:pPr>
              <w:keepNext/>
              <w:keepLines/>
              <w:rPr>
                <w:sz w:val="20"/>
                <w:szCs w:val="20"/>
              </w:rPr>
            </w:pPr>
            <w:r>
              <w:rPr>
                <w:sz w:val="20"/>
                <w:szCs w:val="20"/>
              </w:rPr>
              <w:t xml:space="preserve">    0</w:t>
            </w:r>
          </w:p>
        </w:tc>
        <w:tc>
          <w:tcPr>
            <w:tcW w:w="1620" w:type="dxa"/>
          </w:tcPr>
          <w:p w:rsidRPr="00D66128" w:rsidR="00B90263" w:rsidP="004227D4" w:rsidRDefault="00C84805" w14:paraId="1DC40D47" w14:textId="4028FFE7">
            <w:pPr>
              <w:keepNext/>
              <w:keepLines/>
              <w:rPr>
                <w:sz w:val="20"/>
                <w:szCs w:val="20"/>
              </w:rPr>
            </w:pPr>
            <w:r w:rsidRPr="00D66128">
              <w:rPr>
                <w:sz w:val="20"/>
                <w:szCs w:val="20"/>
              </w:rPr>
              <w:t>-</w:t>
            </w:r>
            <w:r w:rsidR="003B5684">
              <w:rPr>
                <w:sz w:val="20"/>
                <w:szCs w:val="20"/>
              </w:rPr>
              <w:t>4</w:t>
            </w:r>
            <w:r w:rsidR="00D12826">
              <w:rPr>
                <w:sz w:val="20"/>
                <w:szCs w:val="20"/>
              </w:rPr>
              <w:t>3,38</w:t>
            </w:r>
            <w:r w:rsidR="00D12268">
              <w:rPr>
                <w:sz w:val="20"/>
                <w:szCs w:val="20"/>
              </w:rPr>
              <w:t>3</w:t>
            </w:r>
          </w:p>
        </w:tc>
        <w:tc>
          <w:tcPr>
            <w:tcW w:w="1530" w:type="dxa"/>
          </w:tcPr>
          <w:p w:rsidRPr="00D66128" w:rsidR="00B90263" w:rsidP="00C02594" w:rsidRDefault="00134BC8" w14:paraId="053E1ECF" w14:textId="46BFD525">
            <w:pPr>
              <w:keepNext/>
              <w:keepLines/>
              <w:rPr>
                <w:sz w:val="20"/>
                <w:szCs w:val="20"/>
              </w:rPr>
            </w:pPr>
            <w:r w:rsidRPr="00134BC8">
              <w:rPr>
                <w:sz w:val="20"/>
                <w:szCs w:val="20"/>
              </w:rPr>
              <w:t>1,</w:t>
            </w:r>
            <w:r w:rsidR="00942617">
              <w:rPr>
                <w:sz w:val="20"/>
                <w:szCs w:val="20"/>
              </w:rPr>
              <w:t>475,536</w:t>
            </w:r>
          </w:p>
        </w:tc>
      </w:tr>
      <w:tr w:rsidRPr="00D66128" w:rsidR="001D765C" w:rsidTr="00D26368" w14:paraId="11305C9A" w14:textId="77777777">
        <w:tc>
          <w:tcPr>
            <w:tcW w:w="2238" w:type="dxa"/>
          </w:tcPr>
          <w:p w:rsidRPr="00D66128" w:rsidR="00B90263" w:rsidP="004227D4" w:rsidRDefault="00B90263" w14:paraId="536982D6" w14:textId="64BE9D02">
            <w:pPr>
              <w:keepNext/>
              <w:keepLines/>
              <w:rPr>
                <w:sz w:val="20"/>
                <w:szCs w:val="20"/>
              </w:rPr>
            </w:pPr>
            <w:r w:rsidRPr="00D66128">
              <w:rPr>
                <w:sz w:val="20"/>
                <w:szCs w:val="20"/>
              </w:rPr>
              <w:t>Total Cost ($)</w:t>
            </w:r>
          </w:p>
        </w:tc>
        <w:tc>
          <w:tcPr>
            <w:tcW w:w="1627" w:type="dxa"/>
          </w:tcPr>
          <w:p w:rsidR="00433A1E" w:rsidP="002D0233" w:rsidRDefault="001905CD" w14:paraId="071AF6EC" w14:textId="75D91297">
            <w:pPr>
              <w:keepNext/>
              <w:keepLines/>
              <w:rPr>
                <w:sz w:val="20"/>
                <w:szCs w:val="20"/>
              </w:rPr>
            </w:pPr>
            <w:r w:rsidRPr="00D66128">
              <w:rPr>
                <w:sz w:val="20"/>
                <w:szCs w:val="20"/>
              </w:rPr>
              <w:t>1</w:t>
            </w:r>
            <w:r w:rsidR="00656133">
              <w:rPr>
                <w:sz w:val="20"/>
                <w:szCs w:val="20"/>
              </w:rPr>
              <w:t>4</w:t>
            </w:r>
            <w:r w:rsidR="00D26E5D">
              <w:rPr>
                <w:sz w:val="20"/>
                <w:szCs w:val="20"/>
              </w:rPr>
              <w:t>4</w:t>
            </w:r>
            <w:r w:rsidR="00433A1E">
              <w:rPr>
                <w:sz w:val="20"/>
                <w:szCs w:val="20"/>
              </w:rPr>
              <w:t>,800,324</w:t>
            </w:r>
          </w:p>
          <w:p w:rsidRPr="00D66128" w:rsidR="00B90263" w:rsidP="002D0233" w:rsidRDefault="00B90263" w14:paraId="11CD3C4A" w14:textId="191F49D7">
            <w:pPr>
              <w:keepNext/>
              <w:keepLines/>
              <w:rPr>
                <w:sz w:val="20"/>
                <w:szCs w:val="20"/>
              </w:rPr>
            </w:pPr>
          </w:p>
        </w:tc>
        <w:tc>
          <w:tcPr>
            <w:tcW w:w="1440" w:type="dxa"/>
          </w:tcPr>
          <w:p w:rsidRPr="00D66128" w:rsidR="00B90263" w:rsidP="004227D4" w:rsidRDefault="00242E90" w14:paraId="098E8F9E" w14:textId="60608C74">
            <w:pPr>
              <w:keepNext/>
              <w:keepLines/>
              <w:rPr>
                <w:sz w:val="20"/>
                <w:szCs w:val="20"/>
              </w:rPr>
            </w:pPr>
            <w:r w:rsidRPr="00D66128">
              <w:rPr>
                <w:sz w:val="20"/>
                <w:szCs w:val="20"/>
              </w:rPr>
              <w:t>+</w:t>
            </w:r>
            <w:r w:rsidR="00A85EE2">
              <w:rPr>
                <w:sz w:val="20"/>
                <w:szCs w:val="20"/>
              </w:rPr>
              <w:t>3</w:t>
            </w:r>
            <w:r w:rsidR="00F827E0">
              <w:rPr>
                <w:sz w:val="20"/>
                <w:szCs w:val="20"/>
              </w:rPr>
              <w:t>40,778</w:t>
            </w:r>
          </w:p>
        </w:tc>
        <w:tc>
          <w:tcPr>
            <w:tcW w:w="1530" w:type="dxa"/>
          </w:tcPr>
          <w:p w:rsidRPr="00D66128" w:rsidR="00B90263" w:rsidP="004227D4" w:rsidRDefault="00EE5AE5" w14:paraId="3D2864BC" w14:textId="036955A3">
            <w:pPr>
              <w:keepNext/>
              <w:keepLines/>
              <w:rPr>
                <w:sz w:val="20"/>
                <w:szCs w:val="20"/>
              </w:rPr>
            </w:pPr>
            <w:r>
              <w:rPr>
                <w:sz w:val="20"/>
                <w:szCs w:val="20"/>
              </w:rPr>
              <w:t xml:space="preserve">    0</w:t>
            </w:r>
          </w:p>
        </w:tc>
        <w:tc>
          <w:tcPr>
            <w:tcW w:w="1620" w:type="dxa"/>
          </w:tcPr>
          <w:p w:rsidRPr="00D66128" w:rsidR="00B90263" w:rsidP="004227D4" w:rsidRDefault="00D84419" w14:paraId="51AD4CF3" w14:textId="21B76204">
            <w:pPr>
              <w:keepNext/>
              <w:keepLines/>
              <w:rPr>
                <w:sz w:val="20"/>
                <w:szCs w:val="20"/>
              </w:rPr>
            </w:pPr>
            <w:r w:rsidRPr="00D66128">
              <w:rPr>
                <w:sz w:val="20"/>
                <w:szCs w:val="20"/>
              </w:rPr>
              <w:t>-</w:t>
            </w:r>
            <w:r w:rsidR="007310B2">
              <w:rPr>
                <w:sz w:val="20"/>
                <w:szCs w:val="20"/>
              </w:rPr>
              <w:t>4,1</w:t>
            </w:r>
            <w:r w:rsidR="00F8244D">
              <w:rPr>
                <w:sz w:val="20"/>
                <w:szCs w:val="20"/>
              </w:rPr>
              <w:t>68,646</w:t>
            </w:r>
          </w:p>
        </w:tc>
        <w:tc>
          <w:tcPr>
            <w:tcW w:w="1530" w:type="dxa"/>
          </w:tcPr>
          <w:p w:rsidRPr="00D66128" w:rsidR="00B90263" w:rsidP="004227D4" w:rsidRDefault="0032603B" w14:paraId="006DD927" w14:textId="47E079D4">
            <w:pPr>
              <w:keepNext/>
              <w:keepLines/>
              <w:rPr>
                <w:sz w:val="20"/>
                <w:szCs w:val="20"/>
              </w:rPr>
            </w:pPr>
            <w:r>
              <w:rPr>
                <w:sz w:val="20"/>
                <w:szCs w:val="20"/>
              </w:rPr>
              <w:t>14</w:t>
            </w:r>
            <w:r w:rsidR="00460A11">
              <w:rPr>
                <w:sz w:val="20"/>
                <w:szCs w:val="20"/>
              </w:rPr>
              <w:t>8,6</w:t>
            </w:r>
            <w:r w:rsidR="00D26542">
              <w:rPr>
                <w:sz w:val="20"/>
                <w:szCs w:val="20"/>
              </w:rPr>
              <w:t>28,192</w:t>
            </w:r>
          </w:p>
        </w:tc>
      </w:tr>
    </w:tbl>
    <w:bookmarkEnd w:id="23"/>
    <w:p w:rsidRPr="00D66128" w:rsidR="00B90263" w:rsidP="00471B0F" w:rsidRDefault="00471B0F" w14:paraId="358B8E30" w14:textId="18C58F52">
      <w:pPr>
        <w:spacing w:after="0"/>
        <w:rPr>
          <w:bCs/>
          <w:sz w:val="18"/>
          <w:szCs w:val="18"/>
        </w:rPr>
      </w:pPr>
      <w:r w:rsidRPr="00D66128">
        <w:rPr>
          <w:bCs/>
          <w:sz w:val="18"/>
          <w:szCs w:val="18"/>
        </w:rPr>
        <w:t>*</w:t>
      </w:r>
      <w:r w:rsidR="00BB1347">
        <w:rPr>
          <w:bCs/>
          <w:sz w:val="18"/>
          <w:szCs w:val="18"/>
        </w:rPr>
        <w:t>-</w:t>
      </w:r>
      <w:r w:rsidR="00D64F05">
        <w:rPr>
          <w:bCs/>
          <w:sz w:val="18"/>
          <w:szCs w:val="18"/>
        </w:rPr>
        <w:t>13,</w:t>
      </w:r>
      <w:r w:rsidR="005D4D46">
        <w:rPr>
          <w:bCs/>
          <w:sz w:val="18"/>
          <w:szCs w:val="18"/>
        </w:rPr>
        <w:t>77</w:t>
      </w:r>
      <w:r w:rsidR="00417C4E">
        <w:rPr>
          <w:bCs/>
          <w:sz w:val="18"/>
          <w:szCs w:val="18"/>
        </w:rPr>
        <w:t>5</w:t>
      </w:r>
      <w:r w:rsidRPr="00D66128">
        <w:rPr>
          <w:bCs/>
          <w:sz w:val="18"/>
          <w:szCs w:val="18"/>
        </w:rPr>
        <w:t xml:space="preserve"> </w:t>
      </w:r>
      <w:r w:rsidRPr="00D66128" w:rsidR="0037244A">
        <w:rPr>
          <w:bCs/>
          <w:sz w:val="18"/>
          <w:szCs w:val="18"/>
        </w:rPr>
        <w:t xml:space="preserve">responses </w:t>
      </w:r>
      <w:r w:rsidRPr="00D66128">
        <w:rPr>
          <w:bCs/>
          <w:sz w:val="18"/>
          <w:szCs w:val="18"/>
        </w:rPr>
        <w:t xml:space="preserve">= </w:t>
      </w:r>
      <w:r w:rsidR="008A3F10">
        <w:rPr>
          <w:bCs/>
          <w:sz w:val="18"/>
          <w:szCs w:val="18"/>
        </w:rPr>
        <w:t>1</w:t>
      </w:r>
      <w:r w:rsidR="000038DC">
        <w:rPr>
          <w:bCs/>
          <w:sz w:val="18"/>
          <w:szCs w:val="18"/>
        </w:rPr>
        <w:t>9</w:t>
      </w:r>
      <w:r w:rsidR="008A3F10">
        <w:rPr>
          <w:bCs/>
          <w:sz w:val="18"/>
          <w:szCs w:val="18"/>
        </w:rPr>
        <w:t xml:space="preserve"> (</w:t>
      </w:r>
      <w:r w:rsidR="0053248F">
        <w:rPr>
          <w:bCs/>
          <w:sz w:val="18"/>
          <w:szCs w:val="18"/>
        </w:rPr>
        <w:t>Table</w:t>
      </w:r>
      <w:r w:rsidR="00617884">
        <w:rPr>
          <w:bCs/>
          <w:sz w:val="18"/>
          <w:szCs w:val="18"/>
        </w:rPr>
        <w:t xml:space="preserve"> 3</w:t>
      </w:r>
      <w:r w:rsidR="001505DF">
        <w:rPr>
          <w:bCs/>
          <w:sz w:val="18"/>
          <w:szCs w:val="18"/>
        </w:rPr>
        <w:t>8</w:t>
      </w:r>
      <w:r w:rsidR="00DE5B2B">
        <w:rPr>
          <w:bCs/>
          <w:sz w:val="18"/>
          <w:szCs w:val="18"/>
        </w:rPr>
        <w:t>A</w:t>
      </w:r>
      <w:r w:rsidR="008A3F10">
        <w:rPr>
          <w:bCs/>
          <w:sz w:val="18"/>
          <w:szCs w:val="18"/>
        </w:rPr>
        <w:t>)</w:t>
      </w:r>
      <w:r w:rsidRPr="00D66128">
        <w:rPr>
          <w:bCs/>
          <w:sz w:val="18"/>
          <w:szCs w:val="18"/>
        </w:rPr>
        <w:t xml:space="preserve"> </w:t>
      </w:r>
      <w:r w:rsidR="00C741C0">
        <w:rPr>
          <w:bCs/>
          <w:sz w:val="18"/>
          <w:szCs w:val="18"/>
        </w:rPr>
        <w:t>+ 1</w:t>
      </w:r>
      <w:r w:rsidR="00417C4E">
        <w:rPr>
          <w:bCs/>
          <w:sz w:val="18"/>
          <w:szCs w:val="18"/>
        </w:rPr>
        <w:t xml:space="preserve">0 </w:t>
      </w:r>
      <w:r w:rsidR="00C741C0">
        <w:rPr>
          <w:bCs/>
          <w:sz w:val="18"/>
          <w:szCs w:val="18"/>
        </w:rPr>
        <w:t>(Table 3</w:t>
      </w:r>
      <w:r w:rsidR="001505DF">
        <w:rPr>
          <w:bCs/>
          <w:sz w:val="18"/>
          <w:szCs w:val="18"/>
        </w:rPr>
        <w:t>8</w:t>
      </w:r>
      <w:r w:rsidR="00C741C0">
        <w:rPr>
          <w:bCs/>
          <w:sz w:val="18"/>
          <w:szCs w:val="18"/>
        </w:rPr>
        <w:t xml:space="preserve">B) - </w:t>
      </w:r>
      <w:r w:rsidR="00106B13">
        <w:rPr>
          <w:bCs/>
          <w:sz w:val="18"/>
          <w:szCs w:val="18"/>
        </w:rPr>
        <w:t>45</w:t>
      </w:r>
      <w:r w:rsidR="00777DFB">
        <w:rPr>
          <w:bCs/>
          <w:sz w:val="18"/>
          <w:szCs w:val="18"/>
        </w:rPr>
        <w:t xml:space="preserve"> (</w:t>
      </w:r>
      <w:r w:rsidR="00A46B05">
        <w:rPr>
          <w:bCs/>
          <w:sz w:val="18"/>
          <w:szCs w:val="18"/>
        </w:rPr>
        <w:t xml:space="preserve">Table </w:t>
      </w:r>
      <w:r w:rsidR="008D2441">
        <w:rPr>
          <w:bCs/>
          <w:sz w:val="18"/>
          <w:szCs w:val="18"/>
        </w:rPr>
        <w:t>3</w:t>
      </w:r>
      <w:r w:rsidR="001505DF">
        <w:rPr>
          <w:bCs/>
          <w:sz w:val="18"/>
          <w:szCs w:val="18"/>
        </w:rPr>
        <w:t>8</w:t>
      </w:r>
      <w:r w:rsidR="008D2441">
        <w:rPr>
          <w:bCs/>
          <w:sz w:val="18"/>
          <w:szCs w:val="18"/>
        </w:rPr>
        <w:t>F</w:t>
      </w:r>
      <w:r w:rsidR="00777DFB">
        <w:rPr>
          <w:bCs/>
          <w:sz w:val="18"/>
          <w:szCs w:val="18"/>
        </w:rPr>
        <w:t>)</w:t>
      </w:r>
      <w:r w:rsidR="0005321D">
        <w:rPr>
          <w:bCs/>
          <w:sz w:val="18"/>
          <w:szCs w:val="18"/>
        </w:rPr>
        <w:t xml:space="preserve"> </w:t>
      </w:r>
      <w:r w:rsidR="00777DFB">
        <w:rPr>
          <w:bCs/>
          <w:sz w:val="18"/>
          <w:szCs w:val="18"/>
        </w:rPr>
        <w:t>-</w:t>
      </w:r>
      <w:r w:rsidR="009C66A5">
        <w:rPr>
          <w:bCs/>
          <w:sz w:val="18"/>
          <w:szCs w:val="18"/>
        </w:rPr>
        <w:t xml:space="preserve"> </w:t>
      </w:r>
      <w:r w:rsidR="00777DFB">
        <w:rPr>
          <w:bCs/>
          <w:sz w:val="18"/>
          <w:szCs w:val="18"/>
        </w:rPr>
        <w:t>66 (</w:t>
      </w:r>
      <w:r w:rsidR="00A46B05">
        <w:rPr>
          <w:bCs/>
          <w:sz w:val="18"/>
          <w:szCs w:val="18"/>
        </w:rPr>
        <w:t xml:space="preserve">Table </w:t>
      </w:r>
      <w:r w:rsidR="008D2441">
        <w:rPr>
          <w:bCs/>
          <w:sz w:val="18"/>
          <w:szCs w:val="18"/>
        </w:rPr>
        <w:t>3</w:t>
      </w:r>
      <w:r w:rsidR="001505DF">
        <w:rPr>
          <w:bCs/>
          <w:sz w:val="18"/>
          <w:szCs w:val="18"/>
        </w:rPr>
        <w:t>8</w:t>
      </w:r>
      <w:r w:rsidR="008D2441">
        <w:rPr>
          <w:bCs/>
          <w:sz w:val="18"/>
          <w:szCs w:val="18"/>
        </w:rPr>
        <w:t>G</w:t>
      </w:r>
      <w:r w:rsidR="00777DFB">
        <w:rPr>
          <w:bCs/>
          <w:sz w:val="18"/>
          <w:szCs w:val="18"/>
        </w:rPr>
        <w:t>) +</w:t>
      </w:r>
      <w:r w:rsidR="005406EC">
        <w:rPr>
          <w:bCs/>
          <w:sz w:val="18"/>
          <w:szCs w:val="18"/>
        </w:rPr>
        <w:t xml:space="preserve"> 11</w:t>
      </w:r>
      <w:r w:rsidR="00693C77">
        <w:rPr>
          <w:bCs/>
          <w:sz w:val="18"/>
          <w:szCs w:val="18"/>
        </w:rPr>
        <w:t>1</w:t>
      </w:r>
      <w:r w:rsidR="003D44D2">
        <w:rPr>
          <w:bCs/>
          <w:sz w:val="18"/>
          <w:szCs w:val="18"/>
        </w:rPr>
        <w:t xml:space="preserve"> (Table </w:t>
      </w:r>
      <w:r w:rsidR="00FE41E2">
        <w:rPr>
          <w:bCs/>
          <w:sz w:val="18"/>
          <w:szCs w:val="18"/>
        </w:rPr>
        <w:t>3</w:t>
      </w:r>
      <w:r w:rsidR="001505DF">
        <w:rPr>
          <w:bCs/>
          <w:sz w:val="18"/>
          <w:szCs w:val="18"/>
        </w:rPr>
        <w:t>8</w:t>
      </w:r>
      <w:r w:rsidR="001E5671">
        <w:rPr>
          <w:bCs/>
          <w:sz w:val="18"/>
          <w:szCs w:val="18"/>
        </w:rPr>
        <w:t>H</w:t>
      </w:r>
      <w:r w:rsidR="003D44D2">
        <w:rPr>
          <w:bCs/>
          <w:sz w:val="18"/>
          <w:szCs w:val="18"/>
        </w:rPr>
        <w:t>)</w:t>
      </w:r>
      <w:r w:rsidR="005406EC">
        <w:rPr>
          <w:bCs/>
          <w:sz w:val="18"/>
          <w:szCs w:val="18"/>
        </w:rPr>
        <w:t xml:space="preserve"> </w:t>
      </w:r>
      <w:r w:rsidR="00EC4C60">
        <w:rPr>
          <w:bCs/>
          <w:sz w:val="18"/>
          <w:szCs w:val="18"/>
        </w:rPr>
        <w:t>-</w:t>
      </w:r>
      <w:r w:rsidR="009C66A5">
        <w:rPr>
          <w:bCs/>
          <w:sz w:val="18"/>
          <w:szCs w:val="18"/>
        </w:rPr>
        <w:t xml:space="preserve"> </w:t>
      </w:r>
      <w:r w:rsidR="00EC4C60">
        <w:rPr>
          <w:bCs/>
          <w:sz w:val="18"/>
          <w:szCs w:val="18"/>
        </w:rPr>
        <w:t>13,894</w:t>
      </w:r>
      <w:r w:rsidR="003D44D2">
        <w:rPr>
          <w:bCs/>
          <w:sz w:val="18"/>
          <w:szCs w:val="18"/>
        </w:rPr>
        <w:t xml:space="preserve"> (Table </w:t>
      </w:r>
      <w:r w:rsidR="00FE41E2">
        <w:rPr>
          <w:bCs/>
          <w:sz w:val="18"/>
          <w:szCs w:val="18"/>
        </w:rPr>
        <w:t>3</w:t>
      </w:r>
      <w:r w:rsidR="001505DF">
        <w:rPr>
          <w:bCs/>
          <w:sz w:val="18"/>
          <w:szCs w:val="18"/>
        </w:rPr>
        <w:t>8</w:t>
      </w:r>
      <w:r w:rsidR="001E5671">
        <w:rPr>
          <w:bCs/>
          <w:sz w:val="18"/>
          <w:szCs w:val="18"/>
        </w:rPr>
        <w:t>K</w:t>
      </w:r>
      <w:r w:rsidR="003D44D2">
        <w:rPr>
          <w:bCs/>
          <w:sz w:val="18"/>
          <w:szCs w:val="18"/>
        </w:rPr>
        <w:t>)</w:t>
      </w:r>
      <w:r w:rsidR="00A058A3">
        <w:rPr>
          <w:bCs/>
          <w:sz w:val="18"/>
          <w:szCs w:val="18"/>
        </w:rPr>
        <w:t xml:space="preserve"> + 90 (Table 3</w:t>
      </w:r>
      <w:r w:rsidR="001505DF">
        <w:rPr>
          <w:bCs/>
          <w:sz w:val="18"/>
          <w:szCs w:val="18"/>
        </w:rPr>
        <w:t>8</w:t>
      </w:r>
      <w:r w:rsidR="001E5671">
        <w:rPr>
          <w:bCs/>
          <w:sz w:val="18"/>
          <w:szCs w:val="18"/>
        </w:rPr>
        <w:t>I</w:t>
      </w:r>
      <w:r w:rsidR="006D672D">
        <w:rPr>
          <w:bCs/>
          <w:sz w:val="18"/>
          <w:szCs w:val="18"/>
        </w:rPr>
        <w:t>)</w:t>
      </w:r>
    </w:p>
    <w:p w:rsidR="00024F4A" w:rsidP="00E12B53" w:rsidRDefault="00471B0F" w14:paraId="37A2042F" w14:textId="4B0ECF0D">
      <w:pPr>
        <w:rPr>
          <w:b/>
          <w:bCs/>
        </w:rPr>
      </w:pPr>
      <w:r w:rsidRPr="00D66128">
        <w:rPr>
          <w:bCs/>
          <w:sz w:val="18"/>
          <w:szCs w:val="18"/>
        </w:rPr>
        <w:t>**</w:t>
      </w:r>
      <w:r w:rsidR="00BB1347">
        <w:rPr>
          <w:bCs/>
          <w:sz w:val="18"/>
          <w:szCs w:val="18"/>
        </w:rPr>
        <w:t>+</w:t>
      </w:r>
      <w:r w:rsidR="00DE021B">
        <w:rPr>
          <w:bCs/>
          <w:sz w:val="18"/>
          <w:szCs w:val="18"/>
        </w:rPr>
        <w:t>3,</w:t>
      </w:r>
      <w:r w:rsidR="006C30D8">
        <w:rPr>
          <w:bCs/>
          <w:sz w:val="18"/>
          <w:szCs w:val="18"/>
        </w:rPr>
        <w:t>621</w:t>
      </w:r>
      <w:r w:rsidR="00C1021C">
        <w:rPr>
          <w:bCs/>
          <w:sz w:val="18"/>
          <w:szCs w:val="18"/>
        </w:rPr>
        <w:t xml:space="preserve"> </w:t>
      </w:r>
      <w:r w:rsidRPr="00D66128" w:rsidR="0037244A">
        <w:rPr>
          <w:bCs/>
          <w:sz w:val="18"/>
          <w:szCs w:val="18"/>
        </w:rPr>
        <w:t xml:space="preserve">hours </w:t>
      </w:r>
      <w:r w:rsidRPr="00D66128">
        <w:rPr>
          <w:bCs/>
          <w:sz w:val="18"/>
          <w:szCs w:val="18"/>
        </w:rPr>
        <w:t xml:space="preserve">= </w:t>
      </w:r>
      <w:bookmarkStart w:name="_Hlk76639335" w:id="24"/>
      <w:r w:rsidR="00C1021C">
        <w:rPr>
          <w:bCs/>
          <w:sz w:val="18"/>
          <w:szCs w:val="18"/>
        </w:rPr>
        <w:t>57</w:t>
      </w:r>
      <w:r w:rsidRPr="00E06A9A" w:rsidR="00E06A9A">
        <w:rPr>
          <w:bCs/>
          <w:sz w:val="18"/>
          <w:szCs w:val="18"/>
        </w:rPr>
        <w:t xml:space="preserve"> (Table 3</w:t>
      </w:r>
      <w:r w:rsidR="001505DF">
        <w:rPr>
          <w:bCs/>
          <w:sz w:val="18"/>
          <w:szCs w:val="18"/>
        </w:rPr>
        <w:t>8</w:t>
      </w:r>
      <w:r w:rsidRPr="00E06A9A" w:rsidR="00E06A9A">
        <w:rPr>
          <w:bCs/>
          <w:sz w:val="18"/>
          <w:szCs w:val="18"/>
        </w:rPr>
        <w:t xml:space="preserve">A) + </w:t>
      </w:r>
      <w:r w:rsidR="00C1021C">
        <w:rPr>
          <w:bCs/>
          <w:sz w:val="18"/>
          <w:szCs w:val="18"/>
        </w:rPr>
        <w:t xml:space="preserve">30 </w:t>
      </w:r>
      <w:r w:rsidRPr="00E06A9A" w:rsidR="00E06A9A">
        <w:rPr>
          <w:bCs/>
          <w:sz w:val="18"/>
          <w:szCs w:val="18"/>
        </w:rPr>
        <w:t>(Table 3</w:t>
      </w:r>
      <w:r w:rsidR="001505DF">
        <w:rPr>
          <w:bCs/>
          <w:sz w:val="18"/>
          <w:szCs w:val="18"/>
        </w:rPr>
        <w:t>8</w:t>
      </w:r>
      <w:r w:rsidRPr="00E06A9A" w:rsidR="00E06A9A">
        <w:rPr>
          <w:bCs/>
          <w:sz w:val="18"/>
          <w:szCs w:val="18"/>
        </w:rPr>
        <w:t>B) -</w:t>
      </w:r>
      <w:r w:rsidR="001F6A96">
        <w:rPr>
          <w:bCs/>
          <w:sz w:val="18"/>
          <w:szCs w:val="18"/>
        </w:rPr>
        <w:t xml:space="preserve"> </w:t>
      </w:r>
      <w:r w:rsidRPr="00E06A9A" w:rsidR="00E06A9A">
        <w:rPr>
          <w:bCs/>
          <w:sz w:val="18"/>
          <w:szCs w:val="18"/>
        </w:rPr>
        <w:t>409 (Table 3</w:t>
      </w:r>
      <w:r w:rsidR="001505DF">
        <w:rPr>
          <w:bCs/>
          <w:sz w:val="18"/>
          <w:szCs w:val="18"/>
        </w:rPr>
        <w:t>8</w:t>
      </w:r>
      <w:r w:rsidRPr="00E06A9A" w:rsidR="00E06A9A">
        <w:rPr>
          <w:bCs/>
          <w:sz w:val="18"/>
          <w:szCs w:val="18"/>
        </w:rPr>
        <w:t>F) -</w:t>
      </w:r>
      <w:r w:rsidR="00FA220A">
        <w:rPr>
          <w:bCs/>
          <w:sz w:val="18"/>
          <w:szCs w:val="18"/>
        </w:rPr>
        <w:t xml:space="preserve"> </w:t>
      </w:r>
      <w:r w:rsidRPr="00E06A9A" w:rsidR="00E06A9A">
        <w:rPr>
          <w:bCs/>
          <w:sz w:val="18"/>
          <w:szCs w:val="18"/>
        </w:rPr>
        <w:t>528 (Table 3</w:t>
      </w:r>
      <w:r w:rsidR="001505DF">
        <w:rPr>
          <w:bCs/>
          <w:sz w:val="18"/>
          <w:szCs w:val="18"/>
        </w:rPr>
        <w:t>8</w:t>
      </w:r>
      <w:r w:rsidRPr="00E06A9A" w:rsidR="00E06A9A">
        <w:rPr>
          <w:bCs/>
          <w:sz w:val="18"/>
          <w:szCs w:val="18"/>
        </w:rPr>
        <w:t xml:space="preserve">G) + </w:t>
      </w:r>
      <w:r w:rsidR="0000185B">
        <w:rPr>
          <w:bCs/>
          <w:sz w:val="18"/>
          <w:szCs w:val="18"/>
        </w:rPr>
        <w:t>6,845</w:t>
      </w:r>
      <w:r w:rsidRPr="00E06A9A" w:rsidR="00E06A9A">
        <w:rPr>
          <w:bCs/>
          <w:sz w:val="18"/>
          <w:szCs w:val="18"/>
        </w:rPr>
        <w:t xml:space="preserve"> (Table 3</w:t>
      </w:r>
      <w:r w:rsidR="001505DF">
        <w:rPr>
          <w:bCs/>
          <w:sz w:val="18"/>
          <w:szCs w:val="18"/>
        </w:rPr>
        <w:t>8</w:t>
      </w:r>
      <w:r w:rsidRPr="00E06A9A" w:rsidR="00E06A9A">
        <w:rPr>
          <w:bCs/>
          <w:sz w:val="18"/>
          <w:szCs w:val="18"/>
        </w:rPr>
        <w:t>K) +</w:t>
      </w:r>
      <w:r w:rsidR="00FA220A">
        <w:rPr>
          <w:bCs/>
          <w:sz w:val="18"/>
          <w:szCs w:val="18"/>
        </w:rPr>
        <w:t xml:space="preserve"> </w:t>
      </w:r>
      <w:r w:rsidRPr="00E06A9A" w:rsidR="00E06A9A">
        <w:rPr>
          <w:bCs/>
          <w:sz w:val="18"/>
          <w:szCs w:val="18"/>
        </w:rPr>
        <w:t>23 (Table 3</w:t>
      </w:r>
      <w:r w:rsidR="001E5671">
        <w:rPr>
          <w:bCs/>
          <w:sz w:val="18"/>
          <w:szCs w:val="18"/>
        </w:rPr>
        <w:t>8</w:t>
      </w:r>
      <w:r w:rsidRPr="00E06A9A" w:rsidR="00E06A9A">
        <w:rPr>
          <w:bCs/>
          <w:sz w:val="18"/>
          <w:szCs w:val="18"/>
        </w:rPr>
        <w:t>L) -3,474 (Table 3</w:t>
      </w:r>
      <w:r w:rsidR="001E5671">
        <w:rPr>
          <w:bCs/>
          <w:sz w:val="18"/>
          <w:szCs w:val="18"/>
        </w:rPr>
        <w:t>8</w:t>
      </w:r>
      <w:r w:rsidR="000753D5">
        <w:rPr>
          <w:bCs/>
          <w:sz w:val="18"/>
          <w:szCs w:val="18"/>
        </w:rPr>
        <w:t>K</w:t>
      </w:r>
      <w:r w:rsidRPr="00E06A9A" w:rsidR="00E06A9A">
        <w:rPr>
          <w:bCs/>
          <w:sz w:val="18"/>
          <w:szCs w:val="18"/>
        </w:rPr>
        <w:t xml:space="preserve">) + </w:t>
      </w:r>
      <w:r w:rsidR="00E976FA">
        <w:rPr>
          <w:bCs/>
          <w:sz w:val="18"/>
          <w:szCs w:val="18"/>
        </w:rPr>
        <w:t>1,033</w:t>
      </w:r>
      <w:r w:rsidRPr="00E06A9A" w:rsidR="00E06A9A">
        <w:rPr>
          <w:bCs/>
          <w:sz w:val="18"/>
          <w:szCs w:val="18"/>
        </w:rPr>
        <w:t xml:space="preserve"> (Table 3</w:t>
      </w:r>
      <w:r w:rsidR="001E5671">
        <w:rPr>
          <w:bCs/>
          <w:sz w:val="18"/>
          <w:szCs w:val="18"/>
        </w:rPr>
        <w:t>8</w:t>
      </w:r>
      <w:r w:rsidR="007D0AA9">
        <w:rPr>
          <w:bCs/>
          <w:sz w:val="18"/>
          <w:szCs w:val="18"/>
        </w:rPr>
        <w:t>L</w:t>
      </w:r>
      <w:r w:rsidRPr="00E06A9A" w:rsidR="00485488">
        <w:rPr>
          <w:bCs/>
          <w:sz w:val="18"/>
          <w:szCs w:val="18"/>
        </w:rPr>
        <w:t xml:space="preserve">) </w:t>
      </w:r>
      <w:r w:rsidR="00485488">
        <w:rPr>
          <w:bCs/>
          <w:sz w:val="18"/>
          <w:szCs w:val="18"/>
        </w:rPr>
        <w:t xml:space="preserve">+ </w:t>
      </w:r>
      <w:r w:rsidRPr="00E06A9A" w:rsidR="00E06A9A">
        <w:rPr>
          <w:bCs/>
          <w:sz w:val="18"/>
          <w:szCs w:val="18"/>
        </w:rPr>
        <w:t>43 (Table 3</w:t>
      </w:r>
      <w:r w:rsidR="001E5671">
        <w:rPr>
          <w:bCs/>
          <w:sz w:val="18"/>
          <w:szCs w:val="18"/>
        </w:rPr>
        <w:t>8</w:t>
      </w:r>
      <w:r w:rsidR="001300E4">
        <w:rPr>
          <w:bCs/>
          <w:sz w:val="18"/>
          <w:szCs w:val="18"/>
        </w:rPr>
        <w:t>O</w:t>
      </w:r>
      <w:r w:rsidRPr="00E06A9A" w:rsidR="00E06A9A">
        <w:rPr>
          <w:bCs/>
          <w:sz w:val="18"/>
          <w:szCs w:val="18"/>
        </w:rPr>
        <w:t xml:space="preserve">) </w:t>
      </w:r>
      <w:bookmarkEnd w:id="24"/>
    </w:p>
    <w:p w:rsidR="00FD5B7C" w:rsidP="00E53E05" w:rsidRDefault="00542E46" w14:paraId="1CF5DAAB" w14:textId="0E6D0817">
      <w:pPr>
        <w:spacing w:after="0"/>
        <w:rPr>
          <w:rFonts w:eastAsia="Calibri"/>
        </w:rPr>
      </w:pPr>
      <w:r>
        <w:rPr>
          <w:rFonts w:eastAsia="Calibri"/>
        </w:rPr>
        <w:t>As shown above in table 3</w:t>
      </w:r>
      <w:r w:rsidR="00FB55F1">
        <w:rPr>
          <w:rFonts w:eastAsia="Calibri"/>
        </w:rPr>
        <w:t>8</w:t>
      </w:r>
      <w:r>
        <w:rPr>
          <w:rFonts w:eastAsia="Calibri"/>
        </w:rPr>
        <w:t>, t</w:t>
      </w:r>
      <w:r w:rsidRPr="008101FB" w:rsidR="000E4C1F">
        <w:rPr>
          <w:rFonts w:eastAsia="Calibri"/>
        </w:rPr>
        <w:t xml:space="preserve">he </w:t>
      </w:r>
      <w:r w:rsidR="00E06A9A">
        <w:rPr>
          <w:rFonts w:eastAsia="Calibri"/>
        </w:rPr>
        <w:t>decrease of -13,7</w:t>
      </w:r>
      <w:r w:rsidR="008F6744">
        <w:rPr>
          <w:rFonts w:eastAsia="Calibri"/>
        </w:rPr>
        <w:t>75</w:t>
      </w:r>
      <w:r w:rsidRPr="008101FB" w:rsidR="000E4C1F">
        <w:rPr>
          <w:rFonts w:eastAsia="Calibri"/>
        </w:rPr>
        <w:t xml:space="preserve"> responses with a total burden of </w:t>
      </w:r>
      <w:r w:rsidR="00E06A9A">
        <w:rPr>
          <w:rFonts w:eastAsia="Calibri"/>
        </w:rPr>
        <w:t>+3,</w:t>
      </w:r>
      <w:r w:rsidR="008F6744">
        <w:rPr>
          <w:rFonts w:eastAsia="Calibri"/>
        </w:rPr>
        <w:t>62</w:t>
      </w:r>
      <w:r w:rsidR="0062400F">
        <w:rPr>
          <w:rFonts w:eastAsia="Calibri"/>
        </w:rPr>
        <w:t>0</w:t>
      </w:r>
      <w:r w:rsidRPr="008101FB" w:rsidR="000C3495">
        <w:rPr>
          <w:rFonts w:eastAsia="Calibri"/>
        </w:rPr>
        <w:t xml:space="preserve"> hours</w:t>
      </w:r>
      <w:r w:rsidRPr="008101FB" w:rsidR="000E4C1F">
        <w:rPr>
          <w:rFonts w:eastAsia="Calibri"/>
        </w:rPr>
        <w:t xml:space="preserve"> at a cost of </w:t>
      </w:r>
      <w:r w:rsidR="00E06A9A">
        <w:rPr>
          <w:rFonts w:eastAsia="Calibri"/>
        </w:rPr>
        <w:t>+</w:t>
      </w:r>
      <w:r w:rsidRPr="008101FB" w:rsidR="000E4C1F">
        <w:rPr>
          <w:rFonts w:eastAsia="Calibri"/>
        </w:rPr>
        <w:t>$</w:t>
      </w:r>
      <w:r w:rsidR="005859B6">
        <w:rPr>
          <w:rFonts w:eastAsia="Calibri"/>
        </w:rPr>
        <w:t>3</w:t>
      </w:r>
      <w:r w:rsidR="0062400F">
        <w:rPr>
          <w:rFonts w:eastAsia="Calibri"/>
        </w:rPr>
        <w:t>40,778</w:t>
      </w:r>
      <w:r w:rsidR="005859B6">
        <w:rPr>
          <w:rFonts w:eastAsia="Calibri"/>
        </w:rPr>
        <w:t xml:space="preserve"> </w:t>
      </w:r>
      <w:r w:rsidRPr="008101FB" w:rsidR="000E4C1F">
        <w:rPr>
          <w:rFonts w:eastAsia="Calibri"/>
        </w:rPr>
        <w:t>due to new statute</w:t>
      </w:r>
      <w:r w:rsidRPr="008101FB" w:rsidR="000C3495">
        <w:rPr>
          <w:rFonts w:eastAsia="Calibri"/>
        </w:rPr>
        <w:t>s</w:t>
      </w:r>
      <w:r w:rsidRPr="008101FB" w:rsidR="000E4C1F">
        <w:rPr>
          <w:rFonts w:eastAsia="Calibri"/>
        </w:rPr>
        <w:t xml:space="preserve"> (Column B) is due to the</w:t>
      </w:r>
      <w:r w:rsidRPr="008101FB" w:rsidR="00081A5A">
        <w:rPr>
          <w:rFonts w:eastAsia="Calibri"/>
        </w:rPr>
        <w:t xml:space="preserve"> </w:t>
      </w:r>
      <w:r w:rsidR="005859B6">
        <w:rPr>
          <w:rFonts w:eastAsia="Calibri"/>
        </w:rPr>
        <w:t xml:space="preserve">proposed policies </w:t>
      </w:r>
      <w:r w:rsidRPr="008101FB" w:rsidR="000E4C1F">
        <w:rPr>
          <w:rFonts w:eastAsia="Calibri"/>
        </w:rPr>
        <w:t xml:space="preserve">to </w:t>
      </w:r>
      <w:r w:rsidRPr="008101FB" w:rsidR="00DF585F">
        <w:rPr>
          <w:rFonts w:eastAsia="Calibri"/>
        </w:rPr>
        <w:t xml:space="preserve">require QCDRs and qualified </w:t>
      </w:r>
      <w:r w:rsidRPr="007E2942" w:rsidR="000675D6">
        <w:rPr>
          <w:rFonts w:eastAsia="Calibri"/>
        </w:rPr>
        <w:t>registries</w:t>
      </w:r>
      <w:r w:rsidRPr="008101FB" w:rsidR="00DF585F">
        <w:rPr>
          <w:rFonts w:eastAsia="Calibri"/>
        </w:rPr>
        <w:t xml:space="preserve"> to </w:t>
      </w:r>
      <w:r w:rsidR="005859B6">
        <w:rPr>
          <w:rFonts w:eastAsia="Calibri"/>
        </w:rPr>
        <w:t>submit participation plans</w:t>
      </w:r>
      <w:r w:rsidRPr="008101FB" w:rsidR="00B125C6">
        <w:rPr>
          <w:rFonts w:eastAsia="Calibri"/>
        </w:rPr>
        <w:t xml:space="preserve"> if necessary, </w:t>
      </w:r>
      <w:r w:rsidR="00B150FC">
        <w:rPr>
          <w:rFonts w:eastAsia="Calibri"/>
        </w:rPr>
        <w:t xml:space="preserve">the decrease in the </w:t>
      </w:r>
      <w:r w:rsidR="00A27B99">
        <w:rPr>
          <w:rFonts w:eastAsia="Calibri"/>
        </w:rPr>
        <w:t xml:space="preserve">estimated </w:t>
      </w:r>
      <w:r w:rsidR="00B150FC">
        <w:rPr>
          <w:rFonts w:eastAsia="Calibri"/>
        </w:rPr>
        <w:t xml:space="preserve">number of </w:t>
      </w:r>
      <w:r w:rsidR="00A27B99">
        <w:rPr>
          <w:rFonts w:eastAsia="Calibri"/>
        </w:rPr>
        <w:t xml:space="preserve">respondents submitting quality data via the MIPS CQM and </w:t>
      </w:r>
      <w:r w:rsidR="009E2A65">
        <w:rPr>
          <w:rFonts w:eastAsia="Calibri"/>
        </w:rPr>
        <w:t>Q</w:t>
      </w:r>
      <w:r w:rsidR="00A27B99">
        <w:rPr>
          <w:rFonts w:eastAsia="Calibri"/>
        </w:rPr>
        <w:t>CDR collection types due to the proposal to extend the CMS Web Interface as a collection type</w:t>
      </w:r>
      <w:r w:rsidR="009E2A65">
        <w:rPr>
          <w:rFonts w:eastAsia="Calibri"/>
        </w:rPr>
        <w:t xml:space="preserve"> for the CY 2022 MIPS performance period/2024 MIPS payment year, the decrease in the estimated number of respondents submitting quality data via the eCQM collection type due to the proposal to extend the CMS Web Interface as a collection type for the CY 2022 MIPS performance period/2024 MIPS payment year,</w:t>
      </w:r>
      <w:r w:rsidR="00A27B99">
        <w:rPr>
          <w:rFonts w:eastAsia="Calibri"/>
        </w:rPr>
        <w:t xml:space="preserve"> </w:t>
      </w:r>
      <w:r w:rsidR="00EF2058">
        <w:rPr>
          <w:rFonts w:eastAsia="Calibri"/>
        </w:rPr>
        <w:t xml:space="preserve">an increase in the number of respondents </w:t>
      </w:r>
      <w:r w:rsidR="009A64F0">
        <w:rPr>
          <w:rFonts w:eastAsia="Calibri"/>
        </w:rPr>
        <w:t xml:space="preserve">submitting data via the CMS Web Interface collection type, </w:t>
      </w:r>
      <w:r w:rsidR="003A34ED">
        <w:rPr>
          <w:rFonts w:eastAsia="Calibri"/>
        </w:rPr>
        <w:t xml:space="preserve">an increase in the number of respondents registering for the CMS </w:t>
      </w:r>
      <w:r w:rsidR="00985CFA">
        <w:rPr>
          <w:rFonts w:eastAsia="Calibri"/>
        </w:rPr>
        <w:t xml:space="preserve">Web Interface, </w:t>
      </w:r>
      <w:r w:rsidR="004A3C99">
        <w:rPr>
          <w:rFonts w:eastAsia="Calibri"/>
        </w:rPr>
        <w:t>a decrease in the number of respondents submitting reweighting applications due to the proposed policy for automatic reweighting of the Promoting Interoperability performance category for small practices</w:t>
      </w:r>
      <w:r w:rsidR="005227F8">
        <w:rPr>
          <w:rFonts w:eastAsia="Calibri"/>
        </w:rPr>
        <w:t xml:space="preserve">, </w:t>
      </w:r>
      <w:r w:rsidR="006B542D">
        <w:rPr>
          <w:rFonts w:eastAsia="Calibri"/>
        </w:rPr>
        <w:t>the proposed new criteria for nomination of improvement activities</w:t>
      </w:r>
      <w:r w:rsidR="00985CFA">
        <w:rPr>
          <w:rFonts w:eastAsia="Calibri"/>
        </w:rPr>
        <w:t xml:space="preserve">, and the </w:t>
      </w:r>
      <w:r w:rsidR="006D012C">
        <w:rPr>
          <w:rFonts w:eastAsia="Calibri"/>
        </w:rPr>
        <w:t xml:space="preserve">proposed policy </w:t>
      </w:r>
      <w:r w:rsidRPr="00F311D1" w:rsidR="00F311D1">
        <w:rPr>
          <w:rFonts w:eastAsia="Calibri"/>
        </w:rPr>
        <w:t xml:space="preserve">for annual assessment </w:t>
      </w:r>
      <w:r w:rsidR="00F311D1">
        <w:rPr>
          <w:rFonts w:eastAsia="Calibri"/>
        </w:rPr>
        <w:t xml:space="preserve">of </w:t>
      </w:r>
      <w:r w:rsidRPr="00F311D1" w:rsidR="00F311D1">
        <w:rPr>
          <w:rFonts w:eastAsia="Calibri"/>
        </w:rPr>
        <w:t>SAFER Guides requirement</w:t>
      </w:r>
      <w:r w:rsidR="00F311D1">
        <w:rPr>
          <w:rFonts w:eastAsia="Calibri"/>
        </w:rPr>
        <w:t xml:space="preserve"> in the Promoting Interoperability performance category</w:t>
      </w:r>
      <w:r w:rsidR="004A3C99">
        <w:rPr>
          <w:rFonts w:eastAsia="Calibri"/>
        </w:rPr>
        <w:t>.</w:t>
      </w:r>
      <w:r w:rsidRPr="008101FB" w:rsidR="001E4163">
        <w:rPr>
          <w:rFonts w:eastAsia="Calibri"/>
        </w:rPr>
        <w:t xml:space="preserve"> </w:t>
      </w:r>
      <w:r w:rsidRPr="008101FB" w:rsidR="000E4C1F">
        <w:rPr>
          <w:rFonts w:eastAsia="Calibri"/>
        </w:rPr>
        <w:t xml:space="preserve">The remaining changes due to program adjustment (Column D) are entirely due to availability of updated data.  </w:t>
      </w:r>
      <w:bookmarkStart w:name="_Hlk76638718" w:id="25"/>
      <w:r w:rsidRPr="008101FB" w:rsidR="000E4C1F">
        <w:rPr>
          <w:rFonts w:eastAsia="Calibri"/>
        </w:rPr>
        <w:t>Table</w:t>
      </w:r>
      <w:r w:rsidRPr="008101FB" w:rsidR="00B30713">
        <w:rPr>
          <w:rFonts w:eastAsia="Calibri"/>
        </w:rPr>
        <w:t xml:space="preserve"> series </w:t>
      </w:r>
      <w:r w:rsidRPr="008101FB" w:rsidR="00533003">
        <w:rPr>
          <w:rFonts w:eastAsia="Calibri"/>
        </w:rPr>
        <w:t>3</w:t>
      </w:r>
      <w:r w:rsidR="00075892">
        <w:rPr>
          <w:rFonts w:eastAsia="Calibri"/>
        </w:rPr>
        <w:t>8</w:t>
      </w:r>
      <w:r w:rsidRPr="008101FB" w:rsidR="000E4C1F">
        <w:rPr>
          <w:rFonts w:eastAsia="Calibri"/>
        </w:rPr>
        <w:t xml:space="preserve"> below provides additional detail as to the changes in burden for each information collection.</w:t>
      </w:r>
      <w:bookmarkEnd w:id="25"/>
    </w:p>
    <w:p w:rsidR="00423D13" w:rsidP="00136D86" w:rsidRDefault="00B30713" w14:paraId="78987D35" w14:textId="412513F1">
      <w:pPr>
        <w:keepNext/>
        <w:keepLines/>
        <w:jc w:val="center"/>
        <w:rPr>
          <w:b/>
          <w:bCs/>
        </w:rPr>
      </w:pPr>
      <w:r w:rsidRPr="00B30713">
        <w:rPr>
          <w:rFonts w:eastAsia="Calibri"/>
          <w:b/>
          <w:bCs/>
        </w:rPr>
        <w:lastRenderedPageBreak/>
        <w:t xml:space="preserve">TABLE </w:t>
      </w:r>
      <w:r w:rsidR="00C1361E">
        <w:rPr>
          <w:rFonts w:eastAsia="Calibri"/>
          <w:b/>
          <w:bCs/>
        </w:rPr>
        <w:t>3</w:t>
      </w:r>
      <w:r w:rsidR="00075892">
        <w:rPr>
          <w:rFonts w:eastAsia="Calibri"/>
          <w:b/>
          <w:bCs/>
        </w:rPr>
        <w:t>8</w:t>
      </w:r>
      <w:r w:rsidRPr="00B30713">
        <w:rPr>
          <w:rFonts w:eastAsia="Calibri"/>
          <w:b/>
          <w:bCs/>
        </w:rPr>
        <w:t>A: Burden Reconciliation for Qualified Registry Self-Nomination and Other Requirements</w:t>
      </w:r>
    </w:p>
    <w:tbl>
      <w:tblPr>
        <w:tblStyle w:val="TableGrid"/>
        <w:tblW w:w="9355" w:type="dxa"/>
        <w:tblLook w:val="04A0" w:firstRow="1" w:lastRow="0" w:firstColumn="1" w:lastColumn="0" w:noHBand="0" w:noVBand="1"/>
      </w:tblPr>
      <w:tblGrid>
        <w:gridCol w:w="1251"/>
        <w:gridCol w:w="1306"/>
        <w:gridCol w:w="1168"/>
        <w:gridCol w:w="1094"/>
        <w:gridCol w:w="1077"/>
        <w:gridCol w:w="1071"/>
        <w:gridCol w:w="1068"/>
        <w:gridCol w:w="1320"/>
      </w:tblGrid>
      <w:tr w:rsidR="005664AD" w:rsidTr="00D26368" w14:paraId="08112641" w14:textId="77777777">
        <w:trPr>
          <w:tblHeader/>
        </w:trPr>
        <w:tc>
          <w:tcPr>
            <w:tcW w:w="1251" w:type="dxa"/>
          </w:tcPr>
          <w:p w:rsidRPr="00C748DF" w:rsidR="00BB7053" w:rsidP="00136D86" w:rsidRDefault="00BB7053" w14:paraId="573CF526" w14:textId="21432F27">
            <w:pPr>
              <w:keepNext/>
              <w:keepLines/>
              <w:tabs>
                <w:tab w:val="left" w:pos="6030"/>
              </w:tabs>
              <w:spacing w:line="276" w:lineRule="auto"/>
              <w:jc w:val="both"/>
              <w:rPr>
                <w:b/>
                <w:bCs/>
                <w:sz w:val="20"/>
                <w:szCs w:val="20"/>
              </w:rPr>
            </w:pPr>
            <w:r w:rsidRPr="00C748DF">
              <w:rPr>
                <w:b/>
                <w:bCs/>
                <w:sz w:val="20"/>
                <w:szCs w:val="20"/>
              </w:rPr>
              <w:t>Burden Category</w:t>
            </w:r>
          </w:p>
        </w:tc>
        <w:tc>
          <w:tcPr>
            <w:tcW w:w="1306" w:type="dxa"/>
          </w:tcPr>
          <w:p w:rsidRPr="00C748DF" w:rsidR="00BB7053" w:rsidP="00136D86" w:rsidRDefault="00BB7053" w14:paraId="58958B5E" w14:textId="62A9ACF6">
            <w:pPr>
              <w:keepNext/>
              <w:keepLines/>
              <w:tabs>
                <w:tab w:val="left" w:pos="6030"/>
              </w:tabs>
              <w:spacing w:line="276" w:lineRule="auto"/>
              <w:jc w:val="both"/>
              <w:rPr>
                <w:b/>
                <w:bCs/>
                <w:sz w:val="20"/>
                <w:szCs w:val="20"/>
              </w:rPr>
            </w:pPr>
            <w:r w:rsidRPr="00C748DF">
              <w:rPr>
                <w:b/>
                <w:bCs/>
                <w:sz w:val="20"/>
                <w:szCs w:val="20"/>
              </w:rPr>
              <w:t>Total Annual Respondents</w:t>
            </w:r>
          </w:p>
        </w:tc>
        <w:tc>
          <w:tcPr>
            <w:tcW w:w="1168" w:type="dxa"/>
          </w:tcPr>
          <w:p w:rsidRPr="00C748DF" w:rsidR="00BB7053" w:rsidP="00136D86" w:rsidRDefault="00BB7053" w14:paraId="7C1089CF" w14:textId="5707D023">
            <w:pPr>
              <w:keepNext/>
              <w:keepLines/>
              <w:tabs>
                <w:tab w:val="left" w:pos="6030"/>
              </w:tabs>
              <w:spacing w:line="276" w:lineRule="auto"/>
              <w:jc w:val="both"/>
              <w:rPr>
                <w:b/>
                <w:bCs/>
                <w:sz w:val="20"/>
                <w:szCs w:val="20"/>
              </w:rPr>
            </w:pPr>
            <w:r w:rsidRPr="00C748DF">
              <w:rPr>
                <w:b/>
                <w:bCs/>
                <w:sz w:val="20"/>
                <w:szCs w:val="20"/>
              </w:rPr>
              <w:t>Response Frequency (per year)</w:t>
            </w:r>
          </w:p>
        </w:tc>
        <w:tc>
          <w:tcPr>
            <w:tcW w:w="1094" w:type="dxa"/>
          </w:tcPr>
          <w:p w:rsidRPr="00C748DF" w:rsidR="00BB7053" w:rsidP="00136D86" w:rsidRDefault="00BB7053" w14:paraId="2183C349" w14:textId="737A2C8E">
            <w:pPr>
              <w:keepNext/>
              <w:keepLines/>
              <w:tabs>
                <w:tab w:val="left" w:pos="6030"/>
              </w:tabs>
              <w:spacing w:line="276" w:lineRule="auto"/>
              <w:jc w:val="both"/>
              <w:rPr>
                <w:b/>
                <w:bCs/>
                <w:sz w:val="20"/>
                <w:szCs w:val="20"/>
              </w:rPr>
            </w:pPr>
            <w:r w:rsidRPr="00C748DF">
              <w:rPr>
                <w:b/>
                <w:bCs/>
                <w:sz w:val="20"/>
                <w:szCs w:val="20"/>
              </w:rPr>
              <w:t>Total Annual Responses</w:t>
            </w:r>
          </w:p>
        </w:tc>
        <w:tc>
          <w:tcPr>
            <w:tcW w:w="1077" w:type="dxa"/>
          </w:tcPr>
          <w:p w:rsidRPr="00C748DF" w:rsidR="00BB7053" w:rsidP="00136D86" w:rsidRDefault="00BB7053" w14:paraId="56E78F60" w14:textId="54661BE5">
            <w:pPr>
              <w:keepNext/>
              <w:keepLines/>
              <w:tabs>
                <w:tab w:val="left" w:pos="6030"/>
              </w:tabs>
              <w:spacing w:line="276" w:lineRule="auto"/>
              <w:rPr>
                <w:b/>
                <w:bCs/>
                <w:sz w:val="20"/>
                <w:szCs w:val="20"/>
              </w:rPr>
            </w:pPr>
            <w:r w:rsidRPr="00C748DF">
              <w:rPr>
                <w:b/>
                <w:bCs/>
                <w:sz w:val="20"/>
                <w:szCs w:val="20"/>
              </w:rPr>
              <w:t>Time Per Response (hr)</w:t>
            </w:r>
          </w:p>
        </w:tc>
        <w:tc>
          <w:tcPr>
            <w:tcW w:w="1071" w:type="dxa"/>
          </w:tcPr>
          <w:p w:rsidRPr="00C748DF" w:rsidR="00BB7053" w:rsidP="00136D86" w:rsidRDefault="00BB7053" w14:paraId="0C743723" w14:textId="538D8F13">
            <w:pPr>
              <w:keepNext/>
              <w:keepLines/>
              <w:tabs>
                <w:tab w:val="left" w:pos="6030"/>
              </w:tabs>
              <w:spacing w:line="276" w:lineRule="auto"/>
              <w:jc w:val="both"/>
              <w:rPr>
                <w:b/>
                <w:bCs/>
                <w:sz w:val="20"/>
                <w:szCs w:val="20"/>
              </w:rPr>
            </w:pPr>
            <w:r w:rsidRPr="00C748DF">
              <w:rPr>
                <w:b/>
                <w:bCs/>
                <w:sz w:val="20"/>
                <w:szCs w:val="20"/>
              </w:rPr>
              <w:t>Total Annual Time (hr)</w:t>
            </w:r>
          </w:p>
        </w:tc>
        <w:tc>
          <w:tcPr>
            <w:tcW w:w="1068" w:type="dxa"/>
          </w:tcPr>
          <w:p w:rsidRPr="00C748DF" w:rsidR="00BB7053" w:rsidP="00136D86" w:rsidRDefault="00BB7053" w14:paraId="6173E459" w14:textId="46C4B5B7">
            <w:pPr>
              <w:keepNext/>
              <w:keepLines/>
              <w:tabs>
                <w:tab w:val="left" w:pos="6030"/>
              </w:tabs>
              <w:spacing w:line="276" w:lineRule="auto"/>
              <w:jc w:val="both"/>
              <w:rPr>
                <w:b/>
                <w:bCs/>
                <w:sz w:val="20"/>
                <w:szCs w:val="20"/>
              </w:rPr>
            </w:pPr>
            <w:r w:rsidRPr="00C748DF">
              <w:rPr>
                <w:b/>
                <w:bCs/>
                <w:sz w:val="20"/>
                <w:szCs w:val="20"/>
              </w:rPr>
              <w:t>Labor Cost ($/hr)</w:t>
            </w:r>
          </w:p>
        </w:tc>
        <w:tc>
          <w:tcPr>
            <w:tcW w:w="1320" w:type="dxa"/>
          </w:tcPr>
          <w:p w:rsidRPr="00C748DF" w:rsidR="00BB7053" w:rsidP="00136D86" w:rsidRDefault="00BB7053" w14:paraId="360C11BC" w14:textId="23120ABB">
            <w:pPr>
              <w:keepNext/>
              <w:keepLines/>
              <w:tabs>
                <w:tab w:val="left" w:pos="6030"/>
              </w:tabs>
              <w:spacing w:line="276" w:lineRule="auto"/>
              <w:rPr>
                <w:b/>
                <w:bCs/>
                <w:sz w:val="20"/>
                <w:szCs w:val="20"/>
              </w:rPr>
            </w:pPr>
            <w:r w:rsidRPr="00C748DF">
              <w:rPr>
                <w:b/>
                <w:bCs/>
                <w:sz w:val="20"/>
                <w:szCs w:val="20"/>
              </w:rPr>
              <w:t>Total</w:t>
            </w:r>
            <w:r w:rsidRPr="00C748DF" w:rsidR="005664AD">
              <w:rPr>
                <w:b/>
                <w:bCs/>
                <w:sz w:val="20"/>
                <w:szCs w:val="20"/>
              </w:rPr>
              <w:t xml:space="preserve"> </w:t>
            </w:r>
            <w:r w:rsidRPr="00C748DF">
              <w:rPr>
                <w:b/>
                <w:bCs/>
                <w:sz w:val="20"/>
                <w:szCs w:val="20"/>
              </w:rPr>
              <w:t>Annual Cost ($)</w:t>
            </w:r>
          </w:p>
        </w:tc>
      </w:tr>
      <w:tr w:rsidR="005664AD" w:rsidTr="00D26368" w14:paraId="1AB7D727" w14:textId="77777777">
        <w:tc>
          <w:tcPr>
            <w:tcW w:w="1251" w:type="dxa"/>
          </w:tcPr>
          <w:p w:rsidRPr="00BB7053" w:rsidR="00BB7053" w:rsidP="00136D86" w:rsidRDefault="00BB7053" w14:paraId="0A918F2B" w14:textId="3127832E">
            <w:pPr>
              <w:keepNext/>
              <w:keepLines/>
              <w:tabs>
                <w:tab w:val="left" w:pos="6030"/>
              </w:tabs>
              <w:spacing w:line="276" w:lineRule="auto"/>
              <w:jc w:val="both"/>
              <w:rPr>
                <w:sz w:val="20"/>
                <w:szCs w:val="20"/>
              </w:rPr>
            </w:pPr>
            <w:r>
              <w:rPr>
                <w:sz w:val="20"/>
                <w:szCs w:val="20"/>
              </w:rPr>
              <w:t>Currently Approved</w:t>
            </w:r>
            <w:r w:rsidR="00E4635E">
              <w:rPr>
                <w:sz w:val="20"/>
                <w:szCs w:val="20"/>
              </w:rPr>
              <w:t xml:space="preserve"> </w:t>
            </w:r>
            <w:r w:rsidRPr="00E4635E" w:rsidR="00E4635E">
              <w:rPr>
                <w:bCs/>
                <w:sz w:val="20"/>
                <w:szCs w:val="20"/>
              </w:rPr>
              <w:t>(202</w:t>
            </w:r>
            <w:r w:rsidR="009C308B">
              <w:rPr>
                <w:bCs/>
                <w:sz w:val="20"/>
                <w:szCs w:val="20"/>
              </w:rPr>
              <w:t>2</w:t>
            </w:r>
            <w:r w:rsidRPr="00E4635E" w:rsidR="00E4635E">
              <w:rPr>
                <w:bCs/>
                <w:sz w:val="20"/>
                <w:szCs w:val="20"/>
              </w:rPr>
              <w:t xml:space="preserve"> MIPS Performance Period)</w:t>
            </w:r>
          </w:p>
        </w:tc>
        <w:tc>
          <w:tcPr>
            <w:tcW w:w="1306" w:type="dxa"/>
          </w:tcPr>
          <w:p w:rsidRPr="00BB7053" w:rsidR="00BB7053" w:rsidP="00136D86" w:rsidRDefault="005664AD" w14:paraId="0D2E2331" w14:textId="2F3FE697">
            <w:pPr>
              <w:keepNext/>
              <w:keepLines/>
              <w:tabs>
                <w:tab w:val="left" w:pos="6030"/>
              </w:tabs>
              <w:spacing w:line="276" w:lineRule="auto"/>
              <w:jc w:val="right"/>
              <w:rPr>
                <w:sz w:val="20"/>
                <w:szCs w:val="20"/>
              </w:rPr>
            </w:pPr>
            <w:r>
              <w:rPr>
                <w:sz w:val="20"/>
                <w:szCs w:val="20"/>
              </w:rPr>
              <w:t>1</w:t>
            </w:r>
            <w:r w:rsidR="003C5EB6">
              <w:rPr>
                <w:sz w:val="20"/>
                <w:szCs w:val="20"/>
              </w:rPr>
              <w:t>83</w:t>
            </w:r>
          </w:p>
        </w:tc>
        <w:tc>
          <w:tcPr>
            <w:tcW w:w="1168" w:type="dxa"/>
          </w:tcPr>
          <w:p w:rsidRPr="00BB7053" w:rsidR="00BB7053" w:rsidP="00136D86" w:rsidRDefault="005664AD" w14:paraId="3E08B59D" w14:textId="19690F85">
            <w:pPr>
              <w:keepNext/>
              <w:keepLines/>
              <w:tabs>
                <w:tab w:val="left" w:pos="6030"/>
              </w:tabs>
              <w:spacing w:line="276" w:lineRule="auto"/>
              <w:jc w:val="right"/>
              <w:rPr>
                <w:sz w:val="20"/>
                <w:szCs w:val="20"/>
              </w:rPr>
            </w:pPr>
            <w:r>
              <w:rPr>
                <w:sz w:val="20"/>
                <w:szCs w:val="20"/>
              </w:rPr>
              <w:t>1</w:t>
            </w:r>
          </w:p>
        </w:tc>
        <w:tc>
          <w:tcPr>
            <w:tcW w:w="1094" w:type="dxa"/>
          </w:tcPr>
          <w:p w:rsidRPr="00BB7053" w:rsidR="00BB7053" w:rsidP="00136D86" w:rsidRDefault="005664AD" w14:paraId="6F2C2551" w14:textId="417DFE6F">
            <w:pPr>
              <w:keepNext/>
              <w:keepLines/>
              <w:tabs>
                <w:tab w:val="left" w:pos="6030"/>
              </w:tabs>
              <w:spacing w:line="276" w:lineRule="auto"/>
              <w:jc w:val="right"/>
              <w:rPr>
                <w:sz w:val="20"/>
                <w:szCs w:val="20"/>
              </w:rPr>
            </w:pPr>
            <w:r>
              <w:rPr>
                <w:sz w:val="20"/>
                <w:szCs w:val="20"/>
              </w:rPr>
              <w:t>1</w:t>
            </w:r>
            <w:r w:rsidR="003C5EB6">
              <w:rPr>
                <w:sz w:val="20"/>
                <w:szCs w:val="20"/>
              </w:rPr>
              <w:t>83</w:t>
            </w:r>
          </w:p>
        </w:tc>
        <w:tc>
          <w:tcPr>
            <w:tcW w:w="1077" w:type="dxa"/>
          </w:tcPr>
          <w:p w:rsidRPr="00BB7053" w:rsidR="00BB7053" w:rsidP="00136D86" w:rsidRDefault="005664AD" w14:paraId="0BA09A1A" w14:textId="1B8D5C8E">
            <w:pPr>
              <w:keepNext/>
              <w:keepLines/>
              <w:tabs>
                <w:tab w:val="left" w:pos="6030"/>
              </w:tabs>
              <w:spacing w:line="276" w:lineRule="auto"/>
              <w:jc w:val="right"/>
              <w:rPr>
                <w:sz w:val="20"/>
                <w:szCs w:val="20"/>
              </w:rPr>
            </w:pPr>
            <w:r>
              <w:rPr>
                <w:sz w:val="20"/>
                <w:szCs w:val="20"/>
              </w:rPr>
              <w:t>3</w:t>
            </w:r>
          </w:p>
        </w:tc>
        <w:tc>
          <w:tcPr>
            <w:tcW w:w="1071" w:type="dxa"/>
          </w:tcPr>
          <w:p w:rsidRPr="00BB7053" w:rsidR="00BB7053" w:rsidP="00136D86" w:rsidRDefault="003C5EB6" w14:paraId="2B448CB9" w14:textId="1996AF0F">
            <w:pPr>
              <w:keepNext/>
              <w:keepLines/>
              <w:tabs>
                <w:tab w:val="left" w:pos="6030"/>
              </w:tabs>
              <w:spacing w:line="276" w:lineRule="auto"/>
              <w:jc w:val="right"/>
              <w:rPr>
                <w:sz w:val="20"/>
                <w:szCs w:val="20"/>
              </w:rPr>
            </w:pPr>
            <w:r>
              <w:rPr>
                <w:sz w:val="20"/>
                <w:szCs w:val="20"/>
              </w:rPr>
              <w:t>1,139</w:t>
            </w:r>
            <w:r w:rsidR="008245CF">
              <w:rPr>
                <w:sz w:val="20"/>
                <w:szCs w:val="20"/>
              </w:rPr>
              <w:t>*</w:t>
            </w:r>
          </w:p>
        </w:tc>
        <w:tc>
          <w:tcPr>
            <w:tcW w:w="1068" w:type="dxa"/>
          </w:tcPr>
          <w:p w:rsidRPr="00BB7053" w:rsidR="00BB7053" w:rsidP="00136D86" w:rsidRDefault="005664AD" w14:paraId="7FD74E4C" w14:textId="44C697E8">
            <w:pPr>
              <w:keepNext/>
              <w:keepLines/>
              <w:tabs>
                <w:tab w:val="left" w:pos="6030"/>
              </w:tabs>
              <w:spacing w:line="276" w:lineRule="auto"/>
              <w:jc w:val="right"/>
              <w:rPr>
                <w:sz w:val="20"/>
                <w:szCs w:val="20"/>
              </w:rPr>
            </w:pPr>
            <w:r>
              <w:rPr>
                <w:sz w:val="20"/>
                <w:szCs w:val="20"/>
              </w:rPr>
              <w:t>9</w:t>
            </w:r>
            <w:r w:rsidR="003C5EB6">
              <w:rPr>
                <w:sz w:val="20"/>
                <w:szCs w:val="20"/>
              </w:rPr>
              <w:t>5.22</w:t>
            </w:r>
          </w:p>
        </w:tc>
        <w:tc>
          <w:tcPr>
            <w:tcW w:w="1320" w:type="dxa"/>
          </w:tcPr>
          <w:p w:rsidRPr="00BB7053" w:rsidR="00BB7053" w:rsidP="00136D86" w:rsidRDefault="007A4628" w14:paraId="01E3C98D" w14:textId="11BE87BC">
            <w:pPr>
              <w:keepNext/>
              <w:keepLines/>
              <w:tabs>
                <w:tab w:val="left" w:pos="6030"/>
              </w:tabs>
              <w:spacing w:line="276" w:lineRule="auto"/>
              <w:jc w:val="right"/>
              <w:rPr>
                <w:sz w:val="20"/>
                <w:szCs w:val="20"/>
              </w:rPr>
            </w:pPr>
            <w:r>
              <w:rPr>
                <w:sz w:val="20"/>
                <w:szCs w:val="20"/>
              </w:rPr>
              <w:t>108,456</w:t>
            </w:r>
          </w:p>
        </w:tc>
      </w:tr>
      <w:tr w:rsidR="005664AD" w:rsidTr="00D26368" w14:paraId="1FB22BD0" w14:textId="77777777">
        <w:tc>
          <w:tcPr>
            <w:tcW w:w="1251" w:type="dxa"/>
          </w:tcPr>
          <w:p w:rsidR="0047236F" w:rsidP="00192E2E" w:rsidRDefault="00EE08BB" w14:paraId="78A9DA9D" w14:textId="77777777">
            <w:pPr>
              <w:keepNext/>
              <w:keepLines/>
              <w:tabs>
                <w:tab w:val="left" w:pos="6030"/>
              </w:tabs>
              <w:spacing w:line="276" w:lineRule="auto"/>
              <w:rPr>
                <w:sz w:val="20"/>
                <w:szCs w:val="20"/>
              </w:rPr>
            </w:pPr>
            <w:r>
              <w:rPr>
                <w:sz w:val="20"/>
                <w:szCs w:val="20"/>
              </w:rPr>
              <w:t>Proposed</w:t>
            </w:r>
            <w:r w:rsidR="000664EA">
              <w:rPr>
                <w:sz w:val="20"/>
                <w:szCs w:val="20"/>
              </w:rPr>
              <w:t xml:space="preserve"> </w:t>
            </w:r>
          </w:p>
          <w:p w:rsidRPr="00BB7053" w:rsidR="00BB7053" w:rsidP="00192E2E" w:rsidRDefault="0047236F" w14:paraId="19C5BE1A" w14:textId="5E506A23">
            <w:pPr>
              <w:keepNext/>
              <w:keepLines/>
              <w:tabs>
                <w:tab w:val="left" w:pos="6030"/>
              </w:tabs>
              <w:spacing w:line="276" w:lineRule="auto"/>
              <w:rPr>
                <w:sz w:val="20"/>
                <w:szCs w:val="20"/>
              </w:rPr>
            </w:pPr>
            <w:r>
              <w:rPr>
                <w:sz w:val="20"/>
                <w:szCs w:val="20"/>
              </w:rPr>
              <w:t>(2022 MIPS Performance Period)</w:t>
            </w:r>
            <w:r w:rsidR="009E177E">
              <w:rPr>
                <w:sz w:val="20"/>
                <w:szCs w:val="20"/>
              </w:rPr>
              <w:t xml:space="preserve"> </w:t>
            </w:r>
            <w:r w:rsidRPr="00A67FD9" w:rsidR="00A67FD9">
              <w:rPr>
                <w:sz w:val="20"/>
                <w:szCs w:val="20"/>
              </w:rPr>
              <w:t>(See Table 3)</w:t>
            </w:r>
          </w:p>
        </w:tc>
        <w:tc>
          <w:tcPr>
            <w:tcW w:w="1306" w:type="dxa"/>
          </w:tcPr>
          <w:p w:rsidRPr="00BB7053" w:rsidR="00BB7053" w:rsidP="00136D86" w:rsidRDefault="00CD21B5" w14:paraId="521AA823" w14:textId="039BD177">
            <w:pPr>
              <w:keepNext/>
              <w:keepLines/>
              <w:tabs>
                <w:tab w:val="left" w:pos="6030"/>
              </w:tabs>
              <w:spacing w:line="276" w:lineRule="auto"/>
              <w:jc w:val="right"/>
              <w:rPr>
                <w:sz w:val="20"/>
                <w:szCs w:val="20"/>
              </w:rPr>
            </w:pPr>
            <w:r>
              <w:rPr>
                <w:sz w:val="20"/>
                <w:szCs w:val="20"/>
              </w:rPr>
              <w:t>210</w:t>
            </w:r>
          </w:p>
        </w:tc>
        <w:tc>
          <w:tcPr>
            <w:tcW w:w="1168" w:type="dxa"/>
          </w:tcPr>
          <w:p w:rsidRPr="00BB7053" w:rsidR="00BB7053" w:rsidP="001376EC" w:rsidRDefault="00663727" w14:paraId="63B1257F" w14:textId="60B06666">
            <w:pPr>
              <w:keepNext/>
              <w:keepLines/>
              <w:tabs>
                <w:tab w:val="left" w:pos="6030"/>
              </w:tabs>
              <w:spacing w:line="276" w:lineRule="auto"/>
              <w:jc w:val="center"/>
              <w:rPr>
                <w:sz w:val="20"/>
                <w:szCs w:val="20"/>
              </w:rPr>
            </w:pPr>
            <w:r>
              <w:rPr>
                <w:sz w:val="20"/>
                <w:szCs w:val="20"/>
              </w:rPr>
              <w:t xml:space="preserve">                 1</w:t>
            </w:r>
          </w:p>
        </w:tc>
        <w:tc>
          <w:tcPr>
            <w:tcW w:w="1094" w:type="dxa"/>
          </w:tcPr>
          <w:p w:rsidRPr="00BB7053" w:rsidR="00BB7053" w:rsidP="00136D86" w:rsidRDefault="00CD21B5" w14:paraId="1DF870BA" w14:textId="3891237F">
            <w:pPr>
              <w:keepNext/>
              <w:keepLines/>
              <w:tabs>
                <w:tab w:val="left" w:pos="6030"/>
              </w:tabs>
              <w:spacing w:line="276" w:lineRule="auto"/>
              <w:jc w:val="right"/>
              <w:rPr>
                <w:sz w:val="20"/>
                <w:szCs w:val="20"/>
              </w:rPr>
            </w:pPr>
            <w:r>
              <w:rPr>
                <w:sz w:val="20"/>
                <w:szCs w:val="20"/>
              </w:rPr>
              <w:t>210</w:t>
            </w:r>
          </w:p>
        </w:tc>
        <w:tc>
          <w:tcPr>
            <w:tcW w:w="1077" w:type="dxa"/>
          </w:tcPr>
          <w:p w:rsidRPr="00BB7053" w:rsidR="00BB7053" w:rsidP="00136D86" w:rsidRDefault="00CD21B5" w14:paraId="5F093F26" w14:textId="330BA185">
            <w:pPr>
              <w:keepNext/>
              <w:keepLines/>
              <w:tabs>
                <w:tab w:val="left" w:pos="6030"/>
              </w:tabs>
              <w:spacing w:line="276" w:lineRule="auto"/>
              <w:jc w:val="right"/>
              <w:rPr>
                <w:sz w:val="20"/>
                <w:szCs w:val="20"/>
              </w:rPr>
            </w:pPr>
            <w:r>
              <w:rPr>
                <w:sz w:val="20"/>
                <w:szCs w:val="20"/>
              </w:rPr>
              <w:t>2</w:t>
            </w:r>
          </w:p>
        </w:tc>
        <w:tc>
          <w:tcPr>
            <w:tcW w:w="1071" w:type="dxa"/>
          </w:tcPr>
          <w:p w:rsidRPr="00BB7053" w:rsidR="00BB7053" w:rsidP="00136D86" w:rsidRDefault="00BA7CA6" w14:paraId="00C87BC3" w14:textId="604031BF">
            <w:pPr>
              <w:keepNext/>
              <w:keepLines/>
              <w:tabs>
                <w:tab w:val="left" w:pos="6030"/>
              </w:tabs>
              <w:spacing w:line="276" w:lineRule="auto"/>
              <w:jc w:val="right"/>
              <w:rPr>
                <w:sz w:val="20"/>
                <w:szCs w:val="20"/>
              </w:rPr>
            </w:pPr>
            <w:r>
              <w:rPr>
                <w:sz w:val="20"/>
                <w:szCs w:val="20"/>
              </w:rPr>
              <w:t>1,13</w:t>
            </w:r>
            <w:r w:rsidR="00CD21B5">
              <w:rPr>
                <w:sz w:val="20"/>
                <w:szCs w:val="20"/>
              </w:rPr>
              <w:t>7</w:t>
            </w:r>
            <w:r w:rsidR="008245CF">
              <w:rPr>
                <w:sz w:val="20"/>
                <w:szCs w:val="20"/>
              </w:rPr>
              <w:t>*</w:t>
            </w:r>
          </w:p>
        </w:tc>
        <w:tc>
          <w:tcPr>
            <w:tcW w:w="1068" w:type="dxa"/>
          </w:tcPr>
          <w:p w:rsidRPr="00BB7053" w:rsidR="00BB7053" w:rsidP="00136D86" w:rsidRDefault="005664AD" w14:paraId="26408AFC" w14:textId="19C162B3">
            <w:pPr>
              <w:keepNext/>
              <w:keepLines/>
              <w:tabs>
                <w:tab w:val="left" w:pos="6030"/>
              </w:tabs>
              <w:spacing w:line="276" w:lineRule="auto"/>
              <w:jc w:val="right"/>
              <w:rPr>
                <w:sz w:val="20"/>
                <w:szCs w:val="20"/>
              </w:rPr>
            </w:pPr>
            <w:r>
              <w:rPr>
                <w:sz w:val="20"/>
                <w:szCs w:val="20"/>
              </w:rPr>
              <w:t>9</w:t>
            </w:r>
            <w:r w:rsidR="00CD21B5">
              <w:rPr>
                <w:sz w:val="20"/>
                <w:szCs w:val="20"/>
              </w:rPr>
              <w:t>5.22</w:t>
            </w:r>
          </w:p>
        </w:tc>
        <w:tc>
          <w:tcPr>
            <w:tcW w:w="1320" w:type="dxa"/>
          </w:tcPr>
          <w:p w:rsidRPr="00BB7053" w:rsidR="00BB7053" w:rsidP="00136D86" w:rsidRDefault="00BA7CA6" w14:paraId="1520A04B" w14:textId="2AF43F9A">
            <w:pPr>
              <w:keepNext/>
              <w:keepLines/>
              <w:tabs>
                <w:tab w:val="left" w:pos="6030"/>
              </w:tabs>
              <w:spacing w:line="276" w:lineRule="auto"/>
              <w:jc w:val="right"/>
              <w:rPr>
                <w:sz w:val="20"/>
                <w:szCs w:val="20"/>
              </w:rPr>
            </w:pPr>
            <w:r>
              <w:rPr>
                <w:sz w:val="20"/>
                <w:szCs w:val="20"/>
              </w:rPr>
              <w:t>10</w:t>
            </w:r>
            <w:r w:rsidR="0094422C">
              <w:rPr>
                <w:sz w:val="20"/>
                <w:szCs w:val="20"/>
              </w:rPr>
              <w:t>8,266</w:t>
            </w:r>
          </w:p>
        </w:tc>
      </w:tr>
      <w:tr w:rsidR="005664AD" w:rsidTr="00D26368" w14:paraId="63668DB0" w14:textId="77777777">
        <w:tc>
          <w:tcPr>
            <w:tcW w:w="1251" w:type="dxa"/>
            <w:shd w:val="clear" w:color="auto" w:fill="D9D9D9" w:themeFill="background1" w:themeFillShade="D9"/>
          </w:tcPr>
          <w:p w:rsidRPr="00BB7053" w:rsidR="00BB7053" w:rsidP="00136D86" w:rsidRDefault="00BB7053" w14:paraId="11477C21" w14:textId="30EF3211">
            <w:pPr>
              <w:keepNext/>
              <w:keepLines/>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BB7053" w:rsidP="00136D86" w:rsidRDefault="006F5DC1" w14:paraId="7E71CA99" w14:textId="7738B0DD">
            <w:pPr>
              <w:keepNext/>
              <w:keepLines/>
              <w:tabs>
                <w:tab w:val="left" w:pos="6030"/>
              </w:tabs>
              <w:spacing w:line="276" w:lineRule="auto"/>
              <w:jc w:val="right"/>
              <w:rPr>
                <w:sz w:val="20"/>
                <w:szCs w:val="20"/>
              </w:rPr>
            </w:pPr>
            <w:r>
              <w:rPr>
                <w:sz w:val="20"/>
                <w:szCs w:val="20"/>
              </w:rPr>
              <w:t>+</w:t>
            </w:r>
            <w:r w:rsidR="0094422C">
              <w:rPr>
                <w:sz w:val="20"/>
                <w:szCs w:val="20"/>
              </w:rPr>
              <w:t>27</w:t>
            </w:r>
          </w:p>
        </w:tc>
        <w:tc>
          <w:tcPr>
            <w:tcW w:w="1168" w:type="dxa"/>
            <w:shd w:val="clear" w:color="auto" w:fill="D9D9D9" w:themeFill="background1" w:themeFillShade="D9"/>
          </w:tcPr>
          <w:p w:rsidRPr="00BB7053" w:rsidR="00BB7053" w:rsidP="001376EC" w:rsidRDefault="00663727" w14:paraId="6E765883" w14:textId="6A5540ED">
            <w:pPr>
              <w:keepNext/>
              <w:keepLines/>
              <w:tabs>
                <w:tab w:val="left" w:pos="6030"/>
              </w:tabs>
              <w:spacing w:line="276" w:lineRule="auto"/>
              <w:jc w:val="center"/>
              <w:rPr>
                <w:sz w:val="20"/>
                <w:szCs w:val="20"/>
              </w:rPr>
            </w:pPr>
            <w:r>
              <w:rPr>
                <w:sz w:val="20"/>
                <w:szCs w:val="20"/>
              </w:rPr>
              <w:t>No change</w:t>
            </w:r>
          </w:p>
        </w:tc>
        <w:tc>
          <w:tcPr>
            <w:tcW w:w="1094" w:type="dxa"/>
            <w:shd w:val="clear" w:color="auto" w:fill="D9D9D9" w:themeFill="background1" w:themeFillShade="D9"/>
          </w:tcPr>
          <w:p w:rsidRPr="00BB7053" w:rsidR="00BB7053" w:rsidP="00136D86" w:rsidRDefault="00665BBA" w14:paraId="4D2E84A9" w14:textId="155FAA45">
            <w:pPr>
              <w:keepNext/>
              <w:keepLines/>
              <w:tabs>
                <w:tab w:val="left" w:pos="6030"/>
              </w:tabs>
              <w:spacing w:line="276" w:lineRule="auto"/>
              <w:jc w:val="right"/>
              <w:rPr>
                <w:sz w:val="20"/>
                <w:szCs w:val="20"/>
              </w:rPr>
            </w:pPr>
            <w:r>
              <w:rPr>
                <w:sz w:val="20"/>
                <w:szCs w:val="20"/>
              </w:rPr>
              <w:t>+</w:t>
            </w:r>
            <w:r w:rsidR="002A3196">
              <w:rPr>
                <w:sz w:val="20"/>
                <w:szCs w:val="20"/>
              </w:rPr>
              <w:t>27</w:t>
            </w:r>
          </w:p>
        </w:tc>
        <w:tc>
          <w:tcPr>
            <w:tcW w:w="1077" w:type="dxa"/>
            <w:shd w:val="clear" w:color="auto" w:fill="D9D9D9" w:themeFill="background1" w:themeFillShade="D9"/>
          </w:tcPr>
          <w:p w:rsidRPr="00BB7053" w:rsidR="00BB7053" w:rsidP="00136D86" w:rsidRDefault="002A3196" w14:paraId="0CA436F7" w14:textId="1213E127">
            <w:pPr>
              <w:keepNext/>
              <w:keepLines/>
              <w:tabs>
                <w:tab w:val="left" w:pos="6030"/>
              </w:tabs>
              <w:spacing w:line="276" w:lineRule="auto"/>
              <w:jc w:val="right"/>
              <w:rPr>
                <w:sz w:val="20"/>
                <w:szCs w:val="20"/>
              </w:rPr>
            </w:pPr>
            <w:r>
              <w:rPr>
                <w:sz w:val="20"/>
                <w:szCs w:val="20"/>
              </w:rPr>
              <w:t>-1</w:t>
            </w:r>
          </w:p>
        </w:tc>
        <w:tc>
          <w:tcPr>
            <w:tcW w:w="1071" w:type="dxa"/>
            <w:shd w:val="clear" w:color="auto" w:fill="D9D9D9" w:themeFill="background1" w:themeFillShade="D9"/>
          </w:tcPr>
          <w:p w:rsidRPr="00BB7053" w:rsidR="00BB7053" w:rsidP="00136D86" w:rsidRDefault="002A3196" w14:paraId="12DD66F8" w14:textId="1FB13E9B">
            <w:pPr>
              <w:keepNext/>
              <w:keepLines/>
              <w:tabs>
                <w:tab w:val="left" w:pos="6030"/>
              </w:tabs>
              <w:spacing w:line="276" w:lineRule="auto"/>
              <w:jc w:val="right"/>
              <w:rPr>
                <w:sz w:val="20"/>
                <w:szCs w:val="20"/>
              </w:rPr>
            </w:pPr>
            <w:r>
              <w:rPr>
                <w:sz w:val="20"/>
                <w:szCs w:val="20"/>
              </w:rPr>
              <w:t>-2</w:t>
            </w:r>
          </w:p>
        </w:tc>
        <w:tc>
          <w:tcPr>
            <w:tcW w:w="1068" w:type="dxa"/>
            <w:shd w:val="clear" w:color="auto" w:fill="D9D9D9" w:themeFill="background1" w:themeFillShade="D9"/>
          </w:tcPr>
          <w:p w:rsidRPr="00BB7053" w:rsidR="00BB7053" w:rsidP="00136D86" w:rsidRDefault="005664AD" w14:paraId="52C3E546" w14:textId="503F31B9">
            <w:pPr>
              <w:keepNext/>
              <w:keepLines/>
              <w:tabs>
                <w:tab w:val="left" w:pos="6030"/>
              </w:tabs>
              <w:spacing w:line="276" w:lineRule="auto"/>
              <w:jc w:val="right"/>
              <w:rPr>
                <w:sz w:val="20"/>
                <w:szCs w:val="20"/>
              </w:rPr>
            </w:pPr>
            <w:r>
              <w:rPr>
                <w:sz w:val="20"/>
                <w:szCs w:val="20"/>
              </w:rPr>
              <w:t>No change</w:t>
            </w:r>
          </w:p>
        </w:tc>
        <w:tc>
          <w:tcPr>
            <w:tcW w:w="1320" w:type="dxa"/>
            <w:shd w:val="clear" w:color="auto" w:fill="D9D9D9" w:themeFill="background1" w:themeFillShade="D9"/>
          </w:tcPr>
          <w:p w:rsidRPr="00BB7053" w:rsidR="00BB7053" w:rsidP="00136D86" w:rsidRDefault="0048558B" w14:paraId="403F9C93" w14:textId="4DE7FA13">
            <w:pPr>
              <w:keepNext/>
              <w:keepLines/>
              <w:tabs>
                <w:tab w:val="left" w:pos="6030"/>
              </w:tabs>
              <w:spacing w:line="276" w:lineRule="auto"/>
              <w:jc w:val="right"/>
              <w:rPr>
                <w:sz w:val="20"/>
                <w:szCs w:val="20"/>
              </w:rPr>
            </w:pPr>
            <w:r>
              <w:rPr>
                <w:sz w:val="20"/>
                <w:szCs w:val="20"/>
              </w:rPr>
              <w:t>-190</w:t>
            </w:r>
          </w:p>
        </w:tc>
      </w:tr>
    </w:tbl>
    <w:p w:rsidR="00423D13" w:rsidP="00BB7053" w:rsidRDefault="008245CF" w14:paraId="666B6932" w14:textId="11B752CA">
      <w:pPr>
        <w:tabs>
          <w:tab w:val="left" w:pos="6030"/>
        </w:tabs>
        <w:spacing w:line="276" w:lineRule="auto"/>
        <w:jc w:val="both"/>
      </w:pPr>
      <w:r>
        <w:t>*</w:t>
      </w:r>
      <w:r w:rsidRPr="008245CF">
        <w:rPr>
          <w:sz w:val="18"/>
          <w:szCs w:val="18"/>
        </w:rPr>
        <w:t xml:space="preserve"> </w:t>
      </w:r>
      <w:r>
        <w:rPr>
          <w:sz w:val="18"/>
          <w:szCs w:val="18"/>
        </w:rPr>
        <w:t>The additional time needed for some qualified registries to submit targeted audits, participation plans</w:t>
      </w:r>
      <w:r w:rsidR="00B16A4B">
        <w:rPr>
          <w:sz w:val="18"/>
          <w:szCs w:val="18"/>
        </w:rPr>
        <w:t>,</w:t>
      </w:r>
      <w:r>
        <w:rPr>
          <w:sz w:val="18"/>
          <w:szCs w:val="18"/>
        </w:rPr>
        <w:t xml:space="preserve"> and CAPs is included in this total.</w:t>
      </w:r>
    </w:p>
    <w:p w:rsidR="003C6D38" w:rsidP="00715C78" w:rsidRDefault="003C6D38" w14:paraId="116DD3EC" w14:textId="2E3D63D3">
      <w:pPr>
        <w:keepNext/>
        <w:keepLines/>
        <w:jc w:val="center"/>
        <w:rPr>
          <w:b/>
          <w:bCs/>
        </w:rPr>
      </w:pPr>
      <w:r w:rsidRPr="00B30713">
        <w:rPr>
          <w:rFonts w:eastAsia="Calibri"/>
          <w:b/>
          <w:bCs/>
        </w:rPr>
        <w:t xml:space="preserve">TABLE </w:t>
      </w:r>
      <w:r w:rsidR="00C1361E">
        <w:rPr>
          <w:rFonts w:eastAsia="Calibri"/>
          <w:b/>
          <w:bCs/>
        </w:rPr>
        <w:t>3</w:t>
      </w:r>
      <w:r w:rsidR="00756646">
        <w:rPr>
          <w:rFonts w:eastAsia="Calibri"/>
          <w:b/>
          <w:bCs/>
        </w:rPr>
        <w:t>8</w:t>
      </w:r>
      <w:r w:rsidR="00885183">
        <w:rPr>
          <w:rFonts w:eastAsia="Calibri"/>
          <w:b/>
          <w:bCs/>
        </w:rPr>
        <w:t>B</w:t>
      </w:r>
      <w:r w:rsidRPr="00B30713">
        <w:rPr>
          <w:rFonts w:eastAsia="Calibri"/>
          <w:b/>
          <w:bCs/>
        </w:rPr>
        <w:t xml:space="preserve">: Burden Reconciliation for </w:t>
      </w:r>
      <w:r w:rsidRPr="00AD1106" w:rsidR="00AD1106">
        <w:rPr>
          <w:rFonts w:eastAsia="Calibri"/>
          <w:b/>
          <w:bCs/>
        </w:rPr>
        <w:t>QCDR Self-Nomination and other Requirements</w:t>
      </w:r>
    </w:p>
    <w:tbl>
      <w:tblPr>
        <w:tblStyle w:val="TableGrid"/>
        <w:tblW w:w="9445" w:type="dxa"/>
        <w:tblLook w:val="04A0" w:firstRow="1" w:lastRow="0" w:firstColumn="1" w:lastColumn="0" w:noHBand="0" w:noVBand="1"/>
      </w:tblPr>
      <w:tblGrid>
        <w:gridCol w:w="1251"/>
        <w:gridCol w:w="1306"/>
        <w:gridCol w:w="1168"/>
        <w:gridCol w:w="1094"/>
        <w:gridCol w:w="1077"/>
        <w:gridCol w:w="1071"/>
        <w:gridCol w:w="1068"/>
        <w:gridCol w:w="1410"/>
      </w:tblGrid>
      <w:tr w:rsidR="003C6D38" w:rsidTr="00D26368" w14:paraId="2DE1A8E0" w14:textId="77777777">
        <w:trPr>
          <w:tblHeader/>
        </w:trPr>
        <w:tc>
          <w:tcPr>
            <w:tcW w:w="1251" w:type="dxa"/>
          </w:tcPr>
          <w:p w:rsidRPr="00DF4016" w:rsidR="003C6D38" w:rsidP="00715C78" w:rsidRDefault="003C6D38" w14:paraId="3D67C613" w14:textId="77777777">
            <w:pPr>
              <w:keepNext/>
              <w:keepLines/>
              <w:tabs>
                <w:tab w:val="left" w:pos="6030"/>
              </w:tabs>
              <w:spacing w:line="276" w:lineRule="auto"/>
              <w:jc w:val="both"/>
              <w:rPr>
                <w:b/>
                <w:bCs/>
                <w:sz w:val="20"/>
                <w:szCs w:val="20"/>
              </w:rPr>
            </w:pPr>
            <w:r w:rsidRPr="00DF4016">
              <w:rPr>
                <w:b/>
                <w:bCs/>
                <w:sz w:val="20"/>
                <w:szCs w:val="20"/>
              </w:rPr>
              <w:t>Burden Category</w:t>
            </w:r>
          </w:p>
        </w:tc>
        <w:tc>
          <w:tcPr>
            <w:tcW w:w="1306" w:type="dxa"/>
          </w:tcPr>
          <w:p w:rsidRPr="00DF4016" w:rsidR="003C6D38" w:rsidP="00715C78" w:rsidRDefault="003C6D38" w14:paraId="5126895D" w14:textId="77777777">
            <w:pPr>
              <w:keepNext/>
              <w:keepLines/>
              <w:tabs>
                <w:tab w:val="left" w:pos="6030"/>
              </w:tabs>
              <w:spacing w:line="276" w:lineRule="auto"/>
              <w:jc w:val="both"/>
              <w:rPr>
                <w:b/>
                <w:bCs/>
                <w:sz w:val="20"/>
                <w:szCs w:val="20"/>
              </w:rPr>
            </w:pPr>
            <w:r w:rsidRPr="00DF4016">
              <w:rPr>
                <w:b/>
                <w:bCs/>
                <w:sz w:val="20"/>
                <w:szCs w:val="20"/>
              </w:rPr>
              <w:t>Total Annual Respondents</w:t>
            </w:r>
          </w:p>
        </w:tc>
        <w:tc>
          <w:tcPr>
            <w:tcW w:w="1168" w:type="dxa"/>
          </w:tcPr>
          <w:p w:rsidRPr="00DF4016" w:rsidR="003C6D38" w:rsidP="00715C78" w:rsidRDefault="003C6D38" w14:paraId="4E70930B" w14:textId="77777777">
            <w:pPr>
              <w:keepNext/>
              <w:keepLines/>
              <w:tabs>
                <w:tab w:val="left" w:pos="6030"/>
              </w:tabs>
              <w:spacing w:line="276" w:lineRule="auto"/>
              <w:jc w:val="both"/>
              <w:rPr>
                <w:b/>
                <w:bCs/>
                <w:sz w:val="20"/>
                <w:szCs w:val="20"/>
              </w:rPr>
            </w:pPr>
            <w:r w:rsidRPr="00DF4016">
              <w:rPr>
                <w:b/>
                <w:bCs/>
                <w:sz w:val="20"/>
                <w:szCs w:val="20"/>
              </w:rPr>
              <w:t>Response Frequency (per year)</w:t>
            </w:r>
          </w:p>
        </w:tc>
        <w:tc>
          <w:tcPr>
            <w:tcW w:w="1094" w:type="dxa"/>
          </w:tcPr>
          <w:p w:rsidRPr="00DF4016" w:rsidR="003C6D38" w:rsidP="00715C78" w:rsidRDefault="003C6D38" w14:paraId="4FC5FA2A" w14:textId="77777777">
            <w:pPr>
              <w:keepNext/>
              <w:keepLines/>
              <w:tabs>
                <w:tab w:val="left" w:pos="6030"/>
              </w:tabs>
              <w:spacing w:line="276" w:lineRule="auto"/>
              <w:jc w:val="both"/>
              <w:rPr>
                <w:b/>
                <w:bCs/>
                <w:sz w:val="20"/>
                <w:szCs w:val="20"/>
              </w:rPr>
            </w:pPr>
            <w:r w:rsidRPr="00DF4016">
              <w:rPr>
                <w:b/>
                <w:bCs/>
                <w:sz w:val="20"/>
                <w:szCs w:val="20"/>
              </w:rPr>
              <w:t>Total Annual Responses</w:t>
            </w:r>
          </w:p>
        </w:tc>
        <w:tc>
          <w:tcPr>
            <w:tcW w:w="1077" w:type="dxa"/>
          </w:tcPr>
          <w:p w:rsidRPr="00DF4016" w:rsidR="003C6D38" w:rsidP="00715C78" w:rsidRDefault="003C6D38" w14:paraId="791B100B" w14:textId="77777777">
            <w:pPr>
              <w:keepNext/>
              <w:keepLines/>
              <w:tabs>
                <w:tab w:val="left" w:pos="6030"/>
              </w:tabs>
              <w:spacing w:line="276" w:lineRule="auto"/>
              <w:rPr>
                <w:b/>
                <w:bCs/>
                <w:sz w:val="20"/>
                <w:szCs w:val="20"/>
              </w:rPr>
            </w:pPr>
            <w:r w:rsidRPr="00DF4016">
              <w:rPr>
                <w:b/>
                <w:bCs/>
                <w:sz w:val="20"/>
                <w:szCs w:val="20"/>
              </w:rPr>
              <w:t>Time Per Response (hr)</w:t>
            </w:r>
          </w:p>
        </w:tc>
        <w:tc>
          <w:tcPr>
            <w:tcW w:w="1071" w:type="dxa"/>
          </w:tcPr>
          <w:p w:rsidRPr="00DF4016" w:rsidR="003C6D38" w:rsidP="00715C78" w:rsidRDefault="003C6D38" w14:paraId="1E4380B1" w14:textId="77777777">
            <w:pPr>
              <w:keepNext/>
              <w:keepLines/>
              <w:tabs>
                <w:tab w:val="left" w:pos="6030"/>
              </w:tabs>
              <w:spacing w:line="276" w:lineRule="auto"/>
              <w:jc w:val="both"/>
              <w:rPr>
                <w:b/>
                <w:bCs/>
                <w:sz w:val="20"/>
                <w:szCs w:val="20"/>
              </w:rPr>
            </w:pPr>
            <w:r w:rsidRPr="00DF4016">
              <w:rPr>
                <w:b/>
                <w:bCs/>
                <w:sz w:val="20"/>
                <w:szCs w:val="20"/>
              </w:rPr>
              <w:t>Total Annual Time (hr)</w:t>
            </w:r>
          </w:p>
        </w:tc>
        <w:tc>
          <w:tcPr>
            <w:tcW w:w="1068" w:type="dxa"/>
          </w:tcPr>
          <w:p w:rsidRPr="00DF4016" w:rsidR="003C6D38" w:rsidP="00715C78" w:rsidRDefault="003C6D38" w14:paraId="1EACC22C" w14:textId="77777777">
            <w:pPr>
              <w:keepNext/>
              <w:keepLines/>
              <w:tabs>
                <w:tab w:val="left" w:pos="6030"/>
              </w:tabs>
              <w:spacing w:line="276" w:lineRule="auto"/>
              <w:jc w:val="both"/>
              <w:rPr>
                <w:b/>
                <w:bCs/>
                <w:sz w:val="20"/>
                <w:szCs w:val="20"/>
              </w:rPr>
            </w:pPr>
            <w:r w:rsidRPr="00DF4016">
              <w:rPr>
                <w:b/>
                <w:bCs/>
                <w:sz w:val="20"/>
                <w:szCs w:val="20"/>
              </w:rPr>
              <w:t>Labor Cost ($/hr)</w:t>
            </w:r>
          </w:p>
        </w:tc>
        <w:tc>
          <w:tcPr>
            <w:tcW w:w="1410" w:type="dxa"/>
          </w:tcPr>
          <w:p w:rsidRPr="00DF4016" w:rsidR="003C6D38" w:rsidP="00715C78" w:rsidRDefault="003C6D38" w14:paraId="64A1CA7A" w14:textId="77777777">
            <w:pPr>
              <w:keepNext/>
              <w:keepLines/>
              <w:tabs>
                <w:tab w:val="left" w:pos="6030"/>
              </w:tabs>
              <w:spacing w:line="276" w:lineRule="auto"/>
              <w:rPr>
                <w:b/>
                <w:bCs/>
                <w:sz w:val="20"/>
                <w:szCs w:val="20"/>
              </w:rPr>
            </w:pPr>
            <w:r w:rsidRPr="00DF4016">
              <w:rPr>
                <w:b/>
                <w:bCs/>
                <w:sz w:val="20"/>
                <w:szCs w:val="20"/>
              </w:rPr>
              <w:t>Total Annual Cost ($)</w:t>
            </w:r>
          </w:p>
        </w:tc>
      </w:tr>
      <w:tr w:rsidR="00DD286B" w:rsidTr="00D26368" w14:paraId="0BEC95A6" w14:textId="77777777">
        <w:tc>
          <w:tcPr>
            <w:tcW w:w="1251" w:type="dxa"/>
          </w:tcPr>
          <w:p w:rsidRPr="00BB7053" w:rsidR="00DD286B" w:rsidP="00715C78" w:rsidRDefault="00DD286B" w14:paraId="45186B32" w14:textId="24562C7B">
            <w:pPr>
              <w:keepNext/>
              <w:keepLines/>
              <w:tabs>
                <w:tab w:val="left" w:pos="6030"/>
              </w:tabs>
              <w:spacing w:line="276" w:lineRule="auto"/>
              <w:jc w:val="both"/>
              <w:rPr>
                <w:sz w:val="20"/>
                <w:szCs w:val="20"/>
              </w:rPr>
            </w:pPr>
            <w:r>
              <w:rPr>
                <w:sz w:val="20"/>
                <w:szCs w:val="20"/>
              </w:rPr>
              <w:t>Currently Approved</w:t>
            </w:r>
            <w:r w:rsidR="00E4635E">
              <w:rPr>
                <w:sz w:val="20"/>
                <w:szCs w:val="20"/>
              </w:rPr>
              <w:t xml:space="preserve"> </w:t>
            </w:r>
            <w:r w:rsidRPr="00E4635E" w:rsidR="00E4635E">
              <w:rPr>
                <w:bCs/>
                <w:sz w:val="20"/>
                <w:szCs w:val="20"/>
              </w:rPr>
              <w:t>(202</w:t>
            </w:r>
            <w:r w:rsidR="005255DD">
              <w:rPr>
                <w:bCs/>
                <w:sz w:val="20"/>
                <w:szCs w:val="20"/>
              </w:rPr>
              <w:t>2</w:t>
            </w:r>
            <w:r w:rsidRPr="00E4635E" w:rsidR="00E4635E">
              <w:rPr>
                <w:bCs/>
                <w:sz w:val="20"/>
                <w:szCs w:val="20"/>
              </w:rPr>
              <w:t xml:space="preserve"> MIPS Performance Period)</w:t>
            </w:r>
          </w:p>
        </w:tc>
        <w:tc>
          <w:tcPr>
            <w:tcW w:w="1306" w:type="dxa"/>
          </w:tcPr>
          <w:p w:rsidRPr="00BB7053" w:rsidR="00DD286B" w:rsidP="00715C78" w:rsidRDefault="0048558B" w14:paraId="54D5447D" w14:textId="3B3D24D5">
            <w:pPr>
              <w:keepNext/>
              <w:keepLines/>
              <w:tabs>
                <w:tab w:val="left" w:pos="6030"/>
              </w:tabs>
              <w:spacing w:line="276" w:lineRule="auto"/>
              <w:jc w:val="right"/>
              <w:rPr>
                <w:sz w:val="20"/>
                <w:szCs w:val="20"/>
              </w:rPr>
            </w:pPr>
            <w:r>
              <w:rPr>
                <w:sz w:val="20"/>
                <w:szCs w:val="20"/>
              </w:rPr>
              <w:t>82</w:t>
            </w:r>
          </w:p>
        </w:tc>
        <w:tc>
          <w:tcPr>
            <w:tcW w:w="1168" w:type="dxa"/>
          </w:tcPr>
          <w:p w:rsidRPr="00BB7053" w:rsidR="00DD286B" w:rsidP="00715C78" w:rsidRDefault="00DD286B" w14:paraId="14B15BC2" w14:textId="16ABCE87">
            <w:pPr>
              <w:keepNext/>
              <w:keepLines/>
              <w:tabs>
                <w:tab w:val="left" w:pos="6030"/>
              </w:tabs>
              <w:spacing w:line="276" w:lineRule="auto"/>
              <w:jc w:val="right"/>
              <w:rPr>
                <w:sz w:val="20"/>
                <w:szCs w:val="20"/>
              </w:rPr>
            </w:pPr>
            <w:r>
              <w:rPr>
                <w:sz w:val="20"/>
                <w:szCs w:val="20"/>
              </w:rPr>
              <w:t>1</w:t>
            </w:r>
          </w:p>
        </w:tc>
        <w:tc>
          <w:tcPr>
            <w:tcW w:w="1094" w:type="dxa"/>
          </w:tcPr>
          <w:p w:rsidRPr="00BB7053" w:rsidR="00DD286B" w:rsidP="00715C78" w:rsidRDefault="00373AF4" w14:paraId="7319EDFA" w14:textId="068A2C2B">
            <w:pPr>
              <w:keepNext/>
              <w:keepLines/>
              <w:tabs>
                <w:tab w:val="left" w:pos="6030"/>
              </w:tabs>
              <w:spacing w:line="276" w:lineRule="auto"/>
              <w:jc w:val="right"/>
              <w:rPr>
                <w:sz w:val="20"/>
                <w:szCs w:val="20"/>
              </w:rPr>
            </w:pPr>
            <w:r>
              <w:rPr>
                <w:sz w:val="20"/>
                <w:szCs w:val="20"/>
              </w:rPr>
              <w:t>82</w:t>
            </w:r>
          </w:p>
        </w:tc>
        <w:tc>
          <w:tcPr>
            <w:tcW w:w="1077" w:type="dxa"/>
          </w:tcPr>
          <w:p w:rsidRPr="00BB7053" w:rsidR="00DD286B" w:rsidP="00715C78" w:rsidRDefault="00DD286B" w14:paraId="44CB7B1E" w14:textId="76A0F1EB">
            <w:pPr>
              <w:keepNext/>
              <w:keepLines/>
              <w:tabs>
                <w:tab w:val="left" w:pos="6030"/>
              </w:tabs>
              <w:spacing w:line="276" w:lineRule="auto"/>
              <w:jc w:val="right"/>
              <w:rPr>
                <w:sz w:val="20"/>
                <w:szCs w:val="20"/>
              </w:rPr>
            </w:pPr>
            <w:r>
              <w:rPr>
                <w:sz w:val="20"/>
                <w:szCs w:val="20"/>
              </w:rPr>
              <w:t>8</w:t>
            </w:r>
          </w:p>
        </w:tc>
        <w:tc>
          <w:tcPr>
            <w:tcW w:w="1071" w:type="dxa"/>
          </w:tcPr>
          <w:p w:rsidRPr="00BB7053" w:rsidR="00DD286B" w:rsidP="00715C78" w:rsidRDefault="0048558B" w14:paraId="4D3F0BEF" w14:textId="33BAC630">
            <w:pPr>
              <w:keepNext/>
              <w:keepLines/>
              <w:tabs>
                <w:tab w:val="left" w:pos="6030"/>
              </w:tabs>
              <w:spacing w:line="276" w:lineRule="auto"/>
              <w:jc w:val="right"/>
              <w:rPr>
                <w:sz w:val="20"/>
                <w:szCs w:val="20"/>
              </w:rPr>
            </w:pPr>
            <w:r>
              <w:rPr>
                <w:sz w:val="20"/>
                <w:szCs w:val="20"/>
              </w:rPr>
              <w:t>826</w:t>
            </w:r>
          </w:p>
        </w:tc>
        <w:tc>
          <w:tcPr>
            <w:tcW w:w="1068" w:type="dxa"/>
          </w:tcPr>
          <w:p w:rsidRPr="00BB7053" w:rsidR="00DD286B" w:rsidP="00715C78" w:rsidRDefault="00DD286B" w14:paraId="06B9A818" w14:textId="1F51EBDE">
            <w:pPr>
              <w:keepNext/>
              <w:keepLines/>
              <w:tabs>
                <w:tab w:val="left" w:pos="6030"/>
              </w:tabs>
              <w:spacing w:line="276" w:lineRule="auto"/>
              <w:jc w:val="right"/>
              <w:rPr>
                <w:sz w:val="20"/>
                <w:szCs w:val="20"/>
              </w:rPr>
            </w:pPr>
            <w:r>
              <w:rPr>
                <w:sz w:val="20"/>
                <w:szCs w:val="20"/>
              </w:rPr>
              <w:t>9</w:t>
            </w:r>
            <w:r w:rsidR="0048558B">
              <w:rPr>
                <w:sz w:val="20"/>
                <w:szCs w:val="20"/>
              </w:rPr>
              <w:t>5.22</w:t>
            </w:r>
          </w:p>
        </w:tc>
        <w:tc>
          <w:tcPr>
            <w:tcW w:w="1410" w:type="dxa"/>
          </w:tcPr>
          <w:p w:rsidRPr="00BB7053" w:rsidR="00DD286B" w:rsidP="00715C78" w:rsidRDefault="00DC5F0D" w14:paraId="1B725326" w14:textId="24D2619E">
            <w:pPr>
              <w:keepNext/>
              <w:keepLines/>
              <w:tabs>
                <w:tab w:val="left" w:pos="6030"/>
              </w:tabs>
              <w:spacing w:line="276" w:lineRule="auto"/>
              <w:jc w:val="right"/>
              <w:rPr>
                <w:sz w:val="20"/>
                <w:szCs w:val="20"/>
              </w:rPr>
            </w:pPr>
            <w:r>
              <w:rPr>
                <w:sz w:val="20"/>
                <w:szCs w:val="20"/>
              </w:rPr>
              <w:t>78,652</w:t>
            </w:r>
          </w:p>
        </w:tc>
      </w:tr>
      <w:tr w:rsidR="00DD286B" w:rsidTr="00D26368" w14:paraId="3B546B42" w14:textId="77777777">
        <w:tc>
          <w:tcPr>
            <w:tcW w:w="1251" w:type="dxa"/>
          </w:tcPr>
          <w:p w:rsidRPr="00BB7053" w:rsidR="00DD286B" w:rsidP="00192E2E" w:rsidRDefault="00EE08BB" w14:paraId="0E35C7AA" w14:textId="18F52E59">
            <w:pPr>
              <w:keepNext/>
              <w:keepLines/>
              <w:tabs>
                <w:tab w:val="left" w:pos="6030"/>
              </w:tabs>
              <w:spacing w:line="276" w:lineRule="auto"/>
              <w:rPr>
                <w:sz w:val="20"/>
                <w:szCs w:val="20"/>
              </w:rPr>
            </w:pPr>
            <w:r>
              <w:rPr>
                <w:sz w:val="20"/>
                <w:szCs w:val="20"/>
              </w:rPr>
              <w:t>Proposed</w:t>
            </w:r>
            <w:r w:rsidR="003429B1">
              <w:rPr>
                <w:sz w:val="20"/>
                <w:szCs w:val="20"/>
              </w:rPr>
              <w:t xml:space="preserve"> (2022 MIPS Performance Period)</w:t>
            </w:r>
            <w:r w:rsidR="00A67FD9">
              <w:rPr>
                <w:sz w:val="20"/>
                <w:szCs w:val="20"/>
              </w:rPr>
              <w:t xml:space="preserve"> </w:t>
            </w:r>
            <w:r w:rsidRPr="00A67FD9" w:rsidR="00A67FD9">
              <w:rPr>
                <w:sz w:val="20"/>
                <w:szCs w:val="20"/>
              </w:rPr>
              <w:t>(See Table 4)</w:t>
            </w:r>
          </w:p>
        </w:tc>
        <w:tc>
          <w:tcPr>
            <w:tcW w:w="1306" w:type="dxa"/>
          </w:tcPr>
          <w:p w:rsidRPr="00BB7053" w:rsidR="00DD286B" w:rsidP="00715C78" w:rsidRDefault="0048558B" w14:paraId="40398DBD" w14:textId="78AF7DB0">
            <w:pPr>
              <w:keepNext/>
              <w:keepLines/>
              <w:tabs>
                <w:tab w:val="left" w:pos="6030"/>
              </w:tabs>
              <w:spacing w:line="276" w:lineRule="auto"/>
              <w:jc w:val="right"/>
              <w:rPr>
                <w:sz w:val="20"/>
                <w:szCs w:val="20"/>
              </w:rPr>
            </w:pPr>
            <w:r>
              <w:rPr>
                <w:sz w:val="20"/>
                <w:szCs w:val="20"/>
              </w:rPr>
              <w:t>90</w:t>
            </w:r>
          </w:p>
        </w:tc>
        <w:tc>
          <w:tcPr>
            <w:tcW w:w="1168" w:type="dxa"/>
          </w:tcPr>
          <w:p w:rsidRPr="00BB7053" w:rsidR="00DD286B" w:rsidP="00715C78" w:rsidRDefault="00DD286B" w14:paraId="7AFF6259" w14:textId="2CB01981">
            <w:pPr>
              <w:keepNext/>
              <w:keepLines/>
              <w:tabs>
                <w:tab w:val="left" w:pos="6030"/>
              </w:tabs>
              <w:spacing w:line="276" w:lineRule="auto"/>
              <w:jc w:val="right"/>
              <w:rPr>
                <w:sz w:val="20"/>
                <w:szCs w:val="20"/>
              </w:rPr>
            </w:pPr>
            <w:r>
              <w:rPr>
                <w:sz w:val="20"/>
                <w:szCs w:val="20"/>
              </w:rPr>
              <w:t>1</w:t>
            </w:r>
          </w:p>
        </w:tc>
        <w:tc>
          <w:tcPr>
            <w:tcW w:w="1094" w:type="dxa"/>
          </w:tcPr>
          <w:p w:rsidRPr="00BB7053" w:rsidR="00DD286B" w:rsidP="00715C78" w:rsidRDefault="0048558B" w14:paraId="326CF69B" w14:textId="7F75CB9C">
            <w:pPr>
              <w:keepNext/>
              <w:keepLines/>
              <w:tabs>
                <w:tab w:val="left" w:pos="6030"/>
              </w:tabs>
              <w:spacing w:line="276" w:lineRule="auto"/>
              <w:jc w:val="right"/>
              <w:rPr>
                <w:sz w:val="20"/>
                <w:szCs w:val="20"/>
              </w:rPr>
            </w:pPr>
            <w:r>
              <w:rPr>
                <w:sz w:val="20"/>
                <w:szCs w:val="20"/>
              </w:rPr>
              <w:t>90</w:t>
            </w:r>
          </w:p>
        </w:tc>
        <w:tc>
          <w:tcPr>
            <w:tcW w:w="1077" w:type="dxa"/>
          </w:tcPr>
          <w:p w:rsidRPr="00BB7053" w:rsidR="00DD286B" w:rsidP="00715C78" w:rsidRDefault="0048558B" w14:paraId="193D5EF8" w14:textId="6511177B">
            <w:pPr>
              <w:keepNext/>
              <w:keepLines/>
              <w:tabs>
                <w:tab w:val="left" w:pos="6030"/>
              </w:tabs>
              <w:spacing w:line="276" w:lineRule="auto"/>
              <w:jc w:val="right"/>
              <w:rPr>
                <w:sz w:val="20"/>
                <w:szCs w:val="20"/>
              </w:rPr>
            </w:pPr>
            <w:r>
              <w:rPr>
                <w:sz w:val="20"/>
                <w:szCs w:val="20"/>
              </w:rPr>
              <w:t>11.5</w:t>
            </w:r>
          </w:p>
        </w:tc>
        <w:tc>
          <w:tcPr>
            <w:tcW w:w="1071" w:type="dxa"/>
          </w:tcPr>
          <w:p w:rsidRPr="00BB7053" w:rsidR="00DD286B" w:rsidP="00715C78" w:rsidRDefault="00A4046A" w14:paraId="62710E95" w14:textId="5BBEB49B">
            <w:pPr>
              <w:keepNext/>
              <w:keepLines/>
              <w:tabs>
                <w:tab w:val="left" w:pos="6030"/>
              </w:tabs>
              <w:spacing w:line="276" w:lineRule="auto"/>
              <w:jc w:val="right"/>
              <w:rPr>
                <w:sz w:val="20"/>
                <w:szCs w:val="20"/>
              </w:rPr>
            </w:pPr>
            <w:r>
              <w:rPr>
                <w:sz w:val="20"/>
                <w:szCs w:val="20"/>
              </w:rPr>
              <w:t>1265</w:t>
            </w:r>
          </w:p>
        </w:tc>
        <w:tc>
          <w:tcPr>
            <w:tcW w:w="1068" w:type="dxa"/>
          </w:tcPr>
          <w:p w:rsidRPr="00BB7053" w:rsidR="00DD286B" w:rsidP="00715C78" w:rsidRDefault="00DD286B" w14:paraId="264956B4" w14:textId="3E237FDE">
            <w:pPr>
              <w:keepNext/>
              <w:keepLines/>
              <w:tabs>
                <w:tab w:val="left" w:pos="6030"/>
              </w:tabs>
              <w:spacing w:line="276" w:lineRule="auto"/>
              <w:jc w:val="right"/>
              <w:rPr>
                <w:sz w:val="20"/>
                <w:szCs w:val="20"/>
              </w:rPr>
            </w:pPr>
            <w:r>
              <w:rPr>
                <w:sz w:val="20"/>
                <w:szCs w:val="20"/>
              </w:rPr>
              <w:t>9</w:t>
            </w:r>
            <w:r w:rsidR="00A4046A">
              <w:rPr>
                <w:sz w:val="20"/>
                <w:szCs w:val="20"/>
              </w:rPr>
              <w:t>5.22</w:t>
            </w:r>
          </w:p>
        </w:tc>
        <w:tc>
          <w:tcPr>
            <w:tcW w:w="1410" w:type="dxa"/>
          </w:tcPr>
          <w:p w:rsidRPr="00BB7053" w:rsidR="00DD286B" w:rsidP="00715C78" w:rsidRDefault="002C2326" w14:paraId="668FF26F" w14:textId="72ED2E27">
            <w:pPr>
              <w:keepNext/>
              <w:keepLines/>
              <w:tabs>
                <w:tab w:val="left" w:pos="6030"/>
              </w:tabs>
              <w:spacing w:line="276" w:lineRule="auto"/>
              <w:jc w:val="right"/>
              <w:rPr>
                <w:sz w:val="20"/>
                <w:szCs w:val="20"/>
              </w:rPr>
            </w:pPr>
            <w:r>
              <w:rPr>
                <w:sz w:val="20"/>
                <w:szCs w:val="20"/>
              </w:rPr>
              <w:t>120,454</w:t>
            </w:r>
          </w:p>
        </w:tc>
      </w:tr>
      <w:tr w:rsidR="00EE08BB" w:rsidTr="00D26368" w14:paraId="2D4E4EE2" w14:textId="77777777">
        <w:tc>
          <w:tcPr>
            <w:tcW w:w="1251" w:type="dxa"/>
            <w:shd w:val="clear" w:color="auto" w:fill="D9D9D9" w:themeFill="background1" w:themeFillShade="D9"/>
          </w:tcPr>
          <w:p w:rsidRPr="00BB7053" w:rsidR="00DD286B" w:rsidP="00715C78" w:rsidRDefault="00DD286B" w14:paraId="30A3A223" w14:textId="77777777">
            <w:pPr>
              <w:keepNext/>
              <w:keepLines/>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DD286B" w:rsidP="00715C78" w:rsidRDefault="00373AF4" w14:paraId="108FE66B" w14:textId="10108B74">
            <w:pPr>
              <w:keepNext/>
              <w:keepLines/>
              <w:tabs>
                <w:tab w:val="left" w:pos="6030"/>
              </w:tabs>
              <w:spacing w:line="276" w:lineRule="auto"/>
              <w:jc w:val="right"/>
              <w:rPr>
                <w:sz w:val="20"/>
                <w:szCs w:val="20"/>
              </w:rPr>
            </w:pPr>
            <w:r>
              <w:rPr>
                <w:sz w:val="20"/>
                <w:szCs w:val="20"/>
              </w:rPr>
              <w:t>+</w:t>
            </w:r>
            <w:r w:rsidR="004C5857">
              <w:rPr>
                <w:sz w:val="20"/>
                <w:szCs w:val="20"/>
              </w:rPr>
              <w:t>8</w:t>
            </w:r>
          </w:p>
        </w:tc>
        <w:tc>
          <w:tcPr>
            <w:tcW w:w="1168" w:type="dxa"/>
            <w:shd w:val="clear" w:color="auto" w:fill="D9D9D9" w:themeFill="background1" w:themeFillShade="D9"/>
          </w:tcPr>
          <w:p w:rsidRPr="00BB7053" w:rsidR="00DD286B" w:rsidP="00715C78" w:rsidRDefault="00DD286B" w14:paraId="7B875835" w14:textId="367AD47F">
            <w:pPr>
              <w:keepNext/>
              <w:keepLines/>
              <w:tabs>
                <w:tab w:val="left" w:pos="6030"/>
              </w:tabs>
              <w:spacing w:line="276" w:lineRule="auto"/>
              <w:jc w:val="right"/>
              <w:rPr>
                <w:sz w:val="20"/>
                <w:szCs w:val="20"/>
              </w:rPr>
            </w:pPr>
            <w:r w:rsidRPr="00224344">
              <w:rPr>
                <w:sz w:val="20"/>
                <w:szCs w:val="20"/>
              </w:rPr>
              <w:t>No change</w:t>
            </w:r>
          </w:p>
        </w:tc>
        <w:tc>
          <w:tcPr>
            <w:tcW w:w="1094" w:type="dxa"/>
            <w:shd w:val="clear" w:color="auto" w:fill="D9D9D9" w:themeFill="background1" w:themeFillShade="D9"/>
          </w:tcPr>
          <w:p w:rsidRPr="00BB7053" w:rsidR="00DD286B" w:rsidP="00715C78" w:rsidRDefault="00373AF4" w14:paraId="124FD215" w14:textId="65C2893A">
            <w:pPr>
              <w:keepNext/>
              <w:keepLines/>
              <w:tabs>
                <w:tab w:val="left" w:pos="6030"/>
              </w:tabs>
              <w:spacing w:line="276" w:lineRule="auto"/>
              <w:jc w:val="right"/>
              <w:rPr>
                <w:sz w:val="20"/>
                <w:szCs w:val="20"/>
              </w:rPr>
            </w:pPr>
            <w:r>
              <w:rPr>
                <w:sz w:val="20"/>
                <w:szCs w:val="20"/>
              </w:rPr>
              <w:t>+</w:t>
            </w:r>
            <w:r w:rsidR="004C5857">
              <w:rPr>
                <w:sz w:val="20"/>
                <w:szCs w:val="20"/>
              </w:rPr>
              <w:t>8</w:t>
            </w:r>
          </w:p>
        </w:tc>
        <w:tc>
          <w:tcPr>
            <w:tcW w:w="1077" w:type="dxa"/>
            <w:shd w:val="clear" w:color="auto" w:fill="D9D9D9" w:themeFill="background1" w:themeFillShade="D9"/>
          </w:tcPr>
          <w:p w:rsidRPr="00BB7053" w:rsidR="00DD286B" w:rsidP="00715C78" w:rsidRDefault="004C5857" w14:paraId="1B3B279A" w14:textId="731756BA">
            <w:pPr>
              <w:keepNext/>
              <w:keepLines/>
              <w:tabs>
                <w:tab w:val="left" w:pos="6030"/>
              </w:tabs>
              <w:spacing w:line="276" w:lineRule="auto"/>
              <w:jc w:val="right"/>
              <w:rPr>
                <w:sz w:val="20"/>
                <w:szCs w:val="20"/>
              </w:rPr>
            </w:pPr>
            <w:r>
              <w:rPr>
                <w:sz w:val="20"/>
                <w:szCs w:val="20"/>
              </w:rPr>
              <w:t>+3.5</w:t>
            </w:r>
          </w:p>
        </w:tc>
        <w:tc>
          <w:tcPr>
            <w:tcW w:w="1071" w:type="dxa"/>
            <w:shd w:val="clear" w:color="auto" w:fill="D9D9D9" w:themeFill="background1" w:themeFillShade="D9"/>
          </w:tcPr>
          <w:p w:rsidRPr="00BB7053" w:rsidR="00DD286B" w:rsidP="00715C78" w:rsidRDefault="000F598C" w14:paraId="476B0CB9" w14:textId="6167038C">
            <w:pPr>
              <w:keepNext/>
              <w:keepLines/>
              <w:tabs>
                <w:tab w:val="left" w:pos="6030"/>
              </w:tabs>
              <w:spacing w:line="276" w:lineRule="auto"/>
              <w:jc w:val="right"/>
              <w:rPr>
                <w:sz w:val="20"/>
                <w:szCs w:val="20"/>
              </w:rPr>
            </w:pPr>
            <w:r>
              <w:rPr>
                <w:sz w:val="20"/>
                <w:szCs w:val="20"/>
              </w:rPr>
              <w:t>+</w:t>
            </w:r>
            <w:r w:rsidR="00396BE2">
              <w:rPr>
                <w:sz w:val="20"/>
                <w:szCs w:val="20"/>
              </w:rPr>
              <w:t>439</w:t>
            </w:r>
          </w:p>
        </w:tc>
        <w:tc>
          <w:tcPr>
            <w:tcW w:w="1068" w:type="dxa"/>
            <w:shd w:val="clear" w:color="auto" w:fill="D9D9D9" w:themeFill="background1" w:themeFillShade="D9"/>
          </w:tcPr>
          <w:p w:rsidRPr="00BB7053" w:rsidR="00DD286B" w:rsidP="00715C78" w:rsidRDefault="00DD286B" w14:paraId="70D3DD83" w14:textId="17352B62">
            <w:pPr>
              <w:keepNext/>
              <w:keepLines/>
              <w:tabs>
                <w:tab w:val="left" w:pos="6030"/>
              </w:tabs>
              <w:spacing w:line="276" w:lineRule="auto"/>
              <w:jc w:val="right"/>
              <w:rPr>
                <w:sz w:val="20"/>
                <w:szCs w:val="20"/>
              </w:rPr>
            </w:pPr>
            <w:r w:rsidRPr="00224344">
              <w:rPr>
                <w:sz w:val="20"/>
                <w:szCs w:val="20"/>
              </w:rPr>
              <w:t>No change</w:t>
            </w:r>
          </w:p>
        </w:tc>
        <w:tc>
          <w:tcPr>
            <w:tcW w:w="1410" w:type="dxa"/>
            <w:shd w:val="clear" w:color="auto" w:fill="D9D9D9" w:themeFill="background1" w:themeFillShade="D9"/>
          </w:tcPr>
          <w:p w:rsidRPr="00BB7053" w:rsidR="00DD286B" w:rsidP="00715C78" w:rsidRDefault="000F598C" w14:paraId="0AE5CF4C" w14:textId="47FFF3F1">
            <w:pPr>
              <w:keepNext/>
              <w:keepLines/>
              <w:tabs>
                <w:tab w:val="left" w:pos="6030"/>
              </w:tabs>
              <w:spacing w:line="276" w:lineRule="auto"/>
              <w:jc w:val="right"/>
              <w:rPr>
                <w:sz w:val="20"/>
                <w:szCs w:val="20"/>
              </w:rPr>
            </w:pPr>
            <w:r>
              <w:rPr>
                <w:sz w:val="20"/>
                <w:szCs w:val="20"/>
              </w:rPr>
              <w:t>+</w:t>
            </w:r>
            <w:r w:rsidR="00045C28">
              <w:rPr>
                <w:sz w:val="20"/>
                <w:szCs w:val="20"/>
              </w:rPr>
              <w:t>41,802</w:t>
            </w:r>
          </w:p>
        </w:tc>
      </w:tr>
    </w:tbl>
    <w:p w:rsidR="003C6D38" w:rsidP="00BB7053" w:rsidRDefault="003C6D38" w14:paraId="2C714B98" w14:textId="3034F763">
      <w:pPr>
        <w:tabs>
          <w:tab w:val="left" w:pos="6030"/>
        </w:tabs>
        <w:spacing w:line="276" w:lineRule="auto"/>
        <w:jc w:val="both"/>
      </w:pPr>
    </w:p>
    <w:p w:rsidR="003C6D38" w:rsidP="0053664A" w:rsidRDefault="003C6D38" w14:paraId="4DCBEB02" w14:textId="0F8C7B87">
      <w:pPr>
        <w:keepNext/>
        <w:keepLines/>
        <w:jc w:val="center"/>
        <w:rPr>
          <w:b/>
          <w:bCs/>
        </w:rPr>
      </w:pPr>
      <w:r w:rsidRPr="00B30713">
        <w:rPr>
          <w:rFonts w:eastAsia="Calibri"/>
          <w:b/>
          <w:bCs/>
        </w:rPr>
        <w:t xml:space="preserve">TABLE </w:t>
      </w:r>
      <w:r w:rsidR="00C1361E">
        <w:rPr>
          <w:rFonts w:eastAsia="Calibri"/>
          <w:b/>
          <w:bCs/>
        </w:rPr>
        <w:t>3</w:t>
      </w:r>
      <w:r w:rsidR="00756646">
        <w:rPr>
          <w:rFonts w:eastAsia="Calibri"/>
          <w:b/>
          <w:bCs/>
        </w:rPr>
        <w:t>8</w:t>
      </w:r>
      <w:r w:rsidR="00EB72E5">
        <w:rPr>
          <w:rFonts w:eastAsia="Calibri"/>
          <w:b/>
          <w:bCs/>
        </w:rPr>
        <w:t>C</w:t>
      </w:r>
      <w:r w:rsidRPr="00B30713">
        <w:rPr>
          <w:rFonts w:eastAsia="Calibri"/>
          <w:b/>
          <w:bCs/>
        </w:rPr>
        <w:t xml:space="preserve">: Burden Reconciliation for </w:t>
      </w:r>
      <w:r w:rsidRPr="00EB72E5" w:rsidR="00EB72E5">
        <w:rPr>
          <w:rFonts w:eastAsia="Calibri"/>
          <w:b/>
          <w:bCs/>
        </w:rPr>
        <w:t>Open Authorization Credentialing and Token Request Process</w:t>
      </w:r>
    </w:p>
    <w:tbl>
      <w:tblPr>
        <w:tblStyle w:val="TableGrid"/>
        <w:tblW w:w="9445" w:type="dxa"/>
        <w:tblLook w:val="04A0" w:firstRow="1" w:lastRow="0" w:firstColumn="1" w:lastColumn="0" w:noHBand="0" w:noVBand="1"/>
      </w:tblPr>
      <w:tblGrid>
        <w:gridCol w:w="1252"/>
        <w:gridCol w:w="1306"/>
        <w:gridCol w:w="1168"/>
        <w:gridCol w:w="1094"/>
        <w:gridCol w:w="1077"/>
        <w:gridCol w:w="1071"/>
        <w:gridCol w:w="1068"/>
        <w:gridCol w:w="1409"/>
      </w:tblGrid>
      <w:tr w:rsidR="003C6D38" w:rsidTr="00D26368" w14:paraId="79EAA177" w14:textId="77777777">
        <w:trPr>
          <w:tblHeader/>
        </w:trPr>
        <w:tc>
          <w:tcPr>
            <w:tcW w:w="1252" w:type="dxa"/>
          </w:tcPr>
          <w:p w:rsidRPr="00DF4016" w:rsidR="003C6D38" w:rsidP="0053664A" w:rsidRDefault="003C6D38" w14:paraId="23037C47" w14:textId="77777777">
            <w:pPr>
              <w:keepNext/>
              <w:keepLines/>
              <w:tabs>
                <w:tab w:val="left" w:pos="6030"/>
              </w:tabs>
              <w:spacing w:line="276" w:lineRule="auto"/>
              <w:jc w:val="both"/>
              <w:rPr>
                <w:b/>
                <w:bCs/>
                <w:sz w:val="20"/>
                <w:szCs w:val="20"/>
              </w:rPr>
            </w:pPr>
            <w:r w:rsidRPr="00DF4016">
              <w:rPr>
                <w:b/>
                <w:bCs/>
                <w:sz w:val="20"/>
                <w:szCs w:val="20"/>
              </w:rPr>
              <w:t>Burden Category</w:t>
            </w:r>
          </w:p>
        </w:tc>
        <w:tc>
          <w:tcPr>
            <w:tcW w:w="1306" w:type="dxa"/>
          </w:tcPr>
          <w:p w:rsidRPr="00DF4016" w:rsidR="003C6D38" w:rsidP="0053664A" w:rsidRDefault="003C6D38" w14:paraId="57C36D62" w14:textId="77777777">
            <w:pPr>
              <w:keepNext/>
              <w:keepLines/>
              <w:tabs>
                <w:tab w:val="left" w:pos="6030"/>
              </w:tabs>
              <w:spacing w:line="276" w:lineRule="auto"/>
              <w:jc w:val="both"/>
              <w:rPr>
                <w:b/>
                <w:bCs/>
                <w:sz w:val="20"/>
                <w:szCs w:val="20"/>
              </w:rPr>
            </w:pPr>
            <w:r w:rsidRPr="00DF4016">
              <w:rPr>
                <w:b/>
                <w:bCs/>
                <w:sz w:val="20"/>
                <w:szCs w:val="20"/>
              </w:rPr>
              <w:t>Total Annual Respondents</w:t>
            </w:r>
          </w:p>
        </w:tc>
        <w:tc>
          <w:tcPr>
            <w:tcW w:w="1168" w:type="dxa"/>
          </w:tcPr>
          <w:p w:rsidRPr="00DF4016" w:rsidR="003C6D38" w:rsidP="0053664A" w:rsidRDefault="003C6D38" w14:paraId="7F482E47" w14:textId="77777777">
            <w:pPr>
              <w:keepNext/>
              <w:keepLines/>
              <w:tabs>
                <w:tab w:val="left" w:pos="6030"/>
              </w:tabs>
              <w:spacing w:line="276" w:lineRule="auto"/>
              <w:jc w:val="both"/>
              <w:rPr>
                <w:b/>
                <w:bCs/>
                <w:sz w:val="20"/>
                <w:szCs w:val="20"/>
              </w:rPr>
            </w:pPr>
            <w:r w:rsidRPr="00DF4016">
              <w:rPr>
                <w:b/>
                <w:bCs/>
                <w:sz w:val="20"/>
                <w:szCs w:val="20"/>
              </w:rPr>
              <w:t>Response Frequency (per year)</w:t>
            </w:r>
          </w:p>
        </w:tc>
        <w:tc>
          <w:tcPr>
            <w:tcW w:w="1094" w:type="dxa"/>
          </w:tcPr>
          <w:p w:rsidRPr="00DF4016" w:rsidR="003C6D38" w:rsidP="0053664A" w:rsidRDefault="003C6D38" w14:paraId="0F24464B" w14:textId="77777777">
            <w:pPr>
              <w:keepNext/>
              <w:keepLines/>
              <w:tabs>
                <w:tab w:val="left" w:pos="6030"/>
              </w:tabs>
              <w:spacing w:line="276" w:lineRule="auto"/>
              <w:jc w:val="both"/>
              <w:rPr>
                <w:b/>
                <w:bCs/>
                <w:sz w:val="20"/>
                <w:szCs w:val="20"/>
              </w:rPr>
            </w:pPr>
            <w:r w:rsidRPr="00DF4016">
              <w:rPr>
                <w:b/>
                <w:bCs/>
                <w:sz w:val="20"/>
                <w:szCs w:val="20"/>
              </w:rPr>
              <w:t>Total Annual Responses</w:t>
            </w:r>
          </w:p>
        </w:tc>
        <w:tc>
          <w:tcPr>
            <w:tcW w:w="1077" w:type="dxa"/>
          </w:tcPr>
          <w:p w:rsidRPr="00DF4016" w:rsidR="003C6D38" w:rsidP="0053664A" w:rsidRDefault="003C6D38" w14:paraId="7DA95F51" w14:textId="77777777">
            <w:pPr>
              <w:keepNext/>
              <w:keepLines/>
              <w:tabs>
                <w:tab w:val="left" w:pos="6030"/>
              </w:tabs>
              <w:spacing w:line="276" w:lineRule="auto"/>
              <w:rPr>
                <w:b/>
                <w:bCs/>
                <w:sz w:val="20"/>
                <w:szCs w:val="20"/>
              </w:rPr>
            </w:pPr>
            <w:r w:rsidRPr="00DF4016">
              <w:rPr>
                <w:b/>
                <w:bCs/>
                <w:sz w:val="20"/>
                <w:szCs w:val="20"/>
              </w:rPr>
              <w:t>Time Per Response (hr)</w:t>
            </w:r>
          </w:p>
        </w:tc>
        <w:tc>
          <w:tcPr>
            <w:tcW w:w="1071" w:type="dxa"/>
          </w:tcPr>
          <w:p w:rsidRPr="00DF4016" w:rsidR="003C6D38" w:rsidP="0053664A" w:rsidRDefault="003C6D38" w14:paraId="65BAAFD8" w14:textId="77777777">
            <w:pPr>
              <w:keepNext/>
              <w:keepLines/>
              <w:tabs>
                <w:tab w:val="left" w:pos="6030"/>
              </w:tabs>
              <w:spacing w:line="276" w:lineRule="auto"/>
              <w:jc w:val="both"/>
              <w:rPr>
                <w:b/>
                <w:bCs/>
                <w:sz w:val="20"/>
                <w:szCs w:val="20"/>
              </w:rPr>
            </w:pPr>
            <w:r w:rsidRPr="00DF4016">
              <w:rPr>
                <w:b/>
                <w:bCs/>
                <w:sz w:val="20"/>
                <w:szCs w:val="20"/>
              </w:rPr>
              <w:t>Total Annual Time (hr)</w:t>
            </w:r>
          </w:p>
        </w:tc>
        <w:tc>
          <w:tcPr>
            <w:tcW w:w="1068" w:type="dxa"/>
          </w:tcPr>
          <w:p w:rsidRPr="00DF4016" w:rsidR="003C6D38" w:rsidP="0053664A" w:rsidRDefault="003C6D38" w14:paraId="45F8D067" w14:textId="77777777">
            <w:pPr>
              <w:keepNext/>
              <w:keepLines/>
              <w:tabs>
                <w:tab w:val="left" w:pos="6030"/>
              </w:tabs>
              <w:spacing w:line="276" w:lineRule="auto"/>
              <w:jc w:val="both"/>
              <w:rPr>
                <w:b/>
                <w:bCs/>
                <w:sz w:val="20"/>
                <w:szCs w:val="20"/>
              </w:rPr>
            </w:pPr>
            <w:r w:rsidRPr="00DF4016">
              <w:rPr>
                <w:b/>
                <w:bCs/>
                <w:sz w:val="20"/>
                <w:szCs w:val="20"/>
              </w:rPr>
              <w:t>Labor Cost ($/hr)</w:t>
            </w:r>
          </w:p>
        </w:tc>
        <w:tc>
          <w:tcPr>
            <w:tcW w:w="1409" w:type="dxa"/>
          </w:tcPr>
          <w:p w:rsidRPr="00DF4016" w:rsidR="003C6D38" w:rsidP="0053664A" w:rsidRDefault="003C6D38" w14:paraId="755FDE93" w14:textId="77777777">
            <w:pPr>
              <w:keepNext/>
              <w:keepLines/>
              <w:tabs>
                <w:tab w:val="left" w:pos="6030"/>
              </w:tabs>
              <w:spacing w:line="276" w:lineRule="auto"/>
              <w:rPr>
                <w:b/>
                <w:bCs/>
                <w:sz w:val="20"/>
                <w:szCs w:val="20"/>
              </w:rPr>
            </w:pPr>
            <w:r w:rsidRPr="00DF4016">
              <w:rPr>
                <w:b/>
                <w:bCs/>
                <w:sz w:val="20"/>
                <w:szCs w:val="20"/>
              </w:rPr>
              <w:t>Total Annual Cost ($)</w:t>
            </w:r>
          </w:p>
        </w:tc>
      </w:tr>
      <w:tr w:rsidR="003A343F" w:rsidTr="00D26368" w14:paraId="6C074F10" w14:textId="77777777">
        <w:tc>
          <w:tcPr>
            <w:tcW w:w="1252" w:type="dxa"/>
          </w:tcPr>
          <w:p w:rsidRPr="00BB7053" w:rsidR="003A343F" w:rsidP="003A343F" w:rsidRDefault="003A343F" w14:paraId="39413A02" w14:textId="3E8DD873">
            <w:pPr>
              <w:tabs>
                <w:tab w:val="left" w:pos="6030"/>
              </w:tabs>
              <w:spacing w:line="276" w:lineRule="auto"/>
              <w:jc w:val="both"/>
              <w:rPr>
                <w:sz w:val="20"/>
                <w:szCs w:val="20"/>
              </w:rPr>
            </w:pPr>
            <w:r>
              <w:rPr>
                <w:sz w:val="20"/>
                <w:szCs w:val="20"/>
              </w:rPr>
              <w:t>Currently Approved</w:t>
            </w:r>
            <w:r w:rsidR="00E4635E">
              <w:rPr>
                <w:sz w:val="20"/>
                <w:szCs w:val="20"/>
              </w:rPr>
              <w:t xml:space="preserve"> </w:t>
            </w:r>
            <w:r w:rsidRPr="00E4635E" w:rsidR="00E4635E">
              <w:rPr>
                <w:bCs/>
                <w:sz w:val="20"/>
                <w:szCs w:val="20"/>
              </w:rPr>
              <w:t>(202</w:t>
            </w:r>
            <w:r w:rsidR="005255DD">
              <w:rPr>
                <w:bCs/>
                <w:sz w:val="20"/>
                <w:szCs w:val="20"/>
              </w:rPr>
              <w:t>2</w:t>
            </w:r>
            <w:r w:rsidRPr="00E4635E" w:rsidR="00E4635E">
              <w:rPr>
                <w:bCs/>
                <w:sz w:val="20"/>
                <w:szCs w:val="20"/>
              </w:rPr>
              <w:t xml:space="preserve"> MIPS </w:t>
            </w:r>
            <w:r w:rsidRPr="00E4635E" w:rsidR="00E4635E">
              <w:rPr>
                <w:bCs/>
                <w:sz w:val="20"/>
                <w:szCs w:val="20"/>
              </w:rPr>
              <w:lastRenderedPageBreak/>
              <w:t>Performance Period)</w:t>
            </w:r>
          </w:p>
        </w:tc>
        <w:tc>
          <w:tcPr>
            <w:tcW w:w="1306" w:type="dxa"/>
          </w:tcPr>
          <w:p w:rsidRPr="00BB7053" w:rsidR="003A343F" w:rsidP="003A343F" w:rsidRDefault="000A7F22" w14:paraId="165B283C" w14:textId="0A964365">
            <w:pPr>
              <w:tabs>
                <w:tab w:val="left" w:pos="6030"/>
              </w:tabs>
              <w:spacing w:line="276" w:lineRule="auto"/>
              <w:jc w:val="right"/>
              <w:rPr>
                <w:sz w:val="20"/>
                <w:szCs w:val="20"/>
              </w:rPr>
            </w:pPr>
            <w:r>
              <w:rPr>
                <w:sz w:val="20"/>
                <w:szCs w:val="20"/>
              </w:rPr>
              <w:lastRenderedPageBreak/>
              <w:t>15</w:t>
            </w:r>
          </w:p>
        </w:tc>
        <w:tc>
          <w:tcPr>
            <w:tcW w:w="1168" w:type="dxa"/>
          </w:tcPr>
          <w:p w:rsidRPr="00BB7053" w:rsidR="003A343F" w:rsidP="003A343F" w:rsidRDefault="000A7F22" w14:paraId="4223408A" w14:textId="41A42467">
            <w:pPr>
              <w:tabs>
                <w:tab w:val="left" w:pos="6030"/>
              </w:tabs>
              <w:spacing w:line="276" w:lineRule="auto"/>
              <w:jc w:val="right"/>
              <w:rPr>
                <w:sz w:val="20"/>
                <w:szCs w:val="20"/>
              </w:rPr>
            </w:pPr>
            <w:r>
              <w:rPr>
                <w:sz w:val="20"/>
                <w:szCs w:val="20"/>
              </w:rPr>
              <w:t>1</w:t>
            </w:r>
          </w:p>
        </w:tc>
        <w:tc>
          <w:tcPr>
            <w:tcW w:w="1094" w:type="dxa"/>
          </w:tcPr>
          <w:p w:rsidRPr="00BB7053" w:rsidR="003A343F" w:rsidP="003A343F" w:rsidRDefault="000A7F22" w14:paraId="5D6FD78E" w14:textId="51154B6C">
            <w:pPr>
              <w:tabs>
                <w:tab w:val="left" w:pos="6030"/>
              </w:tabs>
              <w:spacing w:line="276" w:lineRule="auto"/>
              <w:jc w:val="right"/>
              <w:rPr>
                <w:sz w:val="20"/>
                <w:szCs w:val="20"/>
              </w:rPr>
            </w:pPr>
            <w:r>
              <w:rPr>
                <w:sz w:val="20"/>
                <w:szCs w:val="20"/>
              </w:rPr>
              <w:t>15</w:t>
            </w:r>
          </w:p>
        </w:tc>
        <w:tc>
          <w:tcPr>
            <w:tcW w:w="1077" w:type="dxa"/>
          </w:tcPr>
          <w:p w:rsidRPr="00BB7053" w:rsidR="003A343F" w:rsidP="003A343F" w:rsidRDefault="000A7F22" w14:paraId="26AD523B" w14:textId="38FB5D6E">
            <w:pPr>
              <w:tabs>
                <w:tab w:val="left" w:pos="6030"/>
              </w:tabs>
              <w:spacing w:line="276" w:lineRule="auto"/>
              <w:jc w:val="right"/>
              <w:rPr>
                <w:sz w:val="20"/>
                <w:szCs w:val="20"/>
              </w:rPr>
            </w:pPr>
            <w:r>
              <w:rPr>
                <w:sz w:val="20"/>
                <w:szCs w:val="20"/>
              </w:rPr>
              <w:t>1</w:t>
            </w:r>
          </w:p>
        </w:tc>
        <w:tc>
          <w:tcPr>
            <w:tcW w:w="1071" w:type="dxa"/>
          </w:tcPr>
          <w:p w:rsidRPr="00BB7053" w:rsidR="003A343F" w:rsidP="003A343F" w:rsidRDefault="000A7F22" w14:paraId="62386DA2" w14:textId="1E3C0DB8">
            <w:pPr>
              <w:tabs>
                <w:tab w:val="left" w:pos="6030"/>
              </w:tabs>
              <w:spacing w:line="276" w:lineRule="auto"/>
              <w:jc w:val="right"/>
              <w:rPr>
                <w:sz w:val="20"/>
                <w:szCs w:val="20"/>
              </w:rPr>
            </w:pPr>
            <w:r>
              <w:rPr>
                <w:sz w:val="20"/>
                <w:szCs w:val="20"/>
              </w:rPr>
              <w:t>15</w:t>
            </w:r>
          </w:p>
        </w:tc>
        <w:tc>
          <w:tcPr>
            <w:tcW w:w="1068" w:type="dxa"/>
          </w:tcPr>
          <w:p w:rsidRPr="00BB7053" w:rsidR="003A343F" w:rsidP="003A343F" w:rsidRDefault="000A7F22" w14:paraId="29D2D5A4" w14:textId="00E70DA3">
            <w:pPr>
              <w:tabs>
                <w:tab w:val="left" w:pos="6030"/>
              </w:tabs>
              <w:spacing w:line="276" w:lineRule="auto"/>
              <w:jc w:val="right"/>
              <w:rPr>
                <w:sz w:val="20"/>
                <w:szCs w:val="20"/>
              </w:rPr>
            </w:pPr>
            <w:r>
              <w:rPr>
                <w:sz w:val="20"/>
                <w:szCs w:val="20"/>
              </w:rPr>
              <w:t>95.22</w:t>
            </w:r>
          </w:p>
        </w:tc>
        <w:tc>
          <w:tcPr>
            <w:tcW w:w="1409" w:type="dxa"/>
          </w:tcPr>
          <w:p w:rsidRPr="00BB7053" w:rsidR="003A343F" w:rsidP="003A343F" w:rsidRDefault="00DC1433" w14:paraId="185ABCBD" w14:textId="3B02C5C3">
            <w:pPr>
              <w:tabs>
                <w:tab w:val="left" w:pos="6030"/>
              </w:tabs>
              <w:spacing w:line="276" w:lineRule="auto"/>
              <w:jc w:val="right"/>
              <w:rPr>
                <w:sz w:val="20"/>
                <w:szCs w:val="20"/>
              </w:rPr>
            </w:pPr>
            <w:r>
              <w:rPr>
                <w:sz w:val="20"/>
                <w:szCs w:val="20"/>
              </w:rPr>
              <w:t>1,428</w:t>
            </w:r>
          </w:p>
        </w:tc>
      </w:tr>
      <w:tr w:rsidR="003A343F" w:rsidTr="00D26368" w14:paraId="3B27E55A" w14:textId="77777777">
        <w:tc>
          <w:tcPr>
            <w:tcW w:w="1252" w:type="dxa"/>
          </w:tcPr>
          <w:p w:rsidR="00765026" w:rsidP="00192E2E" w:rsidRDefault="00EE08BB" w14:paraId="7D614DAA" w14:textId="5AC20A41">
            <w:pPr>
              <w:tabs>
                <w:tab w:val="left" w:pos="6030"/>
              </w:tabs>
              <w:spacing w:line="276" w:lineRule="auto"/>
              <w:rPr>
                <w:sz w:val="20"/>
                <w:szCs w:val="20"/>
              </w:rPr>
            </w:pPr>
            <w:r>
              <w:rPr>
                <w:sz w:val="20"/>
                <w:szCs w:val="20"/>
              </w:rPr>
              <w:t>Proposed</w:t>
            </w:r>
          </w:p>
          <w:p w:rsidR="0068419D" w:rsidP="00192E2E" w:rsidRDefault="00B16A4B" w14:paraId="611037CD" w14:textId="68EA24DF">
            <w:pPr>
              <w:tabs>
                <w:tab w:val="left" w:pos="6030"/>
              </w:tabs>
              <w:spacing w:line="276" w:lineRule="auto"/>
              <w:rPr>
                <w:sz w:val="20"/>
                <w:szCs w:val="20"/>
              </w:rPr>
            </w:pPr>
            <w:r>
              <w:rPr>
                <w:sz w:val="20"/>
                <w:szCs w:val="20"/>
              </w:rPr>
              <w:t>(</w:t>
            </w:r>
            <w:r w:rsidR="0068419D">
              <w:rPr>
                <w:sz w:val="20"/>
                <w:szCs w:val="20"/>
              </w:rPr>
              <w:t xml:space="preserve">2022 </w:t>
            </w:r>
            <w:r w:rsidR="003429B1">
              <w:rPr>
                <w:sz w:val="20"/>
                <w:szCs w:val="20"/>
              </w:rPr>
              <w:t>MIPS Performance Period</w:t>
            </w:r>
            <w:r w:rsidR="0068419D">
              <w:rPr>
                <w:sz w:val="20"/>
                <w:szCs w:val="20"/>
              </w:rPr>
              <w:t>)</w:t>
            </w:r>
          </w:p>
          <w:p w:rsidRPr="00BB7053" w:rsidR="003A343F" w:rsidP="00192E2E" w:rsidRDefault="00A67FD9" w14:paraId="6F70FFB0" w14:textId="7DF36471">
            <w:pPr>
              <w:tabs>
                <w:tab w:val="left" w:pos="6030"/>
              </w:tabs>
              <w:spacing w:line="276" w:lineRule="auto"/>
              <w:rPr>
                <w:sz w:val="20"/>
                <w:szCs w:val="20"/>
              </w:rPr>
            </w:pPr>
            <w:r w:rsidRPr="00A67FD9">
              <w:rPr>
                <w:sz w:val="20"/>
                <w:szCs w:val="20"/>
              </w:rPr>
              <w:t>(See Table 5)</w:t>
            </w:r>
          </w:p>
        </w:tc>
        <w:tc>
          <w:tcPr>
            <w:tcW w:w="1306" w:type="dxa"/>
          </w:tcPr>
          <w:p w:rsidRPr="00BB7053" w:rsidR="003A343F" w:rsidP="003A343F" w:rsidRDefault="003A343F" w14:paraId="5D0DEBE9" w14:textId="411D1A92">
            <w:pPr>
              <w:tabs>
                <w:tab w:val="left" w:pos="6030"/>
              </w:tabs>
              <w:spacing w:line="276" w:lineRule="auto"/>
              <w:jc w:val="right"/>
              <w:rPr>
                <w:sz w:val="20"/>
                <w:szCs w:val="20"/>
              </w:rPr>
            </w:pPr>
            <w:r>
              <w:rPr>
                <w:sz w:val="20"/>
                <w:szCs w:val="20"/>
              </w:rPr>
              <w:t>15</w:t>
            </w:r>
          </w:p>
        </w:tc>
        <w:tc>
          <w:tcPr>
            <w:tcW w:w="1168" w:type="dxa"/>
          </w:tcPr>
          <w:p w:rsidRPr="00BB7053" w:rsidR="003A343F" w:rsidP="003A343F" w:rsidRDefault="003A343F" w14:paraId="7A2035EA" w14:textId="1FA48EB9">
            <w:pPr>
              <w:tabs>
                <w:tab w:val="left" w:pos="6030"/>
              </w:tabs>
              <w:spacing w:line="276" w:lineRule="auto"/>
              <w:jc w:val="right"/>
              <w:rPr>
                <w:sz w:val="20"/>
                <w:szCs w:val="20"/>
              </w:rPr>
            </w:pPr>
            <w:r>
              <w:rPr>
                <w:sz w:val="20"/>
                <w:szCs w:val="20"/>
              </w:rPr>
              <w:t>1</w:t>
            </w:r>
          </w:p>
        </w:tc>
        <w:tc>
          <w:tcPr>
            <w:tcW w:w="1094" w:type="dxa"/>
          </w:tcPr>
          <w:p w:rsidRPr="00BB7053" w:rsidR="003A343F" w:rsidP="003A343F" w:rsidRDefault="003A343F" w14:paraId="40C13DE8" w14:textId="440F5565">
            <w:pPr>
              <w:tabs>
                <w:tab w:val="left" w:pos="6030"/>
              </w:tabs>
              <w:spacing w:line="276" w:lineRule="auto"/>
              <w:jc w:val="right"/>
              <w:rPr>
                <w:sz w:val="20"/>
                <w:szCs w:val="20"/>
              </w:rPr>
            </w:pPr>
            <w:r>
              <w:rPr>
                <w:sz w:val="20"/>
                <w:szCs w:val="20"/>
              </w:rPr>
              <w:t>15</w:t>
            </w:r>
          </w:p>
        </w:tc>
        <w:tc>
          <w:tcPr>
            <w:tcW w:w="1077" w:type="dxa"/>
          </w:tcPr>
          <w:p w:rsidRPr="00BB7053" w:rsidR="003A343F" w:rsidP="003A343F" w:rsidRDefault="003A343F" w14:paraId="5070B656" w14:textId="49E2EC0B">
            <w:pPr>
              <w:tabs>
                <w:tab w:val="left" w:pos="6030"/>
              </w:tabs>
              <w:spacing w:line="276" w:lineRule="auto"/>
              <w:jc w:val="right"/>
              <w:rPr>
                <w:sz w:val="20"/>
                <w:szCs w:val="20"/>
              </w:rPr>
            </w:pPr>
            <w:r>
              <w:rPr>
                <w:sz w:val="20"/>
                <w:szCs w:val="20"/>
              </w:rPr>
              <w:t>1</w:t>
            </w:r>
          </w:p>
        </w:tc>
        <w:tc>
          <w:tcPr>
            <w:tcW w:w="1071" w:type="dxa"/>
          </w:tcPr>
          <w:p w:rsidRPr="00BB7053" w:rsidR="003A343F" w:rsidP="003A343F" w:rsidRDefault="003A343F" w14:paraId="0F0FDEE8" w14:textId="33C9A867">
            <w:pPr>
              <w:tabs>
                <w:tab w:val="left" w:pos="6030"/>
              </w:tabs>
              <w:spacing w:line="276" w:lineRule="auto"/>
              <w:jc w:val="right"/>
              <w:rPr>
                <w:sz w:val="20"/>
                <w:szCs w:val="20"/>
              </w:rPr>
            </w:pPr>
            <w:r>
              <w:rPr>
                <w:sz w:val="20"/>
                <w:szCs w:val="20"/>
              </w:rPr>
              <w:t>15</w:t>
            </w:r>
          </w:p>
        </w:tc>
        <w:tc>
          <w:tcPr>
            <w:tcW w:w="1068" w:type="dxa"/>
          </w:tcPr>
          <w:p w:rsidRPr="00BB7053" w:rsidR="003A343F" w:rsidP="003A343F" w:rsidRDefault="003A343F" w14:paraId="6EE71FB4" w14:textId="049D3A57">
            <w:pPr>
              <w:tabs>
                <w:tab w:val="left" w:pos="6030"/>
              </w:tabs>
              <w:spacing w:line="276" w:lineRule="auto"/>
              <w:jc w:val="right"/>
              <w:rPr>
                <w:sz w:val="20"/>
                <w:szCs w:val="20"/>
              </w:rPr>
            </w:pPr>
            <w:r>
              <w:rPr>
                <w:sz w:val="20"/>
                <w:szCs w:val="20"/>
              </w:rPr>
              <w:t>9</w:t>
            </w:r>
            <w:r w:rsidR="00DC1433">
              <w:rPr>
                <w:sz w:val="20"/>
                <w:szCs w:val="20"/>
              </w:rPr>
              <w:t>5.22</w:t>
            </w:r>
          </w:p>
        </w:tc>
        <w:tc>
          <w:tcPr>
            <w:tcW w:w="1409" w:type="dxa"/>
          </w:tcPr>
          <w:p w:rsidRPr="00BB7053" w:rsidR="003A343F" w:rsidP="003A343F" w:rsidRDefault="003A343F" w14:paraId="33B829C9" w14:textId="1ED3C053">
            <w:pPr>
              <w:tabs>
                <w:tab w:val="left" w:pos="6030"/>
              </w:tabs>
              <w:spacing w:line="276" w:lineRule="auto"/>
              <w:jc w:val="right"/>
              <w:rPr>
                <w:sz w:val="20"/>
                <w:szCs w:val="20"/>
              </w:rPr>
            </w:pPr>
            <w:r>
              <w:rPr>
                <w:sz w:val="20"/>
                <w:szCs w:val="20"/>
              </w:rPr>
              <w:t>1,</w:t>
            </w:r>
            <w:r w:rsidR="00DC1433">
              <w:rPr>
                <w:sz w:val="20"/>
                <w:szCs w:val="20"/>
              </w:rPr>
              <w:t>428</w:t>
            </w:r>
          </w:p>
        </w:tc>
      </w:tr>
      <w:tr w:rsidR="00EE08BB" w:rsidTr="00D26368" w14:paraId="27A028B7" w14:textId="77777777">
        <w:tc>
          <w:tcPr>
            <w:tcW w:w="1252" w:type="dxa"/>
            <w:shd w:val="clear" w:color="auto" w:fill="D9D9D9" w:themeFill="background1" w:themeFillShade="D9"/>
          </w:tcPr>
          <w:p w:rsidRPr="00BB7053" w:rsidR="003A343F" w:rsidP="003A343F" w:rsidRDefault="003A343F" w14:paraId="049685AA"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3A343F" w:rsidP="003A343F" w:rsidRDefault="00DC1433" w14:paraId="1D9287AD" w14:textId="3C85E3C7">
            <w:pPr>
              <w:tabs>
                <w:tab w:val="left" w:pos="6030"/>
              </w:tabs>
              <w:spacing w:line="276" w:lineRule="auto"/>
              <w:jc w:val="right"/>
              <w:rPr>
                <w:sz w:val="20"/>
                <w:szCs w:val="20"/>
              </w:rPr>
            </w:pPr>
            <w:r>
              <w:rPr>
                <w:sz w:val="20"/>
                <w:szCs w:val="20"/>
              </w:rPr>
              <w:t xml:space="preserve">No </w:t>
            </w:r>
            <w:r w:rsidR="005E3519">
              <w:rPr>
                <w:sz w:val="20"/>
                <w:szCs w:val="20"/>
              </w:rPr>
              <w:t xml:space="preserve">change </w:t>
            </w:r>
          </w:p>
        </w:tc>
        <w:tc>
          <w:tcPr>
            <w:tcW w:w="1168" w:type="dxa"/>
            <w:shd w:val="clear" w:color="auto" w:fill="D9D9D9" w:themeFill="background1" w:themeFillShade="D9"/>
          </w:tcPr>
          <w:p w:rsidRPr="00BB7053" w:rsidR="003A343F" w:rsidP="003A343F" w:rsidRDefault="00DC1433" w14:paraId="196BC52D" w14:textId="778028E6">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3A343F" w:rsidP="003A343F" w:rsidRDefault="00DC1433" w14:paraId="56781435" w14:textId="0AADF712">
            <w:pPr>
              <w:tabs>
                <w:tab w:val="left" w:pos="6030"/>
              </w:tabs>
              <w:spacing w:line="276" w:lineRule="auto"/>
              <w:jc w:val="right"/>
              <w:rPr>
                <w:sz w:val="20"/>
                <w:szCs w:val="20"/>
              </w:rPr>
            </w:pPr>
            <w:r>
              <w:rPr>
                <w:sz w:val="20"/>
                <w:szCs w:val="20"/>
              </w:rPr>
              <w:t>No change</w:t>
            </w:r>
          </w:p>
        </w:tc>
        <w:tc>
          <w:tcPr>
            <w:tcW w:w="1077" w:type="dxa"/>
            <w:shd w:val="clear" w:color="auto" w:fill="D9D9D9" w:themeFill="background1" w:themeFillShade="D9"/>
          </w:tcPr>
          <w:p w:rsidRPr="00BB7053" w:rsidR="003A343F" w:rsidP="003A343F" w:rsidRDefault="00DC1433" w14:paraId="57AC0C52" w14:textId="4EEC1639">
            <w:pPr>
              <w:tabs>
                <w:tab w:val="left" w:pos="6030"/>
              </w:tabs>
              <w:spacing w:line="276" w:lineRule="auto"/>
              <w:jc w:val="right"/>
              <w:rPr>
                <w:sz w:val="20"/>
                <w:szCs w:val="20"/>
              </w:rPr>
            </w:pPr>
            <w:r>
              <w:rPr>
                <w:sz w:val="20"/>
                <w:szCs w:val="20"/>
              </w:rPr>
              <w:t>No change</w:t>
            </w:r>
          </w:p>
        </w:tc>
        <w:tc>
          <w:tcPr>
            <w:tcW w:w="1071" w:type="dxa"/>
            <w:shd w:val="clear" w:color="auto" w:fill="D9D9D9" w:themeFill="background1" w:themeFillShade="D9"/>
          </w:tcPr>
          <w:p w:rsidRPr="00BB7053" w:rsidR="003A343F" w:rsidP="003A343F" w:rsidRDefault="00DC1433" w14:paraId="7E61822C" w14:textId="521D7ABF">
            <w:pPr>
              <w:tabs>
                <w:tab w:val="left" w:pos="6030"/>
              </w:tabs>
              <w:spacing w:line="276" w:lineRule="auto"/>
              <w:jc w:val="right"/>
              <w:rPr>
                <w:sz w:val="20"/>
                <w:szCs w:val="20"/>
              </w:rPr>
            </w:pPr>
            <w:r>
              <w:rPr>
                <w:sz w:val="20"/>
                <w:szCs w:val="20"/>
              </w:rPr>
              <w:t>No change</w:t>
            </w:r>
          </w:p>
        </w:tc>
        <w:tc>
          <w:tcPr>
            <w:tcW w:w="1068" w:type="dxa"/>
            <w:shd w:val="clear" w:color="auto" w:fill="D9D9D9" w:themeFill="background1" w:themeFillShade="D9"/>
          </w:tcPr>
          <w:p w:rsidRPr="00BB7053" w:rsidR="003A343F" w:rsidP="003A343F" w:rsidRDefault="00DC1433" w14:paraId="7DCBD0C2" w14:textId="4FFADCC2">
            <w:pPr>
              <w:tabs>
                <w:tab w:val="left" w:pos="6030"/>
              </w:tabs>
              <w:spacing w:line="276" w:lineRule="auto"/>
              <w:jc w:val="right"/>
              <w:rPr>
                <w:sz w:val="20"/>
                <w:szCs w:val="20"/>
              </w:rPr>
            </w:pPr>
            <w:r>
              <w:rPr>
                <w:sz w:val="20"/>
                <w:szCs w:val="20"/>
              </w:rPr>
              <w:t>No change</w:t>
            </w:r>
          </w:p>
        </w:tc>
        <w:tc>
          <w:tcPr>
            <w:tcW w:w="1409" w:type="dxa"/>
            <w:shd w:val="clear" w:color="auto" w:fill="D9D9D9" w:themeFill="background1" w:themeFillShade="D9"/>
          </w:tcPr>
          <w:p w:rsidRPr="00BB7053" w:rsidR="003A343F" w:rsidP="003A343F" w:rsidRDefault="000E60E3" w14:paraId="0F14AF92" w14:textId="65F3E37A">
            <w:pPr>
              <w:tabs>
                <w:tab w:val="left" w:pos="6030"/>
              </w:tabs>
              <w:spacing w:line="276" w:lineRule="auto"/>
              <w:jc w:val="right"/>
              <w:rPr>
                <w:sz w:val="20"/>
                <w:szCs w:val="20"/>
              </w:rPr>
            </w:pPr>
            <w:r>
              <w:rPr>
                <w:sz w:val="20"/>
                <w:szCs w:val="20"/>
              </w:rPr>
              <w:t>No change</w:t>
            </w:r>
          </w:p>
        </w:tc>
      </w:tr>
    </w:tbl>
    <w:p w:rsidR="003C6D38" w:rsidP="00BB7053" w:rsidRDefault="003C6D38" w14:paraId="7B036F25" w14:textId="4646C28E">
      <w:pPr>
        <w:tabs>
          <w:tab w:val="left" w:pos="6030"/>
        </w:tabs>
        <w:spacing w:line="276" w:lineRule="auto"/>
        <w:jc w:val="both"/>
      </w:pPr>
    </w:p>
    <w:p w:rsidR="003C6D38" w:rsidP="001212E7" w:rsidRDefault="003C6D38" w14:paraId="31BE246C" w14:textId="0D63C803">
      <w:pPr>
        <w:keepNext/>
        <w:keepLines/>
        <w:jc w:val="center"/>
        <w:rPr>
          <w:b/>
          <w:bCs/>
        </w:rPr>
      </w:pPr>
      <w:r w:rsidRPr="00B30713">
        <w:rPr>
          <w:rFonts w:eastAsia="Calibri"/>
          <w:b/>
          <w:bCs/>
        </w:rPr>
        <w:t xml:space="preserve">TABLE </w:t>
      </w:r>
      <w:r w:rsidR="00C1361E">
        <w:rPr>
          <w:rFonts w:eastAsia="Calibri"/>
          <w:b/>
          <w:bCs/>
        </w:rPr>
        <w:t>3</w:t>
      </w:r>
      <w:r w:rsidR="00756646">
        <w:rPr>
          <w:rFonts w:eastAsia="Calibri"/>
          <w:b/>
          <w:bCs/>
        </w:rPr>
        <w:t>8</w:t>
      </w:r>
      <w:r w:rsidR="003A343F">
        <w:rPr>
          <w:rFonts w:eastAsia="Calibri"/>
          <w:b/>
          <w:bCs/>
        </w:rPr>
        <w:t>D</w:t>
      </w:r>
      <w:r w:rsidRPr="00B30713">
        <w:rPr>
          <w:rFonts w:eastAsia="Calibri"/>
          <w:b/>
          <w:bCs/>
        </w:rPr>
        <w:t xml:space="preserve">: Burden Reconciliation for </w:t>
      </w:r>
      <w:r w:rsidRPr="00686855" w:rsidR="00686855">
        <w:rPr>
          <w:rFonts w:eastAsia="Calibri"/>
          <w:b/>
          <w:bCs/>
        </w:rPr>
        <w:t>Quality Payment Program Identity Management Application Process</w:t>
      </w:r>
    </w:p>
    <w:tbl>
      <w:tblPr>
        <w:tblStyle w:val="TableGrid"/>
        <w:tblW w:w="9445" w:type="dxa"/>
        <w:tblLook w:val="04A0" w:firstRow="1" w:lastRow="0" w:firstColumn="1" w:lastColumn="0" w:noHBand="0" w:noVBand="1"/>
      </w:tblPr>
      <w:tblGrid>
        <w:gridCol w:w="1251"/>
        <w:gridCol w:w="1306"/>
        <w:gridCol w:w="1168"/>
        <w:gridCol w:w="1094"/>
        <w:gridCol w:w="1077"/>
        <w:gridCol w:w="1071"/>
        <w:gridCol w:w="1068"/>
        <w:gridCol w:w="1410"/>
      </w:tblGrid>
      <w:tr w:rsidR="003C6D38" w:rsidTr="00D26368" w14:paraId="29437C65" w14:textId="77777777">
        <w:trPr>
          <w:tblHeader/>
        </w:trPr>
        <w:tc>
          <w:tcPr>
            <w:tcW w:w="1251" w:type="dxa"/>
          </w:tcPr>
          <w:p w:rsidRPr="001212E7" w:rsidR="003C6D38" w:rsidP="001212E7" w:rsidRDefault="003C6D38" w14:paraId="6688235E" w14:textId="77777777">
            <w:pPr>
              <w:keepNext/>
              <w:keepLines/>
              <w:tabs>
                <w:tab w:val="left" w:pos="6030"/>
              </w:tabs>
              <w:spacing w:line="276" w:lineRule="auto"/>
              <w:jc w:val="both"/>
              <w:rPr>
                <w:b/>
                <w:bCs/>
                <w:sz w:val="20"/>
                <w:szCs w:val="20"/>
              </w:rPr>
            </w:pPr>
            <w:r w:rsidRPr="001212E7">
              <w:rPr>
                <w:b/>
                <w:bCs/>
                <w:sz w:val="20"/>
                <w:szCs w:val="20"/>
              </w:rPr>
              <w:t>Burden Category</w:t>
            </w:r>
          </w:p>
        </w:tc>
        <w:tc>
          <w:tcPr>
            <w:tcW w:w="1306" w:type="dxa"/>
          </w:tcPr>
          <w:p w:rsidRPr="001212E7" w:rsidR="003C6D38" w:rsidP="001212E7" w:rsidRDefault="003C6D38" w14:paraId="0FC1A8B7" w14:textId="77777777">
            <w:pPr>
              <w:keepNext/>
              <w:keepLines/>
              <w:tabs>
                <w:tab w:val="left" w:pos="6030"/>
              </w:tabs>
              <w:spacing w:line="276" w:lineRule="auto"/>
              <w:jc w:val="both"/>
              <w:rPr>
                <w:b/>
                <w:bCs/>
                <w:sz w:val="20"/>
                <w:szCs w:val="20"/>
              </w:rPr>
            </w:pPr>
            <w:r w:rsidRPr="001212E7">
              <w:rPr>
                <w:b/>
                <w:bCs/>
                <w:sz w:val="20"/>
                <w:szCs w:val="20"/>
              </w:rPr>
              <w:t>Total Annual Respondents</w:t>
            </w:r>
          </w:p>
        </w:tc>
        <w:tc>
          <w:tcPr>
            <w:tcW w:w="1168" w:type="dxa"/>
          </w:tcPr>
          <w:p w:rsidRPr="001212E7" w:rsidR="003C6D38" w:rsidP="001212E7" w:rsidRDefault="003C6D38" w14:paraId="1372269C" w14:textId="77777777">
            <w:pPr>
              <w:keepNext/>
              <w:keepLines/>
              <w:tabs>
                <w:tab w:val="left" w:pos="6030"/>
              </w:tabs>
              <w:spacing w:line="276" w:lineRule="auto"/>
              <w:jc w:val="both"/>
              <w:rPr>
                <w:b/>
                <w:bCs/>
                <w:sz w:val="20"/>
                <w:szCs w:val="20"/>
              </w:rPr>
            </w:pPr>
            <w:r w:rsidRPr="001212E7">
              <w:rPr>
                <w:b/>
                <w:bCs/>
                <w:sz w:val="20"/>
                <w:szCs w:val="20"/>
              </w:rPr>
              <w:t>Response Frequency (per year)</w:t>
            </w:r>
          </w:p>
        </w:tc>
        <w:tc>
          <w:tcPr>
            <w:tcW w:w="1094" w:type="dxa"/>
          </w:tcPr>
          <w:p w:rsidRPr="001212E7" w:rsidR="003C6D38" w:rsidP="001212E7" w:rsidRDefault="003C6D38" w14:paraId="1D3FF602" w14:textId="77777777">
            <w:pPr>
              <w:keepNext/>
              <w:keepLines/>
              <w:tabs>
                <w:tab w:val="left" w:pos="6030"/>
              </w:tabs>
              <w:spacing w:line="276" w:lineRule="auto"/>
              <w:jc w:val="both"/>
              <w:rPr>
                <w:b/>
                <w:bCs/>
                <w:sz w:val="20"/>
                <w:szCs w:val="20"/>
              </w:rPr>
            </w:pPr>
            <w:r w:rsidRPr="001212E7">
              <w:rPr>
                <w:b/>
                <w:bCs/>
                <w:sz w:val="20"/>
                <w:szCs w:val="20"/>
              </w:rPr>
              <w:t>Total Annual Responses</w:t>
            </w:r>
          </w:p>
        </w:tc>
        <w:tc>
          <w:tcPr>
            <w:tcW w:w="1077" w:type="dxa"/>
          </w:tcPr>
          <w:p w:rsidRPr="001212E7" w:rsidR="003C6D38" w:rsidP="001212E7" w:rsidRDefault="003C6D38" w14:paraId="39CD5B35" w14:textId="77777777">
            <w:pPr>
              <w:keepNext/>
              <w:keepLines/>
              <w:tabs>
                <w:tab w:val="left" w:pos="6030"/>
              </w:tabs>
              <w:spacing w:line="276" w:lineRule="auto"/>
              <w:rPr>
                <w:b/>
                <w:bCs/>
                <w:sz w:val="20"/>
                <w:szCs w:val="20"/>
              </w:rPr>
            </w:pPr>
            <w:r w:rsidRPr="001212E7">
              <w:rPr>
                <w:b/>
                <w:bCs/>
                <w:sz w:val="20"/>
                <w:szCs w:val="20"/>
              </w:rPr>
              <w:t>Time Per Response (hr)</w:t>
            </w:r>
          </w:p>
        </w:tc>
        <w:tc>
          <w:tcPr>
            <w:tcW w:w="1071" w:type="dxa"/>
          </w:tcPr>
          <w:p w:rsidRPr="001212E7" w:rsidR="003C6D38" w:rsidP="001212E7" w:rsidRDefault="003C6D38" w14:paraId="1630C7BD" w14:textId="77777777">
            <w:pPr>
              <w:keepNext/>
              <w:keepLines/>
              <w:tabs>
                <w:tab w:val="left" w:pos="6030"/>
              </w:tabs>
              <w:spacing w:line="276" w:lineRule="auto"/>
              <w:jc w:val="both"/>
              <w:rPr>
                <w:b/>
                <w:bCs/>
                <w:sz w:val="20"/>
                <w:szCs w:val="20"/>
              </w:rPr>
            </w:pPr>
            <w:r w:rsidRPr="001212E7">
              <w:rPr>
                <w:b/>
                <w:bCs/>
                <w:sz w:val="20"/>
                <w:szCs w:val="20"/>
              </w:rPr>
              <w:t>Total Annual Time (hr)</w:t>
            </w:r>
          </w:p>
        </w:tc>
        <w:tc>
          <w:tcPr>
            <w:tcW w:w="1068" w:type="dxa"/>
          </w:tcPr>
          <w:p w:rsidRPr="001212E7" w:rsidR="003C6D38" w:rsidP="001212E7" w:rsidRDefault="003C6D38" w14:paraId="686B5C13" w14:textId="77777777">
            <w:pPr>
              <w:keepNext/>
              <w:keepLines/>
              <w:tabs>
                <w:tab w:val="left" w:pos="6030"/>
              </w:tabs>
              <w:spacing w:line="276" w:lineRule="auto"/>
              <w:jc w:val="both"/>
              <w:rPr>
                <w:b/>
                <w:bCs/>
                <w:sz w:val="20"/>
                <w:szCs w:val="20"/>
              </w:rPr>
            </w:pPr>
            <w:r w:rsidRPr="001212E7">
              <w:rPr>
                <w:b/>
                <w:bCs/>
                <w:sz w:val="20"/>
                <w:szCs w:val="20"/>
              </w:rPr>
              <w:t>Labor Cost ($/hr)</w:t>
            </w:r>
          </w:p>
        </w:tc>
        <w:tc>
          <w:tcPr>
            <w:tcW w:w="1410" w:type="dxa"/>
          </w:tcPr>
          <w:p w:rsidRPr="001212E7" w:rsidR="003C6D38" w:rsidP="001212E7" w:rsidRDefault="003C6D38" w14:paraId="79B82A80" w14:textId="77777777">
            <w:pPr>
              <w:keepNext/>
              <w:keepLines/>
              <w:tabs>
                <w:tab w:val="left" w:pos="6030"/>
              </w:tabs>
              <w:spacing w:line="276" w:lineRule="auto"/>
              <w:rPr>
                <w:b/>
                <w:bCs/>
                <w:sz w:val="20"/>
                <w:szCs w:val="20"/>
              </w:rPr>
            </w:pPr>
            <w:r w:rsidRPr="001212E7">
              <w:rPr>
                <w:b/>
                <w:bCs/>
                <w:sz w:val="20"/>
                <w:szCs w:val="20"/>
              </w:rPr>
              <w:t>Total Annual Cost ($)</w:t>
            </w:r>
          </w:p>
        </w:tc>
      </w:tr>
      <w:tr w:rsidR="00FB22E6" w:rsidTr="00D26368" w14:paraId="4400BC87" w14:textId="77777777">
        <w:tc>
          <w:tcPr>
            <w:tcW w:w="1251" w:type="dxa"/>
          </w:tcPr>
          <w:p w:rsidRPr="00BB7053" w:rsidR="00FB22E6" w:rsidP="001212E7" w:rsidRDefault="00FB22E6" w14:paraId="1D07E6F7" w14:textId="75136B9C">
            <w:pPr>
              <w:keepNext/>
              <w:keepLines/>
              <w:tabs>
                <w:tab w:val="left" w:pos="6030"/>
              </w:tabs>
              <w:spacing w:line="276" w:lineRule="auto"/>
              <w:jc w:val="both"/>
              <w:rPr>
                <w:sz w:val="20"/>
                <w:szCs w:val="20"/>
              </w:rPr>
            </w:pPr>
            <w:r>
              <w:rPr>
                <w:sz w:val="20"/>
                <w:szCs w:val="20"/>
              </w:rPr>
              <w:t>Currently Approved</w:t>
            </w:r>
            <w:r w:rsidR="00E4635E">
              <w:rPr>
                <w:sz w:val="20"/>
                <w:szCs w:val="20"/>
              </w:rPr>
              <w:t xml:space="preserve"> </w:t>
            </w:r>
            <w:r w:rsidRPr="00E4635E" w:rsidR="00E4635E">
              <w:rPr>
                <w:bCs/>
                <w:sz w:val="20"/>
                <w:szCs w:val="20"/>
              </w:rPr>
              <w:t>(202</w:t>
            </w:r>
            <w:r w:rsidR="005255DD">
              <w:rPr>
                <w:bCs/>
                <w:sz w:val="20"/>
                <w:szCs w:val="20"/>
              </w:rPr>
              <w:t>2</w:t>
            </w:r>
            <w:r w:rsidRPr="00E4635E" w:rsidR="00E4635E">
              <w:rPr>
                <w:bCs/>
                <w:sz w:val="20"/>
                <w:szCs w:val="20"/>
              </w:rPr>
              <w:t xml:space="preserve"> MIPS Performance Period)</w:t>
            </w:r>
          </w:p>
        </w:tc>
        <w:tc>
          <w:tcPr>
            <w:tcW w:w="1306" w:type="dxa"/>
          </w:tcPr>
          <w:p w:rsidRPr="00BB7053" w:rsidR="00FB22E6" w:rsidP="001212E7" w:rsidRDefault="00FB22E6" w14:paraId="53345504" w14:textId="00EA82DC">
            <w:pPr>
              <w:keepNext/>
              <w:keepLines/>
              <w:tabs>
                <w:tab w:val="left" w:pos="6030"/>
              </w:tabs>
              <w:spacing w:line="276" w:lineRule="auto"/>
              <w:jc w:val="right"/>
              <w:rPr>
                <w:sz w:val="20"/>
                <w:szCs w:val="20"/>
              </w:rPr>
            </w:pPr>
            <w:r>
              <w:rPr>
                <w:sz w:val="20"/>
                <w:szCs w:val="20"/>
              </w:rPr>
              <w:t>3,741</w:t>
            </w:r>
          </w:p>
        </w:tc>
        <w:tc>
          <w:tcPr>
            <w:tcW w:w="1168" w:type="dxa"/>
          </w:tcPr>
          <w:p w:rsidRPr="00BB7053" w:rsidR="00FB22E6" w:rsidP="001212E7" w:rsidRDefault="00FB22E6" w14:paraId="19AE58A4" w14:textId="1AAAE62B">
            <w:pPr>
              <w:keepNext/>
              <w:keepLines/>
              <w:tabs>
                <w:tab w:val="left" w:pos="6030"/>
              </w:tabs>
              <w:spacing w:line="276" w:lineRule="auto"/>
              <w:jc w:val="right"/>
              <w:rPr>
                <w:sz w:val="20"/>
                <w:szCs w:val="20"/>
              </w:rPr>
            </w:pPr>
            <w:r>
              <w:rPr>
                <w:sz w:val="20"/>
                <w:szCs w:val="20"/>
              </w:rPr>
              <w:t>1</w:t>
            </w:r>
          </w:p>
        </w:tc>
        <w:tc>
          <w:tcPr>
            <w:tcW w:w="1094" w:type="dxa"/>
          </w:tcPr>
          <w:p w:rsidRPr="00BB7053" w:rsidR="00FB22E6" w:rsidP="001212E7" w:rsidRDefault="00FB22E6" w14:paraId="508B4B6B" w14:textId="0256AB87">
            <w:pPr>
              <w:keepNext/>
              <w:keepLines/>
              <w:tabs>
                <w:tab w:val="left" w:pos="6030"/>
              </w:tabs>
              <w:spacing w:line="276" w:lineRule="auto"/>
              <w:jc w:val="right"/>
              <w:rPr>
                <w:sz w:val="20"/>
                <w:szCs w:val="20"/>
              </w:rPr>
            </w:pPr>
            <w:r>
              <w:rPr>
                <w:sz w:val="20"/>
                <w:szCs w:val="20"/>
              </w:rPr>
              <w:t>3,741</w:t>
            </w:r>
          </w:p>
        </w:tc>
        <w:tc>
          <w:tcPr>
            <w:tcW w:w="1077" w:type="dxa"/>
          </w:tcPr>
          <w:p w:rsidRPr="00BB7053" w:rsidR="00FB22E6" w:rsidP="001212E7" w:rsidRDefault="00FB22E6" w14:paraId="0AD9186C" w14:textId="42266870">
            <w:pPr>
              <w:keepNext/>
              <w:keepLines/>
              <w:tabs>
                <w:tab w:val="left" w:pos="6030"/>
              </w:tabs>
              <w:spacing w:line="276" w:lineRule="auto"/>
              <w:jc w:val="right"/>
              <w:rPr>
                <w:sz w:val="20"/>
                <w:szCs w:val="20"/>
              </w:rPr>
            </w:pPr>
            <w:r>
              <w:rPr>
                <w:sz w:val="20"/>
                <w:szCs w:val="20"/>
              </w:rPr>
              <w:t>1</w:t>
            </w:r>
          </w:p>
        </w:tc>
        <w:tc>
          <w:tcPr>
            <w:tcW w:w="1071" w:type="dxa"/>
          </w:tcPr>
          <w:p w:rsidRPr="00BB7053" w:rsidR="00FB22E6" w:rsidP="001212E7" w:rsidRDefault="00FB22E6" w14:paraId="458AA4D3" w14:textId="3CF1F973">
            <w:pPr>
              <w:keepNext/>
              <w:keepLines/>
              <w:tabs>
                <w:tab w:val="left" w:pos="6030"/>
              </w:tabs>
              <w:spacing w:line="276" w:lineRule="auto"/>
              <w:jc w:val="right"/>
              <w:rPr>
                <w:sz w:val="20"/>
                <w:szCs w:val="20"/>
              </w:rPr>
            </w:pPr>
            <w:r>
              <w:rPr>
                <w:sz w:val="20"/>
                <w:szCs w:val="20"/>
              </w:rPr>
              <w:t>3,741</w:t>
            </w:r>
          </w:p>
        </w:tc>
        <w:tc>
          <w:tcPr>
            <w:tcW w:w="1068" w:type="dxa"/>
          </w:tcPr>
          <w:p w:rsidRPr="00BB7053" w:rsidR="00FB22E6" w:rsidP="001212E7" w:rsidRDefault="00FB22E6" w14:paraId="72E21854" w14:textId="1167D32F">
            <w:pPr>
              <w:keepNext/>
              <w:keepLines/>
              <w:tabs>
                <w:tab w:val="left" w:pos="6030"/>
              </w:tabs>
              <w:spacing w:line="276" w:lineRule="auto"/>
              <w:jc w:val="right"/>
              <w:rPr>
                <w:sz w:val="20"/>
                <w:szCs w:val="20"/>
              </w:rPr>
            </w:pPr>
            <w:r>
              <w:rPr>
                <w:sz w:val="20"/>
                <w:szCs w:val="20"/>
              </w:rPr>
              <w:t>9</w:t>
            </w:r>
            <w:r w:rsidR="00A94457">
              <w:rPr>
                <w:sz w:val="20"/>
                <w:szCs w:val="20"/>
              </w:rPr>
              <w:t>5</w:t>
            </w:r>
            <w:r w:rsidR="00344F5F">
              <w:rPr>
                <w:sz w:val="20"/>
                <w:szCs w:val="20"/>
              </w:rPr>
              <w:t>.22</w:t>
            </w:r>
          </w:p>
        </w:tc>
        <w:tc>
          <w:tcPr>
            <w:tcW w:w="1410" w:type="dxa"/>
          </w:tcPr>
          <w:p w:rsidRPr="00BB7053" w:rsidR="00FB22E6" w:rsidP="001212E7" w:rsidRDefault="00FB22E6" w14:paraId="66CC3B02" w14:textId="571D6B65">
            <w:pPr>
              <w:keepNext/>
              <w:keepLines/>
              <w:tabs>
                <w:tab w:val="left" w:pos="6030"/>
              </w:tabs>
              <w:spacing w:line="276" w:lineRule="auto"/>
              <w:jc w:val="right"/>
              <w:rPr>
                <w:sz w:val="20"/>
                <w:szCs w:val="20"/>
              </w:rPr>
            </w:pPr>
            <w:r>
              <w:rPr>
                <w:sz w:val="20"/>
                <w:szCs w:val="20"/>
              </w:rPr>
              <w:t>3</w:t>
            </w:r>
            <w:r w:rsidR="00356B31">
              <w:rPr>
                <w:sz w:val="20"/>
                <w:szCs w:val="20"/>
              </w:rPr>
              <w:t>56,218</w:t>
            </w:r>
          </w:p>
        </w:tc>
      </w:tr>
      <w:tr w:rsidR="00FB22E6" w:rsidTr="00D26368" w14:paraId="6FBC8BD8" w14:textId="77777777">
        <w:tc>
          <w:tcPr>
            <w:tcW w:w="1251" w:type="dxa"/>
          </w:tcPr>
          <w:p w:rsidRPr="00BB7053" w:rsidR="00FB22E6" w:rsidP="00192E2E" w:rsidRDefault="00765026" w14:paraId="6B4D6A19" w14:textId="0514353D">
            <w:pPr>
              <w:keepNext/>
              <w:keepLines/>
              <w:tabs>
                <w:tab w:val="left" w:pos="6030"/>
              </w:tabs>
              <w:spacing w:line="276" w:lineRule="auto"/>
              <w:rPr>
                <w:sz w:val="20"/>
                <w:szCs w:val="20"/>
              </w:rPr>
            </w:pPr>
            <w:r>
              <w:rPr>
                <w:sz w:val="20"/>
                <w:szCs w:val="20"/>
              </w:rPr>
              <w:t>Proposed</w:t>
            </w:r>
            <w:r w:rsidR="00A67FD9">
              <w:rPr>
                <w:sz w:val="20"/>
                <w:szCs w:val="20"/>
              </w:rPr>
              <w:t xml:space="preserve"> </w:t>
            </w:r>
            <w:r w:rsidR="006A6349">
              <w:rPr>
                <w:sz w:val="20"/>
                <w:szCs w:val="20"/>
              </w:rPr>
              <w:t xml:space="preserve">(2022 MIPS Performance Period) </w:t>
            </w:r>
            <w:r w:rsidRPr="00A67FD9" w:rsidR="00A67FD9">
              <w:rPr>
                <w:sz w:val="20"/>
                <w:szCs w:val="20"/>
              </w:rPr>
              <w:t>(See Table 9)</w:t>
            </w:r>
          </w:p>
        </w:tc>
        <w:tc>
          <w:tcPr>
            <w:tcW w:w="1306" w:type="dxa"/>
          </w:tcPr>
          <w:p w:rsidRPr="00BB7053" w:rsidR="00FB22E6" w:rsidP="001212E7" w:rsidRDefault="00FB22E6" w14:paraId="13EC1FDF" w14:textId="6ED882DC">
            <w:pPr>
              <w:keepNext/>
              <w:keepLines/>
              <w:tabs>
                <w:tab w:val="left" w:pos="6030"/>
              </w:tabs>
              <w:spacing w:line="276" w:lineRule="auto"/>
              <w:jc w:val="right"/>
              <w:rPr>
                <w:sz w:val="20"/>
                <w:szCs w:val="20"/>
              </w:rPr>
            </w:pPr>
            <w:r>
              <w:rPr>
                <w:sz w:val="20"/>
                <w:szCs w:val="20"/>
              </w:rPr>
              <w:t>3,741</w:t>
            </w:r>
          </w:p>
        </w:tc>
        <w:tc>
          <w:tcPr>
            <w:tcW w:w="1168" w:type="dxa"/>
          </w:tcPr>
          <w:p w:rsidRPr="00BB7053" w:rsidR="00FB22E6" w:rsidP="001212E7" w:rsidRDefault="00FB22E6" w14:paraId="648F58F2" w14:textId="2A593523">
            <w:pPr>
              <w:keepNext/>
              <w:keepLines/>
              <w:tabs>
                <w:tab w:val="left" w:pos="6030"/>
              </w:tabs>
              <w:spacing w:line="276" w:lineRule="auto"/>
              <w:jc w:val="right"/>
              <w:rPr>
                <w:sz w:val="20"/>
                <w:szCs w:val="20"/>
              </w:rPr>
            </w:pPr>
            <w:r>
              <w:rPr>
                <w:sz w:val="20"/>
                <w:szCs w:val="20"/>
              </w:rPr>
              <w:t>1</w:t>
            </w:r>
          </w:p>
        </w:tc>
        <w:tc>
          <w:tcPr>
            <w:tcW w:w="1094" w:type="dxa"/>
          </w:tcPr>
          <w:p w:rsidRPr="00BB7053" w:rsidR="00FB22E6" w:rsidP="001212E7" w:rsidRDefault="00FB22E6" w14:paraId="6A5418D3" w14:textId="4476C788">
            <w:pPr>
              <w:keepNext/>
              <w:keepLines/>
              <w:tabs>
                <w:tab w:val="left" w:pos="6030"/>
              </w:tabs>
              <w:spacing w:line="276" w:lineRule="auto"/>
              <w:jc w:val="right"/>
              <w:rPr>
                <w:sz w:val="20"/>
                <w:szCs w:val="20"/>
              </w:rPr>
            </w:pPr>
            <w:r>
              <w:rPr>
                <w:sz w:val="20"/>
                <w:szCs w:val="20"/>
              </w:rPr>
              <w:t>3,741</w:t>
            </w:r>
          </w:p>
        </w:tc>
        <w:tc>
          <w:tcPr>
            <w:tcW w:w="1077" w:type="dxa"/>
          </w:tcPr>
          <w:p w:rsidRPr="00BB7053" w:rsidR="00FB22E6" w:rsidP="001212E7" w:rsidRDefault="00FB22E6" w14:paraId="3749397C" w14:textId="5159E213">
            <w:pPr>
              <w:keepNext/>
              <w:keepLines/>
              <w:tabs>
                <w:tab w:val="left" w:pos="6030"/>
              </w:tabs>
              <w:spacing w:line="276" w:lineRule="auto"/>
              <w:jc w:val="right"/>
              <w:rPr>
                <w:sz w:val="20"/>
                <w:szCs w:val="20"/>
              </w:rPr>
            </w:pPr>
            <w:r>
              <w:rPr>
                <w:sz w:val="20"/>
                <w:szCs w:val="20"/>
              </w:rPr>
              <w:t>1</w:t>
            </w:r>
          </w:p>
        </w:tc>
        <w:tc>
          <w:tcPr>
            <w:tcW w:w="1071" w:type="dxa"/>
          </w:tcPr>
          <w:p w:rsidRPr="00BB7053" w:rsidR="00FB22E6" w:rsidP="001212E7" w:rsidRDefault="00FB22E6" w14:paraId="0F2F13EE" w14:textId="1D76298B">
            <w:pPr>
              <w:keepNext/>
              <w:keepLines/>
              <w:tabs>
                <w:tab w:val="left" w:pos="6030"/>
              </w:tabs>
              <w:spacing w:line="276" w:lineRule="auto"/>
              <w:jc w:val="right"/>
              <w:rPr>
                <w:sz w:val="20"/>
                <w:szCs w:val="20"/>
              </w:rPr>
            </w:pPr>
            <w:r>
              <w:rPr>
                <w:sz w:val="20"/>
                <w:szCs w:val="20"/>
              </w:rPr>
              <w:t>3,741</w:t>
            </w:r>
          </w:p>
        </w:tc>
        <w:tc>
          <w:tcPr>
            <w:tcW w:w="1068" w:type="dxa"/>
          </w:tcPr>
          <w:p w:rsidRPr="00BB7053" w:rsidR="00FB22E6" w:rsidP="001212E7" w:rsidRDefault="00FB22E6" w14:paraId="1C1C48B0" w14:textId="0E89A50E">
            <w:pPr>
              <w:keepNext/>
              <w:keepLines/>
              <w:tabs>
                <w:tab w:val="left" w:pos="6030"/>
              </w:tabs>
              <w:spacing w:line="276" w:lineRule="auto"/>
              <w:jc w:val="right"/>
              <w:rPr>
                <w:sz w:val="20"/>
                <w:szCs w:val="20"/>
              </w:rPr>
            </w:pPr>
            <w:r>
              <w:rPr>
                <w:sz w:val="20"/>
                <w:szCs w:val="20"/>
              </w:rPr>
              <w:t>9</w:t>
            </w:r>
            <w:r w:rsidR="00344F5F">
              <w:rPr>
                <w:sz w:val="20"/>
                <w:szCs w:val="20"/>
              </w:rPr>
              <w:t>5.22</w:t>
            </w:r>
          </w:p>
        </w:tc>
        <w:tc>
          <w:tcPr>
            <w:tcW w:w="1410" w:type="dxa"/>
          </w:tcPr>
          <w:p w:rsidRPr="00BB7053" w:rsidR="00FB22E6" w:rsidP="001212E7" w:rsidRDefault="00FB22E6" w14:paraId="041D3666" w14:textId="518DCF2B">
            <w:pPr>
              <w:keepNext/>
              <w:keepLines/>
              <w:tabs>
                <w:tab w:val="left" w:pos="6030"/>
              </w:tabs>
              <w:spacing w:line="276" w:lineRule="auto"/>
              <w:jc w:val="right"/>
              <w:rPr>
                <w:sz w:val="20"/>
                <w:szCs w:val="20"/>
              </w:rPr>
            </w:pPr>
            <w:r>
              <w:rPr>
                <w:sz w:val="20"/>
                <w:szCs w:val="20"/>
              </w:rPr>
              <w:t>3</w:t>
            </w:r>
            <w:r w:rsidR="00037779">
              <w:rPr>
                <w:sz w:val="20"/>
                <w:szCs w:val="20"/>
              </w:rPr>
              <w:t>56,218</w:t>
            </w:r>
          </w:p>
        </w:tc>
      </w:tr>
      <w:tr w:rsidR="00FB22E6" w:rsidTr="00D26368" w14:paraId="1AEBBFA4" w14:textId="77777777">
        <w:tc>
          <w:tcPr>
            <w:tcW w:w="1251" w:type="dxa"/>
            <w:shd w:val="clear" w:color="auto" w:fill="D9D9D9" w:themeFill="background1" w:themeFillShade="D9"/>
          </w:tcPr>
          <w:p w:rsidRPr="00BB7053" w:rsidR="00FB22E6" w:rsidP="00FB22E6" w:rsidRDefault="00FB22E6" w14:paraId="2F4DBE6D"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FB22E6" w:rsidP="00FB22E6" w:rsidRDefault="00FB22E6" w14:paraId="548F373C" w14:textId="4EE24588">
            <w:pPr>
              <w:tabs>
                <w:tab w:val="left" w:pos="6030"/>
              </w:tabs>
              <w:spacing w:line="276" w:lineRule="auto"/>
              <w:jc w:val="right"/>
              <w:rPr>
                <w:sz w:val="20"/>
                <w:szCs w:val="20"/>
              </w:rPr>
            </w:pPr>
            <w:r w:rsidRPr="00224344">
              <w:rPr>
                <w:sz w:val="20"/>
                <w:szCs w:val="20"/>
              </w:rPr>
              <w:t>No change</w:t>
            </w:r>
          </w:p>
        </w:tc>
        <w:tc>
          <w:tcPr>
            <w:tcW w:w="1168" w:type="dxa"/>
            <w:shd w:val="clear" w:color="auto" w:fill="D9D9D9" w:themeFill="background1" w:themeFillShade="D9"/>
          </w:tcPr>
          <w:p w:rsidRPr="00BB7053" w:rsidR="00FB22E6" w:rsidP="00FB22E6" w:rsidRDefault="00FB22E6" w14:paraId="1546D842" w14:textId="5BA3A8A5">
            <w:pPr>
              <w:tabs>
                <w:tab w:val="left" w:pos="6030"/>
              </w:tabs>
              <w:spacing w:line="276" w:lineRule="auto"/>
              <w:jc w:val="right"/>
              <w:rPr>
                <w:sz w:val="20"/>
                <w:szCs w:val="20"/>
              </w:rPr>
            </w:pPr>
            <w:r w:rsidRPr="00224344">
              <w:rPr>
                <w:sz w:val="20"/>
                <w:szCs w:val="20"/>
              </w:rPr>
              <w:t>No change</w:t>
            </w:r>
          </w:p>
        </w:tc>
        <w:tc>
          <w:tcPr>
            <w:tcW w:w="1094" w:type="dxa"/>
            <w:shd w:val="clear" w:color="auto" w:fill="D9D9D9" w:themeFill="background1" w:themeFillShade="D9"/>
          </w:tcPr>
          <w:p w:rsidRPr="00BB7053" w:rsidR="00FB22E6" w:rsidP="00FB22E6" w:rsidRDefault="00FB22E6" w14:paraId="59E31F30" w14:textId="2C468104">
            <w:pPr>
              <w:tabs>
                <w:tab w:val="left" w:pos="6030"/>
              </w:tabs>
              <w:spacing w:line="276" w:lineRule="auto"/>
              <w:jc w:val="right"/>
              <w:rPr>
                <w:sz w:val="20"/>
                <w:szCs w:val="20"/>
              </w:rPr>
            </w:pPr>
            <w:r w:rsidRPr="00224344">
              <w:rPr>
                <w:sz w:val="20"/>
                <w:szCs w:val="20"/>
              </w:rPr>
              <w:t>No change</w:t>
            </w:r>
          </w:p>
        </w:tc>
        <w:tc>
          <w:tcPr>
            <w:tcW w:w="1077" w:type="dxa"/>
            <w:shd w:val="clear" w:color="auto" w:fill="D9D9D9" w:themeFill="background1" w:themeFillShade="D9"/>
          </w:tcPr>
          <w:p w:rsidRPr="00BB7053" w:rsidR="00FB22E6" w:rsidP="00FB22E6" w:rsidRDefault="00FB22E6" w14:paraId="79304BA7" w14:textId="7C746CA0">
            <w:pPr>
              <w:tabs>
                <w:tab w:val="left" w:pos="6030"/>
              </w:tabs>
              <w:spacing w:line="276" w:lineRule="auto"/>
              <w:jc w:val="right"/>
              <w:rPr>
                <w:sz w:val="20"/>
                <w:szCs w:val="20"/>
              </w:rPr>
            </w:pPr>
            <w:r w:rsidRPr="00224344">
              <w:rPr>
                <w:sz w:val="20"/>
                <w:szCs w:val="20"/>
              </w:rPr>
              <w:t>No change</w:t>
            </w:r>
          </w:p>
        </w:tc>
        <w:tc>
          <w:tcPr>
            <w:tcW w:w="1071" w:type="dxa"/>
            <w:shd w:val="clear" w:color="auto" w:fill="D9D9D9" w:themeFill="background1" w:themeFillShade="D9"/>
          </w:tcPr>
          <w:p w:rsidRPr="00BB7053" w:rsidR="00FB22E6" w:rsidP="00FB22E6" w:rsidRDefault="00FB22E6" w14:paraId="4CD32FFE" w14:textId="30312FA6">
            <w:pPr>
              <w:tabs>
                <w:tab w:val="left" w:pos="6030"/>
              </w:tabs>
              <w:spacing w:line="276" w:lineRule="auto"/>
              <w:jc w:val="right"/>
              <w:rPr>
                <w:sz w:val="20"/>
                <w:szCs w:val="20"/>
              </w:rPr>
            </w:pPr>
            <w:r w:rsidRPr="00224344">
              <w:rPr>
                <w:sz w:val="20"/>
                <w:szCs w:val="20"/>
              </w:rPr>
              <w:t>No change</w:t>
            </w:r>
          </w:p>
        </w:tc>
        <w:tc>
          <w:tcPr>
            <w:tcW w:w="1068" w:type="dxa"/>
            <w:shd w:val="clear" w:color="auto" w:fill="D9D9D9" w:themeFill="background1" w:themeFillShade="D9"/>
          </w:tcPr>
          <w:p w:rsidRPr="00BB7053" w:rsidR="00FB22E6" w:rsidP="00FB22E6" w:rsidRDefault="00FB22E6" w14:paraId="5CE4F385" w14:textId="4616143F">
            <w:pPr>
              <w:tabs>
                <w:tab w:val="left" w:pos="6030"/>
              </w:tabs>
              <w:spacing w:line="276" w:lineRule="auto"/>
              <w:jc w:val="right"/>
              <w:rPr>
                <w:sz w:val="20"/>
                <w:szCs w:val="20"/>
              </w:rPr>
            </w:pPr>
            <w:r w:rsidRPr="00224344">
              <w:rPr>
                <w:sz w:val="20"/>
                <w:szCs w:val="20"/>
              </w:rPr>
              <w:t>No change</w:t>
            </w:r>
          </w:p>
        </w:tc>
        <w:tc>
          <w:tcPr>
            <w:tcW w:w="1410" w:type="dxa"/>
            <w:shd w:val="clear" w:color="auto" w:fill="D9D9D9" w:themeFill="background1" w:themeFillShade="D9"/>
          </w:tcPr>
          <w:p w:rsidRPr="00BB7053" w:rsidR="00FB22E6" w:rsidP="00FB22E6" w:rsidRDefault="00FB22E6" w14:paraId="565F23C2" w14:textId="01712615">
            <w:pPr>
              <w:tabs>
                <w:tab w:val="left" w:pos="6030"/>
              </w:tabs>
              <w:spacing w:line="276" w:lineRule="auto"/>
              <w:jc w:val="right"/>
              <w:rPr>
                <w:sz w:val="20"/>
                <w:szCs w:val="20"/>
              </w:rPr>
            </w:pPr>
            <w:r w:rsidRPr="00224344">
              <w:rPr>
                <w:sz w:val="20"/>
                <w:szCs w:val="20"/>
              </w:rPr>
              <w:t>No change</w:t>
            </w:r>
          </w:p>
        </w:tc>
      </w:tr>
    </w:tbl>
    <w:p w:rsidR="003C6D38" w:rsidP="00BB7053" w:rsidRDefault="003C6D38" w14:paraId="23A2A5C4" w14:textId="5CB6E1D1">
      <w:pPr>
        <w:tabs>
          <w:tab w:val="left" w:pos="6030"/>
        </w:tabs>
        <w:spacing w:line="276" w:lineRule="auto"/>
        <w:jc w:val="both"/>
      </w:pPr>
    </w:p>
    <w:p w:rsidR="00885183" w:rsidP="00536031" w:rsidRDefault="00885183" w14:paraId="380090BA" w14:textId="4BFA1AE7">
      <w:pPr>
        <w:keepNext/>
        <w:keepLines/>
        <w:jc w:val="center"/>
        <w:rPr>
          <w:b/>
          <w:bCs/>
        </w:rPr>
      </w:pPr>
      <w:r w:rsidRPr="00B30713">
        <w:rPr>
          <w:rFonts w:eastAsia="Calibri"/>
          <w:b/>
          <w:bCs/>
        </w:rPr>
        <w:t xml:space="preserve">TABLE </w:t>
      </w:r>
      <w:r w:rsidR="00C1361E">
        <w:rPr>
          <w:rFonts w:eastAsia="Calibri"/>
          <w:b/>
          <w:bCs/>
        </w:rPr>
        <w:t>3</w:t>
      </w:r>
      <w:r w:rsidR="00756646">
        <w:rPr>
          <w:rFonts w:eastAsia="Calibri"/>
          <w:b/>
          <w:bCs/>
        </w:rPr>
        <w:t>8</w:t>
      </w:r>
      <w:r w:rsidR="00FB22E6">
        <w:rPr>
          <w:rFonts w:eastAsia="Calibri"/>
          <w:b/>
          <w:bCs/>
        </w:rPr>
        <w:t>E</w:t>
      </w:r>
      <w:r w:rsidRPr="00B30713">
        <w:rPr>
          <w:rFonts w:eastAsia="Calibri"/>
          <w:b/>
          <w:bCs/>
        </w:rPr>
        <w:t xml:space="preserve">: Burden Reconciliation for </w:t>
      </w:r>
      <w:r w:rsidRPr="00862C11" w:rsidR="00862C11">
        <w:rPr>
          <w:rFonts w:eastAsia="Calibri"/>
          <w:b/>
          <w:bCs/>
        </w:rPr>
        <w:t>Quality Performance Category Claims Collection Type</w:t>
      </w:r>
    </w:p>
    <w:tbl>
      <w:tblPr>
        <w:tblStyle w:val="TableGrid"/>
        <w:tblW w:w="9625" w:type="dxa"/>
        <w:tblLook w:val="04A0" w:firstRow="1" w:lastRow="0" w:firstColumn="1" w:lastColumn="0" w:noHBand="0" w:noVBand="1"/>
      </w:tblPr>
      <w:tblGrid>
        <w:gridCol w:w="1238"/>
        <w:gridCol w:w="1315"/>
        <w:gridCol w:w="1127"/>
        <w:gridCol w:w="1294"/>
        <w:gridCol w:w="1017"/>
        <w:gridCol w:w="1310"/>
        <w:gridCol w:w="888"/>
        <w:gridCol w:w="1436"/>
      </w:tblGrid>
      <w:tr w:rsidR="00885183" w:rsidTr="003830B0" w14:paraId="2C8C1EEF" w14:textId="77777777">
        <w:trPr>
          <w:cantSplit/>
          <w:tblHeader/>
        </w:trPr>
        <w:tc>
          <w:tcPr>
            <w:tcW w:w="1238" w:type="dxa"/>
          </w:tcPr>
          <w:p w:rsidRPr="001212E7" w:rsidR="00885183" w:rsidP="00536031" w:rsidRDefault="00885183" w14:paraId="08BD11F4" w14:textId="77777777">
            <w:pPr>
              <w:keepNext/>
              <w:keepLines/>
              <w:tabs>
                <w:tab w:val="left" w:pos="6030"/>
              </w:tabs>
              <w:spacing w:line="276" w:lineRule="auto"/>
              <w:jc w:val="both"/>
              <w:rPr>
                <w:b/>
                <w:bCs/>
                <w:sz w:val="20"/>
                <w:szCs w:val="20"/>
              </w:rPr>
            </w:pPr>
            <w:r w:rsidRPr="001212E7">
              <w:rPr>
                <w:b/>
                <w:bCs/>
                <w:sz w:val="20"/>
                <w:szCs w:val="20"/>
              </w:rPr>
              <w:t>Burden Category</w:t>
            </w:r>
          </w:p>
        </w:tc>
        <w:tc>
          <w:tcPr>
            <w:tcW w:w="1315" w:type="dxa"/>
          </w:tcPr>
          <w:p w:rsidRPr="001212E7" w:rsidR="00885183" w:rsidP="00536031" w:rsidRDefault="00885183" w14:paraId="58668412" w14:textId="77777777">
            <w:pPr>
              <w:keepNext/>
              <w:keepLines/>
              <w:tabs>
                <w:tab w:val="left" w:pos="6030"/>
              </w:tabs>
              <w:spacing w:line="276" w:lineRule="auto"/>
              <w:jc w:val="both"/>
              <w:rPr>
                <w:b/>
                <w:bCs/>
                <w:sz w:val="20"/>
                <w:szCs w:val="20"/>
              </w:rPr>
            </w:pPr>
            <w:r w:rsidRPr="001212E7">
              <w:rPr>
                <w:b/>
                <w:bCs/>
                <w:sz w:val="20"/>
                <w:szCs w:val="20"/>
              </w:rPr>
              <w:t>Total Annual Respondents</w:t>
            </w:r>
          </w:p>
        </w:tc>
        <w:tc>
          <w:tcPr>
            <w:tcW w:w="1127" w:type="dxa"/>
          </w:tcPr>
          <w:p w:rsidRPr="001212E7" w:rsidR="00885183" w:rsidP="00536031" w:rsidRDefault="00885183" w14:paraId="6FE59CD9" w14:textId="77777777">
            <w:pPr>
              <w:keepNext/>
              <w:keepLines/>
              <w:tabs>
                <w:tab w:val="left" w:pos="6030"/>
              </w:tabs>
              <w:spacing w:line="276" w:lineRule="auto"/>
              <w:jc w:val="both"/>
              <w:rPr>
                <w:b/>
                <w:bCs/>
                <w:sz w:val="20"/>
                <w:szCs w:val="20"/>
              </w:rPr>
            </w:pPr>
            <w:r w:rsidRPr="001212E7">
              <w:rPr>
                <w:b/>
                <w:bCs/>
                <w:sz w:val="20"/>
                <w:szCs w:val="20"/>
              </w:rPr>
              <w:t>Response Frequency (per year)</w:t>
            </w:r>
          </w:p>
        </w:tc>
        <w:tc>
          <w:tcPr>
            <w:tcW w:w="1294" w:type="dxa"/>
          </w:tcPr>
          <w:p w:rsidRPr="001212E7" w:rsidR="00885183" w:rsidP="00536031" w:rsidRDefault="00885183" w14:paraId="56BF29C4" w14:textId="77777777">
            <w:pPr>
              <w:keepNext/>
              <w:keepLines/>
              <w:tabs>
                <w:tab w:val="left" w:pos="6030"/>
              </w:tabs>
              <w:spacing w:line="276" w:lineRule="auto"/>
              <w:jc w:val="both"/>
              <w:rPr>
                <w:b/>
                <w:bCs/>
                <w:sz w:val="20"/>
                <w:szCs w:val="20"/>
              </w:rPr>
            </w:pPr>
            <w:r w:rsidRPr="001212E7">
              <w:rPr>
                <w:b/>
                <w:bCs/>
                <w:sz w:val="20"/>
                <w:szCs w:val="20"/>
              </w:rPr>
              <w:t>Total Annual Responses</w:t>
            </w:r>
          </w:p>
        </w:tc>
        <w:tc>
          <w:tcPr>
            <w:tcW w:w="1017" w:type="dxa"/>
          </w:tcPr>
          <w:p w:rsidRPr="001212E7" w:rsidR="00885183" w:rsidP="00536031" w:rsidRDefault="00885183" w14:paraId="7EB224A2" w14:textId="77777777">
            <w:pPr>
              <w:keepNext/>
              <w:keepLines/>
              <w:tabs>
                <w:tab w:val="left" w:pos="6030"/>
              </w:tabs>
              <w:spacing w:line="276" w:lineRule="auto"/>
              <w:rPr>
                <w:b/>
                <w:bCs/>
                <w:sz w:val="20"/>
                <w:szCs w:val="20"/>
              </w:rPr>
            </w:pPr>
            <w:r w:rsidRPr="001212E7">
              <w:rPr>
                <w:b/>
                <w:bCs/>
                <w:sz w:val="20"/>
                <w:szCs w:val="20"/>
              </w:rPr>
              <w:t>Time Per Response (hr)</w:t>
            </w:r>
          </w:p>
        </w:tc>
        <w:tc>
          <w:tcPr>
            <w:tcW w:w="1310" w:type="dxa"/>
          </w:tcPr>
          <w:p w:rsidRPr="001212E7" w:rsidR="00885183" w:rsidP="00536031" w:rsidRDefault="00885183" w14:paraId="1334524A" w14:textId="77777777">
            <w:pPr>
              <w:keepNext/>
              <w:keepLines/>
              <w:tabs>
                <w:tab w:val="left" w:pos="6030"/>
              </w:tabs>
              <w:spacing w:line="276" w:lineRule="auto"/>
              <w:jc w:val="both"/>
              <w:rPr>
                <w:b/>
                <w:bCs/>
                <w:sz w:val="20"/>
                <w:szCs w:val="20"/>
              </w:rPr>
            </w:pPr>
            <w:r w:rsidRPr="001212E7">
              <w:rPr>
                <w:b/>
                <w:bCs/>
                <w:sz w:val="20"/>
                <w:szCs w:val="20"/>
              </w:rPr>
              <w:t>Total Annual Time (hr)</w:t>
            </w:r>
          </w:p>
        </w:tc>
        <w:tc>
          <w:tcPr>
            <w:tcW w:w="888" w:type="dxa"/>
          </w:tcPr>
          <w:p w:rsidRPr="001212E7" w:rsidR="00885183" w:rsidP="00536031" w:rsidRDefault="00885183" w14:paraId="5945A90A" w14:textId="77777777">
            <w:pPr>
              <w:keepNext/>
              <w:keepLines/>
              <w:tabs>
                <w:tab w:val="left" w:pos="6030"/>
              </w:tabs>
              <w:spacing w:line="276" w:lineRule="auto"/>
              <w:jc w:val="both"/>
              <w:rPr>
                <w:b/>
                <w:bCs/>
                <w:sz w:val="20"/>
                <w:szCs w:val="20"/>
              </w:rPr>
            </w:pPr>
            <w:r w:rsidRPr="001212E7">
              <w:rPr>
                <w:b/>
                <w:bCs/>
                <w:sz w:val="20"/>
                <w:szCs w:val="20"/>
              </w:rPr>
              <w:t>Labor Cost ($/hr)</w:t>
            </w:r>
          </w:p>
        </w:tc>
        <w:tc>
          <w:tcPr>
            <w:tcW w:w="1436" w:type="dxa"/>
          </w:tcPr>
          <w:p w:rsidRPr="001212E7" w:rsidR="00885183" w:rsidP="00536031" w:rsidRDefault="00885183" w14:paraId="6072BB66" w14:textId="77777777">
            <w:pPr>
              <w:keepNext/>
              <w:keepLines/>
              <w:tabs>
                <w:tab w:val="left" w:pos="6030"/>
              </w:tabs>
              <w:spacing w:line="276" w:lineRule="auto"/>
              <w:rPr>
                <w:b/>
                <w:bCs/>
                <w:sz w:val="20"/>
                <w:szCs w:val="20"/>
              </w:rPr>
            </w:pPr>
            <w:r w:rsidRPr="001212E7">
              <w:rPr>
                <w:b/>
                <w:bCs/>
                <w:sz w:val="20"/>
                <w:szCs w:val="20"/>
              </w:rPr>
              <w:t>Total Annual Cost ($)</w:t>
            </w:r>
          </w:p>
        </w:tc>
      </w:tr>
      <w:tr w:rsidR="00555018" w:rsidTr="003830B0" w14:paraId="755C8675" w14:textId="77777777">
        <w:trPr>
          <w:cantSplit/>
        </w:trPr>
        <w:tc>
          <w:tcPr>
            <w:tcW w:w="1238" w:type="dxa"/>
          </w:tcPr>
          <w:p w:rsidRPr="00BB7053" w:rsidR="00555018" w:rsidP="00555018" w:rsidRDefault="00555018" w14:paraId="168B795D" w14:textId="734B187C">
            <w:pPr>
              <w:tabs>
                <w:tab w:val="left" w:pos="6030"/>
              </w:tabs>
              <w:spacing w:line="276" w:lineRule="auto"/>
              <w:jc w:val="both"/>
              <w:rPr>
                <w:sz w:val="20"/>
                <w:szCs w:val="20"/>
              </w:rPr>
            </w:pPr>
            <w:r>
              <w:rPr>
                <w:sz w:val="20"/>
                <w:szCs w:val="20"/>
              </w:rPr>
              <w:t>Currently Approved</w:t>
            </w:r>
            <w:r w:rsidR="00E4635E">
              <w:rPr>
                <w:sz w:val="20"/>
                <w:szCs w:val="20"/>
              </w:rPr>
              <w:t xml:space="preserve"> </w:t>
            </w:r>
            <w:r w:rsidRPr="00E4635E" w:rsidR="00E4635E">
              <w:rPr>
                <w:bCs/>
                <w:sz w:val="20"/>
                <w:szCs w:val="20"/>
              </w:rPr>
              <w:t>(202</w:t>
            </w:r>
            <w:r w:rsidR="00D775A0">
              <w:rPr>
                <w:bCs/>
                <w:sz w:val="20"/>
                <w:szCs w:val="20"/>
              </w:rPr>
              <w:t>2</w:t>
            </w:r>
            <w:r w:rsidRPr="00E4635E" w:rsidR="00E4635E">
              <w:rPr>
                <w:bCs/>
                <w:sz w:val="20"/>
                <w:szCs w:val="20"/>
              </w:rPr>
              <w:t xml:space="preserve"> MIPS Performance Period)</w:t>
            </w:r>
          </w:p>
        </w:tc>
        <w:tc>
          <w:tcPr>
            <w:tcW w:w="1315" w:type="dxa"/>
          </w:tcPr>
          <w:p w:rsidRPr="00BB7053" w:rsidR="00555018" w:rsidP="00555018" w:rsidRDefault="00A11E26" w14:paraId="7FBBA3A5" w14:textId="7C24E73D">
            <w:pPr>
              <w:tabs>
                <w:tab w:val="left" w:pos="6030"/>
              </w:tabs>
              <w:spacing w:line="276" w:lineRule="auto"/>
              <w:jc w:val="right"/>
              <w:rPr>
                <w:sz w:val="20"/>
                <w:szCs w:val="20"/>
              </w:rPr>
            </w:pPr>
            <w:r w:rsidRPr="00A11E26">
              <w:rPr>
                <w:sz w:val="20"/>
                <w:szCs w:val="20"/>
              </w:rPr>
              <w:t>29,273</w:t>
            </w:r>
          </w:p>
        </w:tc>
        <w:tc>
          <w:tcPr>
            <w:tcW w:w="1127" w:type="dxa"/>
          </w:tcPr>
          <w:p w:rsidRPr="00BB7053" w:rsidR="00555018" w:rsidP="00555018" w:rsidRDefault="00555018" w14:paraId="5C82005A" w14:textId="4B025CAC">
            <w:pPr>
              <w:tabs>
                <w:tab w:val="left" w:pos="6030"/>
              </w:tabs>
              <w:spacing w:line="276" w:lineRule="auto"/>
              <w:jc w:val="right"/>
              <w:rPr>
                <w:sz w:val="20"/>
                <w:szCs w:val="20"/>
              </w:rPr>
            </w:pPr>
            <w:r>
              <w:rPr>
                <w:sz w:val="20"/>
                <w:szCs w:val="20"/>
              </w:rPr>
              <w:t>1</w:t>
            </w:r>
          </w:p>
        </w:tc>
        <w:tc>
          <w:tcPr>
            <w:tcW w:w="1294" w:type="dxa"/>
          </w:tcPr>
          <w:p w:rsidRPr="00BB7053" w:rsidR="00555018" w:rsidP="00555018" w:rsidRDefault="00A11E26" w14:paraId="02547004" w14:textId="2EC80F10">
            <w:pPr>
              <w:tabs>
                <w:tab w:val="left" w:pos="6030"/>
              </w:tabs>
              <w:spacing w:line="276" w:lineRule="auto"/>
              <w:jc w:val="right"/>
              <w:rPr>
                <w:sz w:val="20"/>
                <w:szCs w:val="20"/>
              </w:rPr>
            </w:pPr>
            <w:r w:rsidRPr="00A11E26">
              <w:rPr>
                <w:sz w:val="20"/>
                <w:szCs w:val="20"/>
              </w:rPr>
              <w:t>29,273</w:t>
            </w:r>
          </w:p>
        </w:tc>
        <w:tc>
          <w:tcPr>
            <w:tcW w:w="1017" w:type="dxa"/>
          </w:tcPr>
          <w:p w:rsidRPr="00BB7053" w:rsidR="00555018" w:rsidP="00555018" w:rsidRDefault="00555018" w14:paraId="7C59EB78" w14:textId="137C46D0">
            <w:pPr>
              <w:tabs>
                <w:tab w:val="left" w:pos="6030"/>
              </w:tabs>
              <w:spacing w:line="276" w:lineRule="auto"/>
              <w:jc w:val="right"/>
              <w:rPr>
                <w:sz w:val="20"/>
                <w:szCs w:val="20"/>
              </w:rPr>
            </w:pPr>
            <w:r>
              <w:rPr>
                <w:sz w:val="20"/>
                <w:szCs w:val="20"/>
              </w:rPr>
              <w:t>14.2</w:t>
            </w:r>
          </w:p>
        </w:tc>
        <w:tc>
          <w:tcPr>
            <w:tcW w:w="1310" w:type="dxa"/>
          </w:tcPr>
          <w:p w:rsidRPr="00BB7053" w:rsidR="00555018" w:rsidP="00555018" w:rsidRDefault="00A11E26" w14:paraId="20AB4645" w14:textId="4BF6B50C">
            <w:pPr>
              <w:tabs>
                <w:tab w:val="left" w:pos="6030"/>
              </w:tabs>
              <w:spacing w:line="276" w:lineRule="auto"/>
              <w:jc w:val="right"/>
              <w:rPr>
                <w:sz w:val="20"/>
                <w:szCs w:val="20"/>
              </w:rPr>
            </w:pPr>
            <w:r w:rsidRPr="00A11E26">
              <w:rPr>
                <w:sz w:val="20"/>
                <w:szCs w:val="20"/>
              </w:rPr>
              <w:t>415,677</w:t>
            </w:r>
          </w:p>
        </w:tc>
        <w:tc>
          <w:tcPr>
            <w:tcW w:w="888" w:type="dxa"/>
          </w:tcPr>
          <w:p w:rsidRPr="00BB7053" w:rsidR="00555018" w:rsidP="00555018" w:rsidRDefault="00555018" w14:paraId="65B39038" w14:textId="3E6CFF07">
            <w:pPr>
              <w:tabs>
                <w:tab w:val="left" w:pos="6030"/>
              </w:tabs>
              <w:spacing w:line="276" w:lineRule="auto"/>
              <w:jc w:val="right"/>
              <w:rPr>
                <w:sz w:val="20"/>
                <w:szCs w:val="20"/>
              </w:rPr>
            </w:pPr>
            <w:r>
              <w:rPr>
                <w:sz w:val="20"/>
                <w:szCs w:val="20"/>
              </w:rPr>
              <w:t>Varies</w:t>
            </w:r>
          </w:p>
        </w:tc>
        <w:tc>
          <w:tcPr>
            <w:tcW w:w="1436" w:type="dxa"/>
          </w:tcPr>
          <w:p w:rsidRPr="00BB7053" w:rsidR="00555018" w:rsidP="00555018" w:rsidRDefault="004009B0" w14:paraId="34B0954D" w14:textId="63A8B730">
            <w:pPr>
              <w:tabs>
                <w:tab w:val="left" w:pos="6030"/>
              </w:tabs>
              <w:spacing w:line="276" w:lineRule="auto"/>
              <w:jc w:val="right"/>
              <w:rPr>
                <w:sz w:val="20"/>
                <w:szCs w:val="20"/>
              </w:rPr>
            </w:pPr>
            <w:r>
              <w:rPr>
                <w:sz w:val="20"/>
                <w:szCs w:val="20"/>
              </w:rPr>
              <w:t>41,</w:t>
            </w:r>
            <w:r w:rsidR="007441C6">
              <w:rPr>
                <w:sz w:val="20"/>
                <w:szCs w:val="20"/>
              </w:rPr>
              <w:t>630,421</w:t>
            </w:r>
          </w:p>
        </w:tc>
      </w:tr>
      <w:tr w:rsidR="00555018" w:rsidTr="003830B0" w14:paraId="1C0F00DB" w14:textId="77777777">
        <w:trPr>
          <w:cantSplit/>
        </w:trPr>
        <w:tc>
          <w:tcPr>
            <w:tcW w:w="1238" w:type="dxa"/>
          </w:tcPr>
          <w:p w:rsidR="00765026" w:rsidP="00192E2E" w:rsidRDefault="00765026" w14:paraId="2553A2C0" w14:textId="77777777">
            <w:pPr>
              <w:tabs>
                <w:tab w:val="left" w:pos="6030"/>
              </w:tabs>
              <w:spacing w:line="276" w:lineRule="auto"/>
              <w:rPr>
                <w:sz w:val="20"/>
                <w:szCs w:val="20"/>
              </w:rPr>
            </w:pPr>
            <w:r>
              <w:rPr>
                <w:sz w:val="20"/>
                <w:szCs w:val="20"/>
              </w:rPr>
              <w:lastRenderedPageBreak/>
              <w:t>Proposed</w:t>
            </w:r>
          </w:p>
          <w:p w:rsidRPr="00BB7053" w:rsidR="00555018" w:rsidP="00192E2E" w:rsidRDefault="00A67FD9" w14:paraId="799F2E63" w14:textId="2DA46E61">
            <w:pPr>
              <w:tabs>
                <w:tab w:val="left" w:pos="6030"/>
              </w:tabs>
              <w:spacing w:line="276" w:lineRule="auto"/>
              <w:rPr>
                <w:sz w:val="20"/>
                <w:szCs w:val="20"/>
              </w:rPr>
            </w:pPr>
            <w:r>
              <w:rPr>
                <w:sz w:val="20"/>
                <w:szCs w:val="20"/>
              </w:rPr>
              <w:t xml:space="preserve"> </w:t>
            </w:r>
            <w:r w:rsidR="006A6349">
              <w:rPr>
                <w:sz w:val="20"/>
                <w:szCs w:val="20"/>
              </w:rPr>
              <w:t>(</w:t>
            </w:r>
            <w:r w:rsidR="008B335B">
              <w:rPr>
                <w:sz w:val="20"/>
                <w:szCs w:val="20"/>
              </w:rPr>
              <w:t>2022</w:t>
            </w:r>
            <w:r w:rsidR="00B16A4B">
              <w:rPr>
                <w:sz w:val="20"/>
                <w:szCs w:val="20"/>
              </w:rPr>
              <w:t xml:space="preserve"> </w:t>
            </w:r>
            <w:r w:rsidR="006A6349">
              <w:rPr>
                <w:sz w:val="20"/>
                <w:szCs w:val="20"/>
              </w:rPr>
              <w:t xml:space="preserve">MIPS Performance Period) </w:t>
            </w:r>
            <w:r w:rsidRPr="00A67FD9">
              <w:rPr>
                <w:sz w:val="20"/>
                <w:szCs w:val="20"/>
              </w:rPr>
              <w:t>(See Table 10)</w:t>
            </w:r>
          </w:p>
        </w:tc>
        <w:tc>
          <w:tcPr>
            <w:tcW w:w="1315" w:type="dxa"/>
          </w:tcPr>
          <w:p w:rsidRPr="00BB7053" w:rsidR="00555018" w:rsidP="00555018" w:rsidRDefault="00F5178A" w14:paraId="6AC37DC7" w14:textId="0AC0375B">
            <w:pPr>
              <w:tabs>
                <w:tab w:val="left" w:pos="6030"/>
              </w:tabs>
              <w:spacing w:line="276" w:lineRule="auto"/>
              <w:jc w:val="right"/>
              <w:rPr>
                <w:sz w:val="20"/>
                <w:szCs w:val="20"/>
              </w:rPr>
            </w:pPr>
            <w:r>
              <w:rPr>
                <w:sz w:val="20"/>
                <w:szCs w:val="20"/>
              </w:rPr>
              <w:t>2</w:t>
            </w:r>
            <w:r w:rsidR="000D1E6B">
              <w:rPr>
                <w:sz w:val="20"/>
                <w:szCs w:val="20"/>
              </w:rPr>
              <w:t>8,252</w:t>
            </w:r>
          </w:p>
        </w:tc>
        <w:tc>
          <w:tcPr>
            <w:tcW w:w="1127" w:type="dxa"/>
          </w:tcPr>
          <w:p w:rsidRPr="00BB7053" w:rsidR="00555018" w:rsidP="00555018" w:rsidRDefault="00555018" w14:paraId="68BD3832" w14:textId="280EFBFE">
            <w:pPr>
              <w:tabs>
                <w:tab w:val="left" w:pos="6030"/>
              </w:tabs>
              <w:spacing w:line="276" w:lineRule="auto"/>
              <w:jc w:val="right"/>
              <w:rPr>
                <w:sz w:val="20"/>
                <w:szCs w:val="20"/>
              </w:rPr>
            </w:pPr>
            <w:r>
              <w:rPr>
                <w:sz w:val="20"/>
                <w:szCs w:val="20"/>
              </w:rPr>
              <w:t>1</w:t>
            </w:r>
          </w:p>
        </w:tc>
        <w:tc>
          <w:tcPr>
            <w:tcW w:w="1294" w:type="dxa"/>
          </w:tcPr>
          <w:p w:rsidRPr="00BB7053" w:rsidR="00555018" w:rsidP="00555018" w:rsidRDefault="00F5178A" w14:paraId="3E21CE80" w14:textId="0B1845D9">
            <w:pPr>
              <w:tabs>
                <w:tab w:val="left" w:pos="6030"/>
              </w:tabs>
              <w:spacing w:line="276" w:lineRule="auto"/>
              <w:jc w:val="right"/>
              <w:rPr>
                <w:sz w:val="20"/>
                <w:szCs w:val="20"/>
              </w:rPr>
            </w:pPr>
            <w:r>
              <w:rPr>
                <w:sz w:val="20"/>
                <w:szCs w:val="20"/>
              </w:rPr>
              <w:t>2</w:t>
            </w:r>
            <w:r w:rsidR="000D1E6B">
              <w:rPr>
                <w:sz w:val="20"/>
                <w:szCs w:val="20"/>
              </w:rPr>
              <w:t>8,252</w:t>
            </w:r>
          </w:p>
        </w:tc>
        <w:tc>
          <w:tcPr>
            <w:tcW w:w="1017" w:type="dxa"/>
          </w:tcPr>
          <w:p w:rsidRPr="00BB7053" w:rsidR="00555018" w:rsidP="00555018" w:rsidRDefault="00555018" w14:paraId="31FBD367" w14:textId="61841EB2">
            <w:pPr>
              <w:tabs>
                <w:tab w:val="left" w:pos="6030"/>
              </w:tabs>
              <w:spacing w:line="276" w:lineRule="auto"/>
              <w:jc w:val="right"/>
              <w:rPr>
                <w:sz w:val="20"/>
                <w:szCs w:val="20"/>
              </w:rPr>
            </w:pPr>
            <w:r>
              <w:rPr>
                <w:sz w:val="20"/>
                <w:szCs w:val="20"/>
              </w:rPr>
              <w:t>14.2</w:t>
            </w:r>
          </w:p>
        </w:tc>
        <w:tc>
          <w:tcPr>
            <w:tcW w:w="1310" w:type="dxa"/>
          </w:tcPr>
          <w:p w:rsidRPr="00BB7053" w:rsidR="00555018" w:rsidP="00555018" w:rsidRDefault="00F5178A" w14:paraId="24E9D429" w14:textId="3D3C5A9E">
            <w:pPr>
              <w:tabs>
                <w:tab w:val="left" w:pos="6030"/>
              </w:tabs>
              <w:spacing w:line="276" w:lineRule="auto"/>
              <w:jc w:val="right"/>
              <w:rPr>
                <w:sz w:val="20"/>
                <w:szCs w:val="20"/>
              </w:rPr>
            </w:pPr>
            <w:r>
              <w:rPr>
                <w:sz w:val="20"/>
                <w:szCs w:val="20"/>
              </w:rPr>
              <w:t>4</w:t>
            </w:r>
            <w:r w:rsidR="000D1E6B">
              <w:rPr>
                <w:sz w:val="20"/>
                <w:szCs w:val="20"/>
              </w:rPr>
              <w:t>01,178</w:t>
            </w:r>
          </w:p>
        </w:tc>
        <w:tc>
          <w:tcPr>
            <w:tcW w:w="888" w:type="dxa"/>
          </w:tcPr>
          <w:p w:rsidRPr="00BB7053" w:rsidR="00555018" w:rsidP="00555018" w:rsidRDefault="00555018" w14:paraId="397CF625" w14:textId="3EA75ADC">
            <w:pPr>
              <w:tabs>
                <w:tab w:val="left" w:pos="6030"/>
              </w:tabs>
              <w:spacing w:line="276" w:lineRule="auto"/>
              <w:jc w:val="right"/>
              <w:rPr>
                <w:sz w:val="20"/>
                <w:szCs w:val="20"/>
              </w:rPr>
            </w:pPr>
            <w:r>
              <w:rPr>
                <w:sz w:val="20"/>
                <w:szCs w:val="20"/>
              </w:rPr>
              <w:t>Varies</w:t>
            </w:r>
          </w:p>
        </w:tc>
        <w:tc>
          <w:tcPr>
            <w:tcW w:w="1436" w:type="dxa"/>
          </w:tcPr>
          <w:p w:rsidRPr="00BB7053" w:rsidR="00555018" w:rsidP="00555018" w:rsidRDefault="0022078F" w14:paraId="09FBCDB3" w14:textId="5A888646">
            <w:pPr>
              <w:tabs>
                <w:tab w:val="left" w:pos="6030"/>
              </w:tabs>
              <w:spacing w:line="276" w:lineRule="auto"/>
              <w:jc w:val="right"/>
              <w:rPr>
                <w:sz w:val="20"/>
                <w:szCs w:val="20"/>
              </w:rPr>
            </w:pPr>
            <w:r>
              <w:rPr>
                <w:sz w:val="20"/>
                <w:szCs w:val="20"/>
              </w:rPr>
              <w:t>40</w:t>
            </w:r>
            <w:r w:rsidR="00675AF1">
              <w:rPr>
                <w:sz w:val="20"/>
                <w:szCs w:val="20"/>
              </w:rPr>
              <w:t>,372,</w:t>
            </w:r>
            <w:r w:rsidR="00267E03">
              <w:rPr>
                <w:sz w:val="20"/>
                <w:szCs w:val="20"/>
              </w:rPr>
              <w:t>673</w:t>
            </w:r>
          </w:p>
        </w:tc>
      </w:tr>
      <w:tr w:rsidR="006A6349" w:rsidTr="005255DD" w14:paraId="2985E698" w14:textId="77777777">
        <w:trPr>
          <w:cantSplit/>
        </w:trPr>
        <w:tc>
          <w:tcPr>
            <w:tcW w:w="1238" w:type="dxa"/>
            <w:shd w:val="clear" w:color="auto" w:fill="D9D9D9" w:themeFill="background1" w:themeFillShade="D9"/>
          </w:tcPr>
          <w:p w:rsidRPr="00BB7053" w:rsidR="00555018" w:rsidP="00555018" w:rsidRDefault="00555018" w14:paraId="06A08736" w14:textId="182B520A">
            <w:pPr>
              <w:tabs>
                <w:tab w:val="left" w:pos="6030"/>
              </w:tabs>
              <w:spacing w:line="276" w:lineRule="auto"/>
              <w:jc w:val="both"/>
              <w:rPr>
                <w:sz w:val="20"/>
                <w:szCs w:val="20"/>
              </w:rPr>
            </w:pPr>
            <w:r>
              <w:rPr>
                <w:sz w:val="20"/>
                <w:szCs w:val="20"/>
              </w:rPr>
              <w:t>Adjustment</w:t>
            </w:r>
            <w:r w:rsidR="00DF2470">
              <w:rPr>
                <w:sz w:val="20"/>
                <w:szCs w:val="20"/>
              </w:rPr>
              <w:t xml:space="preserve"> </w:t>
            </w:r>
          </w:p>
        </w:tc>
        <w:tc>
          <w:tcPr>
            <w:tcW w:w="1315" w:type="dxa"/>
            <w:shd w:val="clear" w:color="auto" w:fill="D9D9D9" w:themeFill="background1" w:themeFillShade="D9"/>
          </w:tcPr>
          <w:p w:rsidRPr="00BB7053" w:rsidR="00555018" w:rsidP="00555018" w:rsidRDefault="00555018" w14:paraId="576FD831" w14:textId="2AC3FBA5">
            <w:pPr>
              <w:tabs>
                <w:tab w:val="left" w:pos="6030"/>
              </w:tabs>
              <w:spacing w:line="276" w:lineRule="auto"/>
              <w:jc w:val="right"/>
              <w:rPr>
                <w:sz w:val="20"/>
                <w:szCs w:val="20"/>
              </w:rPr>
            </w:pPr>
            <w:r>
              <w:rPr>
                <w:sz w:val="20"/>
                <w:szCs w:val="20"/>
              </w:rPr>
              <w:t>-</w:t>
            </w:r>
            <w:r w:rsidR="006E7872">
              <w:rPr>
                <w:sz w:val="20"/>
                <w:szCs w:val="20"/>
              </w:rPr>
              <w:t>1,021</w:t>
            </w:r>
          </w:p>
        </w:tc>
        <w:tc>
          <w:tcPr>
            <w:tcW w:w="1127" w:type="dxa"/>
            <w:shd w:val="clear" w:color="auto" w:fill="D9D9D9" w:themeFill="background1" w:themeFillShade="D9"/>
          </w:tcPr>
          <w:p w:rsidRPr="00BB7053" w:rsidR="00555018" w:rsidP="00555018" w:rsidRDefault="00555018" w14:paraId="78C5A4C4" w14:textId="17FC59AB">
            <w:pPr>
              <w:tabs>
                <w:tab w:val="left" w:pos="6030"/>
              </w:tabs>
              <w:spacing w:line="276" w:lineRule="auto"/>
              <w:jc w:val="right"/>
              <w:rPr>
                <w:sz w:val="20"/>
                <w:szCs w:val="20"/>
              </w:rPr>
            </w:pPr>
            <w:r>
              <w:rPr>
                <w:sz w:val="20"/>
                <w:szCs w:val="20"/>
              </w:rPr>
              <w:t>No change</w:t>
            </w:r>
          </w:p>
        </w:tc>
        <w:tc>
          <w:tcPr>
            <w:tcW w:w="1294" w:type="dxa"/>
            <w:shd w:val="clear" w:color="auto" w:fill="D9D9D9" w:themeFill="background1" w:themeFillShade="D9"/>
          </w:tcPr>
          <w:p w:rsidRPr="00BB7053" w:rsidR="00555018" w:rsidP="00555018" w:rsidRDefault="00555018" w14:paraId="514EF2A8" w14:textId="3B99C0FC">
            <w:pPr>
              <w:tabs>
                <w:tab w:val="left" w:pos="6030"/>
              </w:tabs>
              <w:spacing w:line="276" w:lineRule="auto"/>
              <w:jc w:val="right"/>
              <w:rPr>
                <w:sz w:val="20"/>
                <w:szCs w:val="20"/>
              </w:rPr>
            </w:pPr>
            <w:r>
              <w:rPr>
                <w:sz w:val="20"/>
                <w:szCs w:val="20"/>
              </w:rPr>
              <w:t>-</w:t>
            </w:r>
            <w:r w:rsidR="00CB7F9A">
              <w:rPr>
                <w:sz w:val="20"/>
                <w:szCs w:val="20"/>
              </w:rPr>
              <w:t>1,021</w:t>
            </w:r>
          </w:p>
        </w:tc>
        <w:tc>
          <w:tcPr>
            <w:tcW w:w="1017" w:type="dxa"/>
            <w:shd w:val="clear" w:color="auto" w:fill="D9D9D9" w:themeFill="background1" w:themeFillShade="D9"/>
          </w:tcPr>
          <w:p w:rsidRPr="00BB7053" w:rsidR="00555018" w:rsidP="00555018" w:rsidRDefault="00555018" w14:paraId="5CBFEFD2" w14:textId="46BED106">
            <w:pPr>
              <w:tabs>
                <w:tab w:val="left" w:pos="6030"/>
              </w:tabs>
              <w:spacing w:line="276" w:lineRule="auto"/>
              <w:jc w:val="right"/>
              <w:rPr>
                <w:sz w:val="20"/>
                <w:szCs w:val="20"/>
              </w:rPr>
            </w:pPr>
            <w:r>
              <w:rPr>
                <w:sz w:val="20"/>
                <w:szCs w:val="20"/>
              </w:rPr>
              <w:t>No change</w:t>
            </w:r>
          </w:p>
        </w:tc>
        <w:tc>
          <w:tcPr>
            <w:tcW w:w="1310" w:type="dxa"/>
            <w:shd w:val="clear" w:color="auto" w:fill="D9D9D9" w:themeFill="background1" w:themeFillShade="D9"/>
          </w:tcPr>
          <w:p w:rsidRPr="00BB7053" w:rsidR="00555018" w:rsidP="00555018" w:rsidRDefault="00555018" w14:paraId="4A602E7E" w14:textId="148D476F">
            <w:pPr>
              <w:tabs>
                <w:tab w:val="left" w:pos="6030"/>
              </w:tabs>
              <w:spacing w:line="276" w:lineRule="auto"/>
              <w:jc w:val="right"/>
              <w:rPr>
                <w:sz w:val="20"/>
                <w:szCs w:val="20"/>
              </w:rPr>
            </w:pPr>
            <w:r>
              <w:rPr>
                <w:sz w:val="20"/>
                <w:szCs w:val="20"/>
              </w:rPr>
              <w:t>-</w:t>
            </w:r>
            <w:r w:rsidR="008F20F7">
              <w:rPr>
                <w:sz w:val="20"/>
                <w:szCs w:val="20"/>
              </w:rPr>
              <w:t>14,499</w:t>
            </w:r>
          </w:p>
        </w:tc>
        <w:tc>
          <w:tcPr>
            <w:tcW w:w="888" w:type="dxa"/>
            <w:shd w:val="clear" w:color="auto" w:fill="D9D9D9" w:themeFill="background1" w:themeFillShade="D9"/>
          </w:tcPr>
          <w:p w:rsidRPr="00BB7053" w:rsidR="00555018" w:rsidP="00555018" w:rsidRDefault="00555018" w14:paraId="66E4847E" w14:textId="2BE95409">
            <w:pPr>
              <w:tabs>
                <w:tab w:val="left" w:pos="6030"/>
              </w:tabs>
              <w:spacing w:line="276" w:lineRule="auto"/>
              <w:jc w:val="right"/>
              <w:rPr>
                <w:sz w:val="20"/>
                <w:szCs w:val="20"/>
              </w:rPr>
            </w:pPr>
            <w:r>
              <w:rPr>
                <w:sz w:val="20"/>
                <w:szCs w:val="20"/>
              </w:rPr>
              <w:t>No change</w:t>
            </w:r>
          </w:p>
        </w:tc>
        <w:tc>
          <w:tcPr>
            <w:tcW w:w="1436" w:type="dxa"/>
            <w:shd w:val="clear" w:color="auto" w:fill="D9D9D9" w:themeFill="background1" w:themeFillShade="D9"/>
          </w:tcPr>
          <w:p w:rsidRPr="00BB7053" w:rsidR="00555018" w:rsidP="00555018" w:rsidRDefault="00555018" w14:paraId="67BBC51D" w14:textId="42942377">
            <w:pPr>
              <w:tabs>
                <w:tab w:val="left" w:pos="6030"/>
              </w:tabs>
              <w:spacing w:line="276" w:lineRule="auto"/>
              <w:jc w:val="right"/>
              <w:rPr>
                <w:sz w:val="20"/>
                <w:szCs w:val="20"/>
              </w:rPr>
            </w:pPr>
            <w:r>
              <w:rPr>
                <w:sz w:val="20"/>
                <w:szCs w:val="20"/>
              </w:rPr>
              <w:t>-</w:t>
            </w:r>
            <w:r w:rsidR="00814B2D">
              <w:rPr>
                <w:sz w:val="20"/>
                <w:szCs w:val="20"/>
              </w:rPr>
              <w:t>1,</w:t>
            </w:r>
            <w:r w:rsidR="007441C6">
              <w:rPr>
                <w:sz w:val="20"/>
                <w:szCs w:val="20"/>
              </w:rPr>
              <w:t>257,748</w:t>
            </w:r>
          </w:p>
        </w:tc>
      </w:tr>
    </w:tbl>
    <w:p w:rsidR="00885183" w:rsidP="00BB7053" w:rsidRDefault="00885183" w14:paraId="6F01ED7C" w14:textId="10EC0EC4">
      <w:pPr>
        <w:tabs>
          <w:tab w:val="left" w:pos="6030"/>
        </w:tabs>
        <w:spacing w:line="276" w:lineRule="auto"/>
        <w:jc w:val="both"/>
      </w:pPr>
    </w:p>
    <w:p w:rsidR="00885183" w:rsidP="00F377C1" w:rsidRDefault="00885183" w14:paraId="3CA84BC7" w14:textId="3AED1A47">
      <w:pPr>
        <w:keepNext/>
        <w:keepLines/>
        <w:jc w:val="center"/>
        <w:rPr>
          <w:b/>
          <w:bCs/>
        </w:rPr>
      </w:pPr>
      <w:r w:rsidRPr="00B30713">
        <w:rPr>
          <w:rFonts w:eastAsia="Calibri"/>
          <w:b/>
          <w:bCs/>
        </w:rPr>
        <w:t xml:space="preserve">TABLE </w:t>
      </w:r>
      <w:r w:rsidR="00C1361E">
        <w:rPr>
          <w:rFonts w:eastAsia="Calibri"/>
          <w:b/>
          <w:bCs/>
        </w:rPr>
        <w:t>3</w:t>
      </w:r>
      <w:r w:rsidR="00756646">
        <w:rPr>
          <w:rFonts w:eastAsia="Calibri"/>
          <w:b/>
          <w:bCs/>
        </w:rPr>
        <w:t>8</w:t>
      </w:r>
      <w:r w:rsidR="00485336">
        <w:rPr>
          <w:rFonts w:eastAsia="Calibri"/>
          <w:b/>
          <w:bCs/>
        </w:rPr>
        <w:t>F</w:t>
      </w:r>
      <w:r w:rsidRPr="00B30713">
        <w:rPr>
          <w:rFonts w:eastAsia="Calibri"/>
          <w:b/>
          <w:bCs/>
        </w:rPr>
        <w:t xml:space="preserve">: Burden Reconciliation for </w:t>
      </w:r>
      <w:r w:rsidRPr="00485336" w:rsidR="00485336">
        <w:rPr>
          <w:rFonts w:eastAsia="Calibri"/>
          <w:b/>
          <w:bCs/>
        </w:rPr>
        <w:t>Quality Performance Category QCDR/MIPS CQM Collection Type</w:t>
      </w:r>
    </w:p>
    <w:tbl>
      <w:tblPr>
        <w:tblStyle w:val="TableGrid"/>
        <w:tblW w:w="9990" w:type="dxa"/>
        <w:tblInd w:w="-275" w:type="dxa"/>
        <w:tblLayout w:type="fixed"/>
        <w:tblLook w:val="04A0" w:firstRow="1" w:lastRow="0" w:firstColumn="1" w:lastColumn="0" w:noHBand="0" w:noVBand="1"/>
      </w:tblPr>
      <w:tblGrid>
        <w:gridCol w:w="1350"/>
        <w:gridCol w:w="1358"/>
        <w:gridCol w:w="1276"/>
        <w:gridCol w:w="1326"/>
        <w:gridCol w:w="1080"/>
        <w:gridCol w:w="1170"/>
        <w:gridCol w:w="990"/>
        <w:gridCol w:w="1440"/>
      </w:tblGrid>
      <w:tr w:rsidRPr="00B76FCA" w:rsidR="005D6016" w:rsidTr="00DE0E95" w14:paraId="0F913CDB" w14:textId="77777777">
        <w:trPr>
          <w:trHeight w:val="781"/>
          <w:tblHeader/>
        </w:trPr>
        <w:tc>
          <w:tcPr>
            <w:tcW w:w="1350" w:type="dxa"/>
          </w:tcPr>
          <w:p w:rsidRPr="00B76FCA" w:rsidR="00885183" w:rsidP="00F377C1" w:rsidRDefault="00885183" w14:paraId="1F6FD781" w14:textId="77777777">
            <w:pPr>
              <w:keepNext/>
              <w:keepLines/>
              <w:tabs>
                <w:tab w:val="left" w:pos="6030"/>
              </w:tabs>
              <w:spacing w:line="276" w:lineRule="auto"/>
              <w:jc w:val="both"/>
              <w:rPr>
                <w:b/>
                <w:bCs/>
                <w:sz w:val="20"/>
                <w:szCs w:val="20"/>
              </w:rPr>
            </w:pPr>
            <w:r w:rsidRPr="004F3C8C">
              <w:rPr>
                <w:b/>
                <w:bCs/>
                <w:sz w:val="20"/>
                <w:szCs w:val="20"/>
              </w:rPr>
              <w:t>Burden Category</w:t>
            </w:r>
          </w:p>
        </w:tc>
        <w:tc>
          <w:tcPr>
            <w:tcW w:w="1358" w:type="dxa"/>
          </w:tcPr>
          <w:p w:rsidRPr="00B76FCA" w:rsidR="00885183" w:rsidP="00F377C1" w:rsidRDefault="00885183" w14:paraId="20AB2AE9" w14:textId="77777777">
            <w:pPr>
              <w:keepNext/>
              <w:keepLines/>
              <w:tabs>
                <w:tab w:val="left" w:pos="6030"/>
              </w:tabs>
              <w:spacing w:line="276" w:lineRule="auto"/>
              <w:rPr>
                <w:b/>
                <w:bCs/>
                <w:sz w:val="20"/>
                <w:szCs w:val="20"/>
              </w:rPr>
            </w:pPr>
            <w:r w:rsidRPr="00B76FCA">
              <w:rPr>
                <w:b/>
                <w:bCs/>
                <w:sz w:val="20"/>
                <w:szCs w:val="20"/>
              </w:rPr>
              <w:t>Total Annual Respondents</w:t>
            </w:r>
          </w:p>
        </w:tc>
        <w:tc>
          <w:tcPr>
            <w:tcW w:w="1276" w:type="dxa"/>
          </w:tcPr>
          <w:p w:rsidRPr="00B76FCA" w:rsidR="00885183" w:rsidP="00F377C1" w:rsidRDefault="00885183" w14:paraId="6199E537" w14:textId="77777777">
            <w:pPr>
              <w:keepNext/>
              <w:keepLines/>
              <w:tabs>
                <w:tab w:val="left" w:pos="6030"/>
              </w:tabs>
              <w:spacing w:line="276" w:lineRule="auto"/>
              <w:jc w:val="both"/>
              <w:rPr>
                <w:b/>
                <w:bCs/>
                <w:sz w:val="20"/>
                <w:szCs w:val="20"/>
              </w:rPr>
            </w:pPr>
            <w:r w:rsidRPr="00B76FCA">
              <w:rPr>
                <w:b/>
                <w:bCs/>
                <w:sz w:val="20"/>
                <w:szCs w:val="20"/>
              </w:rPr>
              <w:t>Response Frequency (per year)</w:t>
            </w:r>
          </w:p>
        </w:tc>
        <w:tc>
          <w:tcPr>
            <w:tcW w:w="1326" w:type="dxa"/>
          </w:tcPr>
          <w:p w:rsidRPr="00B76FCA" w:rsidR="00885183" w:rsidP="00F377C1" w:rsidRDefault="00885183" w14:paraId="67FB4E23" w14:textId="77777777">
            <w:pPr>
              <w:keepNext/>
              <w:keepLines/>
              <w:tabs>
                <w:tab w:val="left" w:pos="6030"/>
              </w:tabs>
              <w:spacing w:line="276" w:lineRule="auto"/>
              <w:jc w:val="both"/>
              <w:rPr>
                <w:b/>
                <w:bCs/>
                <w:sz w:val="20"/>
                <w:szCs w:val="20"/>
              </w:rPr>
            </w:pPr>
            <w:r w:rsidRPr="00B76FCA">
              <w:rPr>
                <w:b/>
                <w:bCs/>
                <w:sz w:val="20"/>
                <w:szCs w:val="20"/>
              </w:rPr>
              <w:t>Total Annual Responses</w:t>
            </w:r>
          </w:p>
        </w:tc>
        <w:tc>
          <w:tcPr>
            <w:tcW w:w="1080" w:type="dxa"/>
          </w:tcPr>
          <w:p w:rsidRPr="00B76FCA" w:rsidR="00885183" w:rsidP="00F377C1" w:rsidRDefault="00885183" w14:paraId="2EF188C8" w14:textId="77777777">
            <w:pPr>
              <w:keepNext/>
              <w:keepLines/>
              <w:tabs>
                <w:tab w:val="left" w:pos="6030"/>
              </w:tabs>
              <w:spacing w:line="276" w:lineRule="auto"/>
              <w:rPr>
                <w:b/>
                <w:bCs/>
                <w:sz w:val="20"/>
                <w:szCs w:val="20"/>
              </w:rPr>
            </w:pPr>
            <w:r w:rsidRPr="00B76FCA">
              <w:rPr>
                <w:b/>
                <w:bCs/>
                <w:sz w:val="20"/>
                <w:szCs w:val="20"/>
              </w:rPr>
              <w:t>Time Per Response (hr)</w:t>
            </w:r>
          </w:p>
        </w:tc>
        <w:tc>
          <w:tcPr>
            <w:tcW w:w="1170" w:type="dxa"/>
          </w:tcPr>
          <w:p w:rsidRPr="00B76FCA" w:rsidR="00885183" w:rsidP="00F377C1" w:rsidRDefault="00885183" w14:paraId="031921FF" w14:textId="77777777">
            <w:pPr>
              <w:keepNext/>
              <w:keepLines/>
              <w:tabs>
                <w:tab w:val="left" w:pos="6030"/>
              </w:tabs>
              <w:spacing w:line="276" w:lineRule="auto"/>
              <w:jc w:val="both"/>
              <w:rPr>
                <w:b/>
                <w:bCs/>
                <w:sz w:val="20"/>
                <w:szCs w:val="20"/>
              </w:rPr>
            </w:pPr>
            <w:r w:rsidRPr="00B76FCA">
              <w:rPr>
                <w:b/>
                <w:bCs/>
                <w:sz w:val="20"/>
                <w:szCs w:val="20"/>
              </w:rPr>
              <w:t>Total Annual Time (hr)</w:t>
            </w:r>
          </w:p>
        </w:tc>
        <w:tc>
          <w:tcPr>
            <w:tcW w:w="990" w:type="dxa"/>
          </w:tcPr>
          <w:p w:rsidRPr="00B76FCA" w:rsidR="00885183" w:rsidP="00F377C1" w:rsidRDefault="00885183" w14:paraId="7639F618" w14:textId="77777777">
            <w:pPr>
              <w:keepNext/>
              <w:keepLines/>
              <w:tabs>
                <w:tab w:val="left" w:pos="6030"/>
              </w:tabs>
              <w:spacing w:line="276" w:lineRule="auto"/>
              <w:jc w:val="both"/>
              <w:rPr>
                <w:b/>
                <w:bCs/>
                <w:sz w:val="20"/>
                <w:szCs w:val="20"/>
              </w:rPr>
            </w:pPr>
            <w:r w:rsidRPr="00B76FCA">
              <w:rPr>
                <w:b/>
                <w:bCs/>
                <w:sz w:val="20"/>
                <w:szCs w:val="20"/>
              </w:rPr>
              <w:t>Labor Cost ($/hr)</w:t>
            </w:r>
          </w:p>
        </w:tc>
        <w:tc>
          <w:tcPr>
            <w:tcW w:w="1440" w:type="dxa"/>
          </w:tcPr>
          <w:p w:rsidRPr="00B76FCA" w:rsidR="00885183" w:rsidP="00F377C1" w:rsidRDefault="00885183" w14:paraId="28A2FB59" w14:textId="77777777">
            <w:pPr>
              <w:keepNext/>
              <w:keepLines/>
              <w:tabs>
                <w:tab w:val="left" w:pos="6030"/>
              </w:tabs>
              <w:spacing w:line="276" w:lineRule="auto"/>
              <w:rPr>
                <w:b/>
                <w:bCs/>
                <w:sz w:val="20"/>
                <w:szCs w:val="20"/>
              </w:rPr>
            </w:pPr>
            <w:r w:rsidRPr="00B76FCA">
              <w:rPr>
                <w:b/>
                <w:bCs/>
                <w:sz w:val="20"/>
                <w:szCs w:val="20"/>
              </w:rPr>
              <w:t>Total Annual Cost ($)</w:t>
            </w:r>
          </w:p>
        </w:tc>
      </w:tr>
      <w:tr w:rsidRPr="00B76FCA" w:rsidR="005D6016" w:rsidTr="00DE0E95" w14:paraId="4610A13C" w14:textId="77777777">
        <w:trPr>
          <w:trHeight w:val="521"/>
        </w:trPr>
        <w:tc>
          <w:tcPr>
            <w:tcW w:w="1350" w:type="dxa"/>
          </w:tcPr>
          <w:p w:rsidRPr="00B76FCA" w:rsidR="00595F34" w:rsidP="00F377C1" w:rsidRDefault="00595F34" w14:paraId="51D867E3" w14:textId="3255DD4C">
            <w:pPr>
              <w:keepNext/>
              <w:keepLines/>
              <w:tabs>
                <w:tab w:val="left" w:pos="6030"/>
              </w:tabs>
              <w:spacing w:line="276" w:lineRule="auto"/>
              <w:jc w:val="both"/>
              <w:rPr>
                <w:sz w:val="20"/>
                <w:szCs w:val="20"/>
              </w:rPr>
            </w:pPr>
            <w:r w:rsidRPr="00B76FCA">
              <w:rPr>
                <w:sz w:val="20"/>
                <w:szCs w:val="20"/>
              </w:rPr>
              <w:t>Currently Approved</w:t>
            </w:r>
            <w:r w:rsidR="00E4635E">
              <w:rPr>
                <w:sz w:val="20"/>
                <w:szCs w:val="20"/>
              </w:rPr>
              <w:t xml:space="preserve"> </w:t>
            </w:r>
            <w:r w:rsidRPr="00E4635E" w:rsidR="00E4635E">
              <w:rPr>
                <w:bCs/>
                <w:sz w:val="20"/>
                <w:szCs w:val="20"/>
              </w:rPr>
              <w:t>(202</w:t>
            </w:r>
            <w:r w:rsidR="00420358">
              <w:rPr>
                <w:bCs/>
                <w:sz w:val="20"/>
                <w:szCs w:val="20"/>
              </w:rPr>
              <w:t>2</w:t>
            </w:r>
            <w:r w:rsidRPr="00E4635E" w:rsidR="00E4635E">
              <w:rPr>
                <w:bCs/>
                <w:sz w:val="20"/>
                <w:szCs w:val="20"/>
              </w:rPr>
              <w:t xml:space="preserve"> MIPS Performance Period)</w:t>
            </w:r>
          </w:p>
        </w:tc>
        <w:tc>
          <w:tcPr>
            <w:tcW w:w="1358" w:type="dxa"/>
          </w:tcPr>
          <w:p w:rsidRPr="00B76FCA" w:rsidR="00595F34" w:rsidP="00F377C1" w:rsidRDefault="000E3F74" w14:paraId="7616507E" w14:textId="5CD1D591">
            <w:pPr>
              <w:keepNext/>
              <w:keepLines/>
              <w:tabs>
                <w:tab w:val="left" w:pos="6030"/>
              </w:tabs>
              <w:spacing w:line="276" w:lineRule="auto"/>
              <w:jc w:val="right"/>
              <w:rPr>
                <w:sz w:val="20"/>
                <w:szCs w:val="20"/>
              </w:rPr>
            </w:pPr>
            <w:r w:rsidRPr="00B76FCA">
              <w:rPr>
                <w:sz w:val="20"/>
                <w:szCs w:val="20"/>
              </w:rPr>
              <w:t>52,9</w:t>
            </w:r>
            <w:r w:rsidRPr="00B76FCA" w:rsidR="00622528">
              <w:rPr>
                <w:sz w:val="20"/>
                <w:szCs w:val="20"/>
              </w:rPr>
              <w:t>4</w:t>
            </w:r>
            <w:r w:rsidR="00042FF0">
              <w:rPr>
                <w:sz w:val="20"/>
                <w:szCs w:val="20"/>
              </w:rPr>
              <w:t>4</w:t>
            </w:r>
          </w:p>
        </w:tc>
        <w:tc>
          <w:tcPr>
            <w:tcW w:w="1276" w:type="dxa"/>
          </w:tcPr>
          <w:p w:rsidRPr="00B76FCA" w:rsidR="00595F34" w:rsidP="00F377C1" w:rsidRDefault="00595F34" w14:paraId="511AFA97" w14:textId="37528126">
            <w:pPr>
              <w:keepNext/>
              <w:keepLines/>
              <w:tabs>
                <w:tab w:val="left" w:pos="6030"/>
              </w:tabs>
              <w:spacing w:line="276" w:lineRule="auto"/>
              <w:jc w:val="right"/>
              <w:rPr>
                <w:sz w:val="20"/>
                <w:szCs w:val="20"/>
              </w:rPr>
            </w:pPr>
            <w:r w:rsidRPr="00B76FCA">
              <w:rPr>
                <w:sz w:val="20"/>
                <w:szCs w:val="20"/>
              </w:rPr>
              <w:t>1</w:t>
            </w:r>
          </w:p>
        </w:tc>
        <w:tc>
          <w:tcPr>
            <w:tcW w:w="1326" w:type="dxa"/>
          </w:tcPr>
          <w:p w:rsidRPr="00B76FCA" w:rsidR="00595F34" w:rsidP="00F377C1" w:rsidRDefault="000E3F74" w14:paraId="130C66C6" w14:textId="78FAF91C">
            <w:pPr>
              <w:keepNext/>
              <w:keepLines/>
              <w:tabs>
                <w:tab w:val="left" w:pos="6030"/>
              </w:tabs>
              <w:spacing w:line="276" w:lineRule="auto"/>
              <w:jc w:val="right"/>
              <w:rPr>
                <w:sz w:val="20"/>
                <w:szCs w:val="20"/>
              </w:rPr>
            </w:pPr>
            <w:r w:rsidRPr="00B76FCA">
              <w:rPr>
                <w:sz w:val="20"/>
                <w:szCs w:val="20"/>
              </w:rPr>
              <w:t>52,</w:t>
            </w:r>
            <w:r w:rsidRPr="00B76FCA" w:rsidR="00E14844">
              <w:rPr>
                <w:sz w:val="20"/>
                <w:szCs w:val="20"/>
              </w:rPr>
              <w:t>94</w:t>
            </w:r>
            <w:r w:rsidR="00042FF0">
              <w:rPr>
                <w:sz w:val="20"/>
                <w:szCs w:val="20"/>
              </w:rPr>
              <w:t>4</w:t>
            </w:r>
          </w:p>
        </w:tc>
        <w:tc>
          <w:tcPr>
            <w:tcW w:w="1080" w:type="dxa"/>
          </w:tcPr>
          <w:p w:rsidRPr="00B76FCA" w:rsidR="00595F34" w:rsidP="00F377C1" w:rsidRDefault="00595F34" w14:paraId="5DCF6D54" w14:textId="16114D18">
            <w:pPr>
              <w:keepNext/>
              <w:keepLines/>
              <w:tabs>
                <w:tab w:val="left" w:pos="6030"/>
              </w:tabs>
              <w:spacing w:line="276" w:lineRule="auto"/>
              <w:jc w:val="right"/>
              <w:rPr>
                <w:sz w:val="20"/>
                <w:szCs w:val="20"/>
              </w:rPr>
            </w:pPr>
            <w:r w:rsidRPr="00B76FCA">
              <w:rPr>
                <w:sz w:val="20"/>
                <w:szCs w:val="20"/>
              </w:rPr>
              <w:t>9.083</w:t>
            </w:r>
          </w:p>
        </w:tc>
        <w:tc>
          <w:tcPr>
            <w:tcW w:w="1170" w:type="dxa"/>
          </w:tcPr>
          <w:p w:rsidRPr="00B76FCA" w:rsidR="00595F34" w:rsidP="00F377C1" w:rsidRDefault="00642BBE" w14:paraId="79A22094" w14:textId="4F33946B">
            <w:pPr>
              <w:keepNext/>
              <w:keepLines/>
              <w:tabs>
                <w:tab w:val="left" w:pos="6030"/>
              </w:tabs>
              <w:spacing w:line="276" w:lineRule="auto"/>
              <w:jc w:val="right"/>
              <w:rPr>
                <w:sz w:val="20"/>
                <w:szCs w:val="20"/>
              </w:rPr>
            </w:pPr>
            <w:r w:rsidRPr="00B76FCA">
              <w:rPr>
                <w:sz w:val="20"/>
                <w:szCs w:val="20"/>
              </w:rPr>
              <w:t>480,</w:t>
            </w:r>
            <w:r w:rsidR="00042FF0">
              <w:rPr>
                <w:sz w:val="20"/>
                <w:szCs w:val="20"/>
              </w:rPr>
              <w:t>890</w:t>
            </w:r>
          </w:p>
        </w:tc>
        <w:tc>
          <w:tcPr>
            <w:tcW w:w="990" w:type="dxa"/>
          </w:tcPr>
          <w:p w:rsidRPr="00B76FCA" w:rsidR="00595F34" w:rsidP="00F377C1" w:rsidRDefault="00595F34" w14:paraId="5BC8D1A3" w14:textId="6587E663">
            <w:pPr>
              <w:keepNext/>
              <w:keepLines/>
              <w:tabs>
                <w:tab w:val="left" w:pos="6030"/>
              </w:tabs>
              <w:spacing w:line="276" w:lineRule="auto"/>
              <w:jc w:val="right"/>
              <w:rPr>
                <w:sz w:val="20"/>
                <w:szCs w:val="20"/>
              </w:rPr>
            </w:pPr>
            <w:r w:rsidRPr="00B76FCA">
              <w:rPr>
                <w:sz w:val="20"/>
                <w:szCs w:val="20"/>
              </w:rPr>
              <w:t>Varies</w:t>
            </w:r>
          </w:p>
        </w:tc>
        <w:tc>
          <w:tcPr>
            <w:tcW w:w="1440" w:type="dxa"/>
          </w:tcPr>
          <w:p w:rsidRPr="00B76FCA" w:rsidR="00595F34" w:rsidP="00F377C1" w:rsidRDefault="001C6D04" w14:paraId="421F4E6E" w14:textId="6D03F0A6">
            <w:pPr>
              <w:keepNext/>
              <w:keepLines/>
              <w:tabs>
                <w:tab w:val="left" w:pos="6030"/>
              </w:tabs>
              <w:spacing w:line="276" w:lineRule="auto"/>
              <w:jc w:val="right"/>
              <w:rPr>
                <w:sz w:val="20"/>
                <w:szCs w:val="20"/>
              </w:rPr>
            </w:pPr>
            <w:r w:rsidRPr="00B76FCA">
              <w:rPr>
                <w:sz w:val="20"/>
                <w:szCs w:val="20"/>
              </w:rPr>
              <w:t>48,</w:t>
            </w:r>
            <w:r w:rsidR="00943730">
              <w:rPr>
                <w:sz w:val="20"/>
                <w:szCs w:val="20"/>
              </w:rPr>
              <w:t>854</w:t>
            </w:r>
            <w:r w:rsidR="000138AF">
              <w:rPr>
                <w:sz w:val="20"/>
                <w:szCs w:val="20"/>
              </w:rPr>
              <w:t>,605</w:t>
            </w:r>
          </w:p>
        </w:tc>
      </w:tr>
      <w:tr w:rsidRPr="00B76FCA" w:rsidR="005D6016" w:rsidTr="00DE0E95" w14:paraId="5C560AD5" w14:textId="77777777">
        <w:trPr>
          <w:trHeight w:val="1303"/>
        </w:trPr>
        <w:tc>
          <w:tcPr>
            <w:tcW w:w="1350" w:type="dxa"/>
          </w:tcPr>
          <w:p w:rsidRPr="00B76FCA" w:rsidR="00595F34" w:rsidP="00F377C1" w:rsidRDefault="00765026" w14:paraId="07065B62" w14:textId="568572DB">
            <w:pPr>
              <w:keepNext/>
              <w:keepLines/>
              <w:tabs>
                <w:tab w:val="left" w:pos="6030"/>
              </w:tabs>
              <w:spacing w:line="276" w:lineRule="auto"/>
              <w:rPr>
                <w:sz w:val="20"/>
                <w:szCs w:val="20"/>
              </w:rPr>
            </w:pPr>
            <w:r>
              <w:rPr>
                <w:sz w:val="20"/>
                <w:szCs w:val="20"/>
              </w:rPr>
              <w:t>Proposed</w:t>
            </w:r>
            <w:r w:rsidRPr="00765026" w:rsidR="00F424A2">
              <w:rPr>
                <w:sz w:val="20"/>
                <w:szCs w:val="20"/>
              </w:rPr>
              <w:br/>
            </w:r>
            <w:r w:rsidRPr="00685787" w:rsidR="00C1361E">
              <w:rPr>
                <w:sz w:val="20"/>
                <w:szCs w:val="20"/>
              </w:rPr>
              <w:t>(202</w:t>
            </w:r>
            <w:r w:rsidRPr="00B76FCA" w:rsidR="006131B2">
              <w:rPr>
                <w:sz w:val="20"/>
                <w:szCs w:val="20"/>
              </w:rPr>
              <w:t>2</w:t>
            </w:r>
            <w:r w:rsidR="006A6349">
              <w:rPr>
                <w:sz w:val="20"/>
                <w:szCs w:val="20"/>
              </w:rPr>
              <w:t xml:space="preserve"> MIPS Performance</w:t>
            </w:r>
            <w:r w:rsidR="00B5392B">
              <w:rPr>
                <w:sz w:val="20"/>
                <w:szCs w:val="20"/>
              </w:rPr>
              <w:t xml:space="preserve"> Period</w:t>
            </w:r>
            <w:r w:rsidRPr="00B76FCA" w:rsidR="00C1361E">
              <w:rPr>
                <w:sz w:val="20"/>
                <w:szCs w:val="20"/>
              </w:rPr>
              <w:t>)</w:t>
            </w:r>
            <w:r w:rsidRPr="00B76FCA" w:rsidR="00A67FD9">
              <w:rPr>
                <w:sz w:val="20"/>
                <w:szCs w:val="20"/>
              </w:rPr>
              <w:t xml:space="preserve"> (See Table 11)</w:t>
            </w:r>
          </w:p>
        </w:tc>
        <w:tc>
          <w:tcPr>
            <w:tcW w:w="1358" w:type="dxa"/>
          </w:tcPr>
          <w:p w:rsidRPr="00B76FCA" w:rsidR="00595F34" w:rsidP="00F377C1" w:rsidRDefault="002E312D" w14:paraId="19EC7740" w14:textId="627D4741">
            <w:pPr>
              <w:keepNext/>
              <w:keepLines/>
              <w:tabs>
                <w:tab w:val="left" w:pos="6030"/>
              </w:tabs>
              <w:spacing w:line="276" w:lineRule="auto"/>
              <w:jc w:val="right"/>
              <w:rPr>
                <w:sz w:val="20"/>
                <w:szCs w:val="20"/>
              </w:rPr>
            </w:pPr>
            <w:r w:rsidRPr="00B76FCA">
              <w:rPr>
                <w:sz w:val="20"/>
                <w:szCs w:val="20"/>
              </w:rPr>
              <w:t>52,</w:t>
            </w:r>
            <w:r w:rsidRPr="00B76FCA" w:rsidR="00E54F22">
              <w:rPr>
                <w:sz w:val="20"/>
                <w:szCs w:val="20"/>
              </w:rPr>
              <w:t>036</w:t>
            </w:r>
          </w:p>
        </w:tc>
        <w:tc>
          <w:tcPr>
            <w:tcW w:w="1276" w:type="dxa"/>
          </w:tcPr>
          <w:p w:rsidRPr="00B76FCA" w:rsidR="00595F34" w:rsidP="00F377C1" w:rsidRDefault="00595F34" w14:paraId="1FA79204" w14:textId="6095FFFD">
            <w:pPr>
              <w:keepNext/>
              <w:keepLines/>
              <w:tabs>
                <w:tab w:val="left" w:pos="6030"/>
              </w:tabs>
              <w:spacing w:line="276" w:lineRule="auto"/>
              <w:jc w:val="right"/>
              <w:rPr>
                <w:sz w:val="20"/>
                <w:szCs w:val="20"/>
              </w:rPr>
            </w:pPr>
            <w:r w:rsidRPr="00B76FCA">
              <w:rPr>
                <w:sz w:val="20"/>
                <w:szCs w:val="20"/>
              </w:rPr>
              <w:t>1</w:t>
            </w:r>
          </w:p>
        </w:tc>
        <w:tc>
          <w:tcPr>
            <w:tcW w:w="1326" w:type="dxa"/>
          </w:tcPr>
          <w:p w:rsidRPr="00B76FCA" w:rsidR="00595F34" w:rsidP="00F377C1" w:rsidRDefault="002E312D" w14:paraId="7A996D08" w14:textId="7B2364CF">
            <w:pPr>
              <w:keepNext/>
              <w:keepLines/>
              <w:tabs>
                <w:tab w:val="left" w:pos="6030"/>
              </w:tabs>
              <w:spacing w:line="276" w:lineRule="auto"/>
              <w:jc w:val="right"/>
              <w:rPr>
                <w:sz w:val="20"/>
                <w:szCs w:val="20"/>
              </w:rPr>
            </w:pPr>
            <w:r w:rsidRPr="00B76FCA">
              <w:rPr>
                <w:sz w:val="20"/>
                <w:szCs w:val="20"/>
              </w:rPr>
              <w:t>52,</w:t>
            </w:r>
            <w:r w:rsidRPr="00B76FCA" w:rsidR="00610D45">
              <w:rPr>
                <w:sz w:val="20"/>
                <w:szCs w:val="20"/>
              </w:rPr>
              <w:t>036</w:t>
            </w:r>
          </w:p>
        </w:tc>
        <w:tc>
          <w:tcPr>
            <w:tcW w:w="1080" w:type="dxa"/>
          </w:tcPr>
          <w:p w:rsidRPr="00B76FCA" w:rsidR="00595F34" w:rsidP="00F377C1" w:rsidRDefault="00595F34" w14:paraId="6AF8B3FB" w14:textId="623372EA">
            <w:pPr>
              <w:keepNext/>
              <w:keepLines/>
              <w:tabs>
                <w:tab w:val="left" w:pos="6030"/>
              </w:tabs>
              <w:spacing w:line="276" w:lineRule="auto"/>
              <w:jc w:val="right"/>
              <w:rPr>
                <w:sz w:val="20"/>
                <w:szCs w:val="20"/>
              </w:rPr>
            </w:pPr>
            <w:r w:rsidRPr="00B76FCA">
              <w:rPr>
                <w:sz w:val="20"/>
                <w:szCs w:val="20"/>
              </w:rPr>
              <w:t>9.083</w:t>
            </w:r>
          </w:p>
        </w:tc>
        <w:tc>
          <w:tcPr>
            <w:tcW w:w="1170" w:type="dxa"/>
          </w:tcPr>
          <w:p w:rsidRPr="00B76FCA" w:rsidR="00595F34" w:rsidP="00F377C1" w:rsidRDefault="00E90FC4" w14:paraId="621D898F" w14:textId="17DF59C7">
            <w:pPr>
              <w:keepNext/>
              <w:keepLines/>
              <w:tabs>
                <w:tab w:val="left" w:pos="6030"/>
              </w:tabs>
              <w:spacing w:line="276" w:lineRule="auto"/>
              <w:jc w:val="right"/>
              <w:rPr>
                <w:sz w:val="20"/>
                <w:szCs w:val="20"/>
              </w:rPr>
            </w:pPr>
            <w:r w:rsidRPr="00B76FCA">
              <w:rPr>
                <w:sz w:val="20"/>
                <w:szCs w:val="20"/>
              </w:rPr>
              <w:t>4</w:t>
            </w:r>
            <w:r w:rsidRPr="00B76FCA" w:rsidR="00CD6BA2">
              <w:rPr>
                <w:sz w:val="20"/>
                <w:szCs w:val="20"/>
              </w:rPr>
              <w:t>72,643</w:t>
            </w:r>
          </w:p>
        </w:tc>
        <w:tc>
          <w:tcPr>
            <w:tcW w:w="990" w:type="dxa"/>
          </w:tcPr>
          <w:p w:rsidRPr="00B76FCA" w:rsidR="00595F34" w:rsidP="00F377C1" w:rsidRDefault="00595F34" w14:paraId="22332A03" w14:textId="167548DB">
            <w:pPr>
              <w:keepNext/>
              <w:keepLines/>
              <w:tabs>
                <w:tab w:val="left" w:pos="6030"/>
              </w:tabs>
              <w:spacing w:line="276" w:lineRule="auto"/>
              <w:jc w:val="right"/>
              <w:rPr>
                <w:sz w:val="20"/>
                <w:szCs w:val="20"/>
              </w:rPr>
            </w:pPr>
            <w:r w:rsidRPr="00B76FCA">
              <w:rPr>
                <w:sz w:val="20"/>
                <w:szCs w:val="20"/>
              </w:rPr>
              <w:t>Varies</w:t>
            </w:r>
          </w:p>
        </w:tc>
        <w:tc>
          <w:tcPr>
            <w:tcW w:w="1440" w:type="dxa"/>
          </w:tcPr>
          <w:p w:rsidRPr="00B76FCA" w:rsidR="00595F34" w:rsidP="00F377C1" w:rsidRDefault="00FC0276" w14:paraId="1FDF809F" w14:textId="05BC9368">
            <w:pPr>
              <w:keepNext/>
              <w:keepLines/>
              <w:tabs>
                <w:tab w:val="left" w:pos="6030"/>
              </w:tabs>
              <w:spacing w:line="276" w:lineRule="auto"/>
              <w:jc w:val="right"/>
              <w:rPr>
                <w:sz w:val="20"/>
                <w:szCs w:val="20"/>
              </w:rPr>
            </w:pPr>
            <w:r>
              <w:rPr>
                <w:sz w:val="20"/>
                <w:szCs w:val="20"/>
              </w:rPr>
              <w:t>48,016</w:t>
            </w:r>
            <w:r w:rsidR="008E2BD4">
              <w:rPr>
                <w:sz w:val="20"/>
                <w:szCs w:val="20"/>
              </w:rPr>
              <w:t>,7</w:t>
            </w:r>
            <w:r>
              <w:rPr>
                <w:sz w:val="20"/>
                <w:szCs w:val="20"/>
              </w:rPr>
              <w:t>39</w:t>
            </w:r>
          </w:p>
        </w:tc>
      </w:tr>
      <w:tr w:rsidRPr="00B76FCA" w:rsidR="005E6666" w:rsidTr="00DE0E95" w14:paraId="3BA3005E" w14:textId="77777777">
        <w:trPr>
          <w:trHeight w:val="521"/>
        </w:trPr>
        <w:tc>
          <w:tcPr>
            <w:tcW w:w="1350" w:type="dxa"/>
            <w:shd w:val="clear" w:color="auto" w:fill="D9D9D9" w:themeFill="background1" w:themeFillShade="D9"/>
          </w:tcPr>
          <w:p w:rsidRPr="00B76FCA" w:rsidR="00595F34" w:rsidP="00F377C1" w:rsidRDefault="00595F34" w14:paraId="6BEA7A9F" w14:textId="2638B0C8">
            <w:pPr>
              <w:tabs>
                <w:tab w:val="left" w:pos="6030"/>
              </w:tabs>
              <w:spacing w:line="276" w:lineRule="auto"/>
              <w:jc w:val="both"/>
              <w:rPr>
                <w:sz w:val="20"/>
                <w:szCs w:val="20"/>
              </w:rPr>
            </w:pPr>
            <w:r w:rsidRPr="00B76FCA">
              <w:rPr>
                <w:sz w:val="20"/>
                <w:szCs w:val="20"/>
              </w:rPr>
              <w:t>Adjustment</w:t>
            </w:r>
            <w:r w:rsidRPr="00B76FCA" w:rsidR="00C1361E">
              <w:rPr>
                <w:sz w:val="20"/>
                <w:szCs w:val="20"/>
              </w:rPr>
              <w:t xml:space="preserve"> </w:t>
            </w:r>
          </w:p>
        </w:tc>
        <w:tc>
          <w:tcPr>
            <w:tcW w:w="1358" w:type="dxa"/>
            <w:shd w:val="clear" w:color="auto" w:fill="D9D9D9" w:themeFill="background1" w:themeFillShade="D9"/>
          </w:tcPr>
          <w:p w:rsidRPr="00B76FCA" w:rsidR="00595F34" w:rsidP="00F377C1" w:rsidRDefault="00E869A2" w14:paraId="1D6F1F86" w14:textId="277B5C33">
            <w:pPr>
              <w:tabs>
                <w:tab w:val="left" w:pos="6030"/>
              </w:tabs>
              <w:spacing w:line="276" w:lineRule="auto"/>
              <w:jc w:val="right"/>
              <w:rPr>
                <w:sz w:val="20"/>
                <w:szCs w:val="20"/>
              </w:rPr>
            </w:pPr>
            <w:r>
              <w:rPr>
                <w:sz w:val="20"/>
                <w:szCs w:val="20"/>
              </w:rPr>
              <w:t>-908</w:t>
            </w:r>
          </w:p>
        </w:tc>
        <w:tc>
          <w:tcPr>
            <w:tcW w:w="1276" w:type="dxa"/>
            <w:shd w:val="clear" w:color="auto" w:fill="D9D9D9" w:themeFill="background1" w:themeFillShade="D9"/>
          </w:tcPr>
          <w:p w:rsidRPr="00B76FCA" w:rsidR="00595F34" w:rsidP="00F377C1" w:rsidRDefault="00595F34" w14:paraId="4B191199" w14:textId="446A5F2B">
            <w:pPr>
              <w:tabs>
                <w:tab w:val="left" w:pos="6030"/>
              </w:tabs>
              <w:spacing w:line="276" w:lineRule="auto"/>
              <w:jc w:val="right"/>
              <w:rPr>
                <w:sz w:val="20"/>
                <w:szCs w:val="20"/>
              </w:rPr>
            </w:pPr>
            <w:r w:rsidRPr="00B76FCA">
              <w:rPr>
                <w:sz w:val="20"/>
                <w:szCs w:val="20"/>
              </w:rPr>
              <w:t>No change</w:t>
            </w:r>
          </w:p>
        </w:tc>
        <w:tc>
          <w:tcPr>
            <w:tcW w:w="1326" w:type="dxa"/>
            <w:shd w:val="clear" w:color="auto" w:fill="D9D9D9" w:themeFill="background1" w:themeFillShade="D9"/>
          </w:tcPr>
          <w:p w:rsidRPr="00B76FCA" w:rsidR="00595F34" w:rsidP="00F377C1" w:rsidRDefault="002E312D" w14:paraId="1BC50415" w14:textId="428CD829">
            <w:pPr>
              <w:tabs>
                <w:tab w:val="left" w:pos="6030"/>
              </w:tabs>
              <w:spacing w:line="276" w:lineRule="auto"/>
              <w:jc w:val="right"/>
              <w:rPr>
                <w:sz w:val="20"/>
                <w:szCs w:val="20"/>
              </w:rPr>
            </w:pPr>
            <w:r w:rsidRPr="00B76FCA">
              <w:rPr>
                <w:sz w:val="20"/>
                <w:szCs w:val="20"/>
              </w:rPr>
              <w:t>-</w:t>
            </w:r>
            <w:r w:rsidR="00695C86">
              <w:rPr>
                <w:sz w:val="20"/>
                <w:szCs w:val="20"/>
              </w:rPr>
              <w:t>908</w:t>
            </w:r>
          </w:p>
        </w:tc>
        <w:tc>
          <w:tcPr>
            <w:tcW w:w="1080" w:type="dxa"/>
            <w:shd w:val="clear" w:color="auto" w:fill="D9D9D9" w:themeFill="background1" w:themeFillShade="D9"/>
          </w:tcPr>
          <w:p w:rsidRPr="00B76FCA" w:rsidR="00595F34" w:rsidP="00F377C1" w:rsidRDefault="00595F34" w14:paraId="703A69E0" w14:textId="7D0F70BB">
            <w:pPr>
              <w:tabs>
                <w:tab w:val="left" w:pos="6030"/>
              </w:tabs>
              <w:spacing w:line="276" w:lineRule="auto"/>
              <w:jc w:val="right"/>
              <w:rPr>
                <w:sz w:val="20"/>
                <w:szCs w:val="20"/>
              </w:rPr>
            </w:pPr>
            <w:r w:rsidRPr="00B76FCA">
              <w:rPr>
                <w:sz w:val="20"/>
                <w:szCs w:val="20"/>
              </w:rPr>
              <w:t>No change</w:t>
            </w:r>
          </w:p>
        </w:tc>
        <w:tc>
          <w:tcPr>
            <w:tcW w:w="1170" w:type="dxa"/>
            <w:shd w:val="clear" w:color="auto" w:fill="D9D9D9" w:themeFill="background1" w:themeFillShade="D9"/>
          </w:tcPr>
          <w:p w:rsidR="006B44F0" w:rsidP="00F377C1" w:rsidRDefault="006B44F0" w14:paraId="65027BFE" w14:textId="77777777">
            <w:pPr>
              <w:jc w:val="right"/>
              <w:rPr>
                <w:color w:val="000000"/>
                <w:sz w:val="20"/>
                <w:szCs w:val="20"/>
              </w:rPr>
            </w:pPr>
            <w:r>
              <w:rPr>
                <w:sz w:val="20"/>
                <w:szCs w:val="20"/>
              </w:rPr>
              <w:t>-8,247</w:t>
            </w:r>
          </w:p>
          <w:p w:rsidRPr="00B76FCA" w:rsidR="00595F34" w:rsidP="00F377C1" w:rsidRDefault="00595F34" w14:paraId="0BFCA4D3" w14:textId="24CB7340">
            <w:pPr>
              <w:tabs>
                <w:tab w:val="left" w:pos="6030"/>
              </w:tabs>
              <w:spacing w:line="276" w:lineRule="auto"/>
              <w:jc w:val="right"/>
              <w:rPr>
                <w:sz w:val="20"/>
                <w:szCs w:val="20"/>
              </w:rPr>
            </w:pPr>
          </w:p>
        </w:tc>
        <w:tc>
          <w:tcPr>
            <w:tcW w:w="990" w:type="dxa"/>
            <w:shd w:val="clear" w:color="auto" w:fill="D9D9D9" w:themeFill="background1" w:themeFillShade="D9"/>
          </w:tcPr>
          <w:p w:rsidRPr="00B76FCA" w:rsidR="00595F34" w:rsidP="00F377C1" w:rsidRDefault="00595F34" w14:paraId="764BDC3C" w14:textId="4B828FAF">
            <w:pPr>
              <w:tabs>
                <w:tab w:val="left" w:pos="6030"/>
              </w:tabs>
              <w:spacing w:line="276" w:lineRule="auto"/>
              <w:jc w:val="right"/>
              <w:rPr>
                <w:sz w:val="20"/>
                <w:szCs w:val="20"/>
              </w:rPr>
            </w:pPr>
            <w:r w:rsidRPr="00B76FCA">
              <w:rPr>
                <w:sz w:val="20"/>
                <w:szCs w:val="20"/>
              </w:rPr>
              <w:t>No change</w:t>
            </w:r>
          </w:p>
        </w:tc>
        <w:tc>
          <w:tcPr>
            <w:tcW w:w="1440" w:type="dxa"/>
            <w:shd w:val="clear" w:color="auto" w:fill="D9D9D9" w:themeFill="background1" w:themeFillShade="D9"/>
          </w:tcPr>
          <w:p w:rsidR="00205254" w:rsidP="00F377C1" w:rsidRDefault="00205254" w14:paraId="06DC1071" w14:textId="77777777">
            <w:pPr>
              <w:jc w:val="right"/>
              <w:rPr>
                <w:color w:val="000000"/>
                <w:sz w:val="20"/>
                <w:szCs w:val="20"/>
              </w:rPr>
            </w:pPr>
            <w:r>
              <w:rPr>
                <w:sz w:val="20"/>
                <w:szCs w:val="20"/>
              </w:rPr>
              <w:t>-837,696</w:t>
            </w:r>
          </w:p>
          <w:p w:rsidRPr="00B76FCA" w:rsidR="00595F34" w:rsidP="00F377C1" w:rsidRDefault="00595F34" w14:paraId="574CE2BB" w14:textId="27BF08C7">
            <w:pPr>
              <w:tabs>
                <w:tab w:val="left" w:pos="6030"/>
              </w:tabs>
              <w:spacing w:line="276" w:lineRule="auto"/>
              <w:jc w:val="right"/>
              <w:rPr>
                <w:sz w:val="20"/>
                <w:szCs w:val="20"/>
              </w:rPr>
            </w:pPr>
          </w:p>
        </w:tc>
      </w:tr>
    </w:tbl>
    <w:p w:rsidR="00885183" w:rsidP="00BB7053" w:rsidRDefault="00885183" w14:paraId="4AFF3BDC" w14:textId="7751E738">
      <w:pPr>
        <w:tabs>
          <w:tab w:val="left" w:pos="6030"/>
        </w:tabs>
        <w:spacing w:line="276" w:lineRule="auto"/>
        <w:jc w:val="both"/>
      </w:pPr>
    </w:p>
    <w:p w:rsidR="00885183" w:rsidP="00F377C1" w:rsidRDefault="00885183" w14:paraId="1BEC5E63" w14:textId="237D63B6">
      <w:pPr>
        <w:jc w:val="center"/>
        <w:rPr>
          <w:b/>
          <w:bCs/>
        </w:rPr>
      </w:pPr>
      <w:r w:rsidRPr="00B30713">
        <w:rPr>
          <w:rFonts w:eastAsia="Calibri"/>
          <w:b/>
          <w:bCs/>
        </w:rPr>
        <w:t xml:space="preserve">TABLE </w:t>
      </w:r>
      <w:r w:rsidR="00C1361E">
        <w:rPr>
          <w:rFonts w:eastAsia="Calibri"/>
          <w:b/>
          <w:bCs/>
        </w:rPr>
        <w:t>3</w:t>
      </w:r>
      <w:r w:rsidR="00756646">
        <w:rPr>
          <w:rFonts w:eastAsia="Calibri"/>
          <w:b/>
          <w:bCs/>
        </w:rPr>
        <w:t>8</w:t>
      </w:r>
      <w:r w:rsidR="00DA7D22">
        <w:rPr>
          <w:rFonts w:eastAsia="Calibri"/>
          <w:b/>
          <w:bCs/>
        </w:rPr>
        <w:t>G</w:t>
      </w:r>
      <w:r w:rsidRPr="00B30713">
        <w:rPr>
          <w:rFonts w:eastAsia="Calibri"/>
          <w:b/>
          <w:bCs/>
        </w:rPr>
        <w:t xml:space="preserve">: Burden Reconciliation for </w:t>
      </w:r>
      <w:r w:rsidRPr="0020454E" w:rsidR="0020454E">
        <w:rPr>
          <w:rFonts w:eastAsia="Calibri"/>
          <w:b/>
          <w:bCs/>
        </w:rPr>
        <w:t xml:space="preserve">Quality Performance Category </w:t>
      </w:r>
      <w:r w:rsidR="00F377C1">
        <w:rPr>
          <w:rFonts w:eastAsia="Calibri"/>
          <w:b/>
          <w:bCs/>
        </w:rPr>
        <w:br/>
      </w:r>
      <w:r w:rsidRPr="0020454E" w:rsidR="0020454E">
        <w:rPr>
          <w:rFonts w:eastAsia="Calibri"/>
          <w:b/>
          <w:bCs/>
        </w:rPr>
        <w:t>eCQM Collection Type</w:t>
      </w:r>
    </w:p>
    <w:tbl>
      <w:tblPr>
        <w:tblStyle w:val="TableGrid"/>
        <w:tblW w:w="10031" w:type="dxa"/>
        <w:tblLook w:val="04A0" w:firstRow="1" w:lastRow="0" w:firstColumn="1" w:lastColumn="0" w:noHBand="0" w:noVBand="1"/>
      </w:tblPr>
      <w:tblGrid>
        <w:gridCol w:w="1238"/>
        <w:gridCol w:w="1306"/>
        <w:gridCol w:w="1127"/>
        <w:gridCol w:w="1303"/>
        <w:gridCol w:w="1017"/>
        <w:gridCol w:w="1480"/>
        <w:gridCol w:w="783"/>
        <w:gridCol w:w="1777"/>
      </w:tblGrid>
      <w:tr w:rsidR="004D6D15" w:rsidTr="003830B0" w14:paraId="12A4DC46" w14:textId="77777777">
        <w:trPr>
          <w:tblHeader/>
        </w:trPr>
        <w:tc>
          <w:tcPr>
            <w:tcW w:w="1238" w:type="dxa"/>
          </w:tcPr>
          <w:p w:rsidRPr="00FB02B1" w:rsidR="00885183" w:rsidP="00F377C1" w:rsidRDefault="00885183" w14:paraId="55EDCBB0" w14:textId="77777777">
            <w:pPr>
              <w:tabs>
                <w:tab w:val="left" w:pos="6030"/>
              </w:tabs>
              <w:spacing w:line="276" w:lineRule="auto"/>
              <w:jc w:val="both"/>
              <w:rPr>
                <w:b/>
                <w:bCs/>
                <w:sz w:val="20"/>
                <w:szCs w:val="20"/>
              </w:rPr>
            </w:pPr>
            <w:r w:rsidRPr="00FB02B1">
              <w:rPr>
                <w:b/>
                <w:bCs/>
                <w:sz w:val="20"/>
                <w:szCs w:val="20"/>
              </w:rPr>
              <w:t>Burden Category</w:t>
            </w:r>
          </w:p>
        </w:tc>
        <w:tc>
          <w:tcPr>
            <w:tcW w:w="1306" w:type="dxa"/>
          </w:tcPr>
          <w:p w:rsidRPr="00FB02B1" w:rsidR="00885183" w:rsidP="00F377C1" w:rsidRDefault="00885183" w14:paraId="1EAC02F8" w14:textId="77777777">
            <w:pPr>
              <w:tabs>
                <w:tab w:val="left" w:pos="6030"/>
              </w:tabs>
              <w:spacing w:line="276" w:lineRule="auto"/>
              <w:jc w:val="both"/>
              <w:rPr>
                <w:b/>
                <w:bCs/>
                <w:sz w:val="20"/>
                <w:szCs w:val="20"/>
              </w:rPr>
            </w:pPr>
            <w:r w:rsidRPr="00FB02B1">
              <w:rPr>
                <w:b/>
                <w:bCs/>
                <w:sz w:val="20"/>
                <w:szCs w:val="20"/>
              </w:rPr>
              <w:t>Total Annual Respondents</w:t>
            </w:r>
          </w:p>
        </w:tc>
        <w:tc>
          <w:tcPr>
            <w:tcW w:w="1127" w:type="dxa"/>
          </w:tcPr>
          <w:p w:rsidRPr="00FB02B1" w:rsidR="00885183" w:rsidP="00F377C1" w:rsidRDefault="00885183" w14:paraId="47FAAA60" w14:textId="77777777">
            <w:pPr>
              <w:tabs>
                <w:tab w:val="left" w:pos="6030"/>
              </w:tabs>
              <w:spacing w:line="276" w:lineRule="auto"/>
              <w:jc w:val="both"/>
              <w:rPr>
                <w:b/>
                <w:bCs/>
                <w:sz w:val="20"/>
                <w:szCs w:val="20"/>
              </w:rPr>
            </w:pPr>
            <w:r w:rsidRPr="00FB02B1">
              <w:rPr>
                <w:b/>
                <w:bCs/>
                <w:sz w:val="20"/>
                <w:szCs w:val="20"/>
              </w:rPr>
              <w:t>Response Frequency (per year)</w:t>
            </w:r>
          </w:p>
        </w:tc>
        <w:tc>
          <w:tcPr>
            <w:tcW w:w="1303" w:type="dxa"/>
          </w:tcPr>
          <w:p w:rsidRPr="00FB02B1" w:rsidR="00885183" w:rsidP="00F377C1" w:rsidRDefault="00885183" w14:paraId="76670D3F" w14:textId="77777777">
            <w:pPr>
              <w:tabs>
                <w:tab w:val="left" w:pos="6030"/>
              </w:tabs>
              <w:spacing w:line="276" w:lineRule="auto"/>
              <w:jc w:val="both"/>
              <w:rPr>
                <w:b/>
                <w:bCs/>
                <w:sz w:val="20"/>
                <w:szCs w:val="20"/>
              </w:rPr>
            </w:pPr>
            <w:r w:rsidRPr="00FB02B1">
              <w:rPr>
                <w:b/>
                <w:bCs/>
                <w:sz w:val="20"/>
                <w:szCs w:val="20"/>
              </w:rPr>
              <w:t>Total Annual Responses</w:t>
            </w:r>
          </w:p>
        </w:tc>
        <w:tc>
          <w:tcPr>
            <w:tcW w:w="1017" w:type="dxa"/>
          </w:tcPr>
          <w:p w:rsidRPr="00FB02B1" w:rsidR="00885183" w:rsidP="00F377C1" w:rsidRDefault="00885183" w14:paraId="6A742B10" w14:textId="77777777">
            <w:pPr>
              <w:tabs>
                <w:tab w:val="left" w:pos="6030"/>
              </w:tabs>
              <w:spacing w:line="276" w:lineRule="auto"/>
              <w:rPr>
                <w:b/>
                <w:bCs/>
                <w:sz w:val="20"/>
                <w:szCs w:val="20"/>
              </w:rPr>
            </w:pPr>
            <w:r w:rsidRPr="00FB02B1">
              <w:rPr>
                <w:b/>
                <w:bCs/>
                <w:sz w:val="20"/>
                <w:szCs w:val="20"/>
              </w:rPr>
              <w:t>Time Per Response (hr)</w:t>
            </w:r>
          </w:p>
        </w:tc>
        <w:tc>
          <w:tcPr>
            <w:tcW w:w="1480" w:type="dxa"/>
          </w:tcPr>
          <w:p w:rsidRPr="00FB02B1" w:rsidR="00885183" w:rsidP="00F377C1" w:rsidRDefault="00885183" w14:paraId="05A4E45A" w14:textId="77777777">
            <w:pPr>
              <w:tabs>
                <w:tab w:val="left" w:pos="6030"/>
              </w:tabs>
              <w:spacing w:line="276" w:lineRule="auto"/>
              <w:jc w:val="both"/>
              <w:rPr>
                <w:b/>
                <w:bCs/>
                <w:sz w:val="20"/>
                <w:szCs w:val="20"/>
              </w:rPr>
            </w:pPr>
            <w:r w:rsidRPr="00FB02B1">
              <w:rPr>
                <w:b/>
                <w:bCs/>
                <w:sz w:val="20"/>
                <w:szCs w:val="20"/>
              </w:rPr>
              <w:t>Total Annual Time (hr)</w:t>
            </w:r>
          </w:p>
        </w:tc>
        <w:tc>
          <w:tcPr>
            <w:tcW w:w="783" w:type="dxa"/>
          </w:tcPr>
          <w:p w:rsidRPr="00FB02B1" w:rsidR="00885183" w:rsidP="00F377C1" w:rsidRDefault="00885183" w14:paraId="21D8F483" w14:textId="77777777">
            <w:pPr>
              <w:tabs>
                <w:tab w:val="left" w:pos="6030"/>
              </w:tabs>
              <w:spacing w:line="276" w:lineRule="auto"/>
              <w:jc w:val="both"/>
              <w:rPr>
                <w:b/>
                <w:bCs/>
                <w:sz w:val="20"/>
                <w:szCs w:val="20"/>
              </w:rPr>
            </w:pPr>
            <w:r w:rsidRPr="00FB02B1">
              <w:rPr>
                <w:b/>
                <w:bCs/>
                <w:sz w:val="20"/>
                <w:szCs w:val="20"/>
              </w:rPr>
              <w:t>Labor Cost ($/hr)</w:t>
            </w:r>
          </w:p>
        </w:tc>
        <w:tc>
          <w:tcPr>
            <w:tcW w:w="1777" w:type="dxa"/>
          </w:tcPr>
          <w:p w:rsidRPr="00FB02B1" w:rsidR="00885183" w:rsidP="00F377C1" w:rsidRDefault="00885183" w14:paraId="1B2918B0" w14:textId="77777777">
            <w:pPr>
              <w:tabs>
                <w:tab w:val="left" w:pos="6030"/>
              </w:tabs>
              <w:spacing w:line="276" w:lineRule="auto"/>
              <w:rPr>
                <w:b/>
                <w:bCs/>
                <w:sz w:val="20"/>
                <w:szCs w:val="20"/>
              </w:rPr>
            </w:pPr>
            <w:r w:rsidRPr="00FB02B1">
              <w:rPr>
                <w:b/>
                <w:bCs/>
                <w:sz w:val="20"/>
                <w:szCs w:val="20"/>
              </w:rPr>
              <w:t>Total Annual Cost ($)</w:t>
            </w:r>
          </w:p>
        </w:tc>
      </w:tr>
      <w:tr w:rsidR="004D6D15" w:rsidTr="003830B0" w14:paraId="6926222E" w14:textId="77777777">
        <w:tc>
          <w:tcPr>
            <w:tcW w:w="1238" w:type="dxa"/>
          </w:tcPr>
          <w:p w:rsidRPr="00BB7053" w:rsidR="00F915C9" w:rsidP="00F377C1" w:rsidRDefault="00F915C9" w14:paraId="59A33615" w14:textId="68C72F2F">
            <w:pPr>
              <w:tabs>
                <w:tab w:val="left" w:pos="6030"/>
              </w:tabs>
              <w:spacing w:line="276" w:lineRule="auto"/>
              <w:jc w:val="both"/>
              <w:rPr>
                <w:sz w:val="20"/>
                <w:szCs w:val="20"/>
              </w:rPr>
            </w:pPr>
            <w:r>
              <w:rPr>
                <w:sz w:val="20"/>
                <w:szCs w:val="20"/>
              </w:rPr>
              <w:t>Currently Approved</w:t>
            </w:r>
            <w:r w:rsidR="00E4635E">
              <w:rPr>
                <w:sz w:val="20"/>
                <w:szCs w:val="20"/>
              </w:rPr>
              <w:t xml:space="preserve"> </w:t>
            </w:r>
            <w:r w:rsidRPr="00E4635E" w:rsidR="00E4635E">
              <w:rPr>
                <w:bCs/>
                <w:sz w:val="20"/>
                <w:szCs w:val="20"/>
              </w:rPr>
              <w:t>(202</w:t>
            </w:r>
            <w:r w:rsidR="0037525B">
              <w:rPr>
                <w:bCs/>
                <w:sz w:val="20"/>
                <w:szCs w:val="20"/>
              </w:rPr>
              <w:t>2</w:t>
            </w:r>
            <w:r w:rsidRPr="00E4635E" w:rsidR="00E4635E">
              <w:rPr>
                <w:bCs/>
                <w:sz w:val="20"/>
                <w:szCs w:val="20"/>
              </w:rPr>
              <w:t xml:space="preserve"> MIPS Performance Period)</w:t>
            </w:r>
          </w:p>
        </w:tc>
        <w:tc>
          <w:tcPr>
            <w:tcW w:w="1306" w:type="dxa"/>
          </w:tcPr>
          <w:p w:rsidRPr="00BB7053" w:rsidR="00F915C9" w:rsidP="00F377C1" w:rsidRDefault="007E7DF9" w14:paraId="655E967F" w14:textId="1046D2DD">
            <w:pPr>
              <w:jc w:val="right"/>
              <w:rPr>
                <w:sz w:val="20"/>
                <w:szCs w:val="20"/>
              </w:rPr>
            </w:pPr>
            <w:r>
              <w:rPr>
                <w:color w:val="000000"/>
                <w:sz w:val="20"/>
                <w:szCs w:val="20"/>
              </w:rPr>
              <w:t>50,</w:t>
            </w:r>
            <w:r w:rsidR="00BA59FA">
              <w:rPr>
                <w:color w:val="000000"/>
                <w:sz w:val="20"/>
                <w:szCs w:val="20"/>
              </w:rPr>
              <w:t>475</w:t>
            </w:r>
          </w:p>
        </w:tc>
        <w:tc>
          <w:tcPr>
            <w:tcW w:w="1127" w:type="dxa"/>
          </w:tcPr>
          <w:p w:rsidRPr="00BB7053" w:rsidR="00F915C9" w:rsidP="00F377C1" w:rsidRDefault="00F915C9" w14:paraId="78C0824A" w14:textId="0D665BBE">
            <w:pPr>
              <w:tabs>
                <w:tab w:val="left" w:pos="6030"/>
              </w:tabs>
              <w:spacing w:line="276" w:lineRule="auto"/>
              <w:jc w:val="right"/>
              <w:rPr>
                <w:sz w:val="20"/>
                <w:szCs w:val="20"/>
              </w:rPr>
            </w:pPr>
            <w:r>
              <w:rPr>
                <w:sz w:val="20"/>
                <w:szCs w:val="20"/>
              </w:rPr>
              <w:t>1</w:t>
            </w:r>
          </w:p>
        </w:tc>
        <w:tc>
          <w:tcPr>
            <w:tcW w:w="1303" w:type="dxa"/>
          </w:tcPr>
          <w:p w:rsidRPr="00BB7053" w:rsidR="00F915C9" w:rsidP="00F377C1" w:rsidRDefault="00000177" w14:paraId="0C535044" w14:textId="462ED431">
            <w:pPr>
              <w:tabs>
                <w:tab w:val="left" w:pos="6030"/>
              </w:tabs>
              <w:spacing w:line="276" w:lineRule="auto"/>
              <w:jc w:val="right"/>
              <w:rPr>
                <w:sz w:val="20"/>
                <w:szCs w:val="20"/>
              </w:rPr>
            </w:pPr>
            <w:r>
              <w:rPr>
                <w:sz w:val="20"/>
                <w:szCs w:val="20"/>
              </w:rPr>
              <w:t>50,47</w:t>
            </w:r>
            <w:r w:rsidR="00BA59FA">
              <w:rPr>
                <w:sz w:val="20"/>
                <w:szCs w:val="20"/>
              </w:rPr>
              <w:t>5</w:t>
            </w:r>
          </w:p>
        </w:tc>
        <w:tc>
          <w:tcPr>
            <w:tcW w:w="1017" w:type="dxa"/>
          </w:tcPr>
          <w:p w:rsidRPr="00BB7053" w:rsidR="00F915C9" w:rsidP="00F377C1" w:rsidRDefault="00F915C9" w14:paraId="733AEC15" w14:textId="7D2FD8FD">
            <w:pPr>
              <w:tabs>
                <w:tab w:val="left" w:pos="6030"/>
              </w:tabs>
              <w:spacing w:line="276" w:lineRule="auto"/>
              <w:jc w:val="right"/>
              <w:rPr>
                <w:sz w:val="20"/>
                <w:szCs w:val="20"/>
              </w:rPr>
            </w:pPr>
            <w:r>
              <w:rPr>
                <w:sz w:val="20"/>
                <w:szCs w:val="20"/>
              </w:rPr>
              <w:t>8</w:t>
            </w:r>
          </w:p>
        </w:tc>
        <w:tc>
          <w:tcPr>
            <w:tcW w:w="1480" w:type="dxa"/>
          </w:tcPr>
          <w:p w:rsidRPr="00BB7053" w:rsidR="00F915C9" w:rsidP="00F377C1" w:rsidRDefault="007E7DF9" w14:paraId="367FE85A" w14:textId="0D8F46BA">
            <w:pPr>
              <w:tabs>
                <w:tab w:val="left" w:pos="6030"/>
              </w:tabs>
              <w:spacing w:line="276" w:lineRule="auto"/>
              <w:jc w:val="right"/>
              <w:rPr>
                <w:sz w:val="20"/>
                <w:szCs w:val="20"/>
              </w:rPr>
            </w:pPr>
            <w:r>
              <w:rPr>
                <w:sz w:val="20"/>
                <w:szCs w:val="20"/>
              </w:rPr>
              <w:t>403,</w:t>
            </w:r>
            <w:r w:rsidR="00BA59FA">
              <w:rPr>
                <w:sz w:val="20"/>
                <w:szCs w:val="20"/>
              </w:rPr>
              <w:t>800</w:t>
            </w:r>
          </w:p>
        </w:tc>
        <w:tc>
          <w:tcPr>
            <w:tcW w:w="783" w:type="dxa"/>
          </w:tcPr>
          <w:p w:rsidRPr="00BB7053" w:rsidR="00F915C9" w:rsidP="00F377C1" w:rsidRDefault="00F915C9" w14:paraId="64018EF3" w14:textId="5C0A1E4B">
            <w:pPr>
              <w:tabs>
                <w:tab w:val="left" w:pos="6030"/>
              </w:tabs>
              <w:spacing w:line="276" w:lineRule="auto"/>
              <w:jc w:val="right"/>
              <w:rPr>
                <w:sz w:val="20"/>
                <w:szCs w:val="20"/>
              </w:rPr>
            </w:pPr>
            <w:r>
              <w:rPr>
                <w:sz w:val="20"/>
                <w:szCs w:val="20"/>
              </w:rPr>
              <w:t>Varies</w:t>
            </w:r>
          </w:p>
        </w:tc>
        <w:tc>
          <w:tcPr>
            <w:tcW w:w="1777" w:type="dxa"/>
          </w:tcPr>
          <w:p w:rsidR="00696DB3" w:rsidP="00F377C1" w:rsidRDefault="00696DB3" w14:paraId="23C8EECF" w14:textId="77777777">
            <w:pPr>
              <w:jc w:val="right"/>
              <w:rPr>
                <w:color w:val="000000"/>
                <w:sz w:val="20"/>
                <w:szCs w:val="20"/>
              </w:rPr>
            </w:pPr>
            <w:r>
              <w:rPr>
                <w:color w:val="000000"/>
                <w:sz w:val="20"/>
                <w:szCs w:val="20"/>
              </w:rPr>
              <w:t>41,371,329</w:t>
            </w:r>
          </w:p>
          <w:p w:rsidRPr="00BB7053" w:rsidR="00F915C9" w:rsidP="00F377C1" w:rsidRDefault="00F915C9" w14:paraId="2AD5DA58" w14:textId="4C9908C3">
            <w:pPr>
              <w:tabs>
                <w:tab w:val="left" w:pos="6030"/>
              </w:tabs>
              <w:spacing w:line="276" w:lineRule="auto"/>
              <w:jc w:val="right"/>
              <w:rPr>
                <w:sz w:val="20"/>
                <w:szCs w:val="20"/>
              </w:rPr>
            </w:pPr>
          </w:p>
        </w:tc>
      </w:tr>
      <w:tr w:rsidR="004D6D15" w:rsidTr="003830B0" w14:paraId="19494939" w14:textId="77777777">
        <w:tc>
          <w:tcPr>
            <w:tcW w:w="1238" w:type="dxa"/>
          </w:tcPr>
          <w:p w:rsidR="006F1C3D" w:rsidP="00F377C1" w:rsidRDefault="00E71312" w14:paraId="26CBA9DE" w14:textId="4D4684E8">
            <w:pPr>
              <w:tabs>
                <w:tab w:val="left" w:pos="6030"/>
              </w:tabs>
              <w:spacing w:line="276" w:lineRule="auto"/>
              <w:rPr>
                <w:sz w:val="20"/>
                <w:szCs w:val="20"/>
              </w:rPr>
            </w:pPr>
            <w:r>
              <w:rPr>
                <w:sz w:val="20"/>
                <w:szCs w:val="20"/>
              </w:rPr>
              <w:t xml:space="preserve">Proposed </w:t>
            </w:r>
            <w:r w:rsidR="00F424A2">
              <w:rPr>
                <w:sz w:val="20"/>
                <w:szCs w:val="20"/>
              </w:rPr>
              <w:br/>
            </w:r>
            <w:r w:rsidR="00C1361E">
              <w:rPr>
                <w:sz w:val="20"/>
                <w:szCs w:val="20"/>
              </w:rPr>
              <w:t>(202</w:t>
            </w:r>
            <w:r w:rsidR="006F1C3D">
              <w:rPr>
                <w:sz w:val="20"/>
                <w:szCs w:val="20"/>
              </w:rPr>
              <w:t>2</w:t>
            </w:r>
            <w:r w:rsidR="00B5392B">
              <w:rPr>
                <w:sz w:val="20"/>
                <w:szCs w:val="20"/>
              </w:rPr>
              <w:t xml:space="preserve"> MIPS Performance Period</w:t>
            </w:r>
            <w:r w:rsidR="00C1361E">
              <w:rPr>
                <w:sz w:val="20"/>
                <w:szCs w:val="20"/>
              </w:rPr>
              <w:t>)</w:t>
            </w:r>
            <w:r w:rsidR="00A67FD9">
              <w:rPr>
                <w:sz w:val="20"/>
                <w:szCs w:val="20"/>
              </w:rPr>
              <w:t xml:space="preserve"> </w:t>
            </w:r>
          </w:p>
          <w:p w:rsidRPr="00BB7053" w:rsidR="00F915C9" w:rsidP="00F377C1" w:rsidRDefault="00A67FD9" w14:paraId="76FA3219" w14:textId="47F54101">
            <w:pPr>
              <w:tabs>
                <w:tab w:val="left" w:pos="6030"/>
              </w:tabs>
              <w:spacing w:line="276" w:lineRule="auto"/>
              <w:rPr>
                <w:sz w:val="20"/>
                <w:szCs w:val="20"/>
              </w:rPr>
            </w:pPr>
            <w:r w:rsidRPr="00A67FD9">
              <w:rPr>
                <w:sz w:val="20"/>
                <w:szCs w:val="20"/>
              </w:rPr>
              <w:lastRenderedPageBreak/>
              <w:t>(See Table 12)</w:t>
            </w:r>
          </w:p>
        </w:tc>
        <w:tc>
          <w:tcPr>
            <w:tcW w:w="1306" w:type="dxa"/>
          </w:tcPr>
          <w:p w:rsidRPr="00BB7053" w:rsidR="00F915C9" w:rsidP="00F377C1" w:rsidRDefault="003B774C" w14:paraId="7760DECB" w14:textId="3D0D70D0">
            <w:pPr>
              <w:tabs>
                <w:tab w:val="left" w:pos="6030"/>
              </w:tabs>
              <w:spacing w:line="276" w:lineRule="auto"/>
              <w:jc w:val="right"/>
              <w:rPr>
                <w:sz w:val="20"/>
                <w:szCs w:val="20"/>
              </w:rPr>
            </w:pPr>
            <w:r>
              <w:rPr>
                <w:sz w:val="20"/>
                <w:szCs w:val="20"/>
              </w:rPr>
              <w:lastRenderedPageBreak/>
              <w:t>48,573</w:t>
            </w:r>
          </w:p>
        </w:tc>
        <w:tc>
          <w:tcPr>
            <w:tcW w:w="1127" w:type="dxa"/>
          </w:tcPr>
          <w:p w:rsidRPr="00BB7053" w:rsidR="00F915C9" w:rsidP="00F377C1" w:rsidRDefault="00F915C9" w14:paraId="5A4FF95F" w14:textId="2E2DDB15">
            <w:pPr>
              <w:tabs>
                <w:tab w:val="left" w:pos="6030"/>
              </w:tabs>
              <w:spacing w:line="276" w:lineRule="auto"/>
              <w:jc w:val="right"/>
              <w:rPr>
                <w:sz w:val="20"/>
                <w:szCs w:val="20"/>
              </w:rPr>
            </w:pPr>
            <w:r>
              <w:rPr>
                <w:sz w:val="20"/>
                <w:szCs w:val="20"/>
              </w:rPr>
              <w:t>1</w:t>
            </w:r>
          </w:p>
        </w:tc>
        <w:tc>
          <w:tcPr>
            <w:tcW w:w="1303" w:type="dxa"/>
          </w:tcPr>
          <w:p w:rsidRPr="00BB7053" w:rsidR="00F915C9" w:rsidP="00F377C1" w:rsidRDefault="009862EB" w14:paraId="491E9371" w14:textId="47ADB746">
            <w:pPr>
              <w:tabs>
                <w:tab w:val="left" w:pos="6030"/>
              </w:tabs>
              <w:spacing w:line="276" w:lineRule="auto"/>
              <w:jc w:val="right"/>
              <w:rPr>
                <w:sz w:val="20"/>
                <w:szCs w:val="20"/>
              </w:rPr>
            </w:pPr>
            <w:r>
              <w:rPr>
                <w:sz w:val="20"/>
                <w:szCs w:val="20"/>
              </w:rPr>
              <w:t>48,573</w:t>
            </w:r>
          </w:p>
        </w:tc>
        <w:tc>
          <w:tcPr>
            <w:tcW w:w="1017" w:type="dxa"/>
          </w:tcPr>
          <w:p w:rsidRPr="00BB7053" w:rsidR="00F915C9" w:rsidP="00F377C1" w:rsidRDefault="00F915C9" w14:paraId="350B3F67" w14:textId="71EC6A01">
            <w:pPr>
              <w:tabs>
                <w:tab w:val="left" w:pos="6030"/>
              </w:tabs>
              <w:spacing w:line="276" w:lineRule="auto"/>
              <w:jc w:val="right"/>
              <w:rPr>
                <w:sz w:val="20"/>
                <w:szCs w:val="20"/>
              </w:rPr>
            </w:pPr>
            <w:r>
              <w:rPr>
                <w:sz w:val="20"/>
                <w:szCs w:val="20"/>
              </w:rPr>
              <w:t>8</w:t>
            </w:r>
          </w:p>
        </w:tc>
        <w:tc>
          <w:tcPr>
            <w:tcW w:w="1480" w:type="dxa"/>
          </w:tcPr>
          <w:p w:rsidRPr="00BB7053" w:rsidR="00F915C9" w:rsidP="00F377C1" w:rsidRDefault="002B5D20" w14:paraId="0B8C14BC" w14:textId="6E5CDEDB">
            <w:pPr>
              <w:tabs>
                <w:tab w:val="left" w:pos="6030"/>
              </w:tabs>
              <w:spacing w:line="276" w:lineRule="auto"/>
              <w:jc w:val="right"/>
              <w:rPr>
                <w:sz w:val="20"/>
                <w:szCs w:val="20"/>
              </w:rPr>
            </w:pPr>
            <w:r>
              <w:rPr>
                <w:sz w:val="20"/>
                <w:szCs w:val="20"/>
              </w:rPr>
              <w:t>388,584</w:t>
            </w:r>
          </w:p>
        </w:tc>
        <w:tc>
          <w:tcPr>
            <w:tcW w:w="783" w:type="dxa"/>
          </w:tcPr>
          <w:p w:rsidRPr="00BB7053" w:rsidR="00F915C9" w:rsidP="00F377C1" w:rsidRDefault="00F915C9" w14:paraId="18041A42" w14:textId="68478642">
            <w:pPr>
              <w:tabs>
                <w:tab w:val="left" w:pos="6030"/>
              </w:tabs>
              <w:spacing w:line="276" w:lineRule="auto"/>
              <w:jc w:val="right"/>
              <w:rPr>
                <w:sz w:val="20"/>
                <w:szCs w:val="20"/>
              </w:rPr>
            </w:pPr>
            <w:r>
              <w:rPr>
                <w:sz w:val="20"/>
                <w:szCs w:val="20"/>
              </w:rPr>
              <w:t>Varies</w:t>
            </w:r>
          </w:p>
        </w:tc>
        <w:tc>
          <w:tcPr>
            <w:tcW w:w="1777" w:type="dxa"/>
          </w:tcPr>
          <w:p w:rsidRPr="00BB7053" w:rsidR="00F915C9" w:rsidP="00F377C1" w:rsidRDefault="006D23CA" w14:paraId="70702506" w14:textId="7BDE5D02">
            <w:pPr>
              <w:tabs>
                <w:tab w:val="left" w:pos="6030"/>
              </w:tabs>
              <w:spacing w:line="276" w:lineRule="auto"/>
              <w:jc w:val="right"/>
              <w:rPr>
                <w:sz w:val="20"/>
                <w:szCs w:val="20"/>
              </w:rPr>
            </w:pPr>
            <w:r>
              <w:rPr>
                <w:sz w:val="20"/>
                <w:szCs w:val="20"/>
              </w:rPr>
              <w:t>39,812,374</w:t>
            </w:r>
          </w:p>
        </w:tc>
      </w:tr>
      <w:tr w:rsidR="00832F96" w:rsidTr="003830B0" w14:paraId="6A6C7DA4" w14:textId="77777777">
        <w:tc>
          <w:tcPr>
            <w:tcW w:w="1238" w:type="dxa"/>
            <w:shd w:val="clear" w:color="auto" w:fill="D9D9D9" w:themeFill="background1" w:themeFillShade="D9"/>
          </w:tcPr>
          <w:p w:rsidRPr="00BB7053" w:rsidR="00F915C9" w:rsidP="00F377C1" w:rsidRDefault="00F915C9" w14:paraId="2B8AD4DE" w14:textId="55A82DBA">
            <w:pPr>
              <w:tabs>
                <w:tab w:val="left" w:pos="6030"/>
              </w:tabs>
              <w:spacing w:line="276" w:lineRule="auto"/>
              <w:jc w:val="both"/>
              <w:rPr>
                <w:sz w:val="20"/>
                <w:szCs w:val="20"/>
              </w:rPr>
            </w:pPr>
            <w:r>
              <w:rPr>
                <w:sz w:val="20"/>
                <w:szCs w:val="20"/>
              </w:rPr>
              <w:t>Adjustment</w:t>
            </w:r>
            <w:r w:rsidR="00C1361E">
              <w:rPr>
                <w:sz w:val="20"/>
                <w:szCs w:val="20"/>
              </w:rPr>
              <w:t xml:space="preserve"> </w:t>
            </w:r>
            <w:r w:rsidR="00F424A2">
              <w:rPr>
                <w:sz w:val="20"/>
                <w:szCs w:val="20"/>
              </w:rPr>
              <w:br/>
            </w:r>
          </w:p>
        </w:tc>
        <w:tc>
          <w:tcPr>
            <w:tcW w:w="1306" w:type="dxa"/>
            <w:shd w:val="clear" w:color="auto" w:fill="D9D9D9" w:themeFill="background1" w:themeFillShade="D9"/>
          </w:tcPr>
          <w:p w:rsidRPr="00BB7053" w:rsidR="00F915C9" w:rsidP="00F377C1" w:rsidRDefault="007F59F9" w14:paraId="0815153B" w14:textId="25F20DB6">
            <w:pPr>
              <w:tabs>
                <w:tab w:val="left" w:pos="6030"/>
              </w:tabs>
              <w:spacing w:line="276" w:lineRule="auto"/>
              <w:jc w:val="right"/>
              <w:rPr>
                <w:sz w:val="20"/>
                <w:szCs w:val="20"/>
              </w:rPr>
            </w:pPr>
            <w:r>
              <w:rPr>
                <w:sz w:val="20"/>
                <w:szCs w:val="20"/>
              </w:rPr>
              <w:t>-1,902</w:t>
            </w:r>
            <w:r w:rsidR="00983DBE">
              <w:rPr>
                <w:sz w:val="20"/>
                <w:szCs w:val="20"/>
              </w:rPr>
              <w:t xml:space="preserve"> </w:t>
            </w:r>
          </w:p>
        </w:tc>
        <w:tc>
          <w:tcPr>
            <w:tcW w:w="1127" w:type="dxa"/>
            <w:shd w:val="clear" w:color="auto" w:fill="D9D9D9" w:themeFill="background1" w:themeFillShade="D9"/>
          </w:tcPr>
          <w:p w:rsidRPr="00BB7053" w:rsidR="00F915C9" w:rsidP="00F377C1" w:rsidRDefault="00F915C9" w14:paraId="2BDC1DF9" w14:textId="6E961EB5">
            <w:pPr>
              <w:tabs>
                <w:tab w:val="left" w:pos="6030"/>
              </w:tabs>
              <w:spacing w:line="276" w:lineRule="auto"/>
              <w:jc w:val="right"/>
              <w:rPr>
                <w:sz w:val="20"/>
                <w:szCs w:val="20"/>
              </w:rPr>
            </w:pPr>
            <w:r>
              <w:rPr>
                <w:sz w:val="20"/>
                <w:szCs w:val="20"/>
              </w:rPr>
              <w:t>No change</w:t>
            </w:r>
          </w:p>
        </w:tc>
        <w:tc>
          <w:tcPr>
            <w:tcW w:w="1303" w:type="dxa"/>
            <w:shd w:val="clear" w:color="auto" w:fill="D9D9D9" w:themeFill="background1" w:themeFillShade="D9"/>
          </w:tcPr>
          <w:p w:rsidRPr="00BB7053" w:rsidR="00F915C9" w:rsidP="00F377C1" w:rsidRDefault="00983DBE" w14:paraId="3676B35F" w14:textId="1E93E5B9">
            <w:pPr>
              <w:tabs>
                <w:tab w:val="left" w:pos="6030"/>
              </w:tabs>
              <w:spacing w:line="276" w:lineRule="auto"/>
              <w:jc w:val="right"/>
              <w:rPr>
                <w:sz w:val="20"/>
                <w:szCs w:val="20"/>
              </w:rPr>
            </w:pPr>
            <w:r>
              <w:rPr>
                <w:sz w:val="20"/>
                <w:szCs w:val="20"/>
              </w:rPr>
              <w:t>-1,</w:t>
            </w:r>
            <w:r w:rsidR="007F59F9">
              <w:rPr>
                <w:sz w:val="20"/>
                <w:szCs w:val="20"/>
              </w:rPr>
              <w:t>902</w:t>
            </w:r>
            <w:r>
              <w:rPr>
                <w:sz w:val="20"/>
                <w:szCs w:val="20"/>
              </w:rPr>
              <w:t xml:space="preserve"> </w:t>
            </w:r>
          </w:p>
        </w:tc>
        <w:tc>
          <w:tcPr>
            <w:tcW w:w="1017" w:type="dxa"/>
            <w:shd w:val="clear" w:color="auto" w:fill="D9D9D9" w:themeFill="background1" w:themeFillShade="D9"/>
          </w:tcPr>
          <w:p w:rsidRPr="00BB7053" w:rsidR="00F915C9" w:rsidP="00F377C1" w:rsidRDefault="00F915C9" w14:paraId="02CC1C28" w14:textId="7062C02C">
            <w:pPr>
              <w:tabs>
                <w:tab w:val="left" w:pos="6030"/>
              </w:tabs>
              <w:spacing w:line="276" w:lineRule="auto"/>
              <w:jc w:val="right"/>
              <w:rPr>
                <w:sz w:val="20"/>
                <w:szCs w:val="20"/>
              </w:rPr>
            </w:pPr>
            <w:r>
              <w:rPr>
                <w:sz w:val="20"/>
                <w:szCs w:val="20"/>
              </w:rPr>
              <w:t>No change</w:t>
            </w:r>
          </w:p>
        </w:tc>
        <w:tc>
          <w:tcPr>
            <w:tcW w:w="1480" w:type="dxa"/>
            <w:shd w:val="clear" w:color="auto" w:fill="D9D9D9" w:themeFill="background1" w:themeFillShade="D9"/>
          </w:tcPr>
          <w:p w:rsidR="00F930D6" w:rsidP="00F377C1" w:rsidRDefault="00F930D6" w14:paraId="04477317" w14:textId="2AE0A481">
            <w:pPr>
              <w:tabs>
                <w:tab w:val="left" w:pos="6030"/>
              </w:tabs>
              <w:spacing w:line="276" w:lineRule="auto"/>
              <w:jc w:val="right"/>
              <w:rPr>
                <w:sz w:val="20"/>
                <w:szCs w:val="20"/>
              </w:rPr>
            </w:pPr>
            <w:r>
              <w:rPr>
                <w:sz w:val="20"/>
                <w:szCs w:val="20"/>
              </w:rPr>
              <w:t>-15,</w:t>
            </w:r>
            <w:r w:rsidR="007F59F9">
              <w:rPr>
                <w:sz w:val="20"/>
                <w:szCs w:val="20"/>
              </w:rPr>
              <w:t>216</w:t>
            </w:r>
          </w:p>
          <w:p w:rsidRPr="00BB7053" w:rsidR="00F915C9" w:rsidP="00F377C1" w:rsidRDefault="00F915C9" w14:paraId="6B60D96F" w14:textId="2BF2C5AD">
            <w:pPr>
              <w:tabs>
                <w:tab w:val="left" w:pos="6030"/>
              </w:tabs>
              <w:spacing w:line="276" w:lineRule="auto"/>
              <w:jc w:val="right"/>
              <w:rPr>
                <w:sz w:val="20"/>
                <w:szCs w:val="20"/>
              </w:rPr>
            </w:pPr>
          </w:p>
        </w:tc>
        <w:tc>
          <w:tcPr>
            <w:tcW w:w="783" w:type="dxa"/>
            <w:shd w:val="clear" w:color="auto" w:fill="D9D9D9" w:themeFill="background1" w:themeFillShade="D9"/>
          </w:tcPr>
          <w:p w:rsidRPr="00BB7053" w:rsidR="00F915C9" w:rsidP="00F377C1" w:rsidRDefault="00F915C9" w14:paraId="7D826C49" w14:textId="3566F18E">
            <w:pPr>
              <w:tabs>
                <w:tab w:val="left" w:pos="6030"/>
              </w:tabs>
              <w:spacing w:line="276" w:lineRule="auto"/>
              <w:jc w:val="right"/>
              <w:rPr>
                <w:sz w:val="20"/>
                <w:szCs w:val="20"/>
              </w:rPr>
            </w:pPr>
            <w:r>
              <w:rPr>
                <w:sz w:val="20"/>
                <w:szCs w:val="20"/>
              </w:rPr>
              <w:t>No change</w:t>
            </w:r>
          </w:p>
        </w:tc>
        <w:tc>
          <w:tcPr>
            <w:tcW w:w="1777" w:type="dxa"/>
            <w:shd w:val="clear" w:color="auto" w:fill="D9D9D9" w:themeFill="background1" w:themeFillShade="D9"/>
          </w:tcPr>
          <w:p w:rsidRPr="00BB7053" w:rsidR="00F915C9" w:rsidP="00F377C1" w:rsidRDefault="003A47AE" w14:paraId="0F81321F" w14:textId="0713A87B">
            <w:pPr>
              <w:tabs>
                <w:tab w:val="left" w:pos="6030"/>
              </w:tabs>
              <w:spacing w:line="276" w:lineRule="auto"/>
              <w:jc w:val="right"/>
              <w:rPr>
                <w:sz w:val="20"/>
                <w:szCs w:val="20"/>
              </w:rPr>
            </w:pPr>
            <w:r>
              <w:rPr>
                <w:sz w:val="20"/>
                <w:szCs w:val="20"/>
              </w:rPr>
              <w:t>-</w:t>
            </w:r>
            <w:r w:rsidR="004544A4">
              <w:rPr>
                <w:sz w:val="20"/>
                <w:szCs w:val="20"/>
              </w:rPr>
              <w:t>1,558,955</w:t>
            </w:r>
            <w:r>
              <w:rPr>
                <w:sz w:val="20"/>
                <w:szCs w:val="20"/>
              </w:rPr>
              <w:t xml:space="preserve"> </w:t>
            </w:r>
          </w:p>
        </w:tc>
      </w:tr>
    </w:tbl>
    <w:p w:rsidR="00E17C8B" w:rsidP="005E6666" w:rsidRDefault="00E17C8B" w14:paraId="3B0A4F0D" w14:textId="77777777">
      <w:pPr>
        <w:rPr>
          <w:rFonts w:eastAsia="Calibri"/>
          <w:b/>
          <w:bCs/>
        </w:rPr>
      </w:pPr>
    </w:p>
    <w:p w:rsidR="00C1361E" w:rsidP="00C1361E" w:rsidRDefault="00885183" w14:paraId="1126D762" w14:textId="06C2B39A">
      <w:pPr>
        <w:keepNext/>
        <w:keepLines/>
        <w:jc w:val="center"/>
        <w:rPr>
          <w:b/>
          <w:bCs/>
        </w:rPr>
      </w:pPr>
      <w:r w:rsidRPr="00B30713">
        <w:rPr>
          <w:rFonts w:eastAsia="Calibri"/>
          <w:b/>
          <w:bCs/>
        </w:rPr>
        <w:t xml:space="preserve">TABLE </w:t>
      </w:r>
      <w:r w:rsidR="00C1361E">
        <w:rPr>
          <w:rFonts w:eastAsia="Calibri"/>
          <w:b/>
          <w:bCs/>
        </w:rPr>
        <w:t>3</w:t>
      </w:r>
      <w:r w:rsidR="00756646">
        <w:rPr>
          <w:rFonts w:eastAsia="Calibri"/>
          <w:b/>
          <w:bCs/>
        </w:rPr>
        <w:t>8</w:t>
      </w:r>
      <w:r w:rsidR="00FA460C">
        <w:rPr>
          <w:rFonts w:eastAsia="Calibri"/>
          <w:b/>
          <w:bCs/>
        </w:rPr>
        <w:t>H</w:t>
      </w:r>
      <w:r w:rsidRPr="00B30713" w:rsidR="00C1361E">
        <w:rPr>
          <w:rFonts w:eastAsia="Calibri"/>
          <w:b/>
          <w:bCs/>
        </w:rPr>
        <w:t xml:space="preserve">: Burden Reconciliation for </w:t>
      </w:r>
      <w:r w:rsidRPr="0020454E" w:rsidR="00C1361E">
        <w:rPr>
          <w:rFonts w:eastAsia="Calibri"/>
          <w:b/>
          <w:bCs/>
        </w:rPr>
        <w:t xml:space="preserve">Quality Performance Category </w:t>
      </w:r>
      <w:r w:rsidR="00C1361E">
        <w:rPr>
          <w:rFonts w:eastAsia="Calibri"/>
          <w:b/>
          <w:bCs/>
        </w:rPr>
        <w:t xml:space="preserve">CMS Web Interface </w:t>
      </w:r>
      <w:r w:rsidRPr="0020454E" w:rsidR="00C1361E">
        <w:rPr>
          <w:rFonts w:eastAsia="Calibri"/>
          <w:b/>
          <w:bCs/>
        </w:rPr>
        <w:t>Collection Type</w:t>
      </w:r>
    </w:p>
    <w:tbl>
      <w:tblPr>
        <w:tblStyle w:val="TableGrid"/>
        <w:tblW w:w="9445" w:type="dxa"/>
        <w:tblLook w:val="04A0" w:firstRow="1" w:lastRow="0" w:firstColumn="1" w:lastColumn="0" w:noHBand="0" w:noVBand="1"/>
      </w:tblPr>
      <w:tblGrid>
        <w:gridCol w:w="1705"/>
        <w:gridCol w:w="1306"/>
        <w:gridCol w:w="1154"/>
        <w:gridCol w:w="1094"/>
        <w:gridCol w:w="1057"/>
        <w:gridCol w:w="997"/>
        <w:gridCol w:w="960"/>
        <w:gridCol w:w="1172"/>
      </w:tblGrid>
      <w:tr w:rsidR="00C1361E" w:rsidTr="00D26368" w14:paraId="17593DB0" w14:textId="77777777">
        <w:trPr>
          <w:tblHeader/>
        </w:trPr>
        <w:tc>
          <w:tcPr>
            <w:tcW w:w="1705" w:type="dxa"/>
          </w:tcPr>
          <w:p w:rsidRPr="00FB02B1" w:rsidR="00C1361E" w:rsidP="0068663C" w:rsidRDefault="00C1361E" w14:paraId="1A217DDB" w14:textId="77777777">
            <w:pPr>
              <w:keepNext/>
              <w:keepLines/>
              <w:tabs>
                <w:tab w:val="left" w:pos="6030"/>
              </w:tabs>
              <w:spacing w:line="276" w:lineRule="auto"/>
              <w:jc w:val="both"/>
              <w:rPr>
                <w:b/>
                <w:bCs/>
                <w:sz w:val="20"/>
                <w:szCs w:val="20"/>
              </w:rPr>
            </w:pPr>
            <w:r w:rsidRPr="00FB02B1">
              <w:rPr>
                <w:b/>
                <w:bCs/>
                <w:sz w:val="20"/>
                <w:szCs w:val="20"/>
              </w:rPr>
              <w:t>Burden Category</w:t>
            </w:r>
          </w:p>
        </w:tc>
        <w:tc>
          <w:tcPr>
            <w:tcW w:w="1306" w:type="dxa"/>
          </w:tcPr>
          <w:p w:rsidRPr="00FB02B1" w:rsidR="00C1361E" w:rsidP="0068663C" w:rsidRDefault="00C1361E" w14:paraId="11E5F754" w14:textId="77777777">
            <w:pPr>
              <w:keepNext/>
              <w:keepLines/>
              <w:tabs>
                <w:tab w:val="left" w:pos="6030"/>
              </w:tabs>
              <w:spacing w:line="276" w:lineRule="auto"/>
              <w:jc w:val="both"/>
              <w:rPr>
                <w:b/>
                <w:bCs/>
                <w:sz w:val="20"/>
                <w:szCs w:val="20"/>
              </w:rPr>
            </w:pPr>
            <w:r w:rsidRPr="00FB02B1">
              <w:rPr>
                <w:b/>
                <w:bCs/>
                <w:sz w:val="20"/>
                <w:szCs w:val="20"/>
              </w:rPr>
              <w:t>Total Annual Respondents</w:t>
            </w:r>
          </w:p>
        </w:tc>
        <w:tc>
          <w:tcPr>
            <w:tcW w:w="1154" w:type="dxa"/>
          </w:tcPr>
          <w:p w:rsidRPr="00FB02B1" w:rsidR="00C1361E" w:rsidP="0068663C" w:rsidRDefault="00C1361E" w14:paraId="3E4E10E8" w14:textId="77777777">
            <w:pPr>
              <w:keepNext/>
              <w:keepLines/>
              <w:tabs>
                <w:tab w:val="left" w:pos="6030"/>
              </w:tabs>
              <w:spacing w:line="276" w:lineRule="auto"/>
              <w:jc w:val="both"/>
              <w:rPr>
                <w:b/>
                <w:bCs/>
                <w:sz w:val="20"/>
                <w:szCs w:val="20"/>
              </w:rPr>
            </w:pPr>
            <w:r w:rsidRPr="00FB02B1">
              <w:rPr>
                <w:b/>
                <w:bCs/>
                <w:sz w:val="20"/>
                <w:szCs w:val="20"/>
              </w:rPr>
              <w:t>Response Frequency (per year)</w:t>
            </w:r>
          </w:p>
        </w:tc>
        <w:tc>
          <w:tcPr>
            <w:tcW w:w="1094" w:type="dxa"/>
          </w:tcPr>
          <w:p w:rsidRPr="00FB02B1" w:rsidR="00C1361E" w:rsidP="0068663C" w:rsidRDefault="00C1361E" w14:paraId="53EB6162" w14:textId="77777777">
            <w:pPr>
              <w:keepNext/>
              <w:keepLines/>
              <w:tabs>
                <w:tab w:val="left" w:pos="6030"/>
              </w:tabs>
              <w:spacing w:line="276" w:lineRule="auto"/>
              <w:jc w:val="both"/>
              <w:rPr>
                <w:b/>
                <w:bCs/>
                <w:sz w:val="20"/>
                <w:szCs w:val="20"/>
              </w:rPr>
            </w:pPr>
            <w:r w:rsidRPr="00FB02B1">
              <w:rPr>
                <w:b/>
                <w:bCs/>
                <w:sz w:val="20"/>
                <w:szCs w:val="20"/>
              </w:rPr>
              <w:t>Total Annual Responses</w:t>
            </w:r>
          </w:p>
        </w:tc>
        <w:tc>
          <w:tcPr>
            <w:tcW w:w="1057" w:type="dxa"/>
          </w:tcPr>
          <w:p w:rsidRPr="00FB02B1" w:rsidR="00C1361E" w:rsidP="0068663C" w:rsidRDefault="00C1361E" w14:paraId="0803C2EC" w14:textId="77777777">
            <w:pPr>
              <w:keepNext/>
              <w:keepLines/>
              <w:tabs>
                <w:tab w:val="left" w:pos="6030"/>
              </w:tabs>
              <w:spacing w:line="276" w:lineRule="auto"/>
              <w:rPr>
                <w:b/>
                <w:bCs/>
                <w:sz w:val="20"/>
                <w:szCs w:val="20"/>
              </w:rPr>
            </w:pPr>
            <w:r w:rsidRPr="00FB02B1">
              <w:rPr>
                <w:b/>
                <w:bCs/>
                <w:sz w:val="20"/>
                <w:szCs w:val="20"/>
              </w:rPr>
              <w:t>Time Per Response (hr)</w:t>
            </w:r>
          </w:p>
        </w:tc>
        <w:tc>
          <w:tcPr>
            <w:tcW w:w="997" w:type="dxa"/>
          </w:tcPr>
          <w:p w:rsidRPr="00FB02B1" w:rsidR="00C1361E" w:rsidP="0068663C" w:rsidRDefault="00C1361E" w14:paraId="135994CE" w14:textId="77777777">
            <w:pPr>
              <w:keepNext/>
              <w:keepLines/>
              <w:tabs>
                <w:tab w:val="left" w:pos="6030"/>
              </w:tabs>
              <w:spacing w:line="276" w:lineRule="auto"/>
              <w:jc w:val="both"/>
              <w:rPr>
                <w:b/>
                <w:bCs/>
                <w:sz w:val="20"/>
                <w:szCs w:val="20"/>
              </w:rPr>
            </w:pPr>
            <w:r w:rsidRPr="00FB02B1">
              <w:rPr>
                <w:b/>
                <w:bCs/>
                <w:sz w:val="20"/>
                <w:szCs w:val="20"/>
              </w:rPr>
              <w:t>Total Annual Time (hr)</w:t>
            </w:r>
          </w:p>
        </w:tc>
        <w:tc>
          <w:tcPr>
            <w:tcW w:w="960" w:type="dxa"/>
          </w:tcPr>
          <w:p w:rsidRPr="00FB02B1" w:rsidR="00C1361E" w:rsidP="0068663C" w:rsidRDefault="00C1361E" w14:paraId="6EAE57BC" w14:textId="77777777">
            <w:pPr>
              <w:keepNext/>
              <w:keepLines/>
              <w:tabs>
                <w:tab w:val="left" w:pos="6030"/>
              </w:tabs>
              <w:spacing w:line="276" w:lineRule="auto"/>
              <w:jc w:val="both"/>
              <w:rPr>
                <w:b/>
                <w:bCs/>
                <w:sz w:val="20"/>
                <w:szCs w:val="20"/>
              </w:rPr>
            </w:pPr>
            <w:r w:rsidRPr="00FB02B1">
              <w:rPr>
                <w:b/>
                <w:bCs/>
                <w:sz w:val="20"/>
                <w:szCs w:val="20"/>
              </w:rPr>
              <w:t>Labor Cost ($/hr)</w:t>
            </w:r>
          </w:p>
        </w:tc>
        <w:tc>
          <w:tcPr>
            <w:tcW w:w="1172" w:type="dxa"/>
          </w:tcPr>
          <w:p w:rsidRPr="00FB02B1" w:rsidR="00C1361E" w:rsidP="0068663C" w:rsidRDefault="00C1361E" w14:paraId="3168AA47" w14:textId="77777777">
            <w:pPr>
              <w:keepNext/>
              <w:keepLines/>
              <w:tabs>
                <w:tab w:val="left" w:pos="6030"/>
              </w:tabs>
              <w:spacing w:line="276" w:lineRule="auto"/>
              <w:rPr>
                <w:b/>
                <w:bCs/>
                <w:sz w:val="20"/>
                <w:szCs w:val="20"/>
              </w:rPr>
            </w:pPr>
            <w:r w:rsidRPr="00FB02B1">
              <w:rPr>
                <w:b/>
                <w:bCs/>
                <w:sz w:val="20"/>
                <w:szCs w:val="20"/>
              </w:rPr>
              <w:t>Total Annual Cost ($)</w:t>
            </w:r>
          </w:p>
        </w:tc>
      </w:tr>
      <w:tr w:rsidR="00C1361E" w:rsidTr="00D26368" w14:paraId="066A584F" w14:textId="77777777">
        <w:tc>
          <w:tcPr>
            <w:tcW w:w="1705" w:type="dxa"/>
          </w:tcPr>
          <w:p w:rsidR="00B16A4B" w:rsidP="0068663C" w:rsidRDefault="00C1361E" w14:paraId="50774218" w14:textId="77777777">
            <w:pPr>
              <w:keepNext/>
              <w:keepLines/>
              <w:tabs>
                <w:tab w:val="left" w:pos="6030"/>
              </w:tabs>
              <w:spacing w:line="276" w:lineRule="auto"/>
              <w:jc w:val="both"/>
              <w:rPr>
                <w:sz w:val="20"/>
                <w:szCs w:val="20"/>
              </w:rPr>
            </w:pPr>
            <w:r>
              <w:rPr>
                <w:sz w:val="20"/>
                <w:szCs w:val="20"/>
              </w:rPr>
              <w:t>Currently Approved</w:t>
            </w:r>
            <w:r w:rsidR="00B5392B">
              <w:rPr>
                <w:sz w:val="20"/>
                <w:szCs w:val="20"/>
              </w:rPr>
              <w:t xml:space="preserve"> </w:t>
            </w:r>
          </w:p>
          <w:p w:rsidRPr="00BB7053" w:rsidR="00C1361E" w:rsidP="0068663C" w:rsidRDefault="00E4635E" w14:paraId="55A03EE3" w14:textId="18AFECC9">
            <w:pPr>
              <w:keepNext/>
              <w:keepLines/>
              <w:tabs>
                <w:tab w:val="left" w:pos="6030"/>
              </w:tabs>
              <w:spacing w:line="276" w:lineRule="auto"/>
              <w:jc w:val="both"/>
              <w:rPr>
                <w:sz w:val="20"/>
                <w:szCs w:val="20"/>
              </w:rPr>
            </w:pPr>
            <w:r w:rsidRPr="00E4635E">
              <w:rPr>
                <w:bCs/>
                <w:sz w:val="20"/>
                <w:szCs w:val="20"/>
              </w:rPr>
              <w:t>(202</w:t>
            </w:r>
            <w:r w:rsidR="0037525B">
              <w:rPr>
                <w:bCs/>
                <w:sz w:val="20"/>
                <w:szCs w:val="20"/>
              </w:rPr>
              <w:t>2</w:t>
            </w:r>
            <w:r w:rsidR="00151161">
              <w:rPr>
                <w:bCs/>
                <w:sz w:val="20"/>
                <w:szCs w:val="20"/>
              </w:rPr>
              <w:t xml:space="preserve"> </w:t>
            </w:r>
            <w:r w:rsidRPr="00E4635E">
              <w:rPr>
                <w:bCs/>
                <w:sz w:val="20"/>
                <w:szCs w:val="20"/>
              </w:rPr>
              <w:t>MIPS Performance Period)</w:t>
            </w:r>
          </w:p>
        </w:tc>
        <w:tc>
          <w:tcPr>
            <w:tcW w:w="1306" w:type="dxa"/>
          </w:tcPr>
          <w:p w:rsidRPr="00BB7053" w:rsidR="00C1361E" w:rsidP="0068663C" w:rsidRDefault="00637F56" w14:paraId="7F995BE9" w14:textId="56A7DA5C">
            <w:pPr>
              <w:keepNext/>
              <w:keepLines/>
              <w:tabs>
                <w:tab w:val="left" w:pos="6030"/>
              </w:tabs>
              <w:spacing w:line="276" w:lineRule="auto"/>
              <w:jc w:val="right"/>
              <w:rPr>
                <w:sz w:val="20"/>
                <w:szCs w:val="20"/>
              </w:rPr>
            </w:pPr>
            <w:r>
              <w:rPr>
                <w:sz w:val="20"/>
                <w:szCs w:val="20"/>
              </w:rPr>
              <w:t>0</w:t>
            </w:r>
          </w:p>
        </w:tc>
        <w:tc>
          <w:tcPr>
            <w:tcW w:w="1154" w:type="dxa"/>
          </w:tcPr>
          <w:p w:rsidRPr="00BB7053" w:rsidR="00C1361E" w:rsidP="0068663C" w:rsidRDefault="00637F56" w14:paraId="3967E47E" w14:textId="0070DF88">
            <w:pPr>
              <w:keepNext/>
              <w:keepLines/>
              <w:tabs>
                <w:tab w:val="left" w:pos="6030"/>
              </w:tabs>
              <w:spacing w:line="276" w:lineRule="auto"/>
              <w:jc w:val="right"/>
              <w:rPr>
                <w:sz w:val="20"/>
                <w:szCs w:val="20"/>
              </w:rPr>
            </w:pPr>
            <w:r>
              <w:rPr>
                <w:sz w:val="20"/>
                <w:szCs w:val="20"/>
              </w:rPr>
              <w:t>0</w:t>
            </w:r>
          </w:p>
        </w:tc>
        <w:tc>
          <w:tcPr>
            <w:tcW w:w="1094" w:type="dxa"/>
          </w:tcPr>
          <w:p w:rsidRPr="00BB7053" w:rsidR="00C1361E" w:rsidP="0068663C" w:rsidRDefault="00637F56" w14:paraId="61B59083" w14:textId="053C0B4C">
            <w:pPr>
              <w:keepNext/>
              <w:keepLines/>
              <w:tabs>
                <w:tab w:val="left" w:pos="6030"/>
              </w:tabs>
              <w:spacing w:line="276" w:lineRule="auto"/>
              <w:jc w:val="right"/>
              <w:rPr>
                <w:sz w:val="20"/>
                <w:szCs w:val="20"/>
              </w:rPr>
            </w:pPr>
            <w:r>
              <w:rPr>
                <w:sz w:val="20"/>
                <w:szCs w:val="20"/>
              </w:rPr>
              <w:t>0</w:t>
            </w:r>
          </w:p>
        </w:tc>
        <w:tc>
          <w:tcPr>
            <w:tcW w:w="1057" w:type="dxa"/>
          </w:tcPr>
          <w:p w:rsidRPr="00BB7053" w:rsidR="00C1361E" w:rsidP="0068663C" w:rsidRDefault="00637F56" w14:paraId="0D75CA29" w14:textId="6B8A2080">
            <w:pPr>
              <w:keepNext/>
              <w:keepLines/>
              <w:tabs>
                <w:tab w:val="left" w:pos="6030"/>
              </w:tabs>
              <w:spacing w:line="276" w:lineRule="auto"/>
              <w:jc w:val="right"/>
              <w:rPr>
                <w:sz w:val="20"/>
                <w:szCs w:val="20"/>
              </w:rPr>
            </w:pPr>
            <w:r>
              <w:rPr>
                <w:sz w:val="20"/>
                <w:szCs w:val="20"/>
              </w:rPr>
              <w:t>0</w:t>
            </w:r>
          </w:p>
        </w:tc>
        <w:tc>
          <w:tcPr>
            <w:tcW w:w="997" w:type="dxa"/>
          </w:tcPr>
          <w:p w:rsidRPr="00BB7053" w:rsidR="00C1361E" w:rsidP="0068663C" w:rsidRDefault="00637F56" w14:paraId="7AD92ED4" w14:textId="2D0DB530">
            <w:pPr>
              <w:keepNext/>
              <w:keepLines/>
              <w:tabs>
                <w:tab w:val="left" w:pos="6030"/>
              </w:tabs>
              <w:spacing w:line="276" w:lineRule="auto"/>
              <w:jc w:val="right"/>
              <w:rPr>
                <w:sz w:val="20"/>
                <w:szCs w:val="20"/>
              </w:rPr>
            </w:pPr>
            <w:r>
              <w:rPr>
                <w:sz w:val="20"/>
                <w:szCs w:val="20"/>
              </w:rPr>
              <w:t>0</w:t>
            </w:r>
          </w:p>
        </w:tc>
        <w:tc>
          <w:tcPr>
            <w:tcW w:w="960" w:type="dxa"/>
          </w:tcPr>
          <w:p w:rsidRPr="00BB7053" w:rsidR="00C1361E" w:rsidP="0068663C" w:rsidRDefault="00637F56" w14:paraId="78E67419" w14:textId="01ECAF35">
            <w:pPr>
              <w:keepNext/>
              <w:keepLines/>
              <w:tabs>
                <w:tab w:val="left" w:pos="6030"/>
              </w:tabs>
              <w:spacing w:line="276" w:lineRule="auto"/>
              <w:jc w:val="right"/>
              <w:rPr>
                <w:sz w:val="20"/>
                <w:szCs w:val="20"/>
              </w:rPr>
            </w:pPr>
            <w:r>
              <w:rPr>
                <w:sz w:val="20"/>
                <w:szCs w:val="20"/>
              </w:rPr>
              <w:t>0</w:t>
            </w:r>
          </w:p>
        </w:tc>
        <w:tc>
          <w:tcPr>
            <w:tcW w:w="1172" w:type="dxa"/>
          </w:tcPr>
          <w:p w:rsidRPr="00BB7053" w:rsidR="00C1361E" w:rsidP="0068663C" w:rsidRDefault="00637F56" w14:paraId="3C00D14D" w14:textId="700A43A4">
            <w:pPr>
              <w:keepNext/>
              <w:keepLines/>
              <w:tabs>
                <w:tab w:val="left" w:pos="6030"/>
              </w:tabs>
              <w:spacing w:line="276" w:lineRule="auto"/>
              <w:jc w:val="right"/>
              <w:rPr>
                <w:sz w:val="20"/>
                <w:szCs w:val="20"/>
              </w:rPr>
            </w:pPr>
            <w:r>
              <w:rPr>
                <w:sz w:val="20"/>
                <w:szCs w:val="20"/>
              </w:rPr>
              <w:t>0</w:t>
            </w:r>
          </w:p>
        </w:tc>
      </w:tr>
      <w:tr w:rsidR="00C1361E" w:rsidTr="00D26368" w14:paraId="56CF29C7" w14:textId="77777777">
        <w:tc>
          <w:tcPr>
            <w:tcW w:w="1705" w:type="dxa"/>
          </w:tcPr>
          <w:p w:rsidRPr="00BB7053" w:rsidR="00C1361E" w:rsidP="00192E2E" w:rsidRDefault="003E670E" w14:paraId="38CA804D" w14:textId="301B93AB">
            <w:pPr>
              <w:keepNext/>
              <w:keepLines/>
              <w:tabs>
                <w:tab w:val="left" w:pos="6030"/>
              </w:tabs>
              <w:spacing w:line="276" w:lineRule="auto"/>
              <w:rPr>
                <w:sz w:val="20"/>
                <w:szCs w:val="20"/>
              </w:rPr>
            </w:pPr>
            <w:r>
              <w:rPr>
                <w:sz w:val="20"/>
                <w:szCs w:val="20"/>
              </w:rPr>
              <w:t xml:space="preserve">Proposed </w:t>
            </w:r>
            <w:r w:rsidR="00F424A2">
              <w:rPr>
                <w:sz w:val="20"/>
                <w:szCs w:val="20"/>
              </w:rPr>
              <w:br/>
            </w:r>
            <w:r w:rsidR="00C1361E">
              <w:rPr>
                <w:sz w:val="20"/>
                <w:szCs w:val="20"/>
              </w:rPr>
              <w:t>(202</w:t>
            </w:r>
            <w:r w:rsidR="00637F56">
              <w:rPr>
                <w:sz w:val="20"/>
                <w:szCs w:val="20"/>
              </w:rPr>
              <w:t>2</w:t>
            </w:r>
            <w:r w:rsidR="00151161">
              <w:rPr>
                <w:sz w:val="20"/>
                <w:szCs w:val="20"/>
              </w:rPr>
              <w:t xml:space="preserve"> MIPS Performance Period</w:t>
            </w:r>
            <w:r w:rsidR="00C1361E">
              <w:rPr>
                <w:sz w:val="20"/>
                <w:szCs w:val="20"/>
              </w:rPr>
              <w:t>)</w:t>
            </w:r>
            <w:r w:rsidR="00A67FD9">
              <w:rPr>
                <w:sz w:val="20"/>
                <w:szCs w:val="20"/>
              </w:rPr>
              <w:t xml:space="preserve"> </w:t>
            </w:r>
            <w:r w:rsidRPr="00A67FD9" w:rsidR="00A67FD9">
              <w:rPr>
                <w:sz w:val="20"/>
                <w:szCs w:val="20"/>
              </w:rPr>
              <w:t>(See Table 1</w:t>
            </w:r>
            <w:r w:rsidR="009E0826">
              <w:rPr>
                <w:sz w:val="20"/>
                <w:szCs w:val="20"/>
              </w:rPr>
              <w:t>6</w:t>
            </w:r>
            <w:r w:rsidRPr="00A67FD9" w:rsidR="00A67FD9">
              <w:rPr>
                <w:sz w:val="20"/>
                <w:szCs w:val="20"/>
              </w:rPr>
              <w:t>)</w:t>
            </w:r>
          </w:p>
        </w:tc>
        <w:tc>
          <w:tcPr>
            <w:tcW w:w="1306" w:type="dxa"/>
          </w:tcPr>
          <w:p w:rsidRPr="00BB7053" w:rsidR="00C1361E" w:rsidP="0068663C" w:rsidRDefault="00A10AEF" w14:paraId="4BA8ED41" w14:textId="5FE09D7F">
            <w:pPr>
              <w:keepNext/>
              <w:keepLines/>
              <w:tabs>
                <w:tab w:val="left" w:pos="6030"/>
              </w:tabs>
              <w:spacing w:line="276" w:lineRule="auto"/>
              <w:jc w:val="right"/>
              <w:rPr>
                <w:sz w:val="20"/>
                <w:szCs w:val="20"/>
              </w:rPr>
            </w:pPr>
            <w:r>
              <w:rPr>
                <w:sz w:val="20"/>
                <w:szCs w:val="20"/>
              </w:rPr>
              <w:t>11</w:t>
            </w:r>
            <w:r w:rsidR="006A0B48">
              <w:rPr>
                <w:sz w:val="20"/>
                <w:szCs w:val="20"/>
              </w:rPr>
              <w:t>4</w:t>
            </w:r>
          </w:p>
        </w:tc>
        <w:tc>
          <w:tcPr>
            <w:tcW w:w="1154" w:type="dxa"/>
          </w:tcPr>
          <w:p w:rsidRPr="00BB7053" w:rsidR="00C1361E" w:rsidP="0068663C" w:rsidRDefault="00A10AEF" w14:paraId="2AA2A3F1" w14:textId="2EA753F8">
            <w:pPr>
              <w:keepNext/>
              <w:keepLines/>
              <w:tabs>
                <w:tab w:val="left" w:pos="6030"/>
              </w:tabs>
              <w:spacing w:line="276" w:lineRule="auto"/>
              <w:jc w:val="right"/>
              <w:rPr>
                <w:sz w:val="20"/>
                <w:szCs w:val="20"/>
              </w:rPr>
            </w:pPr>
            <w:r>
              <w:rPr>
                <w:sz w:val="20"/>
                <w:szCs w:val="20"/>
              </w:rPr>
              <w:t>1</w:t>
            </w:r>
          </w:p>
        </w:tc>
        <w:tc>
          <w:tcPr>
            <w:tcW w:w="1094" w:type="dxa"/>
          </w:tcPr>
          <w:p w:rsidRPr="00BB7053" w:rsidR="00C1361E" w:rsidP="0068663C" w:rsidRDefault="00A10AEF" w14:paraId="3C781969" w14:textId="47070859">
            <w:pPr>
              <w:keepNext/>
              <w:keepLines/>
              <w:tabs>
                <w:tab w:val="left" w:pos="6030"/>
              </w:tabs>
              <w:spacing w:line="276" w:lineRule="auto"/>
              <w:jc w:val="right"/>
              <w:rPr>
                <w:sz w:val="20"/>
                <w:szCs w:val="20"/>
              </w:rPr>
            </w:pPr>
            <w:r>
              <w:rPr>
                <w:sz w:val="20"/>
                <w:szCs w:val="20"/>
              </w:rPr>
              <w:t>11</w:t>
            </w:r>
            <w:r w:rsidR="006A0B48">
              <w:rPr>
                <w:sz w:val="20"/>
                <w:szCs w:val="20"/>
              </w:rPr>
              <w:t>4</w:t>
            </w:r>
          </w:p>
        </w:tc>
        <w:tc>
          <w:tcPr>
            <w:tcW w:w="1057" w:type="dxa"/>
          </w:tcPr>
          <w:p w:rsidRPr="00BB7053" w:rsidR="00C1361E" w:rsidP="0068663C" w:rsidRDefault="00A10AEF" w14:paraId="6673A836" w14:textId="752F7BB4">
            <w:pPr>
              <w:keepNext/>
              <w:keepLines/>
              <w:tabs>
                <w:tab w:val="left" w:pos="6030"/>
              </w:tabs>
              <w:spacing w:line="276" w:lineRule="auto"/>
              <w:jc w:val="right"/>
              <w:rPr>
                <w:sz w:val="20"/>
                <w:szCs w:val="20"/>
              </w:rPr>
            </w:pPr>
            <w:r>
              <w:rPr>
                <w:sz w:val="20"/>
                <w:szCs w:val="20"/>
              </w:rPr>
              <w:t>61.7</w:t>
            </w:r>
          </w:p>
        </w:tc>
        <w:tc>
          <w:tcPr>
            <w:tcW w:w="997" w:type="dxa"/>
          </w:tcPr>
          <w:p w:rsidRPr="00BB7053" w:rsidR="00C1361E" w:rsidP="0068663C" w:rsidRDefault="006311C1" w14:paraId="7E08FC00" w14:textId="73D817CB">
            <w:pPr>
              <w:keepNext/>
              <w:keepLines/>
              <w:tabs>
                <w:tab w:val="left" w:pos="6030"/>
              </w:tabs>
              <w:spacing w:line="276" w:lineRule="auto"/>
              <w:jc w:val="right"/>
              <w:rPr>
                <w:sz w:val="20"/>
                <w:szCs w:val="20"/>
              </w:rPr>
            </w:pPr>
            <w:r>
              <w:rPr>
                <w:sz w:val="20"/>
                <w:szCs w:val="20"/>
              </w:rPr>
              <w:t>7,030</w:t>
            </w:r>
          </w:p>
        </w:tc>
        <w:tc>
          <w:tcPr>
            <w:tcW w:w="960" w:type="dxa"/>
          </w:tcPr>
          <w:p w:rsidRPr="00BB7053" w:rsidR="00C1361E" w:rsidP="0068663C" w:rsidRDefault="00A10AEF" w14:paraId="39B88AC8" w14:textId="4415C24E">
            <w:pPr>
              <w:keepNext/>
              <w:keepLines/>
              <w:tabs>
                <w:tab w:val="left" w:pos="6030"/>
              </w:tabs>
              <w:spacing w:line="276" w:lineRule="auto"/>
              <w:jc w:val="right"/>
              <w:rPr>
                <w:sz w:val="20"/>
                <w:szCs w:val="20"/>
              </w:rPr>
            </w:pPr>
            <w:r>
              <w:rPr>
                <w:sz w:val="20"/>
                <w:szCs w:val="20"/>
              </w:rPr>
              <w:t>9</w:t>
            </w:r>
            <w:r w:rsidR="006311C1">
              <w:rPr>
                <w:sz w:val="20"/>
                <w:szCs w:val="20"/>
              </w:rPr>
              <w:t>5.22</w:t>
            </w:r>
          </w:p>
        </w:tc>
        <w:tc>
          <w:tcPr>
            <w:tcW w:w="1172" w:type="dxa"/>
          </w:tcPr>
          <w:p w:rsidRPr="00BB7053" w:rsidR="00C1361E" w:rsidP="0068663C" w:rsidRDefault="00A10AEF" w14:paraId="77B0DB04" w14:textId="11CBF20C">
            <w:pPr>
              <w:keepNext/>
              <w:keepLines/>
              <w:tabs>
                <w:tab w:val="left" w:pos="6030"/>
              </w:tabs>
              <w:spacing w:line="276" w:lineRule="auto"/>
              <w:jc w:val="right"/>
              <w:rPr>
                <w:sz w:val="20"/>
                <w:szCs w:val="20"/>
              </w:rPr>
            </w:pPr>
            <w:r>
              <w:rPr>
                <w:sz w:val="20"/>
                <w:szCs w:val="20"/>
              </w:rPr>
              <w:t>6</w:t>
            </w:r>
            <w:r w:rsidR="00E6476C">
              <w:rPr>
                <w:sz w:val="20"/>
                <w:szCs w:val="20"/>
              </w:rPr>
              <w:t>69,433</w:t>
            </w:r>
          </w:p>
        </w:tc>
      </w:tr>
      <w:tr w:rsidR="00C1361E" w:rsidTr="00D26368" w14:paraId="68FD0602" w14:textId="77777777">
        <w:tc>
          <w:tcPr>
            <w:tcW w:w="1705" w:type="dxa"/>
            <w:shd w:val="clear" w:color="auto" w:fill="D9D9D9" w:themeFill="background1" w:themeFillShade="D9"/>
          </w:tcPr>
          <w:p w:rsidRPr="00BB7053" w:rsidR="00C1361E" w:rsidP="0068663C" w:rsidRDefault="00C1361E" w14:paraId="6482A4E9" w14:textId="1848DA13">
            <w:pPr>
              <w:keepNext/>
              <w:keepLines/>
              <w:tabs>
                <w:tab w:val="left" w:pos="6030"/>
              </w:tabs>
              <w:spacing w:line="276" w:lineRule="auto"/>
              <w:jc w:val="both"/>
              <w:rPr>
                <w:sz w:val="20"/>
                <w:szCs w:val="20"/>
              </w:rPr>
            </w:pPr>
            <w:r>
              <w:rPr>
                <w:sz w:val="20"/>
                <w:szCs w:val="20"/>
              </w:rPr>
              <w:t xml:space="preserve">Adjustment </w:t>
            </w:r>
            <w:r w:rsidR="00F424A2">
              <w:rPr>
                <w:sz w:val="20"/>
                <w:szCs w:val="20"/>
              </w:rPr>
              <w:br/>
            </w:r>
          </w:p>
        </w:tc>
        <w:tc>
          <w:tcPr>
            <w:tcW w:w="1306" w:type="dxa"/>
            <w:shd w:val="clear" w:color="auto" w:fill="D9D9D9" w:themeFill="background1" w:themeFillShade="D9"/>
          </w:tcPr>
          <w:p w:rsidRPr="00BB7053" w:rsidR="00C1361E" w:rsidP="0068663C" w:rsidRDefault="00A10AEF" w14:paraId="02FD74E3" w14:textId="2E1BF3AB">
            <w:pPr>
              <w:keepNext/>
              <w:keepLines/>
              <w:tabs>
                <w:tab w:val="left" w:pos="6030"/>
              </w:tabs>
              <w:spacing w:line="276" w:lineRule="auto"/>
              <w:jc w:val="right"/>
              <w:rPr>
                <w:sz w:val="20"/>
                <w:szCs w:val="20"/>
              </w:rPr>
            </w:pPr>
            <w:r>
              <w:rPr>
                <w:sz w:val="20"/>
                <w:szCs w:val="20"/>
              </w:rPr>
              <w:t>+</w:t>
            </w:r>
            <w:r w:rsidR="00E6476C">
              <w:rPr>
                <w:sz w:val="20"/>
                <w:szCs w:val="20"/>
              </w:rPr>
              <w:t>114</w:t>
            </w:r>
          </w:p>
        </w:tc>
        <w:tc>
          <w:tcPr>
            <w:tcW w:w="1154" w:type="dxa"/>
            <w:shd w:val="clear" w:color="auto" w:fill="D9D9D9" w:themeFill="background1" w:themeFillShade="D9"/>
          </w:tcPr>
          <w:p w:rsidRPr="00BB7053" w:rsidR="00C1361E" w:rsidP="0068663C" w:rsidRDefault="00E6476C" w14:paraId="5079CDB4" w14:textId="015FA76A">
            <w:pPr>
              <w:keepNext/>
              <w:keepLines/>
              <w:tabs>
                <w:tab w:val="left" w:pos="6030"/>
              </w:tabs>
              <w:spacing w:line="276" w:lineRule="auto"/>
              <w:jc w:val="right"/>
              <w:rPr>
                <w:sz w:val="20"/>
                <w:szCs w:val="20"/>
              </w:rPr>
            </w:pPr>
            <w:r>
              <w:rPr>
                <w:sz w:val="20"/>
                <w:szCs w:val="20"/>
              </w:rPr>
              <w:t>1</w:t>
            </w:r>
          </w:p>
        </w:tc>
        <w:tc>
          <w:tcPr>
            <w:tcW w:w="1094" w:type="dxa"/>
            <w:shd w:val="clear" w:color="auto" w:fill="D9D9D9" w:themeFill="background1" w:themeFillShade="D9"/>
          </w:tcPr>
          <w:p w:rsidRPr="00BB7053" w:rsidR="00C1361E" w:rsidP="0068663C" w:rsidRDefault="00A10AEF" w14:paraId="6BD556CB" w14:textId="4DA63B23">
            <w:pPr>
              <w:keepNext/>
              <w:keepLines/>
              <w:tabs>
                <w:tab w:val="left" w:pos="6030"/>
              </w:tabs>
              <w:spacing w:line="276" w:lineRule="auto"/>
              <w:jc w:val="right"/>
              <w:rPr>
                <w:sz w:val="20"/>
                <w:szCs w:val="20"/>
              </w:rPr>
            </w:pPr>
            <w:r>
              <w:rPr>
                <w:sz w:val="20"/>
                <w:szCs w:val="20"/>
              </w:rPr>
              <w:t>+</w:t>
            </w:r>
            <w:r w:rsidR="000B4C31">
              <w:rPr>
                <w:sz w:val="20"/>
                <w:szCs w:val="20"/>
              </w:rPr>
              <w:t>114</w:t>
            </w:r>
          </w:p>
        </w:tc>
        <w:tc>
          <w:tcPr>
            <w:tcW w:w="1057" w:type="dxa"/>
            <w:shd w:val="clear" w:color="auto" w:fill="D9D9D9" w:themeFill="background1" w:themeFillShade="D9"/>
          </w:tcPr>
          <w:p w:rsidRPr="00BB7053" w:rsidR="00C1361E" w:rsidP="0068663C" w:rsidRDefault="00FD7E5F" w14:paraId="726FA9DF" w14:textId="5BCB9456">
            <w:pPr>
              <w:keepNext/>
              <w:keepLines/>
              <w:tabs>
                <w:tab w:val="left" w:pos="6030"/>
              </w:tabs>
              <w:spacing w:line="276" w:lineRule="auto"/>
              <w:jc w:val="right"/>
              <w:rPr>
                <w:sz w:val="20"/>
                <w:szCs w:val="20"/>
              </w:rPr>
            </w:pPr>
            <w:r>
              <w:rPr>
                <w:sz w:val="20"/>
                <w:szCs w:val="20"/>
              </w:rPr>
              <w:t>+61.7</w:t>
            </w:r>
          </w:p>
        </w:tc>
        <w:tc>
          <w:tcPr>
            <w:tcW w:w="997" w:type="dxa"/>
            <w:shd w:val="clear" w:color="auto" w:fill="D9D9D9" w:themeFill="background1" w:themeFillShade="D9"/>
          </w:tcPr>
          <w:p w:rsidRPr="00BB7053" w:rsidR="00C1361E" w:rsidP="0068663C" w:rsidRDefault="00F52046" w14:paraId="40D4C13B" w14:textId="7D379F4E">
            <w:pPr>
              <w:keepNext/>
              <w:keepLines/>
              <w:tabs>
                <w:tab w:val="left" w:pos="6030"/>
              </w:tabs>
              <w:spacing w:line="276" w:lineRule="auto"/>
              <w:jc w:val="right"/>
              <w:rPr>
                <w:sz w:val="20"/>
                <w:szCs w:val="20"/>
              </w:rPr>
            </w:pPr>
            <w:r>
              <w:rPr>
                <w:sz w:val="20"/>
                <w:szCs w:val="20"/>
              </w:rPr>
              <w:t>+</w:t>
            </w:r>
            <w:r w:rsidR="000B4C31">
              <w:rPr>
                <w:sz w:val="20"/>
                <w:szCs w:val="20"/>
              </w:rPr>
              <w:t>7,030</w:t>
            </w:r>
          </w:p>
        </w:tc>
        <w:tc>
          <w:tcPr>
            <w:tcW w:w="960" w:type="dxa"/>
            <w:shd w:val="clear" w:color="auto" w:fill="D9D9D9" w:themeFill="background1" w:themeFillShade="D9"/>
          </w:tcPr>
          <w:p w:rsidRPr="00BB7053" w:rsidR="00C1361E" w:rsidP="0068663C" w:rsidRDefault="000B4C31" w14:paraId="3D05B998" w14:textId="59E766B9">
            <w:pPr>
              <w:keepNext/>
              <w:keepLines/>
              <w:tabs>
                <w:tab w:val="left" w:pos="6030"/>
              </w:tabs>
              <w:spacing w:line="276" w:lineRule="auto"/>
              <w:jc w:val="right"/>
              <w:rPr>
                <w:sz w:val="20"/>
                <w:szCs w:val="20"/>
              </w:rPr>
            </w:pPr>
            <w:r>
              <w:rPr>
                <w:sz w:val="20"/>
                <w:szCs w:val="20"/>
              </w:rPr>
              <w:t>95.22</w:t>
            </w:r>
          </w:p>
        </w:tc>
        <w:tc>
          <w:tcPr>
            <w:tcW w:w="1172" w:type="dxa"/>
            <w:shd w:val="clear" w:color="auto" w:fill="D9D9D9" w:themeFill="background1" w:themeFillShade="D9"/>
          </w:tcPr>
          <w:p w:rsidRPr="00BB7053" w:rsidR="00C1361E" w:rsidP="0068663C" w:rsidRDefault="00F52046" w14:paraId="1FADC8CC" w14:textId="1D5CBCEC">
            <w:pPr>
              <w:keepNext/>
              <w:keepLines/>
              <w:tabs>
                <w:tab w:val="left" w:pos="6030"/>
              </w:tabs>
              <w:spacing w:line="276" w:lineRule="auto"/>
              <w:jc w:val="right"/>
              <w:rPr>
                <w:sz w:val="20"/>
                <w:szCs w:val="20"/>
              </w:rPr>
            </w:pPr>
            <w:r>
              <w:rPr>
                <w:sz w:val="20"/>
                <w:szCs w:val="20"/>
              </w:rPr>
              <w:t>+</w:t>
            </w:r>
            <w:r w:rsidR="000B4C31">
              <w:rPr>
                <w:sz w:val="20"/>
                <w:szCs w:val="20"/>
              </w:rPr>
              <w:t>669</w:t>
            </w:r>
            <w:r w:rsidR="000E32B9">
              <w:rPr>
                <w:sz w:val="20"/>
                <w:szCs w:val="20"/>
              </w:rPr>
              <w:t>,433</w:t>
            </w:r>
          </w:p>
        </w:tc>
      </w:tr>
    </w:tbl>
    <w:p w:rsidR="00C1361E" w:rsidP="00885183" w:rsidRDefault="00C1361E" w14:paraId="1A678A06" w14:textId="0884B226">
      <w:pPr>
        <w:jc w:val="center"/>
        <w:rPr>
          <w:rFonts w:eastAsia="Calibri"/>
          <w:b/>
          <w:bCs/>
        </w:rPr>
      </w:pPr>
    </w:p>
    <w:p w:rsidR="00C1361E" w:rsidP="00C1361E" w:rsidRDefault="00C1361E" w14:paraId="1FDA004A" w14:textId="5FC02182">
      <w:pPr>
        <w:keepNext/>
        <w:keepLines/>
        <w:jc w:val="center"/>
        <w:rPr>
          <w:b/>
          <w:bCs/>
        </w:rPr>
      </w:pPr>
      <w:r w:rsidRPr="00B30713">
        <w:rPr>
          <w:rFonts w:eastAsia="Calibri"/>
          <w:b/>
          <w:bCs/>
        </w:rPr>
        <w:lastRenderedPageBreak/>
        <w:t xml:space="preserve">TABLE </w:t>
      </w:r>
      <w:r>
        <w:rPr>
          <w:rFonts w:eastAsia="Calibri"/>
          <w:b/>
          <w:bCs/>
        </w:rPr>
        <w:t>3</w:t>
      </w:r>
      <w:r w:rsidR="00566B1A">
        <w:rPr>
          <w:rFonts w:eastAsia="Calibri"/>
          <w:b/>
          <w:bCs/>
        </w:rPr>
        <w:t>8</w:t>
      </w:r>
      <w:r w:rsidR="00FA460C">
        <w:rPr>
          <w:rFonts w:eastAsia="Calibri"/>
          <w:b/>
          <w:bCs/>
        </w:rPr>
        <w:t>I</w:t>
      </w:r>
      <w:r w:rsidRPr="00B30713">
        <w:rPr>
          <w:rFonts w:eastAsia="Calibri"/>
          <w:b/>
          <w:bCs/>
        </w:rPr>
        <w:t xml:space="preserve">: Burden Reconciliation for </w:t>
      </w:r>
      <w:r w:rsidRPr="0020454E">
        <w:rPr>
          <w:rFonts w:eastAsia="Calibri"/>
          <w:b/>
          <w:bCs/>
        </w:rPr>
        <w:t xml:space="preserve">Quality Performance Category </w:t>
      </w:r>
      <w:r>
        <w:rPr>
          <w:rFonts w:eastAsia="Calibri"/>
          <w:b/>
          <w:bCs/>
        </w:rPr>
        <w:t>Group Registration for the CMS Web Interface</w:t>
      </w:r>
    </w:p>
    <w:tbl>
      <w:tblPr>
        <w:tblStyle w:val="TableGrid"/>
        <w:tblW w:w="9445" w:type="dxa"/>
        <w:tblLook w:val="04A0" w:firstRow="1" w:lastRow="0" w:firstColumn="1" w:lastColumn="0" w:noHBand="0" w:noVBand="1"/>
      </w:tblPr>
      <w:tblGrid>
        <w:gridCol w:w="1705"/>
        <w:gridCol w:w="1306"/>
        <w:gridCol w:w="1153"/>
        <w:gridCol w:w="1094"/>
        <w:gridCol w:w="1057"/>
        <w:gridCol w:w="996"/>
        <w:gridCol w:w="970"/>
        <w:gridCol w:w="1164"/>
      </w:tblGrid>
      <w:tr w:rsidR="00C1361E" w:rsidTr="00D26368" w14:paraId="7AA9FF04" w14:textId="77777777">
        <w:trPr>
          <w:tblHeader/>
        </w:trPr>
        <w:tc>
          <w:tcPr>
            <w:tcW w:w="1705" w:type="dxa"/>
          </w:tcPr>
          <w:p w:rsidRPr="00FB02B1" w:rsidR="00C1361E" w:rsidP="0068663C" w:rsidRDefault="00C1361E" w14:paraId="0949DD2B" w14:textId="77777777">
            <w:pPr>
              <w:keepNext/>
              <w:keepLines/>
              <w:tabs>
                <w:tab w:val="left" w:pos="6030"/>
              </w:tabs>
              <w:spacing w:line="276" w:lineRule="auto"/>
              <w:jc w:val="both"/>
              <w:rPr>
                <w:b/>
                <w:bCs/>
                <w:sz w:val="20"/>
                <w:szCs w:val="20"/>
              </w:rPr>
            </w:pPr>
            <w:r w:rsidRPr="00FB02B1">
              <w:rPr>
                <w:b/>
                <w:bCs/>
                <w:sz w:val="20"/>
                <w:szCs w:val="20"/>
              </w:rPr>
              <w:t>Burden Category</w:t>
            </w:r>
          </w:p>
        </w:tc>
        <w:tc>
          <w:tcPr>
            <w:tcW w:w="1306" w:type="dxa"/>
          </w:tcPr>
          <w:p w:rsidRPr="00FB02B1" w:rsidR="00C1361E" w:rsidP="0068663C" w:rsidRDefault="00C1361E" w14:paraId="71B67CA1" w14:textId="77777777">
            <w:pPr>
              <w:keepNext/>
              <w:keepLines/>
              <w:tabs>
                <w:tab w:val="left" w:pos="6030"/>
              </w:tabs>
              <w:spacing w:line="276" w:lineRule="auto"/>
              <w:jc w:val="both"/>
              <w:rPr>
                <w:b/>
                <w:bCs/>
                <w:sz w:val="20"/>
                <w:szCs w:val="20"/>
              </w:rPr>
            </w:pPr>
            <w:r w:rsidRPr="00FB02B1">
              <w:rPr>
                <w:b/>
                <w:bCs/>
                <w:sz w:val="20"/>
                <w:szCs w:val="20"/>
              </w:rPr>
              <w:t>Total Annual Respondents</w:t>
            </w:r>
          </w:p>
        </w:tc>
        <w:tc>
          <w:tcPr>
            <w:tcW w:w="1153" w:type="dxa"/>
          </w:tcPr>
          <w:p w:rsidRPr="00FB02B1" w:rsidR="00C1361E" w:rsidP="0068663C" w:rsidRDefault="00C1361E" w14:paraId="00D82DAB" w14:textId="77777777">
            <w:pPr>
              <w:keepNext/>
              <w:keepLines/>
              <w:tabs>
                <w:tab w:val="left" w:pos="6030"/>
              </w:tabs>
              <w:spacing w:line="276" w:lineRule="auto"/>
              <w:jc w:val="both"/>
              <w:rPr>
                <w:b/>
                <w:bCs/>
                <w:sz w:val="20"/>
                <w:szCs w:val="20"/>
              </w:rPr>
            </w:pPr>
            <w:r w:rsidRPr="00FB02B1">
              <w:rPr>
                <w:b/>
                <w:bCs/>
                <w:sz w:val="20"/>
                <w:szCs w:val="20"/>
              </w:rPr>
              <w:t>Response Frequency (per year)</w:t>
            </w:r>
          </w:p>
        </w:tc>
        <w:tc>
          <w:tcPr>
            <w:tcW w:w="1094" w:type="dxa"/>
          </w:tcPr>
          <w:p w:rsidRPr="00FB02B1" w:rsidR="00C1361E" w:rsidP="0068663C" w:rsidRDefault="00C1361E" w14:paraId="005CB24C" w14:textId="77777777">
            <w:pPr>
              <w:keepNext/>
              <w:keepLines/>
              <w:tabs>
                <w:tab w:val="left" w:pos="6030"/>
              </w:tabs>
              <w:spacing w:line="276" w:lineRule="auto"/>
              <w:jc w:val="both"/>
              <w:rPr>
                <w:b/>
                <w:bCs/>
                <w:sz w:val="20"/>
                <w:szCs w:val="20"/>
              </w:rPr>
            </w:pPr>
            <w:r w:rsidRPr="00FB02B1">
              <w:rPr>
                <w:b/>
                <w:bCs/>
                <w:sz w:val="20"/>
                <w:szCs w:val="20"/>
              </w:rPr>
              <w:t>Total Annual Responses</w:t>
            </w:r>
          </w:p>
        </w:tc>
        <w:tc>
          <w:tcPr>
            <w:tcW w:w="1057" w:type="dxa"/>
          </w:tcPr>
          <w:p w:rsidRPr="00FB02B1" w:rsidR="00C1361E" w:rsidP="0068663C" w:rsidRDefault="00C1361E" w14:paraId="7F30B16C" w14:textId="77777777">
            <w:pPr>
              <w:keepNext/>
              <w:keepLines/>
              <w:tabs>
                <w:tab w:val="left" w:pos="6030"/>
              </w:tabs>
              <w:spacing w:line="276" w:lineRule="auto"/>
              <w:rPr>
                <w:b/>
                <w:bCs/>
                <w:sz w:val="20"/>
                <w:szCs w:val="20"/>
              </w:rPr>
            </w:pPr>
            <w:r w:rsidRPr="00FB02B1">
              <w:rPr>
                <w:b/>
                <w:bCs/>
                <w:sz w:val="20"/>
                <w:szCs w:val="20"/>
              </w:rPr>
              <w:t>Time Per Response (hr)</w:t>
            </w:r>
          </w:p>
        </w:tc>
        <w:tc>
          <w:tcPr>
            <w:tcW w:w="996" w:type="dxa"/>
          </w:tcPr>
          <w:p w:rsidRPr="00FB02B1" w:rsidR="00C1361E" w:rsidP="0068663C" w:rsidRDefault="00C1361E" w14:paraId="0A138132" w14:textId="77777777">
            <w:pPr>
              <w:keepNext/>
              <w:keepLines/>
              <w:tabs>
                <w:tab w:val="left" w:pos="6030"/>
              </w:tabs>
              <w:spacing w:line="276" w:lineRule="auto"/>
              <w:jc w:val="both"/>
              <w:rPr>
                <w:b/>
                <w:bCs/>
                <w:sz w:val="20"/>
                <w:szCs w:val="20"/>
              </w:rPr>
            </w:pPr>
            <w:r w:rsidRPr="00FB02B1">
              <w:rPr>
                <w:b/>
                <w:bCs/>
                <w:sz w:val="20"/>
                <w:szCs w:val="20"/>
              </w:rPr>
              <w:t>Total Annual Time (hr)</w:t>
            </w:r>
          </w:p>
        </w:tc>
        <w:tc>
          <w:tcPr>
            <w:tcW w:w="970" w:type="dxa"/>
          </w:tcPr>
          <w:p w:rsidRPr="00FB02B1" w:rsidR="00C1361E" w:rsidP="0068663C" w:rsidRDefault="00C1361E" w14:paraId="29501A08" w14:textId="77777777">
            <w:pPr>
              <w:keepNext/>
              <w:keepLines/>
              <w:tabs>
                <w:tab w:val="left" w:pos="6030"/>
              </w:tabs>
              <w:spacing w:line="276" w:lineRule="auto"/>
              <w:jc w:val="both"/>
              <w:rPr>
                <w:b/>
                <w:bCs/>
                <w:sz w:val="20"/>
                <w:szCs w:val="20"/>
              </w:rPr>
            </w:pPr>
            <w:r w:rsidRPr="00FB02B1">
              <w:rPr>
                <w:b/>
                <w:bCs/>
                <w:sz w:val="20"/>
                <w:szCs w:val="20"/>
              </w:rPr>
              <w:t>Labor Cost ($/hr)</w:t>
            </w:r>
          </w:p>
        </w:tc>
        <w:tc>
          <w:tcPr>
            <w:tcW w:w="1164" w:type="dxa"/>
          </w:tcPr>
          <w:p w:rsidRPr="00FB02B1" w:rsidR="00C1361E" w:rsidP="0068663C" w:rsidRDefault="00C1361E" w14:paraId="01036799" w14:textId="77777777">
            <w:pPr>
              <w:keepNext/>
              <w:keepLines/>
              <w:tabs>
                <w:tab w:val="left" w:pos="6030"/>
              </w:tabs>
              <w:spacing w:line="276" w:lineRule="auto"/>
              <w:rPr>
                <w:b/>
                <w:bCs/>
                <w:sz w:val="20"/>
                <w:szCs w:val="20"/>
              </w:rPr>
            </w:pPr>
            <w:r w:rsidRPr="00FB02B1">
              <w:rPr>
                <w:b/>
                <w:bCs/>
                <w:sz w:val="20"/>
                <w:szCs w:val="20"/>
              </w:rPr>
              <w:t>Total Annual Cost ($)</w:t>
            </w:r>
          </w:p>
        </w:tc>
      </w:tr>
      <w:tr w:rsidR="00C1361E" w:rsidTr="00D26368" w14:paraId="432A5302" w14:textId="77777777">
        <w:tc>
          <w:tcPr>
            <w:tcW w:w="1705" w:type="dxa"/>
          </w:tcPr>
          <w:p w:rsidR="008C77CE" w:rsidP="0068663C" w:rsidRDefault="00C1361E" w14:paraId="258BC624" w14:textId="77777777">
            <w:pPr>
              <w:keepNext/>
              <w:keepLines/>
              <w:tabs>
                <w:tab w:val="left" w:pos="6030"/>
              </w:tabs>
              <w:spacing w:line="276" w:lineRule="auto"/>
              <w:jc w:val="both"/>
              <w:rPr>
                <w:sz w:val="20"/>
                <w:szCs w:val="20"/>
              </w:rPr>
            </w:pPr>
            <w:r>
              <w:rPr>
                <w:sz w:val="20"/>
                <w:szCs w:val="20"/>
              </w:rPr>
              <w:t>Currently Approved</w:t>
            </w:r>
            <w:r w:rsidR="008C77CE">
              <w:rPr>
                <w:sz w:val="20"/>
                <w:szCs w:val="20"/>
              </w:rPr>
              <w:t xml:space="preserve"> </w:t>
            </w:r>
          </w:p>
          <w:p w:rsidRPr="00BB7053" w:rsidR="00C1361E" w:rsidP="0068663C" w:rsidRDefault="00CC5836" w14:paraId="66A9439F" w14:textId="226AE31F">
            <w:pPr>
              <w:keepNext/>
              <w:keepLines/>
              <w:tabs>
                <w:tab w:val="left" w:pos="6030"/>
              </w:tabs>
              <w:spacing w:line="276" w:lineRule="auto"/>
              <w:jc w:val="both"/>
              <w:rPr>
                <w:sz w:val="20"/>
                <w:szCs w:val="20"/>
              </w:rPr>
            </w:pPr>
            <w:r w:rsidRPr="00E4635E">
              <w:rPr>
                <w:bCs/>
                <w:sz w:val="20"/>
                <w:szCs w:val="20"/>
              </w:rPr>
              <w:t>(202</w:t>
            </w:r>
            <w:r w:rsidR="008807F4">
              <w:rPr>
                <w:bCs/>
                <w:sz w:val="20"/>
                <w:szCs w:val="20"/>
              </w:rPr>
              <w:t>2</w:t>
            </w:r>
            <w:r w:rsidR="00B16A4B">
              <w:rPr>
                <w:bCs/>
                <w:sz w:val="20"/>
                <w:szCs w:val="20"/>
              </w:rPr>
              <w:t xml:space="preserve"> </w:t>
            </w:r>
            <w:r w:rsidRPr="00E4635E">
              <w:rPr>
                <w:bCs/>
                <w:sz w:val="20"/>
                <w:szCs w:val="20"/>
              </w:rPr>
              <w:t>MIPS Performance Period)</w:t>
            </w:r>
          </w:p>
        </w:tc>
        <w:tc>
          <w:tcPr>
            <w:tcW w:w="1306" w:type="dxa"/>
          </w:tcPr>
          <w:p w:rsidRPr="00BB7053" w:rsidR="00C1361E" w:rsidP="0068663C" w:rsidRDefault="00085ADB" w14:paraId="06942A38" w14:textId="0C3DFD48">
            <w:pPr>
              <w:keepNext/>
              <w:keepLines/>
              <w:tabs>
                <w:tab w:val="left" w:pos="6030"/>
              </w:tabs>
              <w:spacing w:line="276" w:lineRule="auto"/>
              <w:jc w:val="right"/>
              <w:rPr>
                <w:sz w:val="20"/>
                <w:szCs w:val="20"/>
              </w:rPr>
            </w:pPr>
            <w:r>
              <w:rPr>
                <w:sz w:val="20"/>
                <w:szCs w:val="20"/>
              </w:rPr>
              <w:t>0</w:t>
            </w:r>
          </w:p>
        </w:tc>
        <w:tc>
          <w:tcPr>
            <w:tcW w:w="1153" w:type="dxa"/>
          </w:tcPr>
          <w:p w:rsidRPr="00BB7053" w:rsidR="00C1361E" w:rsidP="0068663C" w:rsidRDefault="008F037A" w14:paraId="7D2458B1" w14:textId="412A6E0D">
            <w:pPr>
              <w:keepNext/>
              <w:keepLines/>
              <w:tabs>
                <w:tab w:val="left" w:pos="6030"/>
              </w:tabs>
              <w:spacing w:line="276" w:lineRule="auto"/>
              <w:jc w:val="right"/>
              <w:rPr>
                <w:sz w:val="20"/>
                <w:szCs w:val="20"/>
              </w:rPr>
            </w:pPr>
            <w:r>
              <w:rPr>
                <w:sz w:val="20"/>
                <w:szCs w:val="20"/>
              </w:rPr>
              <w:t>0</w:t>
            </w:r>
          </w:p>
        </w:tc>
        <w:tc>
          <w:tcPr>
            <w:tcW w:w="1094" w:type="dxa"/>
          </w:tcPr>
          <w:p w:rsidRPr="00BB7053" w:rsidR="00C1361E" w:rsidP="0068663C" w:rsidRDefault="008F037A" w14:paraId="766B80E6" w14:textId="13CCB9B9">
            <w:pPr>
              <w:keepNext/>
              <w:keepLines/>
              <w:tabs>
                <w:tab w:val="left" w:pos="6030"/>
              </w:tabs>
              <w:spacing w:line="276" w:lineRule="auto"/>
              <w:jc w:val="right"/>
              <w:rPr>
                <w:sz w:val="20"/>
                <w:szCs w:val="20"/>
              </w:rPr>
            </w:pPr>
            <w:r>
              <w:rPr>
                <w:sz w:val="20"/>
                <w:szCs w:val="20"/>
              </w:rPr>
              <w:t>0</w:t>
            </w:r>
          </w:p>
        </w:tc>
        <w:tc>
          <w:tcPr>
            <w:tcW w:w="1057" w:type="dxa"/>
          </w:tcPr>
          <w:p w:rsidRPr="00BB7053" w:rsidR="00C1361E" w:rsidP="0068663C" w:rsidRDefault="008F037A" w14:paraId="153CE879" w14:textId="2FFDAF3F">
            <w:pPr>
              <w:keepNext/>
              <w:keepLines/>
              <w:tabs>
                <w:tab w:val="left" w:pos="6030"/>
              </w:tabs>
              <w:spacing w:line="276" w:lineRule="auto"/>
              <w:jc w:val="right"/>
              <w:rPr>
                <w:sz w:val="20"/>
                <w:szCs w:val="20"/>
              </w:rPr>
            </w:pPr>
            <w:r>
              <w:rPr>
                <w:sz w:val="20"/>
                <w:szCs w:val="20"/>
              </w:rPr>
              <w:t>0</w:t>
            </w:r>
          </w:p>
        </w:tc>
        <w:tc>
          <w:tcPr>
            <w:tcW w:w="996" w:type="dxa"/>
          </w:tcPr>
          <w:p w:rsidRPr="00BB7053" w:rsidR="00C1361E" w:rsidP="0068663C" w:rsidRDefault="008F037A" w14:paraId="5CAF399B" w14:textId="3238D0D7">
            <w:pPr>
              <w:keepNext/>
              <w:keepLines/>
              <w:tabs>
                <w:tab w:val="left" w:pos="6030"/>
              </w:tabs>
              <w:spacing w:line="276" w:lineRule="auto"/>
              <w:jc w:val="right"/>
              <w:rPr>
                <w:sz w:val="20"/>
                <w:szCs w:val="20"/>
              </w:rPr>
            </w:pPr>
            <w:r>
              <w:rPr>
                <w:sz w:val="20"/>
                <w:szCs w:val="20"/>
              </w:rPr>
              <w:t>0</w:t>
            </w:r>
          </w:p>
        </w:tc>
        <w:tc>
          <w:tcPr>
            <w:tcW w:w="970" w:type="dxa"/>
          </w:tcPr>
          <w:p w:rsidRPr="00BB7053" w:rsidR="00C1361E" w:rsidP="0068663C" w:rsidRDefault="008F037A" w14:paraId="4941CC5F" w14:textId="48B0907C">
            <w:pPr>
              <w:keepNext/>
              <w:keepLines/>
              <w:tabs>
                <w:tab w:val="left" w:pos="6030"/>
              </w:tabs>
              <w:spacing w:line="276" w:lineRule="auto"/>
              <w:jc w:val="right"/>
              <w:rPr>
                <w:sz w:val="20"/>
                <w:szCs w:val="20"/>
              </w:rPr>
            </w:pPr>
            <w:r>
              <w:rPr>
                <w:sz w:val="20"/>
                <w:szCs w:val="20"/>
              </w:rPr>
              <w:t>0</w:t>
            </w:r>
          </w:p>
        </w:tc>
        <w:tc>
          <w:tcPr>
            <w:tcW w:w="1164" w:type="dxa"/>
          </w:tcPr>
          <w:p w:rsidRPr="00BB7053" w:rsidR="00C1361E" w:rsidP="0068663C" w:rsidRDefault="008F037A" w14:paraId="7C4A22EA" w14:textId="38A3D0B8">
            <w:pPr>
              <w:keepNext/>
              <w:keepLines/>
              <w:tabs>
                <w:tab w:val="left" w:pos="6030"/>
              </w:tabs>
              <w:spacing w:line="276" w:lineRule="auto"/>
              <w:jc w:val="right"/>
              <w:rPr>
                <w:sz w:val="20"/>
                <w:szCs w:val="20"/>
              </w:rPr>
            </w:pPr>
            <w:r>
              <w:rPr>
                <w:sz w:val="20"/>
                <w:szCs w:val="20"/>
              </w:rPr>
              <w:t>0</w:t>
            </w:r>
          </w:p>
        </w:tc>
      </w:tr>
      <w:tr w:rsidR="00C1361E" w:rsidTr="00D26368" w14:paraId="5188946A" w14:textId="77777777">
        <w:tc>
          <w:tcPr>
            <w:tcW w:w="1705" w:type="dxa"/>
          </w:tcPr>
          <w:p w:rsidR="00BE4779" w:rsidP="00192E2E" w:rsidRDefault="00B25DC7" w14:paraId="508A4D44" w14:textId="75CECFAA">
            <w:pPr>
              <w:keepNext/>
              <w:keepLines/>
              <w:tabs>
                <w:tab w:val="left" w:pos="6030"/>
              </w:tabs>
              <w:spacing w:line="276" w:lineRule="auto"/>
              <w:rPr>
                <w:sz w:val="20"/>
                <w:szCs w:val="20"/>
              </w:rPr>
            </w:pPr>
            <w:r>
              <w:rPr>
                <w:sz w:val="20"/>
                <w:szCs w:val="20"/>
              </w:rPr>
              <w:t xml:space="preserve">Proposed </w:t>
            </w:r>
            <w:r w:rsidR="00C1361E">
              <w:rPr>
                <w:sz w:val="20"/>
                <w:szCs w:val="20"/>
              </w:rPr>
              <w:t>(202</w:t>
            </w:r>
            <w:r>
              <w:rPr>
                <w:sz w:val="20"/>
                <w:szCs w:val="20"/>
              </w:rPr>
              <w:t>2</w:t>
            </w:r>
            <w:r w:rsidR="00B16A4B">
              <w:rPr>
                <w:sz w:val="20"/>
                <w:szCs w:val="20"/>
              </w:rPr>
              <w:t xml:space="preserve"> </w:t>
            </w:r>
            <w:r w:rsidR="00CA67DC">
              <w:rPr>
                <w:sz w:val="20"/>
                <w:szCs w:val="20"/>
              </w:rPr>
              <w:t>MIPS Performance Period</w:t>
            </w:r>
            <w:r w:rsidR="00C1361E">
              <w:rPr>
                <w:sz w:val="20"/>
                <w:szCs w:val="20"/>
              </w:rPr>
              <w:t>)</w:t>
            </w:r>
            <w:r w:rsidR="00A67FD9">
              <w:rPr>
                <w:sz w:val="20"/>
                <w:szCs w:val="20"/>
              </w:rPr>
              <w:t xml:space="preserve"> </w:t>
            </w:r>
          </w:p>
          <w:p w:rsidRPr="00BB7053" w:rsidR="00C1361E" w:rsidP="00192E2E" w:rsidRDefault="00A67FD9" w14:paraId="49BF5210" w14:textId="2BC4FEC8">
            <w:pPr>
              <w:keepNext/>
              <w:keepLines/>
              <w:tabs>
                <w:tab w:val="left" w:pos="6030"/>
              </w:tabs>
              <w:spacing w:line="276" w:lineRule="auto"/>
              <w:rPr>
                <w:sz w:val="20"/>
                <w:szCs w:val="20"/>
              </w:rPr>
            </w:pPr>
            <w:r w:rsidRPr="00A67FD9">
              <w:rPr>
                <w:sz w:val="20"/>
                <w:szCs w:val="20"/>
              </w:rPr>
              <w:t>(See Table 1</w:t>
            </w:r>
            <w:r w:rsidR="006C29AB">
              <w:rPr>
                <w:sz w:val="20"/>
                <w:szCs w:val="20"/>
              </w:rPr>
              <w:t>7</w:t>
            </w:r>
            <w:r w:rsidRPr="00A67FD9">
              <w:rPr>
                <w:sz w:val="20"/>
                <w:szCs w:val="20"/>
              </w:rPr>
              <w:t>)</w:t>
            </w:r>
          </w:p>
        </w:tc>
        <w:tc>
          <w:tcPr>
            <w:tcW w:w="1306" w:type="dxa"/>
          </w:tcPr>
          <w:p w:rsidRPr="00BB7053" w:rsidR="00C1361E" w:rsidP="0068663C" w:rsidRDefault="003369BE" w14:paraId="4BBBFD96" w14:textId="7606F75D">
            <w:pPr>
              <w:keepNext/>
              <w:keepLines/>
              <w:tabs>
                <w:tab w:val="left" w:pos="6030"/>
              </w:tabs>
              <w:spacing w:line="276" w:lineRule="auto"/>
              <w:jc w:val="right"/>
              <w:rPr>
                <w:sz w:val="20"/>
                <w:szCs w:val="20"/>
              </w:rPr>
            </w:pPr>
            <w:r>
              <w:rPr>
                <w:sz w:val="20"/>
                <w:szCs w:val="20"/>
              </w:rPr>
              <w:t>90</w:t>
            </w:r>
          </w:p>
        </w:tc>
        <w:tc>
          <w:tcPr>
            <w:tcW w:w="1153" w:type="dxa"/>
          </w:tcPr>
          <w:p w:rsidRPr="00BB7053" w:rsidR="00C1361E" w:rsidP="0068663C" w:rsidRDefault="003369BE" w14:paraId="05FC522A" w14:textId="48807C30">
            <w:pPr>
              <w:keepNext/>
              <w:keepLines/>
              <w:tabs>
                <w:tab w:val="left" w:pos="6030"/>
              </w:tabs>
              <w:spacing w:line="276" w:lineRule="auto"/>
              <w:jc w:val="right"/>
              <w:rPr>
                <w:sz w:val="20"/>
                <w:szCs w:val="20"/>
              </w:rPr>
            </w:pPr>
            <w:r>
              <w:rPr>
                <w:sz w:val="20"/>
                <w:szCs w:val="20"/>
              </w:rPr>
              <w:t>1</w:t>
            </w:r>
          </w:p>
        </w:tc>
        <w:tc>
          <w:tcPr>
            <w:tcW w:w="1094" w:type="dxa"/>
          </w:tcPr>
          <w:p w:rsidRPr="00BB7053" w:rsidR="00C1361E" w:rsidP="0068663C" w:rsidRDefault="003369BE" w14:paraId="3BE8D399" w14:textId="524C5E48">
            <w:pPr>
              <w:keepNext/>
              <w:keepLines/>
              <w:tabs>
                <w:tab w:val="left" w:pos="6030"/>
              </w:tabs>
              <w:spacing w:line="276" w:lineRule="auto"/>
              <w:jc w:val="right"/>
              <w:rPr>
                <w:sz w:val="20"/>
                <w:szCs w:val="20"/>
              </w:rPr>
            </w:pPr>
            <w:r>
              <w:rPr>
                <w:sz w:val="20"/>
                <w:szCs w:val="20"/>
              </w:rPr>
              <w:t>90</w:t>
            </w:r>
          </w:p>
        </w:tc>
        <w:tc>
          <w:tcPr>
            <w:tcW w:w="1057" w:type="dxa"/>
          </w:tcPr>
          <w:p w:rsidRPr="00BB7053" w:rsidR="00C1361E" w:rsidP="0068663C" w:rsidRDefault="003369BE" w14:paraId="6E0A7337" w14:textId="7C2B293B">
            <w:pPr>
              <w:keepNext/>
              <w:keepLines/>
              <w:tabs>
                <w:tab w:val="left" w:pos="6030"/>
              </w:tabs>
              <w:spacing w:line="276" w:lineRule="auto"/>
              <w:jc w:val="right"/>
              <w:rPr>
                <w:sz w:val="20"/>
                <w:szCs w:val="20"/>
              </w:rPr>
            </w:pPr>
            <w:r>
              <w:rPr>
                <w:sz w:val="20"/>
                <w:szCs w:val="20"/>
              </w:rPr>
              <w:t>0.25</w:t>
            </w:r>
          </w:p>
        </w:tc>
        <w:tc>
          <w:tcPr>
            <w:tcW w:w="996" w:type="dxa"/>
          </w:tcPr>
          <w:p w:rsidRPr="00BB7053" w:rsidR="00C1361E" w:rsidP="0068663C" w:rsidRDefault="003369BE" w14:paraId="21F2EEA2" w14:textId="1A01B548">
            <w:pPr>
              <w:keepNext/>
              <w:keepLines/>
              <w:tabs>
                <w:tab w:val="left" w:pos="6030"/>
              </w:tabs>
              <w:spacing w:line="276" w:lineRule="auto"/>
              <w:jc w:val="right"/>
              <w:rPr>
                <w:sz w:val="20"/>
                <w:szCs w:val="20"/>
              </w:rPr>
            </w:pPr>
            <w:r>
              <w:rPr>
                <w:sz w:val="20"/>
                <w:szCs w:val="20"/>
              </w:rPr>
              <w:t>2</w:t>
            </w:r>
            <w:r w:rsidR="004A7093">
              <w:rPr>
                <w:sz w:val="20"/>
                <w:szCs w:val="20"/>
              </w:rPr>
              <w:t>3</w:t>
            </w:r>
          </w:p>
        </w:tc>
        <w:tc>
          <w:tcPr>
            <w:tcW w:w="970" w:type="dxa"/>
          </w:tcPr>
          <w:p w:rsidRPr="00BB7053" w:rsidR="00C1361E" w:rsidP="0068663C" w:rsidRDefault="003369BE" w14:paraId="7FB974D2" w14:textId="3F6F1174">
            <w:pPr>
              <w:keepNext/>
              <w:keepLines/>
              <w:tabs>
                <w:tab w:val="left" w:pos="6030"/>
              </w:tabs>
              <w:spacing w:line="276" w:lineRule="auto"/>
              <w:jc w:val="right"/>
              <w:rPr>
                <w:sz w:val="20"/>
                <w:szCs w:val="20"/>
              </w:rPr>
            </w:pPr>
            <w:r>
              <w:rPr>
                <w:sz w:val="20"/>
                <w:szCs w:val="20"/>
              </w:rPr>
              <w:t>9</w:t>
            </w:r>
            <w:r w:rsidR="00FF035B">
              <w:rPr>
                <w:sz w:val="20"/>
                <w:szCs w:val="20"/>
              </w:rPr>
              <w:t>5.22</w:t>
            </w:r>
          </w:p>
        </w:tc>
        <w:tc>
          <w:tcPr>
            <w:tcW w:w="1164" w:type="dxa"/>
          </w:tcPr>
          <w:p w:rsidRPr="00BB7053" w:rsidR="00C1361E" w:rsidP="0068663C" w:rsidRDefault="00B25194" w14:paraId="08C3906E" w14:textId="4E943CD5">
            <w:pPr>
              <w:keepNext/>
              <w:keepLines/>
              <w:tabs>
                <w:tab w:val="left" w:pos="6030"/>
              </w:tabs>
              <w:spacing w:line="276" w:lineRule="auto"/>
              <w:jc w:val="right"/>
              <w:rPr>
                <w:sz w:val="20"/>
                <w:szCs w:val="20"/>
              </w:rPr>
            </w:pPr>
            <w:r>
              <w:rPr>
                <w:sz w:val="20"/>
                <w:szCs w:val="20"/>
              </w:rPr>
              <w:t>2,</w:t>
            </w:r>
            <w:r w:rsidR="00B81A34">
              <w:rPr>
                <w:sz w:val="20"/>
                <w:szCs w:val="20"/>
              </w:rPr>
              <w:t>1</w:t>
            </w:r>
            <w:r w:rsidR="004A7093">
              <w:rPr>
                <w:sz w:val="20"/>
                <w:szCs w:val="20"/>
              </w:rPr>
              <w:t>90</w:t>
            </w:r>
          </w:p>
        </w:tc>
      </w:tr>
      <w:tr w:rsidR="00C1361E" w:rsidTr="00D26368" w14:paraId="75EDFEE3" w14:textId="77777777">
        <w:tc>
          <w:tcPr>
            <w:tcW w:w="1705" w:type="dxa"/>
            <w:shd w:val="clear" w:color="auto" w:fill="D9D9D9" w:themeFill="background1" w:themeFillShade="D9"/>
          </w:tcPr>
          <w:p w:rsidRPr="00BB7053" w:rsidR="00C1361E" w:rsidP="0068663C" w:rsidRDefault="00C1361E" w14:paraId="7FB29925" w14:textId="185F7FE7">
            <w:pPr>
              <w:keepNext/>
              <w:keepLines/>
              <w:tabs>
                <w:tab w:val="left" w:pos="6030"/>
              </w:tabs>
              <w:spacing w:line="276" w:lineRule="auto"/>
              <w:jc w:val="both"/>
              <w:rPr>
                <w:sz w:val="20"/>
                <w:szCs w:val="20"/>
              </w:rPr>
            </w:pPr>
            <w:r>
              <w:rPr>
                <w:sz w:val="20"/>
                <w:szCs w:val="20"/>
              </w:rPr>
              <w:t xml:space="preserve">Adjustment </w:t>
            </w:r>
            <w:r w:rsidR="00F424A2">
              <w:rPr>
                <w:sz w:val="20"/>
                <w:szCs w:val="20"/>
              </w:rPr>
              <w:br/>
            </w:r>
          </w:p>
        </w:tc>
        <w:tc>
          <w:tcPr>
            <w:tcW w:w="1306" w:type="dxa"/>
            <w:shd w:val="clear" w:color="auto" w:fill="D9D9D9" w:themeFill="background1" w:themeFillShade="D9"/>
          </w:tcPr>
          <w:p w:rsidRPr="00BB7053" w:rsidR="00C1361E" w:rsidP="0068663C" w:rsidRDefault="00B25194" w14:paraId="01AA1D33" w14:textId="4D237B05">
            <w:pPr>
              <w:keepNext/>
              <w:keepLines/>
              <w:tabs>
                <w:tab w:val="left" w:pos="6030"/>
              </w:tabs>
              <w:spacing w:line="276" w:lineRule="auto"/>
              <w:jc w:val="right"/>
              <w:rPr>
                <w:sz w:val="20"/>
                <w:szCs w:val="20"/>
              </w:rPr>
            </w:pPr>
            <w:r>
              <w:rPr>
                <w:sz w:val="20"/>
                <w:szCs w:val="20"/>
              </w:rPr>
              <w:t>+</w:t>
            </w:r>
            <w:r w:rsidR="001B0A18">
              <w:rPr>
                <w:sz w:val="20"/>
                <w:szCs w:val="20"/>
              </w:rPr>
              <w:t>90</w:t>
            </w:r>
          </w:p>
        </w:tc>
        <w:tc>
          <w:tcPr>
            <w:tcW w:w="1153" w:type="dxa"/>
            <w:shd w:val="clear" w:color="auto" w:fill="D9D9D9" w:themeFill="background1" w:themeFillShade="D9"/>
          </w:tcPr>
          <w:p w:rsidRPr="00BB7053" w:rsidR="00C1361E" w:rsidP="0068663C" w:rsidRDefault="001B0A18" w14:paraId="762EF1A2" w14:textId="653352D8">
            <w:pPr>
              <w:keepNext/>
              <w:keepLines/>
              <w:tabs>
                <w:tab w:val="left" w:pos="6030"/>
              </w:tabs>
              <w:spacing w:line="276" w:lineRule="auto"/>
              <w:jc w:val="right"/>
              <w:rPr>
                <w:sz w:val="20"/>
                <w:szCs w:val="20"/>
              </w:rPr>
            </w:pPr>
            <w:r>
              <w:rPr>
                <w:sz w:val="20"/>
                <w:szCs w:val="20"/>
              </w:rPr>
              <w:t>1</w:t>
            </w:r>
          </w:p>
        </w:tc>
        <w:tc>
          <w:tcPr>
            <w:tcW w:w="1094" w:type="dxa"/>
            <w:shd w:val="clear" w:color="auto" w:fill="D9D9D9" w:themeFill="background1" w:themeFillShade="D9"/>
          </w:tcPr>
          <w:p w:rsidRPr="00BB7053" w:rsidR="00C1361E" w:rsidP="0068663C" w:rsidRDefault="00B25194" w14:paraId="01F8D854" w14:textId="7CFE151D">
            <w:pPr>
              <w:keepNext/>
              <w:keepLines/>
              <w:tabs>
                <w:tab w:val="left" w:pos="6030"/>
              </w:tabs>
              <w:spacing w:line="276" w:lineRule="auto"/>
              <w:jc w:val="right"/>
              <w:rPr>
                <w:sz w:val="20"/>
                <w:szCs w:val="20"/>
              </w:rPr>
            </w:pPr>
            <w:r>
              <w:rPr>
                <w:sz w:val="20"/>
                <w:szCs w:val="20"/>
              </w:rPr>
              <w:t>+</w:t>
            </w:r>
            <w:r w:rsidR="001B0A18">
              <w:rPr>
                <w:sz w:val="20"/>
                <w:szCs w:val="20"/>
              </w:rPr>
              <w:t>90</w:t>
            </w:r>
          </w:p>
        </w:tc>
        <w:tc>
          <w:tcPr>
            <w:tcW w:w="1057" w:type="dxa"/>
            <w:shd w:val="clear" w:color="auto" w:fill="D9D9D9" w:themeFill="background1" w:themeFillShade="D9"/>
          </w:tcPr>
          <w:p w:rsidRPr="00BB7053" w:rsidR="00C1361E" w:rsidP="0068663C" w:rsidRDefault="001B0A18" w14:paraId="428FD2ED" w14:textId="63F38288">
            <w:pPr>
              <w:keepNext/>
              <w:keepLines/>
              <w:tabs>
                <w:tab w:val="left" w:pos="6030"/>
              </w:tabs>
              <w:spacing w:line="276" w:lineRule="auto"/>
              <w:jc w:val="right"/>
              <w:rPr>
                <w:sz w:val="20"/>
                <w:szCs w:val="20"/>
              </w:rPr>
            </w:pPr>
            <w:r>
              <w:rPr>
                <w:sz w:val="20"/>
                <w:szCs w:val="20"/>
              </w:rPr>
              <w:t>0.25</w:t>
            </w:r>
          </w:p>
        </w:tc>
        <w:tc>
          <w:tcPr>
            <w:tcW w:w="996" w:type="dxa"/>
            <w:shd w:val="clear" w:color="auto" w:fill="D9D9D9" w:themeFill="background1" w:themeFillShade="D9"/>
          </w:tcPr>
          <w:p w:rsidRPr="00BB7053" w:rsidR="00C1361E" w:rsidP="0068663C" w:rsidRDefault="00B25194" w14:paraId="229BA1B9" w14:textId="22BA6E1A">
            <w:pPr>
              <w:keepNext/>
              <w:keepLines/>
              <w:tabs>
                <w:tab w:val="left" w:pos="6030"/>
              </w:tabs>
              <w:spacing w:line="276" w:lineRule="auto"/>
              <w:jc w:val="right"/>
              <w:rPr>
                <w:sz w:val="20"/>
                <w:szCs w:val="20"/>
              </w:rPr>
            </w:pPr>
            <w:r>
              <w:rPr>
                <w:sz w:val="20"/>
                <w:szCs w:val="20"/>
              </w:rPr>
              <w:t>+</w:t>
            </w:r>
            <w:r w:rsidR="001B0A18">
              <w:rPr>
                <w:sz w:val="20"/>
                <w:szCs w:val="20"/>
              </w:rPr>
              <w:t>2</w:t>
            </w:r>
            <w:r w:rsidR="004A7093">
              <w:rPr>
                <w:sz w:val="20"/>
                <w:szCs w:val="20"/>
              </w:rPr>
              <w:t>3</w:t>
            </w:r>
          </w:p>
        </w:tc>
        <w:tc>
          <w:tcPr>
            <w:tcW w:w="970" w:type="dxa"/>
            <w:shd w:val="clear" w:color="auto" w:fill="D9D9D9" w:themeFill="background1" w:themeFillShade="D9"/>
          </w:tcPr>
          <w:p w:rsidRPr="00BB7053" w:rsidR="00C1361E" w:rsidP="0068663C" w:rsidRDefault="001B0A18" w14:paraId="4797F599" w14:textId="25FB8DB4">
            <w:pPr>
              <w:keepNext/>
              <w:keepLines/>
              <w:tabs>
                <w:tab w:val="left" w:pos="6030"/>
              </w:tabs>
              <w:spacing w:line="276" w:lineRule="auto"/>
              <w:jc w:val="right"/>
              <w:rPr>
                <w:sz w:val="20"/>
                <w:szCs w:val="20"/>
              </w:rPr>
            </w:pPr>
            <w:r>
              <w:rPr>
                <w:sz w:val="20"/>
                <w:szCs w:val="20"/>
              </w:rPr>
              <w:t>95.22</w:t>
            </w:r>
          </w:p>
        </w:tc>
        <w:tc>
          <w:tcPr>
            <w:tcW w:w="1164" w:type="dxa"/>
            <w:shd w:val="clear" w:color="auto" w:fill="D9D9D9" w:themeFill="background1" w:themeFillShade="D9"/>
          </w:tcPr>
          <w:p w:rsidRPr="00BB7053" w:rsidR="00C1361E" w:rsidP="0068663C" w:rsidRDefault="001B0A18" w14:paraId="2BB5BBAF" w14:textId="651EA33A">
            <w:pPr>
              <w:keepNext/>
              <w:keepLines/>
              <w:tabs>
                <w:tab w:val="left" w:pos="6030"/>
              </w:tabs>
              <w:spacing w:line="276" w:lineRule="auto"/>
              <w:jc w:val="right"/>
              <w:rPr>
                <w:sz w:val="20"/>
                <w:szCs w:val="20"/>
              </w:rPr>
            </w:pPr>
            <w:r>
              <w:rPr>
                <w:sz w:val="20"/>
                <w:szCs w:val="20"/>
              </w:rPr>
              <w:t>+2,1</w:t>
            </w:r>
            <w:r w:rsidR="004A7093">
              <w:rPr>
                <w:sz w:val="20"/>
                <w:szCs w:val="20"/>
              </w:rPr>
              <w:t>90</w:t>
            </w:r>
          </w:p>
        </w:tc>
      </w:tr>
    </w:tbl>
    <w:p w:rsidR="00C1361E" w:rsidP="00885183" w:rsidRDefault="00C1361E" w14:paraId="65B3052A" w14:textId="77777777">
      <w:pPr>
        <w:jc w:val="center"/>
        <w:rPr>
          <w:rFonts w:eastAsia="Calibri"/>
          <w:b/>
          <w:bCs/>
        </w:rPr>
      </w:pPr>
    </w:p>
    <w:p w:rsidR="00885183" w:rsidP="0041468A" w:rsidRDefault="00885183" w14:paraId="6DF12380" w14:textId="6C37F315">
      <w:pPr>
        <w:keepNext/>
        <w:keepLines/>
        <w:jc w:val="center"/>
        <w:rPr>
          <w:b/>
          <w:bCs/>
        </w:rPr>
      </w:pPr>
      <w:r w:rsidRPr="00B30713">
        <w:rPr>
          <w:rFonts w:eastAsia="Calibri"/>
          <w:b/>
          <w:bCs/>
        </w:rPr>
        <w:t xml:space="preserve">TABLE </w:t>
      </w:r>
      <w:r w:rsidR="00C1361E">
        <w:rPr>
          <w:rFonts w:eastAsia="Calibri"/>
          <w:b/>
          <w:bCs/>
        </w:rPr>
        <w:t>3</w:t>
      </w:r>
      <w:r w:rsidR="00566B1A">
        <w:rPr>
          <w:rFonts w:eastAsia="Calibri"/>
          <w:b/>
          <w:bCs/>
        </w:rPr>
        <w:t>8</w:t>
      </w:r>
      <w:r w:rsidR="00FA460C">
        <w:rPr>
          <w:rFonts w:eastAsia="Calibri"/>
          <w:b/>
          <w:bCs/>
        </w:rPr>
        <w:t>J</w:t>
      </w:r>
      <w:r w:rsidRPr="00B30713">
        <w:rPr>
          <w:rFonts w:eastAsia="Calibri"/>
          <w:b/>
          <w:bCs/>
        </w:rPr>
        <w:t xml:space="preserve">: Burden Reconciliation for </w:t>
      </w:r>
      <w:r w:rsidRPr="005A6B37" w:rsidR="005A6B37">
        <w:rPr>
          <w:rFonts w:eastAsia="Calibri"/>
          <w:b/>
          <w:bCs/>
        </w:rPr>
        <w:t>Call for Quality Measures</w:t>
      </w:r>
    </w:p>
    <w:tbl>
      <w:tblPr>
        <w:tblStyle w:val="TableGrid"/>
        <w:tblW w:w="9625" w:type="dxa"/>
        <w:tblLook w:val="04A0" w:firstRow="1" w:lastRow="0" w:firstColumn="1" w:lastColumn="0" w:noHBand="0" w:noVBand="1"/>
      </w:tblPr>
      <w:tblGrid>
        <w:gridCol w:w="1255"/>
        <w:gridCol w:w="1307"/>
        <w:gridCol w:w="1168"/>
        <w:gridCol w:w="1094"/>
        <w:gridCol w:w="1077"/>
        <w:gridCol w:w="1070"/>
        <w:gridCol w:w="1067"/>
        <w:gridCol w:w="1587"/>
      </w:tblGrid>
      <w:tr w:rsidR="00885183" w:rsidTr="00A56476" w14:paraId="7DA0547C" w14:textId="77777777">
        <w:trPr>
          <w:tblHeader/>
        </w:trPr>
        <w:tc>
          <w:tcPr>
            <w:tcW w:w="1255" w:type="dxa"/>
          </w:tcPr>
          <w:p w:rsidRPr="00173FA2" w:rsidR="00885183" w:rsidP="0041468A" w:rsidRDefault="00885183" w14:paraId="56EBE0E8"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260" w:type="dxa"/>
          </w:tcPr>
          <w:p w:rsidRPr="00173FA2" w:rsidR="00885183" w:rsidP="0041468A" w:rsidRDefault="00885183" w14:paraId="3220046A"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70" w:type="dxa"/>
          </w:tcPr>
          <w:p w:rsidRPr="00173FA2" w:rsidR="00885183" w:rsidP="0041468A" w:rsidRDefault="00885183" w14:paraId="11563213"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80" w:type="dxa"/>
          </w:tcPr>
          <w:p w:rsidRPr="00173FA2" w:rsidR="00885183" w:rsidP="0041468A" w:rsidRDefault="00885183" w14:paraId="32CBB508"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80" w:type="dxa"/>
          </w:tcPr>
          <w:p w:rsidRPr="00173FA2" w:rsidR="00885183" w:rsidP="0041468A" w:rsidRDefault="00885183" w14:paraId="4BECBB3D" w14:textId="77777777">
            <w:pPr>
              <w:keepNext/>
              <w:keepLines/>
              <w:tabs>
                <w:tab w:val="left" w:pos="6030"/>
              </w:tabs>
              <w:spacing w:line="276" w:lineRule="auto"/>
              <w:rPr>
                <w:b/>
                <w:bCs/>
                <w:sz w:val="20"/>
                <w:szCs w:val="20"/>
              </w:rPr>
            </w:pPr>
            <w:r w:rsidRPr="00173FA2">
              <w:rPr>
                <w:b/>
                <w:bCs/>
                <w:sz w:val="20"/>
                <w:szCs w:val="20"/>
              </w:rPr>
              <w:t>Time Per Response (hr)</w:t>
            </w:r>
          </w:p>
        </w:tc>
        <w:tc>
          <w:tcPr>
            <w:tcW w:w="1080" w:type="dxa"/>
          </w:tcPr>
          <w:p w:rsidRPr="00173FA2" w:rsidR="00885183" w:rsidP="0041468A" w:rsidRDefault="00885183" w14:paraId="53D7EA00"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80" w:type="dxa"/>
          </w:tcPr>
          <w:p w:rsidRPr="00173FA2" w:rsidR="00885183" w:rsidP="0041468A" w:rsidRDefault="00885183" w14:paraId="1D38EFD9"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20" w:type="dxa"/>
          </w:tcPr>
          <w:p w:rsidRPr="00173FA2" w:rsidR="00885183" w:rsidP="0041468A" w:rsidRDefault="00885183" w14:paraId="2C561640" w14:textId="77777777">
            <w:pPr>
              <w:keepNext/>
              <w:keepLines/>
              <w:tabs>
                <w:tab w:val="left" w:pos="6030"/>
              </w:tabs>
              <w:spacing w:line="276" w:lineRule="auto"/>
              <w:rPr>
                <w:b/>
                <w:bCs/>
                <w:sz w:val="20"/>
                <w:szCs w:val="20"/>
              </w:rPr>
            </w:pPr>
            <w:r w:rsidRPr="00173FA2">
              <w:rPr>
                <w:b/>
                <w:bCs/>
                <w:sz w:val="20"/>
                <w:szCs w:val="20"/>
              </w:rPr>
              <w:t>Total Annual Cost ($)</w:t>
            </w:r>
          </w:p>
        </w:tc>
      </w:tr>
      <w:tr w:rsidR="001667FB" w:rsidTr="00A56476" w14:paraId="7D30C4F2" w14:textId="77777777">
        <w:tc>
          <w:tcPr>
            <w:tcW w:w="1255" w:type="dxa"/>
          </w:tcPr>
          <w:p w:rsidRPr="00BB7053" w:rsidR="001667FB" w:rsidP="0041468A" w:rsidRDefault="001667FB" w14:paraId="0AD624F1" w14:textId="3BFAFC4B">
            <w:pPr>
              <w:keepNext/>
              <w:keepLines/>
              <w:tabs>
                <w:tab w:val="left" w:pos="6030"/>
              </w:tabs>
              <w:spacing w:line="276" w:lineRule="auto"/>
              <w:jc w:val="both"/>
              <w:rPr>
                <w:sz w:val="20"/>
                <w:szCs w:val="20"/>
              </w:rPr>
            </w:pPr>
            <w:r>
              <w:rPr>
                <w:sz w:val="20"/>
                <w:szCs w:val="20"/>
              </w:rPr>
              <w:t>Currently Approved</w:t>
            </w:r>
            <w:r w:rsidR="00CC5836">
              <w:rPr>
                <w:sz w:val="20"/>
                <w:szCs w:val="20"/>
              </w:rPr>
              <w:t xml:space="preserve"> </w:t>
            </w:r>
            <w:r w:rsidRPr="00E4635E" w:rsidR="00CC5836">
              <w:rPr>
                <w:bCs/>
                <w:sz w:val="20"/>
                <w:szCs w:val="20"/>
              </w:rPr>
              <w:t>(202</w:t>
            </w:r>
            <w:r w:rsidR="009F6DD4">
              <w:rPr>
                <w:bCs/>
                <w:sz w:val="20"/>
                <w:szCs w:val="20"/>
              </w:rPr>
              <w:t>2</w:t>
            </w:r>
            <w:r w:rsidRPr="00E4635E" w:rsidR="00CC5836">
              <w:rPr>
                <w:bCs/>
                <w:sz w:val="20"/>
                <w:szCs w:val="20"/>
              </w:rPr>
              <w:t xml:space="preserve"> MIPS Performance Period)</w:t>
            </w:r>
          </w:p>
        </w:tc>
        <w:tc>
          <w:tcPr>
            <w:tcW w:w="1260" w:type="dxa"/>
          </w:tcPr>
          <w:p w:rsidRPr="00BB7053" w:rsidR="001667FB" w:rsidP="0041468A" w:rsidRDefault="001667FB" w14:paraId="5453E9D2" w14:textId="2863AA1B">
            <w:pPr>
              <w:keepNext/>
              <w:keepLines/>
              <w:tabs>
                <w:tab w:val="left" w:pos="6030"/>
              </w:tabs>
              <w:spacing w:line="276" w:lineRule="auto"/>
              <w:jc w:val="right"/>
              <w:rPr>
                <w:sz w:val="20"/>
                <w:szCs w:val="20"/>
              </w:rPr>
            </w:pPr>
            <w:r>
              <w:rPr>
                <w:sz w:val="20"/>
                <w:szCs w:val="20"/>
              </w:rPr>
              <w:t>28</w:t>
            </w:r>
          </w:p>
        </w:tc>
        <w:tc>
          <w:tcPr>
            <w:tcW w:w="1170" w:type="dxa"/>
          </w:tcPr>
          <w:p w:rsidRPr="00BB7053" w:rsidR="001667FB" w:rsidP="0041468A" w:rsidRDefault="001667FB" w14:paraId="323E06F0" w14:textId="111DD318">
            <w:pPr>
              <w:keepNext/>
              <w:keepLines/>
              <w:tabs>
                <w:tab w:val="left" w:pos="6030"/>
              </w:tabs>
              <w:spacing w:line="276" w:lineRule="auto"/>
              <w:jc w:val="right"/>
              <w:rPr>
                <w:sz w:val="20"/>
                <w:szCs w:val="20"/>
              </w:rPr>
            </w:pPr>
            <w:r>
              <w:rPr>
                <w:sz w:val="20"/>
                <w:szCs w:val="20"/>
              </w:rPr>
              <w:t>1</w:t>
            </w:r>
          </w:p>
        </w:tc>
        <w:tc>
          <w:tcPr>
            <w:tcW w:w="1080" w:type="dxa"/>
          </w:tcPr>
          <w:p w:rsidRPr="00BB7053" w:rsidR="001667FB" w:rsidP="0041468A" w:rsidRDefault="001667FB" w14:paraId="109D0360" w14:textId="3F879F2B">
            <w:pPr>
              <w:keepNext/>
              <w:keepLines/>
              <w:tabs>
                <w:tab w:val="left" w:pos="6030"/>
              </w:tabs>
              <w:spacing w:line="276" w:lineRule="auto"/>
              <w:jc w:val="right"/>
              <w:rPr>
                <w:sz w:val="20"/>
                <w:szCs w:val="20"/>
              </w:rPr>
            </w:pPr>
            <w:r>
              <w:rPr>
                <w:sz w:val="20"/>
                <w:szCs w:val="20"/>
              </w:rPr>
              <w:t>28</w:t>
            </w:r>
          </w:p>
        </w:tc>
        <w:tc>
          <w:tcPr>
            <w:tcW w:w="1080" w:type="dxa"/>
          </w:tcPr>
          <w:p w:rsidRPr="00BB7053" w:rsidR="001667FB" w:rsidP="0041468A" w:rsidRDefault="001667FB" w14:paraId="729739B6" w14:textId="730760AE">
            <w:pPr>
              <w:keepNext/>
              <w:keepLines/>
              <w:tabs>
                <w:tab w:val="left" w:pos="6030"/>
              </w:tabs>
              <w:spacing w:line="276" w:lineRule="auto"/>
              <w:jc w:val="right"/>
              <w:rPr>
                <w:sz w:val="20"/>
                <w:szCs w:val="20"/>
              </w:rPr>
            </w:pPr>
            <w:r>
              <w:rPr>
                <w:sz w:val="20"/>
                <w:szCs w:val="20"/>
              </w:rPr>
              <w:t>5.5</w:t>
            </w:r>
          </w:p>
        </w:tc>
        <w:tc>
          <w:tcPr>
            <w:tcW w:w="1080" w:type="dxa"/>
          </w:tcPr>
          <w:p w:rsidRPr="00BB7053" w:rsidR="001667FB" w:rsidP="0041468A" w:rsidRDefault="001667FB" w14:paraId="2E8DF208" w14:textId="26D6A653">
            <w:pPr>
              <w:keepNext/>
              <w:keepLines/>
              <w:tabs>
                <w:tab w:val="left" w:pos="6030"/>
              </w:tabs>
              <w:spacing w:line="276" w:lineRule="auto"/>
              <w:jc w:val="right"/>
              <w:rPr>
                <w:sz w:val="20"/>
                <w:szCs w:val="20"/>
              </w:rPr>
            </w:pPr>
            <w:r>
              <w:rPr>
                <w:sz w:val="20"/>
                <w:szCs w:val="20"/>
              </w:rPr>
              <w:t>154</w:t>
            </w:r>
          </w:p>
        </w:tc>
        <w:tc>
          <w:tcPr>
            <w:tcW w:w="1080" w:type="dxa"/>
          </w:tcPr>
          <w:p w:rsidRPr="00BB7053" w:rsidR="001667FB" w:rsidP="0041468A" w:rsidRDefault="001667FB" w14:paraId="168ADA93" w14:textId="0257DF17">
            <w:pPr>
              <w:keepNext/>
              <w:keepLines/>
              <w:tabs>
                <w:tab w:val="left" w:pos="6030"/>
              </w:tabs>
              <w:spacing w:line="276" w:lineRule="auto"/>
              <w:jc w:val="right"/>
              <w:rPr>
                <w:sz w:val="20"/>
                <w:szCs w:val="20"/>
              </w:rPr>
            </w:pPr>
            <w:r>
              <w:rPr>
                <w:sz w:val="20"/>
                <w:szCs w:val="20"/>
              </w:rPr>
              <w:t>Varies</w:t>
            </w:r>
          </w:p>
        </w:tc>
        <w:tc>
          <w:tcPr>
            <w:tcW w:w="1620" w:type="dxa"/>
          </w:tcPr>
          <w:p w:rsidRPr="00BB7053" w:rsidR="001667FB" w:rsidP="0041468A" w:rsidRDefault="001667FB" w14:paraId="67EFFFAF" w14:textId="112AC4B4">
            <w:pPr>
              <w:keepNext/>
              <w:keepLines/>
              <w:tabs>
                <w:tab w:val="left" w:pos="6030"/>
              </w:tabs>
              <w:spacing w:line="276" w:lineRule="auto"/>
              <w:jc w:val="right"/>
              <w:rPr>
                <w:sz w:val="20"/>
                <w:szCs w:val="20"/>
              </w:rPr>
            </w:pPr>
            <w:r>
              <w:rPr>
                <w:sz w:val="20"/>
                <w:szCs w:val="20"/>
              </w:rPr>
              <w:t>30,</w:t>
            </w:r>
            <w:r w:rsidR="003B439B">
              <w:rPr>
                <w:sz w:val="20"/>
                <w:szCs w:val="20"/>
              </w:rPr>
              <w:t>870</w:t>
            </w:r>
          </w:p>
        </w:tc>
      </w:tr>
      <w:tr w:rsidR="001667FB" w:rsidTr="00A56476" w14:paraId="27DB0A68" w14:textId="77777777">
        <w:tc>
          <w:tcPr>
            <w:tcW w:w="1255" w:type="dxa"/>
          </w:tcPr>
          <w:p w:rsidRPr="00BB7053" w:rsidR="001667FB" w:rsidP="00192E2E" w:rsidRDefault="00FA7465" w14:paraId="53007917" w14:textId="26AD9E97">
            <w:pPr>
              <w:keepNext/>
              <w:keepLines/>
              <w:tabs>
                <w:tab w:val="left" w:pos="6030"/>
              </w:tabs>
              <w:spacing w:line="276" w:lineRule="auto"/>
              <w:rPr>
                <w:sz w:val="20"/>
                <w:szCs w:val="20"/>
              </w:rPr>
            </w:pPr>
            <w:r>
              <w:rPr>
                <w:sz w:val="20"/>
                <w:szCs w:val="20"/>
              </w:rPr>
              <w:t>P</w:t>
            </w:r>
            <w:r w:rsidR="00C1024F">
              <w:rPr>
                <w:sz w:val="20"/>
                <w:szCs w:val="20"/>
              </w:rPr>
              <w:t>roposed</w:t>
            </w:r>
            <w:r>
              <w:rPr>
                <w:sz w:val="20"/>
                <w:szCs w:val="20"/>
              </w:rPr>
              <w:t xml:space="preserve"> </w:t>
            </w:r>
            <w:r w:rsidR="0060446C">
              <w:rPr>
                <w:sz w:val="20"/>
                <w:szCs w:val="20"/>
              </w:rPr>
              <w:t xml:space="preserve">(2022 MIPS Performance Period) </w:t>
            </w:r>
            <w:r w:rsidRPr="00A67FD9" w:rsidR="00A67FD9">
              <w:rPr>
                <w:sz w:val="20"/>
                <w:szCs w:val="20"/>
              </w:rPr>
              <w:t>(See Table 1</w:t>
            </w:r>
            <w:r w:rsidR="00DB0131">
              <w:rPr>
                <w:sz w:val="20"/>
                <w:szCs w:val="20"/>
              </w:rPr>
              <w:t>8</w:t>
            </w:r>
            <w:r w:rsidRPr="00A67FD9" w:rsidR="00A67FD9">
              <w:rPr>
                <w:sz w:val="20"/>
                <w:szCs w:val="20"/>
              </w:rPr>
              <w:t>)</w:t>
            </w:r>
          </w:p>
        </w:tc>
        <w:tc>
          <w:tcPr>
            <w:tcW w:w="1260" w:type="dxa"/>
          </w:tcPr>
          <w:p w:rsidRPr="00BB7053" w:rsidR="001667FB" w:rsidP="0041468A" w:rsidRDefault="001667FB" w14:paraId="543246E3" w14:textId="189374DB">
            <w:pPr>
              <w:keepNext/>
              <w:keepLines/>
              <w:tabs>
                <w:tab w:val="left" w:pos="6030"/>
              </w:tabs>
              <w:spacing w:line="276" w:lineRule="auto"/>
              <w:jc w:val="right"/>
              <w:rPr>
                <w:sz w:val="20"/>
                <w:szCs w:val="20"/>
              </w:rPr>
            </w:pPr>
            <w:r>
              <w:rPr>
                <w:sz w:val="20"/>
                <w:szCs w:val="20"/>
              </w:rPr>
              <w:t>28</w:t>
            </w:r>
          </w:p>
        </w:tc>
        <w:tc>
          <w:tcPr>
            <w:tcW w:w="1170" w:type="dxa"/>
          </w:tcPr>
          <w:p w:rsidRPr="00BB7053" w:rsidR="001667FB" w:rsidP="0041468A" w:rsidRDefault="001667FB" w14:paraId="27D66302" w14:textId="72439E7B">
            <w:pPr>
              <w:keepNext/>
              <w:keepLines/>
              <w:tabs>
                <w:tab w:val="left" w:pos="6030"/>
              </w:tabs>
              <w:spacing w:line="276" w:lineRule="auto"/>
              <w:jc w:val="right"/>
              <w:rPr>
                <w:sz w:val="20"/>
                <w:szCs w:val="20"/>
              </w:rPr>
            </w:pPr>
            <w:r>
              <w:rPr>
                <w:sz w:val="20"/>
                <w:szCs w:val="20"/>
              </w:rPr>
              <w:t>1</w:t>
            </w:r>
          </w:p>
        </w:tc>
        <w:tc>
          <w:tcPr>
            <w:tcW w:w="1080" w:type="dxa"/>
          </w:tcPr>
          <w:p w:rsidRPr="00BB7053" w:rsidR="001667FB" w:rsidP="0041468A" w:rsidRDefault="001667FB" w14:paraId="66A116D2" w14:textId="21B9BC19">
            <w:pPr>
              <w:keepNext/>
              <w:keepLines/>
              <w:tabs>
                <w:tab w:val="left" w:pos="6030"/>
              </w:tabs>
              <w:spacing w:line="276" w:lineRule="auto"/>
              <w:jc w:val="right"/>
              <w:rPr>
                <w:sz w:val="20"/>
                <w:szCs w:val="20"/>
              </w:rPr>
            </w:pPr>
            <w:r>
              <w:rPr>
                <w:sz w:val="20"/>
                <w:szCs w:val="20"/>
              </w:rPr>
              <w:t>28</w:t>
            </w:r>
          </w:p>
        </w:tc>
        <w:tc>
          <w:tcPr>
            <w:tcW w:w="1080" w:type="dxa"/>
          </w:tcPr>
          <w:p w:rsidRPr="00BB7053" w:rsidR="001667FB" w:rsidP="0041468A" w:rsidRDefault="001667FB" w14:paraId="4CF560FD" w14:textId="417710CD">
            <w:pPr>
              <w:keepNext/>
              <w:keepLines/>
              <w:tabs>
                <w:tab w:val="left" w:pos="6030"/>
              </w:tabs>
              <w:spacing w:line="276" w:lineRule="auto"/>
              <w:jc w:val="right"/>
              <w:rPr>
                <w:sz w:val="20"/>
                <w:szCs w:val="20"/>
              </w:rPr>
            </w:pPr>
            <w:r>
              <w:rPr>
                <w:sz w:val="20"/>
                <w:szCs w:val="20"/>
              </w:rPr>
              <w:t>5.5</w:t>
            </w:r>
          </w:p>
        </w:tc>
        <w:tc>
          <w:tcPr>
            <w:tcW w:w="1080" w:type="dxa"/>
          </w:tcPr>
          <w:p w:rsidRPr="00BB7053" w:rsidR="001667FB" w:rsidP="0041468A" w:rsidRDefault="001667FB" w14:paraId="7C96968F" w14:textId="2D23FCE9">
            <w:pPr>
              <w:keepNext/>
              <w:keepLines/>
              <w:tabs>
                <w:tab w:val="left" w:pos="6030"/>
              </w:tabs>
              <w:spacing w:line="276" w:lineRule="auto"/>
              <w:jc w:val="right"/>
              <w:rPr>
                <w:sz w:val="20"/>
                <w:szCs w:val="20"/>
              </w:rPr>
            </w:pPr>
            <w:r>
              <w:rPr>
                <w:sz w:val="20"/>
                <w:szCs w:val="20"/>
              </w:rPr>
              <w:t>154</w:t>
            </w:r>
          </w:p>
        </w:tc>
        <w:tc>
          <w:tcPr>
            <w:tcW w:w="1080" w:type="dxa"/>
          </w:tcPr>
          <w:p w:rsidRPr="00BB7053" w:rsidR="001667FB" w:rsidP="0041468A" w:rsidRDefault="001667FB" w14:paraId="381AE52F" w14:textId="1768C789">
            <w:pPr>
              <w:keepNext/>
              <w:keepLines/>
              <w:tabs>
                <w:tab w:val="left" w:pos="6030"/>
              </w:tabs>
              <w:spacing w:line="276" w:lineRule="auto"/>
              <w:jc w:val="right"/>
              <w:rPr>
                <w:sz w:val="20"/>
                <w:szCs w:val="20"/>
              </w:rPr>
            </w:pPr>
            <w:r>
              <w:rPr>
                <w:sz w:val="20"/>
                <w:szCs w:val="20"/>
              </w:rPr>
              <w:t>Varies</w:t>
            </w:r>
          </w:p>
        </w:tc>
        <w:tc>
          <w:tcPr>
            <w:tcW w:w="1620" w:type="dxa"/>
          </w:tcPr>
          <w:p w:rsidRPr="00BB7053" w:rsidR="001667FB" w:rsidP="0041468A" w:rsidRDefault="003B4925" w14:paraId="7AD71204" w14:textId="7F999789">
            <w:pPr>
              <w:keepNext/>
              <w:keepLines/>
              <w:tabs>
                <w:tab w:val="left" w:pos="6030"/>
              </w:tabs>
              <w:spacing w:line="276" w:lineRule="auto"/>
              <w:jc w:val="right"/>
              <w:rPr>
                <w:sz w:val="20"/>
                <w:szCs w:val="20"/>
              </w:rPr>
            </w:pPr>
            <w:r>
              <w:rPr>
                <w:sz w:val="20"/>
                <w:szCs w:val="20"/>
              </w:rPr>
              <w:t>26,54</w:t>
            </w:r>
            <w:r w:rsidR="00A5702B">
              <w:rPr>
                <w:sz w:val="20"/>
                <w:szCs w:val="20"/>
              </w:rPr>
              <w:t>1</w:t>
            </w:r>
          </w:p>
        </w:tc>
      </w:tr>
      <w:tr w:rsidR="001667FB" w:rsidTr="00192E2E" w14:paraId="6BE41D16" w14:textId="77777777">
        <w:tc>
          <w:tcPr>
            <w:tcW w:w="1255" w:type="dxa"/>
            <w:shd w:val="clear" w:color="auto" w:fill="D9D9D9" w:themeFill="background1" w:themeFillShade="D9"/>
          </w:tcPr>
          <w:p w:rsidRPr="00BB7053" w:rsidR="001667FB" w:rsidP="001667FB" w:rsidRDefault="001667FB" w14:paraId="192B0170" w14:textId="77777777">
            <w:pPr>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Pr="00BB7053" w:rsidR="001667FB" w:rsidP="001667FB" w:rsidRDefault="001667FB" w14:paraId="21E2EE5F" w14:textId="727D8DF6">
            <w:pPr>
              <w:tabs>
                <w:tab w:val="left" w:pos="6030"/>
              </w:tabs>
              <w:spacing w:line="276" w:lineRule="auto"/>
              <w:jc w:val="right"/>
              <w:rPr>
                <w:sz w:val="20"/>
                <w:szCs w:val="20"/>
              </w:rPr>
            </w:pPr>
            <w:r>
              <w:rPr>
                <w:sz w:val="20"/>
                <w:szCs w:val="20"/>
              </w:rPr>
              <w:t>No change</w:t>
            </w:r>
          </w:p>
        </w:tc>
        <w:tc>
          <w:tcPr>
            <w:tcW w:w="1170" w:type="dxa"/>
            <w:shd w:val="clear" w:color="auto" w:fill="D9D9D9" w:themeFill="background1" w:themeFillShade="D9"/>
          </w:tcPr>
          <w:p w:rsidRPr="00BB7053" w:rsidR="001667FB" w:rsidP="001667FB" w:rsidRDefault="001667FB" w14:paraId="19DF6D55" w14:textId="2AC93BA7">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667FB" w:rsidP="001667FB" w:rsidRDefault="001667FB" w14:paraId="2B721FE9" w14:textId="400DD54F">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667FB" w:rsidP="001667FB" w:rsidRDefault="001667FB" w14:paraId="543EF2CD" w14:textId="0B5EF566">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667FB" w:rsidP="001667FB" w:rsidRDefault="001667FB" w14:paraId="0DF5956B" w14:textId="7247F7DD">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667FB" w:rsidP="001667FB" w:rsidRDefault="001667FB" w14:paraId="2171CF6A" w14:textId="77AC281A">
            <w:pPr>
              <w:tabs>
                <w:tab w:val="left" w:pos="6030"/>
              </w:tabs>
              <w:spacing w:line="276" w:lineRule="auto"/>
              <w:jc w:val="right"/>
              <w:rPr>
                <w:sz w:val="20"/>
                <w:szCs w:val="20"/>
              </w:rPr>
            </w:pPr>
            <w:r>
              <w:rPr>
                <w:sz w:val="20"/>
                <w:szCs w:val="20"/>
              </w:rPr>
              <w:t>No change</w:t>
            </w:r>
          </w:p>
        </w:tc>
        <w:tc>
          <w:tcPr>
            <w:tcW w:w="1620" w:type="dxa"/>
            <w:shd w:val="clear" w:color="auto" w:fill="D9D9D9" w:themeFill="background1" w:themeFillShade="D9"/>
          </w:tcPr>
          <w:p w:rsidRPr="00BB7053" w:rsidR="001667FB" w:rsidP="001667FB" w:rsidRDefault="00EE4F23" w14:paraId="262EC90F" w14:textId="23D9A87B">
            <w:pPr>
              <w:tabs>
                <w:tab w:val="left" w:pos="6030"/>
              </w:tabs>
              <w:spacing w:line="276" w:lineRule="auto"/>
              <w:jc w:val="right"/>
              <w:rPr>
                <w:sz w:val="20"/>
                <w:szCs w:val="20"/>
              </w:rPr>
            </w:pPr>
            <w:r>
              <w:rPr>
                <w:sz w:val="20"/>
                <w:szCs w:val="20"/>
              </w:rPr>
              <w:t>-$</w:t>
            </w:r>
            <w:r w:rsidR="003B439B">
              <w:rPr>
                <w:sz w:val="20"/>
                <w:szCs w:val="20"/>
              </w:rPr>
              <w:t>4,329</w:t>
            </w:r>
          </w:p>
        </w:tc>
      </w:tr>
    </w:tbl>
    <w:p w:rsidR="00885183" w:rsidP="00BB7053" w:rsidRDefault="00885183" w14:paraId="72DB9BB3" w14:textId="293CD0A0">
      <w:pPr>
        <w:tabs>
          <w:tab w:val="left" w:pos="6030"/>
        </w:tabs>
        <w:spacing w:line="276" w:lineRule="auto"/>
        <w:jc w:val="both"/>
      </w:pPr>
    </w:p>
    <w:p w:rsidR="00885183" w:rsidP="00536031" w:rsidRDefault="00885183" w14:paraId="638A5F8A" w14:textId="6408F0BC">
      <w:pPr>
        <w:keepNext/>
        <w:keepLines/>
        <w:jc w:val="center"/>
        <w:rPr>
          <w:b/>
          <w:bCs/>
        </w:rPr>
      </w:pPr>
      <w:r w:rsidRPr="00B30713">
        <w:rPr>
          <w:rFonts w:eastAsia="Calibri"/>
          <w:b/>
          <w:bCs/>
        </w:rPr>
        <w:t xml:space="preserve">TABLE </w:t>
      </w:r>
      <w:r w:rsidR="00C1361E">
        <w:rPr>
          <w:rFonts w:eastAsia="Calibri"/>
          <w:b/>
          <w:bCs/>
        </w:rPr>
        <w:t>3</w:t>
      </w:r>
      <w:r w:rsidR="00566B1A">
        <w:rPr>
          <w:rFonts w:eastAsia="Calibri"/>
          <w:b/>
          <w:bCs/>
        </w:rPr>
        <w:t>8</w:t>
      </w:r>
      <w:r w:rsidR="00FA460C">
        <w:rPr>
          <w:rFonts w:eastAsia="Calibri"/>
          <w:b/>
          <w:bCs/>
        </w:rPr>
        <w:t>K</w:t>
      </w:r>
      <w:r w:rsidRPr="00B30713">
        <w:rPr>
          <w:rFonts w:eastAsia="Calibri"/>
          <w:b/>
          <w:bCs/>
        </w:rPr>
        <w:t xml:space="preserve">: Burden Reconciliation for </w:t>
      </w:r>
      <w:r w:rsidRPr="00160A32" w:rsidR="00160A32">
        <w:rPr>
          <w:rFonts w:eastAsia="Calibri"/>
          <w:b/>
          <w:bCs/>
        </w:rPr>
        <w:t>Reweighting Applications for Promoting Interoperability and Other Performance Categories</w:t>
      </w:r>
    </w:p>
    <w:tbl>
      <w:tblPr>
        <w:tblStyle w:val="TableGrid"/>
        <w:tblW w:w="9715" w:type="dxa"/>
        <w:tblLook w:val="04A0" w:firstRow="1" w:lastRow="0" w:firstColumn="1" w:lastColumn="0" w:noHBand="0" w:noVBand="1"/>
      </w:tblPr>
      <w:tblGrid>
        <w:gridCol w:w="1254"/>
        <w:gridCol w:w="1306"/>
        <w:gridCol w:w="1168"/>
        <w:gridCol w:w="1094"/>
        <w:gridCol w:w="1077"/>
        <w:gridCol w:w="1069"/>
        <w:gridCol w:w="1066"/>
        <w:gridCol w:w="1681"/>
      </w:tblGrid>
      <w:tr w:rsidR="000D078D" w:rsidTr="003830B0" w14:paraId="05709B71" w14:textId="77777777">
        <w:trPr>
          <w:tblHeader/>
        </w:trPr>
        <w:tc>
          <w:tcPr>
            <w:tcW w:w="1254" w:type="dxa"/>
          </w:tcPr>
          <w:p w:rsidRPr="00173FA2" w:rsidR="00885183" w:rsidP="00536031" w:rsidRDefault="00885183" w14:paraId="4E802CFD"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536031" w:rsidRDefault="00885183" w14:paraId="264AC96B"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536031" w:rsidRDefault="00885183" w14:paraId="1E1DC9BE"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536031" w:rsidRDefault="00885183" w14:paraId="77D13684"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536031" w:rsidRDefault="00885183" w14:paraId="30256482" w14:textId="77777777">
            <w:pPr>
              <w:keepNext/>
              <w:keepLines/>
              <w:tabs>
                <w:tab w:val="left" w:pos="6030"/>
              </w:tabs>
              <w:spacing w:line="276" w:lineRule="auto"/>
              <w:rPr>
                <w:b/>
                <w:bCs/>
                <w:sz w:val="20"/>
                <w:szCs w:val="20"/>
              </w:rPr>
            </w:pPr>
            <w:r w:rsidRPr="00173FA2">
              <w:rPr>
                <w:b/>
                <w:bCs/>
                <w:sz w:val="20"/>
                <w:szCs w:val="20"/>
              </w:rPr>
              <w:t>Time Per Response (hr)</w:t>
            </w:r>
          </w:p>
        </w:tc>
        <w:tc>
          <w:tcPr>
            <w:tcW w:w="1069" w:type="dxa"/>
          </w:tcPr>
          <w:p w:rsidRPr="00173FA2" w:rsidR="00885183" w:rsidP="00536031" w:rsidRDefault="00885183" w14:paraId="258DA120"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6" w:type="dxa"/>
          </w:tcPr>
          <w:p w:rsidRPr="00173FA2" w:rsidR="00885183" w:rsidP="00536031" w:rsidRDefault="00885183" w14:paraId="456B108E"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81" w:type="dxa"/>
          </w:tcPr>
          <w:p w:rsidRPr="00173FA2" w:rsidR="00885183" w:rsidP="00536031" w:rsidRDefault="00885183" w14:paraId="3766FFD0" w14:textId="77777777">
            <w:pPr>
              <w:keepNext/>
              <w:keepLines/>
              <w:tabs>
                <w:tab w:val="left" w:pos="6030"/>
              </w:tabs>
              <w:spacing w:line="276" w:lineRule="auto"/>
              <w:rPr>
                <w:b/>
                <w:bCs/>
                <w:sz w:val="20"/>
                <w:szCs w:val="20"/>
              </w:rPr>
            </w:pPr>
            <w:r w:rsidRPr="00173FA2">
              <w:rPr>
                <w:b/>
                <w:bCs/>
                <w:sz w:val="20"/>
                <w:szCs w:val="20"/>
              </w:rPr>
              <w:t>Total Annual Cost ($)</w:t>
            </w:r>
          </w:p>
        </w:tc>
      </w:tr>
      <w:tr w:rsidR="000D078D" w:rsidTr="003830B0" w14:paraId="774188B8" w14:textId="77777777">
        <w:tc>
          <w:tcPr>
            <w:tcW w:w="1254" w:type="dxa"/>
          </w:tcPr>
          <w:p w:rsidRPr="00BB7053" w:rsidR="001572E5" w:rsidP="001572E5" w:rsidRDefault="001572E5" w14:paraId="4C07FF76" w14:textId="287A05B6">
            <w:pPr>
              <w:tabs>
                <w:tab w:val="left" w:pos="6030"/>
              </w:tabs>
              <w:spacing w:line="276" w:lineRule="auto"/>
              <w:jc w:val="both"/>
              <w:rPr>
                <w:sz w:val="20"/>
                <w:szCs w:val="20"/>
              </w:rPr>
            </w:pPr>
            <w:r>
              <w:rPr>
                <w:sz w:val="20"/>
                <w:szCs w:val="20"/>
              </w:rPr>
              <w:t>Currently Approved</w:t>
            </w:r>
            <w:r w:rsidR="00CC5836">
              <w:rPr>
                <w:sz w:val="20"/>
                <w:szCs w:val="20"/>
              </w:rPr>
              <w:t xml:space="preserve"> </w:t>
            </w:r>
            <w:r w:rsidRPr="00E4635E" w:rsidR="00CC5836">
              <w:rPr>
                <w:bCs/>
                <w:sz w:val="20"/>
                <w:szCs w:val="20"/>
              </w:rPr>
              <w:t>(202</w:t>
            </w:r>
            <w:r w:rsidR="007F4C49">
              <w:rPr>
                <w:bCs/>
                <w:sz w:val="20"/>
                <w:szCs w:val="20"/>
              </w:rPr>
              <w:t>2</w:t>
            </w:r>
            <w:r w:rsidRPr="00E4635E" w:rsidR="00CC5836">
              <w:rPr>
                <w:bCs/>
                <w:sz w:val="20"/>
                <w:szCs w:val="20"/>
              </w:rPr>
              <w:t xml:space="preserve"> MIPS </w:t>
            </w:r>
            <w:r w:rsidRPr="00E4635E" w:rsidR="00CC5836">
              <w:rPr>
                <w:bCs/>
                <w:sz w:val="20"/>
                <w:szCs w:val="20"/>
              </w:rPr>
              <w:lastRenderedPageBreak/>
              <w:t>Performance Period)</w:t>
            </w:r>
          </w:p>
        </w:tc>
        <w:tc>
          <w:tcPr>
            <w:tcW w:w="1306" w:type="dxa"/>
          </w:tcPr>
          <w:p w:rsidRPr="00BB7053" w:rsidR="001572E5" w:rsidP="001572E5" w:rsidRDefault="00272BB1" w14:paraId="69E041A8" w14:textId="0F2DA9BC">
            <w:pPr>
              <w:tabs>
                <w:tab w:val="left" w:pos="6030"/>
              </w:tabs>
              <w:spacing w:line="276" w:lineRule="auto"/>
              <w:jc w:val="right"/>
              <w:rPr>
                <w:sz w:val="20"/>
                <w:szCs w:val="20"/>
              </w:rPr>
            </w:pPr>
            <w:r>
              <w:rPr>
                <w:sz w:val="20"/>
                <w:szCs w:val="20"/>
              </w:rPr>
              <w:lastRenderedPageBreak/>
              <w:t>52</w:t>
            </w:r>
            <w:r w:rsidR="006651BC">
              <w:rPr>
                <w:sz w:val="20"/>
                <w:szCs w:val="20"/>
              </w:rPr>
              <w:t>,</w:t>
            </w:r>
            <w:r>
              <w:rPr>
                <w:sz w:val="20"/>
                <w:szCs w:val="20"/>
              </w:rPr>
              <w:t>099</w:t>
            </w:r>
          </w:p>
        </w:tc>
        <w:tc>
          <w:tcPr>
            <w:tcW w:w="1168" w:type="dxa"/>
          </w:tcPr>
          <w:p w:rsidRPr="00BB7053" w:rsidR="001572E5" w:rsidP="001572E5" w:rsidRDefault="001572E5" w14:paraId="5B43CA88" w14:textId="477E98C2">
            <w:pPr>
              <w:tabs>
                <w:tab w:val="left" w:pos="6030"/>
              </w:tabs>
              <w:spacing w:line="276" w:lineRule="auto"/>
              <w:jc w:val="right"/>
              <w:rPr>
                <w:sz w:val="20"/>
                <w:szCs w:val="20"/>
              </w:rPr>
            </w:pPr>
            <w:r>
              <w:rPr>
                <w:sz w:val="20"/>
                <w:szCs w:val="20"/>
              </w:rPr>
              <w:t>1</w:t>
            </w:r>
          </w:p>
        </w:tc>
        <w:tc>
          <w:tcPr>
            <w:tcW w:w="1094" w:type="dxa"/>
          </w:tcPr>
          <w:p w:rsidRPr="00BB7053" w:rsidR="001572E5" w:rsidP="001572E5" w:rsidRDefault="00B27405" w14:paraId="52BDB0F3" w14:textId="65D549CA">
            <w:pPr>
              <w:tabs>
                <w:tab w:val="left" w:pos="6030"/>
              </w:tabs>
              <w:spacing w:line="276" w:lineRule="auto"/>
              <w:jc w:val="right"/>
              <w:rPr>
                <w:sz w:val="20"/>
                <w:szCs w:val="20"/>
              </w:rPr>
            </w:pPr>
            <w:r>
              <w:rPr>
                <w:sz w:val="20"/>
                <w:szCs w:val="20"/>
              </w:rPr>
              <w:t>52,099</w:t>
            </w:r>
          </w:p>
        </w:tc>
        <w:tc>
          <w:tcPr>
            <w:tcW w:w="1077" w:type="dxa"/>
          </w:tcPr>
          <w:p w:rsidRPr="00BB7053" w:rsidR="001572E5" w:rsidP="001572E5" w:rsidRDefault="001572E5" w14:paraId="523A498C" w14:textId="7392A018">
            <w:pPr>
              <w:tabs>
                <w:tab w:val="left" w:pos="6030"/>
              </w:tabs>
              <w:spacing w:line="276" w:lineRule="auto"/>
              <w:jc w:val="right"/>
              <w:rPr>
                <w:sz w:val="20"/>
                <w:szCs w:val="20"/>
              </w:rPr>
            </w:pPr>
            <w:r>
              <w:rPr>
                <w:sz w:val="20"/>
                <w:szCs w:val="20"/>
              </w:rPr>
              <w:t>0.25</w:t>
            </w:r>
          </w:p>
        </w:tc>
        <w:tc>
          <w:tcPr>
            <w:tcW w:w="1069" w:type="dxa"/>
          </w:tcPr>
          <w:p w:rsidRPr="00BB7053" w:rsidR="001572E5" w:rsidP="001572E5" w:rsidRDefault="00710B28" w14:paraId="21244F96" w14:textId="427CC8F0">
            <w:pPr>
              <w:tabs>
                <w:tab w:val="left" w:pos="6030"/>
              </w:tabs>
              <w:spacing w:line="276" w:lineRule="auto"/>
              <w:jc w:val="right"/>
              <w:rPr>
                <w:sz w:val="20"/>
                <w:szCs w:val="20"/>
              </w:rPr>
            </w:pPr>
            <w:r>
              <w:rPr>
                <w:sz w:val="20"/>
                <w:szCs w:val="20"/>
              </w:rPr>
              <w:t>13,02</w:t>
            </w:r>
            <w:r w:rsidR="009F135B">
              <w:rPr>
                <w:sz w:val="20"/>
                <w:szCs w:val="20"/>
              </w:rPr>
              <w:t>5</w:t>
            </w:r>
          </w:p>
        </w:tc>
        <w:tc>
          <w:tcPr>
            <w:tcW w:w="1066" w:type="dxa"/>
          </w:tcPr>
          <w:p w:rsidRPr="00BB7053" w:rsidR="001572E5" w:rsidP="001572E5" w:rsidRDefault="001572E5" w14:paraId="090DEB29" w14:textId="48357102">
            <w:pPr>
              <w:tabs>
                <w:tab w:val="left" w:pos="6030"/>
              </w:tabs>
              <w:spacing w:line="276" w:lineRule="auto"/>
              <w:jc w:val="right"/>
              <w:rPr>
                <w:sz w:val="20"/>
                <w:szCs w:val="20"/>
              </w:rPr>
            </w:pPr>
            <w:r>
              <w:rPr>
                <w:sz w:val="20"/>
                <w:szCs w:val="20"/>
              </w:rPr>
              <w:t>9</w:t>
            </w:r>
            <w:r w:rsidR="002817E3">
              <w:rPr>
                <w:sz w:val="20"/>
                <w:szCs w:val="20"/>
              </w:rPr>
              <w:t>5.22</w:t>
            </w:r>
          </w:p>
        </w:tc>
        <w:tc>
          <w:tcPr>
            <w:tcW w:w="1681" w:type="dxa"/>
          </w:tcPr>
          <w:p w:rsidRPr="00BB7053" w:rsidR="001572E5" w:rsidP="001572E5" w:rsidRDefault="0067062C" w14:paraId="76034A2D" w14:textId="2E454908">
            <w:pPr>
              <w:tabs>
                <w:tab w:val="left" w:pos="6030"/>
              </w:tabs>
              <w:spacing w:line="276" w:lineRule="auto"/>
              <w:jc w:val="right"/>
              <w:rPr>
                <w:sz w:val="20"/>
                <w:szCs w:val="20"/>
              </w:rPr>
            </w:pPr>
            <w:r>
              <w:rPr>
                <w:sz w:val="20"/>
                <w:szCs w:val="20"/>
              </w:rPr>
              <w:t>1,2</w:t>
            </w:r>
            <w:r w:rsidR="005C3817">
              <w:rPr>
                <w:sz w:val="20"/>
                <w:szCs w:val="20"/>
              </w:rPr>
              <w:t>4</w:t>
            </w:r>
            <w:r w:rsidR="00212E66">
              <w:rPr>
                <w:sz w:val="20"/>
                <w:szCs w:val="20"/>
              </w:rPr>
              <w:t>0</w:t>
            </w:r>
            <w:r w:rsidR="005C3817">
              <w:rPr>
                <w:sz w:val="20"/>
                <w:szCs w:val="20"/>
              </w:rPr>
              <w:t>,2</w:t>
            </w:r>
            <w:r w:rsidR="00212E66">
              <w:rPr>
                <w:sz w:val="20"/>
                <w:szCs w:val="20"/>
              </w:rPr>
              <w:t>41</w:t>
            </w:r>
          </w:p>
        </w:tc>
      </w:tr>
      <w:tr w:rsidR="000D078D" w:rsidTr="003830B0" w14:paraId="5BF76EF4" w14:textId="77777777">
        <w:tc>
          <w:tcPr>
            <w:tcW w:w="1254" w:type="dxa"/>
          </w:tcPr>
          <w:p w:rsidRPr="00BB7053" w:rsidR="001572E5" w:rsidP="00192E2E" w:rsidRDefault="00EE4F23" w14:paraId="2826FC19" w14:textId="6C39CEF0">
            <w:pPr>
              <w:tabs>
                <w:tab w:val="left" w:pos="6030"/>
              </w:tabs>
              <w:spacing w:line="276" w:lineRule="auto"/>
              <w:rPr>
                <w:sz w:val="20"/>
                <w:szCs w:val="20"/>
              </w:rPr>
            </w:pPr>
            <w:r>
              <w:rPr>
                <w:sz w:val="20"/>
                <w:szCs w:val="20"/>
              </w:rPr>
              <w:t>Proposed</w:t>
            </w:r>
            <w:r w:rsidR="0060446C">
              <w:rPr>
                <w:sz w:val="20"/>
                <w:szCs w:val="20"/>
              </w:rPr>
              <w:t xml:space="preserve"> (2022 MIPS Performance Period)</w:t>
            </w:r>
            <w:r>
              <w:rPr>
                <w:sz w:val="20"/>
                <w:szCs w:val="20"/>
              </w:rPr>
              <w:t xml:space="preserve"> </w:t>
            </w:r>
            <w:r w:rsidRPr="00A67FD9" w:rsidR="00A67FD9">
              <w:rPr>
                <w:sz w:val="20"/>
                <w:szCs w:val="20"/>
              </w:rPr>
              <w:t>(See Table 1</w:t>
            </w:r>
            <w:r w:rsidR="002B7713">
              <w:rPr>
                <w:sz w:val="20"/>
                <w:szCs w:val="20"/>
              </w:rPr>
              <w:t>9</w:t>
            </w:r>
            <w:r w:rsidRPr="00A67FD9" w:rsidR="00A67FD9">
              <w:rPr>
                <w:sz w:val="20"/>
                <w:szCs w:val="20"/>
              </w:rPr>
              <w:t>)</w:t>
            </w:r>
          </w:p>
        </w:tc>
        <w:tc>
          <w:tcPr>
            <w:tcW w:w="1306" w:type="dxa"/>
          </w:tcPr>
          <w:p w:rsidRPr="00BB7053" w:rsidR="001572E5" w:rsidP="001572E5" w:rsidRDefault="006651BC" w14:paraId="7AA20B4B" w14:textId="2E583967">
            <w:pPr>
              <w:tabs>
                <w:tab w:val="left" w:pos="6030"/>
              </w:tabs>
              <w:spacing w:line="276" w:lineRule="auto"/>
              <w:jc w:val="right"/>
              <w:rPr>
                <w:sz w:val="20"/>
                <w:szCs w:val="20"/>
              </w:rPr>
            </w:pPr>
            <w:r>
              <w:rPr>
                <w:sz w:val="20"/>
                <w:szCs w:val="20"/>
              </w:rPr>
              <w:t>42,827</w:t>
            </w:r>
          </w:p>
        </w:tc>
        <w:tc>
          <w:tcPr>
            <w:tcW w:w="1168" w:type="dxa"/>
          </w:tcPr>
          <w:p w:rsidRPr="00BB7053" w:rsidR="001572E5" w:rsidP="001572E5" w:rsidRDefault="001572E5" w14:paraId="35982FA3" w14:textId="562B4AA3">
            <w:pPr>
              <w:tabs>
                <w:tab w:val="left" w:pos="6030"/>
              </w:tabs>
              <w:spacing w:line="276" w:lineRule="auto"/>
              <w:jc w:val="right"/>
              <w:rPr>
                <w:sz w:val="20"/>
                <w:szCs w:val="20"/>
              </w:rPr>
            </w:pPr>
            <w:r>
              <w:rPr>
                <w:sz w:val="20"/>
                <w:szCs w:val="20"/>
              </w:rPr>
              <w:t>1</w:t>
            </w:r>
          </w:p>
        </w:tc>
        <w:tc>
          <w:tcPr>
            <w:tcW w:w="1094" w:type="dxa"/>
          </w:tcPr>
          <w:p w:rsidRPr="00BB7053" w:rsidR="001572E5" w:rsidP="001572E5" w:rsidRDefault="00B27405" w14:paraId="2A684F91" w14:textId="099EFD36">
            <w:pPr>
              <w:tabs>
                <w:tab w:val="left" w:pos="6030"/>
              </w:tabs>
              <w:spacing w:line="276" w:lineRule="auto"/>
              <w:jc w:val="right"/>
              <w:rPr>
                <w:sz w:val="20"/>
                <w:szCs w:val="20"/>
              </w:rPr>
            </w:pPr>
            <w:r>
              <w:rPr>
                <w:sz w:val="20"/>
                <w:szCs w:val="20"/>
              </w:rPr>
              <w:t>42,827</w:t>
            </w:r>
          </w:p>
        </w:tc>
        <w:tc>
          <w:tcPr>
            <w:tcW w:w="1077" w:type="dxa"/>
          </w:tcPr>
          <w:p w:rsidRPr="00BB7053" w:rsidR="001572E5" w:rsidP="001572E5" w:rsidRDefault="001572E5" w14:paraId="7EC12EDC" w14:textId="17D66708">
            <w:pPr>
              <w:tabs>
                <w:tab w:val="left" w:pos="6030"/>
              </w:tabs>
              <w:spacing w:line="276" w:lineRule="auto"/>
              <w:jc w:val="right"/>
              <w:rPr>
                <w:sz w:val="20"/>
                <w:szCs w:val="20"/>
              </w:rPr>
            </w:pPr>
            <w:r>
              <w:rPr>
                <w:sz w:val="20"/>
                <w:szCs w:val="20"/>
              </w:rPr>
              <w:t>0.25</w:t>
            </w:r>
          </w:p>
        </w:tc>
        <w:tc>
          <w:tcPr>
            <w:tcW w:w="1069" w:type="dxa"/>
          </w:tcPr>
          <w:p w:rsidRPr="00BB7053" w:rsidR="001572E5" w:rsidP="001572E5" w:rsidRDefault="001572E5" w14:paraId="542FAF2C" w14:textId="3364BD76">
            <w:pPr>
              <w:tabs>
                <w:tab w:val="left" w:pos="6030"/>
              </w:tabs>
              <w:spacing w:line="276" w:lineRule="auto"/>
              <w:jc w:val="right"/>
              <w:rPr>
                <w:sz w:val="20"/>
                <w:szCs w:val="20"/>
              </w:rPr>
            </w:pPr>
            <w:r>
              <w:rPr>
                <w:sz w:val="20"/>
                <w:szCs w:val="20"/>
              </w:rPr>
              <w:t>1</w:t>
            </w:r>
            <w:r w:rsidR="002817E3">
              <w:rPr>
                <w:sz w:val="20"/>
                <w:szCs w:val="20"/>
              </w:rPr>
              <w:t>0,707</w:t>
            </w:r>
          </w:p>
        </w:tc>
        <w:tc>
          <w:tcPr>
            <w:tcW w:w="1066" w:type="dxa"/>
          </w:tcPr>
          <w:p w:rsidRPr="00BB7053" w:rsidR="001572E5" w:rsidP="001572E5" w:rsidRDefault="001572E5" w14:paraId="44601190" w14:textId="3AC51E3A">
            <w:pPr>
              <w:tabs>
                <w:tab w:val="left" w:pos="6030"/>
              </w:tabs>
              <w:spacing w:line="276" w:lineRule="auto"/>
              <w:jc w:val="right"/>
              <w:rPr>
                <w:sz w:val="20"/>
                <w:szCs w:val="20"/>
              </w:rPr>
            </w:pPr>
            <w:r>
              <w:rPr>
                <w:sz w:val="20"/>
                <w:szCs w:val="20"/>
              </w:rPr>
              <w:t>9</w:t>
            </w:r>
            <w:r w:rsidR="002817E3">
              <w:rPr>
                <w:sz w:val="20"/>
                <w:szCs w:val="20"/>
              </w:rPr>
              <w:t>5.22</w:t>
            </w:r>
          </w:p>
        </w:tc>
        <w:tc>
          <w:tcPr>
            <w:tcW w:w="1681" w:type="dxa"/>
          </w:tcPr>
          <w:p w:rsidRPr="00BB7053" w:rsidR="001572E5" w:rsidP="001572E5" w:rsidRDefault="001572E5" w14:paraId="348E8E57" w14:textId="330F88AE">
            <w:pPr>
              <w:tabs>
                <w:tab w:val="left" w:pos="6030"/>
              </w:tabs>
              <w:spacing w:line="276" w:lineRule="auto"/>
              <w:jc w:val="right"/>
              <w:rPr>
                <w:sz w:val="20"/>
                <w:szCs w:val="20"/>
              </w:rPr>
            </w:pPr>
            <w:r>
              <w:rPr>
                <w:sz w:val="20"/>
                <w:szCs w:val="20"/>
              </w:rPr>
              <w:t>1,</w:t>
            </w:r>
            <w:r w:rsidR="00F07AF1">
              <w:rPr>
                <w:sz w:val="20"/>
                <w:szCs w:val="20"/>
              </w:rPr>
              <w:t>019,</w:t>
            </w:r>
            <w:r w:rsidR="005C3817">
              <w:rPr>
                <w:sz w:val="20"/>
                <w:szCs w:val="20"/>
              </w:rPr>
              <w:t>521</w:t>
            </w:r>
          </w:p>
        </w:tc>
      </w:tr>
      <w:tr w:rsidR="002817E3" w:rsidTr="003830B0" w14:paraId="19427EC9" w14:textId="77777777">
        <w:tc>
          <w:tcPr>
            <w:tcW w:w="1254" w:type="dxa"/>
            <w:shd w:val="clear" w:color="auto" w:fill="D9D9D9" w:themeFill="background1" w:themeFillShade="D9"/>
          </w:tcPr>
          <w:p w:rsidRPr="00BB7053" w:rsidR="001572E5" w:rsidP="001572E5" w:rsidRDefault="001572E5" w14:paraId="3E686E31"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00B27405" w:rsidP="001572E5" w:rsidRDefault="00B27405" w14:paraId="321089FC" w14:textId="77777777">
            <w:pPr>
              <w:tabs>
                <w:tab w:val="left" w:pos="6030"/>
              </w:tabs>
              <w:spacing w:line="276" w:lineRule="auto"/>
              <w:jc w:val="right"/>
              <w:rPr>
                <w:sz w:val="20"/>
                <w:szCs w:val="20"/>
              </w:rPr>
            </w:pPr>
            <w:r>
              <w:rPr>
                <w:sz w:val="20"/>
                <w:szCs w:val="20"/>
              </w:rPr>
              <w:t>-9,272</w:t>
            </w:r>
          </w:p>
          <w:p w:rsidRPr="00BB7053" w:rsidR="001572E5" w:rsidP="001572E5" w:rsidRDefault="001572E5" w14:paraId="475828B0" w14:textId="258A276B">
            <w:pPr>
              <w:tabs>
                <w:tab w:val="left" w:pos="6030"/>
              </w:tabs>
              <w:spacing w:line="276" w:lineRule="auto"/>
              <w:jc w:val="right"/>
              <w:rPr>
                <w:sz w:val="20"/>
                <w:szCs w:val="20"/>
              </w:rPr>
            </w:pPr>
          </w:p>
        </w:tc>
        <w:tc>
          <w:tcPr>
            <w:tcW w:w="1168" w:type="dxa"/>
            <w:shd w:val="clear" w:color="auto" w:fill="D9D9D9" w:themeFill="background1" w:themeFillShade="D9"/>
          </w:tcPr>
          <w:p w:rsidRPr="00BB7053" w:rsidR="001572E5" w:rsidP="001572E5" w:rsidRDefault="001572E5" w14:paraId="1C1DCE71" w14:textId="1F912627">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000D078D" w:rsidP="001572E5" w:rsidRDefault="000D078D" w14:paraId="5FC81D22" w14:textId="77777777">
            <w:pPr>
              <w:tabs>
                <w:tab w:val="left" w:pos="6030"/>
              </w:tabs>
              <w:spacing w:line="276" w:lineRule="auto"/>
              <w:jc w:val="right"/>
              <w:rPr>
                <w:sz w:val="20"/>
                <w:szCs w:val="20"/>
              </w:rPr>
            </w:pPr>
            <w:r>
              <w:rPr>
                <w:sz w:val="20"/>
                <w:szCs w:val="20"/>
              </w:rPr>
              <w:t>-9,272</w:t>
            </w:r>
          </w:p>
          <w:p w:rsidRPr="00BB7053" w:rsidR="001572E5" w:rsidP="001572E5" w:rsidRDefault="001572E5" w14:paraId="3E858B1C" w14:textId="4016FA87">
            <w:pPr>
              <w:tabs>
                <w:tab w:val="left" w:pos="6030"/>
              </w:tabs>
              <w:spacing w:line="276" w:lineRule="auto"/>
              <w:jc w:val="right"/>
              <w:rPr>
                <w:sz w:val="20"/>
                <w:szCs w:val="20"/>
              </w:rPr>
            </w:pPr>
          </w:p>
        </w:tc>
        <w:tc>
          <w:tcPr>
            <w:tcW w:w="1077" w:type="dxa"/>
            <w:shd w:val="clear" w:color="auto" w:fill="D9D9D9" w:themeFill="background1" w:themeFillShade="D9"/>
          </w:tcPr>
          <w:p w:rsidRPr="00BB7053" w:rsidR="001572E5" w:rsidP="001572E5" w:rsidRDefault="001572E5" w14:paraId="243684A5" w14:textId="42FFA655">
            <w:pPr>
              <w:tabs>
                <w:tab w:val="left" w:pos="6030"/>
              </w:tabs>
              <w:spacing w:line="276" w:lineRule="auto"/>
              <w:jc w:val="right"/>
              <w:rPr>
                <w:sz w:val="20"/>
                <w:szCs w:val="20"/>
              </w:rPr>
            </w:pPr>
            <w:r>
              <w:rPr>
                <w:sz w:val="20"/>
                <w:szCs w:val="20"/>
              </w:rPr>
              <w:t>No change</w:t>
            </w:r>
          </w:p>
        </w:tc>
        <w:tc>
          <w:tcPr>
            <w:tcW w:w="1069" w:type="dxa"/>
            <w:shd w:val="clear" w:color="auto" w:fill="D9D9D9" w:themeFill="background1" w:themeFillShade="D9"/>
          </w:tcPr>
          <w:p w:rsidR="000D078D" w:rsidP="001572E5" w:rsidRDefault="000D078D" w14:paraId="14838D84" w14:textId="77777777">
            <w:pPr>
              <w:tabs>
                <w:tab w:val="left" w:pos="6030"/>
              </w:tabs>
              <w:spacing w:line="276" w:lineRule="auto"/>
              <w:jc w:val="right"/>
              <w:rPr>
                <w:sz w:val="20"/>
                <w:szCs w:val="20"/>
              </w:rPr>
            </w:pPr>
            <w:r>
              <w:rPr>
                <w:sz w:val="20"/>
                <w:szCs w:val="20"/>
              </w:rPr>
              <w:t>-2,318</w:t>
            </w:r>
          </w:p>
          <w:p w:rsidRPr="00BB7053" w:rsidR="001572E5" w:rsidP="001572E5" w:rsidRDefault="001572E5" w14:paraId="5A8B6EC1" w14:textId="4C95F1E5">
            <w:pPr>
              <w:tabs>
                <w:tab w:val="left" w:pos="6030"/>
              </w:tabs>
              <w:spacing w:line="276" w:lineRule="auto"/>
              <w:jc w:val="right"/>
              <w:rPr>
                <w:sz w:val="20"/>
                <w:szCs w:val="20"/>
              </w:rPr>
            </w:pPr>
          </w:p>
        </w:tc>
        <w:tc>
          <w:tcPr>
            <w:tcW w:w="1066" w:type="dxa"/>
            <w:shd w:val="clear" w:color="auto" w:fill="D9D9D9" w:themeFill="background1" w:themeFillShade="D9"/>
          </w:tcPr>
          <w:p w:rsidRPr="00BB7053" w:rsidR="001572E5" w:rsidP="001572E5" w:rsidRDefault="001572E5" w14:paraId="3224C086" w14:textId="1EC3658A">
            <w:pPr>
              <w:tabs>
                <w:tab w:val="left" w:pos="6030"/>
              </w:tabs>
              <w:spacing w:line="276" w:lineRule="auto"/>
              <w:jc w:val="right"/>
              <w:rPr>
                <w:sz w:val="20"/>
                <w:szCs w:val="20"/>
              </w:rPr>
            </w:pPr>
            <w:r>
              <w:rPr>
                <w:sz w:val="20"/>
                <w:szCs w:val="20"/>
              </w:rPr>
              <w:t>No change</w:t>
            </w:r>
          </w:p>
        </w:tc>
        <w:tc>
          <w:tcPr>
            <w:tcW w:w="1681" w:type="dxa"/>
            <w:shd w:val="clear" w:color="auto" w:fill="D9D9D9" w:themeFill="background1" w:themeFillShade="D9"/>
          </w:tcPr>
          <w:p w:rsidRPr="00BB7053" w:rsidR="001572E5" w:rsidP="001572E5" w:rsidRDefault="002E1441" w14:paraId="46FAA96C" w14:textId="04B363CD">
            <w:pPr>
              <w:tabs>
                <w:tab w:val="left" w:pos="6030"/>
              </w:tabs>
              <w:spacing w:line="276" w:lineRule="auto"/>
              <w:jc w:val="right"/>
              <w:rPr>
                <w:sz w:val="20"/>
                <w:szCs w:val="20"/>
              </w:rPr>
            </w:pPr>
            <w:r>
              <w:rPr>
                <w:sz w:val="20"/>
                <w:szCs w:val="20"/>
              </w:rPr>
              <w:t>-</w:t>
            </w:r>
            <w:r w:rsidR="00775B37">
              <w:rPr>
                <w:sz w:val="20"/>
                <w:szCs w:val="20"/>
              </w:rPr>
              <w:t>220,720</w:t>
            </w:r>
          </w:p>
        </w:tc>
      </w:tr>
    </w:tbl>
    <w:p w:rsidR="00885183" w:rsidP="00BB7053" w:rsidRDefault="00885183" w14:paraId="1D1C58E1" w14:textId="2706A3BD">
      <w:pPr>
        <w:tabs>
          <w:tab w:val="left" w:pos="6030"/>
        </w:tabs>
        <w:spacing w:line="276" w:lineRule="auto"/>
        <w:jc w:val="both"/>
      </w:pPr>
    </w:p>
    <w:p w:rsidR="00885183" w:rsidP="00657E0A" w:rsidRDefault="00885183" w14:paraId="379B1730" w14:textId="46257676">
      <w:pPr>
        <w:keepNext/>
        <w:keepLines/>
        <w:jc w:val="center"/>
        <w:rPr>
          <w:b/>
          <w:bCs/>
        </w:rPr>
      </w:pPr>
      <w:r w:rsidRPr="00B30713">
        <w:rPr>
          <w:rFonts w:eastAsia="Calibri"/>
          <w:b/>
          <w:bCs/>
        </w:rPr>
        <w:t xml:space="preserve">TABLE </w:t>
      </w:r>
      <w:r w:rsidR="00C1361E">
        <w:rPr>
          <w:rFonts w:eastAsia="Calibri"/>
          <w:b/>
          <w:bCs/>
        </w:rPr>
        <w:t>3</w:t>
      </w:r>
      <w:r w:rsidR="00CB0E2C">
        <w:rPr>
          <w:rFonts w:eastAsia="Calibri"/>
          <w:b/>
          <w:bCs/>
        </w:rPr>
        <w:t>8</w:t>
      </w:r>
      <w:r w:rsidR="00FA460C">
        <w:rPr>
          <w:rFonts w:eastAsia="Calibri"/>
          <w:b/>
          <w:bCs/>
        </w:rPr>
        <w:t>L</w:t>
      </w:r>
      <w:r w:rsidRPr="00B30713">
        <w:rPr>
          <w:rFonts w:eastAsia="Calibri"/>
          <w:b/>
          <w:bCs/>
        </w:rPr>
        <w:t xml:space="preserve">: Burden Reconciliation for </w:t>
      </w:r>
      <w:r w:rsidRPr="002B4E2D" w:rsidR="002B4E2D">
        <w:rPr>
          <w:rFonts w:eastAsia="Calibri"/>
          <w:b/>
          <w:bCs/>
        </w:rPr>
        <w:t>Promoting Interoperability Performance Category Data Submission</w:t>
      </w:r>
    </w:p>
    <w:tbl>
      <w:tblPr>
        <w:tblStyle w:val="TableGrid"/>
        <w:tblW w:w="9715" w:type="dxa"/>
        <w:tblLayout w:type="fixed"/>
        <w:tblLook w:val="04A0" w:firstRow="1" w:lastRow="0" w:firstColumn="1" w:lastColumn="0" w:noHBand="0" w:noVBand="1"/>
      </w:tblPr>
      <w:tblGrid>
        <w:gridCol w:w="1238"/>
        <w:gridCol w:w="1306"/>
        <w:gridCol w:w="1127"/>
        <w:gridCol w:w="1094"/>
        <w:gridCol w:w="1017"/>
        <w:gridCol w:w="1166"/>
        <w:gridCol w:w="783"/>
        <w:gridCol w:w="1984"/>
      </w:tblGrid>
      <w:tr w:rsidR="00E14979" w:rsidTr="003830B0" w14:paraId="4359804C" w14:textId="77777777">
        <w:trPr>
          <w:tblHeader/>
        </w:trPr>
        <w:tc>
          <w:tcPr>
            <w:tcW w:w="1238" w:type="dxa"/>
          </w:tcPr>
          <w:p w:rsidRPr="00173FA2" w:rsidR="00885183" w:rsidP="00657E0A" w:rsidRDefault="00885183" w14:paraId="53D56C7F"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657E0A" w:rsidRDefault="00885183" w14:paraId="3DB018BB"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27" w:type="dxa"/>
          </w:tcPr>
          <w:p w:rsidRPr="00173FA2" w:rsidR="00885183" w:rsidP="00657E0A" w:rsidRDefault="00885183" w14:paraId="27B19A8C"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657E0A" w:rsidRDefault="00885183" w14:paraId="6382B3D1"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17" w:type="dxa"/>
          </w:tcPr>
          <w:p w:rsidRPr="00173FA2" w:rsidR="00885183" w:rsidP="00657E0A" w:rsidRDefault="00885183" w14:paraId="2839334B" w14:textId="77777777">
            <w:pPr>
              <w:keepNext/>
              <w:keepLines/>
              <w:tabs>
                <w:tab w:val="left" w:pos="6030"/>
              </w:tabs>
              <w:spacing w:line="276" w:lineRule="auto"/>
              <w:rPr>
                <w:b/>
                <w:bCs/>
                <w:sz w:val="20"/>
                <w:szCs w:val="20"/>
              </w:rPr>
            </w:pPr>
            <w:r w:rsidRPr="00173FA2">
              <w:rPr>
                <w:b/>
                <w:bCs/>
                <w:sz w:val="20"/>
                <w:szCs w:val="20"/>
              </w:rPr>
              <w:t>Time Per Response (hr)</w:t>
            </w:r>
          </w:p>
        </w:tc>
        <w:tc>
          <w:tcPr>
            <w:tcW w:w="1166" w:type="dxa"/>
          </w:tcPr>
          <w:p w:rsidRPr="00173FA2" w:rsidR="00885183" w:rsidP="00657E0A" w:rsidRDefault="00885183" w14:paraId="357179F8"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783" w:type="dxa"/>
          </w:tcPr>
          <w:p w:rsidRPr="00173FA2" w:rsidR="00885183" w:rsidP="00657E0A" w:rsidRDefault="00885183" w14:paraId="5D6101FF"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984" w:type="dxa"/>
          </w:tcPr>
          <w:p w:rsidRPr="00173FA2" w:rsidR="00885183" w:rsidP="00657E0A" w:rsidRDefault="00885183" w14:paraId="6D968AD8" w14:textId="77777777">
            <w:pPr>
              <w:keepNext/>
              <w:keepLines/>
              <w:tabs>
                <w:tab w:val="left" w:pos="6030"/>
              </w:tabs>
              <w:spacing w:line="276" w:lineRule="auto"/>
              <w:rPr>
                <w:b/>
                <w:bCs/>
                <w:sz w:val="20"/>
                <w:szCs w:val="20"/>
              </w:rPr>
            </w:pPr>
            <w:r w:rsidRPr="00173FA2">
              <w:rPr>
                <w:b/>
                <w:bCs/>
                <w:sz w:val="20"/>
                <w:szCs w:val="20"/>
              </w:rPr>
              <w:t>Total Annual Cost ($)</w:t>
            </w:r>
          </w:p>
        </w:tc>
      </w:tr>
      <w:tr w:rsidR="00E14979" w:rsidTr="003830B0" w14:paraId="4AA5E1C6" w14:textId="77777777">
        <w:tc>
          <w:tcPr>
            <w:tcW w:w="1238" w:type="dxa"/>
          </w:tcPr>
          <w:p w:rsidRPr="00BB7053" w:rsidR="009971ED" w:rsidP="009971ED" w:rsidRDefault="009971ED" w14:paraId="5B9BB8F4" w14:textId="00C4B365">
            <w:pPr>
              <w:tabs>
                <w:tab w:val="left" w:pos="6030"/>
              </w:tabs>
              <w:spacing w:line="276" w:lineRule="auto"/>
              <w:jc w:val="both"/>
              <w:rPr>
                <w:sz w:val="20"/>
                <w:szCs w:val="20"/>
              </w:rPr>
            </w:pPr>
            <w:r>
              <w:rPr>
                <w:sz w:val="20"/>
                <w:szCs w:val="20"/>
              </w:rPr>
              <w:t>Currently Approved</w:t>
            </w:r>
            <w:r w:rsidR="005348CC">
              <w:rPr>
                <w:sz w:val="20"/>
                <w:szCs w:val="20"/>
              </w:rPr>
              <w:t xml:space="preserve"> </w:t>
            </w:r>
            <w:r w:rsidRPr="00E4635E" w:rsidR="005348CC">
              <w:rPr>
                <w:bCs/>
                <w:sz w:val="20"/>
                <w:szCs w:val="20"/>
              </w:rPr>
              <w:t>(202</w:t>
            </w:r>
            <w:r w:rsidR="005348CC">
              <w:rPr>
                <w:bCs/>
                <w:sz w:val="20"/>
                <w:szCs w:val="20"/>
              </w:rPr>
              <w:t>2</w:t>
            </w:r>
            <w:r w:rsidRPr="00E4635E" w:rsidR="005348CC">
              <w:rPr>
                <w:bCs/>
                <w:sz w:val="20"/>
                <w:szCs w:val="20"/>
              </w:rPr>
              <w:t xml:space="preserve"> MIPS Performance Period)</w:t>
            </w:r>
          </w:p>
        </w:tc>
        <w:tc>
          <w:tcPr>
            <w:tcW w:w="1306" w:type="dxa"/>
          </w:tcPr>
          <w:p w:rsidRPr="00BB7053" w:rsidR="009971ED" w:rsidP="009971ED" w:rsidRDefault="003D05B2" w14:paraId="00133E37" w14:textId="3C05177B">
            <w:pPr>
              <w:tabs>
                <w:tab w:val="left" w:pos="6030"/>
              </w:tabs>
              <w:spacing w:line="276" w:lineRule="auto"/>
              <w:jc w:val="right"/>
              <w:rPr>
                <w:sz w:val="20"/>
                <w:szCs w:val="20"/>
              </w:rPr>
            </w:pPr>
            <w:r>
              <w:rPr>
                <w:sz w:val="20"/>
                <w:szCs w:val="20"/>
              </w:rPr>
              <w:t>53,636</w:t>
            </w:r>
          </w:p>
        </w:tc>
        <w:tc>
          <w:tcPr>
            <w:tcW w:w="1127" w:type="dxa"/>
          </w:tcPr>
          <w:p w:rsidRPr="00BB7053" w:rsidR="009971ED" w:rsidP="009971ED" w:rsidRDefault="009971ED" w14:paraId="7D4661B9" w14:textId="36DBF6C7">
            <w:pPr>
              <w:tabs>
                <w:tab w:val="left" w:pos="6030"/>
              </w:tabs>
              <w:spacing w:line="276" w:lineRule="auto"/>
              <w:jc w:val="right"/>
              <w:rPr>
                <w:sz w:val="20"/>
                <w:szCs w:val="20"/>
              </w:rPr>
            </w:pPr>
            <w:r>
              <w:rPr>
                <w:sz w:val="20"/>
                <w:szCs w:val="20"/>
              </w:rPr>
              <w:t>1</w:t>
            </w:r>
          </w:p>
        </w:tc>
        <w:tc>
          <w:tcPr>
            <w:tcW w:w="1094" w:type="dxa"/>
          </w:tcPr>
          <w:p w:rsidRPr="00BB7053" w:rsidR="009971ED" w:rsidP="009971ED" w:rsidRDefault="003D05B2" w14:paraId="101FFAAF" w14:textId="2A628B06">
            <w:pPr>
              <w:tabs>
                <w:tab w:val="left" w:pos="6030"/>
              </w:tabs>
              <w:spacing w:line="276" w:lineRule="auto"/>
              <w:jc w:val="right"/>
              <w:rPr>
                <w:sz w:val="20"/>
                <w:szCs w:val="20"/>
              </w:rPr>
            </w:pPr>
            <w:r>
              <w:rPr>
                <w:sz w:val="20"/>
                <w:szCs w:val="20"/>
              </w:rPr>
              <w:t>53,636</w:t>
            </w:r>
          </w:p>
        </w:tc>
        <w:tc>
          <w:tcPr>
            <w:tcW w:w="1017" w:type="dxa"/>
          </w:tcPr>
          <w:p w:rsidRPr="00BB7053" w:rsidR="009971ED" w:rsidP="009971ED" w:rsidRDefault="009971ED" w14:paraId="35E0D23C" w14:textId="7C4A3BC1">
            <w:pPr>
              <w:tabs>
                <w:tab w:val="left" w:pos="6030"/>
              </w:tabs>
              <w:spacing w:line="276" w:lineRule="auto"/>
              <w:jc w:val="right"/>
              <w:rPr>
                <w:sz w:val="20"/>
                <w:szCs w:val="20"/>
              </w:rPr>
            </w:pPr>
            <w:r>
              <w:rPr>
                <w:sz w:val="20"/>
                <w:szCs w:val="20"/>
              </w:rPr>
              <w:t>2.67</w:t>
            </w:r>
          </w:p>
        </w:tc>
        <w:tc>
          <w:tcPr>
            <w:tcW w:w="1166" w:type="dxa"/>
          </w:tcPr>
          <w:p w:rsidRPr="00BB7053" w:rsidR="009971ED" w:rsidP="009971ED" w:rsidRDefault="00E14979" w14:paraId="0CEE064A" w14:textId="1522D3E1">
            <w:pPr>
              <w:tabs>
                <w:tab w:val="left" w:pos="6030"/>
              </w:tabs>
              <w:spacing w:line="276" w:lineRule="auto"/>
              <w:jc w:val="right"/>
              <w:rPr>
                <w:sz w:val="20"/>
                <w:szCs w:val="20"/>
              </w:rPr>
            </w:pPr>
            <w:r>
              <w:rPr>
                <w:sz w:val="20"/>
                <w:szCs w:val="20"/>
              </w:rPr>
              <w:t>143,</w:t>
            </w:r>
            <w:r w:rsidR="00EC0016">
              <w:rPr>
                <w:sz w:val="20"/>
                <w:szCs w:val="20"/>
              </w:rPr>
              <w:t>208</w:t>
            </w:r>
          </w:p>
        </w:tc>
        <w:tc>
          <w:tcPr>
            <w:tcW w:w="783" w:type="dxa"/>
          </w:tcPr>
          <w:p w:rsidRPr="00BB7053" w:rsidR="009971ED" w:rsidP="009971ED" w:rsidRDefault="009971ED" w14:paraId="22740B18" w14:textId="33099CD7">
            <w:pPr>
              <w:tabs>
                <w:tab w:val="left" w:pos="6030"/>
              </w:tabs>
              <w:spacing w:line="276" w:lineRule="auto"/>
              <w:jc w:val="right"/>
              <w:rPr>
                <w:sz w:val="20"/>
                <w:szCs w:val="20"/>
              </w:rPr>
            </w:pPr>
            <w:r>
              <w:rPr>
                <w:sz w:val="20"/>
                <w:szCs w:val="20"/>
              </w:rPr>
              <w:t>9</w:t>
            </w:r>
            <w:r w:rsidR="00E14979">
              <w:rPr>
                <w:sz w:val="20"/>
                <w:szCs w:val="20"/>
              </w:rPr>
              <w:t>5.22</w:t>
            </w:r>
          </w:p>
        </w:tc>
        <w:tc>
          <w:tcPr>
            <w:tcW w:w="1984" w:type="dxa"/>
          </w:tcPr>
          <w:p w:rsidRPr="00BB7053" w:rsidR="009971ED" w:rsidP="009971ED" w:rsidRDefault="00EC0016" w14:paraId="58DA52C3" w14:textId="1B76B3B3">
            <w:pPr>
              <w:tabs>
                <w:tab w:val="left" w:pos="6030"/>
              </w:tabs>
              <w:spacing w:line="276" w:lineRule="auto"/>
              <w:jc w:val="right"/>
              <w:rPr>
                <w:sz w:val="20"/>
                <w:szCs w:val="20"/>
              </w:rPr>
            </w:pPr>
            <w:r>
              <w:rPr>
                <w:sz w:val="20"/>
                <w:szCs w:val="20"/>
              </w:rPr>
              <w:t>13,636</w:t>
            </w:r>
            <w:r w:rsidR="00AA499A">
              <w:rPr>
                <w:sz w:val="20"/>
                <w:szCs w:val="20"/>
              </w:rPr>
              <w:t>,266</w:t>
            </w:r>
          </w:p>
        </w:tc>
      </w:tr>
      <w:tr w:rsidR="00E14979" w:rsidTr="003830B0" w14:paraId="5E7EB5F7" w14:textId="77777777">
        <w:tc>
          <w:tcPr>
            <w:tcW w:w="1238" w:type="dxa"/>
          </w:tcPr>
          <w:p w:rsidRPr="00BB7053" w:rsidR="009971ED" w:rsidP="00192E2E" w:rsidRDefault="00B747F7" w14:paraId="58D34816" w14:textId="14FBA813">
            <w:pPr>
              <w:tabs>
                <w:tab w:val="left" w:pos="6030"/>
              </w:tabs>
              <w:spacing w:line="276" w:lineRule="auto"/>
              <w:rPr>
                <w:sz w:val="20"/>
                <w:szCs w:val="20"/>
              </w:rPr>
            </w:pPr>
            <w:r>
              <w:rPr>
                <w:sz w:val="20"/>
                <w:szCs w:val="20"/>
              </w:rPr>
              <w:t>Proposed</w:t>
            </w:r>
            <w:r w:rsidR="00186874">
              <w:rPr>
                <w:sz w:val="20"/>
                <w:szCs w:val="20"/>
              </w:rPr>
              <w:t xml:space="preserve"> (2022</w:t>
            </w:r>
            <w:r w:rsidR="0060446C">
              <w:rPr>
                <w:sz w:val="20"/>
                <w:szCs w:val="20"/>
              </w:rPr>
              <w:t xml:space="preserve"> MIPS Performance Period</w:t>
            </w:r>
            <w:r w:rsidR="00186874">
              <w:rPr>
                <w:sz w:val="20"/>
                <w:szCs w:val="20"/>
              </w:rPr>
              <w:t>)</w:t>
            </w:r>
            <w:r w:rsidR="00A67FD9">
              <w:rPr>
                <w:sz w:val="20"/>
                <w:szCs w:val="20"/>
              </w:rPr>
              <w:t xml:space="preserve"> </w:t>
            </w:r>
            <w:r w:rsidRPr="00A67FD9" w:rsidR="00A67FD9">
              <w:rPr>
                <w:sz w:val="20"/>
                <w:szCs w:val="20"/>
              </w:rPr>
              <w:t xml:space="preserve">(See Table </w:t>
            </w:r>
            <w:r w:rsidR="007D7F82">
              <w:rPr>
                <w:sz w:val="20"/>
                <w:szCs w:val="20"/>
              </w:rPr>
              <w:t>21</w:t>
            </w:r>
            <w:r w:rsidRPr="00A67FD9" w:rsidR="00A67FD9">
              <w:rPr>
                <w:sz w:val="20"/>
                <w:szCs w:val="20"/>
              </w:rPr>
              <w:t>)</w:t>
            </w:r>
          </w:p>
        </w:tc>
        <w:tc>
          <w:tcPr>
            <w:tcW w:w="1306" w:type="dxa"/>
          </w:tcPr>
          <w:p w:rsidRPr="00BB7053" w:rsidR="009971ED" w:rsidP="009971ED" w:rsidRDefault="00626393" w14:paraId="3C81680F" w14:textId="796E6DD2">
            <w:pPr>
              <w:tabs>
                <w:tab w:val="left" w:pos="6030"/>
              </w:tabs>
              <w:spacing w:line="276" w:lineRule="auto"/>
              <w:jc w:val="right"/>
              <w:rPr>
                <w:sz w:val="20"/>
                <w:szCs w:val="20"/>
              </w:rPr>
            </w:pPr>
            <w:r>
              <w:rPr>
                <w:sz w:val="20"/>
                <w:szCs w:val="20"/>
              </w:rPr>
              <w:t>5</w:t>
            </w:r>
            <w:r w:rsidR="006E4459">
              <w:rPr>
                <w:sz w:val="20"/>
                <w:szCs w:val="20"/>
              </w:rPr>
              <w:t>1,647</w:t>
            </w:r>
          </w:p>
        </w:tc>
        <w:tc>
          <w:tcPr>
            <w:tcW w:w="1127" w:type="dxa"/>
          </w:tcPr>
          <w:p w:rsidRPr="00BB7053" w:rsidR="009971ED" w:rsidP="009971ED" w:rsidRDefault="009971ED" w14:paraId="4B81C8C9" w14:textId="569C7A45">
            <w:pPr>
              <w:tabs>
                <w:tab w:val="left" w:pos="6030"/>
              </w:tabs>
              <w:spacing w:line="276" w:lineRule="auto"/>
              <w:jc w:val="right"/>
              <w:rPr>
                <w:sz w:val="20"/>
                <w:szCs w:val="20"/>
              </w:rPr>
            </w:pPr>
            <w:r>
              <w:rPr>
                <w:sz w:val="20"/>
                <w:szCs w:val="20"/>
              </w:rPr>
              <w:t>1</w:t>
            </w:r>
          </w:p>
        </w:tc>
        <w:tc>
          <w:tcPr>
            <w:tcW w:w="1094" w:type="dxa"/>
          </w:tcPr>
          <w:p w:rsidRPr="00BB7053" w:rsidR="009971ED" w:rsidP="009971ED" w:rsidRDefault="00626393" w14:paraId="4D00AFD8" w14:textId="1C780F8C">
            <w:pPr>
              <w:tabs>
                <w:tab w:val="left" w:pos="6030"/>
              </w:tabs>
              <w:spacing w:line="276" w:lineRule="auto"/>
              <w:jc w:val="right"/>
              <w:rPr>
                <w:sz w:val="20"/>
                <w:szCs w:val="20"/>
              </w:rPr>
            </w:pPr>
            <w:r>
              <w:rPr>
                <w:sz w:val="20"/>
                <w:szCs w:val="20"/>
              </w:rPr>
              <w:t>5</w:t>
            </w:r>
            <w:r w:rsidR="001E727F">
              <w:rPr>
                <w:sz w:val="20"/>
                <w:szCs w:val="20"/>
              </w:rPr>
              <w:t>1,647</w:t>
            </w:r>
          </w:p>
        </w:tc>
        <w:tc>
          <w:tcPr>
            <w:tcW w:w="1017" w:type="dxa"/>
          </w:tcPr>
          <w:p w:rsidRPr="00BB7053" w:rsidR="009971ED" w:rsidP="009971ED" w:rsidRDefault="009971ED" w14:paraId="2E66CFBB" w14:textId="44F923E2">
            <w:pPr>
              <w:tabs>
                <w:tab w:val="left" w:pos="6030"/>
              </w:tabs>
              <w:spacing w:line="276" w:lineRule="auto"/>
              <w:jc w:val="right"/>
              <w:rPr>
                <w:sz w:val="20"/>
                <w:szCs w:val="20"/>
              </w:rPr>
            </w:pPr>
            <w:r>
              <w:rPr>
                <w:sz w:val="20"/>
                <w:szCs w:val="20"/>
              </w:rPr>
              <w:t>2.6</w:t>
            </w:r>
            <w:r w:rsidR="001E727F">
              <w:rPr>
                <w:sz w:val="20"/>
                <w:szCs w:val="20"/>
              </w:rPr>
              <w:t>9</w:t>
            </w:r>
          </w:p>
        </w:tc>
        <w:tc>
          <w:tcPr>
            <w:tcW w:w="1166" w:type="dxa"/>
          </w:tcPr>
          <w:p w:rsidRPr="00BB7053" w:rsidR="009971ED" w:rsidP="009971ED" w:rsidRDefault="00626393" w14:paraId="393BFFBE" w14:textId="1D9047AF">
            <w:pPr>
              <w:tabs>
                <w:tab w:val="left" w:pos="6030"/>
              </w:tabs>
              <w:spacing w:line="276" w:lineRule="auto"/>
              <w:jc w:val="right"/>
              <w:rPr>
                <w:sz w:val="20"/>
                <w:szCs w:val="20"/>
              </w:rPr>
            </w:pPr>
            <w:r>
              <w:rPr>
                <w:sz w:val="20"/>
                <w:szCs w:val="20"/>
              </w:rPr>
              <w:t>1</w:t>
            </w:r>
            <w:r w:rsidR="009E2B6D">
              <w:rPr>
                <w:sz w:val="20"/>
                <w:szCs w:val="20"/>
              </w:rPr>
              <w:t>38,930</w:t>
            </w:r>
          </w:p>
        </w:tc>
        <w:tc>
          <w:tcPr>
            <w:tcW w:w="783" w:type="dxa"/>
          </w:tcPr>
          <w:p w:rsidRPr="00BB7053" w:rsidR="009971ED" w:rsidP="009971ED" w:rsidRDefault="009971ED" w14:paraId="4DCEE873" w14:textId="431AB92D">
            <w:pPr>
              <w:tabs>
                <w:tab w:val="left" w:pos="6030"/>
              </w:tabs>
              <w:spacing w:line="276" w:lineRule="auto"/>
              <w:jc w:val="right"/>
              <w:rPr>
                <w:sz w:val="20"/>
                <w:szCs w:val="20"/>
              </w:rPr>
            </w:pPr>
            <w:r>
              <w:rPr>
                <w:sz w:val="20"/>
                <w:szCs w:val="20"/>
              </w:rPr>
              <w:t>9</w:t>
            </w:r>
            <w:r w:rsidR="009E2B6D">
              <w:rPr>
                <w:sz w:val="20"/>
                <w:szCs w:val="20"/>
              </w:rPr>
              <w:t>5.22</w:t>
            </w:r>
          </w:p>
        </w:tc>
        <w:tc>
          <w:tcPr>
            <w:tcW w:w="1984" w:type="dxa"/>
          </w:tcPr>
          <w:p w:rsidRPr="00BB7053" w:rsidR="009971ED" w:rsidP="009971ED" w:rsidRDefault="00626393" w14:paraId="15B8681C" w14:textId="4CBE6AD8">
            <w:pPr>
              <w:tabs>
                <w:tab w:val="left" w:pos="6030"/>
              </w:tabs>
              <w:spacing w:line="276" w:lineRule="auto"/>
              <w:jc w:val="right"/>
              <w:rPr>
                <w:sz w:val="20"/>
                <w:szCs w:val="20"/>
              </w:rPr>
            </w:pPr>
            <w:r>
              <w:rPr>
                <w:sz w:val="20"/>
                <w:szCs w:val="20"/>
              </w:rPr>
              <w:t>13,2</w:t>
            </w:r>
            <w:r w:rsidR="0014674E">
              <w:rPr>
                <w:sz w:val="20"/>
                <w:szCs w:val="20"/>
              </w:rPr>
              <w:t>28,915</w:t>
            </w:r>
          </w:p>
        </w:tc>
      </w:tr>
      <w:tr w:rsidR="00E14979" w:rsidTr="003830B0" w14:paraId="27D1DA06" w14:textId="77777777">
        <w:tc>
          <w:tcPr>
            <w:tcW w:w="1238" w:type="dxa"/>
            <w:shd w:val="clear" w:color="auto" w:fill="D9D9D9" w:themeFill="background1" w:themeFillShade="D9"/>
          </w:tcPr>
          <w:p w:rsidRPr="00BB7053" w:rsidR="009971ED" w:rsidP="009971ED" w:rsidRDefault="009971ED" w14:paraId="3E179C9F" w14:textId="156B9761">
            <w:pPr>
              <w:tabs>
                <w:tab w:val="left" w:pos="6030"/>
              </w:tabs>
              <w:spacing w:line="276" w:lineRule="auto"/>
              <w:jc w:val="both"/>
              <w:rPr>
                <w:sz w:val="20"/>
                <w:szCs w:val="20"/>
              </w:rPr>
            </w:pPr>
            <w:r>
              <w:rPr>
                <w:sz w:val="20"/>
                <w:szCs w:val="20"/>
              </w:rPr>
              <w:t>Adjustment</w:t>
            </w:r>
            <w:r w:rsidR="00B42D7E">
              <w:rPr>
                <w:sz w:val="20"/>
                <w:szCs w:val="20"/>
              </w:rPr>
              <w:t xml:space="preserve"> </w:t>
            </w:r>
          </w:p>
        </w:tc>
        <w:tc>
          <w:tcPr>
            <w:tcW w:w="1306" w:type="dxa"/>
            <w:shd w:val="clear" w:color="auto" w:fill="D9D9D9" w:themeFill="background1" w:themeFillShade="D9"/>
          </w:tcPr>
          <w:p w:rsidRPr="00BB7053" w:rsidR="009971ED" w:rsidP="009971ED" w:rsidRDefault="00626393" w14:paraId="2AE05C13" w14:textId="4015D0A3">
            <w:pPr>
              <w:tabs>
                <w:tab w:val="left" w:pos="6030"/>
              </w:tabs>
              <w:spacing w:line="276" w:lineRule="auto"/>
              <w:jc w:val="right"/>
              <w:rPr>
                <w:sz w:val="20"/>
                <w:szCs w:val="20"/>
              </w:rPr>
            </w:pPr>
            <w:r>
              <w:rPr>
                <w:sz w:val="20"/>
                <w:szCs w:val="20"/>
              </w:rPr>
              <w:t>-</w:t>
            </w:r>
            <w:r w:rsidR="0082616B">
              <w:rPr>
                <w:sz w:val="20"/>
                <w:szCs w:val="20"/>
              </w:rPr>
              <w:t>1,989</w:t>
            </w:r>
          </w:p>
        </w:tc>
        <w:tc>
          <w:tcPr>
            <w:tcW w:w="1127" w:type="dxa"/>
            <w:shd w:val="clear" w:color="auto" w:fill="D9D9D9" w:themeFill="background1" w:themeFillShade="D9"/>
          </w:tcPr>
          <w:p w:rsidRPr="00BB7053" w:rsidR="009971ED" w:rsidP="009971ED" w:rsidRDefault="009971ED" w14:paraId="7C391659" w14:textId="34472E78">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9971ED" w:rsidP="009971ED" w:rsidRDefault="009448F5" w14:paraId="351B3F2E" w14:textId="1FF1D3D6">
            <w:pPr>
              <w:tabs>
                <w:tab w:val="left" w:pos="6030"/>
              </w:tabs>
              <w:spacing w:line="276" w:lineRule="auto"/>
              <w:jc w:val="right"/>
              <w:rPr>
                <w:sz w:val="20"/>
                <w:szCs w:val="20"/>
              </w:rPr>
            </w:pPr>
            <w:r>
              <w:rPr>
                <w:sz w:val="20"/>
                <w:szCs w:val="20"/>
              </w:rPr>
              <w:t>-</w:t>
            </w:r>
            <w:r w:rsidR="0082616B">
              <w:rPr>
                <w:sz w:val="20"/>
                <w:szCs w:val="20"/>
              </w:rPr>
              <w:t>1,989</w:t>
            </w:r>
          </w:p>
        </w:tc>
        <w:tc>
          <w:tcPr>
            <w:tcW w:w="1017" w:type="dxa"/>
            <w:shd w:val="clear" w:color="auto" w:fill="D9D9D9" w:themeFill="background1" w:themeFillShade="D9"/>
          </w:tcPr>
          <w:p w:rsidRPr="00BB7053" w:rsidR="009971ED" w:rsidP="009971ED" w:rsidRDefault="0021008C" w14:paraId="7153A272" w14:textId="710858FB">
            <w:pPr>
              <w:tabs>
                <w:tab w:val="left" w:pos="6030"/>
              </w:tabs>
              <w:spacing w:line="276" w:lineRule="auto"/>
              <w:jc w:val="right"/>
              <w:rPr>
                <w:sz w:val="20"/>
                <w:szCs w:val="20"/>
              </w:rPr>
            </w:pPr>
            <w:r>
              <w:rPr>
                <w:sz w:val="20"/>
                <w:szCs w:val="20"/>
              </w:rPr>
              <w:t>+0.02</w:t>
            </w:r>
          </w:p>
        </w:tc>
        <w:tc>
          <w:tcPr>
            <w:tcW w:w="1166" w:type="dxa"/>
            <w:shd w:val="clear" w:color="auto" w:fill="D9D9D9" w:themeFill="background1" w:themeFillShade="D9"/>
          </w:tcPr>
          <w:p w:rsidRPr="00BB7053" w:rsidR="009971ED" w:rsidP="009971ED" w:rsidRDefault="009448F5" w14:paraId="308BEE58" w14:textId="5B9B19BC">
            <w:pPr>
              <w:tabs>
                <w:tab w:val="left" w:pos="6030"/>
              </w:tabs>
              <w:spacing w:line="276" w:lineRule="auto"/>
              <w:jc w:val="right"/>
              <w:rPr>
                <w:sz w:val="20"/>
                <w:szCs w:val="20"/>
              </w:rPr>
            </w:pPr>
            <w:r>
              <w:rPr>
                <w:sz w:val="20"/>
                <w:szCs w:val="20"/>
              </w:rPr>
              <w:t>-</w:t>
            </w:r>
            <w:r w:rsidR="00CE75C6">
              <w:rPr>
                <w:sz w:val="20"/>
                <w:szCs w:val="20"/>
              </w:rPr>
              <w:t>4,</w:t>
            </w:r>
            <w:r w:rsidR="001A3CAE">
              <w:rPr>
                <w:sz w:val="20"/>
                <w:szCs w:val="20"/>
              </w:rPr>
              <w:t>278</w:t>
            </w:r>
          </w:p>
        </w:tc>
        <w:tc>
          <w:tcPr>
            <w:tcW w:w="783" w:type="dxa"/>
            <w:shd w:val="clear" w:color="auto" w:fill="D9D9D9" w:themeFill="background1" w:themeFillShade="D9"/>
          </w:tcPr>
          <w:p w:rsidRPr="00BB7053" w:rsidR="009971ED" w:rsidP="009971ED" w:rsidRDefault="009971ED" w14:paraId="0343746C" w14:textId="1E9EC20F">
            <w:pPr>
              <w:tabs>
                <w:tab w:val="left" w:pos="6030"/>
              </w:tabs>
              <w:spacing w:line="276" w:lineRule="auto"/>
              <w:jc w:val="right"/>
              <w:rPr>
                <w:sz w:val="20"/>
                <w:szCs w:val="20"/>
              </w:rPr>
            </w:pPr>
            <w:r>
              <w:rPr>
                <w:sz w:val="20"/>
                <w:szCs w:val="20"/>
              </w:rPr>
              <w:t>No change</w:t>
            </w:r>
          </w:p>
        </w:tc>
        <w:tc>
          <w:tcPr>
            <w:tcW w:w="1984" w:type="dxa"/>
            <w:shd w:val="clear" w:color="auto" w:fill="D9D9D9" w:themeFill="background1" w:themeFillShade="D9"/>
          </w:tcPr>
          <w:p w:rsidRPr="00BB7053" w:rsidR="009971ED" w:rsidP="009971ED" w:rsidRDefault="009448F5" w14:paraId="4DD60D87" w14:textId="683735A9">
            <w:pPr>
              <w:tabs>
                <w:tab w:val="left" w:pos="6030"/>
              </w:tabs>
              <w:spacing w:line="276" w:lineRule="auto"/>
              <w:jc w:val="right"/>
              <w:rPr>
                <w:sz w:val="20"/>
                <w:szCs w:val="20"/>
              </w:rPr>
            </w:pPr>
            <w:r>
              <w:rPr>
                <w:sz w:val="20"/>
                <w:szCs w:val="20"/>
              </w:rPr>
              <w:t>-</w:t>
            </w:r>
            <w:r w:rsidR="009F5B71">
              <w:rPr>
                <w:sz w:val="20"/>
                <w:szCs w:val="20"/>
              </w:rPr>
              <w:t>$</w:t>
            </w:r>
            <w:r w:rsidR="00814D22">
              <w:rPr>
                <w:sz w:val="20"/>
                <w:szCs w:val="20"/>
              </w:rPr>
              <w:t>407,351</w:t>
            </w:r>
          </w:p>
        </w:tc>
      </w:tr>
    </w:tbl>
    <w:p w:rsidR="00CC5836" w:rsidP="00885183" w:rsidRDefault="00CC5836" w14:paraId="13BD980B" w14:textId="77777777">
      <w:pPr>
        <w:jc w:val="center"/>
        <w:rPr>
          <w:rFonts w:eastAsia="Calibri"/>
          <w:b/>
          <w:bCs/>
        </w:rPr>
      </w:pPr>
    </w:p>
    <w:p w:rsidR="00885183" w:rsidP="00885183" w:rsidRDefault="00885183" w14:paraId="24208E4C" w14:textId="43A097CC">
      <w:pPr>
        <w:jc w:val="center"/>
        <w:rPr>
          <w:b/>
          <w:bCs/>
        </w:rPr>
      </w:pPr>
      <w:r w:rsidRPr="00B30713">
        <w:rPr>
          <w:rFonts w:eastAsia="Calibri"/>
          <w:b/>
          <w:bCs/>
        </w:rPr>
        <w:t xml:space="preserve">TABLE </w:t>
      </w:r>
      <w:r w:rsidR="00C1361E">
        <w:rPr>
          <w:rFonts w:eastAsia="Calibri"/>
          <w:b/>
          <w:bCs/>
        </w:rPr>
        <w:t>3</w:t>
      </w:r>
      <w:r w:rsidR="00CB0E2C">
        <w:rPr>
          <w:rFonts w:eastAsia="Calibri"/>
          <w:b/>
          <w:bCs/>
        </w:rPr>
        <w:t>8</w:t>
      </w:r>
      <w:r w:rsidR="00FA460C">
        <w:rPr>
          <w:rFonts w:eastAsia="Calibri"/>
          <w:b/>
          <w:bCs/>
        </w:rPr>
        <w:t>M</w:t>
      </w:r>
      <w:r w:rsidRPr="00B30713">
        <w:rPr>
          <w:rFonts w:eastAsia="Calibri"/>
          <w:b/>
          <w:bCs/>
        </w:rPr>
        <w:t xml:space="preserve">: Burden Reconciliation for </w:t>
      </w:r>
      <w:r w:rsidRPr="00E33A26" w:rsidR="00E33A26">
        <w:rPr>
          <w:rFonts w:eastAsia="Calibri"/>
          <w:b/>
          <w:bCs/>
        </w:rPr>
        <w:t>Call for Promoting Interoperability Measures</w:t>
      </w:r>
    </w:p>
    <w:tbl>
      <w:tblPr>
        <w:tblStyle w:val="TableGrid"/>
        <w:tblW w:w="9715" w:type="dxa"/>
        <w:tblLook w:val="04A0" w:firstRow="1" w:lastRow="0" w:firstColumn="1" w:lastColumn="0" w:noHBand="0" w:noVBand="1"/>
      </w:tblPr>
      <w:tblGrid>
        <w:gridCol w:w="1399"/>
        <w:gridCol w:w="1306"/>
        <w:gridCol w:w="1163"/>
        <w:gridCol w:w="1094"/>
        <w:gridCol w:w="1069"/>
        <w:gridCol w:w="1043"/>
        <w:gridCol w:w="1032"/>
        <w:gridCol w:w="1609"/>
      </w:tblGrid>
      <w:tr w:rsidR="00885183" w:rsidTr="003830B0" w14:paraId="13B05EB2" w14:textId="77777777">
        <w:trPr>
          <w:tblHeader/>
        </w:trPr>
        <w:tc>
          <w:tcPr>
            <w:tcW w:w="1399" w:type="dxa"/>
          </w:tcPr>
          <w:p w:rsidRPr="00173FA2" w:rsidR="00885183" w:rsidP="00A56476" w:rsidRDefault="00885183" w14:paraId="0FFFCA3C" w14:textId="77777777">
            <w:pPr>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A56476" w:rsidRDefault="00885183" w14:paraId="62FE245B" w14:textId="77777777">
            <w:pPr>
              <w:tabs>
                <w:tab w:val="left" w:pos="6030"/>
              </w:tabs>
              <w:spacing w:line="276" w:lineRule="auto"/>
              <w:jc w:val="both"/>
              <w:rPr>
                <w:b/>
                <w:bCs/>
                <w:sz w:val="20"/>
                <w:szCs w:val="20"/>
              </w:rPr>
            </w:pPr>
            <w:r w:rsidRPr="00173FA2">
              <w:rPr>
                <w:b/>
                <w:bCs/>
                <w:sz w:val="20"/>
                <w:szCs w:val="20"/>
              </w:rPr>
              <w:t>Total Annual Respondents</w:t>
            </w:r>
          </w:p>
        </w:tc>
        <w:tc>
          <w:tcPr>
            <w:tcW w:w="1163" w:type="dxa"/>
          </w:tcPr>
          <w:p w:rsidRPr="00173FA2" w:rsidR="00885183" w:rsidP="00A56476" w:rsidRDefault="00885183" w14:paraId="4AC5989D" w14:textId="77777777">
            <w:pPr>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A56476" w:rsidRDefault="00885183" w14:paraId="197CABE9" w14:textId="77777777">
            <w:pPr>
              <w:tabs>
                <w:tab w:val="left" w:pos="6030"/>
              </w:tabs>
              <w:spacing w:line="276" w:lineRule="auto"/>
              <w:jc w:val="both"/>
              <w:rPr>
                <w:b/>
                <w:bCs/>
                <w:sz w:val="20"/>
                <w:szCs w:val="20"/>
              </w:rPr>
            </w:pPr>
            <w:r w:rsidRPr="00173FA2">
              <w:rPr>
                <w:b/>
                <w:bCs/>
                <w:sz w:val="20"/>
                <w:szCs w:val="20"/>
              </w:rPr>
              <w:t>Total Annual Responses</w:t>
            </w:r>
          </w:p>
        </w:tc>
        <w:tc>
          <w:tcPr>
            <w:tcW w:w="1069" w:type="dxa"/>
          </w:tcPr>
          <w:p w:rsidRPr="00173FA2" w:rsidR="00885183" w:rsidP="00A56476" w:rsidRDefault="00885183" w14:paraId="5EDBBA32" w14:textId="77777777">
            <w:pPr>
              <w:tabs>
                <w:tab w:val="left" w:pos="6030"/>
              </w:tabs>
              <w:spacing w:line="276" w:lineRule="auto"/>
              <w:rPr>
                <w:b/>
                <w:bCs/>
                <w:sz w:val="20"/>
                <w:szCs w:val="20"/>
              </w:rPr>
            </w:pPr>
            <w:r w:rsidRPr="00173FA2">
              <w:rPr>
                <w:b/>
                <w:bCs/>
                <w:sz w:val="20"/>
                <w:szCs w:val="20"/>
              </w:rPr>
              <w:t>Time Per Response (hr)</w:t>
            </w:r>
          </w:p>
        </w:tc>
        <w:tc>
          <w:tcPr>
            <w:tcW w:w="1043" w:type="dxa"/>
          </w:tcPr>
          <w:p w:rsidRPr="00173FA2" w:rsidR="00885183" w:rsidP="00A56476" w:rsidRDefault="00885183" w14:paraId="2E8304FB" w14:textId="77777777">
            <w:pPr>
              <w:tabs>
                <w:tab w:val="left" w:pos="6030"/>
              </w:tabs>
              <w:spacing w:line="276" w:lineRule="auto"/>
              <w:jc w:val="both"/>
              <w:rPr>
                <w:b/>
                <w:bCs/>
                <w:sz w:val="20"/>
                <w:szCs w:val="20"/>
              </w:rPr>
            </w:pPr>
            <w:r w:rsidRPr="00173FA2">
              <w:rPr>
                <w:b/>
                <w:bCs/>
                <w:sz w:val="20"/>
                <w:szCs w:val="20"/>
              </w:rPr>
              <w:t>Total Annual Time (hr)</w:t>
            </w:r>
          </w:p>
        </w:tc>
        <w:tc>
          <w:tcPr>
            <w:tcW w:w="1032" w:type="dxa"/>
          </w:tcPr>
          <w:p w:rsidRPr="00173FA2" w:rsidR="00885183" w:rsidP="00A56476" w:rsidRDefault="00885183" w14:paraId="7362CB7A" w14:textId="77777777">
            <w:pPr>
              <w:tabs>
                <w:tab w:val="left" w:pos="6030"/>
              </w:tabs>
              <w:spacing w:line="276" w:lineRule="auto"/>
              <w:jc w:val="both"/>
              <w:rPr>
                <w:b/>
                <w:bCs/>
                <w:sz w:val="20"/>
                <w:szCs w:val="20"/>
              </w:rPr>
            </w:pPr>
            <w:r w:rsidRPr="00173FA2">
              <w:rPr>
                <w:b/>
                <w:bCs/>
                <w:sz w:val="20"/>
                <w:szCs w:val="20"/>
              </w:rPr>
              <w:t>Labor Cost ($/hr)</w:t>
            </w:r>
          </w:p>
        </w:tc>
        <w:tc>
          <w:tcPr>
            <w:tcW w:w="1609" w:type="dxa"/>
          </w:tcPr>
          <w:p w:rsidRPr="00173FA2" w:rsidR="00885183" w:rsidP="00A56476" w:rsidRDefault="00885183" w14:paraId="3024ED4D" w14:textId="77777777">
            <w:pPr>
              <w:tabs>
                <w:tab w:val="left" w:pos="6030"/>
              </w:tabs>
              <w:spacing w:line="276" w:lineRule="auto"/>
              <w:rPr>
                <w:b/>
                <w:bCs/>
                <w:sz w:val="20"/>
                <w:szCs w:val="20"/>
              </w:rPr>
            </w:pPr>
            <w:r w:rsidRPr="00173FA2">
              <w:rPr>
                <w:b/>
                <w:bCs/>
                <w:sz w:val="20"/>
                <w:szCs w:val="20"/>
              </w:rPr>
              <w:t>Total Annual Cost ($)</w:t>
            </w:r>
          </w:p>
        </w:tc>
      </w:tr>
      <w:tr w:rsidR="00DA7D22" w:rsidTr="003830B0" w14:paraId="0A446F48" w14:textId="77777777">
        <w:tc>
          <w:tcPr>
            <w:tcW w:w="1399" w:type="dxa"/>
          </w:tcPr>
          <w:p w:rsidRPr="00BB7053" w:rsidR="00DA7D22" w:rsidP="00DA7D22" w:rsidRDefault="00DA7D22" w14:paraId="702D7D39" w14:textId="4727B051">
            <w:pPr>
              <w:tabs>
                <w:tab w:val="left" w:pos="6030"/>
              </w:tabs>
              <w:spacing w:line="276" w:lineRule="auto"/>
              <w:jc w:val="both"/>
              <w:rPr>
                <w:sz w:val="20"/>
                <w:szCs w:val="20"/>
              </w:rPr>
            </w:pPr>
            <w:r>
              <w:rPr>
                <w:sz w:val="20"/>
                <w:szCs w:val="20"/>
              </w:rPr>
              <w:t>Currently Approved</w:t>
            </w:r>
            <w:r w:rsidR="0047236F">
              <w:rPr>
                <w:sz w:val="20"/>
                <w:szCs w:val="20"/>
              </w:rPr>
              <w:t xml:space="preserve"> (2022 MIPS Performance Period)</w:t>
            </w:r>
          </w:p>
        </w:tc>
        <w:tc>
          <w:tcPr>
            <w:tcW w:w="1306" w:type="dxa"/>
          </w:tcPr>
          <w:p w:rsidRPr="00BB7053" w:rsidR="00DA7D22" w:rsidP="00DA7D22" w:rsidRDefault="00DA7D22" w14:paraId="1C29D424" w14:textId="09BA2608">
            <w:pPr>
              <w:tabs>
                <w:tab w:val="left" w:pos="6030"/>
              </w:tabs>
              <w:spacing w:line="276" w:lineRule="auto"/>
              <w:jc w:val="right"/>
              <w:rPr>
                <w:sz w:val="20"/>
                <w:szCs w:val="20"/>
              </w:rPr>
            </w:pPr>
            <w:r>
              <w:rPr>
                <w:sz w:val="20"/>
                <w:szCs w:val="20"/>
              </w:rPr>
              <w:t>10</w:t>
            </w:r>
          </w:p>
        </w:tc>
        <w:tc>
          <w:tcPr>
            <w:tcW w:w="1163" w:type="dxa"/>
          </w:tcPr>
          <w:p w:rsidRPr="00BB7053" w:rsidR="00DA7D22" w:rsidP="00DA7D22" w:rsidRDefault="00DA7D22" w14:paraId="0BBC3A3B" w14:textId="6C425119">
            <w:pPr>
              <w:tabs>
                <w:tab w:val="left" w:pos="6030"/>
              </w:tabs>
              <w:spacing w:line="276" w:lineRule="auto"/>
              <w:jc w:val="right"/>
              <w:rPr>
                <w:sz w:val="20"/>
                <w:szCs w:val="20"/>
              </w:rPr>
            </w:pPr>
            <w:r>
              <w:rPr>
                <w:sz w:val="20"/>
                <w:szCs w:val="20"/>
              </w:rPr>
              <w:t>1</w:t>
            </w:r>
          </w:p>
        </w:tc>
        <w:tc>
          <w:tcPr>
            <w:tcW w:w="1094" w:type="dxa"/>
          </w:tcPr>
          <w:p w:rsidRPr="00BB7053" w:rsidR="00DA7D22" w:rsidP="00DA7D22" w:rsidRDefault="00DA7D22" w14:paraId="4F12920B" w14:textId="4CF93138">
            <w:pPr>
              <w:tabs>
                <w:tab w:val="left" w:pos="6030"/>
              </w:tabs>
              <w:spacing w:line="276" w:lineRule="auto"/>
              <w:jc w:val="right"/>
              <w:rPr>
                <w:sz w:val="20"/>
                <w:szCs w:val="20"/>
              </w:rPr>
            </w:pPr>
            <w:r>
              <w:rPr>
                <w:sz w:val="20"/>
                <w:szCs w:val="20"/>
              </w:rPr>
              <w:t>10</w:t>
            </w:r>
          </w:p>
        </w:tc>
        <w:tc>
          <w:tcPr>
            <w:tcW w:w="1069" w:type="dxa"/>
          </w:tcPr>
          <w:p w:rsidRPr="00BB7053" w:rsidR="00DA7D22" w:rsidP="00DA7D22" w:rsidRDefault="00DA7D22" w14:paraId="16799B12" w14:textId="13AB1B08">
            <w:pPr>
              <w:tabs>
                <w:tab w:val="left" w:pos="6030"/>
              </w:tabs>
              <w:spacing w:line="276" w:lineRule="auto"/>
              <w:jc w:val="right"/>
              <w:rPr>
                <w:sz w:val="20"/>
                <w:szCs w:val="20"/>
              </w:rPr>
            </w:pPr>
            <w:r>
              <w:rPr>
                <w:sz w:val="20"/>
                <w:szCs w:val="20"/>
              </w:rPr>
              <w:t>0.5</w:t>
            </w:r>
          </w:p>
        </w:tc>
        <w:tc>
          <w:tcPr>
            <w:tcW w:w="1043" w:type="dxa"/>
          </w:tcPr>
          <w:p w:rsidRPr="00BB7053" w:rsidR="00DA7D22" w:rsidP="00DA7D22" w:rsidRDefault="00DA7D22" w14:paraId="523ECAAB" w14:textId="677C6ED1">
            <w:pPr>
              <w:tabs>
                <w:tab w:val="left" w:pos="6030"/>
              </w:tabs>
              <w:spacing w:line="276" w:lineRule="auto"/>
              <w:jc w:val="right"/>
              <w:rPr>
                <w:sz w:val="20"/>
                <w:szCs w:val="20"/>
              </w:rPr>
            </w:pPr>
            <w:r>
              <w:rPr>
                <w:sz w:val="20"/>
                <w:szCs w:val="20"/>
              </w:rPr>
              <w:t>5</w:t>
            </w:r>
          </w:p>
        </w:tc>
        <w:tc>
          <w:tcPr>
            <w:tcW w:w="1032" w:type="dxa"/>
          </w:tcPr>
          <w:p w:rsidRPr="00BB7053" w:rsidR="00DA7D22" w:rsidP="00DA7D22" w:rsidRDefault="00DA7D22" w14:paraId="4DF1E6C0" w14:textId="3AD8F2D9">
            <w:pPr>
              <w:tabs>
                <w:tab w:val="left" w:pos="6030"/>
              </w:tabs>
              <w:spacing w:line="276" w:lineRule="auto"/>
              <w:jc w:val="right"/>
              <w:rPr>
                <w:sz w:val="20"/>
                <w:szCs w:val="20"/>
              </w:rPr>
            </w:pPr>
            <w:r>
              <w:rPr>
                <w:sz w:val="20"/>
                <w:szCs w:val="20"/>
              </w:rPr>
              <w:t>Varies</w:t>
            </w:r>
          </w:p>
        </w:tc>
        <w:tc>
          <w:tcPr>
            <w:tcW w:w="1609" w:type="dxa"/>
          </w:tcPr>
          <w:p w:rsidRPr="00BB7053" w:rsidR="00DA7D22" w:rsidP="00DA7D22" w:rsidRDefault="00DA7D22" w14:paraId="542E2B6A" w14:textId="29ECABCC">
            <w:pPr>
              <w:tabs>
                <w:tab w:val="left" w:pos="6030"/>
              </w:tabs>
              <w:spacing w:line="276" w:lineRule="auto"/>
              <w:jc w:val="right"/>
              <w:rPr>
                <w:sz w:val="20"/>
                <w:szCs w:val="20"/>
              </w:rPr>
            </w:pPr>
            <w:r>
              <w:rPr>
                <w:sz w:val="20"/>
                <w:szCs w:val="20"/>
              </w:rPr>
              <w:t>7</w:t>
            </w:r>
            <w:r w:rsidR="006E6729">
              <w:rPr>
                <w:sz w:val="20"/>
                <w:szCs w:val="20"/>
              </w:rPr>
              <w:t>77</w:t>
            </w:r>
          </w:p>
        </w:tc>
      </w:tr>
      <w:tr w:rsidR="00DA7D22" w:rsidTr="003830B0" w14:paraId="45C8DD9E" w14:textId="77777777">
        <w:tc>
          <w:tcPr>
            <w:tcW w:w="1399" w:type="dxa"/>
          </w:tcPr>
          <w:p w:rsidRPr="00BB7053" w:rsidR="00DA7D22" w:rsidP="00192E2E" w:rsidRDefault="00224BBB" w14:paraId="7E6DD49A" w14:textId="71D41BA0">
            <w:pPr>
              <w:tabs>
                <w:tab w:val="left" w:pos="6030"/>
              </w:tabs>
              <w:spacing w:line="276" w:lineRule="auto"/>
              <w:rPr>
                <w:sz w:val="20"/>
                <w:szCs w:val="20"/>
              </w:rPr>
            </w:pPr>
            <w:r>
              <w:rPr>
                <w:sz w:val="20"/>
                <w:szCs w:val="20"/>
              </w:rPr>
              <w:t xml:space="preserve">Proposed </w:t>
            </w:r>
            <w:r w:rsidR="0060446C">
              <w:rPr>
                <w:sz w:val="20"/>
                <w:szCs w:val="20"/>
              </w:rPr>
              <w:t>(2022 MIPS Performance Period)</w:t>
            </w:r>
            <w:r w:rsidR="008C77CE">
              <w:rPr>
                <w:sz w:val="20"/>
                <w:szCs w:val="20"/>
              </w:rPr>
              <w:t xml:space="preserve"> </w:t>
            </w:r>
            <w:r w:rsidRPr="00A67FD9" w:rsidR="00A67FD9">
              <w:rPr>
                <w:sz w:val="20"/>
                <w:szCs w:val="20"/>
              </w:rPr>
              <w:t xml:space="preserve">(See Table </w:t>
            </w:r>
            <w:r>
              <w:rPr>
                <w:sz w:val="20"/>
                <w:szCs w:val="20"/>
              </w:rPr>
              <w:t>23</w:t>
            </w:r>
            <w:r w:rsidRPr="00A67FD9" w:rsidR="00A67FD9">
              <w:rPr>
                <w:sz w:val="20"/>
                <w:szCs w:val="20"/>
              </w:rPr>
              <w:t>)</w:t>
            </w:r>
          </w:p>
        </w:tc>
        <w:tc>
          <w:tcPr>
            <w:tcW w:w="1306" w:type="dxa"/>
          </w:tcPr>
          <w:p w:rsidRPr="00BB7053" w:rsidR="00DA7D22" w:rsidP="00DA7D22" w:rsidRDefault="00DA7D22" w14:paraId="568201AB" w14:textId="6E9FC6E7">
            <w:pPr>
              <w:tabs>
                <w:tab w:val="left" w:pos="6030"/>
              </w:tabs>
              <w:spacing w:line="276" w:lineRule="auto"/>
              <w:jc w:val="right"/>
              <w:rPr>
                <w:sz w:val="20"/>
                <w:szCs w:val="20"/>
              </w:rPr>
            </w:pPr>
            <w:r>
              <w:rPr>
                <w:sz w:val="20"/>
                <w:szCs w:val="20"/>
              </w:rPr>
              <w:t>10</w:t>
            </w:r>
          </w:p>
        </w:tc>
        <w:tc>
          <w:tcPr>
            <w:tcW w:w="1163" w:type="dxa"/>
          </w:tcPr>
          <w:p w:rsidRPr="00BB7053" w:rsidR="00DA7D22" w:rsidP="00DA7D22" w:rsidRDefault="00DA7D22" w14:paraId="5486E259" w14:textId="13EE9B91">
            <w:pPr>
              <w:tabs>
                <w:tab w:val="left" w:pos="6030"/>
              </w:tabs>
              <w:spacing w:line="276" w:lineRule="auto"/>
              <w:jc w:val="right"/>
              <w:rPr>
                <w:sz w:val="20"/>
                <w:szCs w:val="20"/>
              </w:rPr>
            </w:pPr>
            <w:r>
              <w:rPr>
                <w:sz w:val="20"/>
                <w:szCs w:val="20"/>
              </w:rPr>
              <w:t>1</w:t>
            </w:r>
          </w:p>
        </w:tc>
        <w:tc>
          <w:tcPr>
            <w:tcW w:w="1094" w:type="dxa"/>
          </w:tcPr>
          <w:p w:rsidRPr="00BB7053" w:rsidR="00DA7D22" w:rsidP="00DA7D22" w:rsidRDefault="00DA7D22" w14:paraId="55A65961" w14:textId="068A0B87">
            <w:pPr>
              <w:tabs>
                <w:tab w:val="left" w:pos="6030"/>
              </w:tabs>
              <w:spacing w:line="276" w:lineRule="auto"/>
              <w:jc w:val="right"/>
              <w:rPr>
                <w:sz w:val="20"/>
                <w:szCs w:val="20"/>
              </w:rPr>
            </w:pPr>
            <w:r>
              <w:rPr>
                <w:sz w:val="20"/>
                <w:szCs w:val="20"/>
              </w:rPr>
              <w:t>10</w:t>
            </w:r>
          </w:p>
        </w:tc>
        <w:tc>
          <w:tcPr>
            <w:tcW w:w="1069" w:type="dxa"/>
          </w:tcPr>
          <w:p w:rsidRPr="00BB7053" w:rsidR="00DA7D22" w:rsidP="00DA7D22" w:rsidRDefault="00DA7D22" w14:paraId="69BFD167" w14:textId="1BC74F29">
            <w:pPr>
              <w:tabs>
                <w:tab w:val="left" w:pos="6030"/>
              </w:tabs>
              <w:spacing w:line="276" w:lineRule="auto"/>
              <w:jc w:val="right"/>
              <w:rPr>
                <w:sz w:val="20"/>
                <w:szCs w:val="20"/>
              </w:rPr>
            </w:pPr>
            <w:r>
              <w:rPr>
                <w:sz w:val="20"/>
                <w:szCs w:val="20"/>
              </w:rPr>
              <w:t>0.5</w:t>
            </w:r>
          </w:p>
        </w:tc>
        <w:tc>
          <w:tcPr>
            <w:tcW w:w="1043" w:type="dxa"/>
          </w:tcPr>
          <w:p w:rsidRPr="00BB7053" w:rsidR="00DA7D22" w:rsidP="00DA7D22" w:rsidRDefault="00DA7D22" w14:paraId="7ED13D39" w14:textId="2796565A">
            <w:pPr>
              <w:tabs>
                <w:tab w:val="left" w:pos="6030"/>
              </w:tabs>
              <w:spacing w:line="276" w:lineRule="auto"/>
              <w:jc w:val="right"/>
              <w:rPr>
                <w:sz w:val="20"/>
                <w:szCs w:val="20"/>
              </w:rPr>
            </w:pPr>
            <w:r>
              <w:rPr>
                <w:sz w:val="20"/>
                <w:szCs w:val="20"/>
              </w:rPr>
              <w:t>5</w:t>
            </w:r>
          </w:p>
        </w:tc>
        <w:tc>
          <w:tcPr>
            <w:tcW w:w="1032" w:type="dxa"/>
          </w:tcPr>
          <w:p w:rsidRPr="00BB7053" w:rsidR="00DA7D22" w:rsidP="00DA7D22" w:rsidRDefault="00DA7D22" w14:paraId="3C26A79F" w14:textId="15C8026E">
            <w:pPr>
              <w:tabs>
                <w:tab w:val="left" w:pos="6030"/>
              </w:tabs>
              <w:spacing w:line="276" w:lineRule="auto"/>
              <w:jc w:val="right"/>
              <w:rPr>
                <w:sz w:val="20"/>
                <w:szCs w:val="20"/>
              </w:rPr>
            </w:pPr>
            <w:r>
              <w:rPr>
                <w:sz w:val="20"/>
                <w:szCs w:val="20"/>
              </w:rPr>
              <w:t>Varies</w:t>
            </w:r>
          </w:p>
        </w:tc>
        <w:tc>
          <w:tcPr>
            <w:tcW w:w="1609" w:type="dxa"/>
          </w:tcPr>
          <w:p w:rsidRPr="00BB7053" w:rsidR="00DA7D22" w:rsidP="00DA7D22" w:rsidRDefault="00DA7D22" w14:paraId="31F9589A" w14:textId="625608FB">
            <w:pPr>
              <w:tabs>
                <w:tab w:val="left" w:pos="6030"/>
              </w:tabs>
              <w:spacing w:line="276" w:lineRule="auto"/>
              <w:jc w:val="right"/>
              <w:rPr>
                <w:sz w:val="20"/>
                <w:szCs w:val="20"/>
              </w:rPr>
            </w:pPr>
            <w:r>
              <w:rPr>
                <w:sz w:val="20"/>
                <w:szCs w:val="20"/>
              </w:rPr>
              <w:t>7</w:t>
            </w:r>
            <w:r w:rsidR="00AA4D04">
              <w:rPr>
                <w:sz w:val="20"/>
                <w:szCs w:val="20"/>
              </w:rPr>
              <w:t>77</w:t>
            </w:r>
          </w:p>
        </w:tc>
      </w:tr>
      <w:tr w:rsidR="00DA7D22" w:rsidTr="003830B0" w14:paraId="3C72D000" w14:textId="77777777">
        <w:tc>
          <w:tcPr>
            <w:tcW w:w="1399" w:type="dxa"/>
            <w:shd w:val="clear" w:color="auto" w:fill="D9D9D9" w:themeFill="background1" w:themeFillShade="D9"/>
          </w:tcPr>
          <w:p w:rsidRPr="00BB7053" w:rsidR="00DA7D22" w:rsidP="00DA7D22" w:rsidRDefault="00DA7D22" w14:paraId="45EACFCA" w14:textId="77777777">
            <w:pPr>
              <w:tabs>
                <w:tab w:val="left" w:pos="6030"/>
              </w:tabs>
              <w:spacing w:line="276" w:lineRule="auto"/>
              <w:jc w:val="both"/>
              <w:rPr>
                <w:sz w:val="20"/>
                <w:szCs w:val="20"/>
              </w:rPr>
            </w:pPr>
            <w:r>
              <w:rPr>
                <w:sz w:val="20"/>
                <w:szCs w:val="20"/>
              </w:rPr>
              <w:lastRenderedPageBreak/>
              <w:t>Adjustment</w:t>
            </w:r>
          </w:p>
        </w:tc>
        <w:tc>
          <w:tcPr>
            <w:tcW w:w="1306" w:type="dxa"/>
            <w:shd w:val="clear" w:color="auto" w:fill="D9D9D9" w:themeFill="background1" w:themeFillShade="D9"/>
          </w:tcPr>
          <w:p w:rsidRPr="00BB7053" w:rsidR="00DA7D22" w:rsidP="00DA7D22" w:rsidRDefault="00DA7D22" w14:paraId="5C32469B" w14:textId="35B85498">
            <w:pPr>
              <w:tabs>
                <w:tab w:val="left" w:pos="6030"/>
              </w:tabs>
              <w:spacing w:line="276" w:lineRule="auto"/>
              <w:jc w:val="right"/>
              <w:rPr>
                <w:sz w:val="20"/>
                <w:szCs w:val="20"/>
              </w:rPr>
            </w:pPr>
            <w:r>
              <w:rPr>
                <w:sz w:val="20"/>
                <w:szCs w:val="20"/>
              </w:rPr>
              <w:t>No change</w:t>
            </w:r>
          </w:p>
        </w:tc>
        <w:tc>
          <w:tcPr>
            <w:tcW w:w="1163" w:type="dxa"/>
            <w:shd w:val="clear" w:color="auto" w:fill="D9D9D9" w:themeFill="background1" w:themeFillShade="D9"/>
          </w:tcPr>
          <w:p w:rsidRPr="00BB7053" w:rsidR="00DA7D22" w:rsidP="00DA7D22" w:rsidRDefault="00DA7D22" w14:paraId="0FCB9A6D" w14:textId="31E673A3">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DA7D22" w:rsidP="00DA7D22" w:rsidRDefault="00DA7D22" w14:paraId="10F01394" w14:textId="1DC18359">
            <w:pPr>
              <w:tabs>
                <w:tab w:val="left" w:pos="6030"/>
              </w:tabs>
              <w:spacing w:line="276" w:lineRule="auto"/>
              <w:jc w:val="right"/>
              <w:rPr>
                <w:sz w:val="20"/>
                <w:szCs w:val="20"/>
              </w:rPr>
            </w:pPr>
            <w:r>
              <w:rPr>
                <w:sz w:val="20"/>
                <w:szCs w:val="20"/>
              </w:rPr>
              <w:t>No change</w:t>
            </w:r>
          </w:p>
        </w:tc>
        <w:tc>
          <w:tcPr>
            <w:tcW w:w="1069" w:type="dxa"/>
            <w:shd w:val="clear" w:color="auto" w:fill="D9D9D9" w:themeFill="background1" w:themeFillShade="D9"/>
          </w:tcPr>
          <w:p w:rsidRPr="00BB7053" w:rsidR="00DA7D22" w:rsidP="00DA7D22" w:rsidRDefault="00DA7D22" w14:paraId="652BCF48" w14:textId="496CED8F">
            <w:pPr>
              <w:tabs>
                <w:tab w:val="left" w:pos="6030"/>
              </w:tabs>
              <w:spacing w:line="276" w:lineRule="auto"/>
              <w:jc w:val="right"/>
              <w:rPr>
                <w:sz w:val="20"/>
                <w:szCs w:val="20"/>
              </w:rPr>
            </w:pPr>
            <w:r>
              <w:rPr>
                <w:sz w:val="20"/>
                <w:szCs w:val="20"/>
              </w:rPr>
              <w:t>No change</w:t>
            </w:r>
          </w:p>
        </w:tc>
        <w:tc>
          <w:tcPr>
            <w:tcW w:w="1043" w:type="dxa"/>
            <w:shd w:val="clear" w:color="auto" w:fill="D9D9D9" w:themeFill="background1" w:themeFillShade="D9"/>
          </w:tcPr>
          <w:p w:rsidRPr="00BB7053" w:rsidR="00DA7D22" w:rsidP="00DA7D22" w:rsidRDefault="00DA7D22" w14:paraId="5CBBF80A" w14:textId="731DA63D">
            <w:pPr>
              <w:tabs>
                <w:tab w:val="left" w:pos="6030"/>
              </w:tabs>
              <w:spacing w:line="276" w:lineRule="auto"/>
              <w:jc w:val="right"/>
              <w:rPr>
                <w:sz w:val="20"/>
                <w:szCs w:val="20"/>
              </w:rPr>
            </w:pPr>
            <w:r>
              <w:rPr>
                <w:sz w:val="20"/>
                <w:szCs w:val="20"/>
              </w:rPr>
              <w:t>No change</w:t>
            </w:r>
          </w:p>
        </w:tc>
        <w:tc>
          <w:tcPr>
            <w:tcW w:w="1032" w:type="dxa"/>
            <w:shd w:val="clear" w:color="auto" w:fill="D9D9D9" w:themeFill="background1" w:themeFillShade="D9"/>
          </w:tcPr>
          <w:p w:rsidRPr="00BB7053" w:rsidR="00DA7D22" w:rsidP="00DA7D22" w:rsidRDefault="00DA7D22" w14:paraId="32276D47" w14:textId="5B75A9FB">
            <w:pPr>
              <w:tabs>
                <w:tab w:val="left" w:pos="6030"/>
              </w:tabs>
              <w:spacing w:line="276" w:lineRule="auto"/>
              <w:jc w:val="right"/>
              <w:rPr>
                <w:sz w:val="20"/>
                <w:szCs w:val="20"/>
              </w:rPr>
            </w:pPr>
            <w:r>
              <w:rPr>
                <w:sz w:val="20"/>
                <w:szCs w:val="20"/>
              </w:rPr>
              <w:t>No change</w:t>
            </w:r>
          </w:p>
        </w:tc>
        <w:tc>
          <w:tcPr>
            <w:tcW w:w="1609" w:type="dxa"/>
            <w:shd w:val="clear" w:color="auto" w:fill="D9D9D9" w:themeFill="background1" w:themeFillShade="D9"/>
          </w:tcPr>
          <w:p w:rsidRPr="00BB7053" w:rsidR="00DA7D22" w:rsidP="00DA7D22" w:rsidRDefault="00DA7D22" w14:paraId="2D9807DF" w14:textId="3D844BBE">
            <w:pPr>
              <w:tabs>
                <w:tab w:val="left" w:pos="6030"/>
              </w:tabs>
              <w:spacing w:line="276" w:lineRule="auto"/>
              <w:jc w:val="right"/>
              <w:rPr>
                <w:sz w:val="20"/>
                <w:szCs w:val="20"/>
              </w:rPr>
            </w:pPr>
            <w:r>
              <w:rPr>
                <w:sz w:val="20"/>
                <w:szCs w:val="20"/>
              </w:rPr>
              <w:t>No change</w:t>
            </w:r>
          </w:p>
        </w:tc>
      </w:tr>
    </w:tbl>
    <w:p w:rsidR="00885183" w:rsidP="00BB7053" w:rsidRDefault="00885183" w14:paraId="502E87E7" w14:textId="1BA26F9C">
      <w:pPr>
        <w:tabs>
          <w:tab w:val="left" w:pos="6030"/>
        </w:tabs>
        <w:spacing w:line="276" w:lineRule="auto"/>
        <w:jc w:val="both"/>
      </w:pPr>
    </w:p>
    <w:p w:rsidR="00885183" w:rsidP="00885183" w:rsidRDefault="00885183" w14:paraId="46143B43" w14:textId="3B682119">
      <w:pPr>
        <w:jc w:val="center"/>
        <w:rPr>
          <w:b/>
          <w:bCs/>
        </w:rPr>
      </w:pPr>
      <w:r w:rsidRPr="00B30713">
        <w:rPr>
          <w:rFonts w:eastAsia="Calibri"/>
          <w:b/>
          <w:bCs/>
        </w:rPr>
        <w:t xml:space="preserve">TABLE </w:t>
      </w:r>
      <w:r w:rsidR="00C1361E">
        <w:rPr>
          <w:rFonts w:eastAsia="Calibri"/>
          <w:b/>
          <w:bCs/>
        </w:rPr>
        <w:t>3</w:t>
      </w:r>
      <w:r w:rsidR="00CB0E2C">
        <w:rPr>
          <w:rFonts w:eastAsia="Calibri"/>
          <w:b/>
          <w:bCs/>
        </w:rPr>
        <w:t>8</w:t>
      </w:r>
      <w:r w:rsidR="00FA460C">
        <w:rPr>
          <w:rFonts w:eastAsia="Calibri"/>
          <w:b/>
          <w:bCs/>
        </w:rPr>
        <w:t>N</w:t>
      </w:r>
      <w:r w:rsidRPr="00B30713">
        <w:rPr>
          <w:rFonts w:eastAsia="Calibri"/>
          <w:b/>
          <w:bCs/>
        </w:rPr>
        <w:t xml:space="preserve">: Burden Reconciliation for </w:t>
      </w:r>
      <w:r w:rsidRPr="00BD3CDF" w:rsidR="00BD3CDF">
        <w:rPr>
          <w:rFonts w:eastAsia="Calibri"/>
          <w:b/>
          <w:bCs/>
        </w:rPr>
        <w:t>Improvement Activities Submission</w:t>
      </w:r>
    </w:p>
    <w:tbl>
      <w:tblPr>
        <w:tblStyle w:val="TableGrid"/>
        <w:tblW w:w="9715" w:type="dxa"/>
        <w:tblLook w:val="04A0" w:firstRow="1" w:lastRow="0" w:firstColumn="1" w:lastColumn="0" w:noHBand="0" w:noVBand="1"/>
      </w:tblPr>
      <w:tblGrid>
        <w:gridCol w:w="1398"/>
        <w:gridCol w:w="1392"/>
        <w:gridCol w:w="1127"/>
        <w:gridCol w:w="1346"/>
        <w:gridCol w:w="1017"/>
        <w:gridCol w:w="1058"/>
        <w:gridCol w:w="965"/>
        <w:gridCol w:w="1412"/>
      </w:tblGrid>
      <w:tr w:rsidR="00E030FD" w:rsidTr="003830B0" w14:paraId="1554655C" w14:textId="77777777">
        <w:trPr>
          <w:tblHeader/>
        </w:trPr>
        <w:tc>
          <w:tcPr>
            <w:tcW w:w="1398" w:type="dxa"/>
          </w:tcPr>
          <w:p w:rsidRPr="00173FA2" w:rsidR="00885183" w:rsidP="00A56476" w:rsidRDefault="00885183" w14:paraId="1132646A" w14:textId="77777777">
            <w:pPr>
              <w:tabs>
                <w:tab w:val="left" w:pos="6030"/>
              </w:tabs>
              <w:spacing w:line="276" w:lineRule="auto"/>
              <w:jc w:val="both"/>
              <w:rPr>
                <w:b/>
                <w:bCs/>
                <w:sz w:val="20"/>
                <w:szCs w:val="20"/>
              </w:rPr>
            </w:pPr>
            <w:r w:rsidRPr="00173FA2">
              <w:rPr>
                <w:b/>
                <w:bCs/>
                <w:sz w:val="20"/>
                <w:szCs w:val="20"/>
              </w:rPr>
              <w:t>Burden Category</w:t>
            </w:r>
          </w:p>
        </w:tc>
        <w:tc>
          <w:tcPr>
            <w:tcW w:w="1392" w:type="dxa"/>
          </w:tcPr>
          <w:p w:rsidRPr="00173FA2" w:rsidR="00885183" w:rsidP="00A56476" w:rsidRDefault="00885183" w14:paraId="5542FFA3" w14:textId="77777777">
            <w:pPr>
              <w:tabs>
                <w:tab w:val="left" w:pos="6030"/>
              </w:tabs>
              <w:spacing w:line="276" w:lineRule="auto"/>
              <w:jc w:val="both"/>
              <w:rPr>
                <w:b/>
                <w:bCs/>
                <w:sz w:val="20"/>
                <w:szCs w:val="20"/>
              </w:rPr>
            </w:pPr>
            <w:r w:rsidRPr="00173FA2">
              <w:rPr>
                <w:b/>
                <w:bCs/>
                <w:sz w:val="20"/>
                <w:szCs w:val="20"/>
              </w:rPr>
              <w:t>Total Annual Respondents</w:t>
            </w:r>
          </w:p>
        </w:tc>
        <w:tc>
          <w:tcPr>
            <w:tcW w:w="1127" w:type="dxa"/>
          </w:tcPr>
          <w:p w:rsidRPr="00173FA2" w:rsidR="00885183" w:rsidP="00A56476" w:rsidRDefault="00885183" w14:paraId="0655F4D9" w14:textId="77777777">
            <w:pPr>
              <w:tabs>
                <w:tab w:val="left" w:pos="6030"/>
              </w:tabs>
              <w:spacing w:line="276" w:lineRule="auto"/>
              <w:jc w:val="both"/>
              <w:rPr>
                <w:b/>
                <w:bCs/>
                <w:sz w:val="20"/>
                <w:szCs w:val="20"/>
              </w:rPr>
            </w:pPr>
            <w:r w:rsidRPr="00173FA2">
              <w:rPr>
                <w:b/>
                <w:bCs/>
                <w:sz w:val="20"/>
                <w:szCs w:val="20"/>
              </w:rPr>
              <w:t>Response Frequency (per year)</w:t>
            </w:r>
          </w:p>
        </w:tc>
        <w:tc>
          <w:tcPr>
            <w:tcW w:w="1346" w:type="dxa"/>
          </w:tcPr>
          <w:p w:rsidRPr="00173FA2" w:rsidR="00885183" w:rsidP="00A56476" w:rsidRDefault="00885183" w14:paraId="2A9EDA23" w14:textId="77777777">
            <w:pPr>
              <w:tabs>
                <w:tab w:val="left" w:pos="6030"/>
              </w:tabs>
              <w:spacing w:line="276" w:lineRule="auto"/>
              <w:jc w:val="both"/>
              <w:rPr>
                <w:b/>
                <w:bCs/>
                <w:sz w:val="20"/>
                <w:szCs w:val="20"/>
              </w:rPr>
            </w:pPr>
            <w:r w:rsidRPr="00173FA2">
              <w:rPr>
                <w:b/>
                <w:bCs/>
                <w:sz w:val="20"/>
                <w:szCs w:val="20"/>
              </w:rPr>
              <w:t>Total Annual Responses</w:t>
            </w:r>
          </w:p>
        </w:tc>
        <w:tc>
          <w:tcPr>
            <w:tcW w:w="1017" w:type="dxa"/>
          </w:tcPr>
          <w:p w:rsidRPr="00173FA2" w:rsidR="00885183" w:rsidP="00A56476" w:rsidRDefault="00885183" w14:paraId="2B233820" w14:textId="77777777">
            <w:pPr>
              <w:tabs>
                <w:tab w:val="left" w:pos="6030"/>
              </w:tabs>
              <w:spacing w:line="276" w:lineRule="auto"/>
              <w:rPr>
                <w:b/>
                <w:bCs/>
                <w:sz w:val="20"/>
                <w:szCs w:val="20"/>
              </w:rPr>
            </w:pPr>
            <w:r w:rsidRPr="00173FA2">
              <w:rPr>
                <w:b/>
                <w:bCs/>
                <w:sz w:val="20"/>
                <w:szCs w:val="20"/>
              </w:rPr>
              <w:t>Time Per Response (hr)</w:t>
            </w:r>
          </w:p>
        </w:tc>
        <w:tc>
          <w:tcPr>
            <w:tcW w:w="1058" w:type="dxa"/>
          </w:tcPr>
          <w:p w:rsidRPr="00173FA2" w:rsidR="00885183" w:rsidP="00A56476" w:rsidRDefault="00885183" w14:paraId="012CDB13" w14:textId="77777777">
            <w:pPr>
              <w:tabs>
                <w:tab w:val="left" w:pos="6030"/>
              </w:tabs>
              <w:spacing w:line="276" w:lineRule="auto"/>
              <w:jc w:val="both"/>
              <w:rPr>
                <w:b/>
                <w:bCs/>
                <w:sz w:val="20"/>
                <w:szCs w:val="20"/>
              </w:rPr>
            </w:pPr>
            <w:r w:rsidRPr="00173FA2">
              <w:rPr>
                <w:b/>
                <w:bCs/>
                <w:sz w:val="20"/>
                <w:szCs w:val="20"/>
              </w:rPr>
              <w:t>Total Annual Time (hr)</w:t>
            </w:r>
          </w:p>
        </w:tc>
        <w:tc>
          <w:tcPr>
            <w:tcW w:w="965" w:type="dxa"/>
          </w:tcPr>
          <w:p w:rsidRPr="00173FA2" w:rsidR="00885183" w:rsidP="00A56476" w:rsidRDefault="00885183" w14:paraId="30DD2B44" w14:textId="77777777">
            <w:pPr>
              <w:tabs>
                <w:tab w:val="left" w:pos="6030"/>
              </w:tabs>
              <w:spacing w:line="276" w:lineRule="auto"/>
              <w:jc w:val="both"/>
              <w:rPr>
                <w:b/>
                <w:bCs/>
                <w:sz w:val="20"/>
                <w:szCs w:val="20"/>
              </w:rPr>
            </w:pPr>
            <w:r w:rsidRPr="00173FA2">
              <w:rPr>
                <w:b/>
                <w:bCs/>
                <w:sz w:val="20"/>
                <w:szCs w:val="20"/>
              </w:rPr>
              <w:t>Labor Cost ($/hr)</w:t>
            </w:r>
          </w:p>
        </w:tc>
        <w:tc>
          <w:tcPr>
            <w:tcW w:w="1412" w:type="dxa"/>
          </w:tcPr>
          <w:p w:rsidRPr="00173FA2" w:rsidR="00885183" w:rsidP="00A56476" w:rsidRDefault="00885183" w14:paraId="2FD18E7F" w14:textId="77777777">
            <w:pPr>
              <w:tabs>
                <w:tab w:val="left" w:pos="6030"/>
              </w:tabs>
              <w:spacing w:line="276" w:lineRule="auto"/>
              <w:rPr>
                <w:b/>
                <w:bCs/>
                <w:sz w:val="20"/>
                <w:szCs w:val="20"/>
              </w:rPr>
            </w:pPr>
            <w:r w:rsidRPr="00173FA2">
              <w:rPr>
                <w:b/>
                <w:bCs/>
                <w:sz w:val="20"/>
                <w:szCs w:val="20"/>
              </w:rPr>
              <w:t>Total Annual Cost ($)</w:t>
            </w:r>
          </w:p>
        </w:tc>
      </w:tr>
      <w:tr w:rsidR="00E030FD" w:rsidTr="003830B0" w14:paraId="3B85BDAF" w14:textId="77777777">
        <w:tc>
          <w:tcPr>
            <w:tcW w:w="1398" w:type="dxa"/>
          </w:tcPr>
          <w:p w:rsidRPr="00BB7053" w:rsidR="001E58F6" w:rsidP="001E58F6" w:rsidRDefault="001E58F6" w14:paraId="61C133A1" w14:textId="0EB6B024">
            <w:pPr>
              <w:tabs>
                <w:tab w:val="left" w:pos="6030"/>
              </w:tabs>
              <w:spacing w:line="276" w:lineRule="auto"/>
              <w:jc w:val="both"/>
              <w:rPr>
                <w:sz w:val="20"/>
                <w:szCs w:val="20"/>
              </w:rPr>
            </w:pPr>
            <w:r>
              <w:rPr>
                <w:sz w:val="20"/>
                <w:szCs w:val="20"/>
              </w:rPr>
              <w:t xml:space="preserve">Currently </w:t>
            </w:r>
            <w:r w:rsidR="00D62EC0">
              <w:rPr>
                <w:sz w:val="20"/>
                <w:szCs w:val="20"/>
              </w:rPr>
              <w:t>Approved (</w:t>
            </w:r>
            <w:r w:rsidR="00932E94">
              <w:rPr>
                <w:sz w:val="20"/>
                <w:szCs w:val="20"/>
              </w:rPr>
              <w:t>2022</w:t>
            </w:r>
            <w:r w:rsidR="0047236F">
              <w:rPr>
                <w:sz w:val="20"/>
                <w:szCs w:val="20"/>
              </w:rPr>
              <w:t xml:space="preserve"> MIPS Performance Period</w:t>
            </w:r>
            <w:r w:rsidR="00932E94">
              <w:rPr>
                <w:sz w:val="20"/>
                <w:szCs w:val="20"/>
              </w:rPr>
              <w:t>)</w:t>
            </w:r>
          </w:p>
        </w:tc>
        <w:tc>
          <w:tcPr>
            <w:tcW w:w="1392" w:type="dxa"/>
          </w:tcPr>
          <w:p w:rsidRPr="00BB7053" w:rsidR="001E58F6" w:rsidP="001E58F6" w:rsidRDefault="00F253AB" w14:paraId="4BE68855" w14:textId="75F11437">
            <w:pPr>
              <w:tabs>
                <w:tab w:val="left" w:pos="6030"/>
              </w:tabs>
              <w:spacing w:line="276" w:lineRule="auto"/>
              <w:jc w:val="right"/>
              <w:rPr>
                <w:sz w:val="20"/>
                <w:szCs w:val="20"/>
              </w:rPr>
            </w:pPr>
            <w:r>
              <w:rPr>
                <w:sz w:val="20"/>
                <w:szCs w:val="20"/>
              </w:rPr>
              <w:t>79,927</w:t>
            </w:r>
          </w:p>
        </w:tc>
        <w:tc>
          <w:tcPr>
            <w:tcW w:w="1127" w:type="dxa"/>
          </w:tcPr>
          <w:p w:rsidRPr="00BB7053" w:rsidR="001E58F6" w:rsidP="001E58F6" w:rsidRDefault="001E58F6" w14:paraId="66090922" w14:textId="5907F51C">
            <w:pPr>
              <w:tabs>
                <w:tab w:val="left" w:pos="6030"/>
              </w:tabs>
              <w:spacing w:line="276" w:lineRule="auto"/>
              <w:jc w:val="right"/>
              <w:rPr>
                <w:sz w:val="20"/>
                <w:szCs w:val="20"/>
              </w:rPr>
            </w:pPr>
            <w:r>
              <w:rPr>
                <w:sz w:val="20"/>
                <w:szCs w:val="20"/>
              </w:rPr>
              <w:t>1</w:t>
            </w:r>
          </w:p>
        </w:tc>
        <w:tc>
          <w:tcPr>
            <w:tcW w:w="1346" w:type="dxa"/>
          </w:tcPr>
          <w:p w:rsidRPr="00BB7053" w:rsidR="001E58F6" w:rsidP="001E58F6" w:rsidRDefault="00F253AB" w14:paraId="03B0388B" w14:textId="3CA168C8">
            <w:pPr>
              <w:tabs>
                <w:tab w:val="left" w:pos="6030"/>
              </w:tabs>
              <w:spacing w:line="276" w:lineRule="auto"/>
              <w:jc w:val="right"/>
              <w:rPr>
                <w:sz w:val="20"/>
                <w:szCs w:val="20"/>
              </w:rPr>
            </w:pPr>
            <w:r>
              <w:rPr>
                <w:sz w:val="20"/>
                <w:szCs w:val="20"/>
              </w:rPr>
              <w:t>79,927</w:t>
            </w:r>
          </w:p>
        </w:tc>
        <w:tc>
          <w:tcPr>
            <w:tcW w:w="1017" w:type="dxa"/>
          </w:tcPr>
          <w:p w:rsidRPr="00BB7053" w:rsidR="001E58F6" w:rsidP="001E58F6" w:rsidRDefault="001E58F6" w14:paraId="1A75E226" w14:textId="75216003">
            <w:pPr>
              <w:tabs>
                <w:tab w:val="left" w:pos="6030"/>
              </w:tabs>
              <w:spacing w:line="276" w:lineRule="auto"/>
              <w:jc w:val="right"/>
              <w:rPr>
                <w:sz w:val="20"/>
                <w:szCs w:val="20"/>
              </w:rPr>
            </w:pPr>
            <w:r>
              <w:rPr>
                <w:sz w:val="20"/>
                <w:szCs w:val="20"/>
              </w:rPr>
              <w:t>0.083</w:t>
            </w:r>
          </w:p>
        </w:tc>
        <w:tc>
          <w:tcPr>
            <w:tcW w:w="1058" w:type="dxa"/>
          </w:tcPr>
          <w:p w:rsidRPr="00BB7053" w:rsidR="001E58F6" w:rsidP="001E58F6" w:rsidRDefault="001B7A11" w14:paraId="37718161" w14:textId="173DA297">
            <w:pPr>
              <w:tabs>
                <w:tab w:val="left" w:pos="6030"/>
              </w:tabs>
              <w:spacing w:line="276" w:lineRule="auto"/>
              <w:jc w:val="right"/>
              <w:rPr>
                <w:sz w:val="20"/>
                <w:szCs w:val="20"/>
              </w:rPr>
            </w:pPr>
            <w:r>
              <w:rPr>
                <w:sz w:val="20"/>
                <w:szCs w:val="20"/>
              </w:rPr>
              <w:t>6,661</w:t>
            </w:r>
          </w:p>
        </w:tc>
        <w:tc>
          <w:tcPr>
            <w:tcW w:w="965" w:type="dxa"/>
          </w:tcPr>
          <w:p w:rsidRPr="00BB7053" w:rsidR="001E58F6" w:rsidP="001E58F6" w:rsidRDefault="001E58F6" w14:paraId="187D3B36" w14:textId="32933DD8">
            <w:pPr>
              <w:tabs>
                <w:tab w:val="left" w:pos="6030"/>
              </w:tabs>
              <w:spacing w:line="276" w:lineRule="auto"/>
              <w:jc w:val="right"/>
              <w:rPr>
                <w:sz w:val="20"/>
                <w:szCs w:val="20"/>
              </w:rPr>
            </w:pPr>
            <w:r>
              <w:rPr>
                <w:sz w:val="20"/>
                <w:szCs w:val="20"/>
              </w:rPr>
              <w:t>9</w:t>
            </w:r>
            <w:r w:rsidR="001B7A11">
              <w:rPr>
                <w:sz w:val="20"/>
                <w:szCs w:val="20"/>
              </w:rPr>
              <w:t>5.22</w:t>
            </w:r>
          </w:p>
        </w:tc>
        <w:tc>
          <w:tcPr>
            <w:tcW w:w="1412" w:type="dxa"/>
          </w:tcPr>
          <w:p w:rsidRPr="00BB7053" w:rsidR="001E58F6" w:rsidP="001E58F6" w:rsidRDefault="00E030FD" w14:paraId="17553959" w14:textId="55B849C7">
            <w:pPr>
              <w:tabs>
                <w:tab w:val="left" w:pos="6030"/>
              </w:tabs>
              <w:spacing w:line="276" w:lineRule="auto"/>
              <w:jc w:val="right"/>
              <w:rPr>
                <w:sz w:val="20"/>
                <w:szCs w:val="20"/>
              </w:rPr>
            </w:pPr>
            <w:r>
              <w:rPr>
                <w:sz w:val="20"/>
                <w:szCs w:val="20"/>
              </w:rPr>
              <w:t>634,221</w:t>
            </w:r>
          </w:p>
        </w:tc>
      </w:tr>
      <w:tr w:rsidR="00E030FD" w:rsidTr="003830B0" w14:paraId="72FB6C9E" w14:textId="77777777">
        <w:tc>
          <w:tcPr>
            <w:tcW w:w="1398" w:type="dxa"/>
          </w:tcPr>
          <w:p w:rsidRPr="00BB7053" w:rsidR="001E58F6" w:rsidP="00192E2E" w:rsidRDefault="004607DF" w14:paraId="14CABED0" w14:textId="5B892084">
            <w:pPr>
              <w:tabs>
                <w:tab w:val="left" w:pos="6030"/>
              </w:tabs>
              <w:spacing w:line="276" w:lineRule="auto"/>
              <w:rPr>
                <w:sz w:val="20"/>
                <w:szCs w:val="20"/>
              </w:rPr>
            </w:pPr>
            <w:r>
              <w:rPr>
                <w:sz w:val="20"/>
                <w:szCs w:val="20"/>
              </w:rPr>
              <w:t>Proposed (2022</w:t>
            </w:r>
            <w:r w:rsidR="00CC6882">
              <w:rPr>
                <w:sz w:val="20"/>
                <w:szCs w:val="20"/>
              </w:rPr>
              <w:t xml:space="preserve"> MIPS Performance Period</w:t>
            </w:r>
            <w:r>
              <w:rPr>
                <w:sz w:val="20"/>
                <w:szCs w:val="20"/>
              </w:rPr>
              <w:t xml:space="preserve">) </w:t>
            </w:r>
            <w:r w:rsidRPr="00A67FD9" w:rsidR="00A67FD9">
              <w:rPr>
                <w:sz w:val="20"/>
                <w:szCs w:val="20"/>
              </w:rPr>
              <w:t>(See Table 2</w:t>
            </w:r>
            <w:r w:rsidR="00405364">
              <w:rPr>
                <w:sz w:val="20"/>
                <w:szCs w:val="20"/>
              </w:rPr>
              <w:t>5</w:t>
            </w:r>
            <w:r w:rsidRPr="00A67FD9" w:rsidR="00A67FD9">
              <w:rPr>
                <w:sz w:val="20"/>
                <w:szCs w:val="20"/>
              </w:rPr>
              <w:t>)</w:t>
            </w:r>
          </w:p>
        </w:tc>
        <w:tc>
          <w:tcPr>
            <w:tcW w:w="1392" w:type="dxa"/>
          </w:tcPr>
          <w:p w:rsidRPr="00BB7053" w:rsidR="001E58F6" w:rsidP="001E58F6" w:rsidRDefault="00E163C5" w14:paraId="4106FC0B" w14:textId="631A5F54">
            <w:pPr>
              <w:tabs>
                <w:tab w:val="left" w:pos="6030"/>
              </w:tabs>
              <w:spacing w:line="276" w:lineRule="auto"/>
              <w:jc w:val="right"/>
              <w:rPr>
                <w:sz w:val="20"/>
                <w:szCs w:val="20"/>
              </w:rPr>
            </w:pPr>
            <w:r>
              <w:rPr>
                <w:sz w:val="20"/>
                <w:szCs w:val="20"/>
              </w:rPr>
              <w:t>81,562</w:t>
            </w:r>
          </w:p>
        </w:tc>
        <w:tc>
          <w:tcPr>
            <w:tcW w:w="1127" w:type="dxa"/>
          </w:tcPr>
          <w:p w:rsidRPr="00BB7053" w:rsidR="001E58F6" w:rsidP="001E58F6" w:rsidRDefault="001E58F6" w14:paraId="43FFFA9A" w14:textId="2DF50565">
            <w:pPr>
              <w:tabs>
                <w:tab w:val="left" w:pos="6030"/>
              </w:tabs>
              <w:spacing w:line="276" w:lineRule="auto"/>
              <w:jc w:val="right"/>
              <w:rPr>
                <w:sz w:val="20"/>
                <w:szCs w:val="20"/>
              </w:rPr>
            </w:pPr>
            <w:r>
              <w:rPr>
                <w:sz w:val="20"/>
                <w:szCs w:val="20"/>
              </w:rPr>
              <w:t>1</w:t>
            </w:r>
          </w:p>
        </w:tc>
        <w:tc>
          <w:tcPr>
            <w:tcW w:w="1346" w:type="dxa"/>
          </w:tcPr>
          <w:p w:rsidRPr="00BB7053" w:rsidR="001E58F6" w:rsidP="001E58F6" w:rsidRDefault="00E163C5" w14:paraId="4E3DC029" w14:textId="05C7FE99">
            <w:pPr>
              <w:tabs>
                <w:tab w:val="left" w:pos="6030"/>
              </w:tabs>
              <w:spacing w:line="276" w:lineRule="auto"/>
              <w:jc w:val="right"/>
              <w:rPr>
                <w:sz w:val="20"/>
                <w:szCs w:val="20"/>
              </w:rPr>
            </w:pPr>
            <w:r>
              <w:rPr>
                <w:sz w:val="20"/>
                <w:szCs w:val="20"/>
              </w:rPr>
              <w:t>81,562</w:t>
            </w:r>
          </w:p>
        </w:tc>
        <w:tc>
          <w:tcPr>
            <w:tcW w:w="1017" w:type="dxa"/>
          </w:tcPr>
          <w:p w:rsidRPr="00BB7053" w:rsidR="001E58F6" w:rsidP="001E58F6" w:rsidRDefault="001E58F6" w14:paraId="3201B30C" w14:textId="5193BCD3">
            <w:pPr>
              <w:tabs>
                <w:tab w:val="left" w:pos="6030"/>
              </w:tabs>
              <w:spacing w:line="276" w:lineRule="auto"/>
              <w:jc w:val="right"/>
              <w:rPr>
                <w:sz w:val="20"/>
                <w:szCs w:val="20"/>
              </w:rPr>
            </w:pPr>
            <w:r>
              <w:rPr>
                <w:sz w:val="20"/>
                <w:szCs w:val="20"/>
              </w:rPr>
              <w:t>0.083</w:t>
            </w:r>
          </w:p>
        </w:tc>
        <w:tc>
          <w:tcPr>
            <w:tcW w:w="1058" w:type="dxa"/>
          </w:tcPr>
          <w:p w:rsidRPr="00BB7053" w:rsidR="001E58F6" w:rsidP="001E58F6" w:rsidRDefault="0086236B" w14:paraId="063E9826" w14:textId="73A3D9EB">
            <w:pPr>
              <w:tabs>
                <w:tab w:val="left" w:pos="6030"/>
              </w:tabs>
              <w:spacing w:line="276" w:lineRule="auto"/>
              <w:jc w:val="right"/>
              <w:rPr>
                <w:sz w:val="20"/>
                <w:szCs w:val="20"/>
              </w:rPr>
            </w:pPr>
            <w:r>
              <w:rPr>
                <w:sz w:val="20"/>
                <w:szCs w:val="20"/>
              </w:rPr>
              <w:t>6,</w:t>
            </w:r>
            <w:r w:rsidR="00895F08">
              <w:rPr>
                <w:sz w:val="20"/>
                <w:szCs w:val="20"/>
              </w:rPr>
              <w:t>797</w:t>
            </w:r>
          </w:p>
        </w:tc>
        <w:tc>
          <w:tcPr>
            <w:tcW w:w="965" w:type="dxa"/>
          </w:tcPr>
          <w:p w:rsidRPr="00BB7053" w:rsidR="001E58F6" w:rsidP="001E58F6" w:rsidRDefault="001E58F6" w14:paraId="2A5F938B" w14:textId="6FEC12CA">
            <w:pPr>
              <w:tabs>
                <w:tab w:val="left" w:pos="6030"/>
              </w:tabs>
              <w:spacing w:line="276" w:lineRule="auto"/>
              <w:jc w:val="right"/>
              <w:rPr>
                <w:sz w:val="20"/>
                <w:szCs w:val="20"/>
              </w:rPr>
            </w:pPr>
            <w:r>
              <w:rPr>
                <w:sz w:val="20"/>
                <w:szCs w:val="20"/>
              </w:rPr>
              <w:t>9</w:t>
            </w:r>
            <w:r w:rsidR="001B7A11">
              <w:rPr>
                <w:sz w:val="20"/>
                <w:szCs w:val="20"/>
              </w:rPr>
              <w:t>5.22</w:t>
            </w:r>
          </w:p>
        </w:tc>
        <w:tc>
          <w:tcPr>
            <w:tcW w:w="1412" w:type="dxa"/>
          </w:tcPr>
          <w:p w:rsidRPr="00BB7053" w:rsidR="001E58F6" w:rsidP="001E58F6" w:rsidRDefault="0086236B" w14:paraId="2FABF5A4" w14:textId="0E2FA149">
            <w:pPr>
              <w:tabs>
                <w:tab w:val="left" w:pos="6030"/>
              </w:tabs>
              <w:spacing w:line="276" w:lineRule="auto"/>
              <w:jc w:val="right"/>
              <w:rPr>
                <w:sz w:val="20"/>
                <w:szCs w:val="20"/>
              </w:rPr>
            </w:pPr>
            <w:r>
              <w:rPr>
                <w:sz w:val="20"/>
                <w:szCs w:val="20"/>
              </w:rPr>
              <w:t>6</w:t>
            </w:r>
            <w:r w:rsidR="00AF7D71">
              <w:rPr>
                <w:sz w:val="20"/>
                <w:szCs w:val="20"/>
              </w:rPr>
              <w:t>47,</w:t>
            </w:r>
            <w:r w:rsidR="001779D3">
              <w:rPr>
                <w:sz w:val="20"/>
                <w:szCs w:val="20"/>
              </w:rPr>
              <w:t>210</w:t>
            </w:r>
          </w:p>
        </w:tc>
      </w:tr>
      <w:tr w:rsidR="001B7A11" w:rsidTr="003830B0" w14:paraId="37CFF55C" w14:textId="77777777">
        <w:tc>
          <w:tcPr>
            <w:tcW w:w="1398" w:type="dxa"/>
            <w:shd w:val="clear" w:color="auto" w:fill="D9D9D9" w:themeFill="background1" w:themeFillShade="D9"/>
          </w:tcPr>
          <w:p w:rsidRPr="00BB7053" w:rsidR="001E58F6" w:rsidP="001E58F6" w:rsidRDefault="001E58F6" w14:paraId="3282D3A6" w14:textId="7241D7A6">
            <w:pPr>
              <w:tabs>
                <w:tab w:val="left" w:pos="6030"/>
              </w:tabs>
              <w:spacing w:line="276" w:lineRule="auto"/>
              <w:jc w:val="both"/>
              <w:rPr>
                <w:sz w:val="20"/>
                <w:szCs w:val="20"/>
              </w:rPr>
            </w:pPr>
            <w:r>
              <w:rPr>
                <w:sz w:val="20"/>
                <w:szCs w:val="20"/>
              </w:rPr>
              <w:t>Adjustment</w:t>
            </w:r>
          </w:p>
        </w:tc>
        <w:tc>
          <w:tcPr>
            <w:tcW w:w="1392" w:type="dxa"/>
            <w:shd w:val="clear" w:color="auto" w:fill="D9D9D9" w:themeFill="background1" w:themeFillShade="D9"/>
          </w:tcPr>
          <w:p w:rsidRPr="00BB7053" w:rsidR="001E58F6" w:rsidP="001E58F6" w:rsidRDefault="00E73A3B" w14:paraId="5FFE50A8" w14:textId="37FE95C8">
            <w:pPr>
              <w:tabs>
                <w:tab w:val="left" w:pos="6030"/>
              </w:tabs>
              <w:spacing w:line="276" w:lineRule="auto"/>
              <w:jc w:val="right"/>
              <w:rPr>
                <w:sz w:val="20"/>
                <w:szCs w:val="20"/>
              </w:rPr>
            </w:pPr>
            <w:r>
              <w:rPr>
                <w:sz w:val="20"/>
                <w:szCs w:val="20"/>
              </w:rPr>
              <w:t>+1,635</w:t>
            </w:r>
          </w:p>
        </w:tc>
        <w:tc>
          <w:tcPr>
            <w:tcW w:w="1127" w:type="dxa"/>
            <w:shd w:val="clear" w:color="auto" w:fill="D9D9D9" w:themeFill="background1" w:themeFillShade="D9"/>
          </w:tcPr>
          <w:p w:rsidRPr="00BB7053" w:rsidR="001E58F6" w:rsidP="001E58F6" w:rsidRDefault="001E58F6" w14:paraId="3A693691" w14:textId="33A635B3">
            <w:pPr>
              <w:tabs>
                <w:tab w:val="left" w:pos="6030"/>
              </w:tabs>
              <w:spacing w:line="276" w:lineRule="auto"/>
              <w:jc w:val="right"/>
              <w:rPr>
                <w:sz w:val="20"/>
                <w:szCs w:val="20"/>
              </w:rPr>
            </w:pPr>
            <w:r>
              <w:rPr>
                <w:sz w:val="20"/>
                <w:szCs w:val="20"/>
              </w:rPr>
              <w:t>No change</w:t>
            </w:r>
          </w:p>
        </w:tc>
        <w:tc>
          <w:tcPr>
            <w:tcW w:w="1346" w:type="dxa"/>
            <w:shd w:val="clear" w:color="auto" w:fill="D9D9D9" w:themeFill="background1" w:themeFillShade="D9"/>
          </w:tcPr>
          <w:p w:rsidRPr="00BB7053" w:rsidR="001E58F6" w:rsidP="001E58F6" w:rsidRDefault="00E73A3B" w14:paraId="715F23FA" w14:textId="3CC4FD03">
            <w:pPr>
              <w:tabs>
                <w:tab w:val="left" w:pos="6030"/>
              </w:tabs>
              <w:spacing w:line="276" w:lineRule="auto"/>
              <w:jc w:val="right"/>
              <w:rPr>
                <w:sz w:val="20"/>
                <w:szCs w:val="20"/>
              </w:rPr>
            </w:pPr>
            <w:r>
              <w:rPr>
                <w:sz w:val="20"/>
                <w:szCs w:val="20"/>
              </w:rPr>
              <w:t>+1,635</w:t>
            </w:r>
          </w:p>
        </w:tc>
        <w:tc>
          <w:tcPr>
            <w:tcW w:w="1017" w:type="dxa"/>
            <w:shd w:val="clear" w:color="auto" w:fill="D9D9D9" w:themeFill="background1" w:themeFillShade="D9"/>
          </w:tcPr>
          <w:p w:rsidRPr="00BB7053" w:rsidR="001E58F6" w:rsidP="001E58F6" w:rsidRDefault="001E58F6" w14:paraId="69F41CB6" w14:textId="223BDD0C">
            <w:pPr>
              <w:tabs>
                <w:tab w:val="left" w:pos="6030"/>
              </w:tabs>
              <w:spacing w:line="276" w:lineRule="auto"/>
              <w:jc w:val="right"/>
              <w:rPr>
                <w:sz w:val="20"/>
                <w:szCs w:val="20"/>
              </w:rPr>
            </w:pPr>
            <w:r>
              <w:rPr>
                <w:sz w:val="20"/>
                <w:szCs w:val="20"/>
              </w:rPr>
              <w:t>No change</w:t>
            </w:r>
          </w:p>
        </w:tc>
        <w:tc>
          <w:tcPr>
            <w:tcW w:w="1058" w:type="dxa"/>
            <w:shd w:val="clear" w:color="auto" w:fill="D9D9D9" w:themeFill="background1" w:themeFillShade="D9"/>
          </w:tcPr>
          <w:p w:rsidRPr="00BB7053" w:rsidR="001E58F6" w:rsidP="001E58F6" w:rsidRDefault="009C33BD" w14:paraId="54FE6BBA" w14:textId="6C2B3062">
            <w:pPr>
              <w:tabs>
                <w:tab w:val="left" w:pos="6030"/>
              </w:tabs>
              <w:spacing w:line="276" w:lineRule="auto"/>
              <w:jc w:val="right"/>
              <w:rPr>
                <w:sz w:val="20"/>
                <w:szCs w:val="20"/>
              </w:rPr>
            </w:pPr>
            <w:r>
              <w:rPr>
                <w:sz w:val="20"/>
                <w:szCs w:val="20"/>
              </w:rPr>
              <w:t>+136</w:t>
            </w:r>
          </w:p>
        </w:tc>
        <w:tc>
          <w:tcPr>
            <w:tcW w:w="965" w:type="dxa"/>
            <w:shd w:val="clear" w:color="auto" w:fill="D9D9D9" w:themeFill="background1" w:themeFillShade="D9"/>
          </w:tcPr>
          <w:p w:rsidRPr="00BB7053" w:rsidR="001E58F6" w:rsidP="001E58F6" w:rsidRDefault="001E58F6" w14:paraId="3F7790D8" w14:textId="0EF5831A">
            <w:pPr>
              <w:tabs>
                <w:tab w:val="left" w:pos="6030"/>
              </w:tabs>
              <w:spacing w:line="276" w:lineRule="auto"/>
              <w:jc w:val="right"/>
              <w:rPr>
                <w:sz w:val="20"/>
                <w:szCs w:val="20"/>
              </w:rPr>
            </w:pPr>
            <w:r>
              <w:rPr>
                <w:sz w:val="20"/>
                <w:szCs w:val="20"/>
              </w:rPr>
              <w:t>No change</w:t>
            </w:r>
          </w:p>
        </w:tc>
        <w:tc>
          <w:tcPr>
            <w:tcW w:w="1412" w:type="dxa"/>
            <w:shd w:val="clear" w:color="auto" w:fill="D9D9D9" w:themeFill="background1" w:themeFillShade="D9"/>
          </w:tcPr>
          <w:p w:rsidRPr="00BB7053" w:rsidR="001E58F6" w:rsidP="001E58F6" w:rsidRDefault="004F4A5E" w14:paraId="68FC72E0" w14:textId="544B3740">
            <w:pPr>
              <w:tabs>
                <w:tab w:val="left" w:pos="6030"/>
              </w:tabs>
              <w:spacing w:line="276" w:lineRule="auto"/>
              <w:jc w:val="right"/>
              <w:rPr>
                <w:sz w:val="20"/>
                <w:szCs w:val="20"/>
              </w:rPr>
            </w:pPr>
            <w:r>
              <w:rPr>
                <w:sz w:val="20"/>
                <w:szCs w:val="20"/>
              </w:rPr>
              <w:t>+$12,9</w:t>
            </w:r>
            <w:r w:rsidR="001779D3">
              <w:rPr>
                <w:sz w:val="20"/>
                <w:szCs w:val="20"/>
              </w:rPr>
              <w:t>89</w:t>
            </w:r>
          </w:p>
        </w:tc>
      </w:tr>
    </w:tbl>
    <w:p w:rsidR="00885183" w:rsidP="00BB7053" w:rsidRDefault="00885183" w14:paraId="41A084D2" w14:textId="4004992C">
      <w:pPr>
        <w:tabs>
          <w:tab w:val="left" w:pos="6030"/>
        </w:tabs>
        <w:spacing w:line="276" w:lineRule="auto"/>
        <w:jc w:val="both"/>
      </w:pPr>
    </w:p>
    <w:p w:rsidR="00885183" w:rsidP="00536031" w:rsidRDefault="00885183" w14:paraId="2306C4AA" w14:textId="0C25790F">
      <w:pPr>
        <w:keepNext/>
        <w:keepLines/>
        <w:jc w:val="center"/>
        <w:rPr>
          <w:b/>
          <w:bCs/>
        </w:rPr>
      </w:pPr>
      <w:r w:rsidRPr="00B30713">
        <w:rPr>
          <w:rFonts w:eastAsia="Calibri"/>
          <w:b/>
          <w:bCs/>
        </w:rPr>
        <w:t xml:space="preserve">TABLE </w:t>
      </w:r>
      <w:r w:rsidR="00C1361E">
        <w:rPr>
          <w:rFonts w:eastAsia="Calibri"/>
          <w:b/>
          <w:bCs/>
        </w:rPr>
        <w:t>3</w:t>
      </w:r>
      <w:r w:rsidR="00CB0E2C">
        <w:rPr>
          <w:rFonts w:eastAsia="Calibri"/>
          <w:b/>
          <w:bCs/>
        </w:rPr>
        <w:t>8</w:t>
      </w:r>
      <w:r w:rsidR="00FA460C">
        <w:rPr>
          <w:rFonts w:eastAsia="Calibri"/>
          <w:b/>
          <w:bCs/>
        </w:rPr>
        <w:t>O</w:t>
      </w:r>
      <w:r w:rsidRPr="00B30713">
        <w:rPr>
          <w:rFonts w:eastAsia="Calibri"/>
          <w:b/>
          <w:bCs/>
        </w:rPr>
        <w:t xml:space="preserve">: Burden Reconciliation for </w:t>
      </w:r>
      <w:r w:rsidRPr="005D7081" w:rsidR="005D7081">
        <w:rPr>
          <w:rFonts w:eastAsia="Calibri"/>
          <w:b/>
          <w:bCs/>
        </w:rPr>
        <w:t>Nomination of Improvement Activities</w:t>
      </w:r>
    </w:p>
    <w:tbl>
      <w:tblPr>
        <w:tblStyle w:val="TableGrid"/>
        <w:tblW w:w="9810" w:type="dxa"/>
        <w:tblInd w:w="-95" w:type="dxa"/>
        <w:tblLook w:val="04A0" w:firstRow="1" w:lastRow="0" w:firstColumn="1" w:lastColumn="0" w:noHBand="0" w:noVBand="1"/>
      </w:tblPr>
      <w:tblGrid>
        <w:gridCol w:w="1427"/>
        <w:gridCol w:w="1306"/>
        <w:gridCol w:w="1165"/>
        <w:gridCol w:w="1094"/>
        <w:gridCol w:w="1073"/>
        <w:gridCol w:w="1056"/>
        <w:gridCol w:w="1045"/>
        <w:gridCol w:w="1644"/>
      </w:tblGrid>
      <w:tr w:rsidR="00F60BC7" w:rsidTr="003830B0" w14:paraId="0849234C" w14:textId="77777777">
        <w:trPr>
          <w:tblHeader/>
        </w:trPr>
        <w:tc>
          <w:tcPr>
            <w:tcW w:w="1427" w:type="dxa"/>
          </w:tcPr>
          <w:p w:rsidRPr="00173FA2" w:rsidR="00885183" w:rsidP="00536031" w:rsidRDefault="00885183" w14:paraId="55B36AE6"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536031" w:rsidRDefault="00885183" w14:paraId="5F18DBC9"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5" w:type="dxa"/>
          </w:tcPr>
          <w:p w:rsidRPr="00173FA2" w:rsidR="00885183" w:rsidP="00536031" w:rsidRDefault="00885183" w14:paraId="57B48CE1"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536031" w:rsidRDefault="00885183" w14:paraId="448D6BEE"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3" w:type="dxa"/>
          </w:tcPr>
          <w:p w:rsidRPr="00173FA2" w:rsidR="00885183" w:rsidP="00536031" w:rsidRDefault="00885183" w14:paraId="00725B49" w14:textId="77777777">
            <w:pPr>
              <w:keepNext/>
              <w:keepLines/>
              <w:tabs>
                <w:tab w:val="left" w:pos="6030"/>
              </w:tabs>
              <w:spacing w:line="276" w:lineRule="auto"/>
              <w:rPr>
                <w:b/>
                <w:bCs/>
                <w:sz w:val="20"/>
                <w:szCs w:val="20"/>
              </w:rPr>
            </w:pPr>
            <w:r w:rsidRPr="00173FA2">
              <w:rPr>
                <w:b/>
                <w:bCs/>
                <w:sz w:val="20"/>
                <w:szCs w:val="20"/>
              </w:rPr>
              <w:t>Time Per Response (hr)</w:t>
            </w:r>
          </w:p>
        </w:tc>
        <w:tc>
          <w:tcPr>
            <w:tcW w:w="1056" w:type="dxa"/>
          </w:tcPr>
          <w:p w:rsidRPr="00173FA2" w:rsidR="00885183" w:rsidP="00536031" w:rsidRDefault="00885183" w14:paraId="3E24C07C"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45" w:type="dxa"/>
          </w:tcPr>
          <w:p w:rsidRPr="00173FA2" w:rsidR="00885183" w:rsidP="00536031" w:rsidRDefault="00885183" w14:paraId="22F91B08"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44" w:type="dxa"/>
          </w:tcPr>
          <w:p w:rsidRPr="00173FA2" w:rsidR="00885183" w:rsidP="00536031" w:rsidRDefault="00885183" w14:paraId="498ED9DF" w14:textId="77777777">
            <w:pPr>
              <w:keepNext/>
              <w:keepLines/>
              <w:tabs>
                <w:tab w:val="left" w:pos="6030"/>
              </w:tabs>
              <w:spacing w:line="276" w:lineRule="auto"/>
              <w:rPr>
                <w:b/>
                <w:bCs/>
                <w:sz w:val="20"/>
                <w:szCs w:val="20"/>
              </w:rPr>
            </w:pPr>
            <w:r w:rsidRPr="00173FA2">
              <w:rPr>
                <w:b/>
                <w:bCs/>
                <w:sz w:val="20"/>
                <w:szCs w:val="20"/>
              </w:rPr>
              <w:t>Total Annual Cost ($)</w:t>
            </w:r>
          </w:p>
        </w:tc>
      </w:tr>
      <w:tr w:rsidR="00F60BC7" w:rsidTr="003830B0" w14:paraId="4C4AC82D" w14:textId="77777777">
        <w:tc>
          <w:tcPr>
            <w:tcW w:w="1427" w:type="dxa"/>
          </w:tcPr>
          <w:p w:rsidRPr="00BB7053" w:rsidR="0020715B" w:rsidP="0020715B" w:rsidRDefault="0020715B" w14:paraId="78DBC192" w14:textId="53C65558">
            <w:pPr>
              <w:tabs>
                <w:tab w:val="left" w:pos="6030"/>
              </w:tabs>
              <w:spacing w:line="276" w:lineRule="auto"/>
              <w:jc w:val="both"/>
              <w:rPr>
                <w:sz w:val="20"/>
                <w:szCs w:val="20"/>
              </w:rPr>
            </w:pPr>
            <w:r>
              <w:rPr>
                <w:sz w:val="20"/>
                <w:szCs w:val="20"/>
              </w:rPr>
              <w:t>Currently Approved</w:t>
            </w:r>
            <w:r w:rsidR="00CC5836">
              <w:rPr>
                <w:sz w:val="20"/>
                <w:szCs w:val="20"/>
              </w:rPr>
              <w:t xml:space="preserve"> </w:t>
            </w:r>
            <w:r w:rsidRPr="00E4635E" w:rsidR="00CC5836">
              <w:rPr>
                <w:bCs/>
                <w:sz w:val="20"/>
                <w:szCs w:val="20"/>
              </w:rPr>
              <w:t>(202</w:t>
            </w:r>
            <w:r w:rsidR="00C16A96">
              <w:rPr>
                <w:bCs/>
                <w:sz w:val="20"/>
                <w:szCs w:val="20"/>
              </w:rPr>
              <w:t>2</w:t>
            </w:r>
            <w:r w:rsidRPr="00E4635E" w:rsidR="00CC5836">
              <w:rPr>
                <w:bCs/>
                <w:sz w:val="20"/>
                <w:szCs w:val="20"/>
              </w:rPr>
              <w:t xml:space="preserve"> MIPS Performance Period)</w:t>
            </w:r>
          </w:p>
        </w:tc>
        <w:tc>
          <w:tcPr>
            <w:tcW w:w="1306" w:type="dxa"/>
          </w:tcPr>
          <w:p w:rsidRPr="00BB7053" w:rsidR="0020715B" w:rsidP="0020715B" w:rsidRDefault="0020715B" w14:paraId="219DE943" w14:textId="1D883800">
            <w:pPr>
              <w:tabs>
                <w:tab w:val="left" w:pos="6030"/>
              </w:tabs>
              <w:spacing w:line="276" w:lineRule="auto"/>
              <w:jc w:val="right"/>
              <w:rPr>
                <w:sz w:val="20"/>
                <w:szCs w:val="20"/>
              </w:rPr>
            </w:pPr>
            <w:r>
              <w:rPr>
                <w:sz w:val="20"/>
                <w:szCs w:val="20"/>
              </w:rPr>
              <w:t>31</w:t>
            </w:r>
          </w:p>
        </w:tc>
        <w:tc>
          <w:tcPr>
            <w:tcW w:w="1165" w:type="dxa"/>
          </w:tcPr>
          <w:p w:rsidRPr="00BB7053" w:rsidR="0020715B" w:rsidP="0020715B" w:rsidRDefault="0020715B" w14:paraId="420A867B" w14:textId="5F45E331">
            <w:pPr>
              <w:tabs>
                <w:tab w:val="left" w:pos="6030"/>
              </w:tabs>
              <w:spacing w:line="276" w:lineRule="auto"/>
              <w:jc w:val="right"/>
              <w:rPr>
                <w:sz w:val="20"/>
                <w:szCs w:val="20"/>
              </w:rPr>
            </w:pPr>
            <w:r>
              <w:rPr>
                <w:sz w:val="20"/>
                <w:szCs w:val="20"/>
              </w:rPr>
              <w:t>1</w:t>
            </w:r>
          </w:p>
        </w:tc>
        <w:tc>
          <w:tcPr>
            <w:tcW w:w="1094" w:type="dxa"/>
          </w:tcPr>
          <w:p w:rsidRPr="00BB7053" w:rsidR="0020715B" w:rsidP="0020715B" w:rsidRDefault="0020715B" w14:paraId="28D6000A" w14:textId="35F21956">
            <w:pPr>
              <w:tabs>
                <w:tab w:val="left" w:pos="6030"/>
              </w:tabs>
              <w:spacing w:line="276" w:lineRule="auto"/>
              <w:jc w:val="right"/>
              <w:rPr>
                <w:sz w:val="20"/>
                <w:szCs w:val="20"/>
              </w:rPr>
            </w:pPr>
            <w:r>
              <w:rPr>
                <w:sz w:val="20"/>
                <w:szCs w:val="20"/>
              </w:rPr>
              <w:t>31</w:t>
            </w:r>
          </w:p>
        </w:tc>
        <w:tc>
          <w:tcPr>
            <w:tcW w:w="1073" w:type="dxa"/>
          </w:tcPr>
          <w:p w:rsidRPr="00BB7053" w:rsidR="0020715B" w:rsidP="0020715B" w:rsidRDefault="00421992" w14:paraId="34CC53EE" w14:textId="719C1236">
            <w:pPr>
              <w:tabs>
                <w:tab w:val="left" w:pos="6030"/>
              </w:tabs>
              <w:spacing w:line="276" w:lineRule="auto"/>
              <w:jc w:val="right"/>
              <w:rPr>
                <w:sz w:val="20"/>
                <w:szCs w:val="20"/>
              </w:rPr>
            </w:pPr>
            <w:r>
              <w:rPr>
                <w:sz w:val="20"/>
                <w:szCs w:val="20"/>
              </w:rPr>
              <w:t>3</w:t>
            </w:r>
          </w:p>
        </w:tc>
        <w:tc>
          <w:tcPr>
            <w:tcW w:w="1056" w:type="dxa"/>
          </w:tcPr>
          <w:p w:rsidRPr="00BB7053" w:rsidR="0020715B" w:rsidP="0020715B" w:rsidRDefault="00421992" w14:paraId="1DBC9234" w14:textId="0B739E87">
            <w:pPr>
              <w:tabs>
                <w:tab w:val="left" w:pos="6030"/>
              </w:tabs>
              <w:spacing w:line="276" w:lineRule="auto"/>
              <w:jc w:val="right"/>
              <w:rPr>
                <w:sz w:val="20"/>
                <w:szCs w:val="20"/>
              </w:rPr>
            </w:pPr>
            <w:r>
              <w:rPr>
                <w:sz w:val="20"/>
                <w:szCs w:val="20"/>
              </w:rPr>
              <w:t>93</w:t>
            </w:r>
          </w:p>
        </w:tc>
        <w:tc>
          <w:tcPr>
            <w:tcW w:w="1045" w:type="dxa"/>
          </w:tcPr>
          <w:p w:rsidRPr="00BB7053" w:rsidR="0020715B" w:rsidP="0020715B" w:rsidRDefault="0020715B" w14:paraId="664185F7" w14:textId="5A8CE134">
            <w:pPr>
              <w:tabs>
                <w:tab w:val="left" w:pos="6030"/>
              </w:tabs>
              <w:spacing w:line="276" w:lineRule="auto"/>
              <w:jc w:val="right"/>
              <w:rPr>
                <w:sz w:val="20"/>
                <w:szCs w:val="20"/>
              </w:rPr>
            </w:pPr>
            <w:r>
              <w:rPr>
                <w:sz w:val="20"/>
                <w:szCs w:val="20"/>
              </w:rPr>
              <w:t>Varies</w:t>
            </w:r>
          </w:p>
        </w:tc>
        <w:tc>
          <w:tcPr>
            <w:tcW w:w="1644" w:type="dxa"/>
          </w:tcPr>
          <w:p w:rsidRPr="00BB7053" w:rsidR="0020715B" w:rsidP="0020715B" w:rsidRDefault="00F60BC7" w14:paraId="7ABD53F5" w14:textId="6D954CB9">
            <w:pPr>
              <w:tabs>
                <w:tab w:val="left" w:pos="6030"/>
              </w:tabs>
              <w:spacing w:line="276" w:lineRule="auto"/>
              <w:jc w:val="right"/>
              <w:rPr>
                <w:sz w:val="20"/>
                <w:szCs w:val="20"/>
              </w:rPr>
            </w:pPr>
            <w:r>
              <w:rPr>
                <w:sz w:val="20"/>
                <w:szCs w:val="20"/>
              </w:rPr>
              <w:t>14,203</w:t>
            </w:r>
          </w:p>
        </w:tc>
      </w:tr>
      <w:tr w:rsidR="00F60BC7" w:rsidTr="003830B0" w14:paraId="4D935E95" w14:textId="77777777">
        <w:tc>
          <w:tcPr>
            <w:tcW w:w="1427" w:type="dxa"/>
          </w:tcPr>
          <w:p w:rsidRPr="00BB7053" w:rsidR="0020715B" w:rsidP="00192E2E" w:rsidRDefault="00311198" w14:paraId="6BEE4F05" w14:textId="383A6B8C">
            <w:pPr>
              <w:tabs>
                <w:tab w:val="left" w:pos="6030"/>
              </w:tabs>
              <w:spacing w:line="276" w:lineRule="auto"/>
              <w:rPr>
                <w:sz w:val="20"/>
                <w:szCs w:val="20"/>
              </w:rPr>
            </w:pPr>
            <w:r>
              <w:rPr>
                <w:sz w:val="20"/>
                <w:szCs w:val="20"/>
              </w:rPr>
              <w:t>Proposed</w:t>
            </w:r>
            <w:r w:rsidR="00A67FD9">
              <w:rPr>
                <w:sz w:val="20"/>
                <w:szCs w:val="20"/>
              </w:rPr>
              <w:t xml:space="preserve"> </w:t>
            </w:r>
            <w:r w:rsidR="00CC6882">
              <w:rPr>
                <w:sz w:val="20"/>
                <w:szCs w:val="20"/>
              </w:rPr>
              <w:t xml:space="preserve">(2022 MIPS Performance Period) </w:t>
            </w:r>
            <w:r w:rsidRPr="00A67FD9" w:rsidR="00A67FD9">
              <w:rPr>
                <w:sz w:val="20"/>
                <w:szCs w:val="20"/>
              </w:rPr>
              <w:t>(See Table 2</w:t>
            </w:r>
            <w:r w:rsidR="00421992">
              <w:rPr>
                <w:sz w:val="20"/>
                <w:szCs w:val="20"/>
              </w:rPr>
              <w:t>7</w:t>
            </w:r>
            <w:r w:rsidRPr="00A67FD9" w:rsidR="00A67FD9">
              <w:rPr>
                <w:sz w:val="20"/>
                <w:szCs w:val="20"/>
              </w:rPr>
              <w:t>)</w:t>
            </w:r>
          </w:p>
        </w:tc>
        <w:tc>
          <w:tcPr>
            <w:tcW w:w="1306" w:type="dxa"/>
          </w:tcPr>
          <w:p w:rsidRPr="00BB7053" w:rsidR="0020715B" w:rsidP="0020715B" w:rsidRDefault="0020715B" w14:paraId="305A6981" w14:textId="396D13D0">
            <w:pPr>
              <w:tabs>
                <w:tab w:val="left" w:pos="6030"/>
              </w:tabs>
              <w:spacing w:line="276" w:lineRule="auto"/>
              <w:jc w:val="right"/>
              <w:rPr>
                <w:sz w:val="20"/>
                <w:szCs w:val="20"/>
              </w:rPr>
            </w:pPr>
            <w:r>
              <w:rPr>
                <w:sz w:val="20"/>
                <w:szCs w:val="20"/>
              </w:rPr>
              <w:t>31</w:t>
            </w:r>
          </w:p>
        </w:tc>
        <w:tc>
          <w:tcPr>
            <w:tcW w:w="1165" w:type="dxa"/>
          </w:tcPr>
          <w:p w:rsidRPr="00BB7053" w:rsidR="0020715B" w:rsidP="0020715B" w:rsidRDefault="0020715B" w14:paraId="178E48EA" w14:textId="4B9D32F2">
            <w:pPr>
              <w:tabs>
                <w:tab w:val="left" w:pos="6030"/>
              </w:tabs>
              <w:spacing w:line="276" w:lineRule="auto"/>
              <w:jc w:val="right"/>
              <w:rPr>
                <w:sz w:val="20"/>
                <w:szCs w:val="20"/>
              </w:rPr>
            </w:pPr>
            <w:r>
              <w:rPr>
                <w:sz w:val="20"/>
                <w:szCs w:val="20"/>
              </w:rPr>
              <w:t>1</w:t>
            </w:r>
          </w:p>
        </w:tc>
        <w:tc>
          <w:tcPr>
            <w:tcW w:w="1094" w:type="dxa"/>
          </w:tcPr>
          <w:p w:rsidRPr="00BB7053" w:rsidR="0020715B" w:rsidP="0020715B" w:rsidRDefault="0020715B" w14:paraId="489004AF" w14:textId="01775F59">
            <w:pPr>
              <w:tabs>
                <w:tab w:val="left" w:pos="6030"/>
              </w:tabs>
              <w:spacing w:line="276" w:lineRule="auto"/>
              <w:jc w:val="right"/>
              <w:rPr>
                <w:sz w:val="20"/>
                <w:szCs w:val="20"/>
              </w:rPr>
            </w:pPr>
            <w:r>
              <w:rPr>
                <w:sz w:val="20"/>
                <w:szCs w:val="20"/>
              </w:rPr>
              <w:t>31</w:t>
            </w:r>
          </w:p>
        </w:tc>
        <w:tc>
          <w:tcPr>
            <w:tcW w:w="1073" w:type="dxa"/>
          </w:tcPr>
          <w:p w:rsidRPr="00BB7053" w:rsidR="0020715B" w:rsidP="0020715B" w:rsidRDefault="008573D5" w14:paraId="581098F2" w14:textId="32C3F4DA">
            <w:pPr>
              <w:tabs>
                <w:tab w:val="left" w:pos="6030"/>
              </w:tabs>
              <w:spacing w:line="276" w:lineRule="auto"/>
              <w:jc w:val="right"/>
              <w:rPr>
                <w:sz w:val="20"/>
                <w:szCs w:val="20"/>
              </w:rPr>
            </w:pPr>
            <w:r>
              <w:rPr>
                <w:sz w:val="20"/>
                <w:szCs w:val="20"/>
              </w:rPr>
              <w:t>4.4</w:t>
            </w:r>
          </w:p>
        </w:tc>
        <w:tc>
          <w:tcPr>
            <w:tcW w:w="1056" w:type="dxa"/>
          </w:tcPr>
          <w:p w:rsidRPr="00BB7053" w:rsidR="0020715B" w:rsidP="0020715B" w:rsidRDefault="00CE0D21" w14:paraId="0FC860EC" w14:textId="229527D6">
            <w:pPr>
              <w:tabs>
                <w:tab w:val="left" w:pos="6030"/>
              </w:tabs>
              <w:spacing w:line="276" w:lineRule="auto"/>
              <w:jc w:val="right"/>
              <w:rPr>
                <w:sz w:val="20"/>
                <w:szCs w:val="20"/>
              </w:rPr>
            </w:pPr>
            <w:r>
              <w:rPr>
                <w:sz w:val="20"/>
                <w:szCs w:val="20"/>
              </w:rPr>
              <w:t>136</w:t>
            </w:r>
          </w:p>
        </w:tc>
        <w:tc>
          <w:tcPr>
            <w:tcW w:w="1045" w:type="dxa"/>
          </w:tcPr>
          <w:p w:rsidRPr="00BB7053" w:rsidR="0020715B" w:rsidP="0020715B" w:rsidRDefault="0020715B" w14:paraId="153AEB85" w14:textId="670D4789">
            <w:pPr>
              <w:tabs>
                <w:tab w:val="left" w:pos="6030"/>
              </w:tabs>
              <w:spacing w:line="276" w:lineRule="auto"/>
              <w:jc w:val="right"/>
              <w:rPr>
                <w:sz w:val="20"/>
                <w:szCs w:val="20"/>
              </w:rPr>
            </w:pPr>
            <w:r>
              <w:rPr>
                <w:sz w:val="20"/>
                <w:szCs w:val="20"/>
              </w:rPr>
              <w:t>Varies</w:t>
            </w:r>
          </w:p>
        </w:tc>
        <w:tc>
          <w:tcPr>
            <w:tcW w:w="1644" w:type="dxa"/>
          </w:tcPr>
          <w:p w:rsidRPr="00BB7053" w:rsidR="0020715B" w:rsidP="0020715B" w:rsidRDefault="008061F4" w14:paraId="106A001F" w14:textId="4F261203">
            <w:pPr>
              <w:tabs>
                <w:tab w:val="left" w:pos="6030"/>
              </w:tabs>
              <w:spacing w:line="276" w:lineRule="auto"/>
              <w:jc w:val="right"/>
              <w:rPr>
                <w:sz w:val="20"/>
                <w:szCs w:val="20"/>
              </w:rPr>
            </w:pPr>
            <w:r>
              <w:rPr>
                <w:sz w:val="20"/>
                <w:szCs w:val="20"/>
              </w:rPr>
              <w:t>20,695</w:t>
            </w:r>
          </w:p>
        </w:tc>
      </w:tr>
      <w:tr w:rsidR="005E6666" w:rsidTr="003830B0" w14:paraId="7585559D" w14:textId="77777777">
        <w:tc>
          <w:tcPr>
            <w:tcW w:w="1427" w:type="dxa"/>
            <w:shd w:val="clear" w:color="auto" w:fill="D9D9D9" w:themeFill="background1" w:themeFillShade="D9"/>
          </w:tcPr>
          <w:p w:rsidRPr="00BB7053" w:rsidR="0020715B" w:rsidP="0020715B" w:rsidRDefault="0020715B" w14:paraId="29A0523F"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20715B" w:rsidP="0020715B" w:rsidRDefault="0020715B" w14:paraId="068005BE" w14:textId="67C7FECB">
            <w:pPr>
              <w:tabs>
                <w:tab w:val="left" w:pos="6030"/>
              </w:tabs>
              <w:spacing w:line="276" w:lineRule="auto"/>
              <w:jc w:val="right"/>
              <w:rPr>
                <w:sz w:val="20"/>
                <w:szCs w:val="20"/>
              </w:rPr>
            </w:pPr>
            <w:r>
              <w:rPr>
                <w:sz w:val="20"/>
                <w:szCs w:val="20"/>
              </w:rPr>
              <w:t>No Change</w:t>
            </w:r>
          </w:p>
        </w:tc>
        <w:tc>
          <w:tcPr>
            <w:tcW w:w="1165" w:type="dxa"/>
            <w:shd w:val="clear" w:color="auto" w:fill="D9D9D9" w:themeFill="background1" w:themeFillShade="D9"/>
          </w:tcPr>
          <w:p w:rsidRPr="00BB7053" w:rsidR="0020715B" w:rsidP="0020715B" w:rsidRDefault="0020715B" w14:paraId="78690F1B" w14:textId="0DBC479A">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20715B" w:rsidP="0020715B" w:rsidRDefault="0020715B" w14:paraId="71756AC7" w14:textId="0B7A2D2A">
            <w:pPr>
              <w:tabs>
                <w:tab w:val="left" w:pos="6030"/>
              </w:tabs>
              <w:spacing w:line="276" w:lineRule="auto"/>
              <w:jc w:val="right"/>
              <w:rPr>
                <w:sz w:val="20"/>
                <w:szCs w:val="20"/>
              </w:rPr>
            </w:pPr>
            <w:r w:rsidRPr="00567943">
              <w:rPr>
                <w:sz w:val="20"/>
                <w:szCs w:val="20"/>
              </w:rPr>
              <w:t>No change</w:t>
            </w:r>
          </w:p>
        </w:tc>
        <w:tc>
          <w:tcPr>
            <w:tcW w:w="1073" w:type="dxa"/>
            <w:shd w:val="clear" w:color="auto" w:fill="D9D9D9" w:themeFill="background1" w:themeFillShade="D9"/>
          </w:tcPr>
          <w:p w:rsidRPr="00BB7053" w:rsidR="0020715B" w:rsidP="0020715B" w:rsidRDefault="0020715B" w14:paraId="408E4AC1" w14:textId="058F6FC3">
            <w:pPr>
              <w:tabs>
                <w:tab w:val="left" w:pos="6030"/>
              </w:tabs>
              <w:spacing w:line="276" w:lineRule="auto"/>
              <w:jc w:val="right"/>
              <w:rPr>
                <w:sz w:val="20"/>
                <w:szCs w:val="20"/>
              </w:rPr>
            </w:pPr>
            <w:r>
              <w:rPr>
                <w:sz w:val="20"/>
                <w:szCs w:val="20"/>
              </w:rPr>
              <w:t>+1</w:t>
            </w:r>
            <w:r w:rsidR="008573D5">
              <w:rPr>
                <w:sz w:val="20"/>
                <w:szCs w:val="20"/>
              </w:rPr>
              <w:t>.4</w:t>
            </w:r>
          </w:p>
        </w:tc>
        <w:tc>
          <w:tcPr>
            <w:tcW w:w="1056" w:type="dxa"/>
            <w:shd w:val="clear" w:color="auto" w:fill="D9D9D9" w:themeFill="background1" w:themeFillShade="D9"/>
          </w:tcPr>
          <w:p w:rsidRPr="00BB7053" w:rsidR="0020715B" w:rsidP="0020715B" w:rsidRDefault="002B0390" w14:paraId="2DD6AEB3" w14:textId="028DCBB2">
            <w:pPr>
              <w:tabs>
                <w:tab w:val="left" w:pos="6030"/>
              </w:tabs>
              <w:spacing w:line="276" w:lineRule="auto"/>
              <w:jc w:val="right"/>
              <w:rPr>
                <w:sz w:val="20"/>
                <w:szCs w:val="20"/>
              </w:rPr>
            </w:pPr>
            <w:r>
              <w:rPr>
                <w:sz w:val="20"/>
                <w:szCs w:val="20"/>
              </w:rPr>
              <w:t>+43</w:t>
            </w:r>
          </w:p>
        </w:tc>
        <w:tc>
          <w:tcPr>
            <w:tcW w:w="1045" w:type="dxa"/>
            <w:shd w:val="clear" w:color="auto" w:fill="D9D9D9" w:themeFill="background1" w:themeFillShade="D9"/>
          </w:tcPr>
          <w:p w:rsidRPr="00BB7053" w:rsidR="0020715B" w:rsidP="0020715B" w:rsidRDefault="0073386B" w14:paraId="1FF8C1AD" w14:textId="14CC0D89">
            <w:pPr>
              <w:tabs>
                <w:tab w:val="left" w:pos="6030"/>
              </w:tabs>
              <w:spacing w:line="276" w:lineRule="auto"/>
              <w:jc w:val="right"/>
              <w:rPr>
                <w:sz w:val="20"/>
                <w:szCs w:val="20"/>
              </w:rPr>
            </w:pPr>
            <w:r>
              <w:rPr>
                <w:sz w:val="20"/>
                <w:szCs w:val="20"/>
              </w:rPr>
              <w:t>Varies</w:t>
            </w:r>
          </w:p>
        </w:tc>
        <w:tc>
          <w:tcPr>
            <w:tcW w:w="1644" w:type="dxa"/>
            <w:shd w:val="clear" w:color="auto" w:fill="D9D9D9" w:themeFill="background1" w:themeFillShade="D9"/>
          </w:tcPr>
          <w:p w:rsidRPr="00BB7053" w:rsidR="0020715B" w:rsidP="0020715B" w:rsidRDefault="0020715B" w14:paraId="252AC99D" w14:textId="732FF824">
            <w:pPr>
              <w:tabs>
                <w:tab w:val="left" w:pos="6030"/>
              </w:tabs>
              <w:spacing w:line="276" w:lineRule="auto"/>
              <w:jc w:val="right"/>
              <w:rPr>
                <w:sz w:val="20"/>
                <w:szCs w:val="20"/>
              </w:rPr>
            </w:pPr>
            <w:r>
              <w:rPr>
                <w:sz w:val="20"/>
                <w:szCs w:val="20"/>
              </w:rPr>
              <w:t>+</w:t>
            </w:r>
            <w:r w:rsidR="00E330EE">
              <w:rPr>
                <w:sz w:val="20"/>
                <w:szCs w:val="20"/>
              </w:rPr>
              <w:t>$6,492</w:t>
            </w:r>
          </w:p>
        </w:tc>
      </w:tr>
    </w:tbl>
    <w:p w:rsidR="00C1361E" w:rsidP="00885183" w:rsidRDefault="00C1361E" w14:paraId="166F1A7D" w14:textId="77777777">
      <w:pPr>
        <w:jc w:val="center"/>
        <w:rPr>
          <w:rFonts w:eastAsia="Calibri"/>
          <w:b/>
          <w:bCs/>
        </w:rPr>
      </w:pPr>
    </w:p>
    <w:p w:rsidR="00885183" w:rsidP="00DE0E95" w:rsidRDefault="00885183" w14:paraId="05521CD9" w14:textId="214E4C27">
      <w:pPr>
        <w:keepNext/>
        <w:keepLines/>
        <w:jc w:val="center"/>
        <w:rPr>
          <w:b/>
          <w:bCs/>
        </w:rPr>
      </w:pPr>
      <w:r w:rsidRPr="00B30713">
        <w:rPr>
          <w:rFonts w:eastAsia="Calibri"/>
          <w:b/>
          <w:bCs/>
        </w:rPr>
        <w:lastRenderedPageBreak/>
        <w:t xml:space="preserve">TABLE </w:t>
      </w:r>
      <w:r w:rsidR="00C1361E">
        <w:rPr>
          <w:rFonts w:eastAsia="Calibri"/>
          <w:b/>
          <w:bCs/>
        </w:rPr>
        <w:t>3</w:t>
      </w:r>
      <w:r w:rsidR="00CB0E2C">
        <w:rPr>
          <w:rFonts w:eastAsia="Calibri"/>
          <w:b/>
          <w:bCs/>
        </w:rPr>
        <w:t>8</w:t>
      </w:r>
      <w:r w:rsidR="00FA460C">
        <w:rPr>
          <w:rFonts w:eastAsia="Calibri"/>
          <w:b/>
          <w:bCs/>
        </w:rPr>
        <w:t>P</w:t>
      </w:r>
      <w:r w:rsidRPr="00B30713">
        <w:rPr>
          <w:rFonts w:eastAsia="Calibri"/>
          <w:b/>
          <w:bCs/>
        </w:rPr>
        <w:t xml:space="preserve">: Burden Reconciliation for </w:t>
      </w:r>
      <w:r w:rsidRPr="000427D0" w:rsidR="000427D0">
        <w:rPr>
          <w:rFonts w:eastAsia="Calibri"/>
          <w:b/>
          <w:bCs/>
        </w:rPr>
        <w:t>Nomination of MVPs</w:t>
      </w:r>
    </w:p>
    <w:tbl>
      <w:tblPr>
        <w:tblStyle w:val="TableGrid"/>
        <w:tblW w:w="9715" w:type="dxa"/>
        <w:tblLook w:val="04A0" w:firstRow="1" w:lastRow="0" w:firstColumn="1" w:lastColumn="0" w:noHBand="0" w:noVBand="1"/>
      </w:tblPr>
      <w:tblGrid>
        <w:gridCol w:w="1251"/>
        <w:gridCol w:w="1306"/>
        <w:gridCol w:w="1168"/>
        <w:gridCol w:w="1094"/>
        <w:gridCol w:w="1077"/>
        <w:gridCol w:w="1071"/>
        <w:gridCol w:w="1067"/>
        <w:gridCol w:w="1681"/>
      </w:tblGrid>
      <w:tr w:rsidR="00885183" w:rsidTr="003830B0" w14:paraId="3D7100E5" w14:textId="77777777">
        <w:trPr>
          <w:tblHeader/>
        </w:trPr>
        <w:tc>
          <w:tcPr>
            <w:tcW w:w="1251" w:type="dxa"/>
          </w:tcPr>
          <w:p w:rsidRPr="00173FA2" w:rsidR="00885183" w:rsidP="00DE0E95" w:rsidRDefault="00885183" w14:paraId="3A297565"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DE0E95" w:rsidRDefault="00885183" w14:paraId="63896D41"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DE0E95" w:rsidRDefault="00885183" w14:paraId="2A314E33"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DE0E95" w:rsidRDefault="00885183" w14:paraId="4091D078"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DE0E95" w:rsidRDefault="00885183" w14:paraId="34F7728C" w14:textId="77777777">
            <w:pPr>
              <w:keepNext/>
              <w:keepLines/>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DE0E95" w:rsidRDefault="00885183" w14:paraId="13F22E5E"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7" w:type="dxa"/>
          </w:tcPr>
          <w:p w:rsidRPr="00173FA2" w:rsidR="00885183" w:rsidP="00DE0E95" w:rsidRDefault="00885183" w14:paraId="4CE986E4"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81" w:type="dxa"/>
          </w:tcPr>
          <w:p w:rsidRPr="00173FA2" w:rsidR="00885183" w:rsidP="00DE0E95" w:rsidRDefault="00885183" w14:paraId="35E8C241" w14:textId="77777777">
            <w:pPr>
              <w:keepNext/>
              <w:keepLines/>
              <w:tabs>
                <w:tab w:val="left" w:pos="6030"/>
              </w:tabs>
              <w:spacing w:line="276" w:lineRule="auto"/>
              <w:rPr>
                <w:b/>
                <w:bCs/>
                <w:sz w:val="20"/>
                <w:szCs w:val="20"/>
              </w:rPr>
            </w:pPr>
            <w:r w:rsidRPr="00173FA2">
              <w:rPr>
                <w:b/>
                <w:bCs/>
                <w:sz w:val="20"/>
                <w:szCs w:val="20"/>
              </w:rPr>
              <w:t>Total Annual Cost ($)</w:t>
            </w:r>
          </w:p>
        </w:tc>
      </w:tr>
      <w:tr w:rsidR="00E23B74" w:rsidTr="003830B0" w14:paraId="06ED3541" w14:textId="77777777">
        <w:tc>
          <w:tcPr>
            <w:tcW w:w="1251" w:type="dxa"/>
          </w:tcPr>
          <w:p w:rsidRPr="00BB7053" w:rsidR="00E23B74" w:rsidP="00E23B74" w:rsidRDefault="00E23B74" w14:paraId="333C1D65" w14:textId="7AC4F2AC">
            <w:pPr>
              <w:tabs>
                <w:tab w:val="left" w:pos="6030"/>
              </w:tabs>
              <w:spacing w:line="276" w:lineRule="auto"/>
              <w:jc w:val="both"/>
              <w:rPr>
                <w:sz w:val="20"/>
                <w:szCs w:val="20"/>
              </w:rPr>
            </w:pPr>
            <w:r>
              <w:rPr>
                <w:sz w:val="20"/>
                <w:szCs w:val="20"/>
              </w:rPr>
              <w:t>Currently Approved</w:t>
            </w:r>
            <w:r w:rsidR="00CC5836">
              <w:rPr>
                <w:sz w:val="20"/>
                <w:szCs w:val="20"/>
              </w:rPr>
              <w:t xml:space="preserve"> </w:t>
            </w:r>
            <w:r w:rsidRPr="00E4635E" w:rsidR="00CC5836">
              <w:rPr>
                <w:bCs/>
                <w:sz w:val="20"/>
                <w:szCs w:val="20"/>
              </w:rPr>
              <w:t>(202</w:t>
            </w:r>
            <w:r w:rsidR="00C16A96">
              <w:rPr>
                <w:bCs/>
                <w:sz w:val="20"/>
                <w:szCs w:val="20"/>
              </w:rPr>
              <w:t>2</w:t>
            </w:r>
            <w:r w:rsidRPr="00E4635E" w:rsidR="00CC5836">
              <w:rPr>
                <w:bCs/>
                <w:sz w:val="20"/>
                <w:szCs w:val="20"/>
              </w:rPr>
              <w:t xml:space="preserve"> MIPS Performance Period)</w:t>
            </w:r>
          </w:p>
        </w:tc>
        <w:tc>
          <w:tcPr>
            <w:tcW w:w="1306" w:type="dxa"/>
          </w:tcPr>
          <w:p w:rsidRPr="00BB7053" w:rsidR="00E23B74" w:rsidP="00E23B74" w:rsidRDefault="00E23B74" w14:paraId="24407B1E" w14:textId="3ACF5FAE">
            <w:pPr>
              <w:tabs>
                <w:tab w:val="left" w:pos="6030"/>
              </w:tabs>
              <w:spacing w:line="276" w:lineRule="auto"/>
              <w:jc w:val="right"/>
              <w:rPr>
                <w:sz w:val="20"/>
                <w:szCs w:val="20"/>
              </w:rPr>
            </w:pPr>
            <w:r>
              <w:rPr>
                <w:sz w:val="20"/>
                <w:szCs w:val="20"/>
              </w:rPr>
              <w:t>25</w:t>
            </w:r>
          </w:p>
        </w:tc>
        <w:tc>
          <w:tcPr>
            <w:tcW w:w="1168" w:type="dxa"/>
          </w:tcPr>
          <w:p w:rsidRPr="00BB7053" w:rsidR="00E23B74" w:rsidP="00E23B74" w:rsidRDefault="00E23B74" w14:paraId="58BFF60E" w14:textId="40966676">
            <w:pPr>
              <w:tabs>
                <w:tab w:val="left" w:pos="6030"/>
              </w:tabs>
              <w:spacing w:line="276" w:lineRule="auto"/>
              <w:jc w:val="right"/>
              <w:rPr>
                <w:sz w:val="20"/>
                <w:szCs w:val="20"/>
              </w:rPr>
            </w:pPr>
            <w:r>
              <w:rPr>
                <w:sz w:val="20"/>
                <w:szCs w:val="20"/>
              </w:rPr>
              <w:t>1</w:t>
            </w:r>
          </w:p>
        </w:tc>
        <w:tc>
          <w:tcPr>
            <w:tcW w:w="1094" w:type="dxa"/>
          </w:tcPr>
          <w:p w:rsidRPr="00BB7053" w:rsidR="00E23B74" w:rsidP="00E23B74" w:rsidRDefault="00E23B74" w14:paraId="574F4DDA" w14:textId="64E584F2">
            <w:pPr>
              <w:tabs>
                <w:tab w:val="left" w:pos="6030"/>
              </w:tabs>
              <w:spacing w:line="276" w:lineRule="auto"/>
              <w:jc w:val="right"/>
              <w:rPr>
                <w:sz w:val="20"/>
                <w:szCs w:val="20"/>
              </w:rPr>
            </w:pPr>
            <w:r>
              <w:rPr>
                <w:sz w:val="20"/>
                <w:szCs w:val="20"/>
              </w:rPr>
              <w:t>25</w:t>
            </w:r>
          </w:p>
        </w:tc>
        <w:tc>
          <w:tcPr>
            <w:tcW w:w="1077" w:type="dxa"/>
          </w:tcPr>
          <w:p w:rsidRPr="00BB7053" w:rsidR="00E23B74" w:rsidP="00E23B74" w:rsidRDefault="00E23B74" w14:paraId="186A8B13" w14:textId="542A2E13">
            <w:pPr>
              <w:tabs>
                <w:tab w:val="left" w:pos="6030"/>
              </w:tabs>
              <w:spacing w:line="276" w:lineRule="auto"/>
              <w:jc w:val="right"/>
              <w:rPr>
                <w:sz w:val="20"/>
                <w:szCs w:val="20"/>
              </w:rPr>
            </w:pPr>
            <w:r>
              <w:rPr>
                <w:sz w:val="20"/>
                <w:szCs w:val="20"/>
              </w:rPr>
              <w:t>12</w:t>
            </w:r>
          </w:p>
        </w:tc>
        <w:tc>
          <w:tcPr>
            <w:tcW w:w="1071" w:type="dxa"/>
          </w:tcPr>
          <w:p w:rsidRPr="00BB7053" w:rsidR="00E23B74" w:rsidP="00E23B74" w:rsidRDefault="00E23B74" w14:paraId="4A661A70" w14:textId="713679E6">
            <w:pPr>
              <w:tabs>
                <w:tab w:val="left" w:pos="6030"/>
              </w:tabs>
              <w:spacing w:line="276" w:lineRule="auto"/>
              <w:jc w:val="right"/>
              <w:rPr>
                <w:sz w:val="20"/>
                <w:szCs w:val="20"/>
              </w:rPr>
            </w:pPr>
            <w:r>
              <w:rPr>
                <w:sz w:val="20"/>
                <w:szCs w:val="20"/>
              </w:rPr>
              <w:t>300</w:t>
            </w:r>
          </w:p>
        </w:tc>
        <w:tc>
          <w:tcPr>
            <w:tcW w:w="1067" w:type="dxa"/>
          </w:tcPr>
          <w:p w:rsidRPr="00BB7053" w:rsidR="00E23B74" w:rsidP="00E23B74" w:rsidRDefault="00E23B74" w14:paraId="4A111FEA" w14:textId="51EF5514">
            <w:pPr>
              <w:tabs>
                <w:tab w:val="left" w:pos="6030"/>
              </w:tabs>
              <w:spacing w:line="276" w:lineRule="auto"/>
              <w:jc w:val="right"/>
              <w:rPr>
                <w:sz w:val="20"/>
                <w:szCs w:val="20"/>
              </w:rPr>
            </w:pPr>
            <w:r>
              <w:rPr>
                <w:sz w:val="20"/>
                <w:szCs w:val="20"/>
              </w:rPr>
              <w:t>Varies</w:t>
            </w:r>
          </w:p>
        </w:tc>
        <w:tc>
          <w:tcPr>
            <w:tcW w:w="1681" w:type="dxa"/>
          </w:tcPr>
          <w:p w:rsidRPr="00BB7053" w:rsidR="00E23B74" w:rsidP="00E23B74" w:rsidRDefault="00C628C4" w14:paraId="0E023D10" w14:textId="659FC917">
            <w:pPr>
              <w:tabs>
                <w:tab w:val="left" w:pos="6030"/>
              </w:tabs>
              <w:spacing w:line="276" w:lineRule="auto"/>
              <w:jc w:val="right"/>
              <w:rPr>
                <w:sz w:val="20"/>
                <w:szCs w:val="20"/>
              </w:rPr>
            </w:pPr>
            <w:r>
              <w:rPr>
                <w:sz w:val="20"/>
                <w:szCs w:val="20"/>
              </w:rPr>
              <w:t>46</w:t>
            </w:r>
            <w:r w:rsidR="004D6C0A">
              <w:rPr>
                <w:sz w:val="20"/>
                <w:szCs w:val="20"/>
              </w:rPr>
              <w:t>,642</w:t>
            </w:r>
          </w:p>
        </w:tc>
      </w:tr>
      <w:tr w:rsidR="00B12E7A" w:rsidTr="003830B0" w14:paraId="1A9CA817" w14:textId="77777777">
        <w:tc>
          <w:tcPr>
            <w:tcW w:w="1251" w:type="dxa"/>
          </w:tcPr>
          <w:p w:rsidRPr="00BB7053" w:rsidR="00B12E7A" w:rsidP="00192E2E" w:rsidRDefault="00313099" w14:paraId="5520B90E" w14:textId="5A7ED36F">
            <w:pPr>
              <w:tabs>
                <w:tab w:val="left" w:pos="6030"/>
              </w:tabs>
              <w:spacing w:line="276" w:lineRule="auto"/>
              <w:rPr>
                <w:sz w:val="20"/>
                <w:szCs w:val="20"/>
              </w:rPr>
            </w:pPr>
            <w:r>
              <w:rPr>
                <w:sz w:val="20"/>
                <w:szCs w:val="20"/>
              </w:rPr>
              <w:t xml:space="preserve">Proposed </w:t>
            </w:r>
            <w:r w:rsidR="00CC6882">
              <w:rPr>
                <w:sz w:val="20"/>
                <w:szCs w:val="20"/>
              </w:rPr>
              <w:t xml:space="preserve">(2022 MIPS Performance Period) </w:t>
            </w:r>
            <w:r w:rsidRPr="00A67FD9" w:rsidR="00A67FD9">
              <w:rPr>
                <w:sz w:val="20"/>
                <w:szCs w:val="20"/>
              </w:rPr>
              <w:t>(See Table 2</w:t>
            </w:r>
            <w:r w:rsidR="001D0C7D">
              <w:rPr>
                <w:sz w:val="20"/>
                <w:szCs w:val="20"/>
              </w:rPr>
              <w:t>8</w:t>
            </w:r>
            <w:r w:rsidRPr="00A67FD9" w:rsidR="00A67FD9">
              <w:rPr>
                <w:sz w:val="20"/>
                <w:szCs w:val="20"/>
              </w:rPr>
              <w:t>)</w:t>
            </w:r>
          </w:p>
        </w:tc>
        <w:tc>
          <w:tcPr>
            <w:tcW w:w="1306" w:type="dxa"/>
          </w:tcPr>
          <w:p w:rsidRPr="00BB7053" w:rsidR="00B12E7A" w:rsidP="00B12E7A" w:rsidRDefault="00B12E7A" w14:paraId="63684200" w14:textId="22EC28AE">
            <w:pPr>
              <w:tabs>
                <w:tab w:val="left" w:pos="6030"/>
              </w:tabs>
              <w:spacing w:line="276" w:lineRule="auto"/>
              <w:jc w:val="right"/>
              <w:rPr>
                <w:sz w:val="20"/>
                <w:szCs w:val="20"/>
              </w:rPr>
            </w:pPr>
            <w:r>
              <w:rPr>
                <w:sz w:val="20"/>
                <w:szCs w:val="20"/>
              </w:rPr>
              <w:t>25</w:t>
            </w:r>
          </w:p>
        </w:tc>
        <w:tc>
          <w:tcPr>
            <w:tcW w:w="1168" w:type="dxa"/>
          </w:tcPr>
          <w:p w:rsidRPr="00BB7053" w:rsidR="00B12E7A" w:rsidP="00B12E7A" w:rsidRDefault="00B12E7A" w14:paraId="31B8D3C4" w14:textId="5982C5DB">
            <w:pPr>
              <w:tabs>
                <w:tab w:val="left" w:pos="6030"/>
              </w:tabs>
              <w:spacing w:line="276" w:lineRule="auto"/>
              <w:jc w:val="right"/>
              <w:rPr>
                <w:sz w:val="20"/>
                <w:szCs w:val="20"/>
              </w:rPr>
            </w:pPr>
            <w:r>
              <w:rPr>
                <w:sz w:val="20"/>
                <w:szCs w:val="20"/>
              </w:rPr>
              <w:t>1</w:t>
            </w:r>
          </w:p>
        </w:tc>
        <w:tc>
          <w:tcPr>
            <w:tcW w:w="1094" w:type="dxa"/>
          </w:tcPr>
          <w:p w:rsidRPr="00BB7053" w:rsidR="00B12E7A" w:rsidP="00B12E7A" w:rsidRDefault="00B12E7A" w14:paraId="1AA0D0E9" w14:textId="0FEB09F7">
            <w:pPr>
              <w:tabs>
                <w:tab w:val="left" w:pos="6030"/>
              </w:tabs>
              <w:spacing w:line="276" w:lineRule="auto"/>
              <w:jc w:val="right"/>
              <w:rPr>
                <w:sz w:val="20"/>
                <w:szCs w:val="20"/>
              </w:rPr>
            </w:pPr>
            <w:r>
              <w:rPr>
                <w:sz w:val="20"/>
                <w:szCs w:val="20"/>
              </w:rPr>
              <w:t>25</w:t>
            </w:r>
          </w:p>
        </w:tc>
        <w:tc>
          <w:tcPr>
            <w:tcW w:w="1077" w:type="dxa"/>
          </w:tcPr>
          <w:p w:rsidRPr="00BB7053" w:rsidR="00B12E7A" w:rsidP="00B12E7A" w:rsidRDefault="00B12E7A" w14:paraId="267B31CB" w14:textId="179D4487">
            <w:pPr>
              <w:tabs>
                <w:tab w:val="left" w:pos="6030"/>
              </w:tabs>
              <w:spacing w:line="276" w:lineRule="auto"/>
              <w:jc w:val="right"/>
              <w:rPr>
                <w:sz w:val="20"/>
                <w:szCs w:val="20"/>
              </w:rPr>
            </w:pPr>
            <w:r>
              <w:rPr>
                <w:sz w:val="20"/>
                <w:szCs w:val="20"/>
              </w:rPr>
              <w:t>12</w:t>
            </w:r>
          </w:p>
        </w:tc>
        <w:tc>
          <w:tcPr>
            <w:tcW w:w="1071" w:type="dxa"/>
          </w:tcPr>
          <w:p w:rsidRPr="00BB7053" w:rsidR="00B12E7A" w:rsidP="00B12E7A" w:rsidRDefault="00B12E7A" w14:paraId="5F320698" w14:textId="3AAF3EC6">
            <w:pPr>
              <w:tabs>
                <w:tab w:val="left" w:pos="6030"/>
              </w:tabs>
              <w:spacing w:line="276" w:lineRule="auto"/>
              <w:jc w:val="right"/>
              <w:rPr>
                <w:sz w:val="20"/>
                <w:szCs w:val="20"/>
              </w:rPr>
            </w:pPr>
            <w:r>
              <w:rPr>
                <w:sz w:val="20"/>
                <w:szCs w:val="20"/>
              </w:rPr>
              <w:t>300</w:t>
            </w:r>
          </w:p>
        </w:tc>
        <w:tc>
          <w:tcPr>
            <w:tcW w:w="1067" w:type="dxa"/>
          </w:tcPr>
          <w:p w:rsidRPr="00BB7053" w:rsidR="00B12E7A" w:rsidP="00B12E7A" w:rsidRDefault="00B12E7A" w14:paraId="1D33EADC" w14:textId="7F81B8B1">
            <w:pPr>
              <w:tabs>
                <w:tab w:val="left" w:pos="6030"/>
              </w:tabs>
              <w:spacing w:line="276" w:lineRule="auto"/>
              <w:jc w:val="right"/>
              <w:rPr>
                <w:sz w:val="20"/>
                <w:szCs w:val="20"/>
              </w:rPr>
            </w:pPr>
            <w:r>
              <w:rPr>
                <w:sz w:val="20"/>
                <w:szCs w:val="20"/>
              </w:rPr>
              <w:t>Varies</w:t>
            </w:r>
          </w:p>
        </w:tc>
        <w:tc>
          <w:tcPr>
            <w:tcW w:w="1681" w:type="dxa"/>
          </w:tcPr>
          <w:p w:rsidRPr="00BB7053" w:rsidR="00B12E7A" w:rsidP="00B12E7A" w:rsidRDefault="004D6C0A" w14:paraId="6BC5B424" w14:textId="62245D8A">
            <w:pPr>
              <w:tabs>
                <w:tab w:val="left" w:pos="6030"/>
              </w:tabs>
              <w:spacing w:line="276" w:lineRule="auto"/>
              <w:jc w:val="right"/>
              <w:rPr>
                <w:sz w:val="20"/>
                <w:szCs w:val="20"/>
              </w:rPr>
            </w:pPr>
            <w:r>
              <w:rPr>
                <w:sz w:val="20"/>
                <w:szCs w:val="20"/>
              </w:rPr>
              <w:t>46,642</w:t>
            </w:r>
          </w:p>
        </w:tc>
      </w:tr>
      <w:tr w:rsidR="00B12E7A" w:rsidTr="003830B0" w14:paraId="37795A02" w14:textId="77777777">
        <w:tc>
          <w:tcPr>
            <w:tcW w:w="1251" w:type="dxa"/>
            <w:shd w:val="clear" w:color="auto" w:fill="D9D9D9" w:themeFill="background1" w:themeFillShade="D9"/>
          </w:tcPr>
          <w:p w:rsidRPr="00BB7053" w:rsidR="00B12E7A" w:rsidP="00B12E7A" w:rsidRDefault="00B12E7A" w14:paraId="06E93A20"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B12E7A" w:rsidP="00B12E7A" w:rsidRDefault="004D6C0A" w14:paraId="3C6780D8" w14:textId="2825594A">
            <w:pPr>
              <w:tabs>
                <w:tab w:val="left" w:pos="6030"/>
              </w:tabs>
              <w:spacing w:line="276" w:lineRule="auto"/>
              <w:jc w:val="right"/>
              <w:rPr>
                <w:sz w:val="20"/>
                <w:szCs w:val="20"/>
              </w:rPr>
            </w:pPr>
            <w:r>
              <w:rPr>
                <w:sz w:val="20"/>
                <w:szCs w:val="20"/>
              </w:rPr>
              <w:t xml:space="preserve"> No change</w:t>
            </w:r>
          </w:p>
        </w:tc>
        <w:tc>
          <w:tcPr>
            <w:tcW w:w="1168" w:type="dxa"/>
            <w:shd w:val="clear" w:color="auto" w:fill="D9D9D9" w:themeFill="background1" w:themeFillShade="D9"/>
          </w:tcPr>
          <w:p w:rsidRPr="00BB7053" w:rsidR="00B12E7A" w:rsidP="00B12E7A" w:rsidRDefault="004D6C0A" w14:paraId="69C6A02E" w14:textId="3BDF43C6">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B12E7A" w:rsidP="00B12E7A" w:rsidRDefault="00B12E7A" w14:paraId="03FBEA05" w14:textId="7F37DF3D">
            <w:pPr>
              <w:tabs>
                <w:tab w:val="left" w:pos="6030"/>
              </w:tabs>
              <w:spacing w:line="276" w:lineRule="auto"/>
              <w:jc w:val="right"/>
              <w:rPr>
                <w:sz w:val="20"/>
                <w:szCs w:val="20"/>
              </w:rPr>
            </w:pPr>
            <w:r>
              <w:rPr>
                <w:sz w:val="20"/>
                <w:szCs w:val="20"/>
              </w:rPr>
              <w:t>+</w:t>
            </w:r>
            <w:r w:rsidR="004D6C0A">
              <w:rPr>
                <w:sz w:val="20"/>
                <w:szCs w:val="20"/>
              </w:rPr>
              <w:t xml:space="preserve"> No change</w:t>
            </w:r>
          </w:p>
        </w:tc>
        <w:tc>
          <w:tcPr>
            <w:tcW w:w="1077" w:type="dxa"/>
            <w:shd w:val="clear" w:color="auto" w:fill="D9D9D9" w:themeFill="background1" w:themeFillShade="D9"/>
          </w:tcPr>
          <w:p w:rsidRPr="00BB7053" w:rsidR="00B12E7A" w:rsidP="00B12E7A" w:rsidRDefault="00F536EE" w14:paraId="724D651B" w14:textId="1D7C1EF9">
            <w:pPr>
              <w:tabs>
                <w:tab w:val="left" w:pos="6030"/>
              </w:tabs>
              <w:spacing w:line="276" w:lineRule="auto"/>
              <w:jc w:val="right"/>
              <w:rPr>
                <w:sz w:val="20"/>
                <w:szCs w:val="20"/>
              </w:rPr>
            </w:pPr>
            <w:r>
              <w:rPr>
                <w:sz w:val="20"/>
                <w:szCs w:val="20"/>
              </w:rPr>
              <w:t>No change</w:t>
            </w:r>
          </w:p>
        </w:tc>
        <w:tc>
          <w:tcPr>
            <w:tcW w:w="1071" w:type="dxa"/>
            <w:shd w:val="clear" w:color="auto" w:fill="D9D9D9" w:themeFill="background1" w:themeFillShade="D9"/>
          </w:tcPr>
          <w:p w:rsidRPr="00BB7053" w:rsidR="00B12E7A" w:rsidP="00B12E7A" w:rsidRDefault="00F536EE" w14:paraId="1E2CABDB" w14:textId="3DBCFB04">
            <w:pPr>
              <w:tabs>
                <w:tab w:val="left" w:pos="6030"/>
              </w:tabs>
              <w:spacing w:line="276" w:lineRule="auto"/>
              <w:jc w:val="right"/>
              <w:rPr>
                <w:sz w:val="20"/>
                <w:szCs w:val="20"/>
              </w:rPr>
            </w:pPr>
            <w:r>
              <w:rPr>
                <w:sz w:val="20"/>
                <w:szCs w:val="20"/>
              </w:rPr>
              <w:t>No change</w:t>
            </w:r>
          </w:p>
        </w:tc>
        <w:tc>
          <w:tcPr>
            <w:tcW w:w="1067" w:type="dxa"/>
            <w:shd w:val="clear" w:color="auto" w:fill="D9D9D9" w:themeFill="background1" w:themeFillShade="D9"/>
          </w:tcPr>
          <w:p w:rsidRPr="00BB7053" w:rsidR="00B12E7A" w:rsidP="00B12E7A" w:rsidRDefault="00F536EE" w14:paraId="32C9AB87" w14:textId="15F6AA03">
            <w:pPr>
              <w:tabs>
                <w:tab w:val="left" w:pos="6030"/>
              </w:tabs>
              <w:spacing w:line="276" w:lineRule="auto"/>
              <w:jc w:val="right"/>
              <w:rPr>
                <w:sz w:val="20"/>
                <w:szCs w:val="20"/>
              </w:rPr>
            </w:pPr>
            <w:r>
              <w:rPr>
                <w:sz w:val="20"/>
                <w:szCs w:val="20"/>
              </w:rPr>
              <w:t>No change</w:t>
            </w:r>
          </w:p>
        </w:tc>
        <w:tc>
          <w:tcPr>
            <w:tcW w:w="1681" w:type="dxa"/>
            <w:shd w:val="clear" w:color="auto" w:fill="D9D9D9" w:themeFill="background1" w:themeFillShade="D9"/>
          </w:tcPr>
          <w:p w:rsidRPr="00BB7053" w:rsidR="00B12E7A" w:rsidP="00B12E7A" w:rsidRDefault="00F536EE" w14:paraId="7DC63201" w14:textId="32E4FB99">
            <w:pPr>
              <w:tabs>
                <w:tab w:val="left" w:pos="6030"/>
              </w:tabs>
              <w:spacing w:line="276" w:lineRule="auto"/>
              <w:jc w:val="right"/>
              <w:rPr>
                <w:sz w:val="20"/>
                <w:szCs w:val="20"/>
              </w:rPr>
            </w:pPr>
            <w:r>
              <w:rPr>
                <w:sz w:val="20"/>
                <w:szCs w:val="20"/>
              </w:rPr>
              <w:t>No change</w:t>
            </w:r>
          </w:p>
        </w:tc>
      </w:tr>
    </w:tbl>
    <w:p w:rsidR="00885183" w:rsidP="00BB7053" w:rsidRDefault="00885183" w14:paraId="0038278E" w14:textId="457ECC21">
      <w:pPr>
        <w:tabs>
          <w:tab w:val="left" w:pos="6030"/>
        </w:tabs>
        <w:spacing w:line="276" w:lineRule="auto"/>
        <w:jc w:val="both"/>
      </w:pPr>
    </w:p>
    <w:p w:rsidR="00885183" w:rsidP="00173FA2" w:rsidRDefault="00885183" w14:paraId="73D5F9DE" w14:textId="58F633BC">
      <w:pPr>
        <w:keepNext/>
        <w:keepLines/>
        <w:jc w:val="center"/>
        <w:rPr>
          <w:b/>
          <w:bCs/>
        </w:rPr>
      </w:pPr>
      <w:r w:rsidRPr="00B30713">
        <w:rPr>
          <w:rFonts w:eastAsia="Calibri"/>
          <w:b/>
          <w:bCs/>
        </w:rPr>
        <w:t xml:space="preserve">TABLE </w:t>
      </w:r>
      <w:r w:rsidR="00C1361E">
        <w:rPr>
          <w:rFonts w:eastAsia="Calibri"/>
          <w:b/>
          <w:bCs/>
        </w:rPr>
        <w:t>3</w:t>
      </w:r>
      <w:r w:rsidR="00AD43FA">
        <w:rPr>
          <w:rFonts w:eastAsia="Calibri"/>
          <w:b/>
          <w:bCs/>
        </w:rPr>
        <w:t>8</w:t>
      </w:r>
      <w:r w:rsidR="00FA460C">
        <w:rPr>
          <w:rFonts w:eastAsia="Calibri"/>
          <w:b/>
          <w:bCs/>
        </w:rPr>
        <w:t>Q</w:t>
      </w:r>
      <w:r w:rsidRPr="00B30713">
        <w:rPr>
          <w:rFonts w:eastAsia="Calibri"/>
          <w:b/>
          <w:bCs/>
        </w:rPr>
        <w:t xml:space="preserve">: Burden Reconciliation for </w:t>
      </w:r>
      <w:r w:rsidRPr="00206695" w:rsidR="00206695">
        <w:rPr>
          <w:rFonts w:eastAsia="Calibri"/>
          <w:b/>
          <w:bCs/>
        </w:rPr>
        <w:t>Partial QP Election</w:t>
      </w:r>
    </w:p>
    <w:tbl>
      <w:tblPr>
        <w:tblStyle w:val="TableGrid"/>
        <w:tblW w:w="9805" w:type="dxa"/>
        <w:tblLook w:val="04A0" w:firstRow="1" w:lastRow="0" w:firstColumn="1" w:lastColumn="0" w:noHBand="0" w:noVBand="1"/>
      </w:tblPr>
      <w:tblGrid>
        <w:gridCol w:w="1252"/>
        <w:gridCol w:w="1306"/>
        <w:gridCol w:w="1168"/>
        <w:gridCol w:w="1094"/>
        <w:gridCol w:w="1077"/>
        <w:gridCol w:w="1071"/>
        <w:gridCol w:w="1068"/>
        <w:gridCol w:w="1769"/>
      </w:tblGrid>
      <w:tr w:rsidR="00885183" w:rsidTr="003830B0" w14:paraId="2582352A" w14:textId="77777777">
        <w:trPr>
          <w:tblHeader/>
        </w:trPr>
        <w:tc>
          <w:tcPr>
            <w:tcW w:w="1252" w:type="dxa"/>
          </w:tcPr>
          <w:p w:rsidRPr="00173FA2" w:rsidR="00885183" w:rsidP="00173FA2" w:rsidRDefault="00885183" w14:paraId="72DFBCC5"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173FA2" w:rsidRDefault="00885183" w14:paraId="0C59CCFA"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173FA2" w:rsidRDefault="00885183" w14:paraId="6C194C96"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173FA2" w:rsidRDefault="00885183" w14:paraId="219C186C"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173FA2" w:rsidRDefault="00885183" w14:paraId="7C619982" w14:textId="77777777">
            <w:pPr>
              <w:keepNext/>
              <w:keepLines/>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173FA2" w:rsidRDefault="00885183" w14:paraId="474B0BDC"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8" w:type="dxa"/>
          </w:tcPr>
          <w:p w:rsidRPr="00173FA2" w:rsidR="00885183" w:rsidP="00173FA2" w:rsidRDefault="00885183" w14:paraId="2512C5AC"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769" w:type="dxa"/>
          </w:tcPr>
          <w:p w:rsidRPr="00173FA2" w:rsidR="00885183" w:rsidP="00173FA2" w:rsidRDefault="00885183" w14:paraId="5C362DA7" w14:textId="77777777">
            <w:pPr>
              <w:keepNext/>
              <w:keepLines/>
              <w:tabs>
                <w:tab w:val="left" w:pos="6030"/>
              </w:tabs>
              <w:spacing w:line="276" w:lineRule="auto"/>
              <w:rPr>
                <w:b/>
                <w:bCs/>
                <w:sz w:val="20"/>
                <w:szCs w:val="20"/>
              </w:rPr>
            </w:pPr>
            <w:r w:rsidRPr="00173FA2">
              <w:rPr>
                <w:b/>
                <w:bCs/>
                <w:sz w:val="20"/>
                <w:szCs w:val="20"/>
              </w:rPr>
              <w:t>Total Annual Cost ($)</w:t>
            </w:r>
          </w:p>
        </w:tc>
      </w:tr>
      <w:tr w:rsidR="00FD6503" w:rsidTr="003830B0" w14:paraId="3D234594" w14:textId="77777777">
        <w:tc>
          <w:tcPr>
            <w:tcW w:w="1252" w:type="dxa"/>
          </w:tcPr>
          <w:p w:rsidRPr="00BB7053" w:rsidR="00FD6503" w:rsidP="00FD6503" w:rsidRDefault="00FD6503" w14:paraId="0F3E4967" w14:textId="709EAB4A">
            <w:pPr>
              <w:tabs>
                <w:tab w:val="left" w:pos="6030"/>
              </w:tabs>
              <w:spacing w:line="276" w:lineRule="auto"/>
              <w:jc w:val="both"/>
              <w:rPr>
                <w:sz w:val="20"/>
                <w:szCs w:val="20"/>
              </w:rPr>
            </w:pPr>
            <w:r>
              <w:rPr>
                <w:sz w:val="20"/>
                <w:szCs w:val="20"/>
              </w:rPr>
              <w:t>Currently Approved</w:t>
            </w:r>
            <w:r w:rsidR="00CC5836">
              <w:rPr>
                <w:sz w:val="20"/>
                <w:szCs w:val="20"/>
              </w:rPr>
              <w:t xml:space="preserve"> </w:t>
            </w:r>
            <w:r w:rsidRPr="00E4635E" w:rsidR="00CC5836">
              <w:rPr>
                <w:bCs/>
                <w:sz w:val="20"/>
                <w:szCs w:val="20"/>
              </w:rPr>
              <w:t>(202</w:t>
            </w:r>
            <w:r w:rsidR="008130C7">
              <w:rPr>
                <w:bCs/>
                <w:sz w:val="20"/>
                <w:szCs w:val="20"/>
              </w:rPr>
              <w:t>2</w:t>
            </w:r>
            <w:r w:rsidRPr="00E4635E" w:rsidR="00CC5836">
              <w:rPr>
                <w:bCs/>
                <w:sz w:val="20"/>
                <w:szCs w:val="20"/>
              </w:rPr>
              <w:t xml:space="preserve"> MIPS Performance Period)</w:t>
            </w:r>
          </w:p>
        </w:tc>
        <w:tc>
          <w:tcPr>
            <w:tcW w:w="1306" w:type="dxa"/>
          </w:tcPr>
          <w:p w:rsidRPr="00BB7053" w:rsidR="00FD6503" w:rsidP="00FD6503" w:rsidRDefault="005D7914" w14:paraId="6392B049" w14:textId="6B91A1EF">
            <w:pPr>
              <w:tabs>
                <w:tab w:val="left" w:pos="6030"/>
              </w:tabs>
              <w:spacing w:line="276" w:lineRule="auto"/>
              <w:jc w:val="right"/>
              <w:rPr>
                <w:sz w:val="20"/>
                <w:szCs w:val="20"/>
              </w:rPr>
            </w:pPr>
            <w:r>
              <w:rPr>
                <w:sz w:val="20"/>
                <w:szCs w:val="20"/>
              </w:rPr>
              <w:t>300</w:t>
            </w:r>
          </w:p>
        </w:tc>
        <w:tc>
          <w:tcPr>
            <w:tcW w:w="1168" w:type="dxa"/>
          </w:tcPr>
          <w:p w:rsidRPr="00BB7053" w:rsidR="00FD6503" w:rsidP="00FD6503" w:rsidRDefault="00FD6503" w14:paraId="0D81BF62" w14:textId="59B97962">
            <w:pPr>
              <w:tabs>
                <w:tab w:val="left" w:pos="6030"/>
              </w:tabs>
              <w:spacing w:line="276" w:lineRule="auto"/>
              <w:jc w:val="right"/>
              <w:rPr>
                <w:sz w:val="20"/>
                <w:szCs w:val="20"/>
              </w:rPr>
            </w:pPr>
            <w:r>
              <w:rPr>
                <w:sz w:val="20"/>
                <w:szCs w:val="20"/>
              </w:rPr>
              <w:t>1</w:t>
            </w:r>
          </w:p>
        </w:tc>
        <w:tc>
          <w:tcPr>
            <w:tcW w:w="1094" w:type="dxa"/>
          </w:tcPr>
          <w:p w:rsidRPr="00BB7053" w:rsidR="00FD6503" w:rsidP="00FD6503" w:rsidRDefault="005D7914" w14:paraId="4597C46E" w14:textId="4CFE33CD">
            <w:pPr>
              <w:tabs>
                <w:tab w:val="left" w:pos="6030"/>
              </w:tabs>
              <w:spacing w:line="276" w:lineRule="auto"/>
              <w:jc w:val="right"/>
              <w:rPr>
                <w:sz w:val="20"/>
                <w:szCs w:val="20"/>
              </w:rPr>
            </w:pPr>
            <w:r>
              <w:rPr>
                <w:sz w:val="20"/>
                <w:szCs w:val="20"/>
              </w:rPr>
              <w:t>300</w:t>
            </w:r>
          </w:p>
        </w:tc>
        <w:tc>
          <w:tcPr>
            <w:tcW w:w="1077" w:type="dxa"/>
          </w:tcPr>
          <w:p w:rsidRPr="00BB7053" w:rsidR="00FD6503" w:rsidP="00FD6503" w:rsidRDefault="00FD6503" w14:paraId="6A5781C8" w14:textId="766A32F5">
            <w:pPr>
              <w:tabs>
                <w:tab w:val="left" w:pos="6030"/>
              </w:tabs>
              <w:spacing w:line="276" w:lineRule="auto"/>
              <w:jc w:val="right"/>
              <w:rPr>
                <w:sz w:val="20"/>
                <w:szCs w:val="20"/>
              </w:rPr>
            </w:pPr>
            <w:r>
              <w:rPr>
                <w:sz w:val="20"/>
                <w:szCs w:val="20"/>
              </w:rPr>
              <w:t>0.25</w:t>
            </w:r>
          </w:p>
        </w:tc>
        <w:tc>
          <w:tcPr>
            <w:tcW w:w="1071" w:type="dxa"/>
          </w:tcPr>
          <w:p w:rsidRPr="00BB7053" w:rsidR="00FD6503" w:rsidP="00FD6503" w:rsidRDefault="005D7914" w14:paraId="3A1ABCFC" w14:textId="4F16218E">
            <w:pPr>
              <w:tabs>
                <w:tab w:val="left" w:pos="6030"/>
              </w:tabs>
              <w:spacing w:line="276" w:lineRule="auto"/>
              <w:jc w:val="right"/>
              <w:rPr>
                <w:sz w:val="20"/>
                <w:szCs w:val="20"/>
              </w:rPr>
            </w:pPr>
            <w:r>
              <w:rPr>
                <w:sz w:val="20"/>
                <w:szCs w:val="20"/>
              </w:rPr>
              <w:t>75</w:t>
            </w:r>
          </w:p>
        </w:tc>
        <w:tc>
          <w:tcPr>
            <w:tcW w:w="1068" w:type="dxa"/>
          </w:tcPr>
          <w:p w:rsidRPr="00BB7053" w:rsidR="00FD6503" w:rsidP="00FD6503" w:rsidRDefault="005D7914" w14:paraId="2ED0D588" w14:textId="1F121583">
            <w:pPr>
              <w:tabs>
                <w:tab w:val="left" w:pos="6030"/>
              </w:tabs>
              <w:spacing w:line="276" w:lineRule="auto"/>
              <w:jc w:val="right"/>
              <w:rPr>
                <w:sz w:val="20"/>
                <w:szCs w:val="20"/>
              </w:rPr>
            </w:pPr>
            <w:r>
              <w:rPr>
                <w:sz w:val="20"/>
                <w:szCs w:val="20"/>
              </w:rPr>
              <w:t>95.22</w:t>
            </w:r>
          </w:p>
        </w:tc>
        <w:tc>
          <w:tcPr>
            <w:tcW w:w="1769" w:type="dxa"/>
          </w:tcPr>
          <w:p w:rsidRPr="00BB7053" w:rsidR="00FD6503" w:rsidP="00FD6503" w:rsidRDefault="00D609CE" w14:paraId="1C9C8EE9" w14:textId="13CFFCAA">
            <w:pPr>
              <w:tabs>
                <w:tab w:val="left" w:pos="6030"/>
              </w:tabs>
              <w:spacing w:line="276" w:lineRule="auto"/>
              <w:jc w:val="right"/>
              <w:rPr>
                <w:sz w:val="20"/>
                <w:szCs w:val="20"/>
              </w:rPr>
            </w:pPr>
            <w:r>
              <w:rPr>
                <w:sz w:val="20"/>
                <w:szCs w:val="20"/>
              </w:rPr>
              <w:t>7,142</w:t>
            </w:r>
          </w:p>
        </w:tc>
      </w:tr>
      <w:tr w:rsidR="00FD6503" w:rsidTr="003830B0" w14:paraId="515566E8" w14:textId="77777777">
        <w:tc>
          <w:tcPr>
            <w:tcW w:w="1252" w:type="dxa"/>
          </w:tcPr>
          <w:p w:rsidRPr="00BB7053" w:rsidR="00FD6503" w:rsidP="00192E2E" w:rsidRDefault="00002E1C" w14:paraId="0D311CCE" w14:textId="51F2728E">
            <w:pPr>
              <w:tabs>
                <w:tab w:val="left" w:pos="6030"/>
              </w:tabs>
              <w:spacing w:line="276" w:lineRule="auto"/>
              <w:rPr>
                <w:sz w:val="20"/>
                <w:szCs w:val="20"/>
              </w:rPr>
            </w:pPr>
            <w:r>
              <w:rPr>
                <w:sz w:val="20"/>
                <w:szCs w:val="20"/>
              </w:rPr>
              <w:t xml:space="preserve">Proposed </w:t>
            </w:r>
            <w:r w:rsidR="00CC6882">
              <w:rPr>
                <w:sz w:val="20"/>
                <w:szCs w:val="20"/>
              </w:rPr>
              <w:t xml:space="preserve">(2022 MIPS Performance Period) </w:t>
            </w:r>
            <w:r w:rsidRPr="00A67FD9" w:rsidR="00A67FD9">
              <w:rPr>
                <w:sz w:val="20"/>
                <w:szCs w:val="20"/>
              </w:rPr>
              <w:t>(See Table 2</w:t>
            </w:r>
            <w:r w:rsidR="00D1660C">
              <w:rPr>
                <w:sz w:val="20"/>
                <w:szCs w:val="20"/>
              </w:rPr>
              <w:t>9</w:t>
            </w:r>
            <w:r w:rsidRPr="00A67FD9" w:rsidR="00A67FD9">
              <w:rPr>
                <w:sz w:val="20"/>
                <w:szCs w:val="20"/>
              </w:rPr>
              <w:t>)</w:t>
            </w:r>
          </w:p>
        </w:tc>
        <w:tc>
          <w:tcPr>
            <w:tcW w:w="1306" w:type="dxa"/>
          </w:tcPr>
          <w:p w:rsidRPr="00BB7053" w:rsidR="00FD6503" w:rsidP="00FD6503" w:rsidRDefault="00114812" w14:paraId="302ABCBD" w14:textId="2307120D">
            <w:pPr>
              <w:tabs>
                <w:tab w:val="left" w:pos="6030"/>
              </w:tabs>
              <w:spacing w:line="276" w:lineRule="auto"/>
              <w:jc w:val="right"/>
              <w:rPr>
                <w:sz w:val="20"/>
                <w:szCs w:val="20"/>
              </w:rPr>
            </w:pPr>
            <w:r>
              <w:rPr>
                <w:sz w:val="20"/>
                <w:szCs w:val="20"/>
              </w:rPr>
              <w:t>250</w:t>
            </w:r>
          </w:p>
        </w:tc>
        <w:tc>
          <w:tcPr>
            <w:tcW w:w="1168" w:type="dxa"/>
          </w:tcPr>
          <w:p w:rsidRPr="00BB7053" w:rsidR="00FD6503" w:rsidP="00FD6503" w:rsidRDefault="00FD6503" w14:paraId="72977773" w14:textId="213397C9">
            <w:pPr>
              <w:tabs>
                <w:tab w:val="left" w:pos="6030"/>
              </w:tabs>
              <w:spacing w:line="276" w:lineRule="auto"/>
              <w:jc w:val="right"/>
              <w:rPr>
                <w:sz w:val="20"/>
                <w:szCs w:val="20"/>
              </w:rPr>
            </w:pPr>
            <w:r>
              <w:rPr>
                <w:sz w:val="20"/>
                <w:szCs w:val="20"/>
              </w:rPr>
              <w:t>1</w:t>
            </w:r>
          </w:p>
        </w:tc>
        <w:tc>
          <w:tcPr>
            <w:tcW w:w="1094" w:type="dxa"/>
          </w:tcPr>
          <w:p w:rsidRPr="00BB7053" w:rsidR="00FD6503" w:rsidP="00FD6503" w:rsidRDefault="00114812" w14:paraId="37CE59FC" w14:textId="614C3E95">
            <w:pPr>
              <w:tabs>
                <w:tab w:val="left" w:pos="6030"/>
              </w:tabs>
              <w:spacing w:line="276" w:lineRule="auto"/>
              <w:jc w:val="right"/>
              <w:rPr>
                <w:sz w:val="20"/>
                <w:szCs w:val="20"/>
              </w:rPr>
            </w:pPr>
            <w:r>
              <w:rPr>
                <w:sz w:val="20"/>
                <w:szCs w:val="20"/>
              </w:rPr>
              <w:t>250</w:t>
            </w:r>
          </w:p>
        </w:tc>
        <w:tc>
          <w:tcPr>
            <w:tcW w:w="1077" w:type="dxa"/>
          </w:tcPr>
          <w:p w:rsidRPr="00BB7053" w:rsidR="00FD6503" w:rsidP="00FD6503" w:rsidRDefault="00FD6503" w14:paraId="025EDEE9" w14:textId="54C072BB">
            <w:pPr>
              <w:tabs>
                <w:tab w:val="left" w:pos="6030"/>
              </w:tabs>
              <w:spacing w:line="276" w:lineRule="auto"/>
              <w:jc w:val="right"/>
              <w:rPr>
                <w:sz w:val="20"/>
                <w:szCs w:val="20"/>
              </w:rPr>
            </w:pPr>
            <w:r>
              <w:rPr>
                <w:sz w:val="20"/>
                <w:szCs w:val="20"/>
              </w:rPr>
              <w:t>0.25</w:t>
            </w:r>
          </w:p>
        </w:tc>
        <w:tc>
          <w:tcPr>
            <w:tcW w:w="1071" w:type="dxa"/>
          </w:tcPr>
          <w:p w:rsidRPr="00BB7053" w:rsidR="00FD6503" w:rsidP="00FD6503" w:rsidRDefault="00114812" w14:paraId="0C9A3344" w14:textId="4509CD5E">
            <w:pPr>
              <w:tabs>
                <w:tab w:val="left" w:pos="6030"/>
              </w:tabs>
              <w:spacing w:line="276" w:lineRule="auto"/>
              <w:jc w:val="right"/>
              <w:rPr>
                <w:sz w:val="20"/>
                <w:szCs w:val="20"/>
              </w:rPr>
            </w:pPr>
            <w:r>
              <w:rPr>
                <w:sz w:val="20"/>
                <w:szCs w:val="20"/>
              </w:rPr>
              <w:t>63</w:t>
            </w:r>
          </w:p>
        </w:tc>
        <w:tc>
          <w:tcPr>
            <w:tcW w:w="1068" w:type="dxa"/>
          </w:tcPr>
          <w:p w:rsidRPr="00BB7053" w:rsidR="00FD6503" w:rsidP="00FD6503" w:rsidRDefault="005D7914" w14:paraId="12AD680A" w14:textId="241876ED">
            <w:pPr>
              <w:tabs>
                <w:tab w:val="left" w:pos="6030"/>
              </w:tabs>
              <w:spacing w:line="276" w:lineRule="auto"/>
              <w:jc w:val="right"/>
              <w:rPr>
                <w:sz w:val="20"/>
                <w:szCs w:val="20"/>
              </w:rPr>
            </w:pPr>
            <w:r>
              <w:rPr>
                <w:sz w:val="20"/>
                <w:szCs w:val="20"/>
              </w:rPr>
              <w:t>95.22</w:t>
            </w:r>
          </w:p>
        </w:tc>
        <w:tc>
          <w:tcPr>
            <w:tcW w:w="1769" w:type="dxa"/>
          </w:tcPr>
          <w:p w:rsidRPr="00BB7053" w:rsidR="00FD6503" w:rsidP="00FD6503" w:rsidRDefault="0055104D" w14:paraId="217CF1CF" w14:textId="272224CE">
            <w:pPr>
              <w:tabs>
                <w:tab w:val="left" w:pos="6030"/>
              </w:tabs>
              <w:spacing w:line="276" w:lineRule="auto"/>
              <w:jc w:val="right"/>
              <w:rPr>
                <w:sz w:val="20"/>
                <w:szCs w:val="20"/>
              </w:rPr>
            </w:pPr>
            <w:r>
              <w:rPr>
                <w:sz w:val="20"/>
                <w:szCs w:val="20"/>
              </w:rPr>
              <w:t>5,9</w:t>
            </w:r>
            <w:r w:rsidR="007E6786">
              <w:rPr>
                <w:sz w:val="20"/>
                <w:szCs w:val="20"/>
              </w:rPr>
              <w:t>99</w:t>
            </w:r>
          </w:p>
        </w:tc>
      </w:tr>
      <w:tr w:rsidR="00FD6503" w:rsidTr="003830B0" w14:paraId="450FF888" w14:textId="77777777">
        <w:tc>
          <w:tcPr>
            <w:tcW w:w="1252" w:type="dxa"/>
            <w:shd w:val="clear" w:color="auto" w:fill="D9D9D9" w:themeFill="background1" w:themeFillShade="D9"/>
          </w:tcPr>
          <w:p w:rsidRPr="00BB7053" w:rsidR="00FD6503" w:rsidP="00FD6503" w:rsidRDefault="00FD6503" w14:paraId="5459A62A"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FD6503" w:rsidP="00FD6503" w:rsidRDefault="00FD6503" w14:paraId="0E486D2E" w14:textId="66A63641">
            <w:pPr>
              <w:tabs>
                <w:tab w:val="left" w:pos="6030"/>
              </w:tabs>
              <w:spacing w:line="276" w:lineRule="auto"/>
              <w:jc w:val="right"/>
              <w:rPr>
                <w:sz w:val="20"/>
                <w:szCs w:val="20"/>
              </w:rPr>
            </w:pPr>
            <w:r>
              <w:rPr>
                <w:sz w:val="20"/>
                <w:szCs w:val="20"/>
              </w:rPr>
              <w:t>-</w:t>
            </w:r>
            <w:r w:rsidR="00114812">
              <w:rPr>
                <w:sz w:val="20"/>
                <w:szCs w:val="20"/>
              </w:rPr>
              <w:t>50</w:t>
            </w:r>
          </w:p>
        </w:tc>
        <w:tc>
          <w:tcPr>
            <w:tcW w:w="1168" w:type="dxa"/>
            <w:shd w:val="clear" w:color="auto" w:fill="D9D9D9" w:themeFill="background1" w:themeFillShade="D9"/>
          </w:tcPr>
          <w:p w:rsidRPr="00BB7053" w:rsidR="00FD6503" w:rsidP="00FD6503" w:rsidRDefault="00FD6503" w14:paraId="0B9141F9" w14:textId="0908C66F">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FD6503" w:rsidP="00FD6503" w:rsidRDefault="00FD6503" w14:paraId="5E9CB324" w14:textId="117C4AE3">
            <w:pPr>
              <w:tabs>
                <w:tab w:val="left" w:pos="6030"/>
              </w:tabs>
              <w:spacing w:line="276" w:lineRule="auto"/>
              <w:jc w:val="right"/>
              <w:rPr>
                <w:sz w:val="20"/>
                <w:szCs w:val="20"/>
              </w:rPr>
            </w:pPr>
            <w:r>
              <w:rPr>
                <w:sz w:val="20"/>
                <w:szCs w:val="20"/>
              </w:rPr>
              <w:t>-</w:t>
            </w:r>
            <w:r w:rsidR="00114812">
              <w:rPr>
                <w:sz w:val="20"/>
                <w:szCs w:val="20"/>
              </w:rPr>
              <w:t>50</w:t>
            </w:r>
          </w:p>
        </w:tc>
        <w:tc>
          <w:tcPr>
            <w:tcW w:w="1077" w:type="dxa"/>
            <w:shd w:val="clear" w:color="auto" w:fill="D9D9D9" w:themeFill="background1" w:themeFillShade="D9"/>
          </w:tcPr>
          <w:p w:rsidRPr="00BB7053" w:rsidR="00FD6503" w:rsidP="00FD6503" w:rsidRDefault="00FD6503" w14:paraId="3C914312" w14:textId="65629FF7">
            <w:pPr>
              <w:tabs>
                <w:tab w:val="left" w:pos="6030"/>
              </w:tabs>
              <w:spacing w:line="276" w:lineRule="auto"/>
              <w:jc w:val="right"/>
              <w:rPr>
                <w:sz w:val="20"/>
                <w:szCs w:val="20"/>
              </w:rPr>
            </w:pPr>
            <w:r>
              <w:rPr>
                <w:sz w:val="20"/>
                <w:szCs w:val="20"/>
              </w:rPr>
              <w:t>No change</w:t>
            </w:r>
          </w:p>
        </w:tc>
        <w:tc>
          <w:tcPr>
            <w:tcW w:w="1071" w:type="dxa"/>
            <w:shd w:val="clear" w:color="auto" w:fill="D9D9D9" w:themeFill="background1" w:themeFillShade="D9"/>
          </w:tcPr>
          <w:p w:rsidRPr="00BB7053" w:rsidR="00FD6503" w:rsidP="00FD6503" w:rsidRDefault="00FD6503" w14:paraId="2BC6DEF5" w14:textId="68518FD3">
            <w:pPr>
              <w:tabs>
                <w:tab w:val="left" w:pos="6030"/>
              </w:tabs>
              <w:spacing w:line="276" w:lineRule="auto"/>
              <w:jc w:val="right"/>
              <w:rPr>
                <w:sz w:val="20"/>
                <w:szCs w:val="20"/>
              </w:rPr>
            </w:pPr>
            <w:r>
              <w:rPr>
                <w:sz w:val="20"/>
                <w:szCs w:val="20"/>
              </w:rPr>
              <w:t>-</w:t>
            </w:r>
            <w:r w:rsidR="00114812">
              <w:rPr>
                <w:sz w:val="20"/>
                <w:szCs w:val="20"/>
              </w:rPr>
              <w:t>12</w:t>
            </w:r>
          </w:p>
        </w:tc>
        <w:tc>
          <w:tcPr>
            <w:tcW w:w="1068" w:type="dxa"/>
            <w:shd w:val="clear" w:color="auto" w:fill="D9D9D9" w:themeFill="background1" w:themeFillShade="D9"/>
          </w:tcPr>
          <w:p w:rsidRPr="00BB7053" w:rsidR="00FD6503" w:rsidP="00FD6503" w:rsidRDefault="00FD6503" w14:paraId="0764398B" w14:textId="1864CC9D">
            <w:pPr>
              <w:tabs>
                <w:tab w:val="left" w:pos="6030"/>
              </w:tabs>
              <w:spacing w:line="276" w:lineRule="auto"/>
              <w:jc w:val="right"/>
              <w:rPr>
                <w:sz w:val="20"/>
                <w:szCs w:val="20"/>
              </w:rPr>
            </w:pPr>
            <w:r>
              <w:rPr>
                <w:sz w:val="20"/>
                <w:szCs w:val="20"/>
              </w:rPr>
              <w:t>No change</w:t>
            </w:r>
          </w:p>
        </w:tc>
        <w:tc>
          <w:tcPr>
            <w:tcW w:w="1769" w:type="dxa"/>
            <w:shd w:val="clear" w:color="auto" w:fill="D9D9D9" w:themeFill="background1" w:themeFillShade="D9"/>
          </w:tcPr>
          <w:p w:rsidRPr="00BB7053" w:rsidR="00FD6503" w:rsidP="00FD6503" w:rsidRDefault="00FD6503" w14:paraId="2B00497D" w14:textId="63EAB479">
            <w:pPr>
              <w:tabs>
                <w:tab w:val="left" w:pos="6030"/>
              </w:tabs>
              <w:spacing w:line="276" w:lineRule="auto"/>
              <w:jc w:val="right"/>
              <w:rPr>
                <w:sz w:val="20"/>
                <w:szCs w:val="20"/>
              </w:rPr>
            </w:pPr>
            <w:r>
              <w:rPr>
                <w:sz w:val="20"/>
                <w:szCs w:val="20"/>
              </w:rPr>
              <w:t>-</w:t>
            </w:r>
            <w:r w:rsidR="00AC4656">
              <w:rPr>
                <w:sz w:val="20"/>
                <w:szCs w:val="20"/>
              </w:rPr>
              <w:t>$1,1</w:t>
            </w:r>
            <w:r w:rsidR="007E6786">
              <w:rPr>
                <w:sz w:val="20"/>
                <w:szCs w:val="20"/>
              </w:rPr>
              <w:t>43</w:t>
            </w:r>
          </w:p>
        </w:tc>
      </w:tr>
    </w:tbl>
    <w:p w:rsidR="00885183" w:rsidP="00BB7053" w:rsidRDefault="00885183" w14:paraId="2C69D9D1" w14:textId="10BE551F">
      <w:pPr>
        <w:tabs>
          <w:tab w:val="left" w:pos="6030"/>
        </w:tabs>
        <w:spacing w:line="276" w:lineRule="auto"/>
        <w:jc w:val="both"/>
      </w:pPr>
    </w:p>
    <w:p w:rsidR="00885183" w:rsidP="0041468A" w:rsidRDefault="00885183" w14:paraId="1A9AC39C" w14:textId="4E591024">
      <w:pPr>
        <w:keepNext/>
        <w:keepLines/>
        <w:jc w:val="center"/>
        <w:rPr>
          <w:b/>
          <w:bCs/>
        </w:rPr>
      </w:pPr>
      <w:r w:rsidRPr="00B30713">
        <w:rPr>
          <w:rFonts w:eastAsia="Calibri"/>
          <w:b/>
          <w:bCs/>
        </w:rPr>
        <w:t xml:space="preserve">TABLE </w:t>
      </w:r>
      <w:r w:rsidR="00C1361E">
        <w:rPr>
          <w:rFonts w:eastAsia="Calibri"/>
          <w:b/>
          <w:bCs/>
        </w:rPr>
        <w:t>3</w:t>
      </w:r>
      <w:r w:rsidR="00AD43FA">
        <w:rPr>
          <w:rFonts w:eastAsia="Calibri"/>
          <w:b/>
          <w:bCs/>
        </w:rPr>
        <w:t>8</w:t>
      </w:r>
      <w:r w:rsidR="00FA460C">
        <w:rPr>
          <w:rFonts w:eastAsia="Calibri"/>
          <w:b/>
          <w:bCs/>
        </w:rPr>
        <w:t>R</w:t>
      </w:r>
      <w:r w:rsidRPr="00B30713">
        <w:rPr>
          <w:rFonts w:eastAsia="Calibri"/>
          <w:b/>
          <w:bCs/>
        </w:rPr>
        <w:t xml:space="preserve">: Burden Reconciliation for </w:t>
      </w:r>
      <w:r w:rsidRPr="006A54B3" w:rsidR="006A54B3">
        <w:rPr>
          <w:rFonts w:eastAsia="Calibri"/>
          <w:b/>
          <w:bCs/>
        </w:rPr>
        <w:t>Other Payer Advanced APM Identification: Other Payer Initiated Process</w:t>
      </w:r>
    </w:p>
    <w:tbl>
      <w:tblPr>
        <w:tblStyle w:val="TableGrid"/>
        <w:tblW w:w="9805" w:type="dxa"/>
        <w:tblLook w:val="04A0" w:firstRow="1" w:lastRow="0" w:firstColumn="1" w:lastColumn="0" w:noHBand="0" w:noVBand="1"/>
      </w:tblPr>
      <w:tblGrid>
        <w:gridCol w:w="1251"/>
        <w:gridCol w:w="1306"/>
        <w:gridCol w:w="1168"/>
        <w:gridCol w:w="1094"/>
        <w:gridCol w:w="1077"/>
        <w:gridCol w:w="1071"/>
        <w:gridCol w:w="1068"/>
        <w:gridCol w:w="1770"/>
      </w:tblGrid>
      <w:tr w:rsidR="00612535" w:rsidTr="003830B0" w14:paraId="2C8D97A2" w14:textId="77777777">
        <w:trPr>
          <w:tblHeader/>
        </w:trPr>
        <w:tc>
          <w:tcPr>
            <w:tcW w:w="1251" w:type="dxa"/>
          </w:tcPr>
          <w:p w:rsidRPr="00173FA2" w:rsidR="00885183" w:rsidP="0041468A" w:rsidRDefault="00885183" w14:paraId="3E4EE90D"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41468A" w:rsidRDefault="00885183" w14:paraId="744F6618"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41468A" w:rsidRDefault="00885183" w14:paraId="250CA6C6"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41468A" w:rsidRDefault="00885183" w14:paraId="7166BDBD"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41468A" w:rsidRDefault="00885183" w14:paraId="0D89E443" w14:textId="77777777">
            <w:pPr>
              <w:keepNext/>
              <w:keepLines/>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41468A" w:rsidRDefault="00885183" w14:paraId="7E06A7B1"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8" w:type="dxa"/>
          </w:tcPr>
          <w:p w:rsidRPr="00173FA2" w:rsidR="00885183" w:rsidP="0041468A" w:rsidRDefault="00885183" w14:paraId="605C2AD5"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770" w:type="dxa"/>
          </w:tcPr>
          <w:p w:rsidRPr="00173FA2" w:rsidR="00885183" w:rsidP="0041468A" w:rsidRDefault="00885183" w14:paraId="4AE41F32" w14:textId="77777777">
            <w:pPr>
              <w:keepNext/>
              <w:keepLines/>
              <w:tabs>
                <w:tab w:val="left" w:pos="6030"/>
              </w:tabs>
              <w:spacing w:line="276" w:lineRule="auto"/>
              <w:rPr>
                <w:b/>
                <w:bCs/>
                <w:sz w:val="20"/>
                <w:szCs w:val="20"/>
              </w:rPr>
            </w:pPr>
            <w:r w:rsidRPr="00173FA2">
              <w:rPr>
                <w:b/>
                <w:bCs/>
                <w:sz w:val="20"/>
                <w:szCs w:val="20"/>
              </w:rPr>
              <w:t>Total Annual Cost ($)</w:t>
            </w:r>
          </w:p>
        </w:tc>
      </w:tr>
      <w:tr w:rsidR="00612535" w:rsidTr="003830B0" w14:paraId="5873AAC5" w14:textId="77777777">
        <w:tc>
          <w:tcPr>
            <w:tcW w:w="1251" w:type="dxa"/>
          </w:tcPr>
          <w:p w:rsidRPr="00BB7053" w:rsidR="00F352CA" w:rsidP="00F352CA" w:rsidRDefault="00F352CA" w14:paraId="4EFEECDB" w14:textId="121E2B00">
            <w:pPr>
              <w:tabs>
                <w:tab w:val="left" w:pos="6030"/>
              </w:tabs>
              <w:spacing w:line="276" w:lineRule="auto"/>
              <w:jc w:val="both"/>
              <w:rPr>
                <w:sz w:val="20"/>
                <w:szCs w:val="20"/>
              </w:rPr>
            </w:pPr>
            <w:r>
              <w:rPr>
                <w:sz w:val="20"/>
                <w:szCs w:val="20"/>
              </w:rPr>
              <w:t>Currently Approved</w:t>
            </w:r>
            <w:r w:rsidR="00CC5836">
              <w:rPr>
                <w:sz w:val="20"/>
                <w:szCs w:val="20"/>
              </w:rPr>
              <w:t xml:space="preserve"> </w:t>
            </w:r>
            <w:r w:rsidRPr="00E4635E" w:rsidR="00CC5836">
              <w:rPr>
                <w:bCs/>
                <w:sz w:val="20"/>
                <w:szCs w:val="20"/>
              </w:rPr>
              <w:t>(202</w:t>
            </w:r>
            <w:r w:rsidR="008130C7">
              <w:rPr>
                <w:bCs/>
                <w:sz w:val="20"/>
                <w:szCs w:val="20"/>
              </w:rPr>
              <w:t>2</w:t>
            </w:r>
            <w:r w:rsidRPr="00E4635E" w:rsidR="00CC5836">
              <w:rPr>
                <w:bCs/>
                <w:sz w:val="20"/>
                <w:szCs w:val="20"/>
              </w:rPr>
              <w:t xml:space="preserve"> MIPS Performance Period)</w:t>
            </w:r>
          </w:p>
        </w:tc>
        <w:tc>
          <w:tcPr>
            <w:tcW w:w="1306" w:type="dxa"/>
          </w:tcPr>
          <w:p w:rsidRPr="00BB7053" w:rsidR="00F352CA" w:rsidP="00F352CA" w:rsidRDefault="00C70135" w14:paraId="24D16095" w14:textId="02D52CC1">
            <w:pPr>
              <w:tabs>
                <w:tab w:val="left" w:pos="6030"/>
              </w:tabs>
              <w:spacing w:line="276" w:lineRule="auto"/>
              <w:jc w:val="right"/>
              <w:rPr>
                <w:sz w:val="20"/>
                <w:szCs w:val="20"/>
              </w:rPr>
            </w:pPr>
            <w:r>
              <w:rPr>
                <w:sz w:val="20"/>
                <w:szCs w:val="20"/>
              </w:rPr>
              <w:t>8</w:t>
            </w:r>
            <w:r w:rsidR="00F352CA">
              <w:rPr>
                <w:sz w:val="20"/>
                <w:szCs w:val="20"/>
              </w:rPr>
              <w:t>0</w:t>
            </w:r>
          </w:p>
        </w:tc>
        <w:tc>
          <w:tcPr>
            <w:tcW w:w="1168" w:type="dxa"/>
          </w:tcPr>
          <w:p w:rsidRPr="00BB7053" w:rsidR="00F352CA" w:rsidP="00F352CA" w:rsidRDefault="00F352CA" w14:paraId="0F72F180" w14:textId="725591F8">
            <w:pPr>
              <w:tabs>
                <w:tab w:val="left" w:pos="6030"/>
              </w:tabs>
              <w:spacing w:line="276" w:lineRule="auto"/>
              <w:jc w:val="right"/>
              <w:rPr>
                <w:sz w:val="20"/>
                <w:szCs w:val="20"/>
              </w:rPr>
            </w:pPr>
            <w:r>
              <w:rPr>
                <w:sz w:val="20"/>
                <w:szCs w:val="20"/>
              </w:rPr>
              <w:t>1</w:t>
            </w:r>
          </w:p>
        </w:tc>
        <w:tc>
          <w:tcPr>
            <w:tcW w:w="1094" w:type="dxa"/>
          </w:tcPr>
          <w:p w:rsidRPr="00BB7053" w:rsidR="00F352CA" w:rsidP="00F352CA" w:rsidRDefault="00C70135" w14:paraId="47A765E9" w14:textId="47228C01">
            <w:pPr>
              <w:tabs>
                <w:tab w:val="left" w:pos="6030"/>
              </w:tabs>
              <w:spacing w:line="276" w:lineRule="auto"/>
              <w:jc w:val="right"/>
              <w:rPr>
                <w:sz w:val="20"/>
                <w:szCs w:val="20"/>
              </w:rPr>
            </w:pPr>
            <w:r>
              <w:rPr>
                <w:sz w:val="20"/>
                <w:szCs w:val="20"/>
              </w:rPr>
              <w:t>8</w:t>
            </w:r>
            <w:r w:rsidR="00F352CA">
              <w:rPr>
                <w:sz w:val="20"/>
                <w:szCs w:val="20"/>
              </w:rPr>
              <w:t>0</w:t>
            </w:r>
          </w:p>
        </w:tc>
        <w:tc>
          <w:tcPr>
            <w:tcW w:w="1077" w:type="dxa"/>
          </w:tcPr>
          <w:p w:rsidRPr="00BB7053" w:rsidR="00F352CA" w:rsidP="00F352CA" w:rsidRDefault="00F352CA" w14:paraId="7BFD6E23" w14:textId="421EF92A">
            <w:pPr>
              <w:tabs>
                <w:tab w:val="left" w:pos="6030"/>
              </w:tabs>
              <w:spacing w:line="276" w:lineRule="auto"/>
              <w:jc w:val="right"/>
              <w:rPr>
                <w:sz w:val="20"/>
                <w:szCs w:val="20"/>
              </w:rPr>
            </w:pPr>
            <w:r>
              <w:rPr>
                <w:sz w:val="20"/>
                <w:szCs w:val="20"/>
              </w:rPr>
              <w:t>10</w:t>
            </w:r>
          </w:p>
        </w:tc>
        <w:tc>
          <w:tcPr>
            <w:tcW w:w="1071" w:type="dxa"/>
          </w:tcPr>
          <w:p w:rsidRPr="00BB7053" w:rsidR="00F352CA" w:rsidP="00F352CA" w:rsidRDefault="00C70135" w14:paraId="44773465" w14:textId="1361DC6F">
            <w:pPr>
              <w:tabs>
                <w:tab w:val="left" w:pos="6030"/>
              </w:tabs>
              <w:spacing w:line="276" w:lineRule="auto"/>
              <w:jc w:val="right"/>
              <w:rPr>
                <w:sz w:val="20"/>
                <w:szCs w:val="20"/>
              </w:rPr>
            </w:pPr>
            <w:r>
              <w:rPr>
                <w:sz w:val="20"/>
                <w:szCs w:val="20"/>
              </w:rPr>
              <w:t>8</w:t>
            </w:r>
            <w:r w:rsidR="00F352CA">
              <w:rPr>
                <w:sz w:val="20"/>
                <w:szCs w:val="20"/>
              </w:rPr>
              <w:t>00</w:t>
            </w:r>
          </w:p>
        </w:tc>
        <w:tc>
          <w:tcPr>
            <w:tcW w:w="1068" w:type="dxa"/>
          </w:tcPr>
          <w:p w:rsidRPr="00BB7053" w:rsidR="00F352CA" w:rsidP="00C70135" w:rsidRDefault="00C70135" w14:paraId="2C21CDF3" w14:textId="2C523F2E">
            <w:pPr>
              <w:tabs>
                <w:tab w:val="left" w:pos="6030"/>
              </w:tabs>
              <w:spacing w:line="276" w:lineRule="auto"/>
              <w:jc w:val="right"/>
              <w:rPr>
                <w:sz w:val="20"/>
                <w:szCs w:val="20"/>
              </w:rPr>
            </w:pPr>
            <w:r>
              <w:rPr>
                <w:sz w:val="20"/>
                <w:szCs w:val="20"/>
              </w:rPr>
              <w:t xml:space="preserve"> 95.22 </w:t>
            </w:r>
          </w:p>
        </w:tc>
        <w:tc>
          <w:tcPr>
            <w:tcW w:w="1770" w:type="dxa"/>
          </w:tcPr>
          <w:p w:rsidRPr="00BB7053" w:rsidR="00F352CA" w:rsidP="00F352CA" w:rsidRDefault="00612535" w14:paraId="27E6B327" w14:textId="6A4E8BAB">
            <w:pPr>
              <w:tabs>
                <w:tab w:val="left" w:pos="6030"/>
              </w:tabs>
              <w:spacing w:line="276" w:lineRule="auto"/>
              <w:jc w:val="right"/>
              <w:rPr>
                <w:sz w:val="20"/>
                <w:szCs w:val="20"/>
              </w:rPr>
            </w:pPr>
            <w:r>
              <w:rPr>
                <w:sz w:val="20"/>
                <w:szCs w:val="20"/>
              </w:rPr>
              <w:t>76,176</w:t>
            </w:r>
          </w:p>
        </w:tc>
      </w:tr>
      <w:tr w:rsidR="00612535" w:rsidTr="003830B0" w14:paraId="2EB99E37" w14:textId="77777777">
        <w:tc>
          <w:tcPr>
            <w:tcW w:w="1251" w:type="dxa"/>
          </w:tcPr>
          <w:p w:rsidRPr="00BB7053" w:rsidR="00F352CA" w:rsidP="00192E2E" w:rsidRDefault="008109E5" w14:paraId="686B2BF8" w14:textId="6105444A">
            <w:pPr>
              <w:tabs>
                <w:tab w:val="left" w:pos="6030"/>
              </w:tabs>
              <w:spacing w:line="276" w:lineRule="auto"/>
              <w:rPr>
                <w:sz w:val="20"/>
                <w:szCs w:val="20"/>
              </w:rPr>
            </w:pPr>
            <w:r>
              <w:rPr>
                <w:sz w:val="20"/>
                <w:szCs w:val="20"/>
              </w:rPr>
              <w:lastRenderedPageBreak/>
              <w:t>Proposed</w:t>
            </w:r>
            <w:r w:rsidR="00A67FD9">
              <w:rPr>
                <w:sz w:val="20"/>
                <w:szCs w:val="20"/>
              </w:rPr>
              <w:t xml:space="preserve"> </w:t>
            </w:r>
            <w:r w:rsidR="00CC6882">
              <w:rPr>
                <w:sz w:val="20"/>
                <w:szCs w:val="20"/>
              </w:rPr>
              <w:t xml:space="preserve">(2022 MIPS Performance Period) </w:t>
            </w:r>
            <w:r w:rsidRPr="00A67FD9" w:rsidR="00A67FD9">
              <w:rPr>
                <w:sz w:val="20"/>
                <w:szCs w:val="20"/>
              </w:rPr>
              <w:t xml:space="preserve">(See Table </w:t>
            </w:r>
            <w:r>
              <w:rPr>
                <w:sz w:val="20"/>
                <w:szCs w:val="20"/>
              </w:rPr>
              <w:t>30</w:t>
            </w:r>
            <w:r w:rsidRPr="00A67FD9" w:rsidR="00A67FD9">
              <w:rPr>
                <w:sz w:val="20"/>
                <w:szCs w:val="20"/>
              </w:rPr>
              <w:t>)</w:t>
            </w:r>
          </w:p>
        </w:tc>
        <w:tc>
          <w:tcPr>
            <w:tcW w:w="1306" w:type="dxa"/>
          </w:tcPr>
          <w:p w:rsidRPr="00BB7053" w:rsidR="00F352CA" w:rsidP="00F352CA" w:rsidRDefault="00D7219E" w14:paraId="7282B237" w14:textId="58181025">
            <w:pPr>
              <w:tabs>
                <w:tab w:val="left" w:pos="6030"/>
              </w:tabs>
              <w:spacing w:line="276" w:lineRule="auto"/>
              <w:jc w:val="right"/>
              <w:rPr>
                <w:sz w:val="20"/>
                <w:szCs w:val="20"/>
              </w:rPr>
            </w:pPr>
            <w:r>
              <w:rPr>
                <w:sz w:val="20"/>
                <w:szCs w:val="20"/>
              </w:rPr>
              <w:t>15</w:t>
            </w:r>
          </w:p>
        </w:tc>
        <w:tc>
          <w:tcPr>
            <w:tcW w:w="1168" w:type="dxa"/>
          </w:tcPr>
          <w:p w:rsidRPr="00BB7053" w:rsidR="00F352CA" w:rsidP="00F352CA" w:rsidRDefault="00F352CA" w14:paraId="1AFBE21E" w14:textId="2D3B1CEA">
            <w:pPr>
              <w:tabs>
                <w:tab w:val="left" w:pos="6030"/>
              </w:tabs>
              <w:spacing w:line="276" w:lineRule="auto"/>
              <w:jc w:val="right"/>
              <w:rPr>
                <w:sz w:val="20"/>
                <w:szCs w:val="20"/>
              </w:rPr>
            </w:pPr>
            <w:r>
              <w:rPr>
                <w:sz w:val="20"/>
                <w:szCs w:val="20"/>
              </w:rPr>
              <w:t>1</w:t>
            </w:r>
          </w:p>
        </w:tc>
        <w:tc>
          <w:tcPr>
            <w:tcW w:w="1094" w:type="dxa"/>
          </w:tcPr>
          <w:p w:rsidRPr="00BB7053" w:rsidR="00F352CA" w:rsidP="00F352CA" w:rsidRDefault="00A36BE7" w14:paraId="4C1E4F5F" w14:textId="2E304611">
            <w:pPr>
              <w:tabs>
                <w:tab w:val="left" w:pos="6030"/>
              </w:tabs>
              <w:spacing w:line="276" w:lineRule="auto"/>
              <w:jc w:val="right"/>
              <w:rPr>
                <w:sz w:val="20"/>
                <w:szCs w:val="20"/>
              </w:rPr>
            </w:pPr>
            <w:r>
              <w:rPr>
                <w:sz w:val="20"/>
                <w:szCs w:val="20"/>
              </w:rPr>
              <w:t>15</w:t>
            </w:r>
          </w:p>
        </w:tc>
        <w:tc>
          <w:tcPr>
            <w:tcW w:w="1077" w:type="dxa"/>
          </w:tcPr>
          <w:p w:rsidRPr="00BB7053" w:rsidR="00F352CA" w:rsidP="00F352CA" w:rsidRDefault="00F352CA" w14:paraId="41D7CB60" w14:textId="10B59BDA">
            <w:pPr>
              <w:tabs>
                <w:tab w:val="left" w:pos="6030"/>
              </w:tabs>
              <w:spacing w:line="276" w:lineRule="auto"/>
              <w:jc w:val="right"/>
              <w:rPr>
                <w:sz w:val="20"/>
                <w:szCs w:val="20"/>
              </w:rPr>
            </w:pPr>
            <w:r>
              <w:rPr>
                <w:sz w:val="20"/>
                <w:szCs w:val="20"/>
              </w:rPr>
              <w:t>10</w:t>
            </w:r>
          </w:p>
        </w:tc>
        <w:tc>
          <w:tcPr>
            <w:tcW w:w="1071" w:type="dxa"/>
          </w:tcPr>
          <w:p w:rsidRPr="00BB7053" w:rsidR="00F352CA" w:rsidP="00F352CA" w:rsidRDefault="00A36BE7" w14:paraId="0EA1EFE1" w14:textId="0CFCBFDD">
            <w:pPr>
              <w:tabs>
                <w:tab w:val="left" w:pos="6030"/>
              </w:tabs>
              <w:spacing w:line="276" w:lineRule="auto"/>
              <w:jc w:val="right"/>
              <w:rPr>
                <w:sz w:val="20"/>
                <w:szCs w:val="20"/>
              </w:rPr>
            </w:pPr>
            <w:r>
              <w:rPr>
                <w:sz w:val="20"/>
                <w:szCs w:val="20"/>
              </w:rPr>
              <w:t>150</w:t>
            </w:r>
          </w:p>
        </w:tc>
        <w:tc>
          <w:tcPr>
            <w:tcW w:w="1068" w:type="dxa"/>
          </w:tcPr>
          <w:p w:rsidRPr="00BB7053" w:rsidR="00F352CA" w:rsidP="00F352CA" w:rsidRDefault="00F352CA" w14:paraId="757C4195" w14:textId="575931EA">
            <w:pPr>
              <w:tabs>
                <w:tab w:val="left" w:pos="6030"/>
              </w:tabs>
              <w:spacing w:line="276" w:lineRule="auto"/>
              <w:jc w:val="right"/>
              <w:rPr>
                <w:sz w:val="20"/>
                <w:szCs w:val="20"/>
              </w:rPr>
            </w:pPr>
            <w:r>
              <w:rPr>
                <w:sz w:val="20"/>
                <w:szCs w:val="20"/>
              </w:rPr>
              <w:t>9</w:t>
            </w:r>
            <w:r w:rsidR="00C70135">
              <w:rPr>
                <w:sz w:val="20"/>
                <w:szCs w:val="20"/>
              </w:rPr>
              <w:t>5.22</w:t>
            </w:r>
          </w:p>
        </w:tc>
        <w:tc>
          <w:tcPr>
            <w:tcW w:w="1770" w:type="dxa"/>
          </w:tcPr>
          <w:p w:rsidRPr="00BB7053" w:rsidR="00F352CA" w:rsidP="00F352CA" w:rsidRDefault="00612535" w14:paraId="3AECEFD5" w14:textId="13DCB36E">
            <w:pPr>
              <w:tabs>
                <w:tab w:val="left" w:pos="6030"/>
              </w:tabs>
              <w:spacing w:line="276" w:lineRule="auto"/>
              <w:jc w:val="right"/>
              <w:rPr>
                <w:sz w:val="20"/>
                <w:szCs w:val="20"/>
              </w:rPr>
            </w:pPr>
            <w:r>
              <w:rPr>
                <w:sz w:val="20"/>
                <w:szCs w:val="20"/>
              </w:rPr>
              <w:t>14,283</w:t>
            </w:r>
          </w:p>
        </w:tc>
      </w:tr>
      <w:tr w:rsidR="00612535" w:rsidTr="003830B0" w14:paraId="1236CE21" w14:textId="77777777">
        <w:tc>
          <w:tcPr>
            <w:tcW w:w="1251" w:type="dxa"/>
            <w:shd w:val="clear" w:color="auto" w:fill="D9D9D9" w:themeFill="background1" w:themeFillShade="D9"/>
          </w:tcPr>
          <w:p w:rsidRPr="00BB7053" w:rsidR="00F352CA" w:rsidP="00F352CA" w:rsidRDefault="00F352CA" w14:paraId="21F763AC"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F352CA" w:rsidP="00F352CA" w:rsidRDefault="00F352CA" w14:paraId="2AB78019" w14:textId="14DC3923">
            <w:pPr>
              <w:tabs>
                <w:tab w:val="left" w:pos="6030"/>
              </w:tabs>
              <w:spacing w:line="276" w:lineRule="auto"/>
              <w:jc w:val="right"/>
              <w:rPr>
                <w:sz w:val="20"/>
                <w:szCs w:val="20"/>
              </w:rPr>
            </w:pPr>
            <w:r>
              <w:rPr>
                <w:sz w:val="20"/>
                <w:szCs w:val="20"/>
              </w:rPr>
              <w:t>-</w:t>
            </w:r>
            <w:r w:rsidR="00A36BE7">
              <w:rPr>
                <w:sz w:val="20"/>
                <w:szCs w:val="20"/>
              </w:rPr>
              <w:t>65</w:t>
            </w:r>
          </w:p>
        </w:tc>
        <w:tc>
          <w:tcPr>
            <w:tcW w:w="1168" w:type="dxa"/>
            <w:shd w:val="clear" w:color="auto" w:fill="D9D9D9" w:themeFill="background1" w:themeFillShade="D9"/>
          </w:tcPr>
          <w:p w:rsidRPr="00BB7053" w:rsidR="00F352CA" w:rsidP="00F352CA" w:rsidRDefault="00F352CA" w14:paraId="5CBA04EA" w14:textId="2E68870A">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F352CA" w:rsidP="00F352CA" w:rsidRDefault="00F352CA" w14:paraId="675B69EF" w14:textId="5F88B3B4">
            <w:pPr>
              <w:tabs>
                <w:tab w:val="left" w:pos="6030"/>
              </w:tabs>
              <w:spacing w:line="276" w:lineRule="auto"/>
              <w:jc w:val="right"/>
              <w:rPr>
                <w:sz w:val="20"/>
                <w:szCs w:val="20"/>
              </w:rPr>
            </w:pPr>
            <w:r>
              <w:rPr>
                <w:sz w:val="20"/>
                <w:szCs w:val="20"/>
              </w:rPr>
              <w:t>-</w:t>
            </w:r>
            <w:r w:rsidR="00A36BE7">
              <w:rPr>
                <w:sz w:val="20"/>
                <w:szCs w:val="20"/>
              </w:rPr>
              <w:t>65</w:t>
            </w:r>
          </w:p>
        </w:tc>
        <w:tc>
          <w:tcPr>
            <w:tcW w:w="1077" w:type="dxa"/>
            <w:shd w:val="clear" w:color="auto" w:fill="D9D9D9" w:themeFill="background1" w:themeFillShade="D9"/>
          </w:tcPr>
          <w:p w:rsidRPr="00BB7053" w:rsidR="00F352CA" w:rsidP="00F352CA" w:rsidRDefault="00F352CA" w14:paraId="38FBE95D" w14:textId="2468A816">
            <w:pPr>
              <w:tabs>
                <w:tab w:val="left" w:pos="6030"/>
              </w:tabs>
              <w:spacing w:line="276" w:lineRule="auto"/>
              <w:jc w:val="right"/>
              <w:rPr>
                <w:sz w:val="20"/>
                <w:szCs w:val="20"/>
              </w:rPr>
            </w:pPr>
            <w:r>
              <w:rPr>
                <w:sz w:val="20"/>
                <w:szCs w:val="20"/>
              </w:rPr>
              <w:t>No change</w:t>
            </w:r>
          </w:p>
        </w:tc>
        <w:tc>
          <w:tcPr>
            <w:tcW w:w="1071" w:type="dxa"/>
            <w:shd w:val="clear" w:color="auto" w:fill="D9D9D9" w:themeFill="background1" w:themeFillShade="D9"/>
          </w:tcPr>
          <w:p w:rsidRPr="00BB7053" w:rsidR="00F352CA" w:rsidP="00F352CA" w:rsidRDefault="00F352CA" w14:paraId="33347212" w14:textId="1A62DEE1">
            <w:pPr>
              <w:tabs>
                <w:tab w:val="left" w:pos="6030"/>
              </w:tabs>
              <w:spacing w:line="276" w:lineRule="auto"/>
              <w:jc w:val="right"/>
              <w:rPr>
                <w:sz w:val="20"/>
                <w:szCs w:val="20"/>
              </w:rPr>
            </w:pPr>
            <w:r>
              <w:rPr>
                <w:sz w:val="20"/>
                <w:szCs w:val="20"/>
              </w:rPr>
              <w:t>-</w:t>
            </w:r>
            <w:r w:rsidR="00A36BE7">
              <w:rPr>
                <w:sz w:val="20"/>
                <w:szCs w:val="20"/>
              </w:rPr>
              <w:t>650</w:t>
            </w:r>
          </w:p>
        </w:tc>
        <w:tc>
          <w:tcPr>
            <w:tcW w:w="1068" w:type="dxa"/>
            <w:shd w:val="clear" w:color="auto" w:fill="D9D9D9" w:themeFill="background1" w:themeFillShade="D9"/>
          </w:tcPr>
          <w:p w:rsidRPr="00BB7053" w:rsidR="00F352CA" w:rsidP="00F352CA" w:rsidRDefault="00F352CA" w14:paraId="7E08FBD8" w14:textId="4CCE9740">
            <w:pPr>
              <w:tabs>
                <w:tab w:val="left" w:pos="6030"/>
              </w:tabs>
              <w:spacing w:line="276" w:lineRule="auto"/>
              <w:jc w:val="right"/>
              <w:rPr>
                <w:sz w:val="20"/>
                <w:szCs w:val="20"/>
              </w:rPr>
            </w:pPr>
            <w:r>
              <w:rPr>
                <w:sz w:val="20"/>
                <w:szCs w:val="20"/>
              </w:rPr>
              <w:t>No change</w:t>
            </w:r>
          </w:p>
        </w:tc>
        <w:tc>
          <w:tcPr>
            <w:tcW w:w="1770" w:type="dxa"/>
            <w:shd w:val="clear" w:color="auto" w:fill="D9D9D9" w:themeFill="background1" w:themeFillShade="D9"/>
          </w:tcPr>
          <w:p w:rsidR="00E7203E" w:rsidP="00F352CA" w:rsidRDefault="00F352CA" w14:paraId="2F58B09E" w14:textId="77777777">
            <w:pPr>
              <w:tabs>
                <w:tab w:val="left" w:pos="6030"/>
              </w:tabs>
              <w:spacing w:line="276" w:lineRule="auto"/>
              <w:jc w:val="right"/>
              <w:rPr>
                <w:sz w:val="20"/>
                <w:szCs w:val="20"/>
              </w:rPr>
            </w:pPr>
            <w:r>
              <w:rPr>
                <w:sz w:val="20"/>
                <w:szCs w:val="20"/>
              </w:rPr>
              <w:t>-</w:t>
            </w:r>
            <w:r w:rsidR="00E7203E">
              <w:rPr>
                <w:sz w:val="20"/>
                <w:szCs w:val="20"/>
              </w:rPr>
              <w:t>$61,893</w:t>
            </w:r>
          </w:p>
          <w:p w:rsidRPr="00BB7053" w:rsidR="00F352CA" w:rsidP="00F352CA" w:rsidRDefault="00F352CA" w14:paraId="39B28F78" w14:textId="5E0D1316">
            <w:pPr>
              <w:tabs>
                <w:tab w:val="left" w:pos="6030"/>
              </w:tabs>
              <w:spacing w:line="276" w:lineRule="auto"/>
              <w:jc w:val="right"/>
              <w:rPr>
                <w:sz w:val="20"/>
                <w:szCs w:val="20"/>
              </w:rPr>
            </w:pPr>
          </w:p>
        </w:tc>
      </w:tr>
    </w:tbl>
    <w:p w:rsidR="00885183" w:rsidP="00BB7053" w:rsidRDefault="00885183" w14:paraId="70D44653" w14:textId="5B8E922A">
      <w:pPr>
        <w:tabs>
          <w:tab w:val="left" w:pos="6030"/>
        </w:tabs>
        <w:spacing w:line="276" w:lineRule="auto"/>
        <w:jc w:val="both"/>
      </w:pPr>
    </w:p>
    <w:p w:rsidR="00885183" w:rsidP="00536031" w:rsidRDefault="00885183" w14:paraId="5FFAAD2D" w14:textId="569AF7D4">
      <w:pPr>
        <w:keepNext/>
        <w:keepLines/>
        <w:jc w:val="center"/>
        <w:rPr>
          <w:b/>
          <w:bCs/>
        </w:rPr>
      </w:pPr>
      <w:r w:rsidRPr="00B30713">
        <w:rPr>
          <w:rFonts w:eastAsia="Calibri"/>
          <w:b/>
          <w:bCs/>
        </w:rPr>
        <w:t xml:space="preserve">TABLE </w:t>
      </w:r>
      <w:r w:rsidR="00C1361E">
        <w:rPr>
          <w:rFonts w:eastAsia="Calibri"/>
          <w:b/>
          <w:bCs/>
        </w:rPr>
        <w:t>3</w:t>
      </w:r>
      <w:r w:rsidR="00AD43FA">
        <w:rPr>
          <w:rFonts w:eastAsia="Calibri"/>
          <w:b/>
          <w:bCs/>
        </w:rPr>
        <w:t>8</w:t>
      </w:r>
      <w:r w:rsidR="00FA460C">
        <w:rPr>
          <w:rFonts w:eastAsia="Calibri"/>
          <w:b/>
          <w:bCs/>
        </w:rPr>
        <w:t>S</w:t>
      </w:r>
      <w:r w:rsidRPr="00B30713">
        <w:rPr>
          <w:rFonts w:eastAsia="Calibri"/>
          <w:b/>
          <w:bCs/>
        </w:rPr>
        <w:t xml:space="preserve">: Burden Reconciliation for </w:t>
      </w:r>
      <w:r w:rsidRPr="00AB5A74" w:rsidR="00AB5A74">
        <w:rPr>
          <w:rFonts w:eastAsia="Calibri"/>
          <w:b/>
          <w:bCs/>
        </w:rPr>
        <w:t>Other Payer Advanced APM Identification: Eligible Clinician Initiated Process</w:t>
      </w:r>
    </w:p>
    <w:tbl>
      <w:tblPr>
        <w:tblStyle w:val="TableGrid"/>
        <w:tblW w:w="9715" w:type="dxa"/>
        <w:tblLook w:val="04A0" w:firstRow="1" w:lastRow="0" w:firstColumn="1" w:lastColumn="0" w:noHBand="0" w:noVBand="1"/>
      </w:tblPr>
      <w:tblGrid>
        <w:gridCol w:w="1251"/>
        <w:gridCol w:w="1306"/>
        <w:gridCol w:w="1168"/>
        <w:gridCol w:w="1094"/>
        <w:gridCol w:w="1077"/>
        <w:gridCol w:w="1070"/>
        <w:gridCol w:w="1067"/>
        <w:gridCol w:w="1682"/>
      </w:tblGrid>
      <w:tr w:rsidR="00885183" w:rsidTr="003830B0" w14:paraId="700EE376" w14:textId="77777777">
        <w:trPr>
          <w:tblHeader/>
        </w:trPr>
        <w:tc>
          <w:tcPr>
            <w:tcW w:w="1251" w:type="dxa"/>
          </w:tcPr>
          <w:p w:rsidRPr="00173FA2" w:rsidR="00885183" w:rsidP="00536031" w:rsidRDefault="00885183" w14:paraId="2ED28A5D"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536031" w:rsidRDefault="00885183" w14:paraId="5E12E4A8"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536031" w:rsidRDefault="00885183" w14:paraId="15DAD6D4"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536031" w:rsidRDefault="00885183" w14:paraId="077035AC"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536031" w:rsidRDefault="00885183" w14:paraId="76C7B2DD" w14:textId="77777777">
            <w:pPr>
              <w:keepNext/>
              <w:keepLines/>
              <w:tabs>
                <w:tab w:val="left" w:pos="6030"/>
              </w:tabs>
              <w:spacing w:line="276" w:lineRule="auto"/>
              <w:rPr>
                <w:b/>
                <w:bCs/>
                <w:sz w:val="20"/>
                <w:szCs w:val="20"/>
              </w:rPr>
            </w:pPr>
            <w:r w:rsidRPr="00173FA2">
              <w:rPr>
                <w:b/>
                <w:bCs/>
                <w:sz w:val="20"/>
                <w:szCs w:val="20"/>
              </w:rPr>
              <w:t>Time Per Response (hr)</w:t>
            </w:r>
          </w:p>
        </w:tc>
        <w:tc>
          <w:tcPr>
            <w:tcW w:w="1070" w:type="dxa"/>
          </w:tcPr>
          <w:p w:rsidRPr="00173FA2" w:rsidR="00885183" w:rsidP="00536031" w:rsidRDefault="00885183" w14:paraId="6625CF01"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7" w:type="dxa"/>
          </w:tcPr>
          <w:p w:rsidRPr="00173FA2" w:rsidR="00885183" w:rsidP="00536031" w:rsidRDefault="00885183" w14:paraId="538349FB"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682" w:type="dxa"/>
          </w:tcPr>
          <w:p w:rsidRPr="00173FA2" w:rsidR="00885183" w:rsidP="00536031" w:rsidRDefault="00885183" w14:paraId="6EB9FC3F" w14:textId="77777777">
            <w:pPr>
              <w:keepNext/>
              <w:keepLines/>
              <w:tabs>
                <w:tab w:val="left" w:pos="6030"/>
              </w:tabs>
              <w:spacing w:line="276" w:lineRule="auto"/>
              <w:rPr>
                <w:b/>
                <w:bCs/>
                <w:sz w:val="20"/>
                <w:szCs w:val="20"/>
              </w:rPr>
            </w:pPr>
            <w:r w:rsidRPr="00173FA2">
              <w:rPr>
                <w:b/>
                <w:bCs/>
                <w:sz w:val="20"/>
                <w:szCs w:val="20"/>
              </w:rPr>
              <w:t>Total Annual Cost ($)</w:t>
            </w:r>
          </w:p>
        </w:tc>
      </w:tr>
      <w:tr w:rsidR="00460240" w:rsidTr="003830B0" w14:paraId="1E5FB047" w14:textId="77777777">
        <w:tc>
          <w:tcPr>
            <w:tcW w:w="1251" w:type="dxa"/>
          </w:tcPr>
          <w:p w:rsidRPr="00BB7053" w:rsidR="00460240" w:rsidP="00536031" w:rsidRDefault="00460240" w14:paraId="06391956" w14:textId="2A644EE1">
            <w:pPr>
              <w:keepNext/>
              <w:keepLines/>
              <w:tabs>
                <w:tab w:val="left" w:pos="6030"/>
              </w:tabs>
              <w:spacing w:line="276" w:lineRule="auto"/>
              <w:jc w:val="both"/>
              <w:rPr>
                <w:sz w:val="20"/>
                <w:szCs w:val="20"/>
              </w:rPr>
            </w:pPr>
            <w:r>
              <w:rPr>
                <w:sz w:val="20"/>
                <w:szCs w:val="20"/>
              </w:rPr>
              <w:t>Currently Approved</w:t>
            </w:r>
            <w:r w:rsidR="00CC5836">
              <w:rPr>
                <w:sz w:val="20"/>
                <w:szCs w:val="20"/>
              </w:rPr>
              <w:t xml:space="preserve"> </w:t>
            </w:r>
            <w:r w:rsidRPr="00E4635E" w:rsidR="00CC5836">
              <w:rPr>
                <w:bCs/>
                <w:sz w:val="20"/>
                <w:szCs w:val="20"/>
              </w:rPr>
              <w:t>(202</w:t>
            </w:r>
            <w:r w:rsidR="008130C7">
              <w:rPr>
                <w:bCs/>
                <w:sz w:val="20"/>
                <w:szCs w:val="20"/>
              </w:rPr>
              <w:t>2</w:t>
            </w:r>
            <w:r w:rsidRPr="00E4635E" w:rsidR="00CC5836">
              <w:rPr>
                <w:bCs/>
                <w:sz w:val="20"/>
                <w:szCs w:val="20"/>
              </w:rPr>
              <w:t xml:space="preserve"> MIPS Performance Period)</w:t>
            </w:r>
          </w:p>
        </w:tc>
        <w:tc>
          <w:tcPr>
            <w:tcW w:w="1306" w:type="dxa"/>
          </w:tcPr>
          <w:p w:rsidRPr="00BB7053" w:rsidR="00460240" w:rsidP="00536031" w:rsidRDefault="00460240" w14:paraId="578DA845" w14:textId="385F9F8F">
            <w:pPr>
              <w:keepNext/>
              <w:keepLines/>
              <w:tabs>
                <w:tab w:val="left" w:pos="6030"/>
              </w:tabs>
              <w:spacing w:line="276" w:lineRule="auto"/>
              <w:jc w:val="right"/>
              <w:rPr>
                <w:sz w:val="20"/>
                <w:szCs w:val="20"/>
              </w:rPr>
            </w:pPr>
            <w:r>
              <w:rPr>
                <w:sz w:val="20"/>
                <w:szCs w:val="20"/>
              </w:rPr>
              <w:t>150</w:t>
            </w:r>
          </w:p>
        </w:tc>
        <w:tc>
          <w:tcPr>
            <w:tcW w:w="1168" w:type="dxa"/>
          </w:tcPr>
          <w:p w:rsidRPr="00BB7053" w:rsidR="00460240" w:rsidP="00536031" w:rsidRDefault="00460240" w14:paraId="707D4976" w14:textId="0846C894">
            <w:pPr>
              <w:keepNext/>
              <w:keepLines/>
              <w:tabs>
                <w:tab w:val="left" w:pos="6030"/>
              </w:tabs>
              <w:spacing w:line="276" w:lineRule="auto"/>
              <w:jc w:val="right"/>
              <w:rPr>
                <w:sz w:val="20"/>
                <w:szCs w:val="20"/>
              </w:rPr>
            </w:pPr>
            <w:r>
              <w:rPr>
                <w:sz w:val="20"/>
                <w:szCs w:val="20"/>
              </w:rPr>
              <w:t>1</w:t>
            </w:r>
          </w:p>
        </w:tc>
        <w:tc>
          <w:tcPr>
            <w:tcW w:w="1094" w:type="dxa"/>
          </w:tcPr>
          <w:p w:rsidRPr="00BB7053" w:rsidR="00460240" w:rsidP="00536031" w:rsidRDefault="00460240" w14:paraId="11783160" w14:textId="1CB0A937">
            <w:pPr>
              <w:keepNext/>
              <w:keepLines/>
              <w:tabs>
                <w:tab w:val="left" w:pos="6030"/>
              </w:tabs>
              <w:spacing w:line="276" w:lineRule="auto"/>
              <w:jc w:val="right"/>
              <w:rPr>
                <w:sz w:val="20"/>
                <w:szCs w:val="20"/>
              </w:rPr>
            </w:pPr>
            <w:r>
              <w:rPr>
                <w:sz w:val="20"/>
                <w:szCs w:val="20"/>
              </w:rPr>
              <w:t>150</w:t>
            </w:r>
          </w:p>
        </w:tc>
        <w:tc>
          <w:tcPr>
            <w:tcW w:w="1077" w:type="dxa"/>
          </w:tcPr>
          <w:p w:rsidRPr="00BB7053" w:rsidR="00460240" w:rsidP="00536031" w:rsidRDefault="00460240" w14:paraId="4B0AECF1" w14:textId="1BB3ED3E">
            <w:pPr>
              <w:keepNext/>
              <w:keepLines/>
              <w:tabs>
                <w:tab w:val="left" w:pos="6030"/>
              </w:tabs>
              <w:spacing w:line="276" w:lineRule="auto"/>
              <w:jc w:val="right"/>
              <w:rPr>
                <w:sz w:val="20"/>
                <w:szCs w:val="20"/>
              </w:rPr>
            </w:pPr>
            <w:r>
              <w:rPr>
                <w:sz w:val="20"/>
                <w:szCs w:val="20"/>
              </w:rPr>
              <w:t>10</w:t>
            </w:r>
          </w:p>
        </w:tc>
        <w:tc>
          <w:tcPr>
            <w:tcW w:w="1070" w:type="dxa"/>
          </w:tcPr>
          <w:p w:rsidRPr="00BB7053" w:rsidR="00460240" w:rsidP="00536031" w:rsidRDefault="00460240" w14:paraId="7D30B4CF" w14:textId="20D95735">
            <w:pPr>
              <w:keepNext/>
              <w:keepLines/>
              <w:tabs>
                <w:tab w:val="left" w:pos="6030"/>
              </w:tabs>
              <w:spacing w:line="276" w:lineRule="auto"/>
              <w:jc w:val="right"/>
              <w:rPr>
                <w:sz w:val="20"/>
                <w:szCs w:val="20"/>
              </w:rPr>
            </w:pPr>
            <w:r>
              <w:rPr>
                <w:sz w:val="20"/>
                <w:szCs w:val="20"/>
              </w:rPr>
              <w:t>1,500</w:t>
            </w:r>
          </w:p>
        </w:tc>
        <w:tc>
          <w:tcPr>
            <w:tcW w:w="1067" w:type="dxa"/>
          </w:tcPr>
          <w:p w:rsidRPr="00BB7053" w:rsidR="00460240" w:rsidP="00536031" w:rsidRDefault="00460240" w14:paraId="5095728B" w14:textId="78AA5EBE">
            <w:pPr>
              <w:keepNext/>
              <w:keepLines/>
              <w:tabs>
                <w:tab w:val="left" w:pos="6030"/>
              </w:tabs>
              <w:spacing w:line="276" w:lineRule="auto"/>
              <w:jc w:val="right"/>
              <w:rPr>
                <w:sz w:val="20"/>
                <w:szCs w:val="20"/>
              </w:rPr>
            </w:pPr>
            <w:r>
              <w:rPr>
                <w:sz w:val="20"/>
                <w:szCs w:val="20"/>
              </w:rPr>
              <w:t>9</w:t>
            </w:r>
            <w:r w:rsidR="0088273C">
              <w:rPr>
                <w:sz w:val="20"/>
                <w:szCs w:val="20"/>
              </w:rPr>
              <w:t>5.22</w:t>
            </w:r>
          </w:p>
        </w:tc>
        <w:tc>
          <w:tcPr>
            <w:tcW w:w="1682" w:type="dxa"/>
          </w:tcPr>
          <w:p w:rsidRPr="00BB7053" w:rsidR="00460240" w:rsidP="00536031" w:rsidRDefault="00460240" w14:paraId="10581664" w14:textId="3B0185D3">
            <w:pPr>
              <w:keepNext/>
              <w:keepLines/>
              <w:tabs>
                <w:tab w:val="left" w:pos="6030"/>
              </w:tabs>
              <w:spacing w:line="276" w:lineRule="auto"/>
              <w:jc w:val="right"/>
              <w:rPr>
                <w:sz w:val="20"/>
                <w:szCs w:val="20"/>
              </w:rPr>
            </w:pPr>
            <w:r>
              <w:rPr>
                <w:sz w:val="20"/>
                <w:szCs w:val="20"/>
              </w:rPr>
              <w:t>1</w:t>
            </w:r>
            <w:r w:rsidR="000E24EB">
              <w:rPr>
                <w:sz w:val="20"/>
                <w:szCs w:val="20"/>
              </w:rPr>
              <w:t>42,830</w:t>
            </w:r>
          </w:p>
        </w:tc>
      </w:tr>
      <w:tr w:rsidR="00460240" w:rsidTr="003830B0" w14:paraId="21B7DDF4" w14:textId="77777777">
        <w:tc>
          <w:tcPr>
            <w:tcW w:w="1251" w:type="dxa"/>
          </w:tcPr>
          <w:p w:rsidRPr="00BB7053" w:rsidR="00460240" w:rsidP="00192E2E" w:rsidRDefault="0088273C" w14:paraId="57FA653D" w14:textId="78CBB213">
            <w:pPr>
              <w:tabs>
                <w:tab w:val="left" w:pos="6030"/>
              </w:tabs>
              <w:spacing w:line="276" w:lineRule="auto"/>
              <w:rPr>
                <w:sz w:val="20"/>
                <w:szCs w:val="20"/>
              </w:rPr>
            </w:pPr>
            <w:r>
              <w:rPr>
                <w:sz w:val="20"/>
                <w:szCs w:val="20"/>
              </w:rPr>
              <w:t xml:space="preserve">Proposed </w:t>
            </w:r>
            <w:r w:rsidR="00CC6882">
              <w:rPr>
                <w:sz w:val="20"/>
                <w:szCs w:val="20"/>
              </w:rPr>
              <w:t xml:space="preserve">(2022 MIPS Performance Period) </w:t>
            </w:r>
            <w:r w:rsidRPr="00A67FD9" w:rsidR="00A67FD9">
              <w:rPr>
                <w:sz w:val="20"/>
                <w:szCs w:val="20"/>
              </w:rPr>
              <w:t xml:space="preserve">(See Table </w:t>
            </w:r>
            <w:r>
              <w:rPr>
                <w:sz w:val="20"/>
                <w:szCs w:val="20"/>
              </w:rPr>
              <w:t>31</w:t>
            </w:r>
            <w:r w:rsidRPr="00A67FD9" w:rsidR="00A67FD9">
              <w:rPr>
                <w:sz w:val="20"/>
                <w:szCs w:val="20"/>
              </w:rPr>
              <w:t>)</w:t>
            </w:r>
          </w:p>
        </w:tc>
        <w:tc>
          <w:tcPr>
            <w:tcW w:w="1306" w:type="dxa"/>
          </w:tcPr>
          <w:p w:rsidRPr="00BB7053" w:rsidR="00460240" w:rsidP="00460240" w:rsidRDefault="00460240" w14:paraId="3C0AC002" w14:textId="20FA70F6">
            <w:pPr>
              <w:tabs>
                <w:tab w:val="left" w:pos="6030"/>
              </w:tabs>
              <w:spacing w:line="276" w:lineRule="auto"/>
              <w:jc w:val="right"/>
              <w:rPr>
                <w:sz w:val="20"/>
                <w:szCs w:val="20"/>
              </w:rPr>
            </w:pPr>
            <w:r>
              <w:rPr>
                <w:sz w:val="20"/>
                <w:szCs w:val="20"/>
              </w:rPr>
              <w:t>15</w:t>
            </w:r>
          </w:p>
        </w:tc>
        <w:tc>
          <w:tcPr>
            <w:tcW w:w="1168" w:type="dxa"/>
          </w:tcPr>
          <w:p w:rsidRPr="00BB7053" w:rsidR="00460240" w:rsidP="00460240" w:rsidRDefault="00460240" w14:paraId="0374E752" w14:textId="34C4919A">
            <w:pPr>
              <w:tabs>
                <w:tab w:val="left" w:pos="6030"/>
              </w:tabs>
              <w:spacing w:line="276" w:lineRule="auto"/>
              <w:jc w:val="right"/>
              <w:rPr>
                <w:sz w:val="20"/>
                <w:szCs w:val="20"/>
              </w:rPr>
            </w:pPr>
            <w:r>
              <w:rPr>
                <w:sz w:val="20"/>
                <w:szCs w:val="20"/>
              </w:rPr>
              <w:t>1</w:t>
            </w:r>
          </w:p>
        </w:tc>
        <w:tc>
          <w:tcPr>
            <w:tcW w:w="1094" w:type="dxa"/>
          </w:tcPr>
          <w:p w:rsidRPr="00BB7053" w:rsidR="00460240" w:rsidP="00460240" w:rsidRDefault="00460240" w14:paraId="36DAD90E" w14:textId="42CC5C6B">
            <w:pPr>
              <w:tabs>
                <w:tab w:val="left" w:pos="6030"/>
              </w:tabs>
              <w:spacing w:line="276" w:lineRule="auto"/>
              <w:jc w:val="right"/>
              <w:rPr>
                <w:sz w:val="20"/>
                <w:szCs w:val="20"/>
              </w:rPr>
            </w:pPr>
            <w:r>
              <w:rPr>
                <w:sz w:val="20"/>
                <w:szCs w:val="20"/>
              </w:rPr>
              <w:t>15</w:t>
            </w:r>
          </w:p>
        </w:tc>
        <w:tc>
          <w:tcPr>
            <w:tcW w:w="1077" w:type="dxa"/>
          </w:tcPr>
          <w:p w:rsidRPr="00BB7053" w:rsidR="00460240" w:rsidP="00460240" w:rsidRDefault="00460240" w14:paraId="04C5C4A2" w14:textId="1F3B8129">
            <w:pPr>
              <w:tabs>
                <w:tab w:val="left" w:pos="6030"/>
              </w:tabs>
              <w:spacing w:line="276" w:lineRule="auto"/>
              <w:jc w:val="right"/>
              <w:rPr>
                <w:sz w:val="20"/>
                <w:szCs w:val="20"/>
              </w:rPr>
            </w:pPr>
            <w:r>
              <w:rPr>
                <w:sz w:val="20"/>
                <w:szCs w:val="20"/>
              </w:rPr>
              <w:t>10</w:t>
            </w:r>
          </w:p>
        </w:tc>
        <w:tc>
          <w:tcPr>
            <w:tcW w:w="1070" w:type="dxa"/>
          </w:tcPr>
          <w:p w:rsidRPr="00BB7053" w:rsidR="00460240" w:rsidP="00460240" w:rsidRDefault="00460240" w14:paraId="32152676" w14:textId="3502408D">
            <w:pPr>
              <w:tabs>
                <w:tab w:val="left" w:pos="6030"/>
              </w:tabs>
              <w:spacing w:line="276" w:lineRule="auto"/>
              <w:jc w:val="right"/>
              <w:rPr>
                <w:sz w:val="20"/>
                <w:szCs w:val="20"/>
              </w:rPr>
            </w:pPr>
            <w:r>
              <w:rPr>
                <w:sz w:val="20"/>
                <w:szCs w:val="20"/>
              </w:rPr>
              <w:t>1</w:t>
            </w:r>
            <w:r w:rsidR="00EB2F06">
              <w:rPr>
                <w:sz w:val="20"/>
                <w:szCs w:val="20"/>
              </w:rPr>
              <w:t>50</w:t>
            </w:r>
          </w:p>
        </w:tc>
        <w:tc>
          <w:tcPr>
            <w:tcW w:w="1067" w:type="dxa"/>
          </w:tcPr>
          <w:p w:rsidRPr="00BB7053" w:rsidR="00460240" w:rsidP="00460240" w:rsidRDefault="00460240" w14:paraId="70714BC4" w14:textId="3273263C">
            <w:pPr>
              <w:tabs>
                <w:tab w:val="left" w:pos="6030"/>
              </w:tabs>
              <w:spacing w:line="276" w:lineRule="auto"/>
              <w:jc w:val="right"/>
              <w:rPr>
                <w:sz w:val="20"/>
                <w:szCs w:val="20"/>
              </w:rPr>
            </w:pPr>
            <w:r>
              <w:rPr>
                <w:sz w:val="20"/>
                <w:szCs w:val="20"/>
              </w:rPr>
              <w:t>9</w:t>
            </w:r>
            <w:r w:rsidR="00EB2F06">
              <w:rPr>
                <w:sz w:val="20"/>
                <w:szCs w:val="20"/>
              </w:rPr>
              <w:t>5.22</w:t>
            </w:r>
          </w:p>
        </w:tc>
        <w:tc>
          <w:tcPr>
            <w:tcW w:w="1682" w:type="dxa"/>
          </w:tcPr>
          <w:p w:rsidRPr="00BB7053" w:rsidR="00460240" w:rsidP="00460240" w:rsidRDefault="00460240" w14:paraId="4574824F" w14:textId="068E8A71">
            <w:pPr>
              <w:tabs>
                <w:tab w:val="left" w:pos="6030"/>
              </w:tabs>
              <w:spacing w:line="276" w:lineRule="auto"/>
              <w:jc w:val="right"/>
              <w:rPr>
                <w:sz w:val="20"/>
                <w:szCs w:val="20"/>
              </w:rPr>
            </w:pPr>
            <w:r>
              <w:rPr>
                <w:sz w:val="20"/>
                <w:szCs w:val="20"/>
              </w:rPr>
              <w:t>1</w:t>
            </w:r>
            <w:r w:rsidR="000E24EB">
              <w:rPr>
                <w:sz w:val="20"/>
                <w:szCs w:val="20"/>
              </w:rPr>
              <w:t>4,283</w:t>
            </w:r>
          </w:p>
        </w:tc>
      </w:tr>
      <w:tr w:rsidR="000E24EB" w:rsidTr="003830B0" w14:paraId="055D9A45" w14:textId="77777777">
        <w:tc>
          <w:tcPr>
            <w:tcW w:w="1251" w:type="dxa"/>
            <w:shd w:val="clear" w:color="auto" w:fill="D9D9D9" w:themeFill="background1" w:themeFillShade="D9"/>
          </w:tcPr>
          <w:p w:rsidRPr="00BB7053" w:rsidR="00460240" w:rsidP="00460240" w:rsidRDefault="00460240" w14:paraId="25CA9789"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460240" w:rsidP="00460240" w:rsidRDefault="00FB419C" w14:paraId="68241798" w14:textId="2561BED5">
            <w:pPr>
              <w:tabs>
                <w:tab w:val="left" w:pos="6030"/>
              </w:tabs>
              <w:spacing w:line="276" w:lineRule="auto"/>
              <w:jc w:val="right"/>
              <w:rPr>
                <w:sz w:val="20"/>
                <w:szCs w:val="20"/>
              </w:rPr>
            </w:pPr>
            <w:r>
              <w:rPr>
                <w:sz w:val="20"/>
                <w:szCs w:val="20"/>
              </w:rPr>
              <w:t>-135</w:t>
            </w:r>
          </w:p>
        </w:tc>
        <w:tc>
          <w:tcPr>
            <w:tcW w:w="1168" w:type="dxa"/>
            <w:shd w:val="clear" w:color="auto" w:fill="D9D9D9" w:themeFill="background1" w:themeFillShade="D9"/>
          </w:tcPr>
          <w:p w:rsidRPr="00BB7053" w:rsidR="00460240" w:rsidP="00460240" w:rsidRDefault="00460240" w14:paraId="4BA9FE3B" w14:textId="23DA1A5E">
            <w:pPr>
              <w:tabs>
                <w:tab w:val="left" w:pos="6030"/>
              </w:tabs>
              <w:spacing w:line="276" w:lineRule="auto"/>
              <w:jc w:val="right"/>
              <w:rPr>
                <w:sz w:val="20"/>
                <w:szCs w:val="20"/>
              </w:rPr>
            </w:pPr>
            <w:r w:rsidRPr="00567943">
              <w:rPr>
                <w:sz w:val="20"/>
                <w:szCs w:val="20"/>
              </w:rPr>
              <w:t>No change</w:t>
            </w:r>
          </w:p>
        </w:tc>
        <w:tc>
          <w:tcPr>
            <w:tcW w:w="1094" w:type="dxa"/>
            <w:shd w:val="clear" w:color="auto" w:fill="D9D9D9" w:themeFill="background1" w:themeFillShade="D9"/>
          </w:tcPr>
          <w:p w:rsidRPr="00BB7053" w:rsidR="00460240" w:rsidP="00460240" w:rsidRDefault="00FB419C" w14:paraId="538AF95F" w14:textId="31E2CA8B">
            <w:pPr>
              <w:tabs>
                <w:tab w:val="left" w:pos="6030"/>
              </w:tabs>
              <w:spacing w:line="276" w:lineRule="auto"/>
              <w:jc w:val="right"/>
              <w:rPr>
                <w:sz w:val="20"/>
                <w:szCs w:val="20"/>
              </w:rPr>
            </w:pPr>
            <w:r>
              <w:rPr>
                <w:sz w:val="20"/>
                <w:szCs w:val="20"/>
              </w:rPr>
              <w:t>-135</w:t>
            </w:r>
          </w:p>
        </w:tc>
        <w:tc>
          <w:tcPr>
            <w:tcW w:w="1077" w:type="dxa"/>
            <w:shd w:val="clear" w:color="auto" w:fill="D9D9D9" w:themeFill="background1" w:themeFillShade="D9"/>
          </w:tcPr>
          <w:p w:rsidRPr="00BB7053" w:rsidR="00460240" w:rsidP="00460240" w:rsidRDefault="00460240" w14:paraId="158D867C" w14:textId="330C685D">
            <w:pPr>
              <w:tabs>
                <w:tab w:val="left" w:pos="6030"/>
              </w:tabs>
              <w:spacing w:line="276" w:lineRule="auto"/>
              <w:jc w:val="right"/>
              <w:rPr>
                <w:sz w:val="20"/>
                <w:szCs w:val="20"/>
              </w:rPr>
            </w:pPr>
            <w:r w:rsidRPr="00567943">
              <w:rPr>
                <w:sz w:val="20"/>
                <w:szCs w:val="20"/>
              </w:rPr>
              <w:t>No change</w:t>
            </w:r>
          </w:p>
        </w:tc>
        <w:tc>
          <w:tcPr>
            <w:tcW w:w="1070" w:type="dxa"/>
            <w:shd w:val="clear" w:color="auto" w:fill="D9D9D9" w:themeFill="background1" w:themeFillShade="D9"/>
          </w:tcPr>
          <w:p w:rsidRPr="00BB7053" w:rsidR="00460240" w:rsidP="00460240" w:rsidRDefault="000F7CBA" w14:paraId="716CF5C5" w14:textId="6481162D">
            <w:pPr>
              <w:tabs>
                <w:tab w:val="left" w:pos="6030"/>
              </w:tabs>
              <w:spacing w:line="276" w:lineRule="auto"/>
              <w:jc w:val="right"/>
              <w:rPr>
                <w:sz w:val="20"/>
                <w:szCs w:val="20"/>
              </w:rPr>
            </w:pPr>
            <w:r>
              <w:rPr>
                <w:sz w:val="20"/>
                <w:szCs w:val="20"/>
              </w:rPr>
              <w:t>-1,350</w:t>
            </w:r>
          </w:p>
        </w:tc>
        <w:tc>
          <w:tcPr>
            <w:tcW w:w="1067" w:type="dxa"/>
            <w:shd w:val="clear" w:color="auto" w:fill="D9D9D9" w:themeFill="background1" w:themeFillShade="D9"/>
          </w:tcPr>
          <w:p w:rsidRPr="00BB7053" w:rsidR="00460240" w:rsidP="00460240" w:rsidRDefault="00460240" w14:paraId="7C1D85A4" w14:textId="235E848A">
            <w:pPr>
              <w:tabs>
                <w:tab w:val="left" w:pos="6030"/>
              </w:tabs>
              <w:spacing w:line="276" w:lineRule="auto"/>
              <w:jc w:val="right"/>
              <w:rPr>
                <w:sz w:val="20"/>
                <w:szCs w:val="20"/>
              </w:rPr>
            </w:pPr>
            <w:r w:rsidRPr="00567943">
              <w:rPr>
                <w:sz w:val="20"/>
                <w:szCs w:val="20"/>
              </w:rPr>
              <w:t>No change</w:t>
            </w:r>
          </w:p>
        </w:tc>
        <w:tc>
          <w:tcPr>
            <w:tcW w:w="1682" w:type="dxa"/>
            <w:shd w:val="clear" w:color="auto" w:fill="D9D9D9" w:themeFill="background1" w:themeFillShade="D9"/>
          </w:tcPr>
          <w:p w:rsidRPr="00BB7053" w:rsidR="00460240" w:rsidP="00460240" w:rsidRDefault="00363170" w14:paraId="139CE72E" w14:textId="473CBAD4">
            <w:pPr>
              <w:tabs>
                <w:tab w:val="left" w:pos="6030"/>
              </w:tabs>
              <w:spacing w:line="276" w:lineRule="auto"/>
              <w:jc w:val="right"/>
              <w:rPr>
                <w:sz w:val="20"/>
                <w:szCs w:val="20"/>
              </w:rPr>
            </w:pPr>
            <w:r>
              <w:rPr>
                <w:sz w:val="20"/>
                <w:szCs w:val="20"/>
              </w:rPr>
              <w:t>-$128,547</w:t>
            </w:r>
          </w:p>
        </w:tc>
      </w:tr>
    </w:tbl>
    <w:p w:rsidR="00885183" w:rsidP="00BB7053" w:rsidRDefault="00885183" w14:paraId="078A4EB8" w14:textId="72F3F246">
      <w:pPr>
        <w:tabs>
          <w:tab w:val="left" w:pos="6030"/>
        </w:tabs>
        <w:spacing w:line="276" w:lineRule="auto"/>
        <w:jc w:val="both"/>
      </w:pPr>
    </w:p>
    <w:p w:rsidR="00885183" w:rsidP="00885183" w:rsidRDefault="00885183" w14:paraId="57DECA10" w14:textId="1DFD7118">
      <w:pPr>
        <w:jc w:val="center"/>
        <w:rPr>
          <w:b/>
          <w:bCs/>
        </w:rPr>
      </w:pPr>
      <w:r w:rsidRPr="00B30713">
        <w:rPr>
          <w:rFonts w:eastAsia="Calibri"/>
          <w:b/>
          <w:bCs/>
        </w:rPr>
        <w:t xml:space="preserve">TABLE </w:t>
      </w:r>
      <w:r w:rsidR="00C1361E">
        <w:rPr>
          <w:rFonts w:eastAsia="Calibri"/>
          <w:b/>
          <w:bCs/>
        </w:rPr>
        <w:t>3</w:t>
      </w:r>
      <w:r w:rsidR="00AD43FA">
        <w:rPr>
          <w:rFonts w:eastAsia="Calibri"/>
          <w:b/>
          <w:bCs/>
        </w:rPr>
        <w:t>8</w:t>
      </w:r>
      <w:r w:rsidR="00FA460C">
        <w:rPr>
          <w:rFonts w:eastAsia="Calibri"/>
          <w:b/>
          <w:bCs/>
        </w:rPr>
        <w:t>T</w:t>
      </w:r>
      <w:r w:rsidRPr="00B30713">
        <w:rPr>
          <w:rFonts w:eastAsia="Calibri"/>
          <w:b/>
          <w:bCs/>
        </w:rPr>
        <w:t xml:space="preserve">: Burden Reconciliation for </w:t>
      </w:r>
      <w:r w:rsidRPr="004E7025" w:rsidR="004E7025">
        <w:rPr>
          <w:rFonts w:eastAsia="Calibri"/>
          <w:b/>
          <w:bCs/>
        </w:rPr>
        <w:t>Submission of Data for All-Payer QP Determinations under the All-Payer Combination Option</w:t>
      </w:r>
    </w:p>
    <w:tbl>
      <w:tblPr>
        <w:tblStyle w:val="TableGrid"/>
        <w:tblW w:w="9715" w:type="dxa"/>
        <w:tblLook w:val="04A0" w:firstRow="1" w:lastRow="0" w:firstColumn="1" w:lastColumn="0" w:noHBand="0" w:noVBand="1"/>
      </w:tblPr>
      <w:tblGrid>
        <w:gridCol w:w="1251"/>
        <w:gridCol w:w="1306"/>
        <w:gridCol w:w="1168"/>
        <w:gridCol w:w="1094"/>
        <w:gridCol w:w="1077"/>
        <w:gridCol w:w="1071"/>
        <w:gridCol w:w="1068"/>
        <w:gridCol w:w="1680"/>
      </w:tblGrid>
      <w:tr w:rsidR="00885183" w:rsidTr="003830B0" w14:paraId="64A2FC86" w14:textId="77777777">
        <w:trPr>
          <w:tblHeader/>
        </w:trPr>
        <w:tc>
          <w:tcPr>
            <w:tcW w:w="1251" w:type="dxa"/>
          </w:tcPr>
          <w:p w:rsidRPr="00173FA2" w:rsidR="00885183" w:rsidP="00A56476" w:rsidRDefault="00885183" w14:paraId="18FAB669" w14:textId="77777777">
            <w:pPr>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A56476" w:rsidRDefault="00885183" w14:paraId="65349184" w14:textId="77777777">
            <w:pPr>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A56476" w:rsidRDefault="00885183" w14:paraId="2CBF57B6" w14:textId="77777777">
            <w:pPr>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A56476" w:rsidRDefault="00885183" w14:paraId="4394A407" w14:textId="77777777">
            <w:pPr>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A56476" w:rsidRDefault="00885183" w14:paraId="38658240" w14:textId="77777777">
            <w:pPr>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A56476" w:rsidRDefault="00885183" w14:paraId="2942A5B2" w14:textId="77777777">
            <w:pPr>
              <w:tabs>
                <w:tab w:val="left" w:pos="6030"/>
              </w:tabs>
              <w:spacing w:line="276" w:lineRule="auto"/>
              <w:jc w:val="both"/>
              <w:rPr>
                <w:b/>
                <w:bCs/>
                <w:sz w:val="20"/>
                <w:szCs w:val="20"/>
              </w:rPr>
            </w:pPr>
            <w:r w:rsidRPr="00173FA2">
              <w:rPr>
                <w:b/>
                <w:bCs/>
                <w:sz w:val="20"/>
                <w:szCs w:val="20"/>
              </w:rPr>
              <w:t>Total Annual Time (hr)</w:t>
            </w:r>
          </w:p>
        </w:tc>
        <w:tc>
          <w:tcPr>
            <w:tcW w:w="1068" w:type="dxa"/>
          </w:tcPr>
          <w:p w:rsidRPr="00173FA2" w:rsidR="00885183" w:rsidP="00A56476" w:rsidRDefault="00885183" w14:paraId="7CDB6C56" w14:textId="77777777">
            <w:pPr>
              <w:tabs>
                <w:tab w:val="left" w:pos="6030"/>
              </w:tabs>
              <w:spacing w:line="276" w:lineRule="auto"/>
              <w:jc w:val="both"/>
              <w:rPr>
                <w:b/>
                <w:bCs/>
                <w:sz w:val="20"/>
                <w:szCs w:val="20"/>
              </w:rPr>
            </w:pPr>
            <w:r w:rsidRPr="00173FA2">
              <w:rPr>
                <w:b/>
                <w:bCs/>
                <w:sz w:val="20"/>
                <w:szCs w:val="20"/>
              </w:rPr>
              <w:t>Labor Cost ($/hr)</w:t>
            </w:r>
          </w:p>
        </w:tc>
        <w:tc>
          <w:tcPr>
            <w:tcW w:w="1680" w:type="dxa"/>
          </w:tcPr>
          <w:p w:rsidRPr="00173FA2" w:rsidR="00885183" w:rsidP="00A56476" w:rsidRDefault="00885183" w14:paraId="08D814CF" w14:textId="77777777">
            <w:pPr>
              <w:tabs>
                <w:tab w:val="left" w:pos="6030"/>
              </w:tabs>
              <w:spacing w:line="276" w:lineRule="auto"/>
              <w:rPr>
                <w:b/>
                <w:bCs/>
                <w:sz w:val="20"/>
                <w:szCs w:val="20"/>
              </w:rPr>
            </w:pPr>
            <w:r w:rsidRPr="00173FA2">
              <w:rPr>
                <w:b/>
                <w:bCs/>
                <w:sz w:val="20"/>
                <w:szCs w:val="20"/>
              </w:rPr>
              <w:t>Total Annual Cost ($)</w:t>
            </w:r>
          </w:p>
        </w:tc>
      </w:tr>
      <w:tr w:rsidR="00E62E62" w:rsidTr="003830B0" w14:paraId="3C1EFBC5" w14:textId="77777777">
        <w:tc>
          <w:tcPr>
            <w:tcW w:w="1251" w:type="dxa"/>
          </w:tcPr>
          <w:p w:rsidRPr="00BB7053" w:rsidR="00E62E62" w:rsidP="00E62E62" w:rsidRDefault="00E62E62" w14:paraId="5BBE8AC7" w14:textId="6532EA33">
            <w:pPr>
              <w:tabs>
                <w:tab w:val="left" w:pos="6030"/>
              </w:tabs>
              <w:spacing w:line="276" w:lineRule="auto"/>
              <w:jc w:val="both"/>
              <w:rPr>
                <w:sz w:val="20"/>
                <w:szCs w:val="20"/>
              </w:rPr>
            </w:pPr>
            <w:r>
              <w:rPr>
                <w:sz w:val="20"/>
                <w:szCs w:val="20"/>
              </w:rPr>
              <w:t>Currently Approved</w:t>
            </w:r>
            <w:r w:rsidR="00CC5836">
              <w:rPr>
                <w:sz w:val="20"/>
                <w:szCs w:val="20"/>
              </w:rPr>
              <w:t xml:space="preserve"> </w:t>
            </w:r>
            <w:r w:rsidRPr="00E4635E" w:rsidR="00CC5836">
              <w:rPr>
                <w:bCs/>
                <w:sz w:val="20"/>
                <w:szCs w:val="20"/>
              </w:rPr>
              <w:t>(202</w:t>
            </w:r>
            <w:r w:rsidR="008130C7">
              <w:rPr>
                <w:bCs/>
                <w:sz w:val="20"/>
                <w:szCs w:val="20"/>
              </w:rPr>
              <w:t>2</w:t>
            </w:r>
            <w:r w:rsidRPr="00E4635E" w:rsidR="00CC5836">
              <w:rPr>
                <w:bCs/>
                <w:sz w:val="20"/>
                <w:szCs w:val="20"/>
              </w:rPr>
              <w:t xml:space="preserve"> MIPS Performance Period)</w:t>
            </w:r>
          </w:p>
        </w:tc>
        <w:tc>
          <w:tcPr>
            <w:tcW w:w="1306" w:type="dxa"/>
          </w:tcPr>
          <w:p w:rsidRPr="00BB7053" w:rsidR="00E62E62" w:rsidP="00E62E62" w:rsidRDefault="00E62E62" w14:paraId="37DED5ED" w14:textId="4D3DD87F">
            <w:pPr>
              <w:tabs>
                <w:tab w:val="left" w:pos="6030"/>
              </w:tabs>
              <w:spacing w:line="276" w:lineRule="auto"/>
              <w:jc w:val="right"/>
              <w:rPr>
                <w:sz w:val="20"/>
                <w:szCs w:val="20"/>
              </w:rPr>
            </w:pPr>
            <w:r>
              <w:rPr>
                <w:sz w:val="20"/>
                <w:szCs w:val="20"/>
              </w:rPr>
              <w:t>551</w:t>
            </w:r>
          </w:p>
        </w:tc>
        <w:tc>
          <w:tcPr>
            <w:tcW w:w="1168" w:type="dxa"/>
          </w:tcPr>
          <w:p w:rsidRPr="00BB7053" w:rsidR="00E62E62" w:rsidP="00E62E62" w:rsidRDefault="00E62E62" w14:paraId="7AC1B292" w14:textId="292D86BC">
            <w:pPr>
              <w:tabs>
                <w:tab w:val="left" w:pos="6030"/>
              </w:tabs>
              <w:spacing w:line="276" w:lineRule="auto"/>
              <w:jc w:val="right"/>
              <w:rPr>
                <w:sz w:val="20"/>
                <w:szCs w:val="20"/>
              </w:rPr>
            </w:pPr>
            <w:r>
              <w:rPr>
                <w:sz w:val="20"/>
                <w:szCs w:val="20"/>
              </w:rPr>
              <w:t>1</w:t>
            </w:r>
          </w:p>
        </w:tc>
        <w:tc>
          <w:tcPr>
            <w:tcW w:w="1094" w:type="dxa"/>
          </w:tcPr>
          <w:p w:rsidRPr="00BB7053" w:rsidR="00E62E62" w:rsidP="00E62E62" w:rsidRDefault="00E62E62" w14:paraId="73EC8432" w14:textId="7542712B">
            <w:pPr>
              <w:tabs>
                <w:tab w:val="left" w:pos="6030"/>
              </w:tabs>
              <w:spacing w:line="276" w:lineRule="auto"/>
              <w:jc w:val="right"/>
              <w:rPr>
                <w:sz w:val="20"/>
                <w:szCs w:val="20"/>
              </w:rPr>
            </w:pPr>
            <w:r>
              <w:rPr>
                <w:sz w:val="20"/>
                <w:szCs w:val="20"/>
              </w:rPr>
              <w:t>551</w:t>
            </w:r>
          </w:p>
        </w:tc>
        <w:tc>
          <w:tcPr>
            <w:tcW w:w="1077" w:type="dxa"/>
          </w:tcPr>
          <w:p w:rsidRPr="00BB7053" w:rsidR="00E62E62" w:rsidP="00E62E62" w:rsidRDefault="00E62E62" w14:paraId="5398676D" w14:textId="3E97D90F">
            <w:pPr>
              <w:tabs>
                <w:tab w:val="left" w:pos="6030"/>
              </w:tabs>
              <w:spacing w:line="276" w:lineRule="auto"/>
              <w:jc w:val="right"/>
              <w:rPr>
                <w:sz w:val="20"/>
                <w:szCs w:val="20"/>
              </w:rPr>
            </w:pPr>
            <w:r>
              <w:rPr>
                <w:sz w:val="20"/>
                <w:szCs w:val="20"/>
              </w:rPr>
              <w:t>5</w:t>
            </w:r>
          </w:p>
        </w:tc>
        <w:tc>
          <w:tcPr>
            <w:tcW w:w="1071" w:type="dxa"/>
          </w:tcPr>
          <w:p w:rsidRPr="00BB7053" w:rsidR="00E62E62" w:rsidP="00E62E62" w:rsidRDefault="00E62E62" w14:paraId="18C4A4C8" w14:textId="547C0145">
            <w:pPr>
              <w:tabs>
                <w:tab w:val="left" w:pos="6030"/>
              </w:tabs>
              <w:spacing w:line="276" w:lineRule="auto"/>
              <w:jc w:val="right"/>
              <w:rPr>
                <w:sz w:val="20"/>
                <w:szCs w:val="20"/>
              </w:rPr>
            </w:pPr>
            <w:r>
              <w:rPr>
                <w:sz w:val="20"/>
                <w:szCs w:val="20"/>
              </w:rPr>
              <w:t>2,755</w:t>
            </w:r>
          </w:p>
        </w:tc>
        <w:tc>
          <w:tcPr>
            <w:tcW w:w="1068" w:type="dxa"/>
          </w:tcPr>
          <w:p w:rsidRPr="00BB7053" w:rsidR="00E62E62" w:rsidP="00E62E62" w:rsidRDefault="00E62E62" w14:paraId="4AF23A83" w14:textId="6606DDD7">
            <w:pPr>
              <w:tabs>
                <w:tab w:val="left" w:pos="6030"/>
              </w:tabs>
              <w:spacing w:line="276" w:lineRule="auto"/>
              <w:jc w:val="right"/>
              <w:rPr>
                <w:sz w:val="20"/>
                <w:szCs w:val="20"/>
              </w:rPr>
            </w:pPr>
            <w:r>
              <w:rPr>
                <w:sz w:val="20"/>
                <w:szCs w:val="20"/>
              </w:rPr>
              <w:t>11</w:t>
            </w:r>
            <w:r w:rsidR="000434B3">
              <w:rPr>
                <w:sz w:val="20"/>
                <w:szCs w:val="20"/>
              </w:rPr>
              <w:t>4.24</w:t>
            </w:r>
          </w:p>
        </w:tc>
        <w:tc>
          <w:tcPr>
            <w:tcW w:w="1680" w:type="dxa"/>
          </w:tcPr>
          <w:p w:rsidRPr="00BB7053" w:rsidR="00E62E62" w:rsidP="00E62E62" w:rsidRDefault="00E62E62" w14:paraId="49BB93B9" w14:textId="30795F11">
            <w:pPr>
              <w:tabs>
                <w:tab w:val="left" w:pos="6030"/>
              </w:tabs>
              <w:spacing w:line="276" w:lineRule="auto"/>
              <w:jc w:val="right"/>
              <w:rPr>
                <w:sz w:val="20"/>
                <w:szCs w:val="20"/>
              </w:rPr>
            </w:pPr>
            <w:r>
              <w:rPr>
                <w:sz w:val="20"/>
                <w:szCs w:val="20"/>
              </w:rPr>
              <w:t>3</w:t>
            </w:r>
            <w:r w:rsidR="00F7656F">
              <w:rPr>
                <w:sz w:val="20"/>
                <w:szCs w:val="20"/>
              </w:rPr>
              <w:t>14,731</w:t>
            </w:r>
          </w:p>
        </w:tc>
      </w:tr>
      <w:tr w:rsidR="00E62E62" w:rsidTr="003830B0" w14:paraId="19F8EB79" w14:textId="77777777">
        <w:tc>
          <w:tcPr>
            <w:tcW w:w="1251" w:type="dxa"/>
          </w:tcPr>
          <w:p w:rsidRPr="00BB7053" w:rsidR="00E62E62" w:rsidP="00192E2E" w:rsidRDefault="004C3206" w14:paraId="0BAD8D0F" w14:textId="64C9C78D">
            <w:pPr>
              <w:tabs>
                <w:tab w:val="left" w:pos="6030"/>
              </w:tabs>
              <w:spacing w:line="276" w:lineRule="auto"/>
              <w:rPr>
                <w:sz w:val="20"/>
                <w:szCs w:val="20"/>
              </w:rPr>
            </w:pPr>
            <w:r>
              <w:rPr>
                <w:sz w:val="20"/>
                <w:szCs w:val="20"/>
              </w:rPr>
              <w:t>Proposed</w:t>
            </w:r>
            <w:r w:rsidR="00B44DAA">
              <w:rPr>
                <w:sz w:val="20"/>
                <w:szCs w:val="20"/>
              </w:rPr>
              <w:t xml:space="preserve"> </w:t>
            </w:r>
            <w:r w:rsidR="00CC6882">
              <w:rPr>
                <w:sz w:val="20"/>
                <w:szCs w:val="20"/>
              </w:rPr>
              <w:t xml:space="preserve">(2022 MIPS Performance Period) </w:t>
            </w:r>
            <w:r w:rsidRPr="00A67FD9" w:rsidR="00A67FD9">
              <w:rPr>
                <w:sz w:val="20"/>
                <w:szCs w:val="20"/>
              </w:rPr>
              <w:t xml:space="preserve">(See Table </w:t>
            </w:r>
            <w:r>
              <w:rPr>
                <w:sz w:val="20"/>
                <w:szCs w:val="20"/>
              </w:rPr>
              <w:t>32</w:t>
            </w:r>
            <w:r w:rsidRPr="00A67FD9" w:rsidR="00A67FD9">
              <w:rPr>
                <w:sz w:val="20"/>
                <w:szCs w:val="20"/>
              </w:rPr>
              <w:t>)</w:t>
            </w:r>
          </w:p>
        </w:tc>
        <w:tc>
          <w:tcPr>
            <w:tcW w:w="1306" w:type="dxa"/>
          </w:tcPr>
          <w:p w:rsidRPr="00BB7053" w:rsidR="00E62E62" w:rsidP="00E62E62" w:rsidRDefault="00E62E62" w14:paraId="1C093FC9" w14:textId="7F4C3FF5">
            <w:pPr>
              <w:tabs>
                <w:tab w:val="left" w:pos="6030"/>
              </w:tabs>
              <w:spacing w:line="276" w:lineRule="auto"/>
              <w:jc w:val="right"/>
              <w:rPr>
                <w:sz w:val="20"/>
                <w:szCs w:val="20"/>
              </w:rPr>
            </w:pPr>
            <w:r>
              <w:rPr>
                <w:sz w:val="20"/>
                <w:szCs w:val="20"/>
              </w:rPr>
              <w:t>551</w:t>
            </w:r>
          </w:p>
        </w:tc>
        <w:tc>
          <w:tcPr>
            <w:tcW w:w="1168" w:type="dxa"/>
          </w:tcPr>
          <w:p w:rsidRPr="00BB7053" w:rsidR="00E62E62" w:rsidP="00E62E62" w:rsidRDefault="00E62E62" w14:paraId="29E0B280" w14:textId="1CB7291B">
            <w:pPr>
              <w:tabs>
                <w:tab w:val="left" w:pos="6030"/>
              </w:tabs>
              <w:spacing w:line="276" w:lineRule="auto"/>
              <w:jc w:val="right"/>
              <w:rPr>
                <w:sz w:val="20"/>
                <w:szCs w:val="20"/>
              </w:rPr>
            </w:pPr>
            <w:r>
              <w:rPr>
                <w:sz w:val="20"/>
                <w:szCs w:val="20"/>
              </w:rPr>
              <w:t>1</w:t>
            </w:r>
          </w:p>
        </w:tc>
        <w:tc>
          <w:tcPr>
            <w:tcW w:w="1094" w:type="dxa"/>
          </w:tcPr>
          <w:p w:rsidRPr="00BB7053" w:rsidR="00E62E62" w:rsidP="00E62E62" w:rsidRDefault="00E62E62" w14:paraId="2C2C9FFC" w14:textId="4A41E32E">
            <w:pPr>
              <w:tabs>
                <w:tab w:val="left" w:pos="6030"/>
              </w:tabs>
              <w:spacing w:line="276" w:lineRule="auto"/>
              <w:jc w:val="right"/>
              <w:rPr>
                <w:sz w:val="20"/>
                <w:szCs w:val="20"/>
              </w:rPr>
            </w:pPr>
            <w:r>
              <w:rPr>
                <w:sz w:val="20"/>
                <w:szCs w:val="20"/>
              </w:rPr>
              <w:t>551</w:t>
            </w:r>
          </w:p>
        </w:tc>
        <w:tc>
          <w:tcPr>
            <w:tcW w:w="1077" w:type="dxa"/>
          </w:tcPr>
          <w:p w:rsidRPr="00BB7053" w:rsidR="00E62E62" w:rsidP="00E62E62" w:rsidRDefault="00E62E62" w14:paraId="470244F6" w14:textId="2FF686D5">
            <w:pPr>
              <w:tabs>
                <w:tab w:val="left" w:pos="6030"/>
              </w:tabs>
              <w:spacing w:line="276" w:lineRule="auto"/>
              <w:jc w:val="right"/>
              <w:rPr>
                <w:sz w:val="20"/>
                <w:szCs w:val="20"/>
              </w:rPr>
            </w:pPr>
            <w:r>
              <w:rPr>
                <w:sz w:val="20"/>
                <w:szCs w:val="20"/>
              </w:rPr>
              <w:t>5</w:t>
            </w:r>
          </w:p>
        </w:tc>
        <w:tc>
          <w:tcPr>
            <w:tcW w:w="1071" w:type="dxa"/>
          </w:tcPr>
          <w:p w:rsidRPr="00BB7053" w:rsidR="00E62E62" w:rsidP="00E62E62" w:rsidRDefault="00E62E62" w14:paraId="3D1C76F8" w14:textId="43E013D5">
            <w:pPr>
              <w:tabs>
                <w:tab w:val="left" w:pos="6030"/>
              </w:tabs>
              <w:spacing w:line="276" w:lineRule="auto"/>
              <w:jc w:val="right"/>
              <w:rPr>
                <w:sz w:val="20"/>
                <w:szCs w:val="20"/>
              </w:rPr>
            </w:pPr>
            <w:r>
              <w:rPr>
                <w:sz w:val="20"/>
                <w:szCs w:val="20"/>
              </w:rPr>
              <w:t>2,755</w:t>
            </w:r>
          </w:p>
        </w:tc>
        <w:tc>
          <w:tcPr>
            <w:tcW w:w="1068" w:type="dxa"/>
          </w:tcPr>
          <w:p w:rsidRPr="00BB7053" w:rsidR="00E62E62" w:rsidP="00E62E62" w:rsidRDefault="00E62E62" w14:paraId="080CEDA0" w14:textId="7ACD318F">
            <w:pPr>
              <w:tabs>
                <w:tab w:val="left" w:pos="6030"/>
              </w:tabs>
              <w:spacing w:line="276" w:lineRule="auto"/>
              <w:jc w:val="right"/>
              <w:rPr>
                <w:sz w:val="20"/>
                <w:szCs w:val="20"/>
              </w:rPr>
            </w:pPr>
            <w:r>
              <w:rPr>
                <w:sz w:val="20"/>
                <w:szCs w:val="20"/>
              </w:rPr>
              <w:t>11</w:t>
            </w:r>
            <w:r w:rsidR="000434B3">
              <w:rPr>
                <w:sz w:val="20"/>
                <w:szCs w:val="20"/>
              </w:rPr>
              <w:t>4.24</w:t>
            </w:r>
          </w:p>
        </w:tc>
        <w:tc>
          <w:tcPr>
            <w:tcW w:w="1680" w:type="dxa"/>
          </w:tcPr>
          <w:p w:rsidRPr="00BB7053" w:rsidR="00E62E62" w:rsidP="00E62E62" w:rsidRDefault="00E62E62" w14:paraId="7304CB52" w14:textId="2CF33EE6">
            <w:pPr>
              <w:tabs>
                <w:tab w:val="left" w:pos="6030"/>
              </w:tabs>
              <w:spacing w:line="276" w:lineRule="auto"/>
              <w:jc w:val="right"/>
              <w:rPr>
                <w:sz w:val="20"/>
                <w:szCs w:val="20"/>
              </w:rPr>
            </w:pPr>
            <w:r>
              <w:rPr>
                <w:sz w:val="20"/>
                <w:szCs w:val="20"/>
              </w:rPr>
              <w:t>3</w:t>
            </w:r>
            <w:r w:rsidR="00F7656F">
              <w:rPr>
                <w:sz w:val="20"/>
                <w:szCs w:val="20"/>
              </w:rPr>
              <w:t>14,731</w:t>
            </w:r>
          </w:p>
        </w:tc>
      </w:tr>
      <w:tr w:rsidR="00F7656F" w:rsidTr="003830B0" w14:paraId="518F9B21" w14:textId="77777777">
        <w:tc>
          <w:tcPr>
            <w:tcW w:w="1251" w:type="dxa"/>
            <w:shd w:val="clear" w:color="auto" w:fill="D9D9D9" w:themeFill="background1" w:themeFillShade="D9"/>
          </w:tcPr>
          <w:p w:rsidRPr="00BB7053" w:rsidR="00E62E62" w:rsidP="00E62E62" w:rsidRDefault="00E62E62" w14:paraId="7D6E3CF9" w14:textId="77777777">
            <w:pPr>
              <w:tabs>
                <w:tab w:val="left" w:pos="6030"/>
              </w:tabs>
              <w:spacing w:line="276" w:lineRule="auto"/>
              <w:jc w:val="both"/>
              <w:rPr>
                <w:sz w:val="20"/>
                <w:szCs w:val="20"/>
              </w:rPr>
            </w:pPr>
            <w:r>
              <w:rPr>
                <w:sz w:val="20"/>
                <w:szCs w:val="20"/>
              </w:rPr>
              <w:lastRenderedPageBreak/>
              <w:t>Adjustment</w:t>
            </w:r>
          </w:p>
        </w:tc>
        <w:tc>
          <w:tcPr>
            <w:tcW w:w="1306" w:type="dxa"/>
            <w:shd w:val="clear" w:color="auto" w:fill="D9D9D9" w:themeFill="background1" w:themeFillShade="D9"/>
          </w:tcPr>
          <w:p w:rsidRPr="00BB7053" w:rsidR="00E62E62" w:rsidP="00E62E62" w:rsidRDefault="00E62E62" w14:paraId="09260942" w14:textId="0BEBDE8B">
            <w:pPr>
              <w:tabs>
                <w:tab w:val="left" w:pos="6030"/>
              </w:tabs>
              <w:spacing w:line="276" w:lineRule="auto"/>
              <w:jc w:val="right"/>
              <w:rPr>
                <w:sz w:val="20"/>
                <w:szCs w:val="20"/>
              </w:rPr>
            </w:pPr>
            <w:r w:rsidRPr="00B7095A">
              <w:rPr>
                <w:sz w:val="20"/>
                <w:szCs w:val="20"/>
              </w:rPr>
              <w:t>No change</w:t>
            </w:r>
          </w:p>
        </w:tc>
        <w:tc>
          <w:tcPr>
            <w:tcW w:w="1168" w:type="dxa"/>
            <w:shd w:val="clear" w:color="auto" w:fill="D9D9D9" w:themeFill="background1" w:themeFillShade="D9"/>
          </w:tcPr>
          <w:p w:rsidRPr="00BB7053" w:rsidR="00E62E62" w:rsidP="00E62E62" w:rsidRDefault="00E62E62" w14:paraId="133DD291" w14:textId="12C36CA6">
            <w:pPr>
              <w:tabs>
                <w:tab w:val="left" w:pos="6030"/>
              </w:tabs>
              <w:spacing w:line="276" w:lineRule="auto"/>
              <w:jc w:val="right"/>
              <w:rPr>
                <w:sz w:val="20"/>
                <w:szCs w:val="20"/>
              </w:rPr>
            </w:pPr>
            <w:r w:rsidRPr="00B7095A">
              <w:rPr>
                <w:sz w:val="20"/>
                <w:szCs w:val="20"/>
              </w:rPr>
              <w:t>No change</w:t>
            </w:r>
          </w:p>
        </w:tc>
        <w:tc>
          <w:tcPr>
            <w:tcW w:w="1094" w:type="dxa"/>
            <w:shd w:val="clear" w:color="auto" w:fill="D9D9D9" w:themeFill="background1" w:themeFillShade="D9"/>
          </w:tcPr>
          <w:p w:rsidRPr="00BB7053" w:rsidR="00E62E62" w:rsidP="00E62E62" w:rsidRDefault="00E62E62" w14:paraId="45C3B0E2" w14:textId="21957FEB">
            <w:pPr>
              <w:tabs>
                <w:tab w:val="left" w:pos="6030"/>
              </w:tabs>
              <w:spacing w:line="276" w:lineRule="auto"/>
              <w:jc w:val="right"/>
              <w:rPr>
                <w:sz w:val="20"/>
                <w:szCs w:val="20"/>
              </w:rPr>
            </w:pPr>
            <w:r w:rsidRPr="00B7095A">
              <w:rPr>
                <w:sz w:val="20"/>
                <w:szCs w:val="20"/>
              </w:rPr>
              <w:t>No change</w:t>
            </w:r>
          </w:p>
        </w:tc>
        <w:tc>
          <w:tcPr>
            <w:tcW w:w="1077" w:type="dxa"/>
            <w:shd w:val="clear" w:color="auto" w:fill="D9D9D9" w:themeFill="background1" w:themeFillShade="D9"/>
          </w:tcPr>
          <w:p w:rsidRPr="00BB7053" w:rsidR="00E62E62" w:rsidP="00E62E62" w:rsidRDefault="00E62E62" w14:paraId="7F65AE62" w14:textId="17440632">
            <w:pPr>
              <w:tabs>
                <w:tab w:val="left" w:pos="6030"/>
              </w:tabs>
              <w:spacing w:line="276" w:lineRule="auto"/>
              <w:jc w:val="right"/>
              <w:rPr>
                <w:sz w:val="20"/>
                <w:szCs w:val="20"/>
              </w:rPr>
            </w:pPr>
            <w:r w:rsidRPr="00B7095A">
              <w:rPr>
                <w:sz w:val="20"/>
                <w:szCs w:val="20"/>
              </w:rPr>
              <w:t>No change</w:t>
            </w:r>
          </w:p>
        </w:tc>
        <w:tc>
          <w:tcPr>
            <w:tcW w:w="1071" w:type="dxa"/>
            <w:shd w:val="clear" w:color="auto" w:fill="D9D9D9" w:themeFill="background1" w:themeFillShade="D9"/>
          </w:tcPr>
          <w:p w:rsidRPr="00BB7053" w:rsidR="00E62E62" w:rsidP="00E62E62" w:rsidRDefault="00E62E62" w14:paraId="7ADFCF19" w14:textId="6913572D">
            <w:pPr>
              <w:tabs>
                <w:tab w:val="left" w:pos="6030"/>
              </w:tabs>
              <w:spacing w:line="276" w:lineRule="auto"/>
              <w:jc w:val="right"/>
              <w:rPr>
                <w:sz w:val="20"/>
                <w:szCs w:val="20"/>
              </w:rPr>
            </w:pPr>
            <w:r w:rsidRPr="00B7095A">
              <w:rPr>
                <w:sz w:val="20"/>
                <w:szCs w:val="20"/>
              </w:rPr>
              <w:t>No change</w:t>
            </w:r>
          </w:p>
        </w:tc>
        <w:tc>
          <w:tcPr>
            <w:tcW w:w="1068" w:type="dxa"/>
            <w:shd w:val="clear" w:color="auto" w:fill="D9D9D9" w:themeFill="background1" w:themeFillShade="D9"/>
          </w:tcPr>
          <w:p w:rsidRPr="00BB7053" w:rsidR="00E62E62" w:rsidP="00E62E62" w:rsidRDefault="00E62E62" w14:paraId="7718E8B1" w14:textId="0ED29492">
            <w:pPr>
              <w:tabs>
                <w:tab w:val="left" w:pos="6030"/>
              </w:tabs>
              <w:spacing w:line="276" w:lineRule="auto"/>
              <w:jc w:val="right"/>
              <w:rPr>
                <w:sz w:val="20"/>
                <w:szCs w:val="20"/>
              </w:rPr>
            </w:pPr>
            <w:r w:rsidRPr="00B7095A">
              <w:rPr>
                <w:sz w:val="20"/>
                <w:szCs w:val="20"/>
              </w:rPr>
              <w:t>No change</w:t>
            </w:r>
          </w:p>
        </w:tc>
        <w:tc>
          <w:tcPr>
            <w:tcW w:w="1680" w:type="dxa"/>
            <w:shd w:val="clear" w:color="auto" w:fill="D9D9D9" w:themeFill="background1" w:themeFillShade="D9"/>
          </w:tcPr>
          <w:p w:rsidRPr="00BB7053" w:rsidR="00E62E62" w:rsidP="00E62E62" w:rsidRDefault="00E62E62" w14:paraId="11A3BCD3" w14:textId="22396F7C">
            <w:pPr>
              <w:tabs>
                <w:tab w:val="left" w:pos="6030"/>
              </w:tabs>
              <w:spacing w:line="276" w:lineRule="auto"/>
              <w:jc w:val="right"/>
              <w:rPr>
                <w:sz w:val="20"/>
                <w:szCs w:val="20"/>
              </w:rPr>
            </w:pPr>
            <w:r w:rsidRPr="00B7095A">
              <w:rPr>
                <w:sz w:val="20"/>
                <w:szCs w:val="20"/>
              </w:rPr>
              <w:t>No change</w:t>
            </w:r>
          </w:p>
        </w:tc>
      </w:tr>
    </w:tbl>
    <w:p w:rsidR="00885183" w:rsidP="00BB7053" w:rsidRDefault="00885183" w14:paraId="13A263E3" w14:textId="07D92E45">
      <w:pPr>
        <w:tabs>
          <w:tab w:val="left" w:pos="6030"/>
        </w:tabs>
        <w:spacing w:line="276" w:lineRule="auto"/>
        <w:jc w:val="both"/>
      </w:pPr>
    </w:p>
    <w:p w:rsidR="00885183" w:rsidP="006750AE" w:rsidRDefault="00885183" w14:paraId="7ECB9221" w14:textId="27E78550">
      <w:pPr>
        <w:keepNext/>
        <w:keepLines/>
        <w:jc w:val="center"/>
        <w:rPr>
          <w:b/>
          <w:bCs/>
        </w:rPr>
      </w:pPr>
      <w:r w:rsidRPr="00B30713">
        <w:rPr>
          <w:rFonts w:eastAsia="Calibri"/>
          <w:b/>
          <w:bCs/>
        </w:rPr>
        <w:t xml:space="preserve">TABLE </w:t>
      </w:r>
      <w:r w:rsidR="00C1361E">
        <w:rPr>
          <w:rFonts w:eastAsia="Calibri"/>
          <w:b/>
          <w:bCs/>
        </w:rPr>
        <w:t>3</w:t>
      </w:r>
      <w:r w:rsidR="00AD43FA">
        <w:rPr>
          <w:rFonts w:eastAsia="Calibri"/>
          <w:b/>
          <w:bCs/>
        </w:rPr>
        <w:t>8</w:t>
      </w:r>
      <w:r w:rsidR="00FA460C">
        <w:rPr>
          <w:rFonts w:eastAsia="Calibri"/>
          <w:b/>
          <w:bCs/>
        </w:rPr>
        <w:t>U</w:t>
      </w:r>
      <w:r w:rsidRPr="00B30713">
        <w:rPr>
          <w:rFonts w:eastAsia="Calibri"/>
          <w:b/>
          <w:bCs/>
        </w:rPr>
        <w:t xml:space="preserve">: Burden Reconciliation for </w:t>
      </w:r>
      <w:r w:rsidRPr="003C6CDD" w:rsidR="003C6CDD">
        <w:rPr>
          <w:rFonts w:eastAsia="Calibri"/>
          <w:b/>
          <w:bCs/>
        </w:rPr>
        <w:t>Voluntary Participants to Elect to Opt Out of Performance Data Display on Physician Compare</w:t>
      </w:r>
    </w:p>
    <w:tbl>
      <w:tblPr>
        <w:tblStyle w:val="TableGrid"/>
        <w:tblW w:w="9445" w:type="dxa"/>
        <w:tblLook w:val="04A0" w:firstRow="1" w:lastRow="0" w:firstColumn="1" w:lastColumn="0" w:noHBand="0" w:noVBand="1"/>
      </w:tblPr>
      <w:tblGrid>
        <w:gridCol w:w="1251"/>
        <w:gridCol w:w="1306"/>
        <w:gridCol w:w="1168"/>
        <w:gridCol w:w="1094"/>
        <w:gridCol w:w="1077"/>
        <w:gridCol w:w="1071"/>
        <w:gridCol w:w="1068"/>
        <w:gridCol w:w="1410"/>
      </w:tblGrid>
      <w:tr w:rsidR="00885183" w:rsidTr="00D26368" w14:paraId="6C7E2C5D" w14:textId="77777777">
        <w:trPr>
          <w:tblHeader/>
        </w:trPr>
        <w:tc>
          <w:tcPr>
            <w:tcW w:w="1251" w:type="dxa"/>
          </w:tcPr>
          <w:p w:rsidRPr="00173FA2" w:rsidR="00885183" w:rsidP="006750AE" w:rsidRDefault="00885183" w14:paraId="62B207E1"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6750AE" w:rsidRDefault="00885183" w14:paraId="62E5215F"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6750AE" w:rsidRDefault="00885183" w14:paraId="0B3E232A"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6750AE" w:rsidRDefault="00885183" w14:paraId="69D7BA14"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6750AE" w:rsidRDefault="00885183" w14:paraId="140A7779" w14:textId="77777777">
            <w:pPr>
              <w:keepNext/>
              <w:keepLines/>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6750AE" w:rsidRDefault="00885183" w14:paraId="70960724"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8" w:type="dxa"/>
          </w:tcPr>
          <w:p w:rsidRPr="00173FA2" w:rsidR="00885183" w:rsidP="006750AE" w:rsidRDefault="00885183" w14:paraId="469CD408"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410" w:type="dxa"/>
          </w:tcPr>
          <w:p w:rsidRPr="00173FA2" w:rsidR="00885183" w:rsidP="006750AE" w:rsidRDefault="00885183" w14:paraId="097F1CBD" w14:textId="77777777">
            <w:pPr>
              <w:keepNext/>
              <w:keepLines/>
              <w:tabs>
                <w:tab w:val="left" w:pos="6030"/>
              </w:tabs>
              <w:spacing w:line="276" w:lineRule="auto"/>
              <w:rPr>
                <w:b/>
                <w:bCs/>
                <w:sz w:val="20"/>
                <w:szCs w:val="20"/>
              </w:rPr>
            </w:pPr>
            <w:r w:rsidRPr="00173FA2">
              <w:rPr>
                <w:b/>
                <w:bCs/>
                <w:sz w:val="20"/>
                <w:szCs w:val="20"/>
              </w:rPr>
              <w:t>Total Annual Cost ($)</w:t>
            </w:r>
          </w:p>
        </w:tc>
      </w:tr>
      <w:tr w:rsidR="00DD0D59" w:rsidTr="00D26368" w14:paraId="2435C416" w14:textId="77777777">
        <w:tc>
          <w:tcPr>
            <w:tcW w:w="1251" w:type="dxa"/>
          </w:tcPr>
          <w:p w:rsidRPr="00BB7053" w:rsidR="00DD0D59" w:rsidP="006750AE" w:rsidRDefault="00DD0D59" w14:paraId="3F78E458" w14:textId="6D4F85E9">
            <w:pPr>
              <w:keepNext/>
              <w:keepLines/>
              <w:tabs>
                <w:tab w:val="left" w:pos="6030"/>
              </w:tabs>
              <w:spacing w:line="276" w:lineRule="auto"/>
              <w:jc w:val="both"/>
              <w:rPr>
                <w:sz w:val="20"/>
                <w:szCs w:val="20"/>
              </w:rPr>
            </w:pPr>
            <w:r>
              <w:rPr>
                <w:sz w:val="20"/>
                <w:szCs w:val="20"/>
              </w:rPr>
              <w:t>Currently Approved</w:t>
            </w:r>
            <w:r w:rsidR="00CC5836">
              <w:rPr>
                <w:sz w:val="20"/>
                <w:szCs w:val="20"/>
              </w:rPr>
              <w:t xml:space="preserve"> </w:t>
            </w:r>
            <w:r w:rsidRPr="00E4635E" w:rsidR="00CC5836">
              <w:rPr>
                <w:bCs/>
                <w:sz w:val="20"/>
                <w:szCs w:val="20"/>
              </w:rPr>
              <w:t>(202</w:t>
            </w:r>
            <w:r w:rsidR="008130C7">
              <w:rPr>
                <w:bCs/>
                <w:sz w:val="20"/>
                <w:szCs w:val="20"/>
              </w:rPr>
              <w:t>2</w:t>
            </w:r>
            <w:r w:rsidRPr="00E4635E" w:rsidR="00CC5836">
              <w:rPr>
                <w:bCs/>
                <w:sz w:val="20"/>
                <w:szCs w:val="20"/>
              </w:rPr>
              <w:t xml:space="preserve"> MIPS Performance Period)</w:t>
            </w:r>
          </w:p>
        </w:tc>
        <w:tc>
          <w:tcPr>
            <w:tcW w:w="1306" w:type="dxa"/>
          </w:tcPr>
          <w:p w:rsidRPr="00BB7053" w:rsidR="00DD0D59" w:rsidP="006750AE" w:rsidRDefault="002A4AAB" w14:paraId="1BDCE7DA" w14:textId="6576EF64">
            <w:pPr>
              <w:keepNext/>
              <w:keepLines/>
              <w:tabs>
                <w:tab w:val="left" w:pos="6030"/>
              </w:tabs>
              <w:spacing w:line="276" w:lineRule="auto"/>
              <w:jc w:val="right"/>
              <w:rPr>
                <w:sz w:val="20"/>
                <w:szCs w:val="20"/>
              </w:rPr>
            </w:pPr>
            <w:r>
              <w:rPr>
                <w:sz w:val="20"/>
                <w:szCs w:val="20"/>
              </w:rPr>
              <w:t>3,486</w:t>
            </w:r>
          </w:p>
        </w:tc>
        <w:tc>
          <w:tcPr>
            <w:tcW w:w="1168" w:type="dxa"/>
          </w:tcPr>
          <w:p w:rsidRPr="00BB7053" w:rsidR="00DD0D59" w:rsidP="006750AE" w:rsidRDefault="00DD0D59" w14:paraId="04B74E8C" w14:textId="1A542FD0">
            <w:pPr>
              <w:keepNext/>
              <w:keepLines/>
              <w:tabs>
                <w:tab w:val="left" w:pos="6030"/>
              </w:tabs>
              <w:spacing w:line="276" w:lineRule="auto"/>
              <w:jc w:val="right"/>
              <w:rPr>
                <w:sz w:val="20"/>
                <w:szCs w:val="20"/>
              </w:rPr>
            </w:pPr>
            <w:r>
              <w:rPr>
                <w:sz w:val="20"/>
                <w:szCs w:val="20"/>
              </w:rPr>
              <w:t>1</w:t>
            </w:r>
          </w:p>
        </w:tc>
        <w:tc>
          <w:tcPr>
            <w:tcW w:w="1094" w:type="dxa"/>
          </w:tcPr>
          <w:p w:rsidRPr="00BB7053" w:rsidR="00DD0D59" w:rsidP="006750AE" w:rsidRDefault="002A4AAB" w14:paraId="074CF4C1" w14:textId="1ECAAB31">
            <w:pPr>
              <w:keepNext/>
              <w:keepLines/>
              <w:tabs>
                <w:tab w:val="left" w:pos="6030"/>
              </w:tabs>
              <w:spacing w:line="276" w:lineRule="auto"/>
              <w:jc w:val="right"/>
              <w:rPr>
                <w:sz w:val="20"/>
                <w:szCs w:val="20"/>
              </w:rPr>
            </w:pPr>
            <w:r>
              <w:rPr>
                <w:sz w:val="20"/>
                <w:szCs w:val="20"/>
              </w:rPr>
              <w:t>3,486</w:t>
            </w:r>
          </w:p>
        </w:tc>
        <w:tc>
          <w:tcPr>
            <w:tcW w:w="1077" w:type="dxa"/>
          </w:tcPr>
          <w:p w:rsidRPr="00BB7053" w:rsidR="00DD0D59" w:rsidP="006750AE" w:rsidRDefault="00DD0D59" w14:paraId="2E5643D1" w14:textId="56BD883A">
            <w:pPr>
              <w:keepNext/>
              <w:keepLines/>
              <w:tabs>
                <w:tab w:val="left" w:pos="6030"/>
              </w:tabs>
              <w:spacing w:line="276" w:lineRule="auto"/>
              <w:jc w:val="right"/>
              <w:rPr>
                <w:sz w:val="20"/>
                <w:szCs w:val="20"/>
              </w:rPr>
            </w:pPr>
            <w:r>
              <w:rPr>
                <w:sz w:val="20"/>
                <w:szCs w:val="20"/>
              </w:rPr>
              <w:t>0.25</w:t>
            </w:r>
          </w:p>
        </w:tc>
        <w:tc>
          <w:tcPr>
            <w:tcW w:w="1071" w:type="dxa"/>
          </w:tcPr>
          <w:p w:rsidRPr="00BB7053" w:rsidR="00DD0D59" w:rsidP="006750AE" w:rsidRDefault="002A4AAB" w14:paraId="3E746924" w14:textId="1ED11E41">
            <w:pPr>
              <w:keepNext/>
              <w:keepLines/>
              <w:tabs>
                <w:tab w:val="left" w:pos="6030"/>
              </w:tabs>
              <w:spacing w:line="276" w:lineRule="auto"/>
              <w:jc w:val="right"/>
              <w:rPr>
                <w:sz w:val="20"/>
                <w:szCs w:val="20"/>
              </w:rPr>
            </w:pPr>
            <w:r>
              <w:rPr>
                <w:sz w:val="20"/>
                <w:szCs w:val="20"/>
              </w:rPr>
              <w:t>87</w:t>
            </w:r>
            <w:r w:rsidR="009C6EDD">
              <w:rPr>
                <w:sz w:val="20"/>
                <w:szCs w:val="20"/>
              </w:rPr>
              <w:t>2</w:t>
            </w:r>
          </w:p>
        </w:tc>
        <w:tc>
          <w:tcPr>
            <w:tcW w:w="1068" w:type="dxa"/>
          </w:tcPr>
          <w:p w:rsidRPr="00BB7053" w:rsidR="00DD0D59" w:rsidP="006750AE" w:rsidRDefault="00DD0D59" w14:paraId="12F2571C" w14:textId="0FC996EB">
            <w:pPr>
              <w:keepNext/>
              <w:keepLines/>
              <w:tabs>
                <w:tab w:val="left" w:pos="6030"/>
              </w:tabs>
              <w:spacing w:line="276" w:lineRule="auto"/>
              <w:jc w:val="right"/>
              <w:rPr>
                <w:sz w:val="20"/>
                <w:szCs w:val="20"/>
              </w:rPr>
            </w:pPr>
            <w:r>
              <w:rPr>
                <w:sz w:val="20"/>
                <w:szCs w:val="20"/>
              </w:rPr>
              <w:t>9</w:t>
            </w:r>
            <w:r w:rsidR="002A4AAB">
              <w:rPr>
                <w:sz w:val="20"/>
                <w:szCs w:val="20"/>
              </w:rPr>
              <w:t>5.22</w:t>
            </w:r>
          </w:p>
        </w:tc>
        <w:tc>
          <w:tcPr>
            <w:tcW w:w="1410" w:type="dxa"/>
          </w:tcPr>
          <w:p w:rsidRPr="00BB7053" w:rsidR="00DD0D59" w:rsidP="006750AE" w:rsidRDefault="00CA081D" w14:paraId="76047628" w14:textId="43AF6EC4">
            <w:pPr>
              <w:keepNext/>
              <w:keepLines/>
              <w:tabs>
                <w:tab w:val="left" w:pos="6030"/>
              </w:tabs>
              <w:spacing w:line="276" w:lineRule="auto"/>
              <w:jc w:val="right"/>
              <w:rPr>
                <w:sz w:val="20"/>
                <w:szCs w:val="20"/>
              </w:rPr>
            </w:pPr>
            <w:r>
              <w:rPr>
                <w:sz w:val="20"/>
                <w:szCs w:val="20"/>
              </w:rPr>
              <w:t>82,984</w:t>
            </w:r>
          </w:p>
        </w:tc>
      </w:tr>
      <w:tr w:rsidR="00DD0D59" w:rsidTr="00D26368" w14:paraId="5B1B0FDC" w14:textId="77777777">
        <w:tc>
          <w:tcPr>
            <w:tcW w:w="1251" w:type="dxa"/>
          </w:tcPr>
          <w:p w:rsidRPr="00BB7053" w:rsidR="00DD0D59" w:rsidP="00192E2E" w:rsidRDefault="002A4AAB" w14:paraId="3DB034AB" w14:textId="6F710C2E">
            <w:pPr>
              <w:keepNext/>
              <w:keepLines/>
              <w:tabs>
                <w:tab w:val="left" w:pos="6030"/>
              </w:tabs>
              <w:spacing w:line="276" w:lineRule="auto"/>
              <w:rPr>
                <w:sz w:val="20"/>
                <w:szCs w:val="20"/>
              </w:rPr>
            </w:pPr>
            <w:r>
              <w:rPr>
                <w:sz w:val="20"/>
                <w:szCs w:val="20"/>
              </w:rPr>
              <w:t xml:space="preserve">Proposed </w:t>
            </w:r>
            <w:r w:rsidR="00CC6882">
              <w:rPr>
                <w:sz w:val="20"/>
                <w:szCs w:val="20"/>
              </w:rPr>
              <w:t xml:space="preserve">(2022 MIPS Performance Period) </w:t>
            </w:r>
            <w:r w:rsidRPr="00A67FD9" w:rsidR="00A67FD9">
              <w:rPr>
                <w:sz w:val="20"/>
                <w:szCs w:val="20"/>
              </w:rPr>
              <w:t xml:space="preserve">(See Table </w:t>
            </w:r>
            <w:r>
              <w:rPr>
                <w:sz w:val="20"/>
                <w:szCs w:val="20"/>
              </w:rPr>
              <w:t>33</w:t>
            </w:r>
            <w:r w:rsidRPr="00A67FD9" w:rsidR="00A67FD9">
              <w:rPr>
                <w:sz w:val="20"/>
                <w:szCs w:val="20"/>
              </w:rPr>
              <w:t>)</w:t>
            </w:r>
          </w:p>
        </w:tc>
        <w:tc>
          <w:tcPr>
            <w:tcW w:w="1306" w:type="dxa"/>
          </w:tcPr>
          <w:p w:rsidRPr="00BB7053" w:rsidR="00DD0D59" w:rsidP="006750AE" w:rsidRDefault="000C2D86" w14:paraId="2BE15233" w14:textId="60FAAD15">
            <w:pPr>
              <w:keepNext/>
              <w:keepLines/>
              <w:tabs>
                <w:tab w:val="left" w:pos="6030"/>
              </w:tabs>
              <w:spacing w:line="276" w:lineRule="auto"/>
              <w:jc w:val="right"/>
              <w:rPr>
                <w:sz w:val="20"/>
                <w:szCs w:val="20"/>
              </w:rPr>
            </w:pPr>
            <w:r>
              <w:rPr>
                <w:sz w:val="20"/>
                <w:szCs w:val="20"/>
              </w:rPr>
              <w:t>3</w:t>
            </w:r>
            <w:r w:rsidR="009A360C">
              <w:rPr>
                <w:sz w:val="20"/>
                <w:szCs w:val="20"/>
              </w:rPr>
              <w:t>8</w:t>
            </w:r>
          </w:p>
        </w:tc>
        <w:tc>
          <w:tcPr>
            <w:tcW w:w="1168" w:type="dxa"/>
          </w:tcPr>
          <w:p w:rsidRPr="00BB7053" w:rsidR="00DD0D59" w:rsidP="006750AE" w:rsidRDefault="00DD0D59" w14:paraId="7E1B2C57" w14:textId="0F3E89D6">
            <w:pPr>
              <w:keepNext/>
              <w:keepLines/>
              <w:tabs>
                <w:tab w:val="left" w:pos="6030"/>
              </w:tabs>
              <w:spacing w:line="276" w:lineRule="auto"/>
              <w:jc w:val="right"/>
              <w:rPr>
                <w:sz w:val="20"/>
                <w:szCs w:val="20"/>
              </w:rPr>
            </w:pPr>
            <w:r>
              <w:rPr>
                <w:sz w:val="20"/>
                <w:szCs w:val="20"/>
              </w:rPr>
              <w:t>1</w:t>
            </w:r>
          </w:p>
        </w:tc>
        <w:tc>
          <w:tcPr>
            <w:tcW w:w="1094" w:type="dxa"/>
          </w:tcPr>
          <w:p w:rsidRPr="00BB7053" w:rsidR="00DD0D59" w:rsidP="006750AE" w:rsidRDefault="000C2D86" w14:paraId="7381002F" w14:textId="0BCEE762">
            <w:pPr>
              <w:keepNext/>
              <w:keepLines/>
              <w:tabs>
                <w:tab w:val="left" w:pos="6030"/>
              </w:tabs>
              <w:spacing w:line="276" w:lineRule="auto"/>
              <w:jc w:val="right"/>
              <w:rPr>
                <w:sz w:val="20"/>
                <w:szCs w:val="20"/>
              </w:rPr>
            </w:pPr>
            <w:r>
              <w:rPr>
                <w:sz w:val="20"/>
                <w:szCs w:val="20"/>
              </w:rPr>
              <w:t>3</w:t>
            </w:r>
            <w:r w:rsidR="00691E9E">
              <w:rPr>
                <w:sz w:val="20"/>
                <w:szCs w:val="20"/>
              </w:rPr>
              <w:t>8</w:t>
            </w:r>
          </w:p>
        </w:tc>
        <w:tc>
          <w:tcPr>
            <w:tcW w:w="1077" w:type="dxa"/>
          </w:tcPr>
          <w:p w:rsidRPr="00BB7053" w:rsidR="00DD0D59" w:rsidP="006750AE" w:rsidRDefault="00DD0D59" w14:paraId="36F11192" w14:textId="08673B32">
            <w:pPr>
              <w:keepNext/>
              <w:keepLines/>
              <w:tabs>
                <w:tab w:val="left" w:pos="6030"/>
              </w:tabs>
              <w:spacing w:line="276" w:lineRule="auto"/>
              <w:jc w:val="right"/>
              <w:rPr>
                <w:sz w:val="20"/>
                <w:szCs w:val="20"/>
              </w:rPr>
            </w:pPr>
            <w:r>
              <w:rPr>
                <w:sz w:val="20"/>
                <w:szCs w:val="20"/>
              </w:rPr>
              <w:t>0.25</w:t>
            </w:r>
          </w:p>
        </w:tc>
        <w:tc>
          <w:tcPr>
            <w:tcW w:w="1071" w:type="dxa"/>
          </w:tcPr>
          <w:p w:rsidRPr="00BB7053" w:rsidR="00DD0D59" w:rsidP="006750AE" w:rsidRDefault="00941D87" w14:paraId="593BE9AD" w14:textId="57825896">
            <w:pPr>
              <w:keepNext/>
              <w:keepLines/>
              <w:tabs>
                <w:tab w:val="left" w:pos="6030"/>
              </w:tabs>
              <w:spacing w:line="276" w:lineRule="auto"/>
              <w:jc w:val="right"/>
              <w:rPr>
                <w:sz w:val="20"/>
                <w:szCs w:val="20"/>
              </w:rPr>
            </w:pPr>
            <w:r>
              <w:rPr>
                <w:sz w:val="20"/>
                <w:szCs w:val="20"/>
              </w:rPr>
              <w:t>10</w:t>
            </w:r>
          </w:p>
        </w:tc>
        <w:tc>
          <w:tcPr>
            <w:tcW w:w="1068" w:type="dxa"/>
          </w:tcPr>
          <w:p w:rsidRPr="00BB7053" w:rsidR="00DD0D59" w:rsidP="006750AE" w:rsidRDefault="00DD0D59" w14:paraId="6A80714E" w14:textId="63516B55">
            <w:pPr>
              <w:keepNext/>
              <w:keepLines/>
              <w:tabs>
                <w:tab w:val="left" w:pos="6030"/>
              </w:tabs>
              <w:spacing w:line="276" w:lineRule="auto"/>
              <w:jc w:val="right"/>
              <w:rPr>
                <w:sz w:val="20"/>
                <w:szCs w:val="20"/>
              </w:rPr>
            </w:pPr>
            <w:r>
              <w:rPr>
                <w:sz w:val="20"/>
                <w:szCs w:val="20"/>
              </w:rPr>
              <w:t>9</w:t>
            </w:r>
            <w:r w:rsidR="002A4AAB">
              <w:rPr>
                <w:sz w:val="20"/>
                <w:szCs w:val="20"/>
              </w:rPr>
              <w:t>5.22</w:t>
            </w:r>
          </w:p>
        </w:tc>
        <w:tc>
          <w:tcPr>
            <w:tcW w:w="1410" w:type="dxa"/>
          </w:tcPr>
          <w:p w:rsidRPr="00BB7053" w:rsidR="00DD0D59" w:rsidP="006750AE" w:rsidRDefault="00B56C1B" w14:paraId="5C87A6E9" w14:textId="50202EBF">
            <w:pPr>
              <w:keepNext/>
              <w:keepLines/>
              <w:tabs>
                <w:tab w:val="left" w:pos="6030"/>
              </w:tabs>
              <w:spacing w:line="276" w:lineRule="auto"/>
              <w:jc w:val="right"/>
              <w:rPr>
                <w:sz w:val="20"/>
                <w:szCs w:val="20"/>
              </w:rPr>
            </w:pPr>
            <w:r>
              <w:rPr>
                <w:sz w:val="20"/>
                <w:szCs w:val="20"/>
              </w:rPr>
              <w:t>9</w:t>
            </w:r>
            <w:r w:rsidR="00941D87">
              <w:rPr>
                <w:sz w:val="20"/>
                <w:szCs w:val="20"/>
              </w:rPr>
              <w:t>52</w:t>
            </w:r>
          </w:p>
        </w:tc>
      </w:tr>
      <w:tr w:rsidR="005477E6" w:rsidTr="00D26368" w14:paraId="62FD497D" w14:textId="77777777">
        <w:tc>
          <w:tcPr>
            <w:tcW w:w="1251" w:type="dxa"/>
            <w:shd w:val="clear" w:color="auto" w:fill="D9D9D9" w:themeFill="background1" w:themeFillShade="D9"/>
          </w:tcPr>
          <w:p w:rsidRPr="00BB7053" w:rsidR="00DD0D59" w:rsidP="006750AE" w:rsidRDefault="00DD0D59" w14:paraId="383C553F" w14:textId="77777777">
            <w:pPr>
              <w:keepNext/>
              <w:keepLines/>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DD0D59" w:rsidP="006750AE" w:rsidRDefault="00C625BD" w14:paraId="7D9F220E" w14:textId="13E07E7C">
            <w:pPr>
              <w:keepNext/>
              <w:keepLines/>
              <w:tabs>
                <w:tab w:val="left" w:pos="6030"/>
              </w:tabs>
              <w:spacing w:line="276" w:lineRule="auto"/>
              <w:jc w:val="right"/>
              <w:rPr>
                <w:sz w:val="20"/>
                <w:szCs w:val="20"/>
              </w:rPr>
            </w:pPr>
            <w:r>
              <w:rPr>
                <w:sz w:val="20"/>
                <w:szCs w:val="20"/>
              </w:rPr>
              <w:t>-</w:t>
            </w:r>
            <w:r w:rsidR="00F66FE6">
              <w:rPr>
                <w:sz w:val="20"/>
                <w:szCs w:val="20"/>
              </w:rPr>
              <w:t>3,448</w:t>
            </w:r>
          </w:p>
        </w:tc>
        <w:tc>
          <w:tcPr>
            <w:tcW w:w="1168" w:type="dxa"/>
            <w:shd w:val="clear" w:color="auto" w:fill="D9D9D9" w:themeFill="background1" w:themeFillShade="D9"/>
          </w:tcPr>
          <w:p w:rsidRPr="00BB7053" w:rsidR="00DD0D59" w:rsidP="006750AE" w:rsidRDefault="00DD0D59" w14:paraId="5CEA80EC" w14:textId="38883ECF">
            <w:pPr>
              <w:keepNext/>
              <w:keepLines/>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DD0D59" w:rsidP="006750AE" w:rsidRDefault="00C625BD" w14:paraId="2B60D818" w14:textId="4257545C">
            <w:pPr>
              <w:keepNext/>
              <w:keepLines/>
              <w:tabs>
                <w:tab w:val="left" w:pos="6030"/>
              </w:tabs>
              <w:spacing w:line="276" w:lineRule="auto"/>
              <w:jc w:val="right"/>
              <w:rPr>
                <w:sz w:val="20"/>
                <w:szCs w:val="20"/>
              </w:rPr>
            </w:pPr>
            <w:r>
              <w:rPr>
                <w:sz w:val="20"/>
                <w:szCs w:val="20"/>
              </w:rPr>
              <w:t>-</w:t>
            </w:r>
            <w:r w:rsidR="00E50B82">
              <w:rPr>
                <w:sz w:val="20"/>
                <w:szCs w:val="20"/>
              </w:rPr>
              <w:t>3,448</w:t>
            </w:r>
          </w:p>
        </w:tc>
        <w:tc>
          <w:tcPr>
            <w:tcW w:w="1077" w:type="dxa"/>
            <w:shd w:val="clear" w:color="auto" w:fill="D9D9D9" w:themeFill="background1" w:themeFillShade="D9"/>
          </w:tcPr>
          <w:p w:rsidRPr="00BB7053" w:rsidR="00DD0D59" w:rsidP="006750AE" w:rsidRDefault="00DD0D59" w14:paraId="3D4EDBF2" w14:textId="18953BE0">
            <w:pPr>
              <w:keepNext/>
              <w:keepLines/>
              <w:tabs>
                <w:tab w:val="left" w:pos="6030"/>
              </w:tabs>
              <w:spacing w:line="276" w:lineRule="auto"/>
              <w:jc w:val="right"/>
              <w:rPr>
                <w:sz w:val="20"/>
                <w:szCs w:val="20"/>
              </w:rPr>
            </w:pPr>
            <w:r>
              <w:rPr>
                <w:sz w:val="20"/>
                <w:szCs w:val="20"/>
              </w:rPr>
              <w:t>No change</w:t>
            </w:r>
          </w:p>
        </w:tc>
        <w:tc>
          <w:tcPr>
            <w:tcW w:w="1071" w:type="dxa"/>
            <w:shd w:val="clear" w:color="auto" w:fill="D9D9D9" w:themeFill="background1" w:themeFillShade="D9"/>
          </w:tcPr>
          <w:p w:rsidR="00D65EE7" w:rsidP="006750AE" w:rsidRDefault="00605C90" w14:paraId="2DB6EAE4" w14:textId="26610AB4">
            <w:pPr>
              <w:keepNext/>
              <w:keepLines/>
              <w:tabs>
                <w:tab w:val="left" w:pos="6030"/>
              </w:tabs>
              <w:spacing w:line="276" w:lineRule="auto"/>
              <w:jc w:val="right"/>
              <w:rPr>
                <w:sz w:val="20"/>
                <w:szCs w:val="20"/>
              </w:rPr>
            </w:pPr>
            <w:r>
              <w:rPr>
                <w:sz w:val="20"/>
                <w:szCs w:val="20"/>
              </w:rPr>
              <w:t>-862</w:t>
            </w:r>
          </w:p>
          <w:p w:rsidRPr="00BB7053" w:rsidR="00DD0D59" w:rsidP="006750AE" w:rsidRDefault="00DD0D59" w14:paraId="1558BAD8" w14:textId="73E462F2">
            <w:pPr>
              <w:keepNext/>
              <w:keepLines/>
              <w:tabs>
                <w:tab w:val="left" w:pos="6030"/>
              </w:tabs>
              <w:spacing w:line="276" w:lineRule="auto"/>
              <w:jc w:val="right"/>
              <w:rPr>
                <w:sz w:val="20"/>
                <w:szCs w:val="20"/>
              </w:rPr>
            </w:pPr>
          </w:p>
        </w:tc>
        <w:tc>
          <w:tcPr>
            <w:tcW w:w="1068" w:type="dxa"/>
            <w:shd w:val="clear" w:color="auto" w:fill="D9D9D9" w:themeFill="background1" w:themeFillShade="D9"/>
          </w:tcPr>
          <w:p w:rsidRPr="00BB7053" w:rsidR="00DD0D59" w:rsidP="006750AE" w:rsidRDefault="00DD0D59" w14:paraId="0804A17A" w14:textId="66AAD49C">
            <w:pPr>
              <w:keepNext/>
              <w:keepLines/>
              <w:tabs>
                <w:tab w:val="left" w:pos="6030"/>
              </w:tabs>
              <w:spacing w:line="276" w:lineRule="auto"/>
              <w:jc w:val="right"/>
              <w:rPr>
                <w:sz w:val="20"/>
                <w:szCs w:val="20"/>
              </w:rPr>
            </w:pPr>
            <w:r>
              <w:rPr>
                <w:sz w:val="20"/>
                <w:szCs w:val="20"/>
              </w:rPr>
              <w:t>No change</w:t>
            </w:r>
          </w:p>
        </w:tc>
        <w:tc>
          <w:tcPr>
            <w:tcW w:w="1410" w:type="dxa"/>
            <w:shd w:val="clear" w:color="auto" w:fill="D9D9D9" w:themeFill="background1" w:themeFillShade="D9"/>
          </w:tcPr>
          <w:p w:rsidRPr="00BB7053" w:rsidR="00DD0D59" w:rsidP="006750AE" w:rsidRDefault="00DD0D59" w14:paraId="34B370DB" w14:textId="7DAE2B1A">
            <w:pPr>
              <w:keepNext/>
              <w:keepLines/>
              <w:tabs>
                <w:tab w:val="left" w:pos="6030"/>
              </w:tabs>
              <w:spacing w:line="276" w:lineRule="auto"/>
              <w:jc w:val="right"/>
              <w:rPr>
                <w:sz w:val="20"/>
                <w:szCs w:val="20"/>
              </w:rPr>
            </w:pPr>
            <w:r>
              <w:rPr>
                <w:sz w:val="20"/>
                <w:szCs w:val="20"/>
              </w:rPr>
              <w:t>-</w:t>
            </w:r>
            <w:r w:rsidR="005477E6">
              <w:rPr>
                <w:sz w:val="20"/>
                <w:szCs w:val="20"/>
              </w:rPr>
              <w:t>$82,0</w:t>
            </w:r>
            <w:r w:rsidR="00522717">
              <w:rPr>
                <w:sz w:val="20"/>
                <w:szCs w:val="20"/>
              </w:rPr>
              <w:t>32</w:t>
            </w:r>
          </w:p>
        </w:tc>
      </w:tr>
    </w:tbl>
    <w:p w:rsidRPr="00221441" w:rsidR="00221441" w:rsidP="00221441" w:rsidRDefault="00221441" w14:paraId="5C0BDA80" w14:textId="33A3CE42">
      <w:pPr>
        <w:tabs>
          <w:tab w:val="left" w:pos="6030"/>
        </w:tabs>
        <w:spacing w:after="0"/>
        <w:jc w:val="center"/>
        <w:rPr>
          <w:b/>
          <w:bCs/>
        </w:rPr>
      </w:pPr>
    </w:p>
    <w:p w:rsidR="00312E88" w:rsidP="00E12B53" w:rsidRDefault="00333EB4" w14:paraId="3F62561F" w14:textId="36D5F524">
      <w:r>
        <w:t xml:space="preserve">Table </w:t>
      </w:r>
      <w:r w:rsidR="006A371A">
        <w:t>3</w:t>
      </w:r>
      <w:r w:rsidR="00C5333D">
        <w:t>9</w:t>
      </w:r>
      <w:r w:rsidRPr="00B67D9F">
        <w:t xml:space="preserve"> </w:t>
      </w:r>
      <w:r w:rsidRPr="0087020E" w:rsidR="0087020E">
        <w:t>provides the reasons for changes in the estimated burden for</w:t>
      </w:r>
      <w:r w:rsidR="00AC6E49">
        <w:t xml:space="preserve"> proposed policies and</w:t>
      </w:r>
      <w:r w:rsidRPr="0087020E" w:rsidR="0087020E">
        <w:t xml:space="preserve"> information collections </w:t>
      </w:r>
      <w:r w:rsidR="00AC6E49">
        <w:t xml:space="preserve">for the CY 2022 MIPS performance period set forth </w:t>
      </w:r>
      <w:r w:rsidRPr="0087020E" w:rsidR="0087020E">
        <w:t xml:space="preserve">in </w:t>
      </w:r>
      <w:r w:rsidR="0071481A">
        <w:t>the CY 20</w:t>
      </w:r>
      <w:r w:rsidR="006A371A">
        <w:t>2</w:t>
      </w:r>
      <w:r w:rsidR="001F1981">
        <w:t>2</w:t>
      </w:r>
      <w:r w:rsidR="0071481A">
        <w:t xml:space="preserve"> </w:t>
      </w:r>
      <w:r w:rsidR="00D8477B">
        <w:t>PFS</w:t>
      </w:r>
      <w:r w:rsidR="00390730">
        <w:t xml:space="preserve"> </w:t>
      </w:r>
      <w:r w:rsidR="001F1981">
        <w:t>proposed</w:t>
      </w:r>
      <w:r w:rsidRPr="0087020E" w:rsidR="0087020E">
        <w:t xml:space="preserve"> rule.  We have divided the reasons for our change in burden into those related to new</w:t>
      </w:r>
      <w:r w:rsidR="002925DB">
        <w:t>ly</w:t>
      </w:r>
      <w:r w:rsidRPr="0087020E" w:rsidR="0087020E">
        <w:t xml:space="preserve"> </w:t>
      </w:r>
      <w:r w:rsidR="000429FC">
        <w:t xml:space="preserve">proposed </w:t>
      </w:r>
      <w:r w:rsidRPr="0087020E" w:rsidR="0087020E">
        <w:t xml:space="preserve">policies and those related </w:t>
      </w:r>
      <w:r w:rsidR="00022124">
        <w:t xml:space="preserve">to </w:t>
      </w:r>
      <w:r w:rsidR="00772D65">
        <w:t xml:space="preserve">updated data and </w:t>
      </w:r>
      <w:r w:rsidR="00C73182">
        <w:t>methods for</w:t>
      </w:r>
      <w:r w:rsidR="000429FC">
        <w:t xml:space="preserve"> the </w:t>
      </w:r>
      <w:r w:rsidR="00C73182">
        <w:t>CY 2022 MIPS performance period</w:t>
      </w:r>
      <w:r w:rsidR="002925DB">
        <w:t xml:space="preserve"> burden</w:t>
      </w:r>
      <w:r w:rsidR="00C73182">
        <w:t xml:space="preserve"> set forth in the CY 2021 PFS final rule</w:t>
      </w:r>
      <w:r w:rsidRPr="00B67D9F">
        <w:t xml:space="preserve">. </w:t>
      </w:r>
    </w:p>
    <w:p w:rsidRPr="00C47150" w:rsidR="00333EB4" w:rsidP="003A36EF" w:rsidRDefault="00333EB4" w14:paraId="39BD61DA" w14:textId="763BDC85">
      <w:pPr>
        <w:keepNext/>
        <w:keepLines/>
        <w:jc w:val="center"/>
        <w:rPr>
          <w:b/>
          <w:bCs/>
        </w:rPr>
      </w:pPr>
      <w:r w:rsidRPr="00C47150">
        <w:rPr>
          <w:b/>
          <w:bCs/>
        </w:rPr>
        <w:t xml:space="preserve">TABLE </w:t>
      </w:r>
      <w:r w:rsidR="006A371A">
        <w:rPr>
          <w:b/>
          <w:bCs/>
        </w:rPr>
        <w:t>3</w:t>
      </w:r>
      <w:r w:rsidR="00C5333D">
        <w:rPr>
          <w:b/>
          <w:bCs/>
        </w:rPr>
        <w:t>9</w:t>
      </w:r>
      <w:r w:rsidRPr="00C47150">
        <w:rPr>
          <w:b/>
          <w:bCs/>
        </w:rPr>
        <w:t xml:space="preserve">: Reasons for Change in Burden Compared to the Currently Approved </w:t>
      </w:r>
      <w:r w:rsidRPr="00C47150">
        <w:rPr>
          <w:b/>
        </w:rPr>
        <w:br/>
      </w:r>
      <w:r w:rsidRPr="00C47150">
        <w:rPr>
          <w:b/>
          <w:bCs/>
        </w:rPr>
        <w:t>CY 20</w:t>
      </w:r>
      <w:r w:rsidR="00763E80">
        <w:rPr>
          <w:b/>
          <w:bCs/>
        </w:rPr>
        <w:t>2</w:t>
      </w:r>
      <w:r w:rsidR="00D02BA8">
        <w:rPr>
          <w:b/>
          <w:bCs/>
        </w:rPr>
        <w:t>1</w:t>
      </w:r>
      <w:r w:rsidRPr="00C47150">
        <w:rPr>
          <w:b/>
          <w:bCs/>
        </w:rPr>
        <w:t xml:space="preserve"> Information Collection Burdens</w:t>
      </w:r>
    </w:p>
    <w:tbl>
      <w:tblPr>
        <w:tblW w:w="9805" w:type="dxa"/>
        <w:tblLook w:val="04A0" w:firstRow="1" w:lastRow="0" w:firstColumn="1" w:lastColumn="0" w:noHBand="0" w:noVBand="1"/>
      </w:tblPr>
      <w:tblGrid>
        <w:gridCol w:w="2700"/>
        <w:gridCol w:w="2875"/>
        <w:gridCol w:w="4230"/>
      </w:tblGrid>
      <w:tr w:rsidRPr="00DE6979" w:rsidR="00333EB4" w:rsidTr="00EB5476" w14:paraId="1207708B" w14:textId="2E4A1B31">
        <w:trPr>
          <w:cantSplit/>
          <w:trHeight w:val="548"/>
          <w:tblHeader/>
        </w:trPr>
        <w:tc>
          <w:tcPr>
            <w:tcW w:w="2700" w:type="dxa"/>
            <w:tcBorders>
              <w:top w:val="single" w:color="auto" w:sz="4" w:space="0"/>
              <w:left w:val="single" w:color="auto" w:sz="4" w:space="0"/>
              <w:bottom w:val="single" w:color="auto" w:sz="4" w:space="0"/>
              <w:right w:val="single" w:color="auto" w:sz="4" w:space="0"/>
            </w:tcBorders>
            <w:shd w:val="clear" w:color="auto" w:fill="auto"/>
            <w:hideMark/>
          </w:tcPr>
          <w:p w:rsidRPr="00DE6979" w:rsidR="00333EB4" w:rsidP="00536031" w:rsidRDefault="00333EB4" w14:paraId="315FAB68" w14:textId="5EA6ABD5">
            <w:pPr>
              <w:keepNext/>
              <w:keepLines/>
              <w:spacing w:after="0"/>
              <w:rPr>
                <w:b/>
                <w:bCs/>
                <w:sz w:val="20"/>
                <w:szCs w:val="20"/>
              </w:rPr>
            </w:pPr>
            <w:r w:rsidRPr="00DE6979">
              <w:rPr>
                <w:b/>
                <w:bCs/>
                <w:sz w:val="20"/>
                <w:szCs w:val="20"/>
              </w:rPr>
              <w:t>Table in Collection of Information</w:t>
            </w:r>
          </w:p>
        </w:tc>
        <w:tc>
          <w:tcPr>
            <w:tcW w:w="2875" w:type="dxa"/>
            <w:tcBorders>
              <w:top w:val="single" w:color="auto" w:sz="4" w:space="0"/>
              <w:left w:val="nil"/>
              <w:bottom w:val="single" w:color="auto" w:sz="4" w:space="0"/>
              <w:right w:val="single" w:color="auto" w:sz="4" w:space="0"/>
            </w:tcBorders>
            <w:shd w:val="clear" w:color="auto" w:fill="auto"/>
            <w:hideMark/>
          </w:tcPr>
          <w:p w:rsidRPr="00DE6979" w:rsidR="00333EB4" w:rsidP="00536031" w:rsidRDefault="00333EB4" w14:paraId="3E3F8C00" w14:textId="660BD141">
            <w:pPr>
              <w:keepNext/>
              <w:keepLines/>
              <w:spacing w:after="0"/>
              <w:rPr>
                <w:b/>
                <w:bCs/>
                <w:sz w:val="20"/>
                <w:szCs w:val="20"/>
              </w:rPr>
            </w:pPr>
            <w:r w:rsidRPr="00DE6979">
              <w:rPr>
                <w:b/>
                <w:bCs/>
                <w:sz w:val="20"/>
                <w:szCs w:val="20"/>
              </w:rPr>
              <w:t xml:space="preserve">Changes in burden due to </w:t>
            </w:r>
            <w:r w:rsidR="00AF22E4">
              <w:rPr>
                <w:b/>
                <w:bCs/>
                <w:sz w:val="20"/>
                <w:szCs w:val="20"/>
              </w:rPr>
              <w:t xml:space="preserve">proposed </w:t>
            </w:r>
            <w:r w:rsidRPr="00155BDA" w:rsidR="00155BDA">
              <w:rPr>
                <w:b/>
                <w:bCs/>
                <w:sz w:val="20"/>
                <w:szCs w:val="20"/>
              </w:rPr>
              <w:t>CY 202</w:t>
            </w:r>
            <w:r w:rsidR="00AF22E4">
              <w:rPr>
                <w:b/>
                <w:bCs/>
                <w:sz w:val="20"/>
                <w:szCs w:val="20"/>
              </w:rPr>
              <w:t>2</w:t>
            </w:r>
            <w:r w:rsidRPr="00DE6979">
              <w:rPr>
                <w:b/>
                <w:bCs/>
                <w:sz w:val="20"/>
                <w:szCs w:val="20"/>
              </w:rPr>
              <w:t xml:space="preserve"> policies</w:t>
            </w:r>
          </w:p>
        </w:tc>
        <w:tc>
          <w:tcPr>
            <w:tcW w:w="4230" w:type="dxa"/>
            <w:tcBorders>
              <w:top w:val="single" w:color="auto" w:sz="4" w:space="0"/>
              <w:left w:val="nil"/>
              <w:bottom w:val="single" w:color="auto" w:sz="4" w:space="0"/>
              <w:right w:val="single" w:color="auto" w:sz="4" w:space="0"/>
            </w:tcBorders>
            <w:shd w:val="clear" w:color="auto" w:fill="auto"/>
            <w:hideMark/>
          </w:tcPr>
          <w:p w:rsidRPr="00DE6979" w:rsidR="00333EB4" w:rsidP="00751145" w:rsidRDefault="00333EB4" w14:paraId="26EA9FF6" w14:textId="12F29FE4">
            <w:pPr>
              <w:keepNext/>
              <w:keepLines/>
              <w:spacing w:after="0"/>
              <w:rPr>
                <w:b/>
                <w:bCs/>
                <w:sz w:val="20"/>
                <w:szCs w:val="20"/>
              </w:rPr>
            </w:pPr>
            <w:r w:rsidRPr="00DE6979">
              <w:rPr>
                <w:b/>
                <w:bCs/>
                <w:sz w:val="20"/>
                <w:szCs w:val="20"/>
              </w:rPr>
              <w:t xml:space="preserve">Changes to "baseline" of burden continued </w:t>
            </w:r>
            <w:r w:rsidR="00751145">
              <w:rPr>
                <w:b/>
                <w:bCs/>
                <w:sz w:val="20"/>
                <w:szCs w:val="20"/>
              </w:rPr>
              <w:t>CY 202</w:t>
            </w:r>
            <w:r w:rsidR="00BF21D4">
              <w:rPr>
                <w:b/>
                <w:bCs/>
                <w:sz w:val="20"/>
                <w:szCs w:val="20"/>
              </w:rPr>
              <w:t>1</w:t>
            </w:r>
            <w:r w:rsidRPr="00DE6979">
              <w:rPr>
                <w:b/>
                <w:bCs/>
                <w:sz w:val="20"/>
                <w:szCs w:val="20"/>
              </w:rPr>
              <w:t xml:space="preserve"> policy</w:t>
            </w:r>
          </w:p>
        </w:tc>
      </w:tr>
      <w:tr w:rsidRPr="00DE6979" w:rsidR="003C7350" w:rsidTr="00D26368" w14:paraId="20BB2516" w14:textId="7BA7372A">
        <w:trPr>
          <w:cantSplit/>
          <w:trHeight w:val="566"/>
        </w:trPr>
        <w:tc>
          <w:tcPr>
            <w:tcW w:w="2700" w:type="dxa"/>
            <w:tcBorders>
              <w:top w:val="nil"/>
              <w:left w:val="single" w:color="auto" w:sz="4" w:space="0"/>
              <w:bottom w:val="single" w:color="auto" w:sz="4" w:space="0"/>
              <w:right w:val="single" w:color="auto" w:sz="4" w:space="0"/>
            </w:tcBorders>
            <w:shd w:val="clear" w:color="auto" w:fill="auto"/>
            <w:hideMark/>
          </w:tcPr>
          <w:p w:rsidRPr="00DE6979" w:rsidR="003C7350" w:rsidP="003C7350" w:rsidRDefault="003C7350" w14:paraId="15854D25" w14:textId="582DFFEE">
            <w:pPr>
              <w:spacing w:after="0"/>
              <w:rPr>
                <w:sz w:val="20"/>
                <w:szCs w:val="20"/>
              </w:rPr>
            </w:pPr>
            <w:r w:rsidRPr="00DE6979">
              <w:rPr>
                <w:sz w:val="20"/>
                <w:szCs w:val="20"/>
              </w:rPr>
              <w:t xml:space="preserve">Table </w:t>
            </w:r>
            <w:r>
              <w:rPr>
                <w:sz w:val="20"/>
                <w:szCs w:val="20"/>
              </w:rPr>
              <w:t>3</w:t>
            </w:r>
            <w:r w:rsidRPr="00DE6979">
              <w:rPr>
                <w:sz w:val="20"/>
                <w:szCs w:val="20"/>
              </w:rPr>
              <w:t>: Qualified Registry Self-Nomination</w:t>
            </w:r>
            <w:r>
              <w:rPr>
                <w:sz w:val="20"/>
                <w:szCs w:val="20"/>
              </w:rPr>
              <w:t xml:space="preserve"> and Other Requirements</w:t>
            </w:r>
          </w:p>
        </w:tc>
        <w:tc>
          <w:tcPr>
            <w:tcW w:w="2875" w:type="dxa"/>
            <w:tcBorders>
              <w:top w:val="nil"/>
              <w:left w:val="nil"/>
              <w:bottom w:val="single" w:color="auto" w:sz="4" w:space="0"/>
              <w:right w:val="single" w:color="auto" w:sz="4" w:space="0"/>
            </w:tcBorders>
            <w:shd w:val="clear" w:color="auto" w:fill="auto"/>
            <w:hideMark/>
          </w:tcPr>
          <w:p w:rsidR="00820D58" w:rsidP="00AF22E4" w:rsidRDefault="00820D58" w14:paraId="122B4F66" w14:textId="2C720D8C">
            <w:pPr>
              <w:keepNext/>
              <w:keepLines/>
              <w:widowControl w:val="0"/>
              <w:spacing w:after="0"/>
              <w:rPr>
                <w:rFonts w:eastAsia="Calibri"/>
                <w:sz w:val="20"/>
                <w:szCs w:val="20"/>
              </w:rPr>
            </w:pPr>
            <w:r w:rsidRPr="00820D58">
              <w:rPr>
                <w:rFonts w:eastAsia="Calibri"/>
                <w:sz w:val="20"/>
                <w:szCs w:val="20"/>
              </w:rPr>
              <w:t>Increase in burden due to the proposed policy requiring submission of participation plans, as necessary (3 hours per plan).</w:t>
            </w:r>
          </w:p>
          <w:p w:rsidRPr="00DE6979" w:rsidR="003C7350" w:rsidP="003C7350" w:rsidRDefault="003C7350" w14:paraId="35ED337F" w14:textId="474D7D04">
            <w:pPr>
              <w:spacing w:after="0"/>
              <w:rPr>
                <w:sz w:val="20"/>
                <w:szCs w:val="20"/>
              </w:rPr>
            </w:pPr>
          </w:p>
        </w:tc>
        <w:tc>
          <w:tcPr>
            <w:tcW w:w="4230" w:type="dxa"/>
            <w:tcBorders>
              <w:top w:val="nil"/>
              <w:left w:val="nil"/>
              <w:bottom w:val="single" w:color="auto" w:sz="4" w:space="0"/>
              <w:right w:val="single" w:color="auto" w:sz="4" w:space="0"/>
            </w:tcBorders>
            <w:shd w:val="clear" w:color="auto" w:fill="auto"/>
            <w:hideMark/>
          </w:tcPr>
          <w:p w:rsidRPr="00DE6979" w:rsidR="003C7350" w:rsidP="003C7350" w:rsidRDefault="00E71F60" w14:paraId="7C31E214" w14:textId="64DEDBE1">
            <w:pPr>
              <w:spacing w:after="0"/>
              <w:rPr>
                <w:i/>
                <w:iCs/>
                <w:sz w:val="20"/>
                <w:szCs w:val="20"/>
              </w:rPr>
            </w:pPr>
            <w:r w:rsidRPr="00E71F60">
              <w:rPr>
                <w:rFonts w:eastAsia="Calibri"/>
                <w:sz w:val="20"/>
                <w:szCs w:val="20"/>
              </w:rPr>
              <w:t>Decrease in the estimated number of hours required for full-self nomination process</w:t>
            </w:r>
            <w:r>
              <w:rPr>
                <w:rFonts w:eastAsia="Calibri"/>
                <w:sz w:val="20"/>
                <w:szCs w:val="20"/>
              </w:rPr>
              <w:t xml:space="preserve">. </w:t>
            </w:r>
          </w:p>
        </w:tc>
      </w:tr>
      <w:tr w:rsidRPr="00DE6979" w:rsidR="00AD58E6" w:rsidTr="00D26368" w14:paraId="1A498568" w14:textId="4709166E">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AD58E6" w:rsidP="00AD58E6" w:rsidRDefault="00AD58E6" w14:paraId="468A6E5F" w14:textId="5D0BB85C">
            <w:pPr>
              <w:spacing w:after="0"/>
              <w:rPr>
                <w:sz w:val="20"/>
                <w:szCs w:val="20"/>
              </w:rPr>
            </w:pPr>
            <w:r w:rsidRPr="00DE6979">
              <w:rPr>
                <w:sz w:val="20"/>
                <w:szCs w:val="20"/>
              </w:rPr>
              <w:lastRenderedPageBreak/>
              <w:t xml:space="preserve">Table </w:t>
            </w:r>
            <w:r>
              <w:rPr>
                <w:sz w:val="20"/>
                <w:szCs w:val="20"/>
              </w:rPr>
              <w:t>4</w:t>
            </w:r>
            <w:r w:rsidRPr="00DE6979">
              <w:rPr>
                <w:sz w:val="20"/>
                <w:szCs w:val="20"/>
              </w:rPr>
              <w:t>: QCDR Self-Nomination</w:t>
            </w:r>
            <w:r>
              <w:rPr>
                <w:sz w:val="20"/>
                <w:szCs w:val="20"/>
              </w:rPr>
              <w:t xml:space="preserve"> and Other Requirements</w:t>
            </w:r>
          </w:p>
        </w:tc>
        <w:tc>
          <w:tcPr>
            <w:tcW w:w="2875" w:type="dxa"/>
            <w:tcBorders>
              <w:top w:val="nil"/>
              <w:left w:val="nil"/>
              <w:bottom w:val="single" w:color="auto" w:sz="4" w:space="0"/>
              <w:right w:val="single" w:color="auto" w:sz="4" w:space="0"/>
            </w:tcBorders>
            <w:shd w:val="clear" w:color="auto" w:fill="auto"/>
          </w:tcPr>
          <w:p w:rsidR="00502CC7" w:rsidP="00133ED6" w:rsidRDefault="00133ED6" w14:paraId="2EB954FD" w14:textId="60E6C862">
            <w:pPr>
              <w:spacing w:after="0"/>
              <w:rPr>
                <w:rFonts w:eastAsia="Calibri"/>
                <w:sz w:val="20"/>
                <w:szCs w:val="20"/>
              </w:rPr>
            </w:pPr>
            <w:r w:rsidRPr="00871E51">
              <w:rPr>
                <w:rFonts w:eastAsia="Calibri"/>
                <w:sz w:val="20"/>
                <w:szCs w:val="20"/>
              </w:rPr>
              <w:t>Increase in burden due to the proposed policy requiring submission of participation plans, as necessary (3 hours per plan).</w:t>
            </w:r>
          </w:p>
          <w:p w:rsidRPr="005D14D3" w:rsidR="00AD58E6" w:rsidP="00133ED6" w:rsidRDefault="00133ED6" w14:paraId="47B900E3" w14:textId="10A2435B">
            <w:pPr>
              <w:spacing w:after="0"/>
              <w:rPr>
                <w:sz w:val="20"/>
                <w:szCs w:val="20"/>
              </w:rPr>
            </w:pPr>
            <w:r w:rsidRPr="00871E51">
              <w:rPr>
                <w:rFonts w:eastAsia="Calibri"/>
                <w:sz w:val="20"/>
                <w:szCs w:val="20"/>
              </w:rPr>
              <w:t>Increase in burden due to current policies not previously having a burden estimate.  (QCDR pre-existing measures)</w:t>
            </w:r>
          </w:p>
        </w:tc>
        <w:tc>
          <w:tcPr>
            <w:tcW w:w="4230" w:type="dxa"/>
            <w:tcBorders>
              <w:top w:val="nil"/>
              <w:left w:val="nil"/>
              <w:bottom w:val="single" w:color="auto" w:sz="4" w:space="0"/>
              <w:right w:val="single" w:color="auto" w:sz="4" w:space="0"/>
            </w:tcBorders>
            <w:shd w:val="clear" w:color="auto" w:fill="auto"/>
          </w:tcPr>
          <w:p w:rsidRPr="00DE6979" w:rsidR="00AD58E6" w:rsidP="00AD58E6" w:rsidRDefault="00446D4B" w14:paraId="22CC7FA4" w14:textId="332C1FC3">
            <w:pPr>
              <w:spacing w:after="0"/>
              <w:rPr>
                <w:sz w:val="20"/>
                <w:szCs w:val="20"/>
              </w:rPr>
            </w:pPr>
            <w:r w:rsidRPr="00446D4B">
              <w:rPr>
                <w:rFonts w:eastAsia="Calibri"/>
                <w:sz w:val="20"/>
                <w:szCs w:val="20"/>
              </w:rPr>
              <w:t>Increase in number of hours required for simplified and full self-nomination process.</w:t>
            </w:r>
          </w:p>
        </w:tc>
      </w:tr>
      <w:tr w:rsidRPr="00DE6979" w:rsidR="005D14D3" w:rsidTr="00D26368" w14:paraId="78B1508F" w14:textId="77777777">
        <w:trPr>
          <w:cantSplit/>
          <w:trHeight w:val="800"/>
        </w:trPr>
        <w:tc>
          <w:tcPr>
            <w:tcW w:w="2700" w:type="dxa"/>
            <w:tcBorders>
              <w:top w:val="nil"/>
              <w:left w:val="single" w:color="auto" w:sz="4" w:space="0"/>
              <w:bottom w:val="single" w:color="auto" w:sz="4" w:space="0"/>
              <w:right w:val="single" w:color="auto" w:sz="4" w:space="0"/>
            </w:tcBorders>
            <w:shd w:val="clear" w:color="auto" w:fill="auto"/>
          </w:tcPr>
          <w:p w:rsidRPr="00DE6979" w:rsidR="005D14D3" w:rsidP="005D14D3" w:rsidRDefault="005D14D3" w14:paraId="7E52E10D" w14:textId="785A989A">
            <w:pPr>
              <w:spacing w:after="0"/>
              <w:rPr>
                <w:sz w:val="20"/>
                <w:szCs w:val="20"/>
              </w:rPr>
            </w:pPr>
            <w:r>
              <w:rPr>
                <w:rFonts w:eastAsia="Calibri"/>
                <w:sz w:val="20"/>
                <w:szCs w:val="20"/>
              </w:rPr>
              <w:t>Table 5:</w:t>
            </w:r>
            <w:r w:rsidRPr="00927D80">
              <w:rPr>
                <w:rFonts w:eastAsia="Calibri"/>
                <w:sz w:val="20"/>
                <w:szCs w:val="20"/>
              </w:rPr>
              <w:t xml:space="preserve"> Open Authorization Credentialing and Token Request Process</w:t>
            </w:r>
          </w:p>
        </w:tc>
        <w:tc>
          <w:tcPr>
            <w:tcW w:w="2875" w:type="dxa"/>
            <w:tcBorders>
              <w:top w:val="nil"/>
              <w:left w:val="nil"/>
              <w:bottom w:val="single" w:color="auto" w:sz="4" w:space="0"/>
              <w:right w:val="single" w:color="auto" w:sz="4" w:space="0"/>
            </w:tcBorders>
            <w:shd w:val="clear" w:color="auto" w:fill="auto"/>
          </w:tcPr>
          <w:p w:rsidRPr="003428D4" w:rsidR="005D14D3" w:rsidP="005D14D3" w:rsidRDefault="004740EF" w14:paraId="4C90B83E" w14:textId="3ECB57B4">
            <w:pPr>
              <w:spacing w:after="0"/>
              <w:rPr>
                <w:rFonts w:eastAsia="Calibri"/>
                <w:sz w:val="20"/>
                <w:szCs w:val="20"/>
              </w:rPr>
            </w:pPr>
            <w:r>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B05DA4" w:rsidR="005D14D3" w:rsidP="005D14D3" w:rsidRDefault="004740EF" w14:paraId="66F8FA90" w14:textId="19F06265">
            <w:pPr>
              <w:spacing w:after="0"/>
              <w:rPr>
                <w:rFonts w:eastAsia="Calibri"/>
                <w:iCs/>
                <w:sz w:val="20"/>
                <w:szCs w:val="20"/>
              </w:rPr>
            </w:pPr>
            <w:r>
              <w:rPr>
                <w:rFonts w:eastAsia="Calibri"/>
                <w:sz w:val="20"/>
                <w:szCs w:val="20"/>
              </w:rPr>
              <w:t>None</w:t>
            </w:r>
          </w:p>
        </w:tc>
      </w:tr>
      <w:tr w:rsidRPr="00DE6979" w:rsidR="005D14D3" w:rsidTr="00D26368" w14:paraId="3509AB2E" w14:textId="4EF8252A">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5D14D3" w:rsidP="005D14D3" w:rsidRDefault="005D14D3" w14:paraId="7A86D0D0" w14:textId="1A6913E8">
            <w:pPr>
              <w:spacing w:after="0"/>
              <w:rPr>
                <w:sz w:val="20"/>
                <w:szCs w:val="20"/>
              </w:rPr>
            </w:pPr>
            <w:r w:rsidRPr="00DE6979">
              <w:rPr>
                <w:sz w:val="20"/>
                <w:szCs w:val="20"/>
              </w:rPr>
              <w:t xml:space="preserve">Table </w:t>
            </w:r>
            <w:r>
              <w:rPr>
                <w:sz w:val="20"/>
                <w:szCs w:val="20"/>
              </w:rPr>
              <w:t>9</w:t>
            </w:r>
            <w:r w:rsidRPr="00DE6979">
              <w:rPr>
                <w:sz w:val="20"/>
                <w:szCs w:val="20"/>
              </w:rPr>
              <w:t xml:space="preserve">: </w:t>
            </w:r>
            <w:r>
              <w:rPr>
                <w:sz w:val="20"/>
                <w:szCs w:val="20"/>
              </w:rPr>
              <w:t>Quality Payment Program Identity Management Application Process</w:t>
            </w:r>
          </w:p>
        </w:tc>
        <w:tc>
          <w:tcPr>
            <w:tcW w:w="2875" w:type="dxa"/>
            <w:tcBorders>
              <w:top w:val="nil"/>
              <w:left w:val="nil"/>
              <w:bottom w:val="single" w:color="auto" w:sz="4" w:space="0"/>
              <w:right w:val="single" w:color="auto" w:sz="4" w:space="0"/>
            </w:tcBorders>
            <w:shd w:val="clear" w:color="auto" w:fill="auto"/>
          </w:tcPr>
          <w:p w:rsidRPr="00DE6979" w:rsidR="005D14D3" w:rsidP="005D14D3" w:rsidRDefault="005D14D3" w14:paraId="2105BBFE" w14:textId="02A79504">
            <w:pPr>
              <w:spacing w:after="0"/>
              <w:rPr>
                <w:sz w:val="20"/>
                <w:szCs w:val="20"/>
              </w:rPr>
            </w:pPr>
            <w:r w:rsidRPr="003428D4">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B05DA4" w:rsidR="005D14D3" w:rsidP="005D14D3" w:rsidRDefault="005D14D3" w14:paraId="7409BFA2" w14:textId="61F3545C">
            <w:pPr>
              <w:spacing w:after="0"/>
              <w:rPr>
                <w:iCs/>
                <w:sz w:val="20"/>
                <w:szCs w:val="20"/>
              </w:rPr>
            </w:pPr>
            <w:r w:rsidRPr="00B05DA4">
              <w:rPr>
                <w:rFonts w:eastAsia="Calibri"/>
                <w:iCs/>
                <w:sz w:val="20"/>
                <w:szCs w:val="20"/>
              </w:rPr>
              <w:t>None</w:t>
            </w:r>
          </w:p>
        </w:tc>
      </w:tr>
      <w:tr w:rsidRPr="00DE6979" w:rsidR="001B1E8B" w:rsidTr="00D26368" w14:paraId="7EF4464C" w14:textId="258D2774">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1B1E8B" w:rsidP="001B1E8B" w:rsidRDefault="001B1E8B" w14:paraId="4EF8CAF8" w14:textId="0900C312">
            <w:pPr>
              <w:spacing w:after="0"/>
              <w:rPr>
                <w:sz w:val="20"/>
                <w:szCs w:val="20"/>
              </w:rPr>
            </w:pPr>
            <w:r w:rsidRPr="00DE6979">
              <w:rPr>
                <w:sz w:val="20"/>
                <w:szCs w:val="20"/>
              </w:rPr>
              <w:t xml:space="preserve">Table </w:t>
            </w:r>
            <w:r>
              <w:rPr>
                <w:sz w:val="20"/>
                <w:szCs w:val="20"/>
              </w:rPr>
              <w:t>10</w:t>
            </w:r>
            <w:r w:rsidRPr="00DE6979">
              <w:rPr>
                <w:sz w:val="20"/>
                <w:szCs w:val="20"/>
              </w:rPr>
              <w:t xml:space="preserve">: Quality Performance Category Claims Collection Type </w:t>
            </w:r>
          </w:p>
        </w:tc>
        <w:tc>
          <w:tcPr>
            <w:tcW w:w="2875" w:type="dxa"/>
            <w:tcBorders>
              <w:top w:val="nil"/>
              <w:left w:val="nil"/>
              <w:bottom w:val="single" w:color="auto" w:sz="4" w:space="0"/>
              <w:right w:val="single" w:color="auto" w:sz="4" w:space="0"/>
            </w:tcBorders>
            <w:shd w:val="clear" w:color="auto" w:fill="auto"/>
          </w:tcPr>
          <w:p w:rsidRPr="00DE6979" w:rsidR="001B1E8B" w:rsidP="007103CE" w:rsidRDefault="00E53D2A" w14:paraId="398F5BF8" w14:textId="7528A503">
            <w:pPr>
              <w:spacing w:after="0"/>
              <w:rPr>
                <w:sz w:val="20"/>
                <w:szCs w:val="20"/>
              </w:rPr>
            </w:pPr>
            <w:r>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DE6979" w:rsidR="001B1E8B" w:rsidP="001B1E8B" w:rsidRDefault="002A37B0" w14:paraId="53690511" w14:textId="06F58C83">
            <w:pPr>
              <w:spacing w:after="0"/>
              <w:rPr>
                <w:i/>
                <w:iCs/>
                <w:sz w:val="20"/>
                <w:szCs w:val="20"/>
              </w:rPr>
            </w:pPr>
            <w:r w:rsidRPr="002A37B0">
              <w:rPr>
                <w:rFonts w:eastAsia="Calibri"/>
                <w:sz w:val="20"/>
                <w:szCs w:val="20"/>
              </w:rPr>
              <w:t>Decrease in number of respondents due to updated projections for the CY 2022 MIPS performance period/2024 MIPS payment year and updated QP projections for the CY 2022 MIPS performance period/2024 MIPS payment year.</w:t>
            </w:r>
          </w:p>
        </w:tc>
      </w:tr>
      <w:tr w:rsidRPr="00DE6979" w:rsidR="001B1E8B" w:rsidTr="00D26368" w14:paraId="6F1327E3" w14:textId="4A7A5DE2">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1B1E8B" w:rsidP="001B1E8B" w:rsidRDefault="001B1E8B" w14:paraId="7C39CBBD" w14:textId="6E56FCDF">
            <w:pPr>
              <w:spacing w:after="0"/>
              <w:rPr>
                <w:sz w:val="20"/>
                <w:szCs w:val="20"/>
              </w:rPr>
            </w:pPr>
            <w:r w:rsidRPr="00DE6979">
              <w:rPr>
                <w:sz w:val="20"/>
                <w:szCs w:val="20"/>
              </w:rPr>
              <w:t xml:space="preserve">Table </w:t>
            </w:r>
            <w:r>
              <w:rPr>
                <w:sz w:val="20"/>
                <w:szCs w:val="20"/>
              </w:rPr>
              <w:t>11</w:t>
            </w:r>
            <w:r w:rsidRPr="00DE6979">
              <w:rPr>
                <w:sz w:val="20"/>
                <w:szCs w:val="20"/>
              </w:rPr>
              <w:t>: Quality Performance Category QCDR/</w:t>
            </w:r>
            <w:r>
              <w:rPr>
                <w:sz w:val="20"/>
                <w:szCs w:val="20"/>
              </w:rPr>
              <w:t>MIPS CQM Collection</w:t>
            </w:r>
            <w:r w:rsidRPr="00DE6979">
              <w:rPr>
                <w:sz w:val="20"/>
                <w:szCs w:val="20"/>
              </w:rPr>
              <w:t xml:space="preserve"> Type</w:t>
            </w:r>
          </w:p>
        </w:tc>
        <w:tc>
          <w:tcPr>
            <w:tcW w:w="2875" w:type="dxa"/>
            <w:tcBorders>
              <w:top w:val="nil"/>
              <w:left w:val="nil"/>
              <w:bottom w:val="single" w:color="auto" w:sz="4" w:space="0"/>
              <w:right w:val="single" w:color="auto" w:sz="4" w:space="0"/>
            </w:tcBorders>
            <w:shd w:val="clear" w:color="auto" w:fill="auto"/>
          </w:tcPr>
          <w:p w:rsidRPr="008733C4" w:rsidR="008733C4" w:rsidP="008733C4" w:rsidRDefault="008733C4" w14:paraId="57A71F4D" w14:textId="06E97E1C">
            <w:pPr>
              <w:spacing w:after="0"/>
              <w:rPr>
                <w:rFonts w:eastAsia="Calibri"/>
                <w:sz w:val="20"/>
                <w:szCs w:val="20"/>
              </w:rPr>
            </w:pPr>
            <w:r w:rsidRPr="008733C4">
              <w:rPr>
                <w:rFonts w:eastAsia="Calibri"/>
                <w:sz w:val="20"/>
                <w:szCs w:val="20"/>
              </w:rPr>
              <w:t>Decrease in the number of respondents due to the proposed policy to extend the CMS Web Interface measures as a collection type/submission type for the CY 2022 MIPS performance period/2024 MIPS payment year.</w:t>
            </w:r>
          </w:p>
          <w:p w:rsidRPr="00DE6979" w:rsidR="001B1E8B" w:rsidP="008733C4" w:rsidRDefault="001B1E8B" w14:paraId="504A14DC" w14:textId="1D11CDE1">
            <w:pPr>
              <w:spacing w:after="0"/>
              <w:rPr>
                <w:sz w:val="20"/>
                <w:szCs w:val="20"/>
              </w:rPr>
            </w:pPr>
          </w:p>
        </w:tc>
        <w:tc>
          <w:tcPr>
            <w:tcW w:w="4230" w:type="dxa"/>
            <w:tcBorders>
              <w:top w:val="nil"/>
              <w:left w:val="nil"/>
              <w:bottom w:val="single" w:color="auto" w:sz="4" w:space="0"/>
              <w:right w:val="single" w:color="auto" w:sz="4" w:space="0"/>
            </w:tcBorders>
            <w:shd w:val="clear" w:color="auto" w:fill="auto"/>
          </w:tcPr>
          <w:p w:rsidRPr="00DE6979" w:rsidR="001B1E8B" w:rsidP="001B1E8B" w:rsidRDefault="00F50FB3" w14:paraId="450F17DC" w14:textId="5FB6239A">
            <w:pPr>
              <w:spacing w:after="0"/>
              <w:rPr>
                <w:i/>
                <w:iCs/>
                <w:sz w:val="20"/>
                <w:szCs w:val="20"/>
              </w:rPr>
            </w:pPr>
            <w:r w:rsidRPr="00871E51">
              <w:rPr>
                <w:rFonts w:eastAsia="Calibri"/>
                <w:sz w:val="20"/>
                <w:szCs w:val="20"/>
              </w:rPr>
              <w:t>Decrease in number of respondents due to updated projections from the CY 2022 MIPS performance period/2024 MIPS payment year and updated QP projections for the CY 2022 MIPS performance period/2024 MIPS payment year.</w:t>
            </w:r>
          </w:p>
        </w:tc>
      </w:tr>
      <w:tr w:rsidRPr="00DE6979" w:rsidR="001B1E8B" w:rsidTr="00D26368" w14:paraId="074E09CF" w14:textId="100021D6">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1B1E8B" w:rsidP="001B1E8B" w:rsidRDefault="001B1E8B" w14:paraId="4CEE2EEB" w14:textId="1CC0327C">
            <w:pPr>
              <w:spacing w:after="0"/>
              <w:rPr>
                <w:sz w:val="20"/>
                <w:szCs w:val="20"/>
              </w:rPr>
            </w:pPr>
            <w:r w:rsidRPr="00DE6979">
              <w:rPr>
                <w:sz w:val="20"/>
                <w:szCs w:val="20"/>
              </w:rPr>
              <w:t xml:space="preserve">Table </w:t>
            </w:r>
            <w:r>
              <w:rPr>
                <w:sz w:val="20"/>
                <w:szCs w:val="20"/>
              </w:rPr>
              <w:t>12:</w:t>
            </w:r>
            <w:r w:rsidRPr="00DE6979">
              <w:rPr>
                <w:sz w:val="20"/>
                <w:szCs w:val="20"/>
              </w:rPr>
              <w:t xml:space="preserve"> Quality Performance Category eCQM Collection Type</w:t>
            </w:r>
          </w:p>
        </w:tc>
        <w:tc>
          <w:tcPr>
            <w:tcW w:w="2875" w:type="dxa"/>
            <w:tcBorders>
              <w:top w:val="nil"/>
              <w:left w:val="nil"/>
              <w:bottom w:val="single" w:color="auto" w:sz="4" w:space="0"/>
              <w:right w:val="single" w:color="auto" w:sz="4" w:space="0"/>
            </w:tcBorders>
            <w:shd w:val="clear" w:color="auto" w:fill="auto"/>
          </w:tcPr>
          <w:p w:rsidRPr="00DE6979" w:rsidR="001B1E8B" w:rsidP="00A2311A" w:rsidRDefault="00A2311A" w14:paraId="688AC629" w14:textId="0BFC76C5">
            <w:pPr>
              <w:spacing w:after="0"/>
              <w:rPr>
                <w:sz w:val="20"/>
                <w:szCs w:val="20"/>
              </w:rPr>
            </w:pPr>
            <w:r w:rsidRPr="00A2311A">
              <w:rPr>
                <w:rFonts w:eastAsia="Calibri"/>
                <w:sz w:val="20"/>
                <w:szCs w:val="20"/>
              </w:rPr>
              <w:t>Decrease in the number of respondents due to the proposed policy to extend the CMS Web Interface measures as a collection type/submission type for the CY 2022 MIPS performance period/2024 MIPS payment year.</w:t>
            </w:r>
          </w:p>
        </w:tc>
        <w:tc>
          <w:tcPr>
            <w:tcW w:w="4230" w:type="dxa"/>
            <w:tcBorders>
              <w:top w:val="nil"/>
              <w:left w:val="nil"/>
              <w:bottom w:val="single" w:color="auto" w:sz="4" w:space="0"/>
              <w:right w:val="single" w:color="auto" w:sz="4" w:space="0"/>
            </w:tcBorders>
            <w:shd w:val="clear" w:color="auto" w:fill="auto"/>
          </w:tcPr>
          <w:p w:rsidRPr="00DE6979" w:rsidR="001B1E8B" w:rsidP="001B1E8B" w:rsidRDefault="001B63D7" w14:paraId="2EE0F61A" w14:textId="0417FC60">
            <w:pPr>
              <w:spacing w:after="0"/>
              <w:rPr>
                <w:i/>
                <w:iCs/>
                <w:sz w:val="20"/>
                <w:szCs w:val="20"/>
              </w:rPr>
            </w:pPr>
            <w:r w:rsidRPr="00871E51">
              <w:rPr>
                <w:rFonts w:eastAsia="Calibri"/>
                <w:sz w:val="20"/>
                <w:szCs w:val="20"/>
              </w:rPr>
              <w:t>Decrease in number of respondents due to updated projections for the CY 2022 MIPS performance period/2024 MIPS payment year and updated QP projections for the CY 2022 MIPS performance period/2024 MIPS payment year.</w:t>
            </w:r>
          </w:p>
        </w:tc>
      </w:tr>
      <w:tr w:rsidRPr="00DE6979" w:rsidR="001B1E8B" w:rsidTr="00D26368" w14:paraId="3BD4CE47" w14:textId="77777777">
        <w:trPr>
          <w:cantSplit/>
          <w:trHeight w:val="539"/>
        </w:trPr>
        <w:tc>
          <w:tcPr>
            <w:tcW w:w="2700" w:type="dxa"/>
            <w:tcBorders>
              <w:top w:val="nil"/>
              <w:left w:val="single" w:color="auto" w:sz="4" w:space="0"/>
              <w:bottom w:val="single" w:color="auto" w:sz="4" w:space="0"/>
              <w:right w:val="single" w:color="auto" w:sz="4" w:space="0"/>
            </w:tcBorders>
            <w:shd w:val="clear" w:color="auto" w:fill="auto"/>
          </w:tcPr>
          <w:p w:rsidRPr="00DE6979" w:rsidR="001B1E8B" w:rsidP="001B1E8B" w:rsidRDefault="001B1E8B" w14:paraId="3EDBE38E" w14:textId="27399311">
            <w:pPr>
              <w:spacing w:after="0"/>
              <w:rPr>
                <w:sz w:val="20"/>
                <w:szCs w:val="20"/>
              </w:rPr>
            </w:pPr>
            <w:r>
              <w:rPr>
                <w:sz w:val="20"/>
                <w:szCs w:val="20"/>
              </w:rPr>
              <w:t>Table 1</w:t>
            </w:r>
            <w:r w:rsidR="004F79AD">
              <w:rPr>
                <w:sz w:val="20"/>
                <w:szCs w:val="20"/>
              </w:rPr>
              <w:t>6</w:t>
            </w:r>
            <w:r>
              <w:rPr>
                <w:sz w:val="20"/>
                <w:szCs w:val="20"/>
              </w:rPr>
              <w:t>: Quality Performance Category CMS Web Interface Collection Type</w:t>
            </w:r>
          </w:p>
        </w:tc>
        <w:tc>
          <w:tcPr>
            <w:tcW w:w="2875" w:type="dxa"/>
            <w:tcBorders>
              <w:top w:val="nil"/>
              <w:left w:val="nil"/>
              <w:bottom w:val="single" w:color="auto" w:sz="4" w:space="0"/>
              <w:right w:val="single" w:color="auto" w:sz="4" w:space="0"/>
            </w:tcBorders>
            <w:shd w:val="clear" w:color="auto" w:fill="auto"/>
          </w:tcPr>
          <w:p w:rsidRPr="003428D4" w:rsidR="001B1E8B" w:rsidRDefault="001731F8" w14:paraId="14B5876B" w14:textId="53E5D1A9">
            <w:pPr>
              <w:spacing w:after="0"/>
              <w:rPr>
                <w:rFonts w:eastAsia="Calibri"/>
                <w:sz w:val="20"/>
                <w:szCs w:val="20"/>
              </w:rPr>
            </w:pPr>
            <w:r w:rsidRPr="001731F8">
              <w:rPr>
                <w:rFonts w:eastAsia="Calibri"/>
                <w:sz w:val="20"/>
                <w:szCs w:val="20"/>
              </w:rPr>
              <w:t>Addition of information collection due to the proposed policy to extend the CMS Web Interface measures as a collection type/submission type.</w:t>
            </w:r>
          </w:p>
        </w:tc>
        <w:tc>
          <w:tcPr>
            <w:tcW w:w="4230" w:type="dxa"/>
            <w:tcBorders>
              <w:top w:val="nil"/>
              <w:left w:val="nil"/>
              <w:bottom w:val="single" w:color="auto" w:sz="4" w:space="0"/>
              <w:right w:val="single" w:color="auto" w:sz="4" w:space="0"/>
            </w:tcBorders>
            <w:shd w:val="clear" w:color="auto" w:fill="auto"/>
          </w:tcPr>
          <w:p w:rsidRPr="00304F3A" w:rsidR="00304F3A" w:rsidP="00304F3A" w:rsidRDefault="00304F3A" w14:paraId="46767E5F" w14:textId="77777777">
            <w:pPr>
              <w:spacing w:after="0"/>
              <w:rPr>
                <w:rFonts w:eastAsia="Calibri"/>
                <w:sz w:val="20"/>
                <w:szCs w:val="20"/>
              </w:rPr>
            </w:pPr>
            <w:r w:rsidRPr="00304F3A">
              <w:rPr>
                <w:rFonts w:eastAsia="Calibri"/>
                <w:sz w:val="20"/>
                <w:szCs w:val="20"/>
              </w:rPr>
              <w:t xml:space="preserve">Increase in number of respondents (+114) due to proposed policy to extend the CMS Web Interface measures as a collection type/submission type. </w:t>
            </w:r>
          </w:p>
          <w:p w:rsidRPr="00304F3A" w:rsidR="00304F3A" w:rsidP="00304F3A" w:rsidRDefault="00304F3A" w14:paraId="4ADAED6F" w14:textId="77777777">
            <w:pPr>
              <w:spacing w:after="0"/>
              <w:rPr>
                <w:rFonts w:eastAsia="Calibri"/>
                <w:sz w:val="20"/>
                <w:szCs w:val="20"/>
              </w:rPr>
            </w:pPr>
          </w:p>
          <w:p w:rsidRPr="00B05DA4" w:rsidR="001B1E8B" w:rsidP="00304F3A" w:rsidRDefault="00304F3A" w14:paraId="1318DCA1" w14:textId="39AF3047">
            <w:pPr>
              <w:spacing w:after="0"/>
              <w:rPr>
                <w:rFonts w:eastAsia="Calibri"/>
                <w:iCs/>
                <w:sz w:val="20"/>
                <w:szCs w:val="20"/>
              </w:rPr>
            </w:pPr>
            <w:r w:rsidRPr="00304F3A">
              <w:rPr>
                <w:rFonts w:eastAsia="Calibri"/>
                <w:sz w:val="20"/>
                <w:szCs w:val="20"/>
              </w:rPr>
              <w:t>.</w:t>
            </w:r>
          </w:p>
        </w:tc>
      </w:tr>
      <w:tr w:rsidRPr="00DE6979" w:rsidR="00CF01B8" w:rsidTr="00D26368" w14:paraId="6D1377A4" w14:textId="77777777">
        <w:trPr>
          <w:cantSplit/>
          <w:trHeight w:val="539"/>
        </w:trPr>
        <w:tc>
          <w:tcPr>
            <w:tcW w:w="2700" w:type="dxa"/>
            <w:tcBorders>
              <w:top w:val="nil"/>
              <w:left w:val="single" w:color="auto" w:sz="4" w:space="0"/>
              <w:bottom w:val="single" w:color="auto" w:sz="4" w:space="0"/>
              <w:right w:val="single" w:color="auto" w:sz="4" w:space="0"/>
            </w:tcBorders>
            <w:shd w:val="clear" w:color="auto" w:fill="auto"/>
          </w:tcPr>
          <w:p w:rsidRPr="00DE6979" w:rsidR="00CF01B8" w:rsidP="00CF01B8" w:rsidRDefault="00CF01B8" w14:paraId="3A1AC07C" w14:textId="02A0096A">
            <w:pPr>
              <w:spacing w:after="0"/>
              <w:rPr>
                <w:sz w:val="20"/>
                <w:szCs w:val="20"/>
              </w:rPr>
            </w:pPr>
            <w:r>
              <w:rPr>
                <w:sz w:val="20"/>
                <w:szCs w:val="20"/>
              </w:rPr>
              <w:t>Table 1</w:t>
            </w:r>
            <w:r w:rsidR="003C572B">
              <w:rPr>
                <w:sz w:val="20"/>
                <w:szCs w:val="20"/>
              </w:rPr>
              <w:t>7</w:t>
            </w:r>
            <w:r>
              <w:rPr>
                <w:sz w:val="20"/>
                <w:szCs w:val="20"/>
              </w:rPr>
              <w:t>: Group Registration for CMS Web Interface</w:t>
            </w:r>
          </w:p>
        </w:tc>
        <w:tc>
          <w:tcPr>
            <w:tcW w:w="2875" w:type="dxa"/>
            <w:tcBorders>
              <w:top w:val="nil"/>
              <w:left w:val="nil"/>
              <w:bottom w:val="single" w:color="auto" w:sz="4" w:space="0"/>
              <w:right w:val="single" w:color="auto" w:sz="4" w:space="0"/>
            </w:tcBorders>
            <w:shd w:val="clear" w:color="auto" w:fill="auto"/>
          </w:tcPr>
          <w:p w:rsidRPr="00D31568" w:rsidR="00D31568" w:rsidP="00D31568" w:rsidRDefault="00D31568" w14:paraId="342CB475" w14:textId="663F18EE">
            <w:pPr>
              <w:spacing w:after="0"/>
              <w:rPr>
                <w:rFonts w:eastAsia="Calibri"/>
                <w:sz w:val="20"/>
                <w:szCs w:val="20"/>
              </w:rPr>
            </w:pPr>
            <w:r w:rsidRPr="00D31568">
              <w:rPr>
                <w:rFonts w:eastAsia="Calibri"/>
                <w:sz w:val="20"/>
                <w:szCs w:val="20"/>
              </w:rPr>
              <w:t>Addition of information collection due to the proposed policy to extend the CMS Web Interface measures as a collection type/submission type.</w:t>
            </w:r>
          </w:p>
          <w:p w:rsidRPr="003428D4" w:rsidR="00CF01B8" w:rsidP="00D31568" w:rsidRDefault="00CF01B8" w14:paraId="2F572020" w14:textId="7678CB70">
            <w:pPr>
              <w:spacing w:after="0"/>
              <w:rPr>
                <w:rFonts w:eastAsia="Calibri"/>
                <w:sz w:val="20"/>
                <w:szCs w:val="20"/>
              </w:rPr>
            </w:pPr>
          </w:p>
        </w:tc>
        <w:tc>
          <w:tcPr>
            <w:tcW w:w="4230" w:type="dxa"/>
            <w:tcBorders>
              <w:top w:val="nil"/>
              <w:left w:val="nil"/>
              <w:bottom w:val="single" w:color="auto" w:sz="4" w:space="0"/>
              <w:right w:val="single" w:color="auto" w:sz="4" w:space="0"/>
            </w:tcBorders>
            <w:shd w:val="clear" w:color="auto" w:fill="auto"/>
          </w:tcPr>
          <w:p w:rsidRPr="00AB3AC5" w:rsidR="00AB3AC5" w:rsidP="00AB3AC5" w:rsidRDefault="00AB3AC5" w14:paraId="08EAFAD0" w14:textId="77777777">
            <w:pPr>
              <w:spacing w:after="0"/>
              <w:rPr>
                <w:rFonts w:eastAsia="Calibri"/>
                <w:sz w:val="20"/>
                <w:szCs w:val="20"/>
              </w:rPr>
            </w:pPr>
            <w:r w:rsidRPr="00AB3AC5">
              <w:rPr>
                <w:rFonts w:eastAsia="Calibri"/>
                <w:sz w:val="20"/>
                <w:szCs w:val="20"/>
              </w:rPr>
              <w:t xml:space="preserve">Increase in number of respondents (+90) due to proposed policy to extend the CMS Web Interface measures as a collection type/submission type. </w:t>
            </w:r>
          </w:p>
          <w:p w:rsidRPr="00AB3AC5" w:rsidR="00AB3AC5" w:rsidP="00AB3AC5" w:rsidRDefault="00AB3AC5" w14:paraId="39A4B5FC" w14:textId="77777777">
            <w:pPr>
              <w:spacing w:after="0"/>
              <w:rPr>
                <w:rFonts w:eastAsia="Calibri"/>
                <w:sz w:val="20"/>
                <w:szCs w:val="20"/>
              </w:rPr>
            </w:pPr>
          </w:p>
          <w:p w:rsidRPr="00B05DA4" w:rsidR="00CF01B8" w:rsidP="00AB3AC5" w:rsidRDefault="00CF01B8" w14:paraId="3C78459D" w14:textId="3114CFBD">
            <w:pPr>
              <w:spacing w:after="0"/>
              <w:rPr>
                <w:rFonts w:eastAsia="Calibri"/>
                <w:iCs/>
                <w:sz w:val="20"/>
                <w:szCs w:val="20"/>
              </w:rPr>
            </w:pPr>
          </w:p>
        </w:tc>
      </w:tr>
      <w:tr w:rsidRPr="00DE6979" w:rsidR="00CF01B8" w:rsidTr="00D26368" w14:paraId="192EB4AB" w14:textId="2687EAA5">
        <w:trPr>
          <w:cantSplit/>
          <w:trHeight w:val="539"/>
        </w:trPr>
        <w:tc>
          <w:tcPr>
            <w:tcW w:w="2700" w:type="dxa"/>
            <w:tcBorders>
              <w:top w:val="nil"/>
              <w:left w:val="single" w:color="auto" w:sz="4" w:space="0"/>
              <w:bottom w:val="single" w:color="auto" w:sz="4" w:space="0"/>
              <w:right w:val="single" w:color="auto" w:sz="4" w:space="0"/>
            </w:tcBorders>
            <w:shd w:val="clear" w:color="auto" w:fill="auto"/>
          </w:tcPr>
          <w:p w:rsidRPr="00DE6979" w:rsidR="00CF01B8" w:rsidP="00CF01B8" w:rsidRDefault="00CF01B8" w14:paraId="5E30FD0A" w14:textId="4BEA3257">
            <w:pPr>
              <w:spacing w:after="0"/>
              <w:rPr>
                <w:sz w:val="20"/>
                <w:szCs w:val="20"/>
              </w:rPr>
            </w:pPr>
            <w:r w:rsidRPr="00DE6979">
              <w:rPr>
                <w:sz w:val="20"/>
                <w:szCs w:val="20"/>
              </w:rPr>
              <w:lastRenderedPageBreak/>
              <w:t xml:space="preserve">Table </w:t>
            </w:r>
            <w:r>
              <w:rPr>
                <w:sz w:val="20"/>
                <w:szCs w:val="20"/>
              </w:rPr>
              <w:t>1</w:t>
            </w:r>
            <w:r w:rsidR="00546450">
              <w:rPr>
                <w:sz w:val="20"/>
                <w:szCs w:val="20"/>
              </w:rPr>
              <w:t>8</w:t>
            </w:r>
            <w:r w:rsidRPr="00DE6979">
              <w:rPr>
                <w:sz w:val="20"/>
                <w:szCs w:val="20"/>
              </w:rPr>
              <w:t>: Call for Quality Measures</w:t>
            </w:r>
          </w:p>
        </w:tc>
        <w:tc>
          <w:tcPr>
            <w:tcW w:w="2875" w:type="dxa"/>
            <w:tcBorders>
              <w:top w:val="nil"/>
              <w:left w:val="nil"/>
              <w:bottom w:val="single" w:color="auto" w:sz="4" w:space="0"/>
              <w:right w:val="single" w:color="auto" w:sz="4" w:space="0"/>
            </w:tcBorders>
            <w:shd w:val="clear" w:color="auto" w:fill="auto"/>
          </w:tcPr>
          <w:p w:rsidRPr="00485C90" w:rsidR="00CF01B8" w:rsidP="00CF01B8" w:rsidRDefault="00CF01B8" w14:paraId="186861B8" w14:textId="062D8E0C">
            <w:pPr>
              <w:spacing w:after="0"/>
              <w:rPr>
                <w:i/>
                <w:iCs/>
                <w:sz w:val="20"/>
                <w:szCs w:val="20"/>
              </w:rPr>
            </w:pPr>
            <w:r w:rsidRPr="003428D4">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DE6979" w:rsidR="00CF01B8" w:rsidP="00CF01B8" w:rsidRDefault="00CF01B8" w14:paraId="0EBD8F4A" w14:textId="04725E15">
            <w:pPr>
              <w:spacing w:after="0"/>
              <w:rPr>
                <w:iCs/>
                <w:sz w:val="20"/>
                <w:szCs w:val="20"/>
              </w:rPr>
            </w:pPr>
            <w:r w:rsidRPr="00B05DA4">
              <w:rPr>
                <w:rFonts w:eastAsia="Calibri"/>
                <w:iCs/>
                <w:sz w:val="20"/>
                <w:szCs w:val="20"/>
              </w:rPr>
              <w:t>None</w:t>
            </w:r>
          </w:p>
        </w:tc>
      </w:tr>
      <w:tr w:rsidRPr="00DE6979" w:rsidR="00D8503A" w:rsidTr="00D26368" w14:paraId="42E28208" w14:textId="0F2ACC4B">
        <w:trPr>
          <w:cantSplit/>
          <w:trHeight w:val="89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D8503A" w:rsidP="00D8503A" w:rsidRDefault="00D8503A" w14:paraId="2FD5D319" w14:textId="729A0DAB">
            <w:pPr>
              <w:spacing w:after="0"/>
              <w:rPr>
                <w:sz w:val="20"/>
                <w:szCs w:val="20"/>
              </w:rPr>
            </w:pPr>
            <w:r w:rsidRPr="00DE6979">
              <w:rPr>
                <w:sz w:val="20"/>
                <w:szCs w:val="20"/>
              </w:rPr>
              <w:t xml:space="preserve">Table </w:t>
            </w:r>
            <w:r>
              <w:rPr>
                <w:sz w:val="20"/>
                <w:szCs w:val="20"/>
              </w:rPr>
              <w:t>1</w:t>
            </w:r>
            <w:r w:rsidR="00C901ED">
              <w:rPr>
                <w:sz w:val="20"/>
                <w:szCs w:val="20"/>
              </w:rPr>
              <w:t>9</w:t>
            </w:r>
            <w:r w:rsidRPr="00DE6979">
              <w:rPr>
                <w:sz w:val="20"/>
                <w:szCs w:val="20"/>
              </w:rPr>
              <w:t xml:space="preserve">: </w:t>
            </w:r>
            <w:r>
              <w:rPr>
                <w:sz w:val="20"/>
                <w:szCs w:val="20"/>
              </w:rPr>
              <w:t>Reweighting Applications for Promoting Interoperability and Other Performance Categories</w:t>
            </w:r>
          </w:p>
        </w:tc>
        <w:tc>
          <w:tcPr>
            <w:tcW w:w="2875" w:type="dxa"/>
            <w:tcBorders>
              <w:top w:val="nil"/>
              <w:left w:val="nil"/>
              <w:bottom w:val="single" w:color="auto" w:sz="4" w:space="0"/>
              <w:right w:val="single" w:color="auto" w:sz="4" w:space="0"/>
            </w:tcBorders>
            <w:shd w:val="clear" w:color="auto" w:fill="auto"/>
          </w:tcPr>
          <w:p w:rsidRPr="00DE6979" w:rsidR="00D8503A" w:rsidP="00D8503A" w:rsidRDefault="00330609" w14:paraId="39102ACB" w14:textId="1B0B3FB3">
            <w:pPr>
              <w:spacing w:after="0"/>
              <w:rPr>
                <w:sz w:val="20"/>
                <w:szCs w:val="20"/>
              </w:rPr>
            </w:pPr>
            <w:r w:rsidRPr="00330609">
              <w:rPr>
                <w:rFonts w:eastAsia="Calibri"/>
                <w:sz w:val="20"/>
                <w:szCs w:val="20"/>
              </w:rPr>
              <w:t>Decrease in the number of respondents due to the proposed policy to allow automatic reweighting of the Promoting Interoperability performance category for small practices</w:t>
            </w:r>
          </w:p>
        </w:tc>
        <w:tc>
          <w:tcPr>
            <w:tcW w:w="4230" w:type="dxa"/>
            <w:tcBorders>
              <w:top w:val="nil"/>
              <w:left w:val="nil"/>
              <w:bottom w:val="single" w:color="auto" w:sz="4" w:space="0"/>
              <w:right w:val="single" w:color="auto" w:sz="4" w:space="0"/>
            </w:tcBorders>
            <w:shd w:val="clear" w:color="auto" w:fill="auto"/>
          </w:tcPr>
          <w:p w:rsidRPr="00DE6979" w:rsidR="00D8503A" w:rsidP="00D8503A" w:rsidRDefault="00E639EE" w14:paraId="764B5400" w14:textId="648E5F4E">
            <w:pPr>
              <w:spacing w:after="0"/>
              <w:rPr>
                <w:iCs/>
                <w:sz w:val="20"/>
                <w:szCs w:val="20"/>
              </w:rPr>
            </w:pPr>
            <w:r>
              <w:rPr>
                <w:rFonts w:eastAsia="Calibri"/>
                <w:sz w:val="20"/>
                <w:szCs w:val="20"/>
              </w:rPr>
              <w:t>None</w:t>
            </w:r>
          </w:p>
        </w:tc>
      </w:tr>
      <w:tr w:rsidRPr="00DE6979" w:rsidR="00D8503A" w:rsidTr="00D26368" w14:paraId="255363DC" w14:textId="0126F323">
        <w:trPr>
          <w:cantSplit/>
          <w:trHeight w:val="1223"/>
        </w:trPr>
        <w:tc>
          <w:tcPr>
            <w:tcW w:w="2700" w:type="dxa"/>
            <w:tcBorders>
              <w:top w:val="nil"/>
              <w:left w:val="single" w:color="auto" w:sz="4" w:space="0"/>
              <w:bottom w:val="single" w:color="auto" w:sz="4" w:space="0"/>
              <w:right w:val="single" w:color="auto" w:sz="4" w:space="0"/>
            </w:tcBorders>
            <w:shd w:val="clear" w:color="auto" w:fill="auto"/>
            <w:hideMark/>
          </w:tcPr>
          <w:p w:rsidRPr="00DE6979" w:rsidR="00D8503A" w:rsidP="00D8503A" w:rsidRDefault="00D8503A" w14:paraId="06A33477" w14:textId="09D53878">
            <w:pPr>
              <w:spacing w:after="0"/>
              <w:rPr>
                <w:sz w:val="20"/>
                <w:szCs w:val="20"/>
              </w:rPr>
            </w:pPr>
            <w:r w:rsidRPr="00DE6979">
              <w:rPr>
                <w:sz w:val="20"/>
                <w:szCs w:val="20"/>
              </w:rPr>
              <w:t>Table</w:t>
            </w:r>
            <w:r w:rsidR="001562FE">
              <w:rPr>
                <w:sz w:val="20"/>
                <w:szCs w:val="20"/>
              </w:rPr>
              <w:t>s 21 and 22</w:t>
            </w:r>
            <w:r w:rsidRPr="00DE6979">
              <w:rPr>
                <w:sz w:val="20"/>
                <w:szCs w:val="20"/>
              </w:rPr>
              <w:t>:</w:t>
            </w:r>
            <w:r>
              <w:rPr>
                <w:sz w:val="20"/>
                <w:szCs w:val="20"/>
              </w:rPr>
              <w:t xml:space="preserve"> Promoting Interoperability </w:t>
            </w:r>
            <w:r w:rsidRPr="00DE6979">
              <w:rPr>
                <w:sz w:val="20"/>
                <w:szCs w:val="20"/>
              </w:rPr>
              <w:t>Performance Category Data Submission</w:t>
            </w:r>
          </w:p>
        </w:tc>
        <w:tc>
          <w:tcPr>
            <w:tcW w:w="2875" w:type="dxa"/>
            <w:tcBorders>
              <w:top w:val="nil"/>
              <w:left w:val="nil"/>
              <w:bottom w:val="single" w:color="auto" w:sz="4" w:space="0"/>
              <w:right w:val="single" w:color="auto" w:sz="4" w:space="0"/>
            </w:tcBorders>
            <w:shd w:val="clear" w:color="auto" w:fill="auto"/>
          </w:tcPr>
          <w:p w:rsidRPr="00586EF2" w:rsidR="00586EF2" w:rsidP="00586EF2" w:rsidRDefault="00586EF2" w14:paraId="2A8BC932" w14:textId="77777777">
            <w:pPr>
              <w:spacing w:after="0"/>
              <w:rPr>
                <w:rFonts w:eastAsia="Calibri"/>
                <w:sz w:val="20"/>
                <w:szCs w:val="20"/>
              </w:rPr>
            </w:pPr>
            <w:r w:rsidRPr="00586EF2">
              <w:rPr>
                <w:rFonts w:eastAsia="Calibri"/>
                <w:sz w:val="20"/>
                <w:szCs w:val="20"/>
              </w:rPr>
              <w:t xml:space="preserve">Increase in per response burden (+0.02 hours) due to the proposed policy for annual assessment SAFER Guides requirement </w:t>
            </w:r>
          </w:p>
          <w:p w:rsidRPr="00DE6979" w:rsidR="00D8503A" w:rsidP="00586EF2" w:rsidRDefault="00D8503A" w14:paraId="3E207E9D" w14:textId="66A1FF4E">
            <w:pPr>
              <w:spacing w:after="0"/>
              <w:rPr>
                <w:sz w:val="20"/>
                <w:szCs w:val="20"/>
              </w:rPr>
            </w:pPr>
          </w:p>
        </w:tc>
        <w:tc>
          <w:tcPr>
            <w:tcW w:w="4230" w:type="dxa"/>
            <w:tcBorders>
              <w:top w:val="nil"/>
              <w:left w:val="nil"/>
              <w:bottom w:val="single" w:color="auto" w:sz="4" w:space="0"/>
              <w:right w:val="single" w:color="auto" w:sz="4" w:space="0"/>
            </w:tcBorders>
            <w:shd w:val="clear" w:color="auto" w:fill="auto"/>
          </w:tcPr>
          <w:p w:rsidRPr="00DE6979" w:rsidR="00D8503A" w:rsidP="00D8503A" w:rsidRDefault="0018388B" w14:paraId="7FA62E83" w14:textId="6F4EBF6E">
            <w:pPr>
              <w:spacing w:after="0"/>
              <w:rPr>
                <w:i/>
                <w:sz w:val="20"/>
                <w:szCs w:val="20"/>
              </w:rPr>
            </w:pPr>
            <w:r w:rsidRPr="0018388B">
              <w:rPr>
                <w:rFonts w:eastAsia="Calibri"/>
                <w:sz w:val="20"/>
                <w:szCs w:val="20"/>
              </w:rPr>
              <w:t>Decrease in number of respondents due to updated projections for the CY 2022 MIPS performance period/2024 MIPS payment year and updated QP projections for the CY 2022 MIPS performance period/2024 MIPS payment year.</w:t>
            </w:r>
          </w:p>
        </w:tc>
      </w:tr>
      <w:tr w:rsidRPr="00DE6979" w:rsidR="00CF01B8" w:rsidTr="00D26368" w14:paraId="33B91AEA" w14:textId="443D52D5">
        <w:trPr>
          <w:cantSplit/>
          <w:trHeight w:val="800"/>
        </w:trPr>
        <w:tc>
          <w:tcPr>
            <w:tcW w:w="2700" w:type="dxa"/>
            <w:tcBorders>
              <w:top w:val="nil"/>
              <w:left w:val="single" w:color="auto" w:sz="4" w:space="0"/>
              <w:bottom w:val="single" w:color="auto" w:sz="4" w:space="0"/>
              <w:right w:val="single" w:color="auto" w:sz="4" w:space="0"/>
            </w:tcBorders>
            <w:shd w:val="clear" w:color="auto" w:fill="auto"/>
          </w:tcPr>
          <w:p w:rsidRPr="00DE6979" w:rsidR="00CF01B8" w:rsidP="00CF01B8" w:rsidRDefault="00CF01B8" w14:paraId="0B2AA39A" w14:textId="3B12DAAB">
            <w:pPr>
              <w:spacing w:after="0"/>
              <w:rPr>
                <w:sz w:val="20"/>
                <w:szCs w:val="20"/>
              </w:rPr>
            </w:pPr>
            <w:r w:rsidRPr="00DE6979">
              <w:rPr>
                <w:sz w:val="20"/>
                <w:szCs w:val="20"/>
              </w:rPr>
              <w:t xml:space="preserve">Table </w:t>
            </w:r>
            <w:r w:rsidR="00B5566A">
              <w:rPr>
                <w:sz w:val="20"/>
                <w:szCs w:val="20"/>
              </w:rPr>
              <w:t>23</w:t>
            </w:r>
            <w:r w:rsidRPr="00DE6979">
              <w:rPr>
                <w:sz w:val="20"/>
                <w:szCs w:val="20"/>
              </w:rPr>
              <w:t>: Call for</w:t>
            </w:r>
            <w:r>
              <w:rPr>
                <w:sz w:val="20"/>
                <w:szCs w:val="20"/>
              </w:rPr>
              <w:t xml:space="preserve"> Promoting Interoperability </w:t>
            </w:r>
            <w:r w:rsidRPr="00DE6979">
              <w:rPr>
                <w:sz w:val="20"/>
                <w:szCs w:val="20"/>
              </w:rPr>
              <w:t>Measures</w:t>
            </w:r>
          </w:p>
        </w:tc>
        <w:tc>
          <w:tcPr>
            <w:tcW w:w="2875" w:type="dxa"/>
            <w:tcBorders>
              <w:top w:val="nil"/>
              <w:left w:val="nil"/>
              <w:bottom w:val="single" w:color="auto" w:sz="4" w:space="0"/>
              <w:right w:val="single" w:color="auto" w:sz="4" w:space="0"/>
            </w:tcBorders>
            <w:shd w:val="clear" w:color="auto" w:fill="auto"/>
          </w:tcPr>
          <w:p w:rsidRPr="00DE6979" w:rsidR="00CF01B8" w:rsidP="00CF01B8" w:rsidRDefault="00CF01B8" w14:paraId="7DD2F2A7" w14:textId="588772D9">
            <w:pPr>
              <w:spacing w:after="0"/>
              <w:rPr>
                <w:sz w:val="20"/>
                <w:szCs w:val="20"/>
              </w:rPr>
            </w:pPr>
            <w:r w:rsidRPr="00CC2BFB">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DE6979" w:rsidR="00CF01B8" w:rsidP="00CF01B8" w:rsidRDefault="00CF01B8" w14:paraId="20B3FB36" w14:textId="2AAEB557">
            <w:pPr>
              <w:spacing w:after="0"/>
              <w:rPr>
                <w:i/>
                <w:iCs/>
                <w:sz w:val="20"/>
                <w:szCs w:val="20"/>
              </w:rPr>
            </w:pPr>
            <w:r w:rsidRPr="00CC2BFB">
              <w:rPr>
                <w:rFonts w:eastAsia="Calibri"/>
                <w:sz w:val="20"/>
                <w:szCs w:val="20"/>
              </w:rPr>
              <w:t>None.</w:t>
            </w:r>
          </w:p>
        </w:tc>
      </w:tr>
      <w:tr w:rsidRPr="00DE6979" w:rsidR="00CF01B8" w:rsidTr="00D26368" w14:paraId="0A8B963F" w14:textId="4773AB89">
        <w:trPr>
          <w:cantSplit/>
          <w:trHeight w:val="71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CF01B8" w:rsidP="00CF01B8" w:rsidRDefault="00CF01B8" w14:paraId="5F4A43BF" w14:textId="5D5BA7C3">
            <w:pPr>
              <w:spacing w:after="0"/>
              <w:rPr>
                <w:sz w:val="20"/>
                <w:szCs w:val="20"/>
              </w:rPr>
            </w:pPr>
            <w:r w:rsidRPr="00DE6979">
              <w:rPr>
                <w:sz w:val="20"/>
                <w:szCs w:val="20"/>
              </w:rPr>
              <w:t>Table</w:t>
            </w:r>
            <w:r w:rsidR="00012BA9">
              <w:rPr>
                <w:sz w:val="20"/>
                <w:szCs w:val="20"/>
              </w:rPr>
              <w:t>s</w:t>
            </w:r>
            <w:r w:rsidRPr="00DE6979">
              <w:rPr>
                <w:sz w:val="20"/>
                <w:szCs w:val="20"/>
              </w:rPr>
              <w:t xml:space="preserve"> </w:t>
            </w:r>
            <w:r>
              <w:rPr>
                <w:sz w:val="20"/>
                <w:szCs w:val="20"/>
              </w:rPr>
              <w:t>2</w:t>
            </w:r>
            <w:r w:rsidR="00012BA9">
              <w:rPr>
                <w:sz w:val="20"/>
                <w:szCs w:val="20"/>
              </w:rPr>
              <w:t>4 and 25</w:t>
            </w:r>
            <w:r w:rsidRPr="00DE6979">
              <w:rPr>
                <w:sz w:val="20"/>
                <w:szCs w:val="20"/>
              </w:rPr>
              <w:t>: Improvement Activities Submission</w:t>
            </w:r>
          </w:p>
        </w:tc>
        <w:tc>
          <w:tcPr>
            <w:tcW w:w="2875" w:type="dxa"/>
            <w:tcBorders>
              <w:top w:val="nil"/>
              <w:left w:val="nil"/>
              <w:bottom w:val="single" w:color="auto" w:sz="4" w:space="0"/>
              <w:right w:val="single" w:color="auto" w:sz="4" w:space="0"/>
            </w:tcBorders>
            <w:shd w:val="clear" w:color="auto" w:fill="auto"/>
          </w:tcPr>
          <w:p w:rsidRPr="008210CE" w:rsidR="008210CE" w:rsidP="008210CE" w:rsidRDefault="008210CE" w14:paraId="662938A5" w14:textId="77777777">
            <w:pPr>
              <w:spacing w:after="0"/>
              <w:rPr>
                <w:rFonts w:eastAsia="Calibri"/>
                <w:sz w:val="20"/>
                <w:szCs w:val="20"/>
              </w:rPr>
            </w:pPr>
            <w:r w:rsidRPr="008210CE">
              <w:rPr>
                <w:rFonts w:eastAsia="Calibri"/>
                <w:sz w:val="20"/>
                <w:szCs w:val="20"/>
              </w:rPr>
              <w:t>(CY 2023 MIPS Performance Period/2025 MIPS Payment Year)</w:t>
            </w:r>
          </w:p>
          <w:p w:rsidRPr="00DE6979" w:rsidR="00CF01B8" w:rsidP="008210CE" w:rsidRDefault="008210CE" w14:paraId="3F15CDD4" w14:textId="203FD549">
            <w:pPr>
              <w:spacing w:after="0"/>
              <w:rPr>
                <w:sz w:val="20"/>
                <w:szCs w:val="20"/>
              </w:rPr>
            </w:pPr>
            <w:r w:rsidRPr="008210CE">
              <w:rPr>
                <w:rFonts w:eastAsia="Calibri"/>
                <w:sz w:val="20"/>
                <w:szCs w:val="20"/>
              </w:rPr>
              <w:t>Increase in number of respondents (+20) due to the proposed implementation of subgroup reporting for MVPs</w:t>
            </w:r>
            <w:r w:rsidR="004167B9">
              <w:rPr>
                <w:rFonts w:eastAsia="Calibri"/>
                <w:sz w:val="20"/>
                <w:szCs w:val="20"/>
              </w:rPr>
              <w:t xml:space="preserve">. </w:t>
            </w:r>
          </w:p>
        </w:tc>
        <w:tc>
          <w:tcPr>
            <w:tcW w:w="4230" w:type="dxa"/>
            <w:tcBorders>
              <w:top w:val="nil"/>
              <w:left w:val="nil"/>
              <w:bottom w:val="single" w:color="auto" w:sz="4" w:space="0"/>
              <w:right w:val="single" w:color="auto" w:sz="4" w:space="0"/>
            </w:tcBorders>
            <w:shd w:val="clear" w:color="auto" w:fill="auto"/>
          </w:tcPr>
          <w:p w:rsidRPr="00DE6979" w:rsidR="00CF01B8" w:rsidP="00CF01B8" w:rsidRDefault="00D95F15" w14:paraId="2D289FEA" w14:textId="50EC8FDF">
            <w:pPr>
              <w:spacing w:after="0"/>
              <w:rPr>
                <w:sz w:val="20"/>
                <w:szCs w:val="20"/>
              </w:rPr>
            </w:pPr>
            <w:r w:rsidRPr="00D95F15">
              <w:rPr>
                <w:rFonts w:eastAsia="Calibri"/>
                <w:sz w:val="20"/>
                <w:szCs w:val="20"/>
              </w:rPr>
              <w:t>Increase in number of respondents due to updated projections for the CY 2022 MIPS performance period/2024 MIPS payment year</w:t>
            </w:r>
          </w:p>
        </w:tc>
      </w:tr>
      <w:tr w:rsidRPr="00DE6979" w:rsidR="00A0749B" w:rsidTr="00D26368" w14:paraId="47068AB3" w14:textId="1C535E8A">
        <w:trPr>
          <w:cantSplit/>
          <w:trHeight w:val="1259"/>
        </w:trPr>
        <w:tc>
          <w:tcPr>
            <w:tcW w:w="2700" w:type="dxa"/>
            <w:tcBorders>
              <w:top w:val="nil"/>
              <w:left w:val="single" w:color="auto" w:sz="4" w:space="0"/>
              <w:bottom w:val="single" w:color="auto" w:sz="4" w:space="0"/>
              <w:right w:val="single" w:color="auto" w:sz="4" w:space="0"/>
            </w:tcBorders>
            <w:shd w:val="clear" w:color="auto" w:fill="auto"/>
            <w:hideMark/>
          </w:tcPr>
          <w:p w:rsidRPr="00DE6979" w:rsidR="00A0749B" w:rsidP="00A0749B" w:rsidRDefault="00A0749B" w14:paraId="280FB83E" w14:textId="1E582CFD">
            <w:pPr>
              <w:spacing w:after="0"/>
              <w:rPr>
                <w:sz w:val="20"/>
                <w:szCs w:val="20"/>
              </w:rPr>
            </w:pPr>
            <w:r w:rsidRPr="00DE6979">
              <w:rPr>
                <w:sz w:val="20"/>
                <w:szCs w:val="20"/>
              </w:rPr>
              <w:t xml:space="preserve">Table </w:t>
            </w:r>
            <w:r>
              <w:rPr>
                <w:sz w:val="20"/>
                <w:szCs w:val="20"/>
              </w:rPr>
              <w:t>27</w:t>
            </w:r>
            <w:r w:rsidRPr="00DE6979">
              <w:rPr>
                <w:sz w:val="20"/>
                <w:szCs w:val="20"/>
              </w:rPr>
              <w:t xml:space="preserve">: Nomination of Improvement Activities </w:t>
            </w:r>
          </w:p>
        </w:tc>
        <w:tc>
          <w:tcPr>
            <w:tcW w:w="2875" w:type="dxa"/>
            <w:tcBorders>
              <w:top w:val="nil"/>
              <w:left w:val="nil"/>
              <w:bottom w:val="single" w:color="auto" w:sz="4" w:space="0"/>
              <w:right w:val="single" w:color="auto" w:sz="4" w:space="0"/>
            </w:tcBorders>
            <w:shd w:val="clear" w:color="auto" w:fill="auto"/>
          </w:tcPr>
          <w:p w:rsidRPr="00DE6979" w:rsidR="00A0749B" w:rsidP="00A0749B" w:rsidRDefault="00A0749B" w14:paraId="7E1BF5B1" w14:textId="7BF8A12B">
            <w:pPr>
              <w:spacing w:after="0"/>
              <w:rPr>
                <w:sz w:val="20"/>
                <w:szCs w:val="20"/>
              </w:rPr>
            </w:pPr>
            <w:r w:rsidRPr="00871E51">
              <w:rPr>
                <w:rFonts w:eastAsia="Calibri"/>
                <w:sz w:val="20"/>
                <w:szCs w:val="20"/>
              </w:rPr>
              <w:t>Increase in per response burden (+1.4 hours) due to the proposed revised criteria for nomination of improvement activities</w:t>
            </w:r>
            <w:r>
              <w:rPr>
                <w:rFonts w:eastAsia="Calibri"/>
                <w:sz w:val="20"/>
                <w:szCs w:val="20"/>
              </w:rPr>
              <w:t xml:space="preserve">. </w:t>
            </w:r>
          </w:p>
        </w:tc>
        <w:tc>
          <w:tcPr>
            <w:tcW w:w="4230" w:type="dxa"/>
            <w:tcBorders>
              <w:top w:val="nil"/>
              <w:left w:val="nil"/>
              <w:bottom w:val="single" w:color="auto" w:sz="4" w:space="0"/>
              <w:right w:val="single" w:color="auto" w:sz="4" w:space="0"/>
            </w:tcBorders>
            <w:shd w:val="clear" w:color="auto" w:fill="auto"/>
          </w:tcPr>
          <w:p w:rsidRPr="00DE6979" w:rsidR="00A0749B" w:rsidP="00A0749B" w:rsidRDefault="00A0749B" w14:paraId="11AD78F8" w14:textId="6AF98A88">
            <w:pPr>
              <w:spacing w:after="0"/>
              <w:rPr>
                <w:sz w:val="20"/>
                <w:szCs w:val="20"/>
              </w:rPr>
            </w:pPr>
            <w:r>
              <w:rPr>
                <w:rFonts w:eastAsia="Calibri"/>
                <w:sz w:val="20"/>
                <w:szCs w:val="20"/>
              </w:rPr>
              <w:t>None.</w:t>
            </w:r>
          </w:p>
        </w:tc>
      </w:tr>
      <w:tr w:rsidRPr="00DE6979" w:rsidR="00A0749B" w:rsidTr="00D26368" w14:paraId="67A8EC18" w14:textId="77777777">
        <w:trPr>
          <w:cantSplit/>
          <w:trHeight w:val="710"/>
        </w:trPr>
        <w:tc>
          <w:tcPr>
            <w:tcW w:w="2700" w:type="dxa"/>
            <w:tcBorders>
              <w:top w:val="nil"/>
              <w:left w:val="single" w:color="auto" w:sz="4" w:space="0"/>
              <w:bottom w:val="single" w:color="auto" w:sz="4" w:space="0"/>
              <w:right w:val="single" w:color="auto" w:sz="4" w:space="0"/>
            </w:tcBorders>
            <w:shd w:val="clear" w:color="auto" w:fill="auto"/>
          </w:tcPr>
          <w:p w:rsidRPr="00DE6979" w:rsidR="00A0749B" w:rsidP="00A0749B" w:rsidRDefault="00A0749B" w14:paraId="53DFFAA2" w14:textId="0C4BDC65">
            <w:pPr>
              <w:spacing w:after="0"/>
              <w:rPr>
                <w:sz w:val="20"/>
                <w:szCs w:val="20"/>
              </w:rPr>
            </w:pPr>
            <w:r>
              <w:rPr>
                <w:sz w:val="20"/>
                <w:szCs w:val="20"/>
              </w:rPr>
              <w:t>Table 2</w:t>
            </w:r>
            <w:r w:rsidR="00B039F1">
              <w:rPr>
                <w:sz w:val="20"/>
                <w:szCs w:val="20"/>
              </w:rPr>
              <w:t>8</w:t>
            </w:r>
            <w:r>
              <w:rPr>
                <w:sz w:val="20"/>
                <w:szCs w:val="20"/>
              </w:rPr>
              <w:t>: Nomination of MVPs</w:t>
            </w:r>
          </w:p>
        </w:tc>
        <w:tc>
          <w:tcPr>
            <w:tcW w:w="2875" w:type="dxa"/>
            <w:tcBorders>
              <w:top w:val="nil"/>
              <w:left w:val="nil"/>
              <w:bottom w:val="single" w:color="auto" w:sz="4" w:space="0"/>
              <w:right w:val="single" w:color="auto" w:sz="4" w:space="0"/>
            </w:tcBorders>
            <w:shd w:val="clear" w:color="auto" w:fill="auto"/>
          </w:tcPr>
          <w:p w:rsidRPr="00CC2BFB" w:rsidR="00A0749B" w:rsidP="00A0749B" w:rsidRDefault="009203C6" w14:paraId="529EEF18" w14:textId="5552C636">
            <w:pPr>
              <w:spacing w:after="0"/>
              <w:rPr>
                <w:rFonts w:eastAsia="Calibri"/>
                <w:sz w:val="20"/>
                <w:szCs w:val="20"/>
              </w:rPr>
            </w:pPr>
            <w:r>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CC2BFB" w:rsidR="00A0749B" w:rsidP="00A0749B" w:rsidRDefault="009203C6" w14:paraId="3647482E" w14:textId="638AF64F">
            <w:pPr>
              <w:spacing w:after="0"/>
              <w:rPr>
                <w:rFonts w:eastAsia="Calibri"/>
                <w:sz w:val="20"/>
                <w:szCs w:val="20"/>
              </w:rPr>
            </w:pPr>
            <w:r>
              <w:rPr>
                <w:rFonts w:eastAsia="Calibri"/>
                <w:sz w:val="20"/>
                <w:szCs w:val="20"/>
              </w:rPr>
              <w:t>None</w:t>
            </w:r>
          </w:p>
        </w:tc>
      </w:tr>
      <w:tr w:rsidRPr="00DE6979" w:rsidR="00A0749B" w:rsidTr="00D26368" w14:paraId="2E5546F4" w14:textId="62C7493B">
        <w:trPr>
          <w:cantSplit/>
          <w:trHeight w:val="638"/>
        </w:trPr>
        <w:tc>
          <w:tcPr>
            <w:tcW w:w="2700" w:type="dxa"/>
            <w:tcBorders>
              <w:top w:val="nil"/>
              <w:left w:val="single" w:color="auto" w:sz="4" w:space="0"/>
              <w:bottom w:val="single" w:color="auto" w:sz="4" w:space="0"/>
              <w:right w:val="single" w:color="auto" w:sz="4" w:space="0"/>
            </w:tcBorders>
            <w:shd w:val="clear" w:color="auto" w:fill="auto"/>
            <w:hideMark/>
          </w:tcPr>
          <w:p w:rsidRPr="00DE6979" w:rsidR="00A0749B" w:rsidP="00A0749B" w:rsidRDefault="00A0749B" w14:paraId="6103CF3D" w14:textId="651815BB">
            <w:pPr>
              <w:spacing w:after="0"/>
              <w:rPr>
                <w:sz w:val="20"/>
                <w:szCs w:val="20"/>
              </w:rPr>
            </w:pPr>
            <w:r w:rsidRPr="00DE6979">
              <w:rPr>
                <w:sz w:val="20"/>
                <w:szCs w:val="20"/>
              </w:rPr>
              <w:t xml:space="preserve">Table </w:t>
            </w:r>
            <w:r>
              <w:rPr>
                <w:sz w:val="20"/>
                <w:szCs w:val="20"/>
              </w:rPr>
              <w:t>2</w:t>
            </w:r>
            <w:r w:rsidR="008465F9">
              <w:rPr>
                <w:sz w:val="20"/>
                <w:szCs w:val="20"/>
              </w:rPr>
              <w:t>9</w:t>
            </w:r>
            <w:r w:rsidRPr="00DE6979">
              <w:rPr>
                <w:sz w:val="20"/>
                <w:szCs w:val="20"/>
              </w:rPr>
              <w:t>: Partial QP Election</w:t>
            </w:r>
          </w:p>
        </w:tc>
        <w:tc>
          <w:tcPr>
            <w:tcW w:w="2875" w:type="dxa"/>
            <w:tcBorders>
              <w:top w:val="nil"/>
              <w:left w:val="nil"/>
              <w:bottom w:val="single" w:color="auto" w:sz="4" w:space="0"/>
              <w:right w:val="single" w:color="auto" w:sz="4" w:space="0"/>
            </w:tcBorders>
            <w:shd w:val="clear" w:color="auto" w:fill="auto"/>
          </w:tcPr>
          <w:p w:rsidRPr="00DE6979" w:rsidR="00A0749B" w:rsidP="00A0749B" w:rsidRDefault="00A0749B" w14:paraId="6A324BAC" w14:textId="4906B09E">
            <w:pPr>
              <w:spacing w:after="0"/>
              <w:rPr>
                <w:sz w:val="20"/>
                <w:szCs w:val="20"/>
              </w:rPr>
            </w:pPr>
            <w:r w:rsidRPr="00A06D61">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333EB4" w:rsidR="00A0749B" w:rsidP="00A0749B" w:rsidRDefault="00A0749B" w14:paraId="268DF0A2" w14:textId="68068963">
            <w:pPr>
              <w:spacing w:after="0"/>
              <w:rPr>
                <w:i/>
                <w:sz w:val="20"/>
                <w:szCs w:val="20"/>
              </w:rPr>
            </w:pPr>
            <w:r w:rsidRPr="00A06D61">
              <w:rPr>
                <w:rFonts w:eastAsia="Calibri"/>
                <w:sz w:val="20"/>
                <w:szCs w:val="20"/>
              </w:rPr>
              <w:t xml:space="preserve">Decrease in number of respondents due to updated projections for the </w:t>
            </w:r>
            <w:r w:rsidRPr="009B4B42" w:rsidR="009B4B42">
              <w:rPr>
                <w:rFonts w:eastAsia="Calibri"/>
                <w:sz w:val="20"/>
                <w:szCs w:val="20"/>
              </w:rPr>
              <w:t>CY 2022 MIPS performance period/2024 MIPS payment year</w:t>
            </w:r>
            <w:r w:rsidRPr="00A06D61">
              <w:rPr>
                <w:rFonts w:eastAsia="Calibri"/>
                <w:sz w:val="20"/>
                <w:szCs w:val="20"/>
              </w:rPr>
              <w:t>.</w:t>
            </w:r>
          </w:p>
        </w:tc>
      </w:tr>
      <w:tr w:rsidRPr="00DE6979" w:rsidR="00A0749B" w:rsidTr="00D26368" w14:paraId="7065083B" w14:textId="3C8E6C90">
        <w:trPr>
          <w:cantSplit/>
          <w:trHeight w:val="764"/>
        </w:trPr>
        <w:tc>
          <w:tcPr>
            <w:tcW w:w="2700" w:type="dxa"/>
            <w:tcBorders>
              <w:top w:val="nil"/>
              <w:left w:val="single" w:color="auto" w:sz="4" w:space="0"/>
              <w:bottom w:val="single" w:color="auto" w:sz="4" w:space="0"/>
              <w:right w:val="single" w:color="auto" w:sz="4" w:space="0"/>
            </w:tcBorders>
            <w:shd w:val="clear" w:color="auto" w:fill="auto"/>
          </w:tcPr>
          <w:p w:rsidRPr="00DE6979" w:rsidR="00A0749B" w:rsidP="00A0749B" w:rsidRDefault="00A0749B" w14:paraId="188FB8CA" w14:textId="5DD18EBA">
            <w:pPr>
              <w:spacing w:after="0"/>
              <w:rPr>
                <w:sz w:val="20"/>
                <w:szCs w:val="20"/>
              </w:rPr>
            </w:pPr>
            <w:r w:rsidRPr="00DE6979">
              <w:rPr>
                <w:sz w:val="20"/>
                <w:szCs w:val="20"/>
              </w:rPr>
              <w:t xml:space="preserve">Table </w:t>
            </w:r>
            <w:r w:rsidR="00FB4411">
              <w:rPr>
                <w:sz w:val="20"/>
                <w:szCs w:val="20"/>
              </w:rPr>
              <w:t>30</w:t>
            </w:r>
            <w:r w:rsidRPr="00DE6979">
              <w:rPr>
                <w:sz w:val="20"/>
                <w:szCs w:val="20"/>
              </w:rPr>
              <w:t xml:space="preserve">: </w:t>
            </w:r>
            <w:r w:rsidRPr="004248DC">
              <w:rPr>
                <w:sz w:val="20"/>
                <w:szCs w:val="20"/>
              </w:rPr>
              <w:t>Other Payer Advanced APM Identification: Other Payer Initiated Process</w:t>
            </w:r>
          </w:p>
        </w:tc>
        <w:tc>
          <w:tcPr>
            <w:tcW w:w="2875" w:type="dxa"/>
            <w:tcBorders>
              <w:top w:val="nil"/>
              <w:left w:val="nil"/>
              <w:bottom w:val="single" w:color="auto" w:sz="4" w:space="0"/>
              <w:right w:val="single" w:color="auto" w:sz="4" w:space="0"/>
            </w:tcBorders>
            <w:shd w:val="clear" w:color="auto" w:fill="auto"/>
          </w:tcPr>
          <w:p w:rsidRPr="00DE6979" w:rsidR="00A0749B" w:rsidP="00A0749B" w:rsidRDefault="00A0749B" w14:paraId="5CB0CF0F" w14:textId="52FB1DEF">
            <w:pPr>
              <w:spacing w:after="0"/>
              <w:rPr>
                <w:sz w:val="20"/>
                <w:szCs w:val="20"/>
              </w:rPr>
            </w:pPr>
            <w:r w:rsidRPr="00A06D61">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DE6979" w:rsidR="00A0749B" w:rsidP="00A0749B" w:rsidRDefault="00A0749B" w14:paraId="06045CB4" w14:textId="4B5D67C3">
            <w:pPr>
              <w:spacing w:after="0"/>
              <w:rPr>
                <w:i/>
                <w:sz w:val="20"/>
                <w:szCs w:val="20"/>
              </w:rPr>
            </w:pPr>
            <w:r w:rsidRPr="00A06D61">
              <w:rPr>
                <w:rFonts w:eastAsia="Calibri"/>
                <w:sz w:val="20"/>
                <w:szCs w:val="20"/>
              </w:rPr>
              <w:t xml:space="preserve">Decrease in number of respondents due to updated projections for the </w:t>
            </w:r>
            <w:r w:rsidRPr="0080152C" w:rsidR="0080152C">
              <w:rPr>
                <w:rFonts w:eastAsia="Calibri"/>
                <w:sz w:val="20"/>
                <w:szCs w:val="20"/>
              </w:rPr>
              <w:t>CY 2022 MIPS performance period/2024 MIPS payment year</w:t>
            </w:r>
            <w:r w:rsidRPr="00A06D61">
              <w:rPr>
                <w:rFonts w:eastAsia="Calibri"/>
                <w:sz w:val="20"/>
                <w:szCs w:val="20"/>
              </w:rPr>
              <w:t>.</w:t>
            </w:r>
          </w:p>
        </w:tc>
      </w:tr>
      <w:tr w:rsidRPr="00DE6979" w:rsidR="00A0749B" w:rsidTr="00D26368" w14:paraId="2B2709F8" w14:textId="0B623016">
        <w:trPr>
          <w:cantSplit/>
          <w:trHeight w:val="98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A0749B" w:rsidP="00A0749B" w:rsidRDefault="00A0749B" w14:paraId="6EF9AB07" w14:textId="596276C9">
            <w:pPr>
              <w:spacing w:after="0"/>
              <w:rPr>
                <w:sz w:val="20"/>
                <w:szCs w:val="20"/>
              </w:rPr>
            </w:pPr>
            <w:r w:rsidRPr="00DE6979">
              <w:rPr>
                <w:sz w:val="20"/>
                <w:szCs w:val="20"/>
              </w:rPr>
              <w:t xml:space="preserve">Table </w:t>
            </w:r>
            <w:r w:rsidR="00BE7507">
              <w:rPr>
                <w:sz w:val="20"/>
                <w:szCs w:val="20"/>
              </w:rPr>
              <w:t>31</w:t>
            </w:r>
            <w:r>
              <w:rPr>
                <w:sz w:val="20"/>
                <w:szCs w:val="20"/>
              </w:rPr>
              <w:t>:</w:t>
            </w:r>
            <w:r w:rsidRPr="00DE6979">
              <w:rPr>
                <w:sz w:val="20"/>
                <w:szCs w:val="20"/>
              </w:rPr>
              <w:t xml:space="preserve"> </w:t>
            </w:r>
            <w:r w:rsidRPr="004248DC">
              <w:rPr>
                <w:sz w:val="20"/>
                <w:szCs w:val="20"/>
              </w:rPr>
              <w:t>Other Payer Advanced APM Identification: Eligible Clinician Initiated Process</w:t>
            </w:r>
          </w:p>
        </w:tc>
        <w:tc>
          <w:tcPr>
            <w:tcW w:w="2875" w:type="dxa"/>
            <w:tcBorders>
              <w:top w:val="nil"/>
              <w:left w:val="nil"/>
              <w:bottom w:val="single" w:color="auto" w:sz="4" w:space="0"/>
              <w:right w:val="single" w:color="auto" w:sz="4" w:space="0"/>
            </w:tcBorders>
            <w:shd w:val="clear" w:color="auto" w:fill="auto"/>
          </w:tcPr>
          <w:p w:rsidRPr="00DE6979" w:rsidR="00A0749B" w:rsidP="00A0749B" w:rsidRDefault="00A0749B" w14:paraId="7B232573" w14:textId="6AC8D7E7">
            <w:pPr>
              <w:spacing w:after="0"/>
              <w:rPr>
                <w:sz w:val="20"/>
                <w:szCs w:val="20"/>
              </w:rPr>
            </w:pPr>
            <w:r w:rsidRPr="009C0029">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AA2D60" w:rsidR="00A0749B" w:rsidP="00A0749B" w:rsidRDefault="006A08A8" w14:paraId="0E609B00" w14:textId="1246ADB7">
            <w:pPr>
              <w:spacing w:after="0"/>
              <w:rPr>
                <w:sz w:val="20"/>
                <w:szCs w:val="20"/>
              </w:rPr>
            </w:pPr>
            <w:r w:rsidRPr="006A08A8">
              <w:rPr>
                <w:sz w:val="20"/>
                <w:szCs w:val="20"/>
              </w:rPr>
              <w:t>Decrease in number of respondents due to updated projections for the CY 2022 MIPS performance period/2024 MIPS payment year</w:t>
            </w:r>
            <w:r>
              <w:rPr>
                <w:sz w:val="20"/>
                <w:szCs w:val="20"/>
              </w:rPr>
              <w:t>.</w:t>
            </w:r>
          </w:p>
        </w:tc>
      </w:tr>
      <w:tr w:rsidRPr="00DE6979" w:rsidR="00A0749B" w:rsidTr="00D26368" w14:paraId="20408B34" w14:textId="7FE05C99">
        <w:trPr>
          <w:cantSplit/>
          <w:trHeight w:val="1160"/>
        </w:trPr>
        <w:tc>
          <w:tcPr>
            <w:tcW w:w="2700" w:type="dxa"/>
            <w:tcBorders>
              <w:top w:val="nil"/>
              <w:left w:val="single" w:color="auto" w:sz="4" w:space="0"/>
              <w:bottom w:val="single" w:color="auto" w:sz="4" w:space="0"/>
              <w:right w:val="single" w:color="auto" w:sz="4" w:space="0"/>
            </w:tcBorders>
            <w:shd w:val="clear" w:color="auto" w:fill="auto"/>
          </w:tcPr>
          <w:p w:rsidRPr="00DE6979" w:rsidR="00A0749B" w:rsidP="00A0749B" w:rsidRDefault="00A0749B" w14:paraId="13B64710" w14:textId="3173D9C8">
            <w:pPr>
              <w:spacing w:after="0"/>
              <w:rPr>
                <w:sz w:val="20"/>
                <w:szCs w:val="20"/>
              </w:rPr>
            </w:pPr>
            <w:r w:rsidRPr="00DE6979">
              <w:rPr>
                <w:sz w:val="20"/>
                <w:szCs w:val="20"/>
              </w:rPr>
              <w:t xml:space="preserve">Table </w:t>
            </w:r>
            <w:r w:rsidR="00BE7507">
              <w:rPr>
                <w:sz w:val="20"/>
                <w:szCs w:val="20"/>
              </w:rPr>
              <w:t>32</w:t>
            </w:r>
            <w:r w:rsidRPr="00DE6979">
              <w:rPr>
                <w:sz w:val="20"/>
                <w:szCs w:val="20"/>
              </w:rPr>
              <w:t xml:space="preserve">: </w:t>
            </w:r>
            <w:r w:rsidRPr="004248DC">
              <w:rPr>
                <w:sz w:val="20"/>
                <w:szCs w:val="20"/>
              </w:rPr>
              <w:t>Submission of Data for All-Payer QP Determinations under the All-Payer Combination Option</w:t>
            </w:r>
          </w:p>
        </w:tc>
        <w:tc>
          <w:tcPr>
            <w:tcW w:w="2875" w:type="dxa"/>
            <w:tcBorders>
              <w:top w:val="nil"/>
              <w:left w:val="nil"/>
              <w:bottom w:val="single" w:color="auto" w:sz="4" w:space="0"/>
              <w:right w:val="single" w:color="auto" w:sz="4" w:space="0"/>
            </w:tcBorders>
            <w:shd w:val="clear" w:color="auto" w:fill="auto"/>
          </w:tcPr>
          <w:p w:rsidRPr="00DE6979" w:rsidR="00A0749B" w:rsidP="00A0749B" w:rsidRDefault="00A0749B" w14:paraId="52D0EDBA" w14:textId="3DB4E82F">
            <w:pPr>
              <w:spacing w:after="0"/>
              <w:rPr>
                <w:sz w:val="20"/>
                <w:szCs w:val="20"/>
              </w:rPr>
            </w:pPr>
            <w:r w:rsidRPr="00CC2BFB">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336813" w:rsidR="00A0749B" w:rsidP="00A0749B" w:rsidRDefault="00A0749B" w14:paraId="343CEC43" w14:textId="0299281A">
            <w:pPr>
              <w:spacing w:after="0"/>
              <w:rPr>
                <w:iCs/>
                <w:sz w:val="20"/>
                <w:szCs w:val="20"/>
              </w:rPr>
            </w:pPr>
            <w:r>
              <w:rPr>
                <w:rFonts w:eastAsia="Calibri"/>
                <w:sz w:val="20"/>
                <w:szCs w:val="20"/>
              </w:rPr>
              <w:t>None.</w:t>
            </w:r>
          </w:p>
        </w:tc>
      </w:tr>
      <w:tr w:rsidRPr="00DE6979" w:rsidR="00A0749B" w:rsidTr="00D26368" w14:paraId="225E06F0" w14:textId="30FB1725">
        <w:trPr>
          <w:cantSplit/>
          <w:trHeight w:val="116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A0749B" w:rsidP="00A0749B" w:rsidRDefault="00A0749B" w14:paraId="6728FA98" w14:textId="4476A28D">
            <w:pPr>
              <w:spacing w:after="0"/>
              <w:rPr>
                <w:sz w:val="20"/>
                <w:szCs w:val="20"/>
              </w:rPr>
            </w:pPr>
            <w:r w:rsidRPr="00DE6979">
              <w:rPr>
                <w:sz w:val="20"/>
                <w:szCs w:val="20"/>
              </w:rPr>
              <w:lastRenderedPageBreak/>
              <w:t xml:space="preserve">Table </w:t>
            </w:r>
            <w:r w:rsidR="009E3108">
              <w:rPr>
                <w:sz w:val="20"/>
                <w:szCs w:val="20"/>
              </w:rPr>
              <w:t>33</w:t>
            </w:r>
            <w:r>
              <w:rPr>
                <w:sz w:val="20"/>
                <w:szCs w:val="20"/>
              </w:rPr>
              <w:t>:</w:t>
            </w:r>
            <w:r w:rsidRPr="00DE6979">
              <w:rPr>
                <w:sz w:val="20"/>
                <w:szCs w:val="20"/>
              </w:rPr>
              <w:t xml:space="preserve"> Voluntary Participants to Elect to Opt Out of Performance Data Display on Physician Compare</w:t>
            </w:r>
          </w:p>
        </w:tc>
        <w:tc>
          <w:tcPr>
            <w:tcW w:w="2875" w:type="dxa"/>
            <w:tcBorders>
              <w:top w:val="nil"/>
              <w:left w:val="nil"/>
              <w:bottom w:val="single" w:color="auto" w:sz="4" w:space="0"/>
              <w:right w:val="single" w:color="auto" w:sz="4" w:space="0"/>
            </w:tcBorders>
            <w:shd w:val="clear" w:color="auto" w:fill="auto"/>
          </w:tcPr>
          <w:p w:rsidRPr="0095356F" w:rsidR="00A0749B" w:rsidP="00A0749B" w:rsidRDefault="00A0749B" w14:paraId="2A22759B" w14:textId="48ED9E46">
            <w:pPr>
              <w:spacing w:after="0"/>
              <w:rPr>
                <w:i/>
                <w:sz w:val="20"/>
                <w:szCs w:val="20"/>
              </w:rPr>
            </w:pPr>
            <w:r w:rsidRPr="00A06D61">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336813" w:rsidR="00A0749B" w:rsidP="00A0749B" w:rsidRDefault="001B114F" w14:paraId="070693BA" w14:textId="247FA008">
            <w:pPr>
              <w:spacing w:after="0"/>
              <w:rPr>
                <w:iCs/>
                <w:sz w:val="20"/>
                <w:szCs w:val="20"/>
              </w:rPr>
            </w:pPr>
            <w:r w:rsidRPr="001B114F">
              <w:rPr>
                <w:rFonts w:eastAsia="Calibri"/>
                <w:sz w:val="20"/>
                <w:szCs w:val="20"/>
              </w:rPr>
              <w:t>Decrease in number of respondents due to updated projections for the CY 2022 MIPS performance period/2024 MIPS payment year.</w:t>
            </w:r>
          </w:p>
        </w:tc>
      </w:tr>
    </w:tbl>
    <w:p w:rsidR="00221441" w:rsidP="00B16F83" w:rsidRDefault="00221441" w14:paraId="19CB3130" w14:textId="68AE8DAA">
      <w:pPr>
        <w:pStyle w:val="ListParagraph"/>
        <w:ind w:left="1620"/>
      </w:pPr>
    </w:p>
    <w:p w:rsidR="00B35701" w:rsidP="00B35701" w:rsidRDefault="00B35701" w14:paraId="16FD1907" w14:textId="5FDAA550">
      <w:pPr>
        <w:pStyle w:val="ListParagraph"/>
        <w:numPr>
          <w:ilvl w:val="2"/>
          <w:numId w:val="23"/>
        </w:numPr>
        <w:tabs>
          <w:tab w:val="left" w:pos="6030"/>
        </w:tabs>
        <w:spacing w:line="276" w:lineRule="auto"/>
        <w:jc w:val="both"/>
      </w:pPr>
      <w:r>
        <w:t>CY 2023 MIPS Performance Period/2025 MIPS Payment Year Burden</w:t>
      </w:r>
    </w:p>
    <w:p w:rsidR="00E14493" w:rsidP="00E14493" w:rsidRDefault="00E14493" w14:paraId="4F7D74B0" w14:textId="77777777">
      <w:pPr>
        <w:keepNext/>
        <w:keepLines/>
        <w:rPr>
          <w:bCs/>
        </w:rPr>
      </w:pPr>
      <w:r>
        <w:rPr>
          <w:bCs/>
        </w:rPr>
        <w:t>As discussed above, we are setting forth the burden estimates for the CY 2023 MIPS performance period/2025 MIPS payment year as new burden. For the purposes of comparison, we are showing the difference between our CY 2023 and CY 2022 burden estimates the Table 40 below. Overall,</w:t>
      </w:r>
      <w:r w:rsidRPr="00BE7C5E">
        <w:rPr>
          <w:bCs/>
        </w:rPr>
        <w:t xml:space="preserve"> the CY 2023 burden </w:t>
      </w:r>
      <w:r>
        <w:rPr>
          <w:bCs/>
        </w:rPr>
        <w:t>increases</w:t>
      </w:r>
      <w:r w:rsidRPr="00BE7C5E">
        <w:rPr>
          <w:bCs/>
        </w:rPr>
        <w:t xml:space="preserve"> our CY 2022 estimates by</w:t>
      </w:r>
      <w:r>
        <w:rPr>
          <w:bCs/>
        </w:rPr>
        <w:t xml:space="preserve"> 31</w:t>
      </w:r>
      <w:r w:rsidRPr="00BE7C5E">
        <w:rPr>
          <w:bCs/>
        </w:rPr>
        <w:t xml:space="preserve"> respondents</w:t>
      </w:r>
      <w:r>
        <w:rPr>
          <w:bCs/>
        </w:rPr>
        <w:t xml:space="preserve"> and 12,919</w:t>
      </w:r>
      <w:r w:rsidRPr="00BE7C5E">
        <w:rPr>
          <w:bCs/>
        </w:rPr>
        <w:t xml:space="preserve"> responses, </w:t>
      </w:r>
      <w:r>
        <w:rPr>
          <w:bCs/>
        </w:rPr>
        <w:t xml:space="preserve">while reducing our CY 2022 estimates by 45,369 </w:t>
      </w:r>
      <w:r w:rsidRPr="00BE7C5E">
        <w:rPr>
          <w:bCs/>
        </w:rPr>
        <w:t>hours, and $</w:t>
      </w:r>
      <w:r>
        <w:rPr>
          <w:bCs/>
        </w:rPr>
        <w:t>4,515,572</w:t>
      </w:r>
      <w:r w:rsidRPr="00BE7C5E">
        <w:rPr>
          <w:bCs/>
        </w:rPr>
        <w:t xml:space="preserve">. To help readers streamline their review of this document we are not repeating the CY 2023 burden discussion as it would be redundant since it is already in Section 12 (see Table </w:t>
      </w:r>
      <w:r>
        <w:rPr>
          <w:bCs/>
        </w:rPr>
        <w:t>35</w:t>
      </w:r>
      <w:r w:rsidRPr="00BE7C5E">
        <w:rPr>
          <w:bCs/>
        </w:rPr>
        <w:t xml:space="preserve">). For the readers convenience, however, we are repeating the CY 2023 burden in the </w:t>
      </w:r>
      <w:r>
        <w:rPr>
          <w:bCs/>
        </w:rPr>
        <w:t>first</w:t>
      </w:r>
      <w:r w:rsidRPr="00BE7C5E">
        <w:rPr>
          <w:bCs/>
        </w:rPr>
        <w:t xml:space="preserve"> row of the following table:</w:t>
      </w:r>
    </w:p>
    <w:p w:rsidRPr="0072437D" w:rsidR="00E14493" w:rsidP="00E14493" w:rsidRDefault="00E14493" w14:paraId="1AF26D4A" w14:textId="77777777">
      <w:pPr>
        <w:keepNext/>
        <w:keepLines/>
        <w:jc w:val="center"/>
        <w:rPr>
          <w:b/>
          <w:bCs/>
        </w:rPr>
      </w:pPr>
      <w:r w:rsidRPr="00BE7C5E">
        <w:rPr>
          <w:rFonts w:eastAsia="Calibri"/>
          <w:b/>
        </w:rPr>
        <w:t xml:space="preserve">TABLE </w:t>
      </w:r>
      <w:r>
        <w:rPr>
          <w:b/>
          <w:bCs/>
        </w:rPr>
        <w:t>40</w:t>
      </w:r>
      <w:r w:rsidRPr="00BE7C5E">
        <w:rPr>
          <w:b/>
          <w:bCs/>
        </w:rPr>
        <w:t>: Burden for CY 2023 MIPS Performance Period/</w:t>
      </w:r>
      <w:r w:rsidRPr="00BE7C5E">
        <w:rPr>
          <w:b/>
          <w:bCs/>
        </w:rPr>
        <w:br/>
        <w:t>2025 MIPS Payment Year</w:t>
      </w:r>
    </w:p>
    <w:tbl>
      <w:tblPr>
        <w:tblW w:w="9495" w:type="dxa"/>
        <w:jc w:val="center"/>
        <w:tblCellMar>
          <w:left w:w="0" w:type="dxa"/>
          <w:right w:w="0" w:type="dxa"/>
        </w:tblCellMar>
        <w:tblLook w:val="04A0" w:firstRow="1" w:lastRow="0" w:firstColumn="1" w:lastColumn="0" w:noHBand="0" w:noVBand="1"/>
      </w:tblPr>
      <w:tblGrid>
        <w:gridCol w:w="2048"/>
        <w:gridCol w:w="1395"/>
        <w:gridCol w:w="1217"/>
        <w:gridCol w:w="1203"/>
        <w:gridCol w:w="1269"/>
        <w:gridCol w:w="976"/>
        <w:gridCol w:w="1387"/>
      </w:tblGrid>
      <w:tr w:rsidRPr="00E3635C" w:rsidR="00E14493" w:rsidTr="0041541C" w14:paraId="1A92F412" w14:textId="77777777">
        <w:trPr>
          <w:cantSplit/>
          <w:tblHeader/>
          <w:jc w:val="center"/>
        </w:trPr>
        <w:tc>
          <w:tcPr>
            <w:tcW w:w="20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E6666" w:rsidR="00E14493" w:rsidP="0041541C" w:rsidRDefault="005215F4" w14:paraId="61577231" w14:textId="57350376">
            <w:pPr>
              <w:keepNext/>
              <w:jc w:val="center"/>
              <w:rPr>
                <w:b/>
                <w:sz w:val="20"/>
                <w:szCs w:val="20"/>
              </w:rPr>
            </w:pPr>
            <w:r w:rsidRPr="005E6666">
              <w:rPr>
                <w:b/>
                <w:sz w:val="20"/>
                <w:szCs w:val="20"/>
              </w:rPr>
              <w:t>Burden Category</w:t>
            </w:r>
          </w:p>
        </w:tc>
        <w:tc>
          <w:tcPr>
            <w:tcW w:w="139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6666" w:rsidR="00E14493" w:rsidP="0041541C" w:rsidRDefault="00E14493" w14:paraId="72C4B87C" w14:textId="77777777">
            <w:pPr>
              <w:keepNext/>
              <w:jc w:val="center"/>
              <w:rPr>
                <w:b/>
                <w:sz w:val="20"/>
                <w:szCs w:val="20"/>
              </w:rPr>
            </w:pPr>
            <w:r w:rsidRPr="005E6666">
              <w:rPr>
                <w:b/>
                <w:sz w:val="20"/>
                <w:szCs w:val="20"/>
              </w:rPr>
              <w:t>No. Respondents</w:t>
            </w:r>
          </w:p>
        </w:tc>
        <w:tc>
          <w:tcPr>
            <w:tcW w:w="12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6666" w:rsidR="00E14493" w:rsidP="0041541C" w:rsidRDefault="00E14493" w14:paraId="7FE66275" w14:textId="77777777">
            <w:pPr>
              <w:keepNext/>
              <w:jc w:val="center"/>
              <w:rPr>
                <w:b/>
                <w:sz w:val="20"/>
                <w:szCs w:val="20"/>
              </w:rPr>
            </w:pPr>
            <w:r w:rsidRPr="005E6666">
              <w:rPr>
                <w:b/>
                <w:sz w:val="20"/>
                <w:szCs w:val="20"/>
              </w:rPr>
              <w:t>Responses</w:t>
            </w:r>
          </w:p>
        </w:tc>
        <w:tc>
          <w:tcPr>
            <w:tcW w:w="120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6666" w:rsidR="00E14493" w:rsidP="0041541C" w:rsidRDefault="00E14493" w14:paraId="445C149F" w14:textId="77777777">
            <w:pPr>
              <w:keepNext/>
              <w:jc w:val="center"/>
              <w:rPr>
                <w:b/>
                <w:sz w:val="20"/>
                <w:szCs w:val="20"/>
              </w:rPr>
            </w:pPr>
            <w:r w:rsidRPr="005E6666">
              <w:rPr>
                <w:b/>
                <w:sz w:val="20"/>
                <w:szCs w:val="20"/>
              </w:rPr>
              <w:t>Time per Response (hours)</w:t>
            </w:r>
          </w:p>
        </w:tc>
        <w:tc>
          <w:tcPr>
            <w:tcW w:w="12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6666" w:rsidR="00E14493" w:rsidP="0041541C" w:rsidRDefault="00E14493" w14:paraId="1B8FE3D1" w14:textId="77777777">
            <w:pPr>
              <w:keepNext/>
              <w:jc w:val="center"/>
              <w:rPr>
                <w:b/>
                <w:sz w:val="20"/>
                <w:szCs w:val="20"/>
              </w:rPr>
            </w:pPr>
            <w:r w:rsidRPr="005E6666">
              <w:rPr>
                <w:b/>
                <w:sz w:val="20"/>
                <w:szCs w:val="20"/>
              </w:rPr>
              <w:t>Total Annual Time (hours)</w:t>
            </w:r>
          </w:p>
        </w:tc>
        <w:tc>
          <w:tcPr>
            <w:tcW w:w="9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6666" w:rsidR="00E14493" w:rsidP="0041541C" w:rsidRDefault="00E14493" w14:paraId="7A238A69" w14:textId="77777777">
            <w:pPr>
              <w:keepNext/>
              <w:jc w:val="center"/>
              <w:rPr>
                <w:b/>
                <w:sz w:val="20"/>
                <w:szCs w:val="20"/>
              </w:rPr>
            </w:pPr>
            <w:r w:rsidRPr="005E6666">
              <w:rPr>
                <w:b/>
                <w:sz w:val="20"/>
                <w:szCs w:val="20"/>
              </w:rPr>
              <w:t>Labor</w:t>
            </w:r>
          </w:p>
          <w:p w:rsidRPr="005E6666" w:rsidR="00E14493" w:rsidP="0041541C" w:rsidRDefault="00E14493" w14:paraId="4081D4E8" w14:textId="77777777">
            <w:pPr>
              <w:keepNext/>
              <w:jc w:val="center"/>
              <w:rPr>
                <w:b/>
                <w:sz w:val="20"/>
                <w:szCs w:val="20"/>
              </w:rPr>
            </w:pPr>
            <w:r w:rsidRPr="005E6666">
              <w:rPr>
                <w:b/>
                <w:sz w:val="20"/>
                <w:szCs w:val="20"/>
              </w:rPr>
              <w:t>Cost</w:t>
            </w:r>
          </w:p>
          <w:p w:rsidRPr="005E6666" w:rsidR="00E14493" w:rsidP="0041541C" w:rsidRDefault="00E14493" w14:paraId="4FD19E60" w14:textId="77777777">
            <w:pPr>
              <w:keepNext/>
              <w:jc w:val="center"/>
              <w:rPr>
                <w:b/>
                <w:sz w:val="20"/>
                <w:szCs w:val="20"/>
              </w:rPr>
            </w:pPr>
            <w:r w:rsidRPr="005E6666">
              <w:rPr>
                <w:b/>
                <w:sz w:val="20"/>
                <w:szCs w:val="20"/>
              </w:rPr>
              <w:t>($/hr)</w:t>
            </w:r>
          </w:p>
        </w:tc>
        <w:tc>
          <w:tcPr>
            <w:tcW w:w="138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6666" w:rsidR="00E14493" w:rsidP="0041541C" w:rsidRDefault="00E14493" w14:paraId="37B59767" w14:textId="77777777">
            <w:pPr>
              <w:keepNext/>
              <w:jc w:val="center"/>
              <w:rPr>
                <w:b/>
                <w:sz w:val="20"/>
                <w:szCs w:val="20"/>
              </w:rPr>
            </w:pPr>
            <w:r w:rsidRPr="005E6666">
              <w:rPr>
                <w:b/>
                <w:sz w:val="20"/>
                <w:szCs w:val="20"/>
              </w:rPr>
              <w:t>Total Cost</w:t>
            </w:r>
          </w:p>
          <w:p w:rsidRPr="005E6666" w:rsidR="00E14493" w:rsidP="0041541C" w:rsidRDefault="00E14493" w14:paraId="4C7E0BAE" w14:textId="575B725B">
            <w:pPr>
              <w:keepNext/>
              <w:jc w:val="center"/>
              <w:rPr>
                <w:b/>
                <w:sz w:val="20"/>
                <w:szCs w:val="20"/>
              </w:rPr>
            </w:pPr>
            <w:r w:rsidRPr="005E6666">
              <w:rPr>
                <w:b/>
                <w:sz w:val="20"/>
                <w:szCs w:val="20"/>
              </w:rPr>
              <w:t>($)</w:t>
            </w:r>
          </w:p>
        </w:tc>
      </w:tr>
      <w:tr w:rsidRPr="00E3635C" w:rsidR="00E14493" w:rsidTr="0041541C" w14:paraId="5C3BA6DB" w14:textId="77777777">
        <w:trPr>
          <w:cantSplit/>
          <w:jc w:val="center"/>
        </w:trPr>
        <w:tc>
          <w:tcPr>
            <w:tcW w:w="2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3635C" w:rsidR="00E14493" w:rsidP="0041541C" w:rsidRDefault="00E14493" w14:paraId="12AA128F" w14:textId="77777777">
            <w:pPr>
              <w:rPr>
                <w:bCs/>
                <w:sz w:val="20"/>
                <w:szCs w:val="20"/>
              </w:rPr>
            </w:pPr>
            <w:r w:rsidRPr="00E3635C">
              <w:rPr>
                <w:bCs/>
                <w:sz w:val="20"/>
                <w:szCs w:val="20"/>
              </w:rPr>
              <w:t>Table 35: 2023 MIPS Performance Period Burden Summary (CMS-1751-P)</w:t>
            </w:r>
          </w:p>
        </w:tc>
        <w:tc>
          <w:tcPr>
            <w:tcW w:w="1395" w:type="dxa"/>
            <w:tcBorders>
              <w:top w:val="nil"/>
              <w:left w:val="nil"/>
              <w:bottom w:val="single" w:color="auto" w:sz="8" w:space="0"/>
              <w:right w:val="single" w:color="auto" w:sz="8" w:space="0"/>
            </w:tcBorders>
            <w:tcMar>
              <w:top w:w="0" w:type="dxa"/>
              <w:left w:w="108" w:type="dxa"/>
              <w:bottom w:w="0" w:type="dxa"/>
              <w:right w:w="108" w:type="dxa"/>
            </w:tcMar>
          </w:tcPr>
          <w:p w:rsidRPr="00E3635C" w:rsidR="00E14493" w:rsidP="0041541C" w:rsidRDefault="00E14493" w14:paraId="2196BE62" w14:textId="77777777">
            <w:pPr>
              <w:jc w:val="center"/>
              <w:rPr>
                <w:bCs/>
                <w:sz w:val="20"/>
                <w:szCs w:val="20"/>
              </w:rPr>
            </w:pPr>
            <w:r w:rsidRPr="00E3635C">
              <w:rPr>
                <w:bCs/>
                <w:sz w:val="20"/>
                <w:szCs w:val="20"/>
              </w:rPr>
              <w:t>119,92</w:t>
            </w:r>
            <w:r>
              <w:rPr>
                <w:bCs/>
                <w:sz w:val="20"/>
                <w:szCs w:val="20"/>
              </w:rPr>
              <w:t>3</w:t>
            </w:r>
          </w:p>
        </w:tc>
        <w:tc>
          <w:tcPr>
            <w:tcW w:w="1217" w:type="dxa"/>
            <w:tcBorders>
              <w:top w:val="nil"/>
              <w:left w:val="nil"/>
              <w:bottom w:val="single" w:color="auto" w:sz="8" w:space="0"/>
              <w:right w:val="single" w:color="auto" w:sz="8" w:space="0"/>
            </w:tcBorders>
            <w:tcMar>
              <w:top w:w="0" w:type="dxa"/>
              <w:left w:w="108" w:type="dxa"/>
              <w:bottom w:w="0" w:type="dxa"/>
              <w:right w:w="108" w:type="dxa"/>
            </w:tcMar>
          </w:tcPr>
          <w:p w:rsidRPr="00E3635C" w:rsidR="00E14493" w:rsidP="0041541C" w:rsidRDefault="00E14493" w14:paraId="2F12858D" w14:textId="77777777">
            <w:pPr>
              <w:jc w:val="center"/>
              <w:rPr>
                <w:bCs/>
                <w:sz w:val="20"/>
                <w:szCs w:val="20"/>
              </w:rPr>
            </w:pPr>
            <w:r w:rsidRPr="00E3635C">
              <w:rPr>
                <w:bCs/>
                <w:sz w:val="20"/>
                <w:szCs w:val="20"/>
              </w:rPr>
              <w:t>323,039</w:t>
            </w:r>
          </w:p>
        </w:tc>
        <w:tc>
          <w:tcPr>
            <w:tcW w:w="1203" w:type="dxa"/>
            <w:tcBorders>
              <w:top w:val="nil"/>
              <w:left w:val="nil"/>
              <w:bottom w:val="single" w:color="auto" w:sz="8" w:space="0"/>
              <w:right w:val="single" w:color="auto" w:sz="8" w:space="0"/>
            </w:tcBorders>
            <w:tcMar>
              <w:top w:w="0" w:type="dxa"/>
              <w:left w:w="108" w:type="dxa"/>
              <w:bottom w:w="0" w:type="dxa"/>
              <w:right w:w="108" w:type="dxa"/>
            </w:tcMar>
          </w:tcPr>
          <w:p w:rsidRPr="00E3635C" w:rsidR="00E14493" w:rsidP="0041541C" w:rsidRDefault="00E14493" w14:paraId="749A44CA" w14:textId="77777777">
            <w:pPr>
              <w:jc w:val="center"/>
              <w:rPr>
                <w:bCs/>
                <w:sz w:val="20"/>
                <w:szCs w:val="20"/>
              </w:rPr>
            </w:pPr>
            <w:r w:rsidRPr="00E3635C">
              <w:rPr>
                <w:bCs/>
                <w:sz w:val="20"/>
                <w:szCs w:val="20"/>
              </w:rPr>
              <w:t>Varies</w:t>
            </w:r>
          </w:p>
        </w:tc>
        <w:tc>
          <w:tcPr>
            <w:tcW w:w="1269" w:type="dxa"/>
            <w:tcBorders>
              <w:top w:val="nil"/>
              <w:left w:val="nil"/>
              <w:bottom w:val="single" w:color="auto" w:sz="8" w:space="0"/>
              <w:right w:val="single" w:color="auto" w:sz="8" w:space="0"/>
            </w:tcBorders>
            <w:tcMar>
              <w:top w:w="0" w:type="dxa"/>
              <w:left w:w="108" w:type="dxa"/>
              <w:bottom w:w="0" w:type="dxa"/>
              <w:right w:w="108" w:type="dxa"/>
            </w:tcMar>
          </w:tcPr>
          <w:p w:rsidRPr="00E3635C" w:rsidR="00E14493" w:rsidP="0041541C" w:rsidRDefault="00E14493" w14:paraId="5D4E0007" w14:textId="77777777">
            <w:pPr>
              <w:jc w:val="center"/>
              <w:rPr>
                <w:bCs/>
                <w:sz w:val="20"/>
                <w:szCs w:val="20"/>
              </w:rPr>
            </w:pPr>
            <w:r w:rsidRPr="00596A96">
              <w:rPr>
                <w:bCs/>
                <w:sz w:val="20"/>
                <w:szCs w:val="20"/>
              </w:rPr>
              <w:t>1,390,404</w:t>
            </w:r>
          </w:p>
        </w:tc>
        <w:tc>
          <w:tcPr>
            <w:tcW w:w="976" w:type="dxa"/>
            <w:tcBorders>
              <w:top w:val="nil"/>
              <w:left w:val="nil"/>
              <w:bottom w:val="single" w:color="auto" w:sz="8" w:space="0"/>
              <w:right w:val="single" w:color="auto" w:sz="8" w:space="0"/>
            </w:tcBorders>
            <w:tcMar>
              <w:top w:w="0" w:type="dxa"/>
              <w:left w:w="108" w:type="dxa"/>
              <w:bottom w:w="0" w:type="dxa"/>
              <w:right w:w="108" w:type="dxa"/>
            </w:tcMar>
          </w:tcPr>
          <w:p w:rsidRPr="00E3635C" w:rsidR="00E14493" w:rsidP="0041541C" w:rsidRDefault="00E14493" w14:paraId="1463F61F" w14:textId="77777777">
            <w:pPr>
              <w:jc w:val="center"/>
              <w:rPr>
                <w:bCs/>
                <w:sz w:val="20"/>
                <w:szCs w:val="20"/>
              </w:rPr>
            </w:pPr>
            <w:r w:rsidRPr="00E3635C">
              <w:rPr>
                <w:bCs/>
                <w:sz w:val="20"/>
                <w:szCs w:val="20"/>
              </w:rPr>
              <w:t>Varies</w:t>
            </w:r>
          </w:p>
        </w:tc>
        <w:tc>
          <w:tcPr>
            <w:tcW w:w="1387" w:type="dxa"/>
            <w:tcBorders>
              <w:top w:val="nil"/>
              <w:left w:val="nil"/>
              <w:bottom w:val="single" w:color="auto" w:sz="8" w:space="0"/>
              <w:right w:val="single" w:color="auto" w:sz="8" w:space="0"/>
            </w:tcBorders>
            <w:tcMar>
              <w:top w:w="0" w:type="dxa"/>
              <w:left w:w="108" w:type="dxa"/>
              <w:bottom w:w="0" w:type="dxa"/>
              <w:right w:w="108" w:type="dxa"/>
            </w:tcMar>
          </w:tcPr>
          <w:p w:rsidRPr="00E3635C" w:rsidR="00E14493" w:rsidP="0041541C" w:rsidRDefault="00E14493" w14:paraId="59E5B41D" w14:textId="77777777">
            <w:pPr>
              <w:jc w:val="center"/>
              <w:rPr>
                <w:bCs/>
                <w:sz w:val="20"/>
                <w:szCs w:val="20"/>
              </w:rPr>
            </w:pPr>
            <w:r w:rsidRPr="00596A96">
              <w:rPr>
                <w:bCs/>
                <w:sz w:val="20"/>
                <w:szCs w:val="20"/>
              </w:rPr>
              <w:t>140,284,742</w:t>
            </w:r>
          </w:p>
        </w:tc>
      </w:tr>
      <w:tr w:rsidRPr="00E3635C" w:rsidR="00E14493" w:rsidTr="0041541C" w14:paraId="5601153A" w14:textId="77777777">
        <w:trPr>
          <w:cantSplit/>
          <w:jc w:val="center"/>
        </w:trPr>
        <w:tc>
          <w:tcPr>
            <w:tcW w:w="204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3635C" w:rsidR="00E14493" w:rsidP="0041541C" w:rsidRDefault="00E14493" w14:paraId="777D1618" w14:textId="77777777">
            <w:pPr>
              <w:rPr>
                <w:bCs/>
                <w:sz w:val="20"/>
                <w:szCs w:val="20"/>
              </w:rPr>
            </w:pPr>
            <w:r w:rsidRPr="00E3635C">
              <w:rPr>
                <w:bCs/>
                <w:sz w:val="20"/>
                <w:szCs w:val="20"/>
              </w:rPr>
              <w:t>Table 34: 2022 MIPS Performance Period Burden Summary (CMS-1751-P)</w:t>
            </w:r>
          </w:p>
        </w:tc>
        <w:tc>
          <w:tcPr>
            <w:tcW w:w="1395" w:type="dxa"/>
            <w:tcBorders>
              <w:top w:val="nil"/>
              <w:left w:val="nil"/>
              <w:bottom w:val="single" w:color="auto" w:sz="8" w:space="0"/>
              <w:right w:val="single" w:color="auto" w:sz="8" w:space="0"/>
            </w:tcBorders>
            <w:tcMar>
              <w:top w:w="0" w:type="dxa"/>
              <w:left w:w="108" w:type="dxa"/>
              <w:bottom w:w="0" w:type="dxa"/>
              <w:right w:w="108" w:type="dxa"/>
            </w:tcMar>
            <w:hideMark/>
          </w:tcPr>
          <w:p w:rsidRPr="00E3635C" w:rsidR="00E14493" w:rsidP="0041541C" w:rsidRDefault="00E14493" w14:paraId="14C57E33" w14:textId="77777777">
            <w:pPr>
              <w:jc w:val="center"/>
              <w:rPr>
                <w:bCs/>
                <w:sz w:val="20"/>
                <w:szCs w:val="20"/>
              </w:rPr>
            </w:pPr>
            <w:r>
              <w:rPr>
                <w:bCs/>
                <w:sz w:val="20"/>
                <w:szCs w:val="20"/>
              </w:rPr>
              <w:t>-</w:t>
            </w:r>
            <w:r w:rsidRPr="00E3635C">
              <w:rPr>
                <w:bCs/>
                <w:sz w:val="20"/>
                <w:szCs w:val="20"/>
              </w:rPr>
              <w:t>119,890</w:t>
            </w:r>
          </w:p>
        </w:tc>
        <w:tc>
          <w:tcPr>
            <w:tcW w:w="1217" w:type="dxa"/>
            <w:tcBorders>
              <w:top w:val="nil"/>
              <w:left w:val="nil"/>
              <w:bottom w:val="single" w:color="auto" w:sz="8" w:space="0"/>
              <w:right w:val="single" w:color="auto" w:sz="8" w:space="0"/>
            </w:tcBorders>
            <w:tcMar>
              <w:top w:w="0" w:type="dxa"/>
              <w:left w:w="108" w:type="dxa"/>
              <w:bottom w:w="0" w:type="dxa"/>
              <w:right w:w="108" w:type="dxa"/>
            </w:tcMar>
            <w:hideMark/>
          </w:tcPr>
          <w:p w:rsidRPr="00E3635C" w:rsidR="00E14493" w:rsidP="0041541C" w:rsidRDefault="00E14493" w14:paraId="77871828" w14:textId="77777777">
            <w:pPr>
              <w:jc w:val="center"/>
              <w:rPr>
                <w:bCs/>
                <w:sz w:val="20"/>
                <w:szCs w:val="20"/>
              </w:rPr>
            </w:pPr>
            <w:r>
              <w:rPr>
                <w:bCs/>
                <w:sz w:val="20"/>
                <w:szCs w:val="20"/>
              </w:rPr>
              <w:t>-</w:t>
            </w:r>
            <w:r w:rsidRPr="00E3635C">
              <w:rPr>
                <w:bCs/>
                <w:sz w:val="20"/>
                <w:szCs w:val="20"/>
              </w:rPr>
              <w:t>310,120</w:t>
            </w:r>
          </w:p>
        </w:tc>
        <w:tc>
          <w:tcPr>
            <w:tcW w:w="1203" w:type="dxa"/>
            <w:tcBorders>
              <w:top w:val="nil"/>
              <w:left w:val="nil"/>
              <w:bottom w:val="single" w:color="auto" w:sz="8" w:space="0"/>
              <w:right w:val="single" w:color="auto" w:sz="8" w:space="0"/>
            </w:tcBorders>
            <w:tcMar>
              <w:top w:w="0" w:type="dxa"/>
              <w:left w:w="108" w:type="dxa"/>
              <w:bottom w:w="0" w:type="dxa"/>
              <w:right w:w="108" w:type="dxa"/>
            </w:tcMar>
            <w:hideMark/>
          </w:tcPr>
          <w:p w:rsidRPr="00E3635C" w:rsidR="00E14493" w:rsidP="0041541C" w:rsidRDefault="00E14493" w14:paraId="14B6A820" w14:textId="77777777">
            <w:pPr>
              <w:jc w:val="center"/>
              <w:rPr>
                <w:bCs/>
                <w:sz w:val="20"/>
                <w:szCs w:val="20"/>
              </w:rPr>
            </w:pPr>
            <w:r w:rsidRPr="00E3635C">
              <w:rPr>
                <w:bCs/>
                <w:sz w:val="20"/>
                <w:szCs w:val="20"/>
              </w:rPr>
              <w:t>Varies</w:t>
            </w:r>
          </w:p>
        </w:tc>
        <w:tc>
          <w:tcPr>
            <w:tcW w:w="1269" w:type="dxa"/>
            <w:tcBorders>
              <w:top w:val="nil"/>
              <w:left w:val="nil"/>
              <w:bottom w:val="single" w:color="auto" w:sz="8" w:space="0"/>
              <w:right w:val="single" w:color="auto" w:sz="8" w:space="0"/>
            </w:tcBorders>
            <w:tcMar>
              <w:top w:w="0" w:type="dxa"/>
              <w:left w:w="108" w:type="dxa"/>
              <w:bottom w:w="0" w:type="dxa"/>
              <w:right w:w="108" w:type="dxa"/>
            </w:tcMar>
            <w:hideMark/>
          </w:tcPr>
          <w:p w:rsidRPr="00E3635C" w:rsidR="00E14493" w:rsidP="0041541C" w:rsidRDefault="00E14493" w14:paraId="3E5C9530" w14:textId="77777777">
            <w:pPr>
              <w:jc w:val="center"/>
              <w:rPr>
                <w:bCs/>
                <w:sz w:val="20"/>
                <w:szCs w:val="20"/>
              </w:rPr>
            </w:pPr>
            <w:r>
              <w:rPr>
                <w:bCs/>
                <w:sz w:val="20"/>
                <w:szCs w:val="20"/>
              </w:rPr>
              <w:t>-</w:t>
            </w:r>
            <w:r w:rsidRPr="00E3635C">
              <w:rPr>
                <w:bCs/>
                <w:sz w:val="20"/>
                <w:szCs w:val="20"/>
              </w:rPr>
              <w:t>1,435,773</w:t>
            </w:r>
          </w:p>
        </w:tc>
        <w:tc>
          <w:tcPr>
            <w:tcW w:w="976" w:type="dxa"/>
            <w:tcBorders>
              <w:top w:val="nil"/>
              <w:left w:val="nil"/>
              <w:bottom w:val="single" w:color="auto" w:sz="8" w:space="0"/>
              <w:right w:val="single" w:color="auto" w:sz="8" w:space="0"/>
            </w:tcBorders>
            <w:tcMar>
              <w:top w:w="0" w:type="dxa"/>
              <w:left w:w="108" w:type="dxa"/>
              <w:bottom w:w="0" w:type="dxa"/>
              <w:right w:w="108" w:type="dxa"/>
            </w:tcMar>
            <w:hideMark/>
          </w:tcPr>
          <w:p w:rsidRPr="00E3635C" w:rsidR="00E14493" w:rsidP="0041541C" w:rsidRDefault="00E14493" w14:paraId="00D429CF" w14:textId="77777777">
            <w:pPr>
              <w:jc w:val="center"/>
              <w:rPr>
                <w:bCs/>
                <w:sz w:val="20"/>
                <w:szCs w:val="20"/>
              </w:rPr>
            </w:pPr>
            <w:r w:rsidRPr="00E3635C">
              <w:rPr>
                <w:bCs/>
                <w:sz w:val="20"/>
                <w:szCs w:val="20"/>
              </w:rPr>
              <w:t>Varies</w:t>
            </w:r>
          </w:p>
        </w:tc>
        <w:tc>
          <w:tcPr>
            <w:tcW w:w="1387" w:type="dxa"/>
            <w:tcBorders>
              <w:top w:val="nil"/>
              <w:left w:val="nil"/>
              <w:bottom w:val="single" w:color="auto" w:sz="8" w:space="0"/>
              <w:right w:val="single" w:color="auto" w:sz="8" w:space="0"/>
            </w:tcBorders>
            <w:tcMar>
              <w:top w:w="0" w:type="dxa"/>
              <w:left w:w="108" w:type="dxa"/>
              <w:bottom w:w="0" w:type="dxa"/>
              <w:right w:w="108" w:type="dxa"/>
            </w:tcMar>
            <w:hideMark/>
          </w:tcPr>
          <w:p w:rsidRPr="00E3635C" w:rsidR="00E14493" w:rsidP="0041541C" w:rsidRDefault="00E14493" w14:paraId="665495BB" w14:textId="77777777">
            <w:pPr>
              <w:jc w:val="center"/>
              <w:rPr>
                <w:bCs/>
                <w:sz w:val="20"/>
                <w:szCs w:val="20"/>
              </w:rPr>
            </w:pPr>
            <w:r>
              <w:rPr>
                <w:bCs/>
                <w:sz w:val="20"/>
                <w:szCs w:val="20"/>
              </w:rPr>
              <w:t>-</w:t>
            </w:r>
            <w:r w:rsidRPr="00E3635C">
              <w:rPr>
                <w:bCs/>
                <w:sz w:val="20"/>
                <w:szCs w:val="20"/>
              </w:rPr>
              <w:t>144,800,</w:t>
            </w:r>
            <w:r>
              <w:rPr>
                <w:bCs/>
                <w:sz w:val="20"/>
                <w:szCs w:val="20"/>
              </w:rPr>
              <w:t>324</w:t>
            </w:r>
          </w:p>
        </w:tc>
      </w:tr>
      <w:tr w:rsidRPr="00E3635C" w:rsidR="00E14493" w:rsidTr="0041541C" w14:paraId="667AFF45" w14:textId="77777777">
        <w:trPr>
          <w:cantSplit/>
          <w:jc w:val="center"/>
        </w:trPr>
        <w:tc>
          <w:tcPr>
            <w:tcW w:w="2048" w:type="dxa"/>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hideMark/>
          </w:tcPr>
          <w:p w:rsidRPr="00E3635C" w:rsidR="00E14493" w:rsidP="0041541C" w:rsidRDefault="00E14493" w14:paraId="029845C3" w14:textId="77777777">
            <w:pPr>
              <w:rPr>
                <w:bCs/>
                <w:sz w:val="20"/>
                <w:szCs w:val="20"/>
              </w:rPr>
            </w:pPr>
            <w:r w:rsidRPr="00E3635C">
              <w:rPr>
                <w:bCs/>
                <w:sz w:val="20"/>
                <w:szCs w:val="20"/>
              </w:rPr>
              <w:t>DIFFERENCE</w:t>
            </w:r>
          </w:p>
        </w:tc>
        <w:tc>
          <w:tcPr>
            <w:tcW w:w="1395"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E3635C" w:rsidR="00E14493" w:rsidP="0041541C" w:rsidRDefault="00E14493" w14:paraId="26B90EB3" w14:textId="77777777">
            <w:pPr>
              <w:jc w:val="center"/>
              <w:rPr>
                <w:bCs/>
                <w:sz w:val="20"/>
                <w:szCs w:val="20"/>
              </w:rPr>
            </w:pPr>
            <w:r>
              <w:rPr>
                <w:bCs/>
                <w:sz w:val="20"/>
                <w:szCs w:val="20"/>
              </w:rPr>
              <w:t>33</w:t>
            </w:r>
          </w:p>
        </w:tc>
        <w:tc>
          <w:tcPr>
            <w:tcW w:w="1217"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E3635C" w:rsidR="00E14493" w:rsidP="0041541C" w:rsidRDefault="00E14493" w14:paraId="2475C019" w14:textId="77777777">
            <w:pPr>
              <w:jc w:val="center"/>
              <w:rPr>
                <w:bCs/>
                <w:sz w:val="20"/>
                <w:szCs w:val="20"/>
              </w:rPr>
            </w:pPr>
            <w:r>
              <w:rPr>
                <w:bCs/>
                <w:sz w:val="20"/>
                <w:szCs w:val="20"/>
              </w:rPr>
              <w:t>12,919</w:t>
            </w:r>
          </w:p>
        </w:tc>
        <w:tc>
          <w:tcPr>
            <w:tcW w:w="1203"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E3635C" w:rsidR="00E14493" w:rsidP="0041541C" w:rsidRDefault="00E14493" w14:paraId="54574C1B" w14:textId="77777777">
            <w:pPr>
              <w:jc w:val="center"/>
              <w:rPr>
                <w:bCs/>
                <w:sz w:val="20"/>
                <w:szCs w:val="20"/>
              </w:rPr>
            </w:pPr>
            <w:r w:rsidRPr="00E3635C">
              <w:rPr>
                <w:bCs/>
                <w:sz w:val="20"/>
                <w:szCs w:val="20"/>
              </w:rPr>
              <w:t>Varies</w:t>
            </w:r>
          </w:p>
        </w:tc>
        <w:tc>
          <w:tcPr>
            <w:tcW w:w="1269"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E3635C" w:rsidR="00E14493" w:rsidP="0041541C" w:rsidRDefault="00E14493" w14:paraId="340F9D86" w14:textId="77777777">
            <w:pPr>
              <w:jc w:val="center"/>
              <w:rPr>
                <w:bCs/>
                <w:sz w:val="20"/>
                <w:szCs w:val="20"/>
              </w:rPr>
            </w:pPr>
            <w:r>
              <w:rPr>
                <w:bCs/>
                <w:sz w:val="20"/>
                <w:szCs w:val="20"/>
              </w:rPr>
              <w:t>-45,369</w:t>
            </w:r>
          </w:p>
        </w:tc>
        <w:tc>
          <w:tcPr>
            <w:tcW w:w="976"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E3635C" w:rsidR="00E14493" w:rsidP="0041541C" w:rsidRDefault="00E14493" w14:paraId="561ADEDE" w14:textId="77777777">
            <w:pPr>
              <w:jc w:val="center"/>
              <w:rPr>
                <w:bCs/>
                <w:sz w:val="20"/>
                <w:szCs w:val="20"/>
              </w:rPr>
            </w:pPr>
            <w:r w:rsidRPr="00E3635C">
              <w:rPr>
                <w:bCs/>
                <w:sz w:val="20"/>
                <w:szCs w:val="20"/>
              </w:rPr>
              <w:t xml:space="preserve">Varies </w:t>
            </w:r>
          </w:p>
        </w:tc>
        <w:tc>
          <w:tcPr>
            <w:tcW w:w="1387"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E3635C" w:rsidR="00E14493" w:rsidP="0041541C" w:rsidRDefault="00E14493" w14:paraId="5FE4C589" w14:textId="77777777">
            <w:pPr>
              <w:jc w:val="center"/>
              <w:rPr>
                <w:bCs/>
                <w:sz w:val="20"/>
                <w:szCs w:val="20"/>
              </w:rPr>
            </w:pPr>
            <w:r>
              <w:rPr>
                <w:bCs/>
                <w:sz w:val="20"/>
                <w:szCs w:val="20"/>
              </w:rPr>
              <w:t>-4,515,482</w:t>
            </w:r>
          </w:p>
        </w:tc>
      </w:tr>
    </w:tbl>
    <w:p w:rsidR="00E14493" w:rsidP="00E14493" w:rsidRDefault="00E14493" w14:paraId="179FE67E" w14:textId="77777777">
      <w:pPr>
        <w:rPr>
          <w:rFonts w:eastAsia="Calibri"/>
        </w:rPr>
      </w:pPr>
    </w:p>
    <w:p w:rsidR="00E14493" w:rsidP="00E14493" w:rsidRDefault="00E14493" w14:paraId="6C5A1CE1" w14:textId="2BEAB8E5">
      <w:pPr>
        <w:rPr>
          <w:rFonts w:eastAsia="Calibri"/>
        </w:rPr>
      </w:pPr>
      <w:r w:rsidRPr="00B476ED">
        <w:rPr>
          <w:rFonts w:eastAsia="Calibri"/>
        </w:rPr>
        <w:t>In our burden calculations for the CY 2023 MIPS performance period</w:t>
      </w:r>
      <w:r w:rsidR="000F0C2E">
        <w:rPr>
          <w:rFonts w:eastAsia="Calibri"/>
        </w:rPr>
        <w:t>/2025 MIPS payment year</w:t>
      </w:r>
      <w:r w:rsidRPr="00B476ED">
        <w:rPr>
          <w:rFonts w:eastAsia="Calibri"/>
        </w:rPr>
        <w:t>, we have included the following estimates due to the proposed policies in the CY 2022 PFS proposed rule: 1) to sunset the CMS Web Interface beginning in the CY 2023 MIPS performance period/2025 MIPS payment year, 2) to implement voluntary MVP and subgroup reporting option beginning with the CY 2023 MIPS performance period, 3) the changes in the number of respondents submitting quality data via the MIPS CQM and QCDR collection type, eCQM and claims collection types due to the proposed MVP and subgroup participation options, and 4) the changes in the number of respondents submitting data for the Promoting Interoperability and the improvement activities performance categories due to the proposed MVP and subgroup participation options.</w:t>
      </w:r>
    </w:p>
    <w:p w:rsidR="00E14493" w:rsidP="00E14493" w:rsidRDefault="00E14493" w14:paraId="5812CAEA" w14:textId="27D82A98">
      <w:pPr>
        <w:rPr>
          <w:rFonts w:eastAsia="Calibri"/>
        </w:rPr>
      </w:pPr>
      <w:r>
        <w:rPr>
          <w:rFonts w:eastAsia="Calibri"/>
        </w:rPr>
        <w:lastRenderedPageBreak/>
        <w:t>Table 41 represents the change in burden for the CY 2023 MIPS performance period</w:t>
      </w:r>
      <w:r w:rsidR="00710DBB">
        <w:rPr>
          <w:rFonts w:eastAsia="Calibri"/>
        </w:rPr>
        <w:t>/2025 MIPS payment year</w:t>
      </w:r>
      <w:r>
        <w:rPr>
          <w:rFonts w:eastAsia="Calibri"/>
        </w:rPr>
        <w:t xml:space="preserve">. </w:t>
      </w:r>
      <w:r w:rsidRPr="00B324ED">
        <w:rPr>
          <w:rFonts w:eastAsia="Calibri"/>
        </w:rPr>
        <w:t xml:space="preserve">As stated above in this section, there is no </w:t>
      </w:r>
      <w:r>
        <w:rPr>
          <w:rFonts w:eastAsia="Calibri"/>
        </w:rPr>
        <w:t xml:space="preserve">currently </w:t>
      </w:r>
      <w:r w:rsidRPr="00B324ED">
        <w:rPr>
          <w:rFonts w:eastAsia="Calibri"/>
        </w:rPr>
        <w:t>approved burden in the existing package for the CY 2023 MIPS performance period</w:t>
      </w:r>
      <w:r w:rsidR="00C50A98">
        <w:rPr>
          <w:rFonts w:eastAsia="Calibri"/>
        </w:rPr>
        <w:t>/2025 MIPS payment year</w:t>
      </w:r>
      <w:r w:rsidRPr="00B324ED">
        <w:rPr>
          <w:rFonts w:eastAsia="Calibri"/>
        </w:rPr>
        <w:t xml:space="preserve">. </w:t>
      </w:r>
      <w:r>
        <w:rPr>
          <w:rFonts w:eastAsia="Calibri"/>
        </w:rPr>
        <w:t>To accurately capture the change in burden for the policies and information collections set forth in the CY 2022 PFS proposed rule for the CY 2023 MIPS performance period, the proposed estimated burden will be submitted to</w:t>
      </w:r>
      <w:r w:rsidRPr="00B324ED">
        <w:rPr>
          <w:rFonts w:eastAsia="Calibri"/>
        </w:rPr>
        <w:t xml:space="preserve"> OMB </w:t>
      </w:r>
      <w:r>
        <w:rPr>
          <w:rFonts w:eastAsia="Calibri"/>
        </w:rPr>
        <w:t xml:space="preserve">for </w:t>
      </w:r>
      <w:r w:rsidRPr="00B324ED">
        <w:rPr>
          <w:rFonts w:eastAsia="Calibri"/>
        </w:rPr>
        <w:t xml:space="preserve">approval </w:t>
      </w:r>
      <w:r>
        <w:rPr>
          <w:rFonts w:eastAsia="Calibri"/>
        </w:rPr>
        <w:t xml:space="preserve">as a </w:t>
      </w:r>
      <w:r w:rsidRPr="00B324ED">
        <w:rPr>
          <w:rFonts w:eastAsia="Calibri"/>
        </w:rPr>
        <w:t>new</w:t>
      </w:r>
      <w:r>
        <w:rPr>
          <w:rFonts w:eastAsia="Calibri"/>
        </w:rPr>
        <w:t xml:space="preserve"> request</w:t>
      </w:r>
      <w:r w:rsidRPr="00B324ED">
        <w:rPr>
          <w:rFonts w:eastAsia="Calibri"/>
        </w:rPr>
        <w:t>.</w:t>
      </w:r>
    </w:p>
    <w:p w:rsidR="00E14493" w:rsidP="00E14493" w:rsidRDefault="00E14493" w14:paraId="63FF517E" w14:textId="77777777">
      <w:pPr>
        <w:keepNext/>
        <w:keepLines/>
        <w:rPr>
          <w:rFonts w:eastAsia="Calibri"/>
          <w:b/>
        </w:rPr>
      </w:pPr>
    </w:p>
    <w:p w:rsidRPr="00B90263" w:rsidR="00E14493" w:rsidP="00E14493" w:rsidRDefault="00E14493" w14:paraId="54E62A7C" w14:textId="77777777">
      <w:pPr>
        <w:keepNext/>
        <w:keepLines/>
        <w:jc w:val="center"/>
        <w:rPr>
          <w:b/>
          <w:bCs/>
        </w:rPr>
      </w:pPr>
      <w:r w:rsidRPr="00B90263">
        <w:rPr>
          <w:rFonts w:eastAsia="Calibri"/>
          <w:b/>
        </w:rPr>
        <w:t>T</w:t>
      </w:r>
      <w:r>
        <w:rPr>
          <w:rFonts w:eastAsia="Calibri"/>
          <w:b/>
        </w:rPr>
        <w:t>ABLE</w:t>
      </w:r>
      <w:r w:rsidRPr="00B90263">
        <w:rPr>
          <w:rFonts w:eastAsia="Calibri"/>
          <w:b/>
        </w:rPr>
        <w:t xml:space="preserve"> </w:t>
      </w:r>
      <w:r>
        <w:rPr>
          <w:b/>
          <w:bCs/>
        </w:rPr>
        <w:t>41: Change in Burden for CY 2023 MIPS Performance Period/</w:t>
      </w:r>
      <w:r>
        <w:rPr>
          <w:b/>
          <w:bCs/>
        </w:rPr>
        <w:br/>
        <w:t>2025 MIPS Payment Year</w:t>
      </w:r>
    </w:p>
    <w:tbl>
      <w:tblPr>
        <w:tblStyle w:val="TableGrid"/>
        <w:tblW w:w="9805" w:type="dxa"/>
        <w:tblLook w:val="04A0" w:firstRow="1" w:lastRow="0" w:firstColumn="1" w:lastColumn="0" w:noHBand="0" w:noVBand="1"/>
      </w:tblPr>
      <w:tblGrid>
        <w:gridCol w:w="1517"/>
        <w:gridCol w:w="2276"/>
        <w:gridCol w:w="1329"/>
        <w:gridCol w:w="1363"/>
        <w:gridCol w:w="1420"/>
        <w:gridCol w:w="1900"/>
      </w:tblGrid>
      <w:tr w:rsidR="00E14493" w:rsidTr="0041541C" w14:paraId="74935938" w14:textId="77777777">
        <w:tc>
          <w:tcPr>
            <w:tcW w:w="1525" w:type="dxa"/>
          </w:tcPr>
          <w:p w:rsidRPr="00B90263" w:rsidR="00E14493" w:rsidP="0041541C" w:rsidRDefault="00E14493" w14:paraId="1CF8BD7A" w14:textId="77777777">
            <w:pPr>
              <w:keepNext/>
              <w:keepLines/>
              <w:rPr>
                <w:b/>
                <w:bCs/>
                <w:sz w:val="20"/>
                <w:szCs w:val="20"/>
              </w:rPr>
            </w:pPr>
            <w:r w:rsidRPr="00B90263">
              <w:rPr>
                <w:b/>
                <w:bCs/>
                <w:sz w:val="20"/>
                <w:szCs w:val="20"/>
              </w:rPr>
              <w:t>Burden Type</w:t>
            </w:r>
          </w:p>
        </w:tc>
        <w:tc>
          <w:tcPr>
            <w:tcW w:w="2295" w:type="dxa"/>
          </w:tcPr>
          <w:p w:rsidRPr="00B90263" w:rsidR="00E14493" w:rsidP="0041541C" w:rsidRDefault="00E14493" w14:paraId="0D89B06A" w14:textId="77777777">
            <w:pPr>
              <w:keepNext/>
              <w:keepLines/>
              <w:rPr>
                <w:b/>
                <w:bCs/>
                <w:sz w:val="20"/>
                <w:szCs w:val="20"/>
              </w:rPr>
            </w:pPr>
            <w:r w:rsidRPr="00B90263">
              <w:rPr>
                <w:b/>
                <w:bCs/>
                <w:sz w:val="20"/>
                <w:szCs w:val="20"/>
              </w:rPr>
              <w:t>Total Requested</w:t>
            </w:r>
            <w:r>
              <w:rPr>
                <w:b/>
                <w:bCs/>
                <w:sz w:val="20"/>
                <w:szCs w:val="20"/>
              </w:rPr>
              <w:t xml:space="preserve"> (A)</w:t>
            </w:r>
          </w:p>
        </w:tc>
        <w:tc>
          <w:tcPr>
            <w:tcW w:w="1278" w:type="dxa"/>
          </w:tcPr>
          <w:p w:rsidRPr="00B90263" w:rsidR="00E14493" w:rsidP="0041541C" w:rsidRDefault="00E14493" w14:paraId="764183BC" w14:textId="77777777">
            <w:pPr>
              <w:keepNext/>
              <w:keepLines/>
              <w:rPr>
                <w:b/>
                <w:bCs/>
                <w:sz w:val="20"/>
                <w:szCs w:val="20"/>
              </w:rPr>
            </w:pPr>
            <w:r>
              <w:rPr>
                <w:b/>
                <w:bCs/>
                <w:sz w:val="20"/>
                <w:szCs w:val="20"/>
              </w:rPr>
              <w:t>Change Due to New Statute (B)</w:t>
            </w:r>
          </w:p>
        </w:tc>
        <w:tc>
          <w:tcPr>
            <w:tcW w:w="1368" w:type="dxa"/>
          </w:tcPr>
          <w:p w:rsidRPr="00B90263" w:rsidR="00E14493" w:rsidP="0041541C" w:rsidRDefault="00E14493" w14:paraId="4A67AA19" w14:textId="77777777">
            <w:pPr>
              <w:keepNext/>
              <w:keepLines/>
              <w:rPr>
                <w:b/>
                <w:bCs/>
                <w:sz w:val="20"/>
                <w:szCs w:val="20"/>
              </w:rPr>
            </w:pPr>
            <w:r>
              <w:rPr>
                <w:b/>
                <w:bCs/>
                <w:sz w:val="20"/>
                <w:szCs w:val="20"/>
              </w:rPr>
              <w:t>Change Due to Program Discretion (C)</w:t>
            </w:r>
          </w:p>
        </w:tc>
        <w:tc>
          <w:tcPr>
            <w:tcW w:w="1424" w:type="dxa"/>
          </w:tcPr>
          <w:p w:rsidRPr="00B90263" w:rsidR="00E14493" w:rsidP="0041541C" w:rsidRDefault="00E14493" w14:paraId="05F56304" w14:textId="77777777">
            <w:pPr>
              <w:keepNext/>
              <w:keepLines/>
              <w:rPr>
                <w:b/>
                <w:bCs/>
                <w:sz w:val="20"/>
                <w:szCs w:val="20"/>
              </w:rPr>
            </w:pPr>
            <w:r>
              <w:rPr>
                <w:b/>
                <w:bCs/>
                <w:sz w:val="20"/>
                <w:szCs w:val="20"/>
              </w:rPr>
              <w:t>Change Due to Program Adjustment (D)</w:t>
            </w:r>
          </w:p>
        </w:tc>
        <w:tc>
          <w:tcPr>
            <w:tcW w:w="1915" w:type="dxa"/>
          </w:tcPr>
          <w:p w:rsidR="00E14493" w:rsidP="0041541C" w:rsidRDefault="00E14493" w14:paraId="31E45371" w14:textId="77777777">
            <w:pPr>
              <w:keepNext/>
              <w:keepLines/>
              <w:rPr>
                <w:b/>
                <w:bCs/>
                <w:sz w:val="20"/>
                <w:szCs w:val="20"/>
              </w:rPr>
            </w:pPr>
            <w:r>
              <w:rPr>
                <w:b/>
                <w:bCs/>
                <w:sz w:val="20"/>
                <w:szCs w:val="20"/>
              </w:rPr>
              <w:t xml:space="preserve">Total Currently Approved </w:t>
            </w:r>
          </w:p>
          <w:p w:rsidR="00E14493" w:rsidP="0041541C" w:rsidRDefault="00E14493" w14:paraId="1F61D85D" w14:textId="77777777">
            <w:pPr>
              <w:keepNext/>
              <w:keepLines/>
              <w:rPr>
                <w:b/>
                <w:bCs/>
                <w:sz w:val="20"/>
                <w:szCs w:val="20"/>
              </w:rPr>
            </w:pPr>
            <w:r>
              <w:rPr>
                <w:b/>
                <w:bCs/>
                <w:sz w:val="20"/>
                <w:szCs w:val="20"/>
              </w:rPr>
              <w:t>(E)</w:t>
            </w:r>
          </w:p>
          <w:p w:rsidRPr="00B90263" w:rsidR="00E14493" w:rsidP="0041541C" w:rsidRDefault="00E14493" w14:paraId="07B6381D" w14:textId="77777777">
            <w:pPr>
              <w:keepNext/>
              <w:keepLines/>
              <w:rPr>
                <w:b/>
                <w:bCs/>
                <w:sz w:val="20"/>
                <w:szCs w:val="20"/>
              </w:rPr>
            </w:pPr>
          </w:p>
        </w:tc>
      </w:tr>
      <w:tr w:rsidRPr="009858D0" w:rsidR="00E14493" w:rsidTr="0041541C" w14:paraId="28A5F96E" w14:textId="77777777">
        <w:tc>
          <w:tcPr>
            <w:tcW w:w="1525" w:type="dxa"/>
          </w:tcPr>
          <w:p w:rsidRPr="009858D0" w:rsidR="00E14493" w:rsidP="0041541C" w:rsidRDefault="00E14493" w14:paraId="53D2AB62" w14:textId="77777777">
            <w:pPr>
              <w:keepNext/>
              <w:keepLines/>
              <w:rPr>
                <w:sz w:val="20"/>
                <w:szCs w:val="20"/>
              </w:rPr>
            </w:pPr>
            <w:r w:rsidRPr="009858D0">
              <w:rPr>
                <w:sz w:val="20"/>
                <w:szCs w:val="20"/>
              </w:rPr>
              <w:t>Total Responses</w:t>
            </w:r>
          </w:p>
        </w:tc>
        <w:tc>
          <w:tcPr>
            <w:tcW w:w="2295" w:type="dxa"/>
          </w:tcPr>
          <w:p w:rsidRPr="009858D0" w:rsidR="00E14493" w:rsidP="0041541C" w:rsidRDefault="00E14493" w14:paraId="5405BA1F" w14:textId="77777777">
            <w:pPr>
              <w:keepNext/>
              <w:keepLines/>
              <w:rPr>
                <w:sz w:val="20"/>
                <w:szCs w:val="20"/>
              </w:rPr>
            </w:pPr>
            <w:r>
              <w:rPr>
                <w:sz w:val="20"/>
                <w:szCs w:val="20"/>
              </w:rPr>
              <w:t>323,039</w:t>
            </w:r>
          </w:p>
        </w:tc>
        <w:tc>
          <w:tcPr>
            <w:tcW w:w="1278" w:type="dxa"/>
          </w:tcPr>
          <w:p w:rsidRPr="009858D0" w:rsidR="00E14493" w:rsidP="0041541C" w:rsidRDefault="00E14493" w14:paraId="7AC22A33" w14:textId="77777777">
            <w:pPr>
              <w:keepNext/>
              <w:keepLines/>
              <w:rPr>
                <w:sz w:val="20"/>
                <w:szCs w:val="20"/>
              </w:rPr>
            </w:pPr>
            <w:r>
              <w:rPr>
                <w:sz w:val="20"/>
                <w:szCs w:val="20"/>
              </w:rPr>
              <w:t>+323,039</w:t>
            </w:r>
          </w:p>
        </w:tc>
        <w:tc>
          <w:tcPr>
            <w:tcW w:w="1368" w:type="dxa"/>
          </w:tcPr>
          <w:p w:rsidRPr="009858D0" w:rsidR="00E14493" w:rsidP="0041541C" w:rsidRDefault="00E14493" w14:paraId="05D9D8CC" w14:textId="77777777">
            <w:pPr>
              <w:keepNext/>
              <w:keepLines/>
              <w:rPr>
                <w:sz w:val="20"/>
                <w:szCs w:val="20"/>
              </w:rPr>
            </w:pPr>
            <w:r>
              <w:rPr>
                <w:sz w:val="20"/>
                <w:szCs w:val="20"/>
              </w:rPr>
              <w:t xml:space="preserve">    N/A</w:t>
            </w:r>
          </w:p>
        </w:tc>
        <w:tc>
          <w:tcPr>
            <w:tcW w:w="1424" w:type="dxa"/>
          </w:tcPr>
          <w:p w:rsidRPr="009858D0" w:rsidR="00E14493" w:rsidP="0041541C" w:rsidRDefault="00E14493" w14:paraId="115EBDBD" w14:textId="77777777">
            <w:pPr>
              <w:keepNext/>
              <w:keepLines/>
              <w:rPr>
                <w:sz w:val="20"/>
                <w:szCs w:val="20"/>
              </w:rPr>
            </w:pPr>
            <w:r>
              <w:rPr>
                <w:sz w:val="20"/>
                <w:szCs w:val="20"/>
              </w:rPr>
              <w:t>N/A</w:t>
            </w:r>
          </w:p>
        </w:tc>
        <w:tc>
          <w:tcPr>
            <w:tcW w:w="1915" w:type="dxa"/>
          </w:tcPr>
          <w:p w:rsidRPr="009858D0" w:rsidR="00E14493" w:rsidP="0041541C" w:rsidRDefault="00E14493" w14:paraId="7AA1B4E7" w14:textId="77777777">
            <w:pPr>
              <w:keepNext/>
              <w:keepLines/>
              <w:rPr>
                <w:sz w:val="20"/>
                <w:szCs w:val="20"/>
              </w:rPr>
            </w:pPr>
            <w:r>
              <w:rPr>
                <w:sz w:val="20"/>
                <w:szCs w:val="20"/>
              </w:rPr>
              <w:t>N/A</w:t>
            </w:r>
          </w:p>
        </w:tc>
      </w:tr>
      <w:tr w:rsidR="00E14493" w:rsidTr="0041541C" w14:paraId="51B6F694" w14:textId="77777777">
        <w:tc>
          <w:tcPr>
            <w:tcW w:w="1525" w:type="dxa"/>
          </w:tcPr>
          <w:p w:rsidRPr="009858D0" w:rsidR="00E14493" w:rsidP="0041541C" w:rsidRDefault="00E14493" w14:paraId="025EC004" w14:textId="77777777">
            <w:pPr>
              <w:keepNext/>
              <w:keepLines/>
              <w:rPr>
                <w:sz w:val="20"/>
                <w:szCs w:val="20"/>
              </w:rPr>
            </w:pPr>
            <w:r w:rsidRPr="009858D0">
              <w:rPr>
                <w:sz w:val="20"/>
                <w:szCs w:val="20"/>
              </w:rPr>
              <w:t>Total Time (hr)</w:t>
            </w:r>
          </w:p>
        </w:tc>
        <w:tc>
          <w:tcPr>
            <w:tcW w:w="2295" w:type="dxa"/>
          </w:tcPr>
          <w:p w:rsidRPr="009858D0" w:rsidR="00E14493" w:rsidP="0041541C" w:rsidRDefault="00E14493" w14:paraId="07F8FEC5" w14:textId="77777777">
            <w:pPr>
              <w:keepNext/>
              <w:keepLines/>
              <w:rPr>
                <w:sz w:val="20"/>
                <w:szCs w:val="20"/>
              </w:rPr>
            </w:pPr>
            <w:r>
              <w:rPr>
                <w:sz w:val="20"/>
                <w:szCs w:val="20"/>
              </w:rPr>
              <w:t>1,390,404</w:t>
            </w:r>
          </w:p>
        </w:tc>
        <w:tc>
          <w:tcPr>
            <w:tcW w:w="1278" w:type="dxa"/>
          </w:tcPr>
          <w:p w:rsidRPr="009858D0" w:rsidR="00E14493" w:rsidP="0041541C" w:rsidRDefault="00E14493" w14:paraId="76529093" w14:textId="77777777">
            <w:pPr>
              <w:keepNext/>
              <w:keepLines/>
              <w:rPr>
                <w:sz w:val="20"/>
                <w:szCs w:val="20"/>
              </w:rPr>
            </w:pPr>
            <w:r>
              <w:rPr>
                <w:sz w:val="20"/>
                <w:szCs w:val="20"/>
              </w:rPr>
              <w:t>+1,390,404</w:t>
            </w:r>
          </w:p>
        </w:tc>
        <w:tc>
          <w:tcPr>
            <w:tcW w:w="1368" w:type="dxa"/>
          </w:tcPr>
          <w:p w:rsidRPr="009858D0" w:rsidR="00E14493" w:rsidP="0041541C" w:rsidRDefault="00E14493" w14:paraId="58815366" w14:textId="77777777">
            <w:pPr>
              <w:keepNext/>
              <w:keepLines/>
              <w:rPr>
                <w:sz w:val="20"/>
                <w:szCs w:val="20"/>
              </w:rPr>
            </w:pPr>
            <w:r>
              <w:rPr>
                <w:sz w:val="20"/>
                <w:szCs w:val="20"/>
              </w:rPr>
              <w:t xml:space="preserve">   N/A</w:t>
            </w:r>
          </w:p>
        </w:tc>
        <w:tc>
          <w:tcPr>
            <w:tcW w:w="1424" w:type="dxa"/>
          </w:tcPr>
          <w:p w:rsidRPr="009858D0" w:rsidR="00E14493" w:rsidP="0041541C" w:rsidRDefault="00E14493" w14:paraId="74695248" w14:textId="77777777">
            <w:pPr>
              <w:keepNext/>
              <w:keepLines/>
              <w:rPr>
                <w:sz w:val="20"/>
                <w:szCs w:val="20"/>
              </w:rPr>
            </w:pPr>
            <w:r>
              <w:rPr>
                <w:sz w:val="20"/>
                <w:szCs w:val="20"/>
              </w:rPr>
              <w:t>N/A</w:t>
            </w:r>
          </w:p>
        </w:tc>
        <w:tc>
          <w:tcPr>
            <w:tcW w:w="1915" w:type="dxa"/>
          </w:tcPr>
          <w:p w:rsidRPr="00B90263" w:rsidR="00E14493" w:rsidP="0041541C" w:rsidRDefault="00E14493" w14:paraId="07869962" w14:textId="77777777">
            <w:pPr>
              <w:keepNext/>
              <w:keepLines/>
              <w:rPr>
                <w:sz w:val="20"/>
                <w:szCs w:val="20"/>
              </w:rPr>
            </w:pPr>
            <w:r>
              <w:rPr>
                <w:sz w:val="20"/>
                <w:szCs w:val="20"/>
              </w:rPr>
              <w:t>N/A</w:t>
            </w:r>
          </w:p>
        </w:tc>
      </w:tr>
      <w:tr w:rsidR="00E14493" w:rsidTr="0041541C" w14:paraId="6F345827" w14:textId="77777777">
        <w:tc>
          <w:tcPr>
            <w:tcW w:w="1525" w:type="dxa"/>
          </w:tcPr>
          <w:p w:rsidRPr="00B90263" w:rsidR="00E14493" w:rsidP="0041541C" w:rsidRDefault="00E14493" w14:paraId="731E6B85" w14:textId="77777777">
            <w:pPr>
              <w:keepNext/>
              <w:keepLines/>
              <w:rPr>
                <w:sz w:val="20"/>
                <w:szCs w:val="20"/>
              </w:rPr>
            </w:pPr>
            <w:r w:rsidRPr="00B90263">
              <w:rPr>
                <w:sz w:val="20"/>
                <w:szCs w:val="20"/>
              </w:rPr>
              <w:t>Total Cost ($)</w:t>
            </w:r>
          </w:p>
        </w:tc>
        <w:tc>
          <w:tcPr>
            <w:tcW w:w="2295" w:type="dxa"/>
          </w:tcPr>
          <w:p w:rsidRPr="00B90263" w:rsidR="00E14493" w:rsidP="0041541C" w:rsidRDefault="00E14493" w14:paraId="710FD2C3" w14:textId="77777777">
            <w:pPr>
              <w:keepNext/>
              <w:keepLines/>
              <w:rPr>
                <w:sz w:val="20"/>
                <w:szCs w:val="20"/>
              </w:rPr>
            </w:pPr>
            <w:r>
              <w:rPr>
                <w:sz w:val="20"/>
                <w:szCs w:val="20"/>
              </w:rPr>
              <w:t>140,284,742</w:t>
            </w:r>
          </w:p>
        </w:tc>
        <w:tc>
          <w:tcPr>
            <w:tcW w:w="1278" w:type="dxa"/>
          </w:tcPr>
          <w:p w:rsidRPr="00B90263" w:rsidR="00E14493" w:rsidP="0041541C" w:rsidRDefault="00E14493" w14:paraId="07157004" w14:textId="77777777">
            <w:pPr>
              <w:keepNext/>
              <w:keepLines/>
              <w:rPr>
                <w:sz w:val="20"/>
                <w:szCs w:val="20"/>
              </w:rPr>
            </w:pPr>
            <w:r>
              <w:rPr>
                <w:sz w:val="20"/>
                <w:szCs w:val="20"/>
              </w:rPr>
              <w:t>+140,284,742</w:t>
            </w:r>
          </w:p>
        </w:tc>
        <w:tc>
          <w:tcPr>
            <w:tcW w:w="1368" w:type="dxa"/>
          </w:tcPr>
          <w:p w:rsidRPr="00B90263" w:rsidR="00E14493" w:rsidP="0041541C" w:rsidRDefault="00E14493" w14:paraId="5C76EF97" w14:textId="77777777">
            <w:pPr>
              <w:keepNext/>
              <w:keepLines/>
              <w:rPr>
                <w:sz w:val="20"/>
                <w:szCs w:val="20"/>
              </w:rPr>
            </w:pPr>
            <w:r>
              <w:rPr>
                <w:sz w:val="20"/>
                <w:szCs w:val="20"/>
              </w:rPr>
              <w:t xml:space="preserve">     N/A</w:t>
            </w:r>
          </w:p>
        </w:tc>
        <w:tc>
          <w:tcPr>
            <w:tcW w:w="1424" w:type="dxa"/>
          </w:tcPr>
          <w:p w:rsidRPr="00B90263" w:rsidR="00E14493" w:rsidP="0041541C" w:rsidRDefault="00E14493" w14:paraId="59D25F27" w14:textId="77777777">
            <w:pPr>
              <w:keepNext/>
              <w:keepLines/>
              <w:rPr>
                <w:sz w:val="20"/>
                <w:szCs w:val="20"/>
              </w:rPr>
            </w:pPr>
            <w:r>
              <w:rPr>
                <w:sz w:val="20"/>
                <w:szCs w:val="20"/>
              </w:rPr>
              <w:t>N/A</w:t>
            </w:r>
          </w:p>
        </w:tc>
        <w:tc>
          <w:tcPr>
            <w:tcW w:w="1915" w:type="dxa"/>
          </w:tcPr>
          <w:p w:rsidRPr="00B90263" w:rsidR="00E14493" w:rsidP="0041541C" w:rsidRDefault="00E14493" w14:paraId="76993933" w14:textId="77777777">
            <w:pPr>
              <w:keepNext/>
              <w:keepLines/>
              <w:rPr>
                <w:sz w:val="20"/>
                <w:szCs w:val="20"/>
              </w:rPr>
            </w:pPr>
            <w:r>
              <w:rPr>
                <w:sz w:val="20"/>
                <w:szCs w:val="20"/>
              </w:rPr>
              <w:t>N/A</w:t>
            </w:r>
          </w:p>
        </w:tc>
      </w:tr>
    </w:tbl>
    <w:p w:rsidR="00E14493" w:rsidP="00E14493" w:rsidRDefault="00E14493" w14:paraId="4626CF79" w14:textId="77777777"/>
    <w:p w:rsidRPr="00473017" w:rsidR="00E14493" w:rsidP="00473017" w:rsidRDefault="00E14493" w14:paraId="38BB33A6" w14:textId="73E997F9">
      <w:pPr>
        <w:jc w:val="center"/>
        <w:rPr>
          <w:b/>
        </w:rPr>
      </w:pPr>
      <w:r>
        <w:rPr>
          <w:b/>
        </w:rPr>
        <w:t xml:space="preserve">Table 42: </w:t>
      </w:r>
      <w:r w:rsidRPr="008178BB">
        <w:rPr>
          <w:b/>
        </w:rPr>
        <w:t>Burden Impact: CY 2021, 2022, and 2023 MIPS Performance Periods</w:t>
      </w:r>
    </w:p>
    <w:tbl>
      <w:tblPr>
        <w:tblW w:w="9495" w:type="dxa"/>
        <w:jc w:val="center"/>
        <w:tblCellMar>
          <w:left w:w="0" w:type="dxa"/>
          <w:right w:w="0" w:type="dxa"/>
        </w:tblCellMar>
        <w:tblLook w:val="04A0" w:firstRow="1" w:lastRow="0" w:firstColumn="1" w:lastColumn="0" w:noHBand="0" w:noVBand="1"/>
      </w:tblPr>
      <w:tblGrid>
        <w:gridCol w:w="1863"/>
        <w:gridCol w:w="1484"/>
        <w:gridCol w:w="1284"/>
        <w:gridCol w:w="1199"/>
        <w:gridCol w:w="1274"/>
        <w:gridCol w:w="929"/>
        <w:gridCol w:w="1462"/>
      </w:tblGrid>
      <w:tr w:rsidRPr="00641377" w:rsidR="00E14493" w:rsidTr="0041541C" w14:paraId="2D4472F6" w14:textId="77777777">
        <w:trPr>
          <w:cantSplit/>
          <w:tblHeader/>
          <w:jc w:val="center"/>
        </w:trPr>
        <w:tc>
          <w:tcPr>
            <w:tcW w:w="18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E6666" w:rsidR="00E14493" w:rsidP="00A53FFD" w:rsidRDefault="00C50A98" w14:paraId="00B92CEB" w14:textId="5D79D59B">
            <w:pPr>
              <w:keepNext/>
              <w:spacing w:after="0"/>
              <w:jc w:val="center"/>
              <w:rPr>
                <w:b/>
                <w:sz w:val="20"/>
                <w:szCs w:val="20"/>
              </w:rPr>
            </w:pPr>
            <w:r w:rsidRPr="005E6666">
              <w:rPr>
                <w:b/>
                <w:sz w:val="20"/>
                <w:szCs w:val="20"/>
              </w:rPr>
              <w:t>Burden Category</w:t>
            </w:r>
          </w:p>
        </w:tc>
        <w:tc>
          <w:tcPr>
            <w:tcW w:w="14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6666" w:rsidR="00E14493" w:rsidP="00A53FFD" w:rsidRDefault="00E14493" w14:paraId="5AFCDD08" w14:textId="77777777">
            <w:pPr>
              <w:keepNext/>
              <w:spacing w:after="0"/>
              <w:jc w:val="center"/>
              <w:rPr>
                <w:b/>
                <w:sz w:val="20"/>
                <w:szCs w:val="20"/>
              </w:rPr>
            </w:pPr>
            <w:r w:rsidRPr="005E6666">
              <w:rPr>
                <w:b/>
                <w:sz w:val="20"/>
                <w:szCs w:val="20"/>
              </w:rPr>
              <w:t>No. Respondents</w:t>
            </w:r>
          </w:p>
        </w:tc>
        <w:tc>
          <w:tcPr>
            <w:tcW w:w="12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6666" w:rsidR="00E14493" w:rsidP="00A53FFD" w:rsidRDefault="00E14493" w14:paraId="31B85573" w14:textId="77777777">
            <w:pPr>
              <w:keepNext/>
              <w:spacing w:after="0"/>
              <w:jc w:val="center"/>
              <w:rPr>
                <w:b/>
                <w:sz w:val="20"/>
                <w:szCs w:val="20"/>
              </w:rPr>
            </w:pPr>
            <w:r w:rsidRPr="005E6666">
              <w:rPr>
                <w:b/>
                <w:sz w:val="20"/>
                <w:szCs w:val="20"/>
              </w:rPr>
              <w:t>Responses</w:t>
            </w:r>
          </w:p>
        </w:tc>
        <w:tc>
          <w:tcPr>
            <w:tcW w:w="119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6666" w:rsidR="00E14493" w:rsidP="00A53FFD" w:rsidRDefault="00E14493" w14:paraId="07B2DE0B" w14:textId="77777777">
            <w:pPr>
              <w:keepNext/>
              <w:spacing w:after="0"/>
              <w:jc w:val="center"/>
              <w:rPr>
                <w:b/>
                <w:sz w:val="20"/>
                <w:szCs w:val="20"/>
              </w:rPr>
            </w:pPr>
            <w:r w:rsidRPr="005E6666">
              <w:rPr>
                <w:b/>
                <w:sz w:val="20"/>
                <w:szCs w:val="20"/>
              </w:rPr>
              <w:t>Time per Response (hours)</w:t>
            </w:r>
          </w:p>
        </w:tc>
        <w:tc>
          <w:tcPr>
            <w:tcW w:w="127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6666" w:rsidR="00E14493" w:rsidP="00A53FFD" w:rsidRDefault="00E14493" w14:paraId="73FD077C" w14:textId="77777777">
            <w:pPr>
              <w:keepNext/>
              <w:spacing w:after="0"/>
              <w:jc w:val="center"/>
              <w:rPr>
                <w:b/>
                <w:sz w:val="20"/>
                <w:szCs w:val="20"/>
              </w:rPr>
            </w:pPr>
            <w:r w:rsidRPr="005E6666">
              <w:rPr>
                <w:b/>
                <w:sz w:val="20"/>
                <w:szCs w:val="20"/>
              </w:rPr>
              <w:t>Total Annual Time (hours)</w:t>
            </w:r>
          </w:p>
        </w:tc>
        <w:tc>
          <w:tcPr>
            <w:tcW w:w="9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6666" w:rsidR="00E14493" w:rsidP="00A53FFD" w:rsidRDefault="00E14493" w14:paraId="4D1528CA" w14:textId="77777777">
            <w:pPr>
              <w:keepNext/>
              <w:spacing w:after="0"/>
              <w:jc w:val="center"/>
              <w:rPr>
                <w:b/>
                <w:sz w:val="20"/>
                <w:szCs w:val="20"/>
              </w:rPr>
            </w:pPr>
            <w:r w:rsidRPr="005E6666">
              <w:rPr>
                <w:b/>
                <w:sz w:val="20"/>
                <w:szCs w:val="20"/>
              </w:rPr>
              <w:t>Labor</w:t>
            </w:r>
          </w:p>
          <w:p w:rsidRPr="005E6666" w:rsidR="00E14493" w:rsidP="00A53FFD" w:rsidRDefault="00E14493" w14:paraId="3FCABA41" w14:textId="77777777">
            <w:pPr>
              <w:keepNext/>
              <w:spacing w:after="0"/>
              <w:jc w:val="center"/>
              <w:rPr>
                <w:b/>
                <w:sz w:val="20"/>
                <w:szCs w:val="20"/>
              </w:rPr>
            </w:pPr>
            <w:r w:rsidRPr="005E6666">
              <w:rPr>
                <w:b/>
                <w:sz w:val="20"/>
                <w:szCs w:val="20"/>
              </w:rPr>
              <w:t>Cost</w:t>
            </w:r>
          </w:p>
          <w:p w:rsidRPr="005E6666" w:rsidR="00E14493" w:rsidP="00A53FFD" w:rsidRDefault="00E14493" w14:paraId="5F582687" w14:textId="77777777">
            <w:pPr>
              <w:keepNext/>
              <w:spacing w:after="0"/>
              <w:jc w:val="center"/>
              <w:rPr>
                <w:b/>
                <w:sz w:val="20"/>
                <w:szCs w:val="20"/>
              </w:rPr>
            </w:pPr>
            <w:r w:rsidRPr="005E6666">
              <w:rPr>
                <w:b/>
                <w:sz w:val="20"/>
                <w:szCs w:val="20"/>
              </w:rPr>
              <w:t>($/hr)</w:t>
            </w:r>
          </w:p>
        </w:tc>
        <w:tc>
          <w:tcPr>
            <w:tcW w:w="146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6666" w:rsidR="00E14493" w:rsidP="00A53FFD" w:rsidRDefault="00E14493" w14:paraId="53CAFDDB" w14:textId="77777777">
            <w:pPr>
              <w:keepNext/>
              <w:spacing w:after="0"/>
              <w:jc w:val="center"/>
              <w:rPr>
                <w:b/>
                <w:sz w:val="20"/>
                <w:szCs w:val="20"/>
              </w:rPr>
            </w:pPr>
            <w:r w:rsidRPr="005E6666">
              <w:rPr>
                <w:b/>
                <w:sz w:val="20"/>
                <w:szCs w:val="20"/>
              </w:rPr>
              <w:t>Total Cost</w:t>
            </w:r>
          </w:p>
          <w:p w:rsidRPr="005E6666" w:rsidR="00E14493" w:rsidP="00A53FFD" w:rsidRDefault="00E14493" w14:paraId="2D799B38" w14:textId="77777777">
            <w:pPr>
              <w:keepNext/>
              <w:spacing w:after="0"/>
              <w:jc w:val="center"/>
              <w:rPr>
                <w:b/>
                <w:sz w:val="20"/>
                <w:szCs w:val="20"/>
              </w:rPr>
            </w:pPr>
            <w:r w:rsidRPr="005E6666">
              <w:rPr>
                <w:b/>
                <w:sz w:val="20"/>
                <w:szCs w:val="20"/>
              </w:rPr>
              <w:t>($)*</w:t>
            </w:r>
          </w:p>
        </w:tc>
      </w:tr>
      <w:tr w:rsidRPr="00641377" w:rsidR="00E14493" w:rsidTr="0041541C" w14:paraId="41DDB87B" w14:textId="77777777">
        <w:trPr>
          <w:cantSplit/>
          <w:jc w:val="center"/>
        </w:trPr>
        <w:tc>
          <w:tcPr>
            <w:tcW w:w="186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D969B9" w:rsidR="00E14493" w:rsidP="00A53FFD" w:rsidRDefault="00E14493" w14:paraId="35FB0303" w14:textId="77777777">
            <w:pPr>
              <w:spacing w:after="0"/>
              <w:jc w:val="center"/>
              <w:rPr>
                <w:bCs/>
                <w:sz w:val="20"/>
                <w:szCs w:val="20"/>
              </w:rPr>
            </w:pPr>
            <w:r>
              <w:rPr>
                <w:bCs/>
                <w:sz w:val="20"/>
                <w:szCs w:val="20"/>
              </w:rPr>
              <w:t>Currently Approved by OMB (A)</w:t>
            </w:r>
          </w:p>
        </w:tc>
        <w:tc>
          <w:tcPr>
            <w:tcW w:w="1484" w:type="dxa"/>
            <w:tcBorders>
              <w:top w:val="nil"/>
              <w:left w:val="nil"/>
              <w:bottom w:val="single" w:color="auto" w:sz="8" w:space="0"/>
              <w:right w:val="single" w:color="auto" w:sz="8" w:space="0"/>
            </w:tcBorders>
            <w:tcMar>
              <w:top w:w="0" w:type="dxa"/>
              <w:left w:w="108" w:type="dxa"/>
              <w:bottom w:w="0" w:type="dxa"/>
              <w:right w:w="108" w:type="dxa"/>
            </w:tcMar>
          </w:tcPr>
          <w:p w:rsidRPr="004D5BDF" w:rsidR="00E14493" w:rsidP="00A53FFD" w:rsidRDefault="00E14493" w14:paraId="79AF540A" w14:textId="77777777">
            <w:pPr>
              <w:spacing w:after="0"/>
              <w:jc w:val="center"/>
              <w:rPr>
                <w:bCs/>
                <w:sz w:val="20"/>
                <w:szCs w:val="20"/>
              </w:rPr>
            </w:pPr>
            <w:r w:rsidRPr="004D5BDF">
              <w:rPr>
                <w:bCs/>
                <w:color w:val="000000"/>
                <w:sz w:val="20"/>
                <w:szCs w:val="20"/>
              </w:rPr>
              <w:t>247,148</w:t>
            </w:r>
          </w:p>
        </w:tc>
        <w:tc>
          <w:tcPr>
            <w:tcW w:w="1284" w:type="dxa"/>
            <w:tcBorders>
              <w:top w:val="nil"/>
              <w:left w:val="nil"/>
              <w:bottom w:val="single" w:color="auto" w:sz="8" w:space="0"/>
              <w:right w:val="single" w:color="auto" w:sz="8" w:space="0"/>
            </w:tcBorders>
            <w:tcMar>
              <w:top w:w="0" w:type="dxa"/>
              <w:left w:w="108" w:type="dxa"/>
              <w:bottom w:w="0" w:type="dxa"/>
              <w:right w:w="108" w:type="dxa"/>
            </w:tcMar>
          </w:tcPr>
          <w:p w:rsidRPr="004D5BDF" w:rsidR="00E14493" w:rsidP="00A53FFD" w:rsidRDefault="00E14493" w14:paraId="56380E8D" w14:textId="77777777">
            <w:pPr>
              <w:spacing w:after="0"/>
              <w:jc w:val="center"/>
              <w:rPr>
                <w:bCs/>
                <w:sz w:val="20"/>
                <w:szCs w:val="20"/>
              </w:rPr>
            </w:pPr>
            <w:r w:rsidRPr="004D5BDF">
              <w:rPr>
                <w:bCs/>
                <w:color w:val="000000"/>
                <w:sz w:val="20"/>
                <w:szCs w:val="20"/>
              </w:rPr>
              <w:t>654,162</w:t>
            </w:r>
          </w:p>
        </w:tc>
        <w:tc>
          <w:tcPr>
            <w:tcW w:w="1199" w:type="dxa"/>
            <w:tcBorders>
              <w:top w:val="nil"/>
              <w:left w:val="nil"/>
              <w:bottom w:val="single" w:color="auto" w:sz="8" w:space="0"/>
              <w:right w:val="single" w:color="auto" w:sz="8" w:space="0"/>
            </w:tcBorders>
            <w:tcMar>
              <w:top w:w="0" w:type="dxa"/>
              <w:left w:w="108" w:type="dxa"/>
              <w:bottom w:w="0" w:type="dxa"/>
              <w:right w:w="108" w:type="dxa"/>
            </w:tcMar>
          </w:tcPr>
          <w:p w:rsidRPr="004D5BDF" w:rsidR="00E14493" w:rsidP="00A53FFD" w:rsidRDefault="00E14493" w14:paraId="3F930812" w14:textId="77777777">
            <w:pPr>
              <w:spacing w:after="0"/>
              <w:jc w:val="center"/>
              <w:rPr>
                <w:bCs/>
                <w:sz w:val="20"/>
                <w:szCs w:val="20"/>
              </w:rPr>
            </w:pPr>
            <w:r w:rsidRPr="004D5BDF">
              <w:rPr>
                <w:bCs/>
                <w:sz w:val="20"/>
                <w:szCs w:val="20"/>
              </w:rPr>
              <w:t>Varies</w:t>
            </w:r>
          </w:p>
        </w:tc>
        <w:tc>
          <w:tcPr>
            <w:tcW w:w="1274" w:type="dxa"/>
            <w:tcBorders>
              <w:top w:val="nil"/>
              <w:left w:val="nil"/>
              <w:bottom w:val="single" w:color="auto" w:sz="8" w:space="0"/>
              <w:right w:val="single" w:color="auto" w:sz="8" w:space="0"/>
            </w:tcBorders>
            <w:tcMar>
              <w:top w:w="0" w:type="dxa"/>
              <w:left w:w="108" w:type="dxa"/>
              <w:bottom w:w="0" w:type="dxa"/>
              <w:right w:w="108" w:type="dxa"/>
            </w:tcMar>
          </w:tcPr>
          <w:p w:rsidRPr="004D5BDF" w:rsidR="00E14493" w:rsidP="00A53FFD" w:rsidRDefault="00E14493" w14:paraId="06A97402" w14:textId="77777777">
            <w:pPr>
              <w:spacing w:after="0"/>
              <w:jc w:val="center"/>
              <w:rPr>
                <w:bCs/>
                <w:sz w:val="20"/>
                <w:szCs w:val="20"/>
              </w:rPr>
            </w:pPr>
            <w:r w:rsidRPr="004D5BDF">
              <w:rPr>
                <w:bCs/>
                <w:color w:val="000000"/>
                <w:sz w:val="20"/>
                <w:szCs w:val="20"/>
              </w:rPr>
              <w:t>2,957,004</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4D5BDF" w:rsidR="00E14493" w:rsidP="00A53FFD" w:rsidRDefault="00E14493" w14:paraId="2DD41F8F" w14:textId="77777777">
            <w:pPr>
              <w:spacing w:after="0"/>
              <w:jc w:val="center"/>
              <w:rPr>
                <w:bCs/>
                <w:sz w:val="20"/>
                <w:szCs w:val="20"/>
              </w:rPr>
            </w:pPr>
            <w:r w:rsidRPr="004D5BDF">
              <w:rPr>
                <w:bCs/>
                <w:sz w:val="20"/>
                <w:szCs w:val="20"/>
              </w:rPr>
              <w:t>Varies</w:t>
            </w:r>
          </w:p>
        </w:tc>
        <w:tc>
          <w:tcPr>
            <w:tcW w:w="1462" w:type="dxa"/>
            <w:tcBorders>
              <w:top w:val="nil"/>
              <w:left w:val="nil"/>
              <w:bottom w:val="single" w:color="auto" w:sz="8" w:space="0"/>
              <w:right w:val="single" w:color="auto" w:sz="8" w:space="0"/>
            </w:tcBorders>
            <w:tcMar>
              <w:top w:w="0" w:type="dxa"/>
              <w:left w:w="108" w:type="dxa"/>
              <w:bottom w:w="0" w:type="dxa"/>
              <w:right w:w="108" w:type="dxa"/>
            </w:tcMar>
          </w:tcPr>
          <w:p w:rsidRPr="004D5BDF" w:rsidR="00E14493" w:rsidP="00A53FFD" w:rsidRDefault="00E14493" w14:paraId="3DCB7895" w14:textId="77777777">
            <w:pPr>
              <w:spacing w:after="0"/>
              <w:jc w:val="center"/>
              <w:rPr>
                <w:bCs/>
                <w:sz w:val="20"/>
                <w:szCs w:val="20"/>
              </w:rPr>
            </w:pPr>
            <w:r w:rsidRPr="004D5BDF">
              <w:rPr>
                <w:sz w:val="20"/>
                <w:szCs w:val="20"/>
              </w:rPr>
              <w:t>289,949,842</w:t>
            </w:r>
          </w:p>
        </w:tc>
      </w:tr>
      <w:tr w:rsidRPr="00641377" w:rsidR="00E14493" w:rsidTr="0041541C" w14:paraId="6A209E94" w14:textId="77777777">
        <w:trPr>
          <w:cantSplit/>
          <w:jc w:val="center"/>
        </w:trPr>
        <w:tc>
          <w:tcPr>
            <w:tcW w:w="186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969B9" w:rsidR="00E14493" w:rsidP="00A53FFD" w:rsidRDefault="00E14493" w14:paraId="71FB240B" w14:textId="77777777">
            <w:pPr>
              <w:spacing w:after="0"/>
              <w:jc w:val="center"/>
              <w:rPr>
                <w:bCs/>
                <w:sz w:val="20"/>
                <w:szCs w:val="20"/>
              </w:rPr>
            </w:pPr>
            <w:r w:rsidRPr="00D969B9">
              <w:rPr>
                <w:bCs/>
                <w:sz w:val="20"/>
                <w:szCs w:val="20"/>
              </w:rPr>
              <w:t>2021 MIPS Performance Period (see Table 37)</w:t>
            </w:r>
            <w:r>
              <w:rPr>
                <w:bCs/>
                <w:sz w:val="20"/>
                <w:szCs w:val="20"/>
              </w:rPr>
              <w:t xml:space="preserve"> (B)</w:t>
            </w:r>
          </w:p>
        </w:tc>
        <w:tc>
          <w:tcPr>
            <w:tcW w:w="1484" w:type="dxa"/>
            <w:tcBorders>
              <w:top w:val="nil"/>
              <w:left w:val="nil"/>
              <w:bottom w:val="single" w:color="auto" w:sz="8" w:space="0"/>
              <w:right w:val="single" w:color="auto" w:sz="8" w:space="0"/>
            </w:tcBorders>
            <w:tcMar>
              <w:top w:w="0" w:type="dxa"/>
              <w:left w:w="108" w:type="dxa"/>
              <w:bottom w:w="0" w:type="dxa"/>
              <w:right w:w="108" w:type="dxa"/>
            </w:tcMar>
            <w:hideMark/>
          </w:tcPr>
          <w:p w:rsidRPr="004D5BDF" w:rsidR="00E14493" w:rsidP="00A53FFD" w:rsidRDefault="00E14493" w14:paraId="4AA2A046" w14:textId="77777777">
            <w:pPr>
              <w:spacing w:after="0"/>
              <w:jc w:val="center"/>
              <w:rPr>
                <w:bCs/>
                <w:sz w:val="20"/>
                <w:szCs w:val="20"/>
              </w:rPr>
            </w:pPr>
            <w:r w:rsidRPr="004D5BDF">
              <w:rPr>
                <w:bCs/>
                <w:color w:val="000000"/>
                <w:sz w:val="20"/>
                <w:szCs w:val="20"/>
              </w:rPr>
              <w:t>-123,619</w:t>
            </w:r>
          </w:p>
        </w:tc>
        <w:tc>
          <w:tcPr>
            <w:tcW w:w="1284" w:type="dxa"/>
            <w:tcBorders>
              <w:top w:val="nil"/>
              <w:left w:val="nil"/>
              <w:bottom w:val="single" w:color="auto" w:sz="8" w:space="0"/>
              <w:right w:val="single" w:color="auto" w:sz="8" w:space="0"/>
            </w:tcBorders>
            <w:tcMar>
              <w:top w:w="0" w:type="dxa"/>
              <w:left w:w="108" w:type="dxa"/>
              <w:bottom w:w="0" w:type="dxa"/>
              <w:right w:w="108" w:type="dxa"/>
            </w:tcMar>
            <w:hideMark/>
          </w:tcPr>
          <w:p w:rsidRPr="004D5BDF" w:rsidR="00E14493" w:rsidP="00A53FFD" w:rsidRDefault="00E14493" w14:paraId="5BEB7505" w14:textId="77777777">
            <w:pPr>
              <w:spacing w:after="0"/>
              <w:jc w:val="center"/>
              <w:rPr>
                <w:bCs/>
                <w:sz w:val="20"/>
                <w:szCs w:val="20"/>
              </w:rPr>
            </w:pPr>
            <w:r w:rsidRPr="004D5BDF">
              <w:rPr>
                <w:bCs/>
                <w:color w:val="000000"/>
                <w:sz w:val="20"/>
                <w:szCs w:val="20"/>
              </w:rPr>
              <w:t>-327,126</w:t>
            </w:r>
          </w:p>
        </w:tc>
        <w:tc>
          <w:tcPr>
            <w:tcW w:w="1199" w:type="dxa"/>
            <w:tcBorders>
              <w:top w:val="nil"/>
              <w:left w:val="nil"/>
              <w:bottom w:val="single" w:color="auto" w:sz="8" w:space="0"/>
              <w:right w:val="single" w:color="auto" w:sz="8" w:space="0"/>
            </w:tcBorders>
            <w:tcMar>
              <w:top w:w="0" w:type="dxa"/>
              <w:left w:w="108" w:type="dxa"/>
              <w:bottom w:w="0" w:type="dxa"/>
              <w:right w:w="108" w:type="dxa"/>
            </w:tcMar>
            <w:hideMark/>
          </w:tcPr>
          <w:p w:rsidRPr="004D5BDF" w:rsidR="00E14493" w:rsidP="00A53FFD" w:rsidRDefault="00E14493" w14:paraId="72F5279E" w14:textId="77777777">
            <w:pPr>
              <w:spacing w:after="0"/>
              <w:jc w:val="center"/>
              <w:rPr>
                <w:bCs/>
                <w:sz w:val="20"/>
                <w:szCs w:val="20"/>
              </w:rPr>
            </w:pPr>
            <w:r w:rsidRPr="004D5BDF">
              <w:rPr>
                <w:bCs/>
                <w:sz w:val="20"/>
                <w:szCs w:val="20"/>
              </w:rPr>
              <w:t>Varies</w:t>
            </w:r>
          </w:p>
        </w:tc>
        <w:tc>
          <w:tcPr>
            <w:tcW w:w="1274" w:type="dxa"/>
            <w:tcBorders>
              <w:top w:val="nil"/>
              <w:left w:val="nil"/>
              <w:bottom w:val="single" w:color="auto" w:sz="8" w:space="0"/>
              <w:right w:val="single" w:color="auto" w:sz="8" w:space="0"/>
            </w:tcBorders>
            <w:tcMar>
              <w:top w:w="0" w:type="dxa"/>
              <w:left w:w="108" w:type="dxa"/>
              <w:bottom w:w="0" w:type="dxa"/>
              <w:right w:w="108" w:type="dxa"/>
            </w:tcMar>
            <w:hideMark/>
          </w:tcPr>
          <w:p w:rsidRPr="004D5BDF" w:rsidR="00E14493" w:rsidP="00A53FFD" w:rsidRDefault="00E14493" w14:paraId="41FDBA54" w14:textId="77777777">
            <w:pPr>
              <w:spacing w:after="0"/>
              <w:jc w:val="center"/>
              <w:rPr>
                <w:bCs/>
                <w:sz w:val="20"/>
                <w:szCs w:val="20"/>
              </w:rPr>
            </w:pPr>
            <w:r w:rsidRPr="004D5BDF">
              <w:rPr>
                <w:bCs/>
                <w:color w:val="000000"/>
                <w:sz w:val="20"/>
                <w:szCs w:val="20"/>
              </w:rPr>
              <w:t>-1,481,468</w:t>
            </w:r>
          </w:p>
        </w:tc>
        <w:tc>
          <w:tcPr>
            <w:tcW w:w="929" w:type="dxa"/>
            <w:tcBorders>
              <w:top w:val="nil"/>
              <w:left w:val="nil"/>
              <w:bottom w:val="single" w:color="auto" w:sz="8" w:space="0"/>
              <w:right w:val="single" w:color="auto" w:sz="8" w:space="0"/>
            </w:tcBorders>
            <w:tcMar>
              <w:top w:w="0" w:type="dxa"/>
              <w:left w:w="108" w:type="dxa"/>
              <w:bottom w:w="0" w:type="dxa"/>
              <w:right w:w="108" w:type="dxa"/>
            </w:tcMar>
            <w:hideMark/>
          </w:tcPr>
          <w:p w:rsidRPr="004D5BDF" w:rsidR="00E14493" w:rsidP="00A53FFD" w:rsidRDefault="00E14493" w14:paraId="3DE211F1" w14:textId="77777777">
            <w:pPr>
              <w:spacing w:after="0"/>
              <w:jc w:val="center"/>
              <w:rPr>
                <w:bCs/>
                <w:sz w:val="20"/>
                <w:szCs w:val="20"/>
              </w:rPr>
            </w:pPr>
            <w:r w:rsidRPr="004D5BDF">
              <w:rPr>
                <w:bCs/>
                <w:sz w:val="20"/>
                <w:szCs w:val="20"/>
              </w:rPr>
              <w:t>Varies</w:t>
            </w:r>
          </w:p>
        </w:tc>
        <w:tc>
          <w:tcPr>
            <w:tcW w:w="1462" w:type="dxa"/>
            <w:tcBorders>
              <w:top w:val="nil"/>
              <w:left w:val="nil"/>
              <w:bottom w:val="single" w:color="auto" w:sz="8" w:space="0"/>
              <w:right w:val="single" w:color="auto" w:sz="8" w:space="0"/>
            </w:tcBorders>
            <w:tcMar>
              <w:top w:w="0" w:type="dxa"/>
              <w:left w:w="108" w:type="dxa"/>
              <w:bottom w:w="0" w:type="dxa"/>
              <w:right w:w="108" w:type="dxa"/>
            </w:tcMar>
            <w:hideMark/>
          </w:tcPr>
          <w:p w:rsidRPr="004D5BDF" w:rsidR="00E14493" w:rsidP="00A53FFD" w:rsidRDefault="00E14493" w14:paraId="24D713D5" w14:textId="77777777">
            <w:pPr>
              <w:spacing w:after="0"/>
              <w:jc w:val="center"/>
              <w:rPr>
                <w:bCs/>
                <w:sz w:val="20"/>
                <w:szCs w:val="20"/>
              </w:rPr>
            </w:pPr>
            <w:r w:rsidRPr="004D5BDF">
              <w:rPr>
                <w:sz w:val="20"/>
                <w:szCs w:val="20"/>
              </w:rPr>
              <w:t>-145,245,912</w:t>
            </w:r>
          </w:p>
        </w:tc>
      </w:tr>
      <w:tr w:rsidRPr="00641377" w:rsidR="00E14493" w:rsidTr="0041541C" w14:paraId="10176323" w14:textId="77777777">
        <w:trPr>
          <w:cantSplit/>
          <w:jc w:val="center"/>
        </w:trPr>
        <w:tc>
          <w:tcPr>
            <w:tcW w:w="186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969B9" w:rsidR="00E14493" w:rsidP="00A53FFD" w:rsidRDefault="00E14493" w14:paraId="0070898F" w14:textId="77777777">
            <w:pPr>
              <w:spacing w:after="0"/>
              <w:jc w:val="center"/>
              <w:rPr>
                <w:bCs/>
                <w:sz w:val="20"/>
                <w:szCs w:val="20"/>
              </w:rPr>
            </w:pPr>
            <w:r w:rsidRPr="00D969B9">
              <w:rPr>
                <w:bCs/>
                <w:sz w:val="20"/>
                <w:szCs w:val="20"/>
              </w:rPr>
              <w:t>2022 MIPS Performance Period (see Table 38)</w:t>
            </w:r>
            <w:r>
              <w:rPr>
                <w:bCs/>
                <w:sz w:val="20"/>
                <w:szCs w:val="20"/>
              </w:rPr>
              <w:t xml:space="preserve"> (C)</w:t>
            </w:r>
          </w:p>
        </w:tc>
        <w:tc>
          <w:tcPr>
            <w:tcW w:w="1484" w:type="dxa"/>
            <w:tcBorders>
              <w:top w:val="nil"/>
              <w:left w:val="nil"/>
              <w:bottom w:val="single" w:color="auto" w:sz="8" w:space="0"/>
              <w:right w:val="single" w:color="auto" w:sz="8" w:space="0"/>
            </w:tcBorders>
            <w:tcMar>
              <w:top w:w="0" w:type="dxa"/>
              <w:left w:w="108" w:type="dxa"/>
              <w:bottom w:w="0" w:type="dxa"/>
              <w:right w:w="108" w:type="dxa"/>
            </w:tcMar>
            <w:hideMark/>
          </w:tcPr>
          <w:p w:rsidRPr="004D5BDF" w:rsidR="00E14493" w:rsidP="00A53FFD" w:rsidRDefault="00E14493" w14:paraId="7859D4BD" w14:textId="77777777">
            <w:pPr>
              <w:spacing w:after="0"/>
              <w:jc w:val="center"/>
              <w:rPr>
                <w:bCs/>
                <w:sz w:val="20"/>
                <w:szCs w:val="20"/>
              </w:rPr>
            </w:pPr>
            <w:r w:rsidRPr="004D5BDF">
              <w:rPr>
                <w:bCs/>
                <w:color w:val="000000"/>
                <w:sz w:val="20"/>
                <w:szCs w:val="20"/>
              </w:rPr>
              <w:t>119,890</w:t>
            </w:r>
          </w:p>
        </w:tc>
        <w:tc>
          <w:tcPr>
            <w:tcW w:w="1284" w:type="dxa"/>
            <w:tcBorders>
              <w:top w:val="nil"/>
              <w:left w:val="nil"/>
              <w:bottom w:val="single" w:color="auto" w:sz="8" w:space="0"/>
              <w:right w:val="single" w:color="auto" w:sz="8" w:space="0"/>
            </w:tcBorders>
            <w:tcMar>
              <w:top w:w="0" w:type="dxa"/>
              <w:left w:w="108" w:type="dxa"/>
              <w:bottom w:w="0" w:type="dxa"/>
              <w:right w:w="108" w:type="dxa"/>
            </w:tcMar>
            <w:hideMark/>
          </w:tcPr>
          <w:p w:rsidRPr="004D5BDF" w:rsidR="00E14493" w:rsidP="00A53FFD" w:rsidRDefault="00E14493" w14:paraId="294353CB" w14:textId="77777777">
            <w:pPr>
              <w:spacing w:after="0"/>
              <w:jc w:val="center"/>
              <w:rPr>
                <w:bCs/>
                <w:sz w:val="20"/>
                <w:szCs w:val="20"/>
              </w:rPr>
            </w:pPr>
            <w:r w:rsidRPr="004D5BDF">
              <w:rPr>
                <w:bCs/>
                <w:color w:val="000000"/>
                <w:sz w:val="20"/>
                <w:szCs w:val="20"/>
              </w:rPr>
              <w:t>-16,916</w:t>
            </w:r>
          </w:p>
        </w:tc>
        <w:tc>
          <w:tcPr>
            <w:tcW w:w="1199" w:type="dxa"/>
            <w:tcBorders>
              <w:top w:val="nil"/>
              <w:left w:val="nil"/>
              <w:bottom w:val="single" w:color="auto" w:sz="8" w:space="0"/>
              <w:right w:val="single" w:color="auto" w:sz="8" w:space="0"/>
            </w:tcBorders>
            <w:tcMar>
              <w:top w:w="0" w:type="dxa"/>
              <w:left w:w="108" w:type="dxa"/>
              <w:bottom w:w="0" w:type="dxa"/>
              <w:right w:w="108" w:type="dxa"/>
            </w:tcMar>
            <w:hideMark/>
          </w:tcPr>
          <w:p w:rsidRPr="004D5BDF" w:rsidR="00E14493" w:rsidP="00A53FFD" w:rsidRDefault="00E14493" w14:paraId="16F25ECD" w14:textId="77777777">
            <w:pPr>
              <w:spacing w:after="0"/>
              <w:jc w:val="center"/>
              <w:rPr>
                <w:bCs/>
                <w:sz w:val="20"/>
                <w:szCs w:val="20"/>
              </w:rPr>
            </w:pPr>
            <w:r w:rsidRPr="004D5BDF">
              <w:rPr>
                <w:bCs/>
                <w:sz w:val="20"/>
                <w:szCs w:val="20"/>
              </w:rPr>
              <w:t>Varies</w:t>
            </w:r>
          </w:p>
        </w:tc>
        <w:tc>
          <w:tcPr>
            <w:tcW w:w="1274" w:type="dxa"/>
            <w:tcBorders>
              <w:top w:val="nil"/>
              <w:left w:val="nil"/>
              <w:bottom w:val="single" w:color="auto" w:sz="8" w:space="0"/>
              <w:right w:val="single" w:color="auto" w:sz="8" w:space="0"/>
            </w:tcBorders>
            <w:tcMar>
              <w:top w:w="0" w:type="dxa"/>
              <w:left w:w="108" w:type="dxa"/>
              <w:bottom w:w="0" w:type="dxa"/>
              <w:right w:w="108" w:type="dxa"/>
            </w:tcMar>
            <w:hideMark/>
          </w:tcPr>
          <w:p w:rsidRPr="004D5BDF" w:rsidR="00E14493" w:rsidP="00A53FFD" w:rsidRDefault="00E14493" w14:paraId="6B2B9FF5" w14:textId="77777777">
            <w:pPr>
              <w:spacing w:after="0"/>
              <w:jc w:val="center"/>
              <w:rPr>
                <w:bCs/>
                <w:sz w:val="20"/>
                <w:szCs w:val="20"/>
              </w:rPr>
            </w:pPr>
            <w:r w:rsidRPr="004D5BDF">
              <w:rPr>
                <w:bCs/>
                <w:color w:val="000000"/>
                <w:sz w:val="20"/>
                <w:szCs w:val="20"/>
              </w:rPr>
              <w:t>-39,763</w:t>
            </w:r>
          </w:p>
        </w:tc>
        <w:tc>
          <w:tcPr>
            <w:tcW w:w="929" w:type="dxa"/>
            <w:tcBorders>
              <w:top w:val="nil"/>
              <w:left w:val="nil"/>
              <w:bottom w:val="single" w:color="auto" w:sz="8" w:space="0"/>
              <w:right w:val="single" w:color="auto" w:sz="8" w:space="0"/>
            </w:tcBorders>
            <w:tcMar>
              <w:top w:w="0" w:type="dxa"/>
              <w:left w:w="108" w:type="dxa"/>
              <w:bottom w:w="0" w:type="dxa"/>
              <w:right w:w="108" w:type="dxa"/>
            </w:tcMar>
            <w:hideMark/>
          </w:tcPr>
          <w:p w:rsidRPr="004D5BDF" w:rsidR="00E14493" w:rsidP="00A53FFD" w:rsidRDefault="00E14493" w14:paraId="03A470C5" w14:textId="77777777">
            <w:pPr>
              <w:spacing w:after="0"/>
              <w:jc w:val="center"/>
              <w:rPr>
                <w:bCs/>
                <w:sz w:val="20"/>
                <w:szCs w:val="20"/>
              </w:rPr>
            </w:pPr>
            <w:r w:rsidRPr="004D5BDF">
              <w:rPr>
                <w:bCs/>
                <w:sz w:val="20"/>
                <w:szCs w:val="20"/>
              </w:rPr>
              <w:t>Varies</w:t>
            </w:r>
          </w:p>
        </w:tc>
        <w:tc>
          <w:tcPr>
            <w:tcW w:w="1462" w:type="dxa"/>
            <w:tcBorders>
              <w:top w:val="nil"/>
              <w:left w:val="nil"/>
              <w:bottom w:val="single" w:color="auto" w:sz="8" w:space="0"/>
              <w:right w:val="single" w:color="auto" w:sz="8" w:space="0"/>
            </w:tcBorders>
            <w:tcMar>
              <w:top w:w="0" w:type="dxa"/>
              <w:left w:w="108" w:type="dxa"/>
              <w:bottom w:w="0" w:type="dxa"/>
              <w:right w:w="108" w:type="dxa"/>
            </w:tcMar>
            <w:hideMark/>
          </w:tcPr>
          <w:p w:rsidRPr="004D5BDF" w:rsidR="00E14493" w:rsidP="00A53FFD" w:rsidRDefault="00E14493" w14:paraId="5686E54B" w14:textId="77777777">
            <w:pPr>
              <w:spacing w:after="0"/>
              <w:jc w:val="center"/>
              <w:rPr>
                <w:bCs/>
                <w:sz w:val="20"/>
                <w:szCs w:val="20"/>
              </w:rPr>
            </w:pPr>
            <w:r w:rsidRPr="004D5BDF">
              <w:rPr>
                <w:sz w:val="20"/>
                <w:szCs w:val="20"/>
              </w:rPr>
              <w:t>96,394</w:t>
            </w:r>
          </w:p>
        </w:tc>
      </w:tr>
      <w:tr w:rsidRPr="00641377" w:rsidR="00E14493" w:rsidTr="0041541C" w14:paraId="5D8CDD7E" w14:textId="77777777">
        <w:trPr>
          <w:cantSplit/>
          <w:jc w:val="center"/>
        </w:trPr>
        <w:tc>
          <w:tcPr>
            <w:tcW w:w="186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969B9" w:rsidR="00E14493" w:rsidP="00A53FFD" w:rsidRDefault="00E14493" w14:paraId="6C42F6FA" w14:textId="77777777">
            <w:pPr>
              <w:spacing w:after="0"/>
              <w:jc w:val="center"/>
              <w:rPr>
                <w:bCs/>
                <w:sz w:val="20"/>
                <w:szCs w:val="20"/>
              </w:rPr>
            </w:pPr>
            <w:r w:rsidRPr="00D969B9">
              <w:rPr>
                <w:bCs/>
                <w:sz w:val="20"/>
                <w:szCs w:val="20"/>
              </w:rPr>
              <w:t>2023 MIPS Performance Period (see Table 41)</w:t>
            </w:r>
            <w:r>
              <w:rPr>
                <w:bCs/>
                <w:sz w:val="20"/>
                <w:szCs w:val="20"/>
              </w:rPr>
              <w:t xml:space="preserve"> (D)</w:t>
            </w:r>
          </w:p>
        </w:tc>
        <w:tc>
          <w:tcPr>
            <w:tcW w:w="1484" w:type="dxa"/>
            <w:tcBorders>
              <w:top w:val="nil"/>
              <w:left w:val="nil"/>
              <w:bottom w:val="single" w:color="auto" w:sz="8" w:space="0"/>
              <w:right w:val="single" w:color="auto" w:sz="8" w:space="0"/>
            </w:tcBorders>
            <w:tcMar>
              <w:top w:w="0" w:type="dxa"/>
              <w:left w:w="108" w:type="dxa"/>
              <w:bottom w:w="0" w:type="dxa"/>
              <w:right w:w="108" w:type="dxa"/>
            </w:tcMar>
            <w:hideMark/>
          </w:tcPr>
          <w:p w:rsidRPr="004D5BDF" w:rsidR="00E14493" w:rsidP="00A53FFD" w:rsidRDefault="00E14493" w14:paraId="6009B6AD" w14:textId="77777777">
            <w:pPr>
              <w:spacing w:after="0"/>
              <w:jc w:val="center"/>
              <w:rPr>
                <w:bCs/>
                <w:sz w:val="20"/>
                <w:szCs w:val="20"/>
              </w:rPr>
            </w:pPr>
            <w:r w:rsidRPr="004D5BDF">
              <w:rPr>
                <w:bCs/>
                <w:color w:val="000000"/>
                <w:sz w:val="20"/>
                <w:szCs w:val="20"/>
              </w:rPr>
              <w:t>119,923</w:t>
            </w:r>
          </w:p>
        </w:tc>
        <w:tc>
          <w:tcPr>
            <w:tcW w:w="1284" w:type="dxa"/>
            <w:tcBorders>
              <w:top w:val="nil"/>
              <w:left w:val="nil"/>
              <w:bottom w:val="single" w:color="auto" w:sz="8" w:space="0"/>
              <w:right w:val="single" w:color="auto" w:sz="8" w:space="0"/>
            </w:tcBorders>
            <w:tcMar>
              <w:top w:w="0" w:type="dxa"/>
              <w:left w:w="108" w:type="dxa"/>
              <w:bottom w:w="0" w:type="dxa"/>
              <w:right w:w="108" w:type="dxa"/>
            </w:tcMar>
            <w:hideMark/>
          </w:tcPr>
          <w:p w:rsidRPr="004D5BDF" w:rsidR="00E14493" w:rsidP="00A53FFD" w:rsidRDefault="00E14493" w14:paraId="6FB1ED60" w14:textId="77777777">
            <w:pPr>
              <w:spacing w:after="0"/>
              <w:jc w:val="center"/>
              <w:rPr>
                <w:bCs/>
                <w:sz w:val="20"/>
                <w:szCs w:val="20"/>
              </w:rPr>
            </w:pPr>
            <w:r w:rsidRPr="004D5BDF">
              <w:rPr>
                <w:bCs/>
                <w:color w:val="000000"/>
                <w:sz w:val="20"/>
                <w:szCs w:val="20"/>
              </w:rPr>
              <w:t>323,039</w:t>
            </w:r>
          </w:p>
        </w:tc>
        <w:tc>
          <w:tcPr>
            <w:tcW w:w="1199" w:type="dxa"/>
            <w:tcBorders>
              <w:top w:val="nil"/>
              <w:left w:val="nil"/>
              <w:bottom w:val="single" w:color="auto" w:sz="8" w:space="0"/>
              <w:right w:val="single" w:color="auto" w:sz="8" w:space="0"/>
            </w:tcBorders>
            <w:tcMar>
              <w:top w:w="0" w:type="dxa"/>
              <w:left w:w="108" w:type="dxa"/>
              <w:bottom w:w="0" w:type="dxa"/>
              <w:right w:w="108" w:type="dxa"/>
            </w:tcMar>
            <w:hideMark/>
          </w:tcPr>
          <w:p w:rsidRPr="004D5BDF" w:rsidR="00E14493" w:rsidP="00A53FFD" w:rsidRDefault="00E14493" w14:paraId="17EC769C" w14:textId="77777777">
            <w:pPr>
              <w:spacing w:after="0"/>
              <w:jc w:val="center"/>
              <w:rPr>
                <w:bCs/>
                <w:sz w:val="20"/>
                <w:szCs w:val="20"/>
              </w:rPr>
            </w:pPr>
            <w:r w:rsidRPr="004D5BDF">
              <w:rPr>
                <w:bCs/>
                <w:sz w:val="20"/>
                <w:szCs w:val="20"/>
              </w:rPr>
              <w:t>Varies</w:t>
            </w:r>
          </w:p>
        </w:tc>
        <w:tc>
          <w:tcPr>
            <w:tcW w:w="1274" w:type="dxa"/>
            <w:tcBorders>
              <w:top w:val="nil"/>
              <w:left w:val="nil"/>
              <w:bottom w:val="single" w:color="auto" w:sz="8" w:space="0"/>
              <w:right w:val="single" w:color="auto" w:sz="8" w:space="0"/>
            </w:tcBorders>
            <w:tcMar>
              <w:top w:w="0" w:type="dxa"/>
              <w:left w:w="108" w:type="dxa"/>
              <w:bottom w:w="0" w:type="dxa"/>
              <w:right w:w="108" w:type="dxa"/>
            </w:tcMar>
            <w:hideMark/>
          </w:tcPr>
          <w:p w:rsidRPr="004D5BDF" w:rsidR="00E14493" w:rsidP="00A53FFD" w:rsidRDefault="00E14493" w14:paraId="658F0687" w14:textId="77777777">
            <w:pPr>
              <w:spacing w:after="0"/>
              <w:jc w:val="center"/>
              <w:rPr>
                <w:bCs/>
                <w:sz w:val="20"/>
                <w:szCs w:val="20"/>
              </w:rPr>
            </w:pPr>
            <w:r w:rsidRPr="004D5BDF">
              <w:rPr>
                <w:bCs/>
                <w:color w:val="000000"/>
                <w:sz w:val="20"/>
                <w:szCs w:val="20"/>
              </w:rPr>
              <w:t>1,390,404</w:t>
            </w:r>
          </w:p>
        </w:tc>
        <w:tc>
          <w:tcPr>
            <w:tcW w:w="929" w:type="dxa"/>
            <w:tcBorders>
              <w:top w:val="nil"/>
              <w:left w:val="nil"/>
              <w:bottom w:val="single" w:color="auto" w:sz="8" w:space="0"/>
              <w:right w:val="single" w:color="auto" w:sz="8" w:space="0"/>
            </w:tcBorders>
            <w:tcMar>
              <w:top w:w="0" w:type="dxa"/>
              <w:left w:w="108" w:type="dxa"/>
              <w:bottom w:w="0" w:type="dxa"/>
              <w:right w:w="108" w:type="dxa"/>
            </w:tcMar>
            <w:hideMark/>
          </w:tcPr>
          <w:p w:rsidRPr="004D5BDF" w:rsidR="00E14493" w:rsidP="00A53FFD" w:rsidRDefault="00E14493" w14:paraId="3AFA4A4D" w14:textId="77777777">
            <w:pPr>
              <w:spacing w:after="0"/>
              <w:jc w:val="center"/>
              <w:rPr>
                <w:bCs/>
                <w:sz w:val="20"/>
                <w:szCs w:val="20"/>
              </w:rPr>
            </w:pPr>
            <w:r w:rsidRPr="004D5BDF">
              <w:rPr>
                <w:bCs/>
                <w:sz w:val="20"/>
                <w:szCs w:val="20"/>
              </w:rPr>
              <w:t>Varies</w:t>
            </w:r>
          </w:p>
        </w:tc>
        <w:tc>
          <w:tcPr>
            <w:tcW w:w="1462" w:type="dxa"/>
            <w:tcBorders>
              <w:top w:val="nil"/>
              <w:left w:val="nil"/>
              <w:bottom w:val="single" w:color="auto" w:sz="8" w:space="0"/>
              <w:right w:val="single" w:color="auto" w:sz="8" w:space="0"/>
            </w:tcBorders>
            <w:tcMar>
              <w:top w:w="0" w:type="dxa"/>
              <w:left w:w="108" w:type="dxa"/>
              <w:bottom w:w="0" w:type="dxa"/>
              <w:right w:w="108" w:type="dxa"/>
            </w:tcMar>
            <w:hideMark/>
          </w:tcPr>
          <w:p w:rsidRPr="004D5BDF" w:rsidR="00E14493" w:rsidP="00A53FFD" w:rsidRDefault="00E14493" w14:paraId="2F013CF9" w14:textId="77777777">
            <w:pPr>
              <w:spacing w:after="0"/>
              <w:jc w:val="center"/>
              <w:rPr>
                <w:bCs/>
                <w:sz w:val="20"/>
                <w:szCs w:val="20"/>
              </w:rPr>
            </w:pPr>
            <w:r w:rsidRPr="004D5BDF">
              <w:rPr>
                <w:sz w:val="20"/>
                <w:szCs w:val="20"/>
              </w:rPr>
              <w:t>140,284,742</w:t>
            </w:r>
          </w:p>
        </w:tc>
      </w:tr>
      <w:tr w:rsidRPr="00641377" w:rsidR="00A53FFD" w:rsidTr="0041541C" w14:paraId="0A2E046B" w14:textId="77777777">
        <w:trPr>
          <w:cantSplit/>
          <w:jc w:val="center"/>
        </w:trPr>
        <w:tc>
          <w:tcPr>
            <w:tcW w:w="186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D969B9" w:rsidR="00A53FFD" w:rsidP="00A53FFD" w:rsidRDefault="00A53FFD" w14:paraId="425FAE12" w14:textId="43CA0D26">
            <w:pPr>
              <w:spacing w:after="0"/>
              <w:jc w:val="center"/>
              <w:rPr>
                <w:bCs/>
                <w:sz w:val="20"/>
                <w:szCs w:val="20"/>
              </w:rPr>
            </w:pPr>
            <w:r>
              <w:rPr>
                <w:bCs/>
                <w:sz w:val="20"/>
                <w:szCs w:val="20"/>
              </w:rPr>
              <w:t>Subtotal of Changes (E)</w:t>
            </w:r>
            <w:r w:rsidR="00162F39">
              <w:rPr>
                <w:bCs/>
                <w:sz w:val="20"/>
                <w:szCs w:val="20"/>
              </w:rPr>
              <w:t xml:space="preserve"> = (B) + (C) + (D)</w:t>
            </w:r>
          </w:p>
        </w:tc>
        <w:tc>
          <w:tcPr>
            <w:tcW w:w="1484" w:type="dxa"/>
            <w:tcBorders>
              <w:top w:val="nil"/>
              <w:left w:val="nil"/>
              <w:bottom w:val="single" w:color="auto" w:sz="8" w:space="0"/>
              <w:right w:val="single" w:color="auto" w:sz="8" w:space="0"/>
            </w:tcBorders>
            <w:tcMar>
              <w:top w:w="0" w:type="dxa"/>
              <w:left w:w="108" w:type="dxa"/>
              <w:bottom w:w="0" w:type="dxa"/>
              <w:right w:w="108" w:type="dxa"/>
            </w:tcMar>
          </w:tcPr>
          <w:p w:rsidRPr="004D5BDF" w:rsidR="00A53FFD" w:rsidP="00A53FFD" w:rsidRDefault="00162F39" w14:paraId="6BA5CE97" w14:textId="7FEC6EEE">
            <w:pPr>
              <w:spacing w:after="0"/>
              <w:jc w:val="center"/>
              <w:rPr>
                <w:bCs/>
                <w:color w:val="000000"/>
                <w:sz w:val="20"/>
                <w:szCs w:val="20"/>
              </w:rPr>
            </w:pPr>
            <w:r>
              <w:rPr>
                <w:bCs/>
                <w:color w:val="000000"/>
                <w:sz w:val="20"/>
                <w:szCs w:val="20"/>
              </w:rPr>
              <w:t>116,194</w:t>
            </w:r>
          </w:p>
        </w:tc>
        <w:tc>
          <w:tcPr>
            <w:tcW w:w="1284" w:type="dxa"/>
            <w:tcBorders>
              <w:top w:val="nil"/>
              <w:left w:val="nil"/>
              <w:bottom w:val="single" w:color="auto" w:sz="8" w:space="0"/>
              <w:right w:val="single" w:color="auto" w:sz="8" w:space="0"/>
            </w:tcBorders>
            <w:tcMar>
              <w:top w:w="0" w:type="dxa"/>
              <w:left w:w="108" w:type="dxa"/>
              <w:bottom w:w="0" w:type="dxa"/>
              <w:right w:w="108" w:type="dxa"/>
            </w:tcMar>
          </w:tcPr>
          <w:p w:rsidRPr="004D5BDF" w:rsidR="00A53FFD" w:rsidP="00A53FFD" w:rsidRDefault="00162F39" w14:paraId="52F35FD4" w14:textId="50E5F189">
            <w:pPr>
              <w:spacing w:after="0"/>
              <w:jc w:val="center"/>
              <w:rPr>
                <w:bCs/>
                <w:color w:val="000000"/>
                <w:sz w:val="20"/>
                <w:szCs w:val="20"/>
              </w:rPr>
            </w:pPr>
            <w:r>
              <w:rPr>
                <w:bCs/>
                <w:color w:val="000000"/>
                <w:sz w:val="20"/>
                <w:szCs w:val="20"/>
              </w:rPr>
              <w:t>-21,003</w:t>
            </w:r>
          </w:p>
        </w:tc>
        <w:tc>
          <w:tcPr>
            <w:tcW w:w="1199" w:type="dxa"/>
            <w:tcBorders>
              <w:top w:val="nil"/>
              <w:left w:val="nil"/>
              <w:bottom w:val="single" w:color="auto" w:sz="8" w:space="0"/>
              <w:right w:val="single" w:color="auto" w:sz="8" w:space="0"/>
            </w:tcBorders>
            <w:tcMar>
              <w:top w:w="0" w:type="dxa"/>
              <w:left w:w="108" w:type="dxa"/>
              <w:bottom w:w="0" w:type="dxa"/>
              <w:right w:w="108" w:type="dxa"/>
            </w:tcMar>
          </w:tcPr>
          <w:p w:rsidRPr="004D5BDF" w:rsidR="00A53FFD" w:rsidP="00A53FFD" w:rsidRDefault="00162F39" w14:paraId="5DB03449" w14:textId="26CAB79B">
            <w:pPr>
              <w:spacing w:after="0"/>
              <w:jc w:val="center"/>
              <w:rPr>
                <w:bCs/>
                <w:sz w:val="20"/>
                <w:szCs w:val="20"/>
              </w:rPr>
            </w:pPr>
            <w:r>
              <w:rPr>
                <w:bCs/>
                <w:sz w:val="20"/>
                <w:szCs w:val="20"/>
              </w:rPr>
              <w:t>varies</w:t>
            </w:r>
          </w:p>
        </w:tc>
        <w:tc>
          <w:tcPr>
            <w:tcW w:w="1274" w:type="dxa"/>
            <w:tcBorders>
              <w:top w:val="nil"/>
              <w:left w:val="nil"/>
              <w:bottom w:val="single" w:color="auto" w:sz="8" w:space="0"/>
              <w:right w:val="single" w:color="auto" w:sz="8" w:space="0"/>
            </w:tcBorders>
            <w:tcMar>
              <w:top w:w="0" w:type="dxa"/>
              <w:left w:w="108" w:type="dxa"/>
              <w:bottom w:w="0" w:type="dxa"/>
              <w:right w:w="108" w:type="dxa"/>
            </w:tcMar>
          </w:tcPr>
          <w:p w:rsidRPr="004D5BDF" w:rsidR="00A53FFD" w:rsidP="00A53FFD" w:rsidRDefault="00162F39" w14:paraId="4BD2C06A" w14:textId="74FE96ED">
            <w:pPr>
              <w:spacing w:after="0"/>
              <w:jc w:val="center"/>
              <w:rPr>
                <w:bCs/>
                <w:color w:val="000000"/>
                <w:sz w:val="20"/>
                <w:szCs w:val="20"/>
              </w:rPr>
            </w:pPr>
            <w:r>
              <w:rPr>
                <w:bCs/>
                <w:color w:val="000000"/>
                <w:sz w:val="20"/>
                <w:szCs w:val="20"/>
              </w:rPr>
              <w:t>-130,827</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4D5BDF" w:rsidR="00A53FFD" w:rsidP="00A53FFD" w:rsidRDefault="00162F39" w14:paraId="6F2C91EC" w14:textId="3B2C4835">
            <w:pPr>
              <w:spacing w:after="0"/>
              <w:jc w:val="center"/>
              <w:rPr>
                <w:bCs/>
                <w:sz w:val="20"/>
                <w:szCs w:val="20"/>
              </w:rPr>
            </w:pPr>
            <w:r>
              <w:rPr>
                <w:bCs/>
                <w:sz w:val="20"/>
                <w:szCs w:val="20"/>
              </w:rPr>
              <w:t>varies</w:t>
            </w:r>
          </w:p>
        </w:tc>
        <w:tc>
          <w:tcPr>
            <w:tcW w:w="1462" w:type="dxa"/>
            <w:tcBorders>
              <w:top w:val="nil"/>
              <w:left w:val="nil"/>
              <w:bottom w:val="single" w:color="auto" w:sz="8" w:space="0"/>
              <w:right w:val="single" w:color="auto" w:sz="8" w:space="0"/>
            </w:tcBorders>
            <w:tcMar>
              <w:top w:w="0" w:type="dxa"/>
              <w:left w:w="108" w:type="dxa"/>
              <w:bottom w:w="0" w:type="dxa"/>
              <w:right w:w="108" w:type="dxa"/>
            </w:tcMar>
          </w:tcPr>
          <w:p w:rsidRPr="004D5BDF" w:rsidR="00A53FFD" w:rsidP="00A53FFD" w:rsidRDefault="00162F39" w14:paraId="1BE70EC3" w14:textId="3253372B">
            <w:pPr>
              <w:spacing w:after="0"/>
              <w:jc w:val="center"/>
              <w:rPr>
                <w:sz w:val="20"/>
                <w:szCs w:val="20"/>
              </w:rPr>
            </w:pPr>
            <w:r>
              <w:rPr>
                <w:sz w:val="20"/>
                <w:szCs w:val="20"/>
              </w:rPr>
              <w:t>-4,864,776</w:t>
            </w:r>
          </w:p>
        </w:tc>
      </w:tr>
      <w:tr w:rsidRPr="00641377" w:rsidR="00E14493" w:rsidTr="0041541C" w14:paraId="06FF448F" w14:textId="77777777">
        <w:trPr>
          <w:cantSplit/>
          <w:jc w:val="center"/>
        </w:trPr>
        <w:tc>
          <w:tcPr>
            <w:tcW w:w="186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D969B9" w:rsidR="00E14493" w:rsidP="00A53FFD" w:rsidRDefault="00E14493" w14:paraId="001A1E18" w14:textId="77777777">
            <w:pPr>
              <w:spacing w:after="0"/>
              <w:jc w:val="center"/>
              <w:rPr>
                <w:bCs/>
                <w:sz w:val="20"/>
                <w:szCs w:val="20"/>
              </w:rPr>
            </w:pPr>
            <w:r w:rsidRPr="00641377">
              <w:rPr>
                <w:bCs/>
                <w:sz w:val="20"/>
                <w:szCs w:val="20"/>
              </w:rPr>
              <w:t>T</w:t>
            </w:r>
            <w:r>
              <w:rPr>
                <w:bCs/>
                <w:sz w:val="20"/>
                <w:szCs w:val="20"/>
              </w:rPr>
              <w:t>otal Requested (F) = (A) + (B) + (C) + (D)</w:t>
            </w:r>
          </w:p>
        </w:tc>
        <w:tc>
          <w:tcPr>
            <w:tcW w:w="1484" w:type="dxa"/>
            <w:tcBorders>
              <w:top w:val="nil"/>
              <w:left w:val="nil"/>
              <w:bottom w:val="single" w:color="auto" w:sz="8" w:space="0"/>
              <w:right w:val="single" w:color="auto" w:sz="8" w:space="0"/>
            </w:tcBorders>
            <w:tcMar>
              <w:top w:w="0" w:type="dxa"/>
              <w:left w:w="108" w:type="dxa"/>
              <w:bottom w:w="0" w:type="dxa"/>
              <w:right w:w="108" w:type="dxa"/>
            </w:tcMar>
          </w:tcPr>
          <w:p w:rsidRPr="004D5BDF" w:rsidR="00E14493" w:rsidP="00A53FFD" w:rsidRDefault="00CC0AF3" w14:paraId="050120BD" w14:textId="21ED4C75">
            <w:pPr>
              <w:spacing w:after="0"/>
              <w:jc w:val="center"/>
              <w:rPr>
                <w:bCs/>
                <w:sz w:val="20"/>
                <w:szCs w:val="20"/>
              </w:rPr>
            </w:pPr>
            <w:r>
              <w:rPr>
                <w:bCs/>
                <w:color w:val="000000"/>
                <w:sz w:val="20"/>
                <w:szCs w:val="20"/>
              </w:rPr>
              <w:t>119,907 (two-year average)</w:t>
            </w:r>
          </w:p>
        </w:tc>
        <w:tc>
          <w:tcPr>
            <w:tcW w:w="1284" w:type="dxa"/>
            <w:tcBorders>
              <w:top w:val="nil"/>
              <w:left w:val="nil"/>
              <w:bottom w:val="single" w:color="auto" w:sz="8" w:space="0"/>
              <w:right w:val="single" w:color="auto" w:sz="8" w:space="0"/>
            </w:tcBorders>
            <w:tcMar>
              <w:top w:w="0" w:type="dxa"/>
              <w:left w:w="108" w:type="dxa"/>
              <w:bottom w:w="0" w:type="dxa"/>
              <w:right w:w="108" w:type="dxa"/>
            </w:tcMar>
          </w:tcPr>
          <w:p w:rsidRPr="004D5BDF" w:rsidR="00E14493" w:rsidP="00A53FFD" w:rsidRDefault="00E14493" w14:paraId="1751B7F9" w14:textId="77777777">
            <w:pPr>
              <w:spacing w:after="0"/>
              <w:jc w:val="center"/>
              <w:rPr>
                <w:bCs/>
                <w:sz w:val="20"/>
                <w:szCs w:val="20"/>
              </w:rPr>
            </w:pPr>
            <w:r w:rsidRPr="004D5BDF">
              <w:rPr>
                <w:bCs/>
                <w:color w:val="000000"/>
                <w:sz w:val="20"/>
                <w:szCs w:val="20"/>
              </w:rPr>
              <w:t>633,159</w:t>
            </w:r>
          </w:p>
        </w:tc>
        <w:tc>
          <w:tcPr>
            <w:tcW w:w="1199" w:type="dxa"/>
            <w:tcBorders>
              <w:top w:val="nil"/>
              <w:left w:val="nil"/>
              <w:bottom w:val="single" w:color="auto" w:sz="8" w:space="0"/>
              <w:right w:val="single" w:color="auto" w:sz="8" w:space="0"/>
            </w:tcBorders>
            <w:tcMar>
              <w:top w:w="0" w:type="dxa"/>
              <w:left w:w="108" w:type="dxa"/>
              <w:bottom w:w="0" w:type="dxa"/>
              <w:right w:w="108" w:type="dxa"/>
            </w:tcMar>
          </w:tcPr>
          <w:p w:rsidRPr="004D5BDF" w:rsidR="00E14493" w:rsidP="00A53FFD" w:rsidRDefault="00E14493" w14:paraId="350B8DFB" w14:textId="77777777">
            <w:pPr>
              <w:spacing w:after="0"/>
              <w:jc w:val="center"/>
              <w:rPr>
                <w:bCs/>
                <w:sz w:val="20"/>
                <w:szCs w:val="20"/>
              </w:rPr>
            </w:pPr>
            <w:r w:rsidRPr="004D5BDF">
              <w:rPr>
                <w:bCs/>
                <w:sz w:val="20"/>
                <w:szCs w:val="20"/>
              </w:rPr>
              <w:t>Varies</w:t>
            </w:r>
          </w:p>
        </w:tc>
        <w:tc>
          <w:tcPr>
            <w:tcW w:w="1274" w:type="dxa"/>
            <w:tcBorders>
              <w:top w:val="nil"/>
              <w:left w:val="nil"/>
              <w:bottom w:val="single" w:color="auto" w:sz="8" w:space="0"/>
              <w:right w:val="single" w:color="auto" w:sz="8" w:space="0"/>
            </w:tcBorders>
            <w:tcMar>
              <w:top w:w="0" w:type="dxa"/>
              <w:left w:w="108" w:type="dxa"/>
              <w:bottom w:w="0" w:type="dxa"/>
              <w:right w:w="108" w:type="dxa"/>
            </w:tcMar>
          </w:tcPr>
          <w:p w:rsidRPr="004D5BDF" w:rsidR="00E14493" w:rsidP="00A53FFD" w:rsidRDefault="00E14493" w14:paraId="1752A486" w14:textId="77777777">
            <w:pPr>
              <w:spacing w:after="0"/>
              <w:jc w:val="center"/>
              <w:rPr>
                <w:bCs/>
                <w:sz w:val="20"/>
                <w:szCs w:val="20"/>
              </w:rPr>
            </w:pPr>
            <w:r w:rsidRPr="004D5BDF">
              <w:rPr>
                <w:color w:val="000000"/>
                <w:sz w:val="20"/>
                <w:szCs w:val="20"/>
              </w:rPr>
              <w:t>2,826,177</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4D5BDF" w:rsidR="00E14493" w:rsidP="00A53FFD" w:rsidRDefault="00E14493" w14:paraId="587E6BB4" w14:textId="77777777">
            <w:pPr>
              <w:spacing w:after="0"/>
              <w:jc w:val="center"/>
              <w:rPr>
                <w:bCs/>
                <w:sz w:val="20"/>
                <w:szCs w:val="20"/>
              </w:rPr>
            </w:pPr>
            <w:r w:rsidRPr="004D5BDF">
              <w:rPr>
                <w:bCs/>
                <w:sz w:val="20"/>
                <w:szCs w:val="20"/>
              </w:rPr>
              <w:t>Varies</w:t>
            </w:r>
          </w:p>
        </w:tc>
        <w:tc>
          <w:tcPr>
            <w:tcW w:w="1462" w:type="dxa"/>
            <w:tcBorders>
              <w:top w:val="nil"/>
              <w:left w:val="nil"/>
              <w:bottom w:val="single" w:color="auto" w:sz="8" w:space="0"/>
              <w:right w:val="single" w:color="auto" w:sz="8" w:space="0"/>
            </w:tcBorders>
            <w:tcMar>
              <w:top w:w="0" w:type="dxa"/>
              <w:left w:w="108" w:type="dxa"/>
              <w:bottom w:w="0" w:type="dxa"/>
              <w:right w:w="108" w:type="dxa"/>
            </w:tcMar>
          </w:tcPr>
          <w:p w:rsidRPr="004D5BDF" w:rsidR="00E14493" w:rsidP="00A53FFD" w:rsidRDefault="00E14493" w14:paraId="04F6B15F" w14:textId="77777777">
            <w:pPr>
              <w:spacing w:after="0"/>
              <w:jc w:val="center"/>
              <w:rPr>
                <w:bCs/>
                <w:sz w:val="20"/>
                <w:szCs w:val="20"/>
              </w:rPr>
            </w:pPr>
            <w:r w:rsidRPr="004D5BDF">
              <w:rPr>
                <w:sz w:val="20"/>
                <w:szCs w:val="20"/>
              </w:rPr>
              <w:t>285,085,066</w:t>
            </w:r>
          </w:p>
        </w:tc>
      </w:tr>
    </w:tbl>
    <w:p w:rsidR="00E14493" w:rsidP="00E14493" w:rsidRDefault="00E14493" w14:paraId="09F5DA86" w14:textId="619B548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rPr>
          <w:sz w:val="18"/>
          <w:szCs w:val="18"/>
        </w:rPr>
      </w:pPr>
      <w:r>
        <w:rPr>
          <w:sz w:val="18"/>
          <w:szCs w:val="18"/>
        </w:rPr>
        <w:t xml:space="preserve">* </w:t>
      </w:r>
      <w:r w:rsidRPr="001D15B8">
        <w:rPr>
          <w:sz w:val="18"/>
          <w:szCs w:val="18"/>
        </w:rPr>
        <w:t>With respect to the PRA, th</w:t>
      </w:r>
      <w:r>
        <w:rPr>
          <w:sz w:val="18"/>
          <w:szCs w:val="18"/>
        </w:rPr>
        <w:t>e</w:t>
      </w:r>
      <w:r w:rsidRPr="001D15B8">
        <w:rPr>
          <w:sz w:val="18"/>
          <w:szCs w:val="18"/>
        </w:rPr>
        <w:t xml:space="preserve"> </w:t>
      </w:r>
      <w:r>
        <w:rPr>
          <w:sz w:val="18"/>
          <w:szCs w:val="18"/>
        </w:rPr>
        <w:t xml:space="preserve">CY 2022 PFS proposed </w:t>
      </w:r>
      <w:r w:rsidRPr="001D15B8">
        <w:rPr>
          <w:sz w:val="18"/>
          <w:szCs w:val="18"/>
        </w:rPr>
        <w:t xml:space="preserve">rule </w:t>
      </w:r>
      <w:r>
        <w:rPr>
          <w:sz w:val="18"/>
          <w:szCs w:val="18"/>
        </w:rPr>
        <w:t>does</w:t>
      </w:r>
      <w:r w:rsidRPr="001D15B8">
        <w:rPr>
          <w:sz w:val="18"/>
          <w:szCs w:val="18"/>
        </w:rPr>
        <w:t xml:space="preserve"> not impose any non-labor costs</w:t>
      </w:r>
      <w:r>
        <w:rPr>
          <w:sz w:val="18"/>
          <w:szCs w:val="18"/>
        </w:rPr>
        <w:t xml:space="preserve">. The discrepancy in the amounts included in the “Total Cost” column between table </w:t>
      </w:r>
      <w:r w:rsidR="00BB3B90">
        <w:rPr>
          <w:sz w:val="18"/>
          <w:szCs w:val="18"/>
        </w:rPr>
        <w:t>42</w:t>
      </w:r>
      <w:r>
        <w:rPr>
          <w:sz w:val="18"/>
          <w:szCs w:val="18"/>
        </w:rPr>
        <w:t xml:space="preserve"> and table 3</w:t>
      </w:r>
      <w:r w:rsidR="00BB3B90">
        <w:rPr>
          <w:sz w:val="18"/>
          <w:szCs w:val="18"/>
        </w:rPr>
        <w:t>8</w:t>
      </w:r>
      <w:r>
        <w:rPr>
          <w:sz w:val="18"/>
          <w:szCs w:val="18"/>
        </w:rPr>
        <w:t xml:space="preserve"> is due to the updated wage estimates.</w:t>
      </w:r>
    </w:p>
    <w:p w:rsidR="00E14493" w:rsidP="00E14493" w:rsidRDefault="00E14493" w14:paraId="37CCFF7A" w14:textId="77777777"/>
    <w:p w:rsidRPr="00136D86" w:rsidR="002E06AF" w:rsidP="00136D86" w:rsidRDefault="00A64ED4" w14:paraId="6FDC9D40" w14:textId="1180BE45">
      <w:pPr>
        <w:pStyle w:val="Heading2"/>
      </w:pPr>
      <w:r w:rsidRPr="00136D86">
        <w:t>Publication and Tabulation Dates</w:t>
      </w:r>
    </w:p>
    <w:p w:rsidR="00602344" w:rsidP="00E12B53" w:rsidRDefault="005F2685" w14:paraId="07921F62" w14:textId="541BF02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order t</w:t>
      </w:r>
      <w:r w:rsidRPr="00602344">
        <w:t>o</w:t>
      </w:r>
      <w:r w:rsidRPr="00602344" w:rsidR="00602344">
        <w:t xml:space="preserve"> provide expert feedback to clinicians and </w:t>
      </w:r>
      <w:proofErr w:type="gramStart"/>
      <w:r w:rsidRPr="00602344" w:rsidR="00CE754A">
        <w:t>third</w:t>
      </w:r>
      <w:r w:rsidR="00D64F72">
        <w:t xml:space="preserve"> </w:t>
      </w:r>
      <w:r w:rsidRPr="00602344" w:rsidR="00CE754A">
        <w:t>party</w:t>
      </w:r>
      <w:proofErr w:type="gramEnd"/>
      <w:r w:rsidRPr="00602344" w:rsidR="00602344">
        <w:t xml:space="preserve"> data submitters in order to help clinicians provide high-value, patient-centered care to Medicare beneficiaries; we provide </w:t>
      </w:r>
      <w:r w:rsidRPr="00602344" w:rsidR="00602344">
        <w:lastRenderedPageBreak/>
        <w:t>performance feedback to MIPS eligible clinicians that includes MIPS quality, cost, improvement activities and Promoting Interoperability data</w:t>
      </w:r>
      <w:r w:rsidR="006E4132">
        <w:t xml:space="preserve">; </w:t>
      </w:r>
      <w:r w:rsidR="00BC2634">
        <w:t>MIPS performance category and final</w:t>
      </w:r>
      <w:r w:rsidR="00C07BA0">
        <w:t xml:space="preserve"> scores; and payment adjustment factors</w:t>
      </w:r>
      <w:r w:rsidRPr="00602344" w:rsidR="00602344">
        <w:t xml:space="preserve">.  These reports </w:t>
      </w:r>
      <w:r w:rsidR="00390730">
        <w:t>were made</w:t>
      </w:r>
      <w:r w:rsidRPr="00602344" w:rsidR="00602344">
        <w:t xml:space="preserve"> available starting in July 2018 at qpp.cms.gov. We </w:t>
      </w:r>
      <w:r w:rsidR="00390730">
        <w:t>have also</w:t>
      </w:r>
      <w:r w:rsidRPr="00602344" w:rsidR="00602344">
        <w:t xml:space="preserve"> </w:t>
      </w:r>
      <w:r w:rsidR="004E6E6D">
        <w:t>provided</w:t>
      </w:r>
      <w:r w:rsidRPr="00602344" w:rsidR="00602344">
        <w:t xml:space="preserve"> performance feedback to MIPS eligible clinicians who participate in MIPS APMs in 2018 and future years as technically feasible. This reflects our commitment to providing as timely information as possible to eligible clinicians to help th</w:t>
      </w:r>
      <w:r w:rsidR="00602344">
        <w:t xml:space="preserve">em predict their performance </w:t>
      </w:r>
      <w:r w:rsidRPr="00602344" w:rsidR="00602344">
        <w:t>in MIPS.</w:t>
      </w:r>
    </w:p>
    <w:p w:rsidRPr="0078551D" w:rsidR="0078551D" w:rsidP="00E12B53" w:rsidRDefault="0078551D" w14:paraId="7EB588B9" w14:textId="274707B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FF"/>
          <w:u w:val="single"/>
          <w:lang w:val="en"/>
        </w:rPr>
      </w:pPr>
      <w:r w:rsidRPr="00BC322D">
        <w:rPr>
          <w:rFonts w:eastAsia="Calibri"/>
        </w:rPr>
        <w:t xml:space="preserve">MIPS information </w:t>
      </w:r>
      <w:r w:rsidR="00064D6F">
        <w:rPr>
          <w:rFonts w:eastAsia="Calibri"/>
        </w:rPr>
        <w:t>is public</w:t>
      </w:r>
      <w:r w:rsidR="007E5083">
        <w:rPr>
          <w:rFonts w:eastAsia="Calibri"/>
        </w:rPr>
        <w:t xml:space="preserve">ly reported </w:t>
      </w:r>
      <w:r w:rsidRPr="00BC322D">
        <w:rPr>
          <w:rFonts w:eastAsia="Calibri"/>
        </w:rPr>
        <w:t xml:space="preserve">through the </w:t>
      </w:r>
      <w:r w:rsidR="00AE7DD8">
        <w:rPr>
          <w:rFonts w:eastAsia="Calibri"/>
        </w:rPr>
        <w:t>Care</w:t>
      </w:r>
      <w:r w:rsidRPr="000B4434">
        <w:rPr>
          <w:rFonts w:eastAsia="Calibri"/>
        </w:rPr>
        <w:t xml:space="preserve"> Compare</w:t>
      </w:r>
      <w:r w:rsidRPr="00BC322D">
        <w:rPr>
          <w:rFonts w:eastAsia="Calibri"/>
        </w:rPr>
        <w:t xml:space="preserve"> website</w:t>
      </w:r>
      <w:r>
        <w:rPr>
          <w:rFonts w:eastAsia="Calibri"/>
        </w:rPr>
        <w:t xml:space="preserve"> </w:t>
      </w:r>
      <w:r w:rsidR="002259A9">
        <w:rPr>
          <w:rFonts w:eastAsia="Calibri"/>
        </w:rPr>
        <w:t>(</w:t>
      </w:r>
      <w:hyperlink w:history="1" r:id="rId12">
        <w:r w:rsidRPr="009B6BAB" w:rsidR="00C810E9">
          <w:rPr>
            <w:rStyle w:val="Hyperlink"/>
            <w:rFonts w:eastAsia="Calibri"/>
          </w:rPr>
          <w:t>https://www.medicare.gov/care-compare/</w:t>
        </w:r>
      </w:hyperlink>
      <w:r w:rsidR="002259A9">
        <w:rPr>
          <w:rFonts w:eastAsia="Calibri"/>
        </w:rPr>
        <w:t>)</w:t>
      </w:r>
      <w:r w:rsidR="00C810E9">
        <w:rPr>
          <w:rFonts w:eastAsia="Calibri"/>
        </w:rPr>
        <w:t xml:space="preserve"> </w:t>
      </w:r>
      <w:r w:rsidR="007E5083">
        <w:rPr>
          <w:rFonts w:eastAsia="Calibri"/>
        </w:rPr>
        <w:t>both</w:t>
      </w:r>
      <w:r w:rsidRPr="00661E59">
        <w:rPr>
          <w:rFonts w:eastAsia="Calibri"/>
        </w:rPr>
        <w:t xml:space="preserve"> on public profile pages </w:t>
      </w:r>
      <w:r w:rsidR="007E5083">
        <w:rPr>
          <w:rFonts w:eastAsia="Calibri"/>
        </w:rPr>
        <w:t>and</w:t>
      </w:r>
      <w:r w:rsidRPr="00661E59">
        <w:rPr>
          <w:rFonts w:eastAsia="Calibri"/>
        </w:rPr>
        <w:t xml:space="preserve"> via the Downloadable Database </w:t>
      </w:r>
      <w:r w:rsidR="000E7BB4">
        <w:rPr>
          <w:rFonts w:eastAsia="Calibri"/>
        </w:rPr>
        <w:t xml:space="preserve">as discussed at </w:t>
      </w:r>
      <w:hyperlink w:history="1" r:id="rId13">
        <w:r w:rsidRPr="002368E8" w:rsidR="000E7BB4">
          <w:rPr>
            <w:rStyle w:val="Hyperlink"/>
            <w:snapToGrid w:val="0"/>
            <w:lang w:val="en"/>
          </w:rPr>
          <w:t>https://www.cms.gov/medicare/quality-initiatives-patient-assessment-instruments/physician-compare-initiative/</w:t>
        </w:r>
      </w:hyperlink>
      <w:r w:rsidR="000E7BB4">
        <w:rPr>
          <w:rStyle w:val="Hyperlink"/>
          <w:snapToGrid w:val="0"/>
          <w:lang w:val="en"/>
        </w:rPr>
        <w:t>.</w:t>
      </w:r>
      <w:r w:rsidRPr="008101FB" w:rsidR="000E7BB4">
        <w:rPr>
          <w:rStyle w:val="Hyperlink"/>
          <w:snapToGrid w:val="0"/>
          <w:u w:val="none"/>
          <w:lang w:val="en"/>
        </w:rPr>
        <w:t xml:space="preserve">  </w:t>
      </w:r>
      <w:r w:rsidR="00485488">
        <w:rPr>
          <w:rFonts w:eastAsia="Calibri"/>
        </w:rPr>
        <w:t>2017, 2018</w:t>
      </w:r>
      <w:r w:rsidR="00F834F5">
        <w:rPr>
          <w:rFonts w:eastAsia="Calibri"/>
        </w:rPr>
        <w:t>, and 2019</w:t>
      </w:r>
      <w:r w:rsidR="009B7334">
        <w:rPr>
          <w:rFonts w:eastAsia="Calibri"/>
        </w:rPr>
        <w:t xml:space="preserve"> </w:t>
      </w:r>
      <w:r w:rsidR="002E0702">
        <w:rPr>
          <w:rFonts w:eastAsia="Calibri"/>
        </w:rPr>
        <w:t xml:space="preserve">Quality Payment Program performance information has been made available </w:t>
      </w:r>
      <w:r w:rsidR="00E21D5D">
        <w:rPr>
          <w:rFonts w:eastAsia="Calibri"/>
        </w:rPr>
        <w:t>for public review</w:t>
      </w:r>
      <w:r w:rsidR="00BB7F72">
        <w:rPr>
          <w:rFonts w:eastAsia="Calibri"/>
        </w:rPr>
        <w:t>.</w:t>
      </w:r>
      <w:r w:rsidR="00B237E8">
        <w:rPr>
          <w:rFonts w:eastAsia="Calibri"/>
        </w:rPr>
        <w:t xml:space="preserve">  </w:t>
      </w:r>
    </w:p>
    <w:p w:rsidR="0078551D" w:rsidP="00E12B53" w:rsidRDefault="0078551D" w14:paraId="154B23CF" w14:textId="1881579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lang w:val="en"/>
        </w:rPr>
      </w:pPr>
      <w:r>
        <w:rPr>
          <w:snapToGrid w:val="0"/>
          <w:lang w:val="en"/>
        </w:rPr>
        <w:t xml:space="preserve">We plan to provide </w:t>
      </w:r>
      <w:r w:rsidRPr="00374887">
        <w:t>relevant data to other federal and state agencies,</w:t>
      </w:r>
      <w:r w:rsidRPr="00214390">
        <w:t xml:space="preserve"> Quality Improvement Networks, and parties assisting consumers, for use in administering or conducting </w:t>
      </w:r>
      <w:r w:rsidRPr="00214390" w:rsidR="00485488">
        <w:t>federally funded</w:t>
      </w:r>
      <w:r w:rsidRPr="00214390">
        <w:t xml:space="preserve"> health benefit programs, payment and claims processes, quality improvement outreach and reviews, and transparency projects.</w:t>
      </w:r>
    </w:p>
    <w:p w:rsidRPr="00136D86" w:rsidR="002E06AF" w:rsidP="00136D86" w:rsidRDefault="00A64ED4" w14:paraId="74767B5A" w14:textId="53DDB143">
      <w:pPr>
        <w:pStyle w:val="Heading2"/>
      </w:pPr>
      <w:r w:rsidRPr="00136D86">
        <w:t>Expiration Date</w:t>
      </w:r>
    </w:p>
    <w:p w:rsidR="0078551D" w:rsidP="0023292D" w:rsidRDefault="0078551D" w14:paraId="2703DFBE" w14:textId="3772C30C">
      <w:pPr>
        <w:keepNext/>
        <w:keepLines/>
        <w:jc w:val="both"/>
        <w:rPr>
          <w:szCs w:val="20"/>
        </w:rPr>
      </w:pPr>
      <w:r w:rsidRPr="0000329D">
        <w:rPr>
          <w:szCs w:val="20"/>
        </w:rPr>
        <w:t xml:space="preserve">The expiration date </w:t>
      </w:r>
      <w:r w:rsidR="001B46E4">
        <w:rPr>
          <w:szCs w:val="20"/>
        </w:rPr>
        <w:t xml:space="preserve">is </w:t>
      </w:r>
      <w:r w:rsidRPr="0000329D">
        <w:rPr>
          <w:szCs w:val="20"/>
        </w:rPr>
        <w:t xml:space="preserve">displayed on </w:t>
      </w:r>
      <w:r>
        <w:rPr>
          <w:szCs w:val="20"/>
        </w:rPr>
        <w:t xml:space="preserve">all </w:t>
      </w:r>
      <w:r w:rsidRPr="0000329D">
        <w:rPr>
          <w:szCs w:val="20"/>
        </w:rPr>
        <w:t>web-based data collection forms</w:t>
      </w:r>
      <w:r>
        <w:rPr>
          <w:szCs w:val="20"/>
        </w:rPr>
        <w:t>.</w:t>
      </w:r>
    </w:p>
    <w:p w:rsidRPr="00136D86" w:rsidR="002E06AF" w:rsidP="00136D86" w:rsidRDefault="00A64ED4" w14:paraId="7FB4A24D" w14:textId="0F66DDA4">
      <w:pPr>
        <w:pStyle w:val="Heading2"/>
      </w:pPr>
      <w:r w:rsidRPr="00136D86">
        <w:t>Certification Statement</w:t>
      </w:r>
    </w:p>
    <w:p w:rsidRPr="00A95513" w:rsidR="00A64ED4" w:rsidP="00EB5476" w:rsidRDefault="0078551D" w14:paraId="7E5277CC" w14:textId="159C04B5">
      <w:pPr>
        <w:jc w:val="both"/>
        <w:rPr>
          <w:b/>
          <w:u w:val="single"/>
        </w:rPr>
      </w:pPr>
      <w:r w:rsidRPr="0007426C">
        <w:rPr>
          <w:szCs w:val="20"/>
        </w:rPr>
        <w:t>There are no exceptions to the certification statement.</w:t>
      </w:r>
    </w:p>
    <w:sectPr w:rsidRPr="00A95513" w:rsidR="00A64ED4" w:rsidSect="00333EB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3C0B9" w14:textId="77777777" w:rsidR="001F5F71" w:rsidRDefault="001F5F71" w:rsidP="007D4251">
      <w:r>
        <w:separator/>
      </w:r>
    </w:p>
  </w:endnote>
  <w:endnote w:type="continuationSeparator" w:id="0">
    <w:p w14:paraId="62067761" w14:textId="77777777" w:rsidR="001F5F71" w:rsidRDefault="001F5F71" w:rsidP="007D4251">
      <w:r>
        <w:continuationSeparator/>
      </w:r>
    </w:p>
  </w:endnote>
  <w:endnote w:type="continuationNotice" w:id="1">
    <w:p w14:paraId="0B07D26A" w14:textId="77777777" w:rsidR="001F5F71" w:rsidRDefault="001F5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133490"/>
      <w:docPartObj>
        <w:docPartGallery w:val="Page Numbers (Bottom of Page)"/>
        <w:docPartUnique/>
      </w:docPartObj>
    </w:sdtPr>
    <w:sdtEndPr>
      <w:rPr>
        <w:noProof/>
      </w:rPr>
    </w:sdtEndPr>
    <w:sdtContent>
      <w:p w14:paraId="1CCAC9E7" w14:textId="0DDD4B17" w:rsidR="000D3A0E" w:rsidRDefault="000D3A0E">
        <w:pPr>
          <w:pStyle w:val="Footer"/>
          <w:jc w:val="right"/>
        </w:pPr>
        <w:r>
          <w:fldChar w:fldCharType="begin"/>
        </w:r>
        <w:r>
          <w:instrText xml:space="preserve"> PAGE   \* MERGEFORMAT </w:instrText>
        </w:r>
        <w:r>
          <w:fldChar w:fldCharType="separate"/>
        </w:r>
        <w:r>
          <w:rPr>
            <w:noProof/>
          </w:rPr>
          <w:t>70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7879C" w14:textId="77777777" w:rsidR="001F5F71" w:rsidRDefault="001F5F71" w:rsidP="007D4251">
      <w:r>
        <w:separator/>
      </w:r>
    </w:p>
  </w:footnote>
  <w:footnote w:type="continuationSeparator" w:id="0">
    <w:p w14:paraId="438B3576" w14:textId="77777777" w:rsidR="001F5F71" w:rsidRDefault="001F5F71" w:rsidP="007D4251">
      <w:r>
        <w:continuationSeparator/>
      </w:r>
    </w:p>
  </w:footnote>
  <w:footnote w:type="continuationNotice" w:id="1">
    <w:p w14:paraId="58724431" w14:textId="77777777" w:rsidR="001F5F71" w:rsidRDefault="001F5F71"/>
  </w:footnote>
  <w:footnote w:id="2">
    <w:p w14:paraId="223CA378" w14:textId="7E8FC80A" w:rsidR="000D3A0E" w:rsidRPr="00D15988" w:rsidRDefault="000D3A0E" w:rsidP="00F049CC">
      <w:pPr>
        <w:pStyle w:val="FootnoteText"/>
        <w:spacing w:after="0"/>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Cost performance category measures do not require the collection of additional data because they are derived from the Medicare Parts A and B claims.</w:t>
      </w:r>
    </w:p>
  </w:footnote>
  <w:footnote w:id="3">
    <w:p w14:paraId="448D18FA" w14:textId="4490D199" w:rsidR="000D3A0E" w:rsidRPr="00D15988" w:rsidRDefault="000D3A0E" w:rsidP="00F049CC">
      <w:pPr>
        <w:pStyle w:val="FootnoteText"/>
        <w:spacing w:after="0"/>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The use of CMS-approved survey vendors is not included in this PRA package. CMS has requested approval for the collection of CAHPS for MIPS data via CMS-approved survey vendors in a separate PRA package (OMB Control Number 0938-1222).</w:t>
      </w:r>
    </w:p>
  </w:footnote>
  <w:footnote w:id="4">
    <w:p w14:paraId="1DB45198" w14:textId="7A5BF110" w:rsidR="000D3A0E" w:rsidRPr="00D15988" w:rsidRDefault="000D3A0E" w:rsidP="003022E0">
      <w:pPr>
        <w:pStyle w:val="FootnoteText"/>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For further detail on MIPS exclusions, see Supporting Statement B and the Regulatory Impact Analysis Section of the CY 202</w:t>
      </w:r>
      <w:r>
        <w:rPr>
          <w:rFonts w:ascii="Times New Roman" w:hAnsi="Times New Roman" w:cs="Times New Roman"/>
          <w:sz w:val="20"/>
        </w:rPr>
        <w:t>2</w:t>
      </w:r>
      <w:r w:rsidRPr="00D15988">
        <w:rPr>
          <w:rFonts w:ascii="Times New Roman" w:hAnsi="Times New Roman" w:cs="Times New Roman"/>
          <w:sz w:val="20"/>
        </w:rPr>
        <w:t xml:space="preserve"> PFS </w:t>
      </w:r>
      <w:r>
        <w:rPr>
          <w:rFonts w:ascii="Times New Roman" w:hAnsi="Times New Roman" w:cs="Times New Roman"/>
          <w:sz w:val="20"/>
        </w:rPr>
        <w:t>proposed</w:t>
      </w:r>
      <w:r w:rsidRPr="00D15988">
        <w:rPr>
          <w:rFonts w:ascii="Times New Roman" w:hAnsi="Times New Roman" w:cs="Times New Roman"/>
          <w:sz w:val="20"/>
        </w:rPr>
        <w:t xml:space="preserve"> rule.</w:t>
      </w:r>
    </w:p>
  </w:footnote>
  <w:footnote w:id="5">
    <w:p w14:paraId="34022E9B" w14:textId="3EBD8436" w:rsidR="000D3A0E" w:rsidRPr="00D15988" w:rsidRDefault="000D3A0E">
      <w:pPr>
        <w:pStyle w:val="FootnoteText"/>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Lawrence P. Casalino et al, “US Physician Practices Spend More than $15.4 Billion Annually to Report Quality Measures,” Health Affairs, 35, no. 3 (2016): 401-406.</w:t>
      </w:r>
    </w:p>
  </w:footnote>
  <w:footnote w:id="6">
    <w:p w14:paraId="125E619D" w14:textId="738A8716" w:rsidR="000D3A0E" w:rsidRPr="00D15988" w:rsidRDefault="000D3A0E">
      <w:pPr>
        <w:pStyle w:val="FootnoteText"/>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We do not anticipate any changes in the CEHRT process for health IT vendors as we transition to MIPS.  Hence, health IT vendors are not included in the burden estimates for MIPS.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2659"/>
    <w:multiLevelType w:val="hybridMultilevel"/>
    <w:tmpl w:val="A57E5680"/>
    <w:lvl w:ilvl="0" w:tplc="0980C0FC">
      <w:start w:val="1"/>
      <w:numFmt w:val="lowerRoman"/>
      <w:pStyle w:val="Heading4"/>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B733A0"/>
    <w:multiLevelType w:val="hybridMultilevel"/>
    <w:tmpl w:val="2A50933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562B8"/>
    <w:multiLevelType w:val="hybridMultilevel"/>
    <w:tmpl w:val="CA141DE4"/>
    <w:lvl w:ilvl="0" w:tplc="DFF66690">
      <w:start w:val="1"/>
      <w:numFmt w:val="upperLetter"/>
      <w:lvlText w:val="%1"/>
      <w:lvlJc w:val="left"/>
      <w:pPr>
        <w:ind w:left="720" w:hanging="360"/>
      </w:pPr>
      <w:rPr>
        <w:rFonts w:hint="default"/>
      </w:rPr>
    </w:lvl>
    <w:lvl w:ilvl="1" w:tplc="0F6E360E">
      <w:start w:val="1"/>
      <w:numFmt w:val="decimal"/>
      <w:lvlText w:val="%2."/>
      <w:lvlJc w:val="left"/>
      <w:pPr>
        <w:ind w:left="1620" w:hanging="360"/>
      </w:pPr>
      <w:rPr>
        <w:rFonts w:hint="default"/>
      </w:rPr>
    </w:lvl>
    <w:lvl w:ilvl="2" w:tplc="3B8E213E">
      <w:start w:val="1"/>
      <w:numFmt w:val="lowerLetter"/>
      <w:lvlText w:val="%3."/>
      <w:lvlJc w:val="right"/>
      <w:pPr>
        <w:ind w:left="2160" w:hanging="360"/>
      </w:pPr>
      <w:rPr>
        <w:rFonts w:hint="default"/>
      </w:rPr>
    </w:lvl>
    <w:lvl w:ilvl="3" w:tplc="C828194A">
      <w:start w:val="1"/>
      <w:numFmt w:val="lowerRoman"/>
      <w:lvlText w:val="%4"/>
      <w:lvlJc w:val="left"/>
      <w:pPr>
        <w:ind w:left="2880" w:hanging="360"/>
      </w:pPr>
      <w:rPr>
        <w:rFonts w:hint="default"/>
      </w:rPr>
    </w:lvl>
    <w:lvl w:ilvl="4" w:tplc="AEEC46D6">
      <w:start w:val="1"/>
      <w:numFmt w:val="lowerLetter"/>
      <w:lvlText w:val="%5."/>
      <w:lvlJc w:val="left"/>
      <w:pPr>
        <w:ind w:left="3600" w:hanging="360"/>
      </w:pPr>
      <w:rPr>
        <w:rFonts w:hint="default"/>
      </w:rPr>
    </w:lvl>
    <w:lvl w:ilvl="5" w:tplc="EB76BF36">
      <w:start w:val="1"/>
      <w:numFmt w:val="lowerRoman"/>
      <w:lvlText w:val="%6."/>
      <w:lvlJc w:val="right"/>
      <w:pPr>
        <w:ind w:left="4320" w:hanging="360"/>
      </w:pPr>
      <w:rPr>
        <w:rFonts w:hint="default"/>
      </w:rPr>
    </w:lvl>
    <w:lvl w:ilvl="6" w:tplc="2A484FD8">
      <w:start w:val="1"/>
      <w:numFmt w:val="decimal"/>
      <w:lvlText w:val="%7."/>
      <w:lvlJc w:val="left"/>
      <w:pPr>
        <w:ind w:left="5040" w:hanging="360"/>
      </w:pPr>
      <w:rPr>
        <w:rFonts w:hint="default"/>
      </w:rPr>
    </w:lvl>
    <w:lvl w:ilvl="7" w:tplc="867A9170">
      <w:start w:val="1"/>
      <w:numFmt w:val="lowerLetter"/>
      <w:lvlText w:val="%8."/>
      <w:lvlJc w:val="left"/>
      <w:pPr>
        <w:ind w:left="5760" w:hanging="360"/>
      </w:pPr>
      <w:rPr>
        <w:rFonts w:hint="default"/>
      </w:rPr>
    </w:lvl>
    <w:lvl w:ilvl="8" w:tplc="155CC662">
      <w:start w:val="1"/>
      <w:numFmt w:val="lowerRoman"/>
      <w:lvlText w:val="%9."/>
      <w:lvlJc w:val="right"/>
      <w:pPr>
        <w:ind w:left="6480" w:hanging="360"/>
      </w:pPr>
      <w:rPr>
        <w:rFonts w:hint="default"/>
      </w:rPr>
    </w:lvl>
  </w:abstractNum>
  <w:abstractNum w:abstractNumId="3" w15:restartNumberingAfterBreak="0">
    <w:nsid w:val="0981542C"/>
    <w:multiLevelType w:val="hybridMultilevel"/>
    <w:tmpl w:val="E7FE9874"/>
    <w:lvl w:ilvl="0" w:tplc="E3641134">
      <w:start w:val="1"/>
      <w:numFmt w:val="upperLetter"/>
      <w:lvlText w:val="%1"/>
      <w:lvlJc w:val="left"/>
      <w:pPr>
        <w:ind w:left="720" w:hanging="360"/>
      </w:pPr>
      <w:rPr>
        <w:rFonts w:hint="default"/>
      </w:rPr>
    </w:lvl>
    <w:lvl w:ilvl="1" w:tplc="7534BAD0">
      <w:start w:val="1"/>
      <w:numFmt w:val="decimal"/>
      <w:pStyle w:val="Heading2"/>
      <w:lvlText w:val="%2."/>
      <w:lvlJc w:val="left"/>
      <w:pPr>
        <w:ind w:left="1440" w:hanging="360"/>
      </w:pPr>
      <w:rPr>
        <w:rFonts w:hint="default"/>
      </w:rPr>
    </w:lvl>
    <w:lvl w:ilvl="2" w:tplc="37BC8706">
      <w:start w:val="1"/>
      <w:numFmt w:val="lowerLetter"/>
      <w:lvlText w:val="%3."/>
      <w:lvlJc w:val="right"/>
      <w:pPr>
        <w:ind w:left="2160" w:hanging="360"/>
      </w:pPr>
      <w:rPr>
        <w:rFonts w:hint="default"/>
      </w:rPr>
    </w:lvl>
    <w:lvl w:ilvl="3" w:tplc="66E6DE74">
      <w:start w:val="1"/>
      <w:numFmt w:val="lowerRoman"/>
      <w:lvlText w:val="%4"/>
      <w:lvlJc w:val="left"/>
      <w:pPr>
        <w:ind w:left="2880" w:hanging="360"/>
      </w:pPr>
      <w:rPr>
        <w:rFonts w:hint="default"/>
      </w:rPr>
    </w:lvl>
    <w:lvl w:ilvl="4" w:tplc="B5286724">
      <w:start w:val="1"/>
      <w:numFmt w:val="lowerLetter"/>
      <w:lvlText w:val="%5."/>
      <w:lvlJc w:val="left"/>
      <w:pPr>
        <w:ind w:left="3600" w:hanging="360"/>
      </w:pPr>
      <w:rPr>
        <w:rFonts w:hint="default"/>
      </w:rPr>
    </w:lvl>
    <w:lvl w:ilvl="5" w:tplc="4DE82DF2">
      <w:start w:val="1"/>
      <w:numFmt w:val="lowerRoman"/>
      <w:lvlText w:val="%6."/>
      <w:lvlJc w:val="right"/>
      <w:pPr>
        <w:ind w:left="4320" w:hanging="360"/>
      </w:pPr>
      <w:rPr>
        <w:rFonts w:hint="default"/>
      </w:rPr>
    </w:lvl>
    <w:lvl w:ilvl="6" w:tplc="EA98740A">
      <w:start w:val="1"/>
      <w:numFmt w:val="decimal"/>
      <w:lvlText w:val="%7."/>
      <w:lvlJc w:val="left"/>
      <w:pPr>
        <w:ind w:left="5040" w:hanging="360"/>
      </w:pPr>
      <w:rPr>
        <w:rFonts w:hint="default"/>
      </w:rPr>
    </w:lvl>
    <w:lvl w:ilvl="7" w:tplc="2AEC08FC">
      <w:start w:val="1"/>
      <w:numFmt w:val="lowerLetter"/>
      <w:lvlText w:val="%8."/>
      <w:lvlJc w:val="left"/>
      <w:pPr>
        <w:ind w:left="5760" w:hanging="360"/>
      </w:pPr>
      <w:rPr>
        <w:rFonts w:hint="default"/>
      </w:rPr>
    </w:lvl>
    <w:lvl w:ilvl="8" w:tplc="14F69066">
      <w:start w:val="1"/>
      <w:numFmt w:val="lowerRoman"/>
      <w:lvlText w:val="%9."/>
      <w:lvlJc w:val="right"/>
      <w:pPr>
        <w:ind w:left="6480" w:hanging="360"/>
      </w:pPr>
      <w:rPr>
        <w:rFonts w:hint="default"/>
      </w:rPr>
    </w:lvl>
  </w:abstractNum>
  <w:abstractNum w:abstractNumId="4" w15:restartNumberingAfterBreak="0">
    <w:nsid w:val="176D68A5"/>
    <w:multiLevelType w:val="hybridMultilevel"/>
    <w:tmpl w:val="CA141DE4"/>
    <w:lvl w:ilvl="0" w:tplc="D54EA614">
      <w:start w:val="1"/>
      <w:numFmt w:val="upperLetter"/>
      <w:lvlText w:val="%1"/>
      <w:lvlJc w:val="left"/>
      <w:pPr>
        <w:ind w:left="720" w:hanging="360"/>
      </w:pPr>
      <w:rPr>
        <w:rFonts w:hint="default"/>
      </w:rPr>
    </w:lvl>
    <w:lvl w:ilvl="1" w:tplc="EF7272D8">
      <w:start w:val="1"/>
      <w:numFmt w:val="decimal"/>
      <w:lvlText w:val="%2."/>
      <w:lvlJc w:val="left"/>
      <w:pPr>
        <w:ind w:left="1620" w:hanging="360"/>
      </w:pPr>
      <w:rPr>
        <w:rFonts w:hint="default"/>
      </w:rPr>
    </w:lvl>
    <w:lvl w:ilvl="2" w:tplc="4EDCC07C">
      <w:start w:val="1"/>
      <w:numFmt w:val="lowerLetter"/>
      <w:lvlText w:val="%3."/>
      <w:lvlJc w:val="right"/>
      <w:pPr>
        <w:ind w:left="2160" w:hanging="360"/>
      </w:pPr>
      <w:rPr>
        <w:rFonts w:hint="default"/>
      </w:rPr>
    </w:lvl>
    <w:lvl w:ilvl="3" w:tplc="0D7A509A">
      <w:start w:val="1"/>
      <w:numFmt w:val="lowerRoman"/>
      <w:lvlText w:val="%4"/>
      <w:lvlJc w:val="left"/>
      <w:pPr>
        <w:ind w:left="2880" w:hanging="360"/>
      </w:pPr>
      <w:rPr>
        <w:rFonts w:hint="default"/>
      </w:rPr>
    </w:lvl>
    <w:lvl w:ilvl="4" w:tplc="B95CA496">
      <w:start w:val="1"/>
      <w:numFmt w:val="lowerLetter"/>
      <w:lvlText w:val="%5."/>
      <w:lvlJc w:val="left"/>
      <w:pPr>
        <w:ind w:left="3600" w:hanging="360"/>
      </w:pPr>
      <w:rPr>
        <w:rFonts w:hint="default"/>
      </w:rPr>
    </w:lvl>
    <w:lvl w:ilvl="5" w:tplc="8D66FEFA">
      <w:start w:val="1"/>
      <w:numFmt w:val="lowerRoman"/>
      <w:lvlText w:val="%6."/>
      <w:lvlJc w:val="right"/>
      <w:pPr>
        <w:ind w:left="4320" w:hanging="360"/>
      </w:pPr>
      <w:rPr>
        <w:rFonts w:hint="default"/>
      </w:rPr>
    </w:lvl>
    <w:lvl w:ilvl="6" w:tplc="50762D70">
      <w:start w:val="1"/>
      <w:numFmt w:val="decimal"/>
      <w:lvlText w:val="%7."/>
      <w:lvlJc w:val="left"/>
      <w:pPr>
        <w:ind w:left="5040" w:hanging="360"/>
      </w:pPr>
      <w:rPr>
        <w:rFonts w:hint="default"/>
      </w:rPr>
    </w:lvl>
    <w:lvl w:ilvl="7" w:tplc="7E3673F2">
      <w:start w:val="1"/>
      <w:numFmt w:val="lowerLetter"/>
      <w:lvlText w:val="%8."/>
      <w:lvlJc w:val="left"/>
      <w:pPr>
        <w:ind w:left="5760" w:hanging="360"/>
      </w:pPr>
      <w:rPr>
        <w:rFonts w:hint="default"/>
      </w:rPr>
    </w:lvl>
    <w:lvl w:ilvl="8" w:tplc="713469A0">
      <w:start w:val="1"/>
      <w:numFmt w:val="lowerRoman"/>
      <w:lvlText w:val="%9."/>
      <w:lvlJc w:val="right"/>
      <w:pPr>
        <w:ind w:left="6480" w:hanging="360"/>
      </w:pPr>
      <w:rPr>
        <w:rFonts w:hint="default"/>
      </w:rPr>
    </w:lvl>
  </w:abstractNum>
  <w:abstractNum w:abstractNumId="5" w15:restartNumberingAfterBreak="0">
    <w:nsid w:val="1C7C6F64"/>
    <w:multiLevelType w:val="multilevel"/>
    <w:tmpl w:val="0616E6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6" w15:restartNumberingAfterBreak="0">
    <w:nsid w:val="1FAC5016"/>
    <w:multiLevelType w:val="hybridMultilevel"/>
    <w:tmpl w:val="3FC25BE4"/>
    <w:lvl w:ilvl="0" w:tplc="796CC6CE">
      <w:start w:val="1"/>
      <w:numFmt w:val="upperLetter"/>
      <w:lvlText w:val="%1"/>
      <w:lvlJc w:val="left"/>
      <w:pPr>
        <w:ind w:left="720" w:hanging="360"/>
      </w:pPr>
      <w:rPr>
        <w:rFonts w:hint="default"/>
      </w:rPr>
    </w:lvl>
    <w:lvl w:ilvl="1" w:tplc="5E183582">
      <w:start w:val="1"/>
      <w:numFmt w:val="decimal"/>
      <w:lvlText w:val="%2."/>
      <w:lvlJc w:val="left"/>
      <w:pPr>
        <w:ind w:left="1440" w:hanging="360"/>
      </w:pPr>
      <w:rPr>
        <w:rFonts w:hint="default"/>
      </w:rPr>
    </w:lvl>
    <w:lvl w:ilvl="2" w:tplc="3504403A">
      <w:start w:val="1"/>
      <w:numFmt w:val="lowerLetter"/>
      <w:pStyle w:val="Heading3"/>
      <w:lvlText w:val="%3."/>
      <w:lvlJc w:val="right"/>
      <w:pPr>
        <w:ind w:left="2160" w:hanging="360"/>
      </w:pPr>
      <w:rPr>
        <w:rFonts w:hint="default"/>
      </w:rPr>
    </w:lvl>
    <w:lvl w:ilvl="3" w:tplc="6608AAD0">
      <w:start w:val="1"/>
      <w:numFmt w:val="lowerRoman"/>
      <w:lvlText w:val="%4"/>
      <w:lvlJc w:val="left"/>
      <w:pPr>
        <w:ind w:left="2880" w:hanging="360"/>
      </w:pPr>
      <w:rPr>
        <w:rFonts w:hint="default"/>
      </w:rPr>
    </w:lvl>
    <w:lvl w:ilvl="4" w:tplc="80CECA12">
      <w:start w:val="1"/>
      <w:numFmt w:val="lowerLetter"/>
      <w:lvlText w:val="%5."/>
      <w:lvlJc w:val="left"/>
      <w:pPr>
        <w:ind w:left="3600" w:hanging="360"/>
      </w:pPr>
      <w:rPr>
        <w:rFonts w:hint="default"/>
      </w:rPr>
    </w:lvl>
    <w:lvl w:ilvl="5" w:tplc="958A733A">
      <w:start w:val="1"/>
      <w:numFmt w:val="lowerRoman"/>
      <w:lvlText w:val="%6."/>
      <w:lvlJc w:val="right"/>
      <w:pPr>
        <w:ind w:left="4320" w:hanging="360"/>
      </w:pPr>
      <w:rPr>
        <w:rFonts w:hint="default"/>
      </w:rPr>
    </w:lvl>
    <w:lvl w:ilvl="6" w:tplc="DFC2952A">
      <w:start w:val="1"/>
      <w:numFmt w:val="decimal"/>
      <w:lvlText w:val="%7."/>
      <w:lvlJc w:val="left"/>
      <w:pPr>
        <w:ind w:left="5040" w:hanging="360"/>
      </w:pPr>
      <w:rPr>
        <w:rFonts w:hint="default"/>
      </w:rPr>
    </w:lvl>
    <w:lvl w:ilvl="7" w:tplc="10D8893A">
      <w:start w:val="1"/>
      <w:numFmt w:val="lowerLetter"/>
      <w:lvlText w:val="%8."/>
      <w:lvlJc w:val="left"/>
      <w:pPr>
        <w:ind w:left="5760" w:hanging="360"/>
      </w:pPr>
      <w:rPr>
        <w:rFonts w:hint="default"/>
      </w:rPr>
    </w:lvl>
    <w:lvl w:ilvl="8" w:tplc="E6A86834">
      <w:start w:val="1"/>
      <w:numFmt w:val="lowerRoman"/>
      <w:lvlText w:val="%9."/>
      <w:lvlJc w:val="right"/>
      <w:pPr>
        <w:ind w:left="6480" w:hanging="360"/>
      </w:pPr>
      <w:rPr>
        <w:rFonts w:hint="default"/>
      </w:rPr>
    </w:lvl>
  </w:abstractNum>
  <w:abstractNum w:abstractNumId="7" w15:restartNumberingAfterBreak="0">
    <w:nsid w:val="200C2DC2"/>
    <w:multiLevelType w:val="hybridMultilevel"/>
    <w:tmpl w:val="AEBAB086"/>
    <w:lvl w:ilvl="0" w:tplc="0CC2D036">
      <w:start w:val="1"/>
      <w:numFmt w:val="upperLetter"/>
      <w:pStyle w:val="Heading1"/>
      <w:lvlText w:val="%1."/>
      <w:lvlJc w:val="left"/>
      <w:pPr>
        <w:ind w:left="720" w:hanging="360"/>
      </w:pPr>
      <w:rPr>
        <w:rFonts w:hint="default"/>
      </w:rPr>
    </w:lvl>
    <w:lvl w:ilvl="1" w:tplc="1EC4A89E">
      <w:start w:val="1"/>
      <w:numFmt w:val="decimal"/>
      <w:lvlText w:val="%2"/>
      <w:lvlJc w:val="left"/>
      <w:pPr>
        <w:ind w:left="1440" w:hanging="360"/>
      </w:pPr>
      <w:rPr>
        <w:rFonts w:hint="default"/>
      </w:rPr>
    </w:lvl>
    <w:lvl w:ilvl="2" w:tplc="480EA7BC">
      <w:start w:val="1"/>
      <w:numFmt w:val="lowerLetter"/>
      <w:lvlText w:val="%3."/>
      <w:lvlJc w:val="right"/>
      <w:pPr>
        <w:ind w:left="2160" w:hanging="360"/>
      </w:pPr>
      <w:rPr>
        <w:rFonts w:hint="default"/>
      </w:rPr>
    </w:lvl>
    <w:lvl w:ilvl="3" w:tplc="8C4CC620">
      <w:start w:val="1"/>
      <w:numFmt w:val="lowerRoman"/>
      <w:lvlText w:val="%4"/>
      <w:lvlJc w:val="left"/>
      <w:pPr>
        <w:ind w:left="2880" w:hanging="360"/>
      </w:pPr>
      <w:rPr>
        <w:rFonts w:hint="default"/>
      </w:rPr>
    </w:lvl>
    <w:lvl w:ilvl="4" w:tplc="4CB2DCDC">
      <w:start w:val="1"/>
      <w:numFmt w:val="lowerLetter"/>
      <w:lvlText w:val="%5."/>
      <w:lvlJc w:val="left"/>
      <w:pPr>
        <w:ind w:left="3600" w:hanging="360"/>
      </w:pPr>
      <w:rPr>
        <w:rFonts w:hint="default"/>
      </w:rPr>
    </w:lvl>
    <w:lvl w:ilvl="5" w:tplc="98BE33D0">
      <w:start w:val="1"/>
      <w:numFmt w:val="lowerRoman"/>
      <w:lvlText w:val="%6."/>
      <w:lvlJc w:val="right"/>
      <w:pPr>
        <w:ind w:left="4320" w:hanging="360"/>
      </w:pPr>
      <w:rPr>
        <w:rFonts w:hint="default"/>
      </w:rPr>
    </w:lvl>
    <w:lvl w:ilvl="6" w:tplc="0E90EB2C">
      <w:start w:val="1"/>
      <w:numFmt w:val="decimal"/>
      <w:lvlText w:val="%7."/>
      <w:lvlJc w:val="left"/>
      <w:pPr>
        <w:ind w:left="5040" w:hanging="360"/>
      </w:pPr>
      <w:rPr>
        <w:rFonts w:hint="default"/>
      </w:rPr>
    </w:lvl>
    <w:lvl w:ilvl="7" w:tplc="7564F016">
      <w:start w:val="1"/>
      <w:numFmt w:val="lowerLetter"/>
      <w:lvlText w:val="%8."/>
      <w:lvlJc w:val="left"/>
      <w:pPr>
        <w:ind w:left="5760" w:hanging="360"/>
      </w:pPr>
      <w:rPr>
        <w:rFonts w:hint="default"/>
      </w:rPr>
    </w:lvl>
    <w:lvl w:ilvl="8" w:tplc="14D8132A">
      <w:start w:val="1"/>
      <w:numFmt w:val="lowerRoman"/>
      <w:lvlText w:val="%9."/>
      <w:lvlJc w:val="right"/>
      <w:pPr>
        <w:ind w:left="6480" w:hanging="360"/>
      </w:pPr>
      <w:rPr>
        <w:rFonts w:hint="default"/>
      </w:rPr>
    </w:lvl>
  </w:abstractNum>
  <w:abstractNum w:abstractNumId="8" w15:restartNumberingAfterBreak="0">
    <w:nsid w:val="2C5210E7"/>
    <w:multiLevelType w:val="hybridMultilevel"/>
    <w:tmpl w:val="54F807EC"/>
    <w:lvl w:ilvl="0" w:tplc="46D0EB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53D2B"/>
    <w:multiLevelType w:val="multi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A66553"/>
    <w:multiLevelType w:val="hybridMultilevel"/>
    <w:tmpl w:val="195C6700"/>
    <w:lvl w:ilvl="0" w:tplc="F38494D0">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2CA2CAA"/>
    <w:multiLevelType w:val="hybridMultilevel"/>
    <w:tmpl w:val="E01664E8"/>
    <w:lvl w:ilvl="0" w:tplc="0CEC1AF8">
      <w:start w:val="1"/>
      <w:numFmt w:val="decimal"/>
      <w:lvlText w:val="%1"/>
      <w:lvlJc w:val="left"/>
      <w:pPr>
        <w:ind w:left="360" w:hanging="360"/>
      </w:pPr>
      <w:rPr>
        <w:rFonts w:hint="default"/>
      </w:rPr>
    </w:lvl>
    <w:lvl w:ilvl="1" w:tplc="3386171E">
      <w:start w:val="1"/>
      <w:numFmt w:val="lowerLetter"/>
      <w:lvlText w:val="%2."/>
      <w:lvlJc w:val="left"/>
      <w:pPr>
        <w:ind w:left="1080" w:hanging="360"/>
      </w:pPr>
    </w:lvl>
    <w:lvl w:ilvl="2" w:tplc="AA02967E">
      <w:start w:val="1"/>
      <w:numFmt w:val="lowerRoman"/>
      <w:lvlText w:val="%3."/>
      <w:lvlJc w:val="right"/>
      <w:pPr>
        <w:ind w:left="1800" w:hanging="180"/>
      </w:pPr>
    </w:lvl>
    <w:lvl w:ilvl="3" w:tplc="5658D470">
      <w:start w:val="1"/>
      <w:numFmt w:val="decimal"/>
      <w:lvlText w:val="%4."/>
      <w:lvlJc w:val="left"/>
      <w:pPr>
        <w:ind w:left="2520" w:hanging="360"/>
      </w:pPr>
      <w:rPr>
        <w:i w:val="0"/>
        <w:iCs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2C0411"/>
    <w:multiLevelType w:val="hybridMultilevel"/>
    <w:tmpl w:val="7BD04F66"/>
    <w:lvl w:ilvl="0" w:tplc="3B8E213E">
      <w:start w:val="1"/>
      <w:numFmt w:val="lowerLetter"/>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673F8"/>
    <w:multiLevelType w:val="hybridMultilevel"/>
    <w:tmpl w:val="D1B82C46"/>
    <w:lvl w:ilvl="0" w:tplc="45EE1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63374"/>
    <w:multiLevelType w:val="hybridMultilevel"/>
    <w:tmpl w:val="28E2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50C75"/>
    <w:multiLevelType w:val="hybridMultilevel"/>
    <w:tmpl w:val="55A8920C"/>
    <w:styleLink w:val="StyleforLevelHeadings"/>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A6584"/>
    <w:multiLevelType w:val="hybridMultilevel"/>
    <w:tmpl w:val="945898E2"/>
    <w:lvl w:ilvl="0" w:tplc="0B0E94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2254E8"/>
    <w:multiLevelType w:val="hybridMultilevel"/>
    <w:tmpl w:val="FEFE1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427A9"/>
    <w:multiLevelType w:val="hybridMultilevel"/>
    <w:tmpl w:val="CA141DE4"/>
    <w:lvl w:ilvl="0" w:tplc="B6DC960E">
      <w:start w:val="1"/>
      <w:numFmt w:val="upperLetter"/>
      <w:lvlText w:val="%1"/>
      <w:lvlJc w:val="left"/>
      <w:pPr>
        <w:ind w:left="720" w:hanging="360"/>
      </w:pPr>
      <w:rPr>
        <w:rFonts w:hint="default"/>
      </w:rPr>
    </w:lvl>
    <w:lvl w:ilvl="1" w:tplc="451836CE">
      <w:start w:val="1"/>
      <w:numFmt w:val="decimal"/>
      <w:lvlText w:val="%2."/>
      <w:lvlJc w:val="left"/>
      <w:pPr>
        <w:ind w:left="1620" w:hanging="360"/>
      </w:pPr>
      <w:rPr>
        <w:rFonts w:hint="default"/>
      </w:rPr>
    </w:lvl>
    <w:lvl w:ilvl="2" w:tplc="D5D6FCE8">
      <w:start w:val="1"/>
      <w:numFmt w:val="lowerLetter"/>
      <w:lvlText w:val="%3."/>
      <w:lvlJc w:val="right"/>
      <w:pPr>
        <w:ind w:left="2160" w:hanging="360"/>
      </w:pPr>
      <w:rPr>
        <w:rFonts w:hint="default"/>
      </w:rPr>
    </w:lvl>
    <w:lvl w:ilvl="3" w:tplc="1270D5B8">
      <w:start w:val="1"/>
      <w:numFmt w:val="lowerRoman"/>
      <w:lvlText w:val="%4"/>
      <w:lvlJc w:val="left"/>
      <w:pPr>
        <w:ind w:left="2880" w:hanging="360"/>
      </w:pPr>
      <w:rPr>
        <w:rFonts w:hint="default"/>
      </w:rPr>
    </w:lvl>
    <w:lvl w:ilvl="4" w:tplc="AD785994">
      <w:start w:val="1"/>
      <w:numFmt w:val="lowerLetter"/>
      <w:lvlText w:val="%5."/>
      <w:lvlJc w:val="left"/>
      <w:pPr>
        <w:ind w:left="3600" w:hanging="360"/>
      </w:pPr>
      <w:rPr>
        <w:rFonts w:hint="default"/>
      </w:rPr>
    </w:lvl>
    <w:lvl w:ilvl="5" w:tplc="E586DA68">
      <w:start w:val="1"/>
      <w:numFmt w:val="lowerRoman"/>
      <w:lvlText w:val="%6."/>
      <w:lvlJc w:val="right"/>
      <w:pPr>
        <w:ind w:left="4320" w:hanging="360"/>
      </w:pPr>
      <w:rPr>
        <w:rFonts w:hint="default"/>
      </w:rPr>
    </w:lvl>
    <w:lvl w:ilvl="6" w:tplc="6324D1D8">
      <w:start w:val="1"/>
      <w:numFmt w:val="decimal"/>
      <w:lvlText w:val="%7."/>
      <w:lvlJc w:val="left"/>
      <w:pPr>
        <w:ind w:left="5040" w:hanging="360"/>
      </w:pPr>
      <w:rPr>
        <w:rFonts w:hint="default"/>
      </w:rPr>
    </w:lvl>
    <w:lvl w:ilvl="7" w:tplc="0C183352">
      <w:start w:val="1"/>
      <w:numFmt w:val="lowerLetter"/>
      <w:lvlText w:val="%8."/>
      <w:lvlJc w:val="left"/>
      <w:pPr>
        <w:ind w:left="5760" w:hanging="360"/>
      </w:pPr>
      <w:rPr>
        <w:rFonts w:hint="default"/>
      </w:rPr>
    </w:lvl>
    <w:lvl w:ilvl="8" w:tplc="60ECD03E">
      <w:start w:val="1"/>
      <w:numFmt w:val="lowerRoman"/>
      <w:lvlText w:val="%9."/>
      <w:lvlJc w:val="right"/>
      <w:pPr>
        <w:ind w:left="6480" w:hanging="360"/>
      </w:pPr>
      <w:rPr>
        <w:rFonts w:hint="default"/>
      </w:rPr>
    </w:lvl>
  </w:abstractNum>
  <w:abstractNum w:abstractNumId="20" w15:restartNumberingAfterBreak="0">
    <w:nsid w:val="6D9671BA"/>
    <w:multiLevelType w:val="hybridMultilevel"/>
    <w:tmpl w:val="C8FAB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CC7D93"/>
    <w:multiLevelType w:val="hybridMultilevel"/>
    <w:tmpl w:val="6DF275B2"/>
    <w:lvl w:ilvl="0" w:tplc="04090001">
      <w:start w:val="1"/>
      <w:numFmt w:val="bullet"/>
      <w:lvlText w:val=""/>
      <w:lvlJc w:val="left"/>
      <w:pPr>
        <w:ind w:left="1080" w:hanging="360"/>
      </w:pPr>
      <w:rPr>
        <w:rFonts w:ascii="Symbol" w:hAnsi="Symbol" w:hint="default"/>
      </w:rPr>
    </w:lvl>
    <w:lvl w:ilvl="1" w:tplc="9E000FA2">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5922547"/>
    <w:multiLevelType w:val="hybridMultilevel"/>
    <w:tmpl w:val="2342E674"/>
    <w:lvl w:ilvl="0" w:tplc="CF2A013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B2E62"/>
    <w:multiLevelType w:val="hybridMultilevel"/>
    <w:tmpl w:val="65141D0E"/>
    <w:lvl w:ilvl="0" w:tplc="7F00C09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5"/>
  </w:num>
  <w:num w:numId="2">
    <w:abstractNumId w:val="7"/>
  </w:num>
  <w:num w:numId="3">
    <w:abstractNumId w:val="21"/>
  </w:num>
  <w:num w:numId="4">
    <w:abstractNumId w:val="18"/>
  </w:num>
  <w:num w:numId="5">
    <w:abstractNumId w:val="9"/>
  </w:num>
  <w:num w:numId="6">
    <w:abstractNumId w:val="4"/>
  </w:num>
  <w:num w:numId="7">
    <w:abstractNumId w:val="3"/>
  </w:num>
  <w:num w:numId="8">
    <w:abstractNumId w:val="6"/>
  </w:num>
  <w:num w:numId="9">
    <w:abstractNumId w:val="5"/>
  </w:num>
  <w:num w:numId="10">
    <w:abstractNumId w:val="1"/>
  </w:num>
  <w:num w:numId="11">
    <w:abstractNumId w:val="22"/>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0"/>
  </w:num>
  <w:num w:numId="22">
    <w:abstractNumId w:val="19"/>
  </w:num>
  <w:num w:numId="23">
    <w:abstractNumId w:val="2"/>
  </w:num>
  <w:num w:numId="24">
    <w:abstractNumId w:val="0"/>
  </w:num>
  <w:num w:numId="25">
    <w:abstractNumId w:val="0"/>
  </w:num>
  <w:num w:numId="26">
    <w:abstractNumId w:val="0"/>
  </w:num>
  <w:num w:numId="27">
    <w:abstractNumId w:val="0"/>
  </w:num>
  <w:num w:numId="28">
    <w:abstractNumId w:val="0"/>
  </w:num>
  <w:num w:numId="29">
    <w:abstractNumId w:val="0"/>
  </w:num>
  <w:num w:numId="30">
    <w:abstractNumId w:val="6"/>
  </w:num>
  <w:num w:numId="31">
    <w:abstractNumId w:val="23"/>
  </w:num>
  <w:num w:numId="32">
    <w:abstractNumId w:val="16"/>
  </w:num>
  <w:num w:numId="33">
    <w:abstractNumId w:val="6"/>
  </w:num>
  <w:num w:numId="34">
    <w:abstractNumId w:val="6"/>
  </w:num>
  <w:num w:numId="35">
    <w:abstractNumId w:val="6"/>
  </w:num>
  <w:num w:numId="36">
    <w:abstractNumId w:val="20"/>
  </w:num>
  <w:num w:numId="37">
    <w:abstractNumId w:val="12"/>
  </w:num>
  <w:num w:numId="38">
    <w:abstractNumId w:val="14"/>
  </w:num>
  <w:num w:numId="39">
    <w:abstractNumId w:val="13"/>
  </w:num>
  <w:num w:numId="4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EF"/>
    <w:rsid w:val="00000132"/>
    <w:rsid w:val="00000177"/>
    <w:rsid w:val="00000322"/>
    <w:rsid w:val="00000341"/>
    <w:rsid w:val="0000054B"/>
    <w:rsid w:val="0000068E"/>
    <w:rsid w:val="00001454"/>
    <w:rsid w:val="0000177A"/>
    <w:rsid w:val="0000185B"/>
    <w:rsid w:val="000018ED"/>
    <w:rsid w:val="00001AD4"/>
    <w:rsid w:val="00001B01"/>
    <w:rsid w:val="00001BAD"/>
    <w:rsid w:val="000027AB"/>
    <w:rsid w:val="00002C57"/>
    <w:rsid w:val="00002E1C"/>
    <w:rsid w:val="00002EA2"/>
    <w:rsid w:val="00002EB6"/>
    <w:rsid w:val="000034A6"/>
    <w:rsid w:val="000037A3"/>
    <w:rsid w:val="000038DC"/>
    <w:rsid w:val="00003CEF"/>
    <w:rsid w:val="000042B9"/>
    <w:rsid w:val="0000434B"/>
    <w:rsid w:val="00004523"/>
    <w:rsid w:val="000049F4"/>
    <w:rsid w:val="000053DC"/>
    <w:rsid w:val="000057DC"/>
    <w:rsid w:val="00005A1D"/>
    <w:rsid w:val="00005BE8"/>
    <w:rsid w:val="000062C7"/>
    <w:rsid w:val="000067D2"/>
    <w:rsid w:val="00006A28"/>
    <w:rsid w:val="00006D74"/>
    <w:rsid w:val="00007047"/>
    <w:rsid w:val="000072E2"/>
    <w:rsid w:val="00007330"/>
    <w:rsid w:val="00007333"/>
    <w:rsid w:val="000073A6"/>
    <w:rsid w:val="00007529"/>
    <w:rsid w:val="000102E0"/>
    <w:rsid w:val="00010400"/>
    <w:rsid w:val="0001111E"/>
    <w:rsid w:val="000112E5"/>
    <w:rsid w:val="00011420"/>
    <w:rsid w:val="00011801"/>
    <w:rsid w:val="000118DF"/>
    <w:rsid w:val="00011A84"/>
    <w:rsid w:val="00011DCF"/>
    <w:rsid w:val="000123FA"/>
    <w:rsid w:val="000124DD"/>
    <w:rsid w:val="000125A7"/>
    <w:rsid w:val="000125C4"/>
    <w:rsid w:val="000127C9"/>
    <w:rsid w:val="00012BA9"/>
    <w:rsid w:val="00012CEA"/>
    <w:rsid w:val="000138AF"/>
    <w:rsid w:val="0001395A"/>
    <w:rsid w:val="0001418A"/>
    <w:rsid w:val="00014194"/>
    <w:rsid w:val="00014265"/>
    <w:rsid w:val="0001456E"/>
    <w:rsid w:val="000146D2"/>
    <w:rsid w:val="000146DA"/>
    <w:rsid w:val="00014B8C"/>
    <w:rsid w:val="00014FB4"/>
    <w:rsid w:val="00014FDE"/>
    <w:rsid w:val="0001500B"/>
    <w:rsid w:val="000157FC"/>
    <w:rsid w:val="000158CB"/>
    <w:rsid w:val="000160D9"/>
    <w:rsid w:val="000162D2"/>
    <w:rsid w:val="000163A4"/>
    <w:rsid w:val="000163A7"/>
    <w:rsid w:val="00016456"/>
    <w:rsid w:val="000167FE"/>
    <w:rsid w:val="00016891"/>
    <w:rsid w:val="00017458"/>
    <w:rsid w:val="000175E0"/>
    <w:rsid w:val="000176F9"/>
    <w:rsid w:val="00017B99"/>
    <w:rsid w:val="000200AE"/>
    <w:rsid w:val="00020465"/>
    <w:rsid w:val="0002055B"/>
    <w:rsid w:val="00020A6E"/>
    <w:rsid w:val="00020C8A"/>
    <w:rsid w:val="00020DB7"/>
    <w:rsid w:val="00020F33"/>
    <w:rsid w:val="000211FD"/>
    <w:rsid w:val="00021493"/>
    <w:rsid w:val="00021E23"/>
    <w:rsid w:val="00021F21"/>
    <w:rsid w:val="00021F96"/>
    <w:rsid w:val="00022124"/>
    <w:rsid w:val="000228C1"/>
    <w:rsid w:val="00022B08"/>
    <w:rsid w:val="00022CEE"/>
    <w:rsid w:val="00023485"/>
    <w:rsid w:val="00023731"/>
    <w:rsid w:val="000239B0"/>
    <w:rsid w:val="00023BCB"/>
    <w:rsid w:val="00023FE0"/>
    <w:rsid w:val="0002405E"/>
    <w:rsid w:val="0002421D"/>
    <w:rsid w:val="0002497D"/>
    <w:rsid w:val="00024F4A"/>
    <w:rsid w:val="00024F8C"/>
    <w:rsid w:val="000250A1"/>
    <w:rsid w:val="000250F1"/>
    <w:rsid w:val="000250F7"/>
    <w:rsid w:val="00025105"/>
    <w:rsid w:val="000252CE"/>
    <w:rsid w:val="00025387"/>
    <w:rsid w:val="00026306"/>
    <w:rsid w:val="0002633A"/>
    <w:rsid w:val="0002637C"/>
    <w:rsid w:val="00026901"/>
    <w:rsid w:val="00026C23"/>
    <w:rsid w:val="00026CFD"/>
    <w:rsid w:val="00026EEE"/>
    <w:rsid w:val="000270EC"/>
    <w:rsid w:val="000273E1"/>
    <w:rsid w:val="000273E3"/>
    <w:rsid w:val="000274D8"/>
    <w:rsid w:val="00027E15"/>
    <w:rsid w:val="0003005F"/>
    <w:rsid w:val="000300FC"/>
    <w:rsid w:val="000305C5"/>
    <w:rsid w:val="0003065E"/>
    <w:rsid w:val="000307CC"/>
    <w:rsid w:val="000308AE"/>
    <w:rsid w:val="00030E25"/>
    <w:rsid w:val="0003127B"/>
    <w:rsid w:val="0003134F"/>
    <w:rsid w:val="000314AA"/>
    <w:rsid w:val="00031987"/>
    <w:rsid w:val="00031B94"/>
    <w:rsid w:val="00031C96"/>
    <w:rsid w:val="00031D8B"/>
    <w:rsid w:val="00031FC7"/>
    <w:rsid w:val="000328C7"/>
    <w:rsid w:val="00032990"/>
    <w:rsid w:val="00032B74"/>
    <w:rsid w:val="00033326"/>
    <w:rsid w:val="00033583"/>
    <w:rsid w:val="00033654"/>
    <w:rsid w:val="000338AC"/>
    <w:rsid w:val="000339E6"/>
    <w:rsid w:val="00033B74"/>
    <w:rsid w:val="00034583"/>
    <w:rsid w:val="00034A8C"/>
    <w:rsid w:val="00034C38"/>
    <w:rsid w:val="00034E68"/>
    <w:rsid w:val="000351CB"/>
    <w:rsid w:val="00035384"/>
    <w:rsid w:val="00035DB2"/>
    <w:rsid w:val="00035F7D"/>
    <w:rsid w:val="000363EB"/>
    <w:rsid w:val="00036518"/>
    <w:rsid w:val="00036545"/>
    <w:rsid w:val="000368ED"/>
    <w:rsid w:val="000372DF"/>
    <w:rsid w:val="00037475"/>
    <w:rsid w:val="00037685"/>
    <w:rsid w:val="00037779"/>
    <w:rsid w:val="000377C2"/>
    <w:rsid w:val="00037833"/>
    <w:rsid w:val="00037929"/>
    <w:rsid w:val="00037FF8"/>
    <w:rsid w:val="00040001"/>
    <w:rsid w:val="00040767"/>
    <w:rsid w:val="00041327"/>
    <w:rsid w:val="000419C8"/>
    <w:rsid w:val="00041A6A"/>
    <w:rsid w:val="00041F68"/>
    <w:rsid w:val="0004215B"/>
    <w:rsid w:val="000427D0"/>
    <w:rsid w:val="000429FC"/>
    <w:rsid w:val="00042A05"/>
    <w:rsid w:val="00042EAA"/>
    <w:rsid w:val="00042EE3"/>
    <w:rsid w:val="00042FF0"/>
    <w:rsid w:val="000434B3"/>
    <w:rsid w:val="000436CB"/>
    <w:rsid w:val="00043761"/>
    <w:rsid w:val="00043CF6"/>
    <w:rsid w:val="00044304"/>
    <w:rsid w:val="00044692"/>
    <w:rsid w:val="0004495F"/>
    <w:rsid w:val="00044D0E"/>
    <w:rsid w:val="00044FD5"/>
    <w:rsid w:val="0004549B"/>
    <w:rsid w:val="00045C28"/>
    <w:rsid w:val="00045FB9"/>
    <w:rsid w:val="0004604A"/>
    <w:rsid w:val="000462E6"/>
    <w:rsid w:val="0004677F"/>
    <w:rsid w:val="0004680F"/>
    <w:rsid w:val="00046ACA"/>
    <w:rsid w:val="00046E4E"/>
    <w:rsid w:val="000470E8"/>
    <w:rsid w:val="00047146"/>
    <w:rsid w:val="0004737C"/>
    <w:rsid w:val="000478C1"/>
    <w:rsid w:val="00047949"/>
    <w:rsid w:val="000479D5"/>
    <w:rsid w:val="00047A3C"/>
    <w:rsid w:val="00047C66"/>
    <w:rsid w:val="00047D27"/>
    <w:rsid w:val="00047D78"/>
    <w:rsid w:val="00047E7A"/>
    <w:rsid w:val="000502BF"/>
    <w:rsid w:val="00050464"/>
    <w:rsid w:val="000504DC"/>
    <w:rsid w:val="000504E4"/>
    <w:rsid w:val="00050642"/>
    <w:rsid w:val="00050972"/>
    <w:rsid w:val="00050A69"/>
    <w:rsid w:val="00050AEB"/>
    <w:rsid w:val="00050D6C"/>
    <w:rsid w:val="000510F3"/>
    <w:rsid w:val="00051118"/>
    <w:rsid w:val="000513E1"/>
    <w:rsid w:val="000518E0"/>
    <w:rsid w:val="00051DF6"/>
    <w:rsid w:val="0005284E"/>
    <w:rsid w:val="0005288D"/>
    <w:rsid w:val="00052EAE"/>
    <w:rsid w:val="000531B4"/>
    <w:rsid w:val="0005321D"/>
    <w:rsid w:val="000534C3"/>
    <w:rsid w:val="00053903"/>
    <w:rsid w:val="00053C11"/>
    <w:rsid w:val="00053D7D"/>
    <w:rsid w:val="00053F1B"/>
    <w:rsid w:val="0005428C"/>
    <w:rsid w:val="00054336"/>
    <w:rsid w:val="00054407"/>
    <w:rsid w:val="00054BFA"/>
    <w:rsid w:val="0005543A"/>
    <w:rsid w:val="00055DD6"/>
    <w:rsid w:val="000569F4"/>
    <w:rsid w:val="00056ACD"/>
    <w:rsid w:val="00057B77"/>
    <w:rsid w:val="0006017A"/>
    <w:rsid w:val="000601D3"/>
    <w:rsid w:val="00060472"/>
    <w:rsid w:val="0006093D"/>
    <w:rsid w:val="00060B7C"/>
    <w:rsid w:val="00060D91"/>
    <w:rsid w:val="0006119E"/>
    <w:rsid w:val="00061279"/>
    <w:rsid w:val="00061ABB"/>
    <w:rsid w:val="00061AC7"/>
    <w:rsid w:val="00061ACC"/>
    <w:rsid w:val="00061D37"/>
    <w:rsid w:val="00061F2B"/>
    <w:rsid w:val="00061FD4"/>
    <w:rsid w:val="00061FF8"/>
    <w:rsid w:val="00062C4A"/>
    <w:rsid w:val="00062D49"/>
    <w:rsid w:val="0006333E"/>
    <w:rsid w:val="000634EF"/>
    <w:rsid w:val="00063599"/>
    <w:rsid w:val="000636DC"/>
    <w:rsid w:val="000638B0"/>
    <w:rsid w:val="000638C0"/>
    <w:rsid w:val="00063C29"/>
    <w:rsid w:val="0006410A"/>
    <w:rsid w:val="000642D0"/>
    <w:rsid w:val="0006437B"/>
    <w:rsid w:val="00064397"/>
    <w:rsid w:val="000643A8"/>
    <w:rsid w:val="00064719"/>
    <w:rsid w:val="00064D6F"/>
    <w:rsid w:val="00064D96"/>
    <w:rsid w:val="00064DFC"/>
    <w:rsid w:val="00064E03"/>
    <w:rsid w:val="00065938"/>
    <w:rsid w:val="00065C26"/>
    <w:rsid w:val="000661CE"/>
    <w:rsid w:val="000663A0"/>
    <w:rsid w:val="000664EA"/>
    <w:rsid w:val="00066981"/>
    <w:rsid w:val="00066998"/>
    <w:rsid w:val="000669BC"/>
    <w:rsid w:val="000669E7"/>
    <w:rsid w:val="00066B2B"/>
    <w:rsid w:val="00066E97"/>
    <w:rsid w:val="00066EA3"/>
    <w:rsid w:val="00066FB6"/>
    <w:rsid w:val="00067362"/>
    <w:rsid w:val="00067364"/>
    <w:rsid w:val="0006756B"/>
    <w:rsid w:val="000675D6"/>
    <w:rsid w:val="0006780D"/>
    <w:rsid w:val="00067B45"/>
    <w:rsid w:val="00067E3E"/>
    <w:rsid w:val="00070627"/>
    <w:rsid w:val="000709BE"/>
    <w:rsid w:val="00070A46"/>
    <w:rsid w:val="00070A95"/>
    <w:rsid w:val="00070CB1"/>
    <w:rsid w:val="000710D0"/>
    <w:rsid w:val="000719C7"/>
    <w:rsid w:val="00071AA3"/>
    <w:rsid w:val="0007248C"/>
    <w:rsid w:val="000724EF"/>
    <w:rsid w:val="000726D8"/>
    <w:rsid w:val="00072ABB"/>
    <w:rsid w:val="00073191"/>
    <w:rsid w:val="000731E6"/>
    <w:rsid w:val="0007360B"/>
    <w:rsid w:val="0007360C"/>
    <w:rsid w:val="00073706"/>
    <w:rsid w:val="00073D51"/>
    <w:rsid w:val="00073E56"/>
    <w:rsid w:val="0007426C"/>
    <w:rsid w:val="0007435F"/>
    <w:rsid w:val="000744BF"/>
    <w:rsid w:val="000747BD"/>
    <w:rsid w:val="00074930"/>
    <w:rsid w:val="00074B48"/>
    <w:rsid w:val="000753D5"/>
    <w:rsid w:val="00075663"/>
    <w:rsid w:val="00075892"/>
    <w:rsid w:val="00075B8A"/>
    <w:rsid w:val="00076024"/>
    <w:rsid w:val="0007635C"/>
    <w:rsid w:val="0007638C"/>
    <w:rsid w:val="000764A5"/>
    <w:rsid w:val="00076C0B"/>
    <w:rsid w:val="00076EB7"/>
    <w:rsid w:val="00076FD0"/>
    <w:rsid w:val="00077156"/>
    <w:rsid w:val="00077526"/>
    <w:rsid w:val="00077766"/>
    <w:rsid w:val="000778A0"/>
    <w:rsid w:val="000778A1"/>
    <w:rsid w:val="00077A80"/>
    <w:rsid w:val="00077C7D"/>
    <w:rsid w:val="00077DD5"/>
    <w:rsid w:val="000803AC"/>
    <w:rsid w:val="0008057B"/>
    <w:rsid w:val="0008060F"/>
    <w:rsid w:val="0008062E"/>
    <w:rsid w:val="00080C89"/>
    <w:rsid w:val="00081292"/>
    <w:rsid w:val="000814C8"/>
    <w:rsid w:val="00081800"/>
    <w:rsid w:val="00081807"/>
    <w:rsid w:val="00081A5A"/>
    <w:rsid w:val="00081E3C"/>
    <w:rsid w:val="00081E76"/>
    <w:rsid w:val="00081EEE"/>
    <w:rsid w:val="00081F2D"/>
    <w:rsid w:val="000826BE"/>
    <w:rsid w:val="00082A13"/>
    <w:rsid w:val="00082C13"/>
    <w:rsid w:val="00082CE0"/>
    <w:rsid w:val="00083171"/>
    <w:rsid w:val="000833AA"/>
    <w:rsid w:val="00083787"/>
    <w:rsid w:val="00083AAB"/>
    <w:rsid w:val="000841B9"/>
    <w:rsid w:val="000844C0"/>
    <w:rsid w:val="0008451E"/>
    <w:rsid w:val="00084F60"/>
    <w:rsid w:val="00084FA8"/>
    <w:rsid w:val="00085065"/>
    <w:rsid w:val="000850FA"/>
    <w:rsid w:val="00085ADB"/>
    <w:rsid w:val="00085E61"/>
    <w:rsid w:val="00086457"/>
    <w:rsid w:val="000866C8"/>
    <w:rsid w:val="000869B2"/>
    <w:rsid w:val="00086C47"/>
    <w:rsid w:val="00087024"/>
    <w:rsid w:val="000870D3"/>
    <w:rsid w:val="000878E0"/>
    <w:rsid w:val="00087C7F"/>
    <w:rsid w:val="00087DA5"/>
    <w:rsid w:val="00087E44"/>
    <w:rsid w:val="00087F30"/>
    <w:rsid w:val="00090650"/>
    <w:rsid w:val="000906C9"/>
    <w:rsid w:val="00091623"/>
    <w:rsid w:val="00091D7D"/>
    <w:rsid w:val="00092069"/>
    <w:rsid w:val="00092107"/>
    <w:rsid w:val="00092667"/>
    <w:rsid w:val="00092C2E"/>
    <w:rsid w:val="00092C3D"/>
    <w:rsid w:val="00092DEE"/>
    <w:rsid w:val="00092F54"/>
    <w:rsid w:val="0009356F"/>
    <w:rsid w:val="00093718"/>
    <w:rsid w:val="00093842"/>
    <w:rsid w:val="000939FB"/>
    <w:rsid w:val="00093F49"/>
    <w:rsid w:val="0009418B"/>
    <w:rsid w:val="00094949"/>
    <w:rsid w:val="0009499A"/>
    <w:rsid w:val="000949B6"/>
    <w:rsid w:val="00094BDE"/>
    <w:rsid w:val="00095187"/>
    <w:rsid w:val="0009524A"/>
    <w:rsid w:val="0009568B"/>
    <w:rsid w:val="00095776"/>
    <w:rsid w:val="000958F1"/>
    <w:rsid w:val="00095C06"/>
    <w:rsid w:val="000964B4"/>
    <w:rsid w:val="000967B8"/>
    <w:rsid w:val="00096E42"/>
    <w:rsid w:val="00096EF5"/>
    <w:rsid w:val="000970CA"/>
    <w:rsid w:val="00097CA9"/>
    <w:rsid w:val="00097D8D"/>
    <w:rsid w:val="000A085E"/>
    <w:rsid w:val="000A0A8F"/>
    <w:rsid w:val="000A0F22"/>
    <w:rsid w:val="000A1130"/>
    <w:rsid w:val="000A146E"/>
    <w:rsid w:val="000A14E5"/>
    <w:rsid w:val="000A16D7"/>
    <w:rsid w:val="000A19D8"/>
    <w:rsid w:val="000A1AEC"/>
    <w:rsid w:val="000A1BC2"/>
    <w:rsid w:val="000A1DF3"/>
    <w:rsid w:val="000A1F8E"/>
    <w:rsid w:val="000A2C4E"/>
    <w:rsid w:val="000A2DD0"/>
    <w:rsid w:val="000A322F"/>
    <w:rsid w:val="000A3C7A"/>
    <w:rsid w:val="000A3FD3"/>
    <w:rsid w:val="000A41D8"/>
    <w:rsid w:val="000A4377"/>
    <w:rsid w:val="000A459A"/>
    <w:rsid w:val="000A4653"/>
    <w:rsid w:val="000A4812"/>
    <w:rsid w:val="000A48DD"/>
    <w:rsid w:val="000A4A41"/>
    <w:rsid w:val="000A4AAB"/>
    <w:rsid w:val="000A4C69"/>
    <w:rsid w:val="000A4ECB"/>
    <w:rsid w:val="000A50C8"/>
    <w:rsid w:val="000A55AF"/>
    <w:rsid w:val="000A55E4"/>
    <w:rsid w:val="000A5BF2"/>
    <w:rsid w:val="000A633B"/>
    <w:rsid w:val="000A6E3E"/>
    <w:rsid w:val="000A6F28"/>
    <w:rsid w:val="000A762D"/>
    <w:rsid w:val="000A786C"/>
    <w:rsid w:val="000A7E15"/>
    <w:rsid w:val="000A7ECC"/>
    <w:rsid w:val="000A7F22"/>
    <w:rsid w:val="000B002A"/>
    <w:rsid w:val="000B003C"/>
    <w:rsid w:val="000B0853"/>
    <w:rsid w:val="000B0ADB"/>
    <w:rsid w:val="000B0DFC"/>
    <w:rsid w:val="000B0EE7"/>
    <w:rsid w:val="000B0F60"/>
    <w:rsid w:val="000B112E"/>
    <w:rsid w:val="000B16B7"/>
    <w:rsid w:val="000B176E"/>
    <w:rsid w:val="000B17D3"/>
    <w:rsid w:val="000B1ADB"/>
    <w:rsid w:val="000B1B9F"/>
    <w:rsid w:val="000B1CD7"/>
    <w:rsid w:val="000B238F"/>
    <w:rsid w:val="000B240C"/>
    <w:rsid w:val="000B24DF"/>
    <w:rsid w:val="000B2A23"/>
    <w:rsid w:val="000B2B70"/>
    <w:rsid w:val="000B2BB1"/>
    <w:rsid w:val="000B2CA4"/>
    <w:rsid w:val="000B2FDC"/>
    <w:rsid w:val="000B3039"/>
    <w:rsid w:val="000B30B7"/>
    <w:rsid w:val="000B387D"/>
    <w:rsid w:val="000B3DE1"/>
    <w:rsid w:val="000B400C"/>
    <w:rsid w:val="000B4321"/>
    <w:rsid w:val="000B4C31"/>
    <w:rsid w:val="000B4D25"/>
    <w:rsid w:val="000B4F1E"/>
    <w:rsid w:val="000B4FFF"/>
    <w:rsid w:val="000B57FF"/>
    <w:rsid w:val="000B5976"/>
    <w:rsid w:val="000B5D71"/>
    <w:rsid w:val="000B6263"/>
    <w:rsid w:val="000B66E0"/>
    <w:rsid w:val="000B6F7A"/>
    <w:rsid w:val="000B7213"/>
    <w:rsid w:val="000B7549"/>
    <w:rsid w:val="000C013E"/>
    <w:rsid w:val="000C0652"/>
    <w:rsid w:val="000C089B"/>
    <w:rsid w:val="000C0D05"/>
    <w:rsid w:val="000C16A1"/>
    <w:rsid w:val="000C1859"/>
    <w:rsid w:val="000C1EF6"/>
    <w:rsid w:val="000C1FC7"/>
    <w:rsid w:val="000C205A"/>
    <w:rsid w:val="000C2540"/>
    <w:rsid w:val="000C256D"/>
    <w:rsid w:val="000C25D7"/>
    <w:rsid w:val="000C2D57"/>
    <w:rsid w:val="000C2D7C"/>
    <w:rsid w:val="000C2D86"/>
    <w:rsid w:val="000C3165"/>
    <w:rsid w:val="000C3495"/>
    <w:rsid w:val="000C38D6"/>
    <w:rsid w:val="000C3D13"/>
    <w:rsid w:val="000C3DD5"/>
    <w:rsid w:val="000C3E5D"/>
    <w:rsid w:val="000C3E71"/>
    <w:rsid w:val="000C3FC1"/>
    <w:rsid w:val="000C410F"/>
    <w:rsid w:val="000C4727"/>
    <w:rsid w:val="000C4B5F"/>
    <w:rsid w:val="000C4BBE"/>
    <w:rsid w:val="000C4FEE"/>
    <w:rsid w:val="000C51E8"/>
    <w:rsid w:val="000C54E3"/>
    <w:rsid w:val="000C563F"/>
    <w:rsid w:val="000C5907"/>
    <w:rsid w:val="000C6257"/>
    <w:rsid w:val="000C629B"/>
    <w:rsid w:val="000C632F"/>
    <w:rsid w:val="000C6621"/>
    <w:rsid w:val="000C671D"/>
    <w:rsid w:val="000C6A73"/>
    <w:rsid w:val="000C6E3A"/>
    <w:rsid w:val="000C70A0"/>
    <w:rsid w:val="000C70B4"/>
    <w:rsid w:val="000C7149"/>
    <w:rsid w:val="000C7511"/>
    <w:rsid w:val="000C7754"/>
    <w:rsid w:val="000C77D6"/>
    <w:rsid w:val="000C77F2"/>
    <w:rsid w:val="000C7985"/>
    <w:rsid w:val="000C7C32"/>
    <w:rsid w:val="000C7D22"/>
    <w:rsid w:val="000D0024"/>
    <w:rsid w:val="000D078D"/>
    <w:rsid w:val="000D0BC8"/>
    <w:rsid w:val="000D0CE2"/>
    <w:rsid w:val="000D0D10"/>
    <w:rsid w:val="000D0D29"/>
    <w:rsid w:val="000D0E7D"/>
    <w:rsid w:val="000D0EBF"/>
    <w:rsid w:val="000D0F4C"/>
    <w:rsid w:val="000D1185"/>
    <w:rsid w:val="000D137E"/>
    <w:rsid w:val="000D1381"/>
    <w:rsid w:val="000D154F"/>
    <w:rsid w:val="000D17B9"/>
    <w:rsid w:val="000D1E6B"/>
    <w:rsid w:val="000D1F7C"/>
    <w:rsid w:val="000D20F2"/>
    <w:rsid w:val="000D2699"/>
    <w:rsid w:val="000D2A9D"/>
    <w:rsid w:val="000D2AF4"/>
    <w:rsid w:val="000D2CAB"/>
    <w:rsid w:val="000D2CE0"/>
    <w:rsid w:val="000D2D8F"/>
    <w:rsid w:val="000D2F13"/>
    <w:rsid w:val="000D3027"/>
    <w:rsid w:val="000D3106"/>
    <w:rsid w:val="000D3364"/>
    <w:rsid w:val="000D3874"/>
    <w:rsid w:val="000D3936"/>
    <w:rsid w:val="000D39CE"/>
    <w:rsid w:val="000D3A0E"/>
    <w:rsid w:val="000D3C24"/>
    <w:rsid w:val="000D3C8B"/>
    <w:rsid w:val="000D4225"/>
    <w:rsid w:val="000D4417"/>
    <w:rsid w:val="000D4452"/>
    <w:rsid w:val="000D49B1"/>
    <w:rsid w:val="000D4A56"/>
    <w:rsid w:val="000D4CA1"/>
    <w:rsid w:val="000D4E6B"/>
    <w:rsid w:val="000D4EB4"/>
    <w:rsid w:val="000D4FEC"/>
    <w:rsid w:val="000D5035"/>
    <w:rsid w:val="000D52DE"/>
    <w:rsid w:val="000D5378"/>
    <w:rsid w:val="000D57EF"/>
    <w:rsid w:val="000D5A66"/>
    <w:rsid w:val="000D5A7F"/>
    <w:rsid w:val="000D5E91"/>
    <w:rsid w:val="000D6125"/>
    <w:rsid w:val="000D6266"/>
    <w:rsid w:val="000D63C2"/>
    <w:rsid w:val="000D6508"/>
    <w:rsid w:val="000D6804"/>
    <w:rsid w:val="000D696E"/>
    <w:rsid w:val="000D6DBD"/>
    <w:rsid w:val="000D6FA7"/>
    <w:rsid w:val="000D7165"/>
    <w:rsid w:val="000D720B"/>
    <w:rsid w:val="000D7512"/>
    <w:rsid w:val="000D7878"/>
    <w:rsid w:val="000D78AD"/>
    <w:rsid w:val="000D797E"/>
    <w:rsid w:val="000D7D76"/>
    <w:rsid w:val="000E077A"/>
    <w:rsid w:val="000E0957"/>
    <w:rsid w:val="000E0A28"/>
    <w:rsid w:val="000E1010"/>
    <w:rsid w:val="000E1583"/>
    <w:rsid w:val="000E16C4"/>
    <w:rsid w:val="000E182D"/>
    <w:rsid w:val="000E1833"/>
    <w:rsid w:val="000E19DB"/>
    <w:rsid w:val="000E1EBC"/>
    <w:rsid w:val="000E1FE3"/>
    <w:rsid w:val="000E2341"/>
    <w:rsid w:val="000E23BD"/>
    <w:rsid w:val="000E24EB"/>
    <w:rsid w:val="000E28F2"/>
    <w:rsid w:val="000E2938"/>
    <w:rsid w:val="000E2B16"/>
    <w:rsid w:val="000E2BA4"/>
    <w:rsid w:val="000E32B9"/>
    <w:rsid w:val="000E3949"/>
    <w:rsid w:val="000E3F74"/>
    <w:rsid w:val="000E46BD"/>
    <w:rsid w:val="000E4776"/>
    <w:rsid w:val="000E48AB"/>
    <w:rsid w:val="000E4C1F"/>
    <w:rsid w:val="000E53A9"/>
    <w:rsid w:val="000E550C"/>
    <w:rsid w:val="000E56B6"/>
    <w:rsid w:val="000E57F7"/>
    <w:rsid w:val="000E5B05"/>
    <w:rsid w:val="000E60E3"/>
    <w:rsid w:val="000E64B7"/>
    <w:rsid w:val="000E6875"/>
    <w:rsid w:val="000E68A3"/>
    <w:rsid w:val="000E6E20"/>
    <w:rsid w:val="000E72EA"/>
    <w:rsid w:val="000E7805"/>
    <w:rsid w:val="000E794A"/>
    <w:rsid w:val="000E7BB4"/>
    <w:rsid w:val="000E7E06"/>
    <w:rsid w:val="000F017D"/>
    <w:rsid w:val="000F0280"/>
    <w:rsid w:val="000F02F5"/>
    <w:rsid w:val="000F0505"/>
    <w:rsid w:val="000F0838"/>
    <w:rsid w:val="000F0C2E"/>
    <w:rsid w:val="000F0FE3"/>
    <w:rsid w:val="000F11FB"/>
    <w:rsid w:val="000F172F"/>
    <w:rsid w:val="000F1CD0"/>
    <w:rsid w:val="000F2020"/>
    <w:rsid w:val="000F2802"/>
    <w:rsid w:val="000F2A58"/>
    <w:rsid w:val="000F2AE3"/>
    <w:rsid w:val="000F2EDC"/>
    <w:rsid w:val="000F363A"/>
    <w:rsid w:val="000F37D1"/>
    <w:rsid w:val="000F3E22"/>
    <w:rsid w:val="000F3E36"/>
    <w:rsid w:val="000F3FCD"/>
    <w:rsid w:val="000F4877"/>
    <w:rsid w:val="000F4AA1"/>
    <w:rsid w:val="000F4D03"/>
    <w:rsid w:val="000F4D45"/>
    <w:rsid w:val="000F4DF0"/>
    <w:rsid w:val="000F5300"/>
    <w:rsid w:val="000F53A7"/>
    <w:rsid w:val="000F5803"/>
    <w:rsid w:val="000F598C"/>
    <w:rsid w:val="000F5AE3"/>
    <w:rsid w:val="000F5D5E"/>
    <w:rsid w:val="000F5D8E"/>
    <w:rsid w:val="000F5F52"/>
    <w:rsid w:val="000F6241"/>
    <w:rsid w:val="000F6485"/>
    <w:rsid w:val="000F65C7"/>
    <w:rsid w:val="000F65F8"/>
    <w:rsid w:val="000F6C9F"/>
    <w:rsid w:val="000F6D3B"/>
    <w:rsid w:val="000F6DED"/>
    <w:rsid w:val="000F6F79"/>
    <w:rsid w:val="000F72FA"/>
    <w:rsid w:val="000F7454"/>
    <w:rsid w:val="000F7642"/>
    <w:rsid w:val="000F7900"/>
    <w:rsid w:val="000F7A73"/>
    <w:rsid w:val="000F7ACC"/>
    <w:rsid w:val="000F7CBA"/>
    <w:rsid w:val="000F7EAA"/>
    <w:rsid w:val="00100061"/>
    <w:rsid w:val="00100758"/>
    <w:rsid w:val="00100A3B"/>
    <w:rsid w:val="00100BA5"/>
    <w:rsid w:val="0010115D"/>
    <w:rsid w:val="001016DC"/>
    <w:rsid w:val="001017DC"/>
    <w:rsid w:val="00101E91"/>
    <w:rsid w:val="001026E3"/>
    <w:rsid w:val="001028B7"/>
    <w:rsid w:val="00102C09"/>
    <w:rsid w:val="00102ED0"/>
    <w:rsid w:val="00103019"/>
    <w:rsid w:val="001035E0"/>
    <w:rsid w:val="00103E72"/>
    <w:rsid w:val="00104DB2"/>
    <w:rsid w:val="00104E66"/>
    <w:rsid w:val="00104ED5"/>
    <w:rsid w:val="00104FB4"/>
    <w:rsid w:val="00105C9B"/>
    <w:rsid w:val="001060F6"/>
    <w:rsid w:val="001061AB"/>
    <w:rsid w:val="001069A1"/>
    <w:rsid w:val="00106B13"/>
    <w:rsid w:val="00106C8A"/>
    <w:rsid w:val="00106D5B"/>
    <w:rsid w:val="00106F52"/>
    <w:rsid w:val="001074E3"/>
    <w:rsid w:val="001078E7"/>
    <w:rsid w:val="00107D7D"/>
    <w:rsid w:val="00107DFD"/>
    <w:rsid w:val="001101A9"/>
    <w:rsid w:val="0011036C"/>
    <w:rsid w:val="00110377"/>
    <w:rsid w:val="00110388"/>
    <w:rsid w:val="001103D8"/>
    <w:rsid w:val="001103DB"/>
    <w:rsid w:val="001103ED"/>
    <w:rsid w:val="001105E0"/>
    <w:rsid w:val="001108C4"/>
    <w:rsid w:val="00110A7B"/>
    <w:rsid w:val="00110B96"/>
    <w:rsid w:val="00110E29"/>
    <w:rsid w:val="00110EA5"/>
    <w:rsid w:val="0011108C"/>
    <w:rsid w:val="00111338"/>
    <w:rsid w:val="001114E5"/>
    <w:rsid w:val="001116BA"/>
    <w:rsid w:val="0011170B"/>
    <w:rsid w:val="00111AB0"/>
    <w:rsid w:val="00111B78"/>
    <w:rsid w:val="00111B8C"/>
    <w:rsid w:val="00111BCB"/>
    <w:rsid w:val="00111ECC"/>
    <w:rsid w:val="00112D6F"/>
    <w:rsid w:val="00112DDD"/>
    <w:rsid w:val="00112DDF"/>
    <w:rsid w:val="00112F2A"/>
    <w:rsid w:val="00113427"/>
    <w:rsid w:val="00113A70"/>
    <w:rsid w:val="00113AC8"/>
    <w:rsid w:val="00114248"/>
    <w:rsid w:val="001142D4"/>
    <w:rsid w:val="001145C3"/>
    <w:rsid w:val="00114812"/>
    <w:rsid w:val="0011517B"/>
    <w:rsid w:val="00115849"/>
    <w:rsid w:val="00115BD1"/>
    <w:rsid w:val="00116547"/>
    <w:rsid w:val="0011657A"/>
    <w:rsid w:val="0011664C"/>
    <w:rsid w:val="001167CE"/>
    <w:rsid w:val="00117131"/>
    <w:rsid w:val="00117152"/>
    <w:rsid w:val="00117831"/>
    <w:rsid w:val="001179EA"/>
    <w:rsid w:val="00117B2D"/>
    <w:rsid w:val="00117FAE"/>
    <w:rsid w:val="001200A6"/>
    <w:rsid w:val="00120448"/>
    <w:rsid w:val="001204BA"/>
    <w:rsid w:val="00120615"/>
    <w:rsid w:val="00120D69"/>
    <w:rsid w:val="00120DEE"/>
    <w:rsid w:val="0012106B"/>
    <w:rsid w:val="001212DF"/>
    <w:rsid w:val="001212E7"/>
    <w:rsid w:val="00121535"/>
    <w:rsid w:val="001217F3"/>
    <w:rsid w:val="00122072"/>
    <w:rsid w:val="001222BE"/>
    <w:rsid w:val="001225A9"/>
    <w:rsid w:val="00123280"/>
    <w:rsid w:val="001232FA"/>
    <w:rsid w:val="001234F3"/>
    <w:rsid w:val="00123509"/>
    <w:rsid w:val="001237C2"/>
    <w:rsid w:val="00123BAB"/>
    <w:rsid w:val="00123F20"/>
    <w:rsid w:val="00123FC4"/>
    <w:rsid w:val="00123FDE"/>
    <w:rsid w:val="0012498F"/>
    <w:rsid w:val="00124B53"/>
    <w:rsid w:val="00124B74"/>
    <w:rsid w:val="00124B8C"/>
    <w:rsid w:val="00124FE6"/>
    <w:rsid w:val="00125289"/>
    <w:rsid w:val="001252E8"/>
    <w:rsid w:val="00125452"/>
    <w:rsid w:val="001255E8"/>
    <w:rsid w:val="00125B16"/>
    <w:rsid w:val="00125BDE"/>
    <w:rsid w:val="00125CE1"/>
    <w:rsid w:val="00125EC5"/>
    <w:rsid w:val="001260D0"/>
    <w:rsid w:val="001261B9"/>
    <w:rsid w:val="00126DDB"/>
    <w:rsid w:val="001275A0"/>
    <w:rsid w:val="00127A77"/>
    <w:rsid w:val="00127E82"/>
    <w:rsid w:val="001300E4"/>
    <w:rsid w:val="001302BE"/>
    <w:rsid w:val="0013069A"/>
    <w:rsid w:val="001306B6"/>
    <w:rsid w:val="001306F6"/>
    <w:rsid w:val="00130837"/>
    <w:rsid w:val="00130BD9"/>
    <w:rsid w:val="00130E58"/>
    <w:rsid w:val="00132555"/>
    <w:rsid w:val="00132787"/>
    <w:rsid w:val="00132B46"/>
    <w:rsid w:val="00132E55"/>
    <w:rsid w:val="00132E94"/>
    <w:rsid w:val="00132FCB"/>
    <w:rsid w:val="0013321B"/>
    <w:rsid w:val="00133395"/>
    <w:rsid w:val="001335E5"/>
    <w:rsid w:val="001336B0"/>
    <w:rsid w:val="0013383E"/>
    <w:rsid w:val="00133C8E"/>
    <w:rsid w:val="00133D8E"/>
    <w:rsid w:val="00133ED6"/>
    <w:rsid w:val="00134112"/>
    <w:rsid w:val="0013456D"/>
    <w:rsid w:val="00134969"/>
    <w:rsid w:val="00134BC8"/>
    <w:rsid w:val="00134C31"/>
    <w:rsid w:val="00134E7A"/>
    <w:rsid w:val="00134FCD"/>
    <w:rsid w:val="0013505B"/>
    <w:rsid w:val="00135074"/>
    <w:rsid w:val="001350CD"/>
    <w:rsid w:val="0013511E"/>
    <w:rsid w:val="001351E4"/>
    <w:rsid w:val="0013561E"/>
    <w:rsid w:val="00135A30"/>
    <w:rsid w:val="00135D79"/>
    <w:rsid w:val="00135E9B"/>
    <w:rsid w:val="00136733"/>
    <w:rsid w:val="00136D86"/>
    <w:rsid w:val="00136E74"/>
    <w:rsid w:val="00137149"/>
    <w:rsid w:val="0013735F"/>
    <w:rsid w:val="001376EC"/>
    <w:rsid w:val="0014004F"/>
    <w:rsid w:val="001403BF"/>
    <w:rsid w:val="00140797"/>
    <w:rsid w:val="001409CC"/>
    <w:rsid w:val="00140AFE"/>
    <w:rsid w:val="00140EB8"/>
    <w:rsid w:val="00140EC5"/>
    <w:rsid w:val="00140F8F"/>
    <w:rsid w:val="00141AAD"/>
    <w:rsid w:val="00141F5B"/>
    <w:rsid w:val="001423E2"/>
    <w:rsid w:val="001428BD"/>
    <w:rsid w:val="001429F7"/>
    <w:rsid w:val="00142C6F"/>
    <w:rsid w:val="00143534"/>
    <w:rsid w:val="0014362A"/>
    <w:rsid w:val="0014363C"/>
    <w:rsid w:val="00143A3D"/>
    <w:rsid w:val="001440B8"/>
    <w:rsid w:val="00144537"/>
    <w:rsid w:val="001446E5"/>
    <w:rsid w:val="001447E2"/>
    <w:rsid w:val="001447EC"/>
    <w:rsid w:val="00144908"/>
    <w:rsid w:val="001453C0"/>
    <w:rsid w:val="001455D0"/>
    <w:rsid w:val="00145808"/>
    <w:rsid w:val="0014630C"/>
    <w:rsid w:val="001464B9"/>
    <w:rsid w:val="001465AD"/>
    <w:rsid w:val="0014674E"/>
    <w:rsid w:val="00146832"/>
    <w:rsid w:val="00146CBA"/>
    <w:rsid w:val="00147280"/>
    <w:rsid w:val="00147484"/>
    <w:rsid w:val="001474D0"/>
    <w:rsid w:val="00147814"/>
    <w:rsid w:val="001479CA"/>
    <w:rsid w:val="00147AB1"/>
    <w:rsid w:val="00147F5B"/>
    <w:rsid w:val="00150359"/>
    <w:rsid w:val="0015036D"/>
    <w:rsid w:val="001505DF"/>
    <w:rsid w:val="00150D39"/>
    <w:rsid w:val="00150FAC"/>
    <w:rsid w:val="00151161"/>
    <w:rsid w:val="0015124B"/>
    <w:rsid w:val="001515D1"/>
    <w:rsid w:val="00151638"/>
    <w:rsid w:val="00151AAE"/>
    <w:rsid w:val="00151B1E"/>
    <w:rsid w:val="00151DB9"/>
    <w:rsid w:val="00151E3B"/>
    <w:rsid w:val="00151EF8"/>
    <w:rsid w:val="00151F15"/>
    <w:rsid w:val="001528B2"/>
    <w:rsid w:val="0015290C"/>
    <w:rsid w:val="00152973"/>
    <w:rsid w:val="001544C5"/>
    <w:rsid w:val="001547DE"/>
    <w:rsid w:val="00154BBB"/>
    <w:rsid w:val="001553B6"/>
    <w:rsid w:val="001557F2"/>
    <w:rsid w:val="00155998"/>
    <w:rsid w:val="00155BDA"/>
    <w:rsid w:val="00155C20"/>
    <w:rsid w:val="00155C23"/>
    <w:rsid w:val="00155FB0"/>
    <w:rsid w:val="001562FE"/>
    <w:rsid w:val="00156399"/>
    <w:rsid w:val="00156506"/>
    <w:rsid w:val="001566E8"/>
    <w:rsid w:val="00156BEC"/>
    <w:rsid w:val="00156F47"/>
    <w:rsid w:val="00157066"/>
    <w:rsid w:val="001572E5"/>
    <w:rsid w:val="001576AB"/>
    <w:rsid w:val="00157851"/>
    <w:rsid w:val="00157DB9"/>
    <w:rsid w:val="00160608"/>
    <w:rsid w:val="001608B1"/>
    <w:rsid w:val="001609BE"/>
    <w:rsid w:val="001609C6"/>
    <w:rsid w:val="00160A32"/>
    <w:rsid w:val="00160BE5"/>
    <w:rsid w:val="00160D2B"/>
    <w:rsid w:val="0016102D"/>
    <w:rsid w:val="001618B2"/>
    <w:rsid w:val="00161E65"/>
    <w:rsid w:val="00161E70"/>
    <w:rsid w:val="00161F01"/>
    <w:rsid w:val="00162117"/>
    <w:rsid w:val="00162207"/>
    <w:rsid w:val="0016244B"/>
    <w:rsid w:val="0016248E"/>
    <w:rsid w:val="00162B30"/>
    <w:rsid w:val="00162CB6"/>
    <w:rsid w:val="00162E11"/>
    <w:rsid w:val="00162F39"/>
    <w:rsid w:val="00162F6D"/>
    <w:rsid w:val="00163131"/>
    <w:rsid w:val="00163247"/>
    <w:rsid w:val="00163345"/>
    <w:rsid w:val="00164065"/>
    <w:rsid w:val="001642CA"/>
    <w:rsid w:val="0016476D"/>
    <w:rsid w:val="00164DAD"/>
    <w:rsid w:val="001652E6"/>
    <w:rsid w:val="00165517"/>
    <w:rsid w:val="00165D66"/>
    <w:rsid w:val="00165E31"/>
    <w:rsid w:val="00165F39"/>
    <w:rsid w:val="00166368"/>
    <w:rsid w:val="001664C2"/>
    <w:rsid w:val="001667FB"/>
    <w:rsid w:val="00166A2D"/>
    <w:rsid w:val="00166B17"/>
    <w:rsid w:val="00166B6F"/>
    <w:rsid w:val="00166DB6"/>
    <w:rsid w:val="0016714B"/>
    <w:rsid w:val="0016737E"/>
    <w:rsid w:val="00167428"/>
    <w:rsid w:val="00167584"/>
    <w:rsid w:val="001675EF"/>
    <w:rsid w:val="00167DDE"/>
    <w:rsid w:val="00167E75"/>
    <w:rsid w:val="00167E90"/>
    <w:rsid w:val="001705AC"/>
    <w:rsid w:val="00170702"/>
    <w:rsid w:val="001709D2"/>
    <w:rsid w:val="00170F6F"/>
    <w:rsid w:val="00171143"/>
    <w:rsid w:val="001711C0"/>
    <w:rsid w:val="00171293"/>
    <w:rsid w:val="001712F9"/>
    <w:rsid w:val="00171424"/>
    <w:rsid w:val="00171754"/>
    <w:rsid w:val="00171ABC"/>
    <w:rsid w:val="00171F52"/>
    <w:rsid w:val="001721A6"/>
    <w:rsid w:val="001726ED"/>
    <w:rsid w:val="00172763"/>
    <w:rsid w:val="001728D0"/>
    <w:rsid w:val="00172ACA"/>
    <w:rsid w:val="00172D3B"/>
    <w:rsid w:val="001731F8"/>
    <w:rsid w:val="00173D96"/>
    <w:rsid w:val="00173E04"/>
    <w:rsid w:val="00173E43"/>
    <w:rsid w:val="00173ECA"/>
    <w:rsid w:val="00173FA2"/>
    <w:rsid w:val="00173FBF"/>
    <w:rsid w:val="00174832"/>
    <w:rsid w:val="00174CCD"/>
    <w:rsid w:val="00174DE0"/>
    <w:rsid w:val="00174EF9"/>
    <w:rsid w:val="001754CE"/>
    <w:rsid w:val="001756B3"/>
    <w:rsid w:val="00176119"/>
    <w:rsid w:val="00176A18"/>
    <w:rsid w:val="00176EA5"/>
    <w:rsid w:val="001771E7"/>
    <w:rsid w:val="001773E5"/>
    <w:rsid w:val="001775B3"/>
    <w:rsid w:val="00177699"/>
    <w:rsid w:val="001779D3"/>
    <w:rsid w:val="00177B8B"/>
    <w:rsid w:val="00177E42"/>
    <w:rsid w:val="00177E55"/>
    <w:rsid w:val="001800F0"/>
    <w:rsid w:val="0018029F"/>
    <w:rsid w:val="00180458"/>
    <w:rsid w:val="001806DB"/>
    <w:rsid w:val="00180942"/>
    <w:rsid w:val="00180B3E"/>
    <w:rsid w:val="00180B53"/>
    <w:rsid w:val="00180C51"/>
    <w:rsid w:val="00180DC4"/>
    <w:rsid w:val="00180E63"/>
    <w:rsid w:val="00181558"/>
    <w:rsid w:val="00181D53"/>
    <w:rsid w:val="0018231D"/>
    <w:rsid w:val="001827DF"/>
    <w:rsid w:val="00182CE8"/>
    <w:rsid w:val="00182EFD"/>
    <w:rsid w:val="00182FDD"/>
    <w:rsid w:val="0018334A"/>
    <w:rsid w:val="001833FB"/>
    <w:rsid w:val="00183449"/>
    <w:rsid w:val="0018360B"/>
    <w:rsid w:val="0018388B"/>
    <w:rsid w:val="00183A4D"/>
    <w:rsid w:val="00183A77"/>
    <w:rsid w:val="001841B2"/>
    <w:rsid w:val="00184388"/>
    <w:rsid w:val="0018457C"/>
    <w:rsid w:val="00184B11"/>
    <w:rsid w:val="00184C0E"/>
    <w:rsid w:val="00184E80"/>
    <w:rsid w:val="00184F1E"/>
    <w:rsid w:val="0018509E"/>
    <w:rsid w:val="0018550F"/>
    <w:rsid w:val="00185750"/>
    <w:rsid w:val="00185824"/>
    <w:rsid w:val="00185AD8"/>
    <w:rsid w:val="00185E91"/>
    <w:rsid w:val="00186874"/>
    <w:rsid w:val="00186989"/>
    <w:rsid w:val="00186EA9"/>
    <w:rsid w:val="00186EB6"/>
    <w:rsid w:val="001877EC"/>
    <w:rsid w:val="00187911"/>
    <w:rsid w:val="00187F0F"/>
    <w:rsid w:val="001905CD"/>
    <w:rsid w:val="00190607"/>
    <w:rsid w:val="0019082C"/>
    <w:rsid w:val="00190E46"/>
    <w:rsid w:val="00190EE1"/>
    <w:rsid w:val="00190FAD"/>
    <w:rsid w:val="00191039"/>
    <w:rsid w:val="0019115A"/>
    <w:rsid w:val="00191161"/>
    <w:rsid w:val="00191459"/>
    <w:rsid w:val="00191B57"/>
    <w:rsid w:val="00191CFB"/>
    <w:rsid w:val="00191EFB"/>
    <w:rsid w:val="001927A7"/>
    <w:rsid w:val="00192E2E"/>
    <w:rsid w:val="00193562"/>
    <w:rsid w:val="001937CE"/>
    <w:rsid w:val="001937DE"/>
    <w:rsid w:val="00193BB8"/>
    <w:rsid w:val="00193F6D"/>
    <w:rsid w:val="00194258"/>
    <w:rsid w:val="00194296"/>
    <w:rsid w:val="0019452C"/>
    <w:rsid w:val="001946F9"/>
    <w:rsid w:val="00194898"/>
    <w:rsid w:val="00195186"/>
    <w:rsid w:val="0019567D"/>
    <w:rsid w:val="001957C9"/>
    <w:rsid w:val="00195A69"/>
    <w:rsid w:val="00195EE4"/>
    <w:rsid w:val="00196262"/>
    <w:rsid w:val="001963EE"/>
    <w:rsid w:val="001964ED"/>
    <w:rsid w:val="0019660B"/>
    <w:rsid w:val="00196712"/>
    <w:rsid w:val="00196745"/>
    <w:rsid w:val="00196858"/>
    <w:rsid w:val="00196B45"/>
    <w:rsid w:val="00196F48"/>
    <w:rsid w:val="00196F50"/>
    <w:rsid w:val="00197473"/>
    <w:rsid w:val="001975BA"/>
    <w:rsid w:val="0019795C"/>
    <w:rsid w:val="00197DFB"/>
    <w:rsid w:val="001A00B4"/>
    <w:rsid w:val="001A0168"/>
    <w:rsid w:val="001A02E5"/>
    <w:rsid w:val="001A07B4"/>
    <w:rsid w:val="001A086A"/>
    <w:rsid w:val="001A0B22"/>
    <w:rsid w:val="001A0E84"/>
    <w:rsid w:val="001A111A"/>
    <w:rsid w:val="001A13A0"/>
    <w:rsid w:val="001A179C"/>
    <w:rsid w:val="001A1834"/>
    <w:rsid w:val="001A245E"/>
    <w:rsid w:val="001A2492"/>
    <w:rsid w:val="001A3195"/>
    <w:rsid w:val="001A36A7"/>
    <w:rsid w:val="001A3907"/>
    <w:rsid w:val="001A399F"/>
    <w:rsid w:val="001A3B27"/>
    <w:rsid w:val="001A3CAE"/>
    <w:rsid w:val="001A3F89"/>
    <w:rsid w:val="001A4337"/>
    <w:rsid w:val="001A4348"/>
    <w:rsid w:val="001A4B2B"/>
    <w:rsid w:val="001A4CDD"/>
    <w:rsid w:val="001A4EBA"/>
    <w:rsid w:val="001A5879"/>
    <w:rsid w:val="001A5ACD"/>
    <w:rsid w:val="001A5C33"/>
    <w:rsid w:val="001A5C9F"/>
    <w:rsid w:val="001A5D7B"/>
    <w:rsid w:val="001A5EC2"/>
    <w:rsid w:val="001A60AD"/>
    <w:rsid w:val="001A6764"/>
    <w:rsid w:val="001A6ADF"/>
    <w:rsid w:val="001A6C30"/>
    <w:rsid w:val="001A6CBC"/>
    <w:rsid w:val="001A7031"/>
    <w:rsid w:val="001A7083"/>
    <w:rsid w:val="001B0793"/>
    <w:rsid w:val="001B0A18"/>
    <w:rsid w:val="001B0AEC"/>
    <w:rsid w:val="001B0D5B"/>
    <w:rsid w:val="001B0E19"/>
    <w:rsid w:val="001B0FD5"/>
    <w:rsid w:val="001B114F"/>
    <w:rsid w:val="001B12E0"/>
    <w:rsid w:val="001B13AD"/>
    <w:rsid w:val="001B1443"/>
    <w:rsid w:val="001B173E"/>
    <w:rsid w:val="001B1E8B"/>
    <w:rsid w:val="001B2269"/>
    <w:rsid w:val="001B2558"/>
    <w:rsid w:val="001B25F0"/>
    <w:rsid w:val="001B28D6"/>
    <w:rsid w:val="001B2AFD"/>
    <w:rsid w:val="001B2C82"/>
    <w:rsid w:val="001B3074"/>
    <w:rsid w:val="001B313A"/>
    <w:rsid w:val="001B3459"/>
    <w:rsid w:val="001B36F7"/>
    <w:rsid w:val="001B3AA3"/>
    <w:rsid w:val="001B3AA6"/>
    <w:rsid w:val="001B3DE4"/>
    <w:rsid w:val="001B3E20"/>
    <w:rsid w:val="001B3EA7"/>
    <w:rsid w:val="001B442D"/>
    <w:rsid w:val="001B44C2"/>
    <w:rsid w:val="001B44FA"/>
    <w:rsid w:val="001B46E4"/>
    <w:rsid w:val="001B47AF"/>
    <w:rsid w:val="001B4904"/>
    <w:rsid w:val="001B4CB4"/>
    <w:rsid w:val="001B5240"/>
    <w:rsid w:val="001B53B0"/>
    <w:rsid w:val="001B5CB7"/>
    <w:rsid w:val="001B5ED6"/>
    <w:rsid w:val="001B5F55"/>
    <w:rsid w:val="001B616F"/>
    <w:rsid w:val="001B62FD"/>
    <w:rsid w:val="001B63D7"/>
    <w:rsid w:val="001B63F1"/>
    <w:rsid w:val="001B6605"/>
    <w:rsid w:val="001B675D"/>
    <w:rsid w:val="001B6CD9"/>
    <w:rsid w:val="001B6F36"/>
    <w:rsid w:val="001B77B5"/>
    <w:rsid w:val="001B7A11"/>
    <w:rsid w:val="001B7AE3"/>
    <w:rsid w:val="001B7D13"/>
    <w:rsid w:val="001B7F68"/>
    <w:rsid w:val="001C0008"/>
    <w:rsid w:val="001C0129"/>
    <w:rsid w:val="001C0316"/>
    <w:rsid w:val="001C0839"/>
    <w:rsid w:val="001C13E3"/>
    <w:rsid w:val="001C1C97"/>
    <w:rsid w:val="001C292C"/>
    <w:rsid w:val="001C3141"/>
    <w:rsid w:val="001C31BF"/>
    <w:rsid w:val="001C33D8"/>
    <w:rsid w:val="001C3CC1"/>
    <w:rsid w:val="001C3E9C"/>
    <w:rsid w:val="001C3EA0"/>
    <w:rsid w:val="001C4004"/>
    <w:rsid w:val="001C4129"/>
    <w:rsid w:val="001C417C"/>
    <w:rsid w:val="001C41C5"/>
    <w:rsid w:val="001C42F4"/>
    <w:rsid w:val="001C4752"/>
    <w:rsid w:val="001C47C8"/>
    <w:rsid w:val="001C4C7C"/>
    <w:rsid w:val="001C5096"/>
    <w:rsid w:val="001C553C"/>
    <w:rsid w:val="001C5B3B"/>
    <w:rsid w:val="001C5D06"/>
    <w:rsid w:val="001C5D27"/>
    <w:rsid w:val="001C5F6D"/>
    <w:rsid w:val="001C6451"/>
    <w:rsid w:val="001C64F9"/>
    <w:rsid w:val="001C651D"/>
    <w:rsid w:val="001C674C"/>
    <w:rsid w:val="001C6762"/>
    <w:rsid w:val="001C685C"/>
    <w:rsid w:val="001C6950"/>
    <w:rsid w:val="001C6D04"/>
    <w:rsid w:val="001C6DB5"/>
    <w:rsid w:val="001D0A7C"/>
    <w:rsid w:val="001D0A90"/>
    <w:rsid w:val="001D0AE4"/>
    <w:rsid w:val="001D0B32"/>
    <w:rsid w:val="001D0C7D"/>
    <w:rsid w:val="001D0CB3"/>
    <w:rsid w:val="001D0E4A"/>
    <w:rsid w:val="001D0EE9"/>
    <w:rsid w:val="001D1174"/>
    <w:rsid w:val="001D13C4"/>
    <w:rsid w:val="001D1467"/>
    <w:rsid w:val="001D15B0"/>
    <w:rsid w:val="001D19AA"/>
    <w:rsid w:val="001D1C02"/>
    <w:rsid w:val="001D213E"/>
    <w:rsid w:val="001D2348"/>
    <w:rsid w:val="001D243D"/>
    <w:rsid w:val="001D2754"/>
    <w:rsid w:val="001D283D"/>
    <w:rsid w:val="001D358E"/>
    <w:rsid w:val="001D3797"/>
    <w:rsid w:val="001D3CAA"/>
    <w:rsid w:val="001D3CBC"/>
    <w:rsid w:val="001D3E91"/>
    <w:rsid w:val="001D42CC"/>
    <w:rsid w:val="001D4467"/>
    <w:rsid w:val="001D477D"/>
    <w:rsid w:val="001D4CA8"/>
    <w:rsid w:val="001D4D3D"/>
    <w:rsid w:val="001D50BA"/>
    <w:rsid w:val="001D5307"/>
    <w:rsid w:val="001D55E5"/>
    <w:rsid w:val="001D56A8"/>
    <w:rsid w:val="001D5825"/>
    <w:rsid w:val="001D5887"/>
    <w:rsid w:val="001D6295"/>
    <w:rsid w:val="001D664C"/>
    <w:rsid w:val="001D6823"/>
    <w:rsid w:val="001D69C4"/>
    <w:rsid w:val="001D69F5"/>
    <w:rsid w:val="001D6A7C"/>
    <w:rsid w:val="001D6B5C"/>
    <w:rsid w:val="001D6EC4"/>
    <w:rsid w:val="001D7250"/>
    <w:rsid w:val="001D72DB"/>
    <w:rsid w:val="001D765C"/>
    <w:rsid w:val="001D7723"/>
    <w:rsid w:val="001D78F1"/>
    <w:rsid w:val="001D7DEB"/>
    <w:rsid w:val="001D7E09"/>
    <w:rsid w:val="001D7F3E"/>
    <w:rsid w:val="001E0315"/>
    <w:rsid w:val="001E0970"/>
    <w:rsid w:val="001E16F2"/>
    <w:rsid w:val="001E1895"/>
    <w:rsid w:val="001E1C42"/>
    <w:rsid w:val="001E1CF0"/>
    <w:rsid w:val="001E2232"/>
    <w:rsid w:val="001E2477"/>
    <w:rsid w:val="001E263A"/>
    <w:rsid w:val="001E2806"/>
    <w:rsid w:val="001E287C"/>
    <w:rsid w:val="001E2B04"/>
    <w:rsid w:val="001E2C41"/>
    <w:rsid w:val="001E2D61"/>
    <w:rsid w:val="001E2F41"/>
    <w:rsid w:val="001E2F4F"/>
    <w:rsid w:val="001E34F7"/>
    <w:rsid w:val="001E3574"/>
    <w:rsid w:val="001E37B4"/>
    <w:rsid w:val="001E3A85"/>
    <w:rsid w:val="001E3B3B"/>
    <w:rsid w:val="001E3F6B"/>
    <w:rsid w:val="001E40BE"/>
    <w:rsid w:val="001E4163"/>
    <w:rsid w:val="001E450D"/>
    <w:rsid w:val="001E4611"/>
    <w:rsid w:val="001E49D7"/>
    <w:rsid w:val="001E4BF5"/>
    <w:rsid w:val="001E4DBE"/>
    <w:rsid w:val="001E4FA3"/>
    <w:rsid w:val="001E4FE1"/>
    <w:rsid w:val="001E5671"/>
    <w:rsid w:val="001E57B0"/>
    <w:rsid w:val="001E57C6"/>
    <w:rsid w:val="001E58F6"/>
    <w:rsid w:val="001E599A"/>
    <w:rsid w:val="001E6389"/>
    <w:rsid w:val="001E65DE"/>
    <w:rsid w:val="001E65DF"/>
    <w:rsid w:val="001E6A66"/>
    <w:rsid w:val="001E6F34"/>
    <w:rsid w:val="001E7224"/>
    <w:rsid w:val="001E727F"/>
    <w:rsid w:val="001E72B4"/>
    <w:rsid w:val="001E7357"/>
    <w:rsid w:val="001E7BCA"/>
    <w:rsid w:val="001E7DBC"/>
    <w:rsid w:val="001E7F22"/>
    <w:rsid w:val="001F019F"/>
    <w:rsid w:val="001F03D7"/>
    <w:rsid w:val="001F0BDD"/>
    <w:rsid w:val="001F0CC8"/>
    <w:rsid w:val="001F0CF2"/>
    <w:rsid w:val="001F100D"/>
    <w:rsid w:val="001F11EC"/>
    <w:rsid w:val="001F163A"/>
    <w:rsid w:val="001F1981"/>
    <w:rsid w:val="001F229E"/>
    <w:rsid w:val="001F2515"/>
    <w:rsid w:val="001F254A"/>
    <w:rsid w:val="001F3B2E"/>
    <w:rsid w:val="001F3BB0"/>
    <w:rsid w:val="001F4C40"/>
    <w:rsid w:val="001F4DAF"/>
    <w:rsid w:val="001F4FCD"/>
    <w:rsid w:val="001F5120"/>
    <w:rsid w:val="001F5476"/>
    <w:rsid w:val="001F589B"/>
    <w:rsid w:val="001F5CB7"/>
    <w:rsid w:val="001F5D47"/>
    <w:rsid w:val="001F5F71"/>
    <w:rsid w:val="001F630B"/>
    <w:rsid w:val="001F6604"/>
    <w:rsid w:val="001F6A15"/>
    <w:rsid w:val="001F6A96"/>
    <w:rsid w:val="001F6AD8"/>
    <w:rsid w:val="001F6D0A"/>
    <w:rsid w:val="001F6EA5"/>
    <w:rsid w:val="001F706E"/>
    <w:rsid w:val="001F72D4"/>
    <w:rsid w:val="001F7325"/>
    <w:rsid w:val="001F7349"/>
    <w:rsid w:val="001F770B"/>
    <w:rsid w:val="001F7E39"/>
    <w:rsid w:val="002010FF"/>
    <w:rsid w:val="0020111E"/>
    <w:rsid w:val="002012CC"/>
    <w:rsid w:val="00201F7B"/>
    <w:rsid w:val="00202168"/>
    <w:rsid w:val="00202799"/>
    <w:rsid w:val="002027CD"/>
    <w:rsid w:val="00202ABF"/>
    <w:rsid w:val="00202E1C"/>
    <w:rsid w:val="00203186"/>
    <w:rsid w:val="002032DF"/>
    <w:rsid w:val="00203608"/>
    <w:rsid w:val="00203639"/>
    <w:rsid w:val="002038F5"/>
    <w:rsid w:val="0020454E"/>
    <w:rsid w:val="00204DC3"/>
    <w:rsid w:val="00204E6E"/>
    <w:rsid w:val="00205021"/>
    <w:rsid w:val="002050F7"/>
    <w:rsid w:val="00205254"/>
    <w:rsid w:val="0020599E"/>
    <w:rsid w:val="00205C35"/>
    <w:rsid w:val="00205FE4"/>
    <w:rsid w:val="00206695"/>
    <w:rsid w:val="002068BE"/>
    <w:rsid w:val="00206D1C"/>
    <w:rsid w:val="00206D86"/>
    <w:rsid w:val="00206E29"/>
    <w:rsid w:val="0020715B"/>
    <w:rsid w:val="00207186"/>
    <w:rsid w:val="0020720C"/>
    <w:rsid w:val="002072A7"/>
    <w:rsid w:val="002072A9"/>
    <w:rsid w:val="0020743C"/>
    <w:rsid w:val="00207C7B"/>
    <w:rsid w:val="00207C9A"/>
    <w:rsid w:val="00207FF4"/>
    <w:rsid w:val="0021008C"/>
    <w:rsid w:val="0021010A"/>
    <w:rsid w:val="00210C4A"/>
    <w:rsid w:val="00210ED9"/>
    <w:rsid w:val="00210F80"/>
    <w:rsid w:val="002111DC"/>
    <w:rsid w:val="002112BE"/>
    <w:rsid w:val="00211A07"/>
    <w:rsid w:val="00211A17"/>
    <w:rsid w:val="00211A51"/>
    <w:rsid w:val="00211EAA"/>
    <w:rsid w:val="002126FF"/>
    <w:rsid w:val="002127E2"/>
    <w:rsid w:val="00212852"/>
    <w:rsid w:val="0021296B"/>
    <w:rsid w:val="00212E13"/>
    <w:rsid w:val="00212E66"/>
    <w:rsid w:val="002134B6"/>
    <w:rsid w:val="002134F5"/>
    <w:rsid w:val="00213A22"/>
    <w:rsid w:val="00213AB3"/>
    <w:rsid w:val="00213F32"/>
    <w:rsid w:val="00213F4F"/>
    <w:rsid w:val="0021436C"/>
    <w:rsid w:val="002144E6"/>
    <w:rsid w:val="002146F2"/>
    <w:rsid w:val="00214CE5"/>
    <w:rsid w:val="00214D87"/>
    <w:rsid w:val="002150F1"/>
    <w:rsid w:val="002152DD"/>
    <w:rsid w:val="00215616"/>
    <w:rsid w:val="0021579C"/>
    <w:rsid w:val="00215A6C"/>
    <w:rsid w:val="00215F52"/>
    <w:rsid w:val="002165EF"/>
    <w:rsid w:val="00216766"/>
    <w:rsid w:val="002169D7"/>
    <w:rsid w:val="00216D7F"/>
    <w:rsid w:val="00216E41"/>
    <w:rsid w:val="00216F07"/>
    <w:rsid w:val="00217757"/>
    <w:rsid w:val="002177F0"/>
    <w:rsid w:val="00217AB6"/>
    <w:rsid w:val="00217B82"/>
    <w:rsid w:val="00220092"/>
    <w:rsid w:val="0022031D"/>
    <w:rsid w:val="002206DC"/>
    <w:rsid w:val="0022078F"/>
    <w:rsid w:val="00220965"/>
    <w:rsid w:val="00221354"/>
    <w:rsid w:val="00221441"/>
    <w:rsid w:val="0022187B"/>
    <w:rsid w:val="00221A67"/>
    <w:rsid w:val="00221B58"/>
    <w:rsid w:val="00222083"/>
    <w:rsid w:val="0022293D"/>
    <w:rsid w:val="00222A2B"/>
    <w:rsid w:val="00222C85"/>
    <w:rsid w:val="00222D1B"/>
    <w:rsid w:val="00222E86"/>
    <w:rsid w:val="002234AC"/>
    <w:rsid w:val="00223FA0"/>
    <w:rsid w:val="00224129"/>
    <w:rsid w:val="0022470E"/>
    <w:rsid w:val="00224BBB"/>
    <w:rsid w:val="00224D05"/>
    <w:rsid w:val="00224DDB"/>
    <w:rsid w:val="002251D3"/>
    <w:rsid w:val="002259A9"/>
    <w:rsid w:val="00225C8A"/>
    <w:rsid w:val="00226001"/>
    <w:rsid w:val="002261E1"/>
    <w:rsid w:val="00226210"/>
    <w:rsid w:val="00226696"/>
    <w:rsid w:val="00226749"/>
    <w:rsid w:val="002268A0"/>
    <w:rsid w:val="00226B1A"/>
    <w:rsid w:val="00226C49"/>
    <w:rsid w:val="00226FCB"/>
    <w:rsid w:val="0022737C"/>
    <w:rsid w:val="002277E5"/>
    <w:rsid w:val="002279F5"/>
    <w:rsid w:val="002302F2"/>
    <w:rsid w:val="0023055B"/>
    <w:rsid w:val="00230709"/>
    <w:rsid w:val="00230A31"/>
    <w:rsid w:val="00231090"/>
    <w:rsid w:val="00231273"/>
    <w:rsid w:val="00231411"/>
    <w:rsid w:val="0023190F"/>
    <w:rsid w:val="00231A63"/>
    <w:rsid w:val="00231CB1"/>
    <w:rsid w:val="00231DE5"/>
    <w:rsid w:val="00231F38"/>
    <w:rsid w:val="0023200C"/>
    <w:rsid w:val="00232049"/>
    <w:rsid w:val="00232639"/>
    <w:rsid w:val="0023292D"/>
    <w:rsid w:val="00232B7F"/>
    <w:rsid w:val="00232D9D"/>
    <w:rsid w:val="00232EAE"/>
    <w:rsid w:val="002331F5"/>
    <w:rsid w:val="002331FC"/>
    <w:rsid w:val="0023345A"/>
    <w:rsid w:val="0023389A"/>
    <w:rsid w:val="00233B0B"/>
    <w:rsid w:val="00233EE4"/>
    <w:rsid w:val="0023477E"/>
    <w:rsid w:val="00234A16"/>
    <w:rsid w:val="0023549C"/>
    <w:rsid w:val="002354A3"/>
    <w:rsid w:val="00235766"/>
    <w:rsid w:val="0023595B"/>
    <w:rsid w:val="00235BF3"/>
    <w:rsid w:val="00235EA7"/>
    <w:rsid w:val="00235F2B"/>
    <w:rsid w:val="00235FFD"/>
    <w:rsid w:val="00236153"/>
    <w:rsid w:val="002362E1"/>
    <w:rsid w:val="00236A49"/>
    <w:rsid w:val="00236DF2"/>
    <w:rsid w:val="00236FF1"/>
    <w:rsid w:val="002371F8"/>
    <w:rsid w:val="002372D9"/>
    <w:rsid w:val="002372FA"/>
    <w:rsid w:val="0023733C"/>
    <w:rsid w:val="00237988"/>
    <w:rsid w:val="00237A14"/>
    <w:rsid w:val="00237A77"/>
    <w:rsid w:val="00237AB7"/>
    <w:rsid w:val="002402D4"/>
    <w:rsid w:val="00240322"/>
    <w:rsid w:val="00240382"/>
    <w:rsid w:val="0024057F"/>
    <w:rsid w:val="002406BF"/>
    <w:rsid w:val="00240738"/>
    <w:rsid w:val="002409F3"/>
    <w:rsid w:val="002414E6"/>
    <w:rsid w:val="0024173D"/>
    <w:rsid w:val="00241BDE"/>
    <w:rsid w:val="00241CEE"/>
    <w:rsid w:val="00241F11"/>
    <w:rsid w:val="00242348"/>
    <w:rsid w:val="00242468"/>
    <w:rsid w:val="0024255C"/>
    <w:rsid w:val="002426B4"/>
    <w:rsid w:val="00242725"/>
    <w:rsid w:val="00242E90"/>
    <w:rsid w:val="00242ED6"/>
    <w:rsid w:val="002432E1"/>
    <w:rsid w:val="0024339E"/>
    <w:rsid w:val="00243B17"/>
    <w:rsid w:val="00243D13"/>
    <w:rsid w:val="00243DE4"/>
    <w:rsid w:val="00243DEA"/>
    <w:rsid w:val="00244505"/>
    <w:rsid w:val="00244567"/>
    <w:rsid w:val="00244883"/>
    <w:rsid w:val="002448FD"/>
    <w:rsid w:val="00244B04"/>
    <w:rsid w:val="00244CD4"/>
    <w:rsid w:val="0024508B"/>
    <w:rsid w:val="002450CF"/>
    <w:rsid w:val="00245326"/>
    <w:rsid w:val="002453C9"/>
    <w:rsid w:val="00245655"/>
    <w:rsid w:val="00245CE3"/>
    <w:rsid w:val="00246048"/>
    <w:rsid w:val="00246229"/>
    <w:rsid w:val="002464A8"/>
    <w:rsid w:val="0024686F"/>
    <w:rsid w:val="00246B97"/>
    <w:rsid w:val="00246BBC"/>
    <w:rsid w:val="00246D74"/>
    <w:rsid w:val="002471CF"/>
    <w:rsid w:val="002475EC"/>
    <w:rsid w:val="0024770B"/>
    <w:rsid w:val="00247B24"/>
    <w:rsid w:val="00247FD9"/>
    <w:rsid w:val="002508E4"/>
    <w:rsid w:val="00250E4B"/>
    <w:rsid w:val="00250E52"/>
    <w:rsid w:val="002510D1"/>
    <w:rsid w:val="00251AC4"/>
    <w:rsid w:val="00251D89"/>
    <w:rsid w:val="00252258"/>
    <w:rsid w:val="002522BF"/>
    <w:rsid w:val="002525CD"/>
    <w:rsid w:val="00252796"/>
    <w:rsid w:val="00252846"/>
    <w:rsid w:val="0025296A"/>
    <w:rsid w:val="002529A4"/>
    <w:rsid w:val="00252A00"/>
    <w:rsid w:val="00252CA6"/>
    <w:rsid w:val="00253471"/>
    <w:rsid w:val="00253937"/>
    <w:rsid w:val="00253B53"/>
    <w:rsid w:val="00253B84"/>
    <w:rsid w:val="00253E12"/>
    <w:rsid w:val="002541CC"/>
    <w:rsid w:val="0025426A"/>
    <w:rsid w:val="002544C1"/>
    <w:rsid w:val="00254880"/>
    <w:rsid w:val="00254CAA"/>
    <w:rsid w:val="00254D0E"/>
    <w:rsid w:val="0025554D"/>
    <w:rsid w:val="002559D9"/>
    <w:rsid w:val="00255B70"/>
    <w:rsid w:val="00255E60"/>
    <w:rsid w:val="002566A1"/>
    <w:rsid w:val="002574BB"/>
    <w:rsid w:val="00257512"/>
    <w:rsid w:val="00257690"/>
    <w:rsid w:val="0025773B"/>
    <w:rsid w:val="00257ABC"/>
    <w:rsid w:val="00257C4F"/>
    <w:rsid w:val="00257C8E"/>
    <w:rsid w:val="00257F36"/>
    <w:rsid w:val="002603B9"/>
    <w:rsid w:val="00260B76"/>
    <w:rsid w:val="00260CBB"/>
    <w:rsid w:val="00261720"/>
    <w:rsid w:val="002617C0"/>
    <w:rsid w:val="00261C1E"/>
    <w:rsid w:val="00261CDA"/>
    <w:rsid w:val="00261E46"/>
    <w:rsid w:val="0026206B"/>
    <w:rsid w:val="00262133"/>
    <w:rsid w:val="002623DD"/>
    <w:rsid w:val="00262406"/>
    <w:rsid w:val="002629D9"/>
    <w:rsid w:val="0026330A"/>
    <w:rsid w:val="00263350"/>
    <w:rsid w:val="002635CF"/>
    <w:rsid w:val="002636DE"/>
    <w:rsid w:val="00263825"/>
    <w:rsid w:val="0026417C"/>
    <w:rsid w:val="00264262"/>
    <w:rsid w:val="002642F2"/>
    <w:rsid w:val="0026457E"/>
    <w:rsid w:val="00264878"/>
    <w:rsid w:val="002649E1"/>
    <w:rsid w:val="00264EF1"/>
    <w:rsid w:val="00264F32"/>
    <w:rsid w:val="0026504B"/>
    <w:rsid w:val="00265169"/>
    <w:rsid w:val="00265188"/>
    <w:rsid w:val="0026525A"/>
    <w:rsid w:val="00265432"/>
    <w:rsid w:val="002660FE"/>
    <w:rsid w:val="0026613F"/>
    <w:rsid w:val="0026646C"/>
    <w:rsid w:val="00266614"/>
    <w:rsid w:val="00266FA1"/>
    <w:rsid w:val="002670B3"/>
    <w:rsid w:val="00267187"/>
    <w:rsid w:val="002678F7"/>
    <w:rsid w:val="00267BEE"/>
    <w:rsid w:val="00267E03"/>
    <w:rsid w:val="00267EFD"/>
    <w:rsid w:val="00270706"/>
    <w:rsid w:val="00270824"/>
    <w:rsid w:val="00270AB7"/>
    <w:rsid w:val="00270D44"/>
    <w:rsid w:val="00270DC1"/>
    <w:rsid w:val="00270F5F"/>
    <w:rsid w:val="00271A64"/>
    <w:rsid w:val="00271ADC"/>
    <w:rsid w:val="00271E36"/>
    <w:rsid w:val="00271F11"/>
    <w:rsid w:val="00272369"/>
    <w:rsid w:val="00272A39"/>
    <w:rsid w:val="00272BB1"/>
    <w:rsid w:val="00272E69"/>
    <w:rsid w:val="00272F8E"/>
    <w:rsid w:val="002737A3"/>
    <w:rsid w:val="0027394D"/>
    <w:rsid w:val="00273A36"/>
    <w:rsid w:val="00273C0B"/>
    <w:rsid w:val="00273ED4"/>
    <w:rsid w:val="0027442E"/>
    <w:rsid w:val="002744D6"/>
    <w:rsid w:val="002746D5"/>
    <w:rsid w:val="002748AA"/>
    <w:rsid w:val="00274980"/>
    <w:rsid w:val="002749D2"/>
    <w:rsid w:val="00275045"/>
    <w:rsid w:val="002753A0"/>
    <w:rsid w:val="0027607E"/>
    <w:rsid w:val="00276399"/>
    <w:rsid w:val="00276AE3"/>
    <w:rsid w:val="00276B6A"/>
    <w:rsid w:val="00276DBB"/>
    <w:rsid w:val="0027739E"/>
    <w:rsid w:val="00277925"/>
    <w:rsid w:val="00277989"/>
    <w:rsid w:val="00277D0C"/>
    <w:rsid w:val="0028049B"/>
    <w:rsid w:val="00280C0C"/>
    <w:rsid w:val="00280D29"/>
    <w:rsid w:val="00280D2D"/>
    <w:rsid w:val="002817E3"/>
    <w:rsid w:val="00281915"/>
    <w:rsid w:val="00281CA9"/>
    <w:rsid w:val="00281DDF"/>
    <w:rsid w:val="00282256"/>
    <w:rsid w:val="0028266F"/>
    <w:rsid w:val="00283468"/>
    <w:rsid w:val="002834C4"/>
    <w:rsid w:val="00283650"/>
    <w:rsid w:val="00283B9E"/>
    <w:rsid w:val="00283F1E"/>
    <w:rsid w:val="00284084"/>
    <w:rsid w:val="0028463D"/>
    <w:rsid w:val="00284EBF"/>
    <w:rsid w:val="00284F47"/>
    <w:rsid w:val="00285075"/>
    <w:rsid w:val="00285405"/>
    <w:rsid w:val="00285632"/>
    <w:rsid w:val="002859F7"/>
    <w:rsid w:val="00285D3B"/>
    <w:rsid w:val="00285F98"/>
    <w:rsid w:val="0028612D"/>
    <w:rsid w:val="002861F9"/>
    <w:rsid w:val="00286250"/>
    <w:rsid w:val="002862A2"/>
    <w:rsid w:val="002867FC"/>
    <w:rsid w:val="00286AAE"/>
    <w:rsid w:val="00286F1E"/>
    <w:rsid w:val="00287469"/>
    <w:rsid w:val="0029020B"/>
    <w:rsid w:val="00290378"/>
    <w:rsid w:val="002903FB"/>
    <w:rsid w:val="0029069C"/>
    <w:rsid w:val="002908D2"/>
    <w:rsid w:val="00290AE9"/>
    <w:rsid w:val="00290BB7"/>
    <w:rsid w:val="00290CA9"/>
    <w:rsid w:val="00290DB1"/>
    <w:rsid w:val="002912A4"/>
    <w:rsid w:val="002916FE"/>
    <w:rsid w:val="00291764"/>
    <w:rsid w:val="002917D5"/>
    <w:rsid w:val="002918C1"/>
    <w:rsid w:val="002918D0"/>
    <w:rsid w:val="002925DB"/>
    <w:rsid w:val="00292604"/>
    <w:rsid w:val="00292878"/>
    <w:rsid w:val="00292ACC"/>
    <w:rsid w:val="00292C1E"/>
    <w:rsid w:val="00292EFD"/>
    <w:rsid w:val="00292FB3"/>
    <w:rsid w:val="002931DB"/>
    <w:rsid w:val="002934C7"/>
    <w:rsid w:val="0029376D"/>
    <w:rsid w:val="00293786"/>
    <w:rsid w:val="002939E9"/>
    <w:rsid w:val="00293A33"/>
    <w:rsid w:val="00293D2F"/>
    <w:rsid w:val="00293F6B"/>
    <w:rsid w:val="00294649"/>
    <w:rsid w:val="00294A46"/>
    <w:rsid w:val="00294B38"/>
    <w:rsid w:val="00294EF6"/>
    <w:rsid w:val="00294F5E"/>
    <w:rsid w:val="002954AC"/>
    <w:rsid w:val="00295756"/>
    <w:rsid w:val="002959F7"/>
    <w:rsid w:val="00295CE6"/>
    <w:rsid w:val="00295E5F"/>
    <w:rsid w:val="002964E3"/>
    <w:rsid w:val="00296620"/>
    <w:rsid w:val="00297193"/>
    <w:rsid w:val="002971FE"/>
    <w:rsid w:val="0029786C"/>
    <w:rsid w:val="00297C10"/>
    <w:rsid w:val="00297F38"/>
    <w:rsid w:val="002A0452"/>
    <w:rsid w:val="002A16AA"/>
    <w:rsid w:val="002A19F1"/>
    <w:rsid w:val="002A1CCE"/>
    <w:rsid w:val="002A1F75"/>
    <w:rsid w:val="002A24B4"/>
    <w:rsid w:val="002A2CEF"/>
    <w:rsid w:val="002A3196"/>
    <w:rsid w:val="002A3301"/>
    <w:rsid w:val="002A3392"/>
    <w:rsid w:val="002A357A"/>
    <w:rsid w:val="002A3683"/>
    <w:rsid w:val="002A37B0"/>
    <w:rsid w:val="002A3DCF"/>
    <w:rsid w:val="002A3DE8"/>
    <w:rsid w:val="002A3E3A"/>
    <w:rsid w:val="002A3F69"/>
    <w:rsid w:val="002A4166"/>
    <w:rsid w:val="002A41FD"/>
    <w:rsid w:val="002A4470"/>
    <w:rsid w:val="002A449A"/>
    <w:rsid w:val="002A4574"/>
    <w:rsid w:val="002A468D"/>
    <w:rsid w:val="002A4725"/>
    <w:rsid w:val="002A47FD"/>
    <w:rsid w:val="002A4AAB"/>
    <w:rsid w:val="002A4AEF"/>
    <w:rsid w:val="002A5198"/>
    <w:rsid w:val="002A520F"/>
    <w:rsid w:val="002A5279"/>
    <w:rsid w:val="002A537D"/>
    <w:rsid w:val="002A53B5"/>
    <w:rsid w:val="002A549A"/>
    <w:rsid w:val="002A5883"/>
    <w:rsid w:val="002A58D6"/>
    <w:rsid w:val="002A5ED8"/>
    <w:rsid w:val="002A5F37"/>
    <w:rsid w:val="002A601D"/>
    <w:rsid w:val="002A60E6"/>
    <w:rsid w:val="002A622F"/>
    <w:rsid w:val="002A631F"/>
    <w:rsid w:val="002A638F"/>
    <w:rsid w:val="002A669C"/>
    <w:rsid w:val="002A6C48"/>
    <w:rsid w:val="002A6EE9"/>
    <w:rsid w:val="002A7067"/>
    <w:rsid w:val="002A72C3"/>
    <w:rsid w:val="002A73A9"/>
    <w:rsid w:val="002A73D5"/>
    <w:rsid w:val="002A7708"/>
    <w:rsid w:val="002A7E0F"/>
    <w:rsid w:val="002A7EA3"/>
    <w:rsid w:val="002B00EF"/>
    <w:rsid w:val="002B0123"/>
    <w:rsid w:val="002B0390"/>
    <w:rsid w:val="002B04A2"/>
    <w:rsid w:val="002B076B"/>
    <w:rsid w:val="002B07D9"/>
    <w:rsid w:val="002B09FC"/>
    <w:rsid w:val="002B0B77"/>
    <w:rsid w:val="002B0BBA"/>
    <w:rsid w:val="002B0C82"/>
    <w:rsid w:val="002B0E36"/>
    <w:rsid w:val="002B0FCA"/>
    <w:rsid w:val="002B115F"/>
    <w:rsid w:val="002B11A9"/>
    <w:rsid w:val="002B158F"/>
    <w:rsid w:val="002B15D7"/>
    <w:rsid w:val="002B198A"/>
    <w:rsid w:val="002B1FAE"/>
    <w:rsid w:val="002B232D"/>
    <w:rsid w:val="002B258D"/>
    <w:rsid w:val="002B25B0"/>
    <w:rsid w:val="002B2834"/>
    <w:rsid w:val="002B2AF2"/>
    <w:rsid w:val="002B2ED8"/>
    <w:rsid w:val="002B3B9E"/>
    <w:rsid w:val="002B4009"/>
    <w:rsid w:val="002B4E2D"/>
    <w:rsid w:val="002B516C"/>
    <w:rsid w:val="002B5757"/>
    <w:rsid w:val="002B5D20"/>
    <w:rsid w:val="002B5D50"/>
    <w:rsid w:val="002B60A1"/>
    <w:rsid w:val="002B6139"/>
    <w:rsid w:val="002B67EB"/>
    <w:rsid w:val="002B68CF"/>
    <w:rsid w:val="002B6CEF"/>
    <w:rsid w:val="002B6D53"/>
    <w:rsid w:val="002B70EE"/>
    <w:rsid w:val="002B73E3"/>
    <w:rsid w:val="002B769B"/>
    <w:rsid w:val="002B7713"/>
    <w:rsid w:val="002B78B1"/>
    <w:rsid w:val="002B7F13"/>
    <w:rsid w:val="002C0C2D"/>
    <w:rsid w:val="002C0DA6"/>
    <w:rsid w:val="002C0E08"/>
    <w:rsid w:val="002C1054"/>
    <w:rsid w:val="002C174A"/>
    <w:rsid w:val="002C2326"/>
    <w:rsid w:val="002C25E8"/>
    <w:rsid w:val="002C2746"/>
    <w:rsid w:val="002C28EE"/>
    <w:rsid w:val="002C3145"/>
    <w:rsid w:val="002C3204"/>
    <w:rsid w:val="002C344D"/>
    <w:rsid w:val="002C3C93"/>
    <w:rsid w:val="002C3C9F"/>
    <w:rsid w:val="002C3E10"/>
    <w:rsid w:val="002C3F8F"/>
    <w:rsid w:val="002C4059"/>
    <w:rsid w:val="002C41A6"/>
    <w:rsid w:val="002C4436"/>
    <w:rsid w:val="002C444F"/>
    <w:rsid w:val="002C472E"/>
    <w:rsid w:val="002C4891"/>
    <w:rsid w:val="002C4A15"/>
    <w:rsid w:val="002C4B4E"/>
    <w:rsid w:val="002C4C0D"/>
    <w:rsid w:val="002C5146"/>
    <w:rsid w:val="002C54E1"/>
    <w:rsid w:val="002C5B8A"/>
    <w:rsid w:val="002C5CB8"/>
    <w:rsid w:val="002C5E69"/>
    <w:rsid w:val="002C6692"/>
    <w:rsid w:val="002C6AF0"/>
    <w:rsid w:val="002C6D3C"/>
    <w:rsid w:val="002C6DA4"/>
    <w:rsid w:val="002C746A"/>
    <w:rsid w:val="002C74B8"/>
    <w:rsid w:val="002C7B84"/>
    <w:rsid w:val="002C7F7C"/>
    <w:rsid w:val="002C7FD9"/>
    <w:rsid w:val="002D0233"/>
    <w:rsid w:val="002D061B"/>
    <w:rsid w:val="002D0822"/>
    <w:rsid w:val="002D0A83"/>
    <w:rsid w:val="002D0B7D"/>
    <w:rsid w:val="002D0F2E"/>
    <w:rsid w:val="002D16A2"/>
    <w:rsid w:val="002D1855"/>
    <w:rsid w:val="002D18FF"/>
    <w:rsid w:val="002D1908"/>
    <w:rsid w:val="002D1979"/>
    <w:rsid w:val="002D1C5C"/>
    <w:rsid w:val="002D1FE5"/>
    <w:rsid w:val="002D2511"/>
    <w:rsid w:val="002D262D"/>
    <w:rsid w:val="002D26F4"/>
    <w:rsid w:val="002D2701"/>
    <w:rsid w:val="002D29D0"/>
    <w:rsid w:val="002D31BB"/>
    <w:rsid w:val="002D345D"/>
    <w:rsid w:val="002D3606"/>
    <w:rsid w:val="002D3A13"/>
    <w:rsid w:val="002D3B3E"/>
    <w:rsid w:val="002D3CAA"/>
    <w:rsid w:val="002D3DDD"/>
    <w:rsid w:val="002D3E73"/>
    <w:rsid w:val="002D3EB7"/>
    <w:rsid w:val="002D3F12"/>
    <w:rsid w:val="002D45F0"/>
    <w:rsid w:val="002D4600"/>
    <w:rsid w:val="002D47D9"/>
    <w:rsid w:val="002D494E"/>
    <w:rsid w:val="002D4DB5"/>
    <w:rsid w:val="002D4F33"/>
    <w:rsid w:val="002D5108"/>
    <w:rsid w:val="002D51DE"/>
    <w:rsid w:val="002D5486"/>
    <w:rsid w:val="002D56FF"/>
    <w:rsid w:val="002D6364"/>
    <w:rsid w:val="002D6662"/>
    <w:rsid w:val="002D67F5"/>
    <w:rsid w:val="002D6CDB"/>
    <w:rsid w:val="002D70C8"/>
    <w:rsid w:val="002D76B5"/>
    <w:rsid w:val="002D7B3A"/>
    <w:rsid w:val="002D7B84"/>
    <w:rsid w:val="002D7F32"/>
    <w:rsid w:val="002E00EC"/>
    <w:rsid w:val="002E01E1"/>
    <w:rsid w:val="002E0221"/>
    <w:rsid w:val="002E04E3"/>
    <w:rsid w:val="002E055F"/>
    <w:rsid w:val="002E0639"/>
    <w:rsid w:val="002E06AF"/>
    <w:rsid w:val="002E0702"/>
    <w:rsid w:val="002E09C3"/>
    <w:rsid w:val="002E0C9A"/>
    <w:rsid w:val="002E0CC4"/>
    <w:rsid w:val="002E1094"/>
    <w:rsid w:val="002E142B"/>
    <w:rsid w:val="002E1441"/>
    <w:rsid w:val="002E151C"/>
    <w:rsid w:val="002E1805"/>
    <w:rsid w:val="002E18D3"/>
    <w:rsid w:val="002E1B2A"/>
    <w:rsid w:val="002E1B76"/>
    <w:rsid w:val="002E1C0E"/>
    <w:rsid w:val="002E1C13"/>
    <w:rsid w:val="002E1D6E"/>
    <w:rsid w:val="002E1E3A"/>
    <w:rsid w:val="002E1FCA"/>
    <w:rsid w:val="002E217E"/>
    <w:rsid w:val="002E23F6"/>
    <w:rsid w:val="002E2815"/>
    <w:rsid w:val="002E2AE3"/>
    <w:rsid w:val="002E312D"/>
    <w:rsid w:val="002E3269"/>
    <w:rsid w:val="002E396F"/>
    <w:rsid w:val="002E3A1E"/>
    <w:rsid w:val="002E46A1"/>
    <w:rsid w:val="002E4733"/>
    <w:rsid w:val="002E4900"/>
    <w:rsid w:val="002E4D72"/>
    <w:rsid w:val="002E4F35"/>
    <w:rsid w:val="002E4FAF"/>
    <w:rsid w:val="002E5262"/>
    <w:rsid w:val="002E5265"/>
    <w:rsid w:val="002E54E4"/>
    <w:rsid w:val="002E563B"/>
    <w:rsid w:val="002E5E8C"/>
    <w:rsid w:val="002E62F2"/>
    <w:rsid w:val="002E63AF"/>
    <w:rsid w:val="002E63B4"/>
    <w:rsid w:val="002E645C"/>
    <w:rsid w:val="002E725C"/>
    <w:rsid w:val="002E75AC"/>
    <w:rsid w:val="002E767A"/>
    <w:rsid w:val="002E77D0"/>
    <w:rsid w:val="002E799B"/>
    <w:rsid w:val="002F0227"/>
    <w:rsid w:val="002F02C5"/>
    <w:rsid w:val="002F0462"/>
    <w:rsid w:val="002F05C4"/>
    <w:rsid w:val="002F06BB"/>
    <w:rsid w:val="002F0971"/>
    <w:rsid w:val="002F0A33"/>
    <w:rsid w:val="002F0EDC"/>
    <w:rsid w:val="002F0F2F"/>
    <w:rsid w:val="002F1539"/>
    <w:rsid w:val="002F1637"/>
    <w:rsid w:val="002F193D"/>
    <w:rsid w:val="002F1D51"/>
    <w:rsid w:val="002F1FE3"/>
    <w:rsid w:val="002F2652"/>
    <w:rsid w:val="002F2CA4"/>
    <w:rsid w:val="002F402A"/>
    <w:rsid w:val="002F415E"/>
    <w:rsid w:val="002F4370"/>
    <w:rsid w:val="002F44C4"/>
    <w:rsid w:val="002F4543"/>
    <w:rsid w:val="002F4823"/>
    <w:rsid w:val="002F4CEF"/>
    <w:rsid w:val="002F4CF7"/>
    <w:rsid w:val="002F4EB4"/>
    <w:rsid w:val="002F5006"/>
    <w:rsid w:val="002F5339"/>
    <w:rsid w:val="002F5CAF"/>
    <w:rsid w:val="002F5DFC"/>
    <w:rsid w:val="002F6E3B"/>
    <w:rsid w:val="002F70D5"/>
    <w:rsid w:val="002F714D"/>
    <w:rsid w:val="002F756F"/>
    <w:rsid w:val="002F7812"/>
    <w:rsid w:val="002F7F14"/>
    <w:rsid w:val="003000B4"/>
    <w:rsid w:val="003002CA"/>
    <w:rsid w:val="00300639"/>
    <w:rsid w:val="0030082F"/>
    <w:rsid w:val="003008E2"/>
    <w:rsid w:val="0030094B"/>
    <w:rsid w:val="00300ACB"/>
    <w:rsid w:val="00300DF0"/>
    <w:rsid w:val="00300E13"/>
    <w:rsid w:val="003014BE"/>
    <w:rsid w:val="00301827"/>
    <w:rsid w:val="00301B57"/>
    <w:rsid w:val="00301D15"/>
    <w:rsid w:val="00302229"/>
    <w:rsid w:val="003022E0"/>
    <w:rsid w:val="0030233B"/>
    <w:rsid w:val="00302399"/>
    <w:rsid w:val="00302739"/>
    <w:rsid w:val="00302CF0"/>
    <w:rsid w:val="00302D8A"/>
    <w:rsid w:val="00303206"/>
    <w:rsid w:val="0030368A"/>
    <w:rsid w:val="00303E9C"/>
    <w:rsid w:val="00303EB6"/>
    <w:rsid w:val="003042A0"/>
    <w:rsid w:val="00304440"/>
    <w:rsid w:val="003046F5"/>
    <w:rsid w:val="00304F3A"/>
    <w:rsid w:val="003055BF"/>
    <w:rsid w:val="003056CD"/>
    <w:rsid w:val="00305884"/>
    <w:rsid w:val="00305905"/>
    <w:rsid w:val="00305EF2"/>
    <w:rsid w:val="003064C2"/>
    <w:rsid w:val="003065CD"/>
    <w:rsid w:val="003068DA"/>
    <w:rsid w:val="003068E6"/>
    <w:rsid w:val="003069E2"/>
    <w:rsid w:val="00306AA5"/>
    <w:rsid w:val="00306E72"/>
    <w:rsid w:val="00306E88"/>
    <w:rsid w:val="00307998"/>
    <w:rsid w:val="003102B6"/>
    <w:rsid w:val="003104E6"/>
    <w:rsid w:val="00310DC0"/>
    <w:rsid w:val="00310E5B"/>
    <w:rsid w:val="00311198"/>
    <w:rsid w:val="00311206"/>
    <w:rsid w:val="003113CD"/>
    <w:rsid w:val="003115BB"/>
    <w:rsid w:val="003117A4"/>
    <w:rsid w:val="00311A9B"/>
    <w:rsid w:val="00311FB2"/>
    <w:rsid w:val="003124C9"/>
    <w:rsid w:val="00312658"/>
    <w:rsid w:val="003128F6"/>
    <w:rsid w:val="00312BC8"/>
    <w:rsid w:val="00312E88"/>
    <w:rsid w:val="00313099"/>
    <w:rsid w:val="00313232"/>
    <w:rsid w:val="003133B4"/>
    <w:rsid w:val="00313BF4"/>
    <w:rsid w:val="00313CD5"/>
    <w:rsid w:val="00313E77"/>
    <w:rsid w:val="00313EED"/>
    <w:rsid w:val="00314186"/>
    <w:rsid w:val="00314258"/>
    <w:rsid w:val="00314A3A"/>
    <w:rsid w:val="00314BFB"/>
    <w:rsid w:val="00314DD6"/>
    <w:rsid w:val="003154CD"/>
    <w:rsid w:val="003159C5"/>
    <w:rsid w:val="00315BB0"/>
    <w:rsid w:val="00315C90"/>
    <w:rsid w:val="00315D3A"/>
    <w:rsid w:val="00315D50"/>
    <w:rsid w:val="00316137"/>
    <w:rsid w:val="0031616A"/>
    <w:rsid w:val="0031632B"/>
    <w:rsid w:val="0031687E"/>
    <w:rsid w:val="003169A5"/>
    <w:rsid w:val="00316ABE"/>
    <w:rsid w:val="00316B53"/>
    <w:rsid w:val="00316DFB"/>
    <w:rsid w:val="00317151"/>
    <w:rsid w:val="00317277"/>
    <w:rsid w:val="0031780D"/>
    <w:rsid w:val="00317A78"/>
    <w:rsid w:val="00317ACF"/>
    <w:rsid w:val="00317C3A"/>
    <w:rsid w:val="00317E87"/>
    <w:rsid w:val="0032010C"/>
    <w:rsid w:val="00320486"/>
    <w:rsid w:val="00320B4C"/>
    <w:rsid w:val="00320E81"/>
    <w:rsid w:val="00321200"/>
    <w:rsid w:val="00321678"/>
    <w:rsid w:val="0032182B"/>
    <w:rsid w:val="00321B64"/>
    <w:rsid w:val="00321C69"/>
    <w:rsid w:val="0032222F"/>
    <w:rsid w:val="003227EB"/>
    <w:rsid w:val="003228A7"/>
    <w:rsid w:val="00322B26"/>
    <w:rsid w:val="003232DC"/>
    <w:rsid w:val="003236C2"/>
    <w:rsid w:val="003239A4"/>
    <w:rsid w:val="00323BD1"/>
    <w:rsid w:val="00323F17"/>
    <w:rsid w:val="00325103"/>
    <w:rsid w:val="0032573F"/>
    <w:rsid w:val="003257A9"/>
    <w:rsid w:val="00325D17"/>
    <w:rsid w:val="00325E37"/>
    <w:rsid w:val="00325FF4"/>
    <w:rsid w:val="0032603B"/>
    <w:rsid w:val="0032646C"/>
    <w:rsid w:val="0032654B"/>
    <w:rsid w:val="00326915"/>
    <w:rsid w:val="00326B14"/>
    <w:rsid w:val="00326D87"/>
    <w:rsid w:val="00326DBA"/>
    <w:rsid w:val="00326F3C"/>
    <w:rsid w:val="00327359"/>
    <w:rsid w:val="003273F8"/>
    <w:rsid w:val="0032782E"/>
    <w:rsid w:val="00327856"/>
    <w:rsid w:val="00327AD6"/>
    <w:rsid w:val="00327B47"/>
    <w:rsid w:val="00327B52"/>
    <w:rsid w:val="003303E5"/>
    <w:rsid w:val="00330609"/>
    <w:rsid w:val="00330788"/>
    <w:rsid w:val="003307D3"/>
    <w:rsid w:val="0033099B"/>
    <w:rsid w:val="00330AA0"/>
    <w:rsid w:val="00331804"/>
    <w:rsid w:val="00331BCC"/>
    <w:rsid w:val="00331BFE"/>
    <w:rsid w:val="003328E2"/>
    <w:rsid w:val="00332E0E"/>
    <w:rsid w:val="00332FE8"/>
    <w:rsid w:val="00333670"/>
    <w:rsid w:val="003337CF"/>
    <w:rsid w:val="00333B84"/>
    <w:rsid w:val="00333C5B"/>
    <w:rsid w:val="00333EB4"/>
    <w:rsid w:val="003341AC"/>
    <w:rsid w:val="00334306"/>
    <w:rsid w:val="003348BE"/>
    <w:rsid w:val="00335191"/>
    <w:rsid w:val="0033525D"/>
    <w:rsid w:val="003355CA"/>
    <w:rsid w:val="003366A8"/>
    <w:rsid w:val="00336783"/>
    <w:rsid w:val="00336813"/>
    <w:rsid w:val="003368BC"/>
    <w:rsid w:val="003369BE"/>
    <w:rsid w:val="0033755A"/>
    <w:rsid w:val="00337826"/>
    <w:rsid w:val="00337EA3"/>
    <w:rsid w:val="00337F02"/>
    <w:rsid w:val="00337F71"/>
    <w:rsid w:val="0034080E"/>
    <w:rsid w:val="00340F2E"/>
    <w:rsid w:val="00340F8A"/>
    <w:rsid w:val="0034156D"/>
    <w:rsid w:val="00341A43"/>
    <w:rsid w:val="00341B55"/>
    <w:rsid w:val="00342193"/>
    <w:rsid w:val="0034219A"/>
    <w:rsid w:val="00342258"/>
    <w:rsid w:val="003429B1"/>
    <w:rsid w:val="003429D4"/>
    <w:rsid w:val="00342EA6"/>
    <w:rsid w:val="00343E7C"/>
    <w:rsid w:val="00344270"/>
    <w:rsid w:val="00344383"/>
    <w:rsid w:val="00344742"/>
    <w:rsid w:val="003447F1"/>
    <w:rsid w:val="003449E4"/>
    <w:rsid w:val="00344B33"/>
    <w:rsid w:val="00344F5F"/>
    <w:rsid w:val="00345297"/>
    <w:rsid w:val="0034552B"/>
    <w:rsid w:val="003457BD"/>
    <w:rsid w:val="00345B15"/>
    <w:rsid w:val="00345BDC"/>
    <w:rsid w:val="0034611C"/>
    <w:rsid w:val="003461A2"/>
    <w:rsid w:val="00346459"/>
    <w:rsid w:val="00346725"/>
    <w:rsid w:val="0034717F"/>
    <w:rsid w:val="0034731D"/>
    <w:rsid w:val="00347387"/>
    <w:rsid w:val="00347F61"/>
    <w:rsid w:val="0035000E"/>
    <w:rsid w:val="00350382"/>
    <w:rsid w:val="0035076B"/>
    <w:rsid w:val="0035092C"/>
    <w:rsid w:val="00350A36"/>
    <w:rsid w:val="00350AF0"/>
    <w:rsid w:val="00350EE0"/>
    <w:rsid w:val="00351087"/>
    <w:rsid w:val="0035169D"/>
    <w:rsid w:val="0035181D"/>
    <w:rsid w:val="00351F0F"/>
    <w:rsid w:val="00352284"/>
    <w:rsid w:val="00352739"/>
    <w:rsid w:val="003528A1"/>
    <w:rsid w:val="00352B1F"/>
    <w:rsid w:val="00352F40"/>
    <w:rsid w:val="00353549"/>
    <w:rsid w:val="003537D9"/>
    <w:rsid w:val="00353C5B"/>
    <w:rsid w:val="00353CAF"/>
    <w:rsid w:val="00354017"/>
    <w:rsid w:val="00354645"/>
    <w:rsid w:val="00354F2B"/>
    <w:rsid w:val="00355828"/>
    <w:rsid w:val="00355908"/>
    <w:rsid w:val="0035592A"/>
    <w:rsid w:val="00355D36"/>
    <w:rsid w:val="003561BE"/>
    <w:rsid w:val="0035633D"/>
    <w:rsid w:val="003564CB"/>
    <w:rsid w:val="00356765"/>
    <w:rsid w:val="00356825"/>
    <w:rsid w:val="00356827"/>
    <w:rsid w:val="0035691C"/>
    <w:rsid w:val="00356B31"/>
    <w:rsid w:val="00356D71"/>
    <w:rsid w:val="0035731F"/>
    <w:rsid w:val="003573D3"/>
    <w:rsid w:val="00357508"/>
    <w:rsid w:val="003579D1"/>
    <w:rsid w:val="00357A6E"/>
    <w:rsid w:val="00357D55"/>
    <w:rsid w:val="00357E02"/>
    <w:rsid w:val="00360243"/>
    <w:rsid w:val="00360256"/>
    <w:rsid w:val="0036040B"/>
    <w:rsid w:val="003608FA"/>
    <w:rsid w:val="00360CA4"/>
    <w:rsid w:val="00360CD6"/>
    <w:rsid w:val="0036115B"/>
    <w:rsid w:val="0036159C"/>
    <w:rsid w:val="00361B80"/>
    <w:rsid w:val="00362307"/>
    <w:rsid w:val="00362371"/>
    <w:rsid w:val="00362B25"/>
    <w:rsid w:val="00362FEA"/>
    <w:rsid w:val="00363170"/>
    <w:rsid w:val="0036356A"/>
    <w:rsid w:val="003636F6"/>
    <w:rsid w:val="00363A31"/>
    <w:rsid w:val="00363AC8"/>
    <w:rsid w:val="00363BEC"/>
    <w:rsid w:val="00363C84"/>
    <w:rsid w:val="00363E37"/>
    <w:rsid w:val="00363F6B"/>
    <w:rsid w:val="003643BD"/>
    <w:rsid w:val="00364439"/>
    <w:rsid w:val="003646DF"/>
    <w:rsid w:val="00364784"/>
    <w:rsid w:val="003648FC"/>
    <w:rsid w:val="00364E07"/>
    <w:rsid w:val="00364EA5"/>
    <w:rsid w:val="00364EEC"/>
    <w:rsid w:val="00364F8E"/>
    <w:rsid w:val="00364F8F"/>
    <w:rsid w:val="00365213"/>
    <w:rsid w:val="003655F6"/>
    <w:rsid w:val="0036570E"/>
    <w:rsid w:val="0036598C"/>
    <w:rsid w:val="00365F3A"/>
    <w:rsid w:val="00365FD6"/>
    <w:rsid w:val="003660DC"/>
    <w:rsid w:val="00366B60"/>
    <w:rsid w:val="0036721C"/>
    <w:rsid w:val="00367468"/>
    <w:rsid w:val="003674D9"/>
    <w:rsid w:val="00367710"/>
    <w:rsid w:val="0036785E"/>
    <w:rsid w:val="00367B08"/>
    <w:rsid w:val="003702F3"/>
    <w:rsid w:val="00371333"/>
    <w:rsid w:val="00371447"/>
    <w:rsid w:val="0037149B"/>
    <w:rsid w:val="003716A9"/>
    <w:rsid w:val="00371942"/>
    <w:rsid w:val="00372197"/>
    <w:rsid w:val="0037244A"/>
    <w:rsid w:val="00372656"/>
    <w:rsid w:val="00372869"/>
    <w:rsid w:val="00372917"/>
    <w:rsid w:val="00372A3C"/>
    <w:rsid w:val="00372A7E"/>
    <w:rsid w:val="00372C0E"/>
    <w:rsid w:val="00373293"/>
    <w:rsid w:val="0037351A"/>
    <w:rsid w:val="00373AF4"/>
    <w:rsid w:val="00374339"/>
    <w:rsid w:val="003749F4"/>
    <w:rsid w:val="00374FDB"/>
    <w:rsid w:val="0037525B"/>
    <w:rsid w:val="0037548B"/>
    <w:rsid w:val="00375498"/>
    <w:rsid w:val="0037567B"/>
    <w:rsid w:val="00375A59"/>
    <w:rsid w:val="003763CD"/>
    <w:rsid w:val="003763ED"/>
    <w:rsid w:val="0037671C"/>
    <w:rsid w:val="0037693B"/>
    <w:rsid w:val="0037695D"/>
    <w:rsid w:val="00376ED6"/>
    <w:rsid w:val="00377419"/>
    <w:rsid w:val="0037779D"/>
    <w:rsid w:val="00377BEA"/>
    <w:rsid w:val="00377D29"/>
    <w:rsid w:val="00377DB0"/>
    <w:rsid w:val="00377E40"/>
    <w:rsid w:val="00380EE3"/>
    <w:rsid w:val="003811E8"/>
    <w:rsid w:val="00381435"/>
    <w:rsid w:val="00382198"/>
    <w:rsid w:val="003821E0"/>
    <w:rsid w:val="003821EA"/>
    <w:rsid w:val="00382950"/>
    <w:rsid w:val="00382CFE"/>
    <w:rsid w:val="00382FBF"/>
    <w:rsid w:val="003830B0"/>
    <w:rsid w:val="0038397D"/>
    <w:rsid w:val="00383CB2"/>
    <w:rsid w:val="00383FC9"/>
    <w:rsid w:val="00383FE9"/>
    <w:rsid w:val="00384221"/>
    <w:rsid w:val="0038423F"/>
    <w:rsid w:val="00384478"/>
    <w:rsid w:val="0038472C"/>
    <w:rsid w:val="00384ABE"/>
    <w:rsid w:val="003851BC"/>
    <w:rsid w:val="0038547D"/>
    <w:rsid w:val="003856A8"/>
    <w:rsid w:val="003856DB"/>
    <w:rsid w:val="0038579A"/>
    <w:rsid w:val="00385E1B"/>
    <w:rsid w:val="003868CC"/>
    <w:rsid w:val="00386C0B"/>
    <w:rsid w:val="00386E74"/>
    <w:rsid w:val="00387479"/>
    <w:rsid w:val="00387857"/>
    <w:rsid w:val="003879F0"/>
    <w:rsid w:val="00387F36"/>
    <w:rsid w:val="003906E3"/>
    <w:rsid w:val="00390704"/>
    <w:rsid w:val="00390730"/>
    <w:rsid w:val="00390867"/>
    <w:rsid w:val="00390AAB"/>
    <w:rsid w:val="00390CCF"/>
    <w:rsid w:val="00390DEA"/>
    <w:rsid w:val="0039100B"/>
    <w:rsid w:val="003912F2"/>
    <w:rsid w:val="00391488"/>
    <w:rsid w:val="0039154D"/>
    <w:rsid w:val="003917C8"/>
    <w:rsid w:val="00391BA7"/>
    <w:rsid w:val="003920B0"/>
    <w:rsid w:val="0039233A"/>
    <w:rsid w:val="003925D1"/>
    <w:rsid w:val="00392B45"/>
    <w:rsid w:val="00392C20"/>
    <w:rsid w:val="003930CC"/>
    <w:rsid w:val="0039331E"/>
    <w:rsid w:val="00393484"/>
    <w:rsid w:val="00394231"/>
    <w:rsid w:val="00394782"/>
    <w:rsid w:val="0039506B"/>
    <w:rsid w:val="003954EC"/>
    <w:rsid w:val="00395505"/>
    <w:rsid w:val="003960F0"/>
    <w:rsid w:val="00396BB7"/>
    <w:rsid w:val="00396BE2"/>
    <w:rsid w:val="00396C77"/>
    <w:rsid w:val="00397179"/>
    <w:rsid w:val="003972E4"/>
    <w:rsid w:val="003973CD"/>
    <w:rsid w:val="00397587"/>
    <w:rsid w:val="00397859"/>
    <w:rsid w:val="00397B1C"/>
    <w:rsid w:val="00397B58"/>
    <w:rsid w:val="00397C02"/>
    <w:rsid w:val="00397E24"/>
    <w:rsid w:val="003A0038"/>
    <w:rsid w:val="003A08BC"/>
    <w:rsid w:val="003A091D"/>
    <w:rsid w:val="003A0991"/>
    <w:rsid w:val="003A1091"/>
    <w:rsid w:val="003A10C9"/>
    <w:rsid w:val="003A139A"/>
    <w:rsid w:val="003A14E5"/>
    <w:rsid w:val="003A16FD"/>
    <w:rsid w:val="003A187E"/>
    <w:rsid w:val="003A1BC4"/>
    <w:rsid w:val="003A2414"/>
    <w:rsid w:val="003A2D0C"/>
    <w:rsid w:val="003A30C9"/>
    <w:rsid w:val="003A343F"/>
    <w:rsid w:val="003A349C"/>
    <w:rsid w:val="003A34ED"/>
    <w:rsid w:val="003A355D"/>
    <w:rsid w:val="003A36EF"/>
    <w:rsid w:val="003A4649"/>
    <w:rsid w:val="003A467A"/>
    <w:rsid w:val="003A46BB"/>
    <w:rsid w:val="003A47AE"/>
    <w:rsid w:val="003A4B24"/>
    <w:rsid w:val="003A4DE9"/>
    <w:rsid w:val="003A4EA7"/>
    <w:rsid w:val="003A51AE"/>
    <w:rsid w:val="003A5886"/>
    <w:rsid w:val="003A5937"/>
    <w:rsid w:val="003A648F"/>
    <w:rsid w:val="003A658D"/>
    <w:rsid w:val="003A659B"/>
    <w:rsid w:val="003A67E5"/>
    <w:rsid w:val="003A6C1E"/>
    <w:rsid w:val="003A6FE0"/>
    <w:rsid w:val="003A7444"/>
    <w:rsid w:val="003A7599"/>
    <w:rsid w:val="003A7C36"/>
    <w:rsid w:val="003B0C28"/>
    <w:rsid w:val="003B0D8A"/>
    <w:rsid w:val="003B1071"/>
    <w:rsid w:val="003B1A98"/>
    <w:rsid w:val="003B1AC4"/>
    <w:rsid w:val="003B1C15"/>
    <w:rsid w:val="003B1C8F"/>
    <w:rsid w:val="003B1E21"/>
    <w:rsid w:val="003B2026"/>
    <w:rsid w:val="003B2189"/>
    <w:rsid w:val="003B2735"/>
    <w:rsid w:val="003B2895"/>
    <w:rsid w:val="003B2A40"/>
    <w:rsid w:val="003B2B8B"/>
    <w:rsid w:val="003B2DD6"/>
    <w:rsid w:val="003B2EBC"/>
    <w:rsid w:val="003B3696"/>
    <w:rsid w:val="003B3B64"/>
    <w:rsid w:val="003B3BFC"/>
    <w:rsid w:val="003B3E87"/>
    <w:rsid w:val="003B3F64"/>
    <w:rsid w:val="003B3FC2"/>
    <w:rsid w:val="003B439B"/>
    <w:rsid w:val="003B4925"/>
    <w:rsid w:val="003B4994"/>
    <w:rsid w:val="003B4B15"/>
    <w:rsid w:val="003B509E"/>
    <w:rsid w:val="003B5196"/>
    <w:rsid w:val="003B5684"/>
    <w:rsid w:val="003B571B"/>
    <w:rsid w:val="003B5E0B"/>
    <w:rsid w:val="003B5F11"/>
    <w:rsid w:val="003B61D5"/>
    <w:rsid w:val="003B6251"/>
    <w:rsid w:val="003B64F3"/>
    <w:rsid w:val="003B69F0"/>
    <w:rsid w:val="003B6E75"/>
    <w:rsid w:val="003B716D"/>
    <w:rsid w:val="003B71EB"/>
    <w:rsid w:val="003B774C"/>
    <w:rsid w:val="003B775F"/>
    <w:rsid w:val="003B7967"/>
    <w:rsid w:val="003B7D7F"/>
    <w:rsid w:val="003C03E6"/>
    <w:rsid w:val="003C05EC"/>
    <w:rsid w:val="003C0A6E"/>
    <w:rsid w:val="003C0B1C"/>
    <w:rsid w:val="003C0D5C"/>
    <w:rsid w:val="003C0D66"/>
    <w:rsid w:val="003C1012"/>
    <w:rsid w:val="003C10CD"/>
    <w:rsid w:val="003C1394"/>
    <w:rsid w:val="003C1775"/>
    <w:rsid w:val="003C1A99"/>
    <w:rsid w:val="003C1AE6"/>
    <w:rsid w:val="003C1D94"/>
    <w:rsid w:val="003C1FF2"/>
    <w:rsid w:val="003C20E0"/>
    <w:rsid w:val="003C2803"/>
    <w:rsid w:val="003C295A"/>
    <w:rsid w:val="003C2AAF"/>
    <w:rsid w:val="003C2B5D"/>
    <w:rsid w:val="003C2E45"/>
    <w:rsid w:val="003C3027"/>
    <w:rsid w:val="003C376E"/>
    <w:rsid w:val="003C37F0"/>
    <w:rsid w:val="003C380B"/>
    <w:rsid w:val="003C3848"/>
    <w:rsid w:val="003C3A4F"/>
    <w:rsid w:val="003C3A67"/>
    <w:rsid w:val="003C3D42"/>
    <w:rsid w:val="003C41A4"/>
    <w:rsid w:val="003C4278"/>
    <w:rsid w:val="003C43D1"/>
    <w:rsid w:val="003C4544"/>
    <w:rsid w:val="003C4605"/>
    <w:rsid w:val="003C4AC8"/>
    <w:rsid w:val="003C4C15"/>
    <w:rsid w:val="003C4D58"/>
    <w:rsid w:val="003C4F07"/>
    <w:rsid w:val="003C5063"/>
    <w:rsid w:val="003C546C"/>
    <w:rsid w:val="003C5709"/>
    <w:rsid w:val="003C572B"/>
    <w:rsid w:val="003C5AA5"/>
    <w:rsid w:val="003C5EB6"/>
    <w:rsid w:val="003C6793"/>
    <w:rsid w:val="003C6B81"/>
    <w:rsid w:val="003C6CBF"/>
    <w:rsid w:val="003C6CDD"/>
    <w:rsid w:val="003C6D38"/>
    <w:rsid w:val="003C7350"/>
    <w:rsid w:val="003C79BB"/>
    <w:rsid w:val="003C7F2A"/>
    <w:rsid w:val="003C7F58"/>
    <w:rsid w:val="003C7F78"/>
    <w:rsid w:val="003D0078"/>
    <w:rsid w:val="003D05B2"/>
    <w:rsid w:val="003D0B2E"/>
    <w:rsid w:val="003D0BD2"/>
    <w:rsid w:val="003D0EB7"/>
    <w:rsid w:val="003D10B7"/>
    <w:rsid w:val="003D1350"/>
    <w:rsid w:val="003D13B1"/>
    <w:rsid w:val="003D1710"/>
    <w:rsid w:val="003D197A"/>
    <w:rsid w:val="003D19B4"/>
    <w:rsid w:val="003D1D2F"/>
    <w:rsid w:val="003D1ED7"/>
    <w:rsid w:val="003D1F66"/>
    <w:rsid w:val="003D2010"/>
    <w:rsid w:val="003D330A"/>
    <w:rsid w:val="003D36EC"/>
    <w:rsid w:val="003D3C15"/>
    <w:rsid w:val="003D401B"/>
    <w:rsid w:val="003D44D2"/>
    <w:rsid w:val="003D4918"/>
    <w:rsid w:val="003D4D10"/>
    <w:rsid w:val="003D4DA0"/>
    <w:rsid w:val="003D4ED3"/>
    <w:rsid w:val="003D5288"/>
    <w:rsid w:val="003D58FC"/>
    <w:rsid w:val="003D5E8B"/>
    <w:rsid w:val="003D5EFE"/>
    <w:rsid w:val="003D5F26"/>
    <w:rsid w:val="003D6432"/>
    <w:rsid w:val="003D66B4"/>
    <w:rsid w:val="003D69F3"/>
    <w:rsid w:val="003D6B56"/>
    <w:rsid w:val="003D6E90"/>
    <w:rsid w:val="003D6EA2"/>
    <w:rsid w:val="003D713D"/>
    <w:rsid w:val="003D7144"/>
    <w:rsid w:val="003D73AE"/>
    <w:rsid w:val="003D78D9"/>
    <w:rsid w:val="003D7BB8"/>
    <w:rsid w:val="003D7D78"/>
    <w:rsid w:val="003E00AC"/>
    <w:rsid w:val="003E01D7"/>
    <w:rsid w:val="003E0518"/>
    <w:rsid w:val="003E09DD"/>
    <w:rsid w:val="003E0CDB"/>
    <w:rsid w:val="003E0CF3"/>
    <w:rsid w:val="003E1105"/>
    <w:rsid w:val="003E175D"/>
    <w:rsid w:val="003E1C12"/>
    <w:rsid w:val="003E1D81"/>
    <w:rsid w:val="003E2288"/>
    <w:rsid w:val="003E2463"/>
    <w:rsid w:val="003E2B20"/>
    <w:rsid w:val="003E3E34"/>
    <w:rsid w:val="003E40E1"/>
    <w:rsid w:val="003E4510"/>
    <w:rsid w:val="003E4942"/>
    <w:rsid w:val="003E4F59"/>
    <w:rsid w:val="003E5322"/>
    <w:rsid w:val="003E5501"/>
    <w:rsid w:val="003E5575"/>
    <w:rsid w:val="003E562A"/>
    <w:rsid w:val="003E5B36"/>
    <w:rsid w:val="003E5F3D"/>
    <w:rsid w:val="003E6122"/>
    <w:rsid w:val="003E652A"/>
    <w:rsid w:val="003E670E"/>
    <w:rsid w:val="003E6844"/>
    <w:rsid w:val="003E6E2C"/>
    <w:rsid w:val="003E708D"/>
    <w:rsid w:val="003E7577"/>
    <w:rsid w:val="003E78F7"/>
    <w:rsid w:val="003E7A55"/>
    <w:rsid w:val="003F0061"/>
    <w:rsid w:val="003F038A"/>
    <w:rsid w:val="003F03F2"/>
    <w:rsid w:val="003F05CD"/>
    <w:rsid w:val="003F07C9"/>
    <w:rsid w:val="003F13C6"/>
    <w:rsid w:val="003F159D"/>
    <w:rsid w:val="003F16DD"/>
    <w:rsid w:val="003F1931"/>
    <w:rsid w:val="003F1A66"/>
    <w:rsid w:val="003F1B39"/>
    <w:rsid w:val="003F1DAF"/>
    <w:rsid w:val="003F1E38"/>
    <w:rsid w:val="003F1F36"/>
    <w:rsid w:val="003F22E8"/>
    <w:rsid w:val="003F2700"/>
    <w:rsid w:val="003F2A73"/>
    <w:rsid w:val="003F2C5F"/>
    <w:rsid w:val="003F3082"/>
    <w:rsid w:val="003F32E6"/>
    <w:rsid w:val="003F3558"/>
    <w:rsid w:val="003F3638"/>
    <w:rsid w:val="003F38EB"/>
    <w:rsid w:val="003F402B"/>
    <w:rsid w:val="003F4329"/>
    <w:rsid w:val="003F437B"/>
    <w:rsid w:val="003F4383"/>
    <w:rsid w:val="003F53F0"/>
    <w:rsid w:val="003F55AC"/>
    <w:rsid w:val="003F5633"/>
    <w:rsid w:val="003F5738"/>
    <w:rsid w:val="003F5D03"/>
    <w:rsid w:val="003F5E98"/>
    <w:rsid w:val="003F6059"/>
    <w:rsid w:val="003F6346"/>
    <w:rsid w:val="003F63DE"/>
    <w:rsid w:val="003F64CD"/>
    <w:rsid w:val="003F673C"/>
    <w:rsid w:val="003F69B9"/>
    <w:rsid w:val="003F7087"/>
    <w:rsid w:val="003F7178"/>
    <w:rsid w:val="003F7480"/>
    <w:rsid w:val="003F74C6"/>
    <w:rsid w:val="003F7563"/>
    <w:rsid w:val="003F7B8B"/>
    <w:rsid w:val="0040029B"/>
    <w:rsid w:val="0040031D"/>
    <w:rsid w:val="004006ED"/>
    <w:rsid w:val="0040081B"/>
    <w:rsid w:val="004009B0"/>
    <w:rsid w:val="00400C21"/>
    <w:rsid w:val="00400C72"/>
    <w:rsid w:val="004010A9"/>
    <w:rsid w:val="004013EA"/>
    <w:rsid w:val="00401A45"/>
    <w:rsid w:val="004027B4"/>
    <w:rsid w:val="00402A26"/>
    <w:rsid w:val="00402C99"/>
    <w:rsid w:val="00402D53"/>
    <w:rsid w:val="00402DF2"/>
    <w:rsid w:val="00403104"/>
    <w:rsid w:val="004031A4"/>
    <w:rsid w:val="004032CD"/>
    <w:rsid w:val="004036A8"/>
    <w:rsid w:val="00403D53"/>
    <w:rsid w:val="00404300"/>
    <w:rsid w:val="0040454E"/>
    <w:rsid w:val="004047A7"/>
    <w:rsid w:val="00405364"/>
    <w:rsid w:val="0040551D"/>
    <w:rsid w:val="004056FC"/>
    <w:rsid w:val="004057BF"/>
    <w:rsid w:val="00405AD4"/>
    <w:rsid w:val="00405E2C"/>
    <w:rsid w:val="00405EF6"/>
    <w:rsid w:val="00406015"/>
    <w:rsid w:val="00406637"/>
    <w:rsid w:val="004069F6"/>
    <w:rsid w:val="00406B59"/>
    <w:rsid w:val="00406BAB"/>
    <w:rsid w:val="00406D5F"/>
    <w:rsid w:val="00406FC4"/>
    <w:rsid w:val="004070AC"/>
    <w:rsid w:val="0040737B"/>
    <w:rsid w:val="004073FB"/>
    <w:rsid w:val="00407A03"/>
    <w:rsid w:val="00410103"/>
    <w:rsid w:val="0041050D"/>
    <w:rsid w:val="00410780"/>
    <w:rsid w:val="00410843"/>
    <w:rsid w:val="0041097E"/>
    <w:rsid w:val="00411084"/>
    <w:rsid w:val="0041114B"/>
    <w:rsid w:val="0041161E"/>
    <w:rsid w:val="00411E92"/>
    <w:rsid w:val="00411FAB"/>
    <w:rsid w:val="00412588"/>
    <w:rsid w:val="00412731"/>
    <w:rsid w:val="0041278E"/>
    <w:rsid w:val="00412798"/>
    <w:rsid w:val="00412D5F"/>
    <w:rsid w:val="0041351E"/>
    <w:rsid w:val="00413879"/>
    <w:rsid w:val="00414016"/>
    <w:rsid w:val="0041468A"/>
    <w:rsid w:val="00414779"/>
    <w:rsid w:val="00414A57"/>
    <w:rsid w:val="00414DE5"/>
    <w:rsid w:val="0041541C"/>
    <w:rsid w:val="0041551A"/>
    <w:rsid w:val="004157A7"/>
    <w:rsid w:val="00415939"/>
    <w:rsid w:val="00415990"/>
    <w:rsid w:val="00415EAA"/>
    <w:rsid w:val="00416041"/>
    <w:rsid w:val="00416287"/>
    <w:rsid w:val="004167B9"/>
    <w:rsid w:val="00416828"/>
    <w:rsid w:val="00416AEF"/>
    <w:rsid w:val="004171FB"/>
    <w:rsid w:val="00417C4E"/>
    <w:rsid w:val="00417CEB"/>
    <w:rsid w:val="00417DA6"/>
    <w:rsid w:val="00417E7D"/>
    <w:rsid w:val="00417E99"/>
    <w:rsid w:val="00420011"/>
    <w:rsid w:val="00420358"/>
    <w:rsid w:val="00420623"/>
    <w:rsid w:val="00420679"/>
    <w:rsid w:val="004207B6"/>
    <w:rsid w:val="004209C6"/>
    <w:rsid w:val="00420B09"/>
    <w:rsid w:val="004214DB"/>
    <w:rsid w:val="00421636"/>
    <w:rsid w:val="0042180C"/>
    <w:rsid w:val="0042186D"/>
    <w:rsid w:val="00421992"/>
    <w:rsid w:val="00421CC6"/>
    <w:rsid w:val="00422245"/>
    <w:rsid w:val="004222D2"/>
    <w:rsid w:val="00422324"/>
    <w:rsid w:val="00422429"/>
    <w:rsid w:val="004224F6"/>
    <w:rsid w:val="004227D4"/>
    <w:rsid w:val="00422828"/>
    <w:rsid w:val="00422EBC"/>
    <w:rsid w:val="00422FE6"/>
    <w:rsid w:val="00423207"/>
    <w:rsid w:val="00423796"/>
    <w:rsid w:val="0042389C"/>
    <w:rsid w:val="00423A87"/>
    <w:rsid w:val="00423A9B"/>
    <w:rsid w:val="00423D13"/>
    <w:rsid w:val="00423D16"/>
    <w:rsid w:val="0042421D"/>
    <w:rsid w:val="0042422E"/>
    <w:rsid w:val="004242A4"/>
    <w:rsid w:val="00424459"/>
    <w:rsid w:val="00424A47"/>
    <w:rsid w:val="00424D3E"/>
    <w:rsid w:val="00424E2D"/>
    <w:rsid w:val="0042523E"/>
    <w:rsid w:val="00425532"/>
    <w:rsid w:val="0042558C"/>
    <w:rsid w:val="00425AAD"/>
    <w:rsid w:val="00425C89"/>
    <w:rsid w:val="00425EAE"/>
    <w:rsid w:val="00425FF9"/>
    <w:rsid w:val="00426129"/>
    <w:rsid w:val="0042617E"/>
    <w:rsid w:val="00426215"/>
    <w:rsid w:val="00426411"/>
    <w:rsid w:val="0042672C"/>
    <w:rsid w:val="0042686B"/>
    <w:rsid w:val="00426C0D"/>
    <w:rsid w:val="00427079"/>
    <w:rsid w:val="004272EE"/>
    <w:rsid w:val="00427705"/>
    <w:rsid w:val="004277EC"/>
    <w:rsid w:val="00427988"/>
    <w:rsid w:val="00427C90"/>
    <w:rsid w:val="00427F23"/>
    <w:rsid w:val="00430545"/>
    <w:rsid w:val="0043056C"/>
    <w:rsid w:val="004305FE"/>
    <w:rsid w:val="004306D9"/>
    <w:rsid w:val="0043080D"/>
    <w:rsid w:val="00430F64"/>
    <w:rsid w:val="004310F4"/>
    <w:rsid w:val="004315FB"/>
    <w:rsid w:val="00431F29"/>
    <w:rsid w:val="00431F50"/>
    <w:rsid w:val="00431F71"/>
    <w:rsid w:val="00432016"/>
    <w:rsid w:val="004325DC"/>
    <w:rsid w:val="004327ED"/>
    <w:rsid w:val="00432C2D"/>
    <w:rsid w:val="004330C9"/>
    <w:rsid w:val="0043337A"/>
    <w:rsid w:val="00433401"/>
    <w:rsid w:val="0043348D"/>
    <w:rsid w:val="00433632"/>
    <w:rsid w:val="00433786"/>
    <w:rsid w:val="00433A1E"/>
    <w:rsid w:val="00433B46"/>
    <w:rsid w:val="00434262"/>
    <w:rsid w:val="00434A41"/>
    <w:rsid w:val="00434C19"/>
    <w:rsid w:val="00434C53"/>
    <w:rsid w:val="0043521C"/>
    <w:rsid w:val="004353C2"/>
    <w:rsid w:val="00435A04"/>
    <w:rsid w:val="00435C32"/>
    <w:rsid w:val="00435E5F"/>
    <w:rsid w:val="00435E98"/>
    <w:rsid w:val="00435EAA"/>
    <w:rsid w:val="004362E6"/>
    <w:rsid w:val="00436667"/>
    <w:rsid w:val="004367EF"/>
    <w:rsid w:val="004372B9"/>
    <w:rsid w:val="00437919"/>
    <w:rsid w:val="00437D43"/>
    <w:rsid w:val="0044035F"/>
    <w:rsid w:val="004405B2"/>
    <w:rsid w:val="00440A65"/>
    <w:rsid w:val="00440AA8"/>
    <w:rsid w:val="00440E8D"/>
    <w:rsid w:val="00441062"/>
    <w:rsid w:val="0044145B"/>
    <w:rsid w:val="0044154F"/>
    <w:rsid w:val="00441A14"/>
    <w:rsid w:val="00441D48"/>
    <w:rsid w:val="004420C0"/>
    <w:rsid w:val="00442417"/>
    <w:rsid w:val="00442549"/>
    <w:rsid w:val="00442CD1"/>
    <w:rsid w:val="00442D6A"/>
    <w:rsid w:val="00443265"/>
    <w:rsid w:val="004436CF"/>
    <w:rsid w:val="0044380A"/>
    <w:rsid w:val="00443F02"/>
    <w:rsid w:val="0044407E"/>
    <w:rsid w:val="00444193"/>
    <w:rsid w:val="00444D7C"/>
    <w:rsid w:val="00444E27"/>
    <w:rsid w:val="00444FD3"/>
    <w:rsid w:val="004458D8"/>
    <w:rsid w:val="00445B90"/>
    <w:rsid w:val="00445C09"/>
    <w:rsid w:val="00445C13"/>
    <w:rsid w:val="00446138"/>
    <w:rsid w:val="00446257"/>
    <w:rsid w:val="00446BD9"/>
    <w:rsid w:val="00446D4B"/>
    <w:rsid w:val="0044716B"/>
    <w:rsid w:val="00447258"/>
    <w:rsid w:val="00447635"/>
    <w:rsid w:val="00447A37"/>
    <w:rsid w:val="00447AA3"/>
    <w:rsid w:val="00447AD2"/>
    <w:rsid w:val="00447EEE"/>
    <w:rsid w:val="00447F85"/>
    <w:rsid w:val="0045091E"/>
    <w:rsid w:val="00451021"/>
    <w:rsid w:val="0045137A"/>
    <w:rsid w:val="00451A75"/>
    <w:rsid w:val="00451B01"/>
    <w:rsid w:val="004520E8"/>
    <w:rsid w:val="00452434"/>
    <w:rsid w:val="0045266D"/>
    <w:rsid w:val="00452B46"/>
    <w:rsid w:val="00452B94"/>
    <w:rsid w:val="00452C05"/>
    <w:rsid w:val="00452CB6"/>
    <w:rsid w:val="00452D5C"/>
    <w:rsid w:val="00453031"/>
    <w:rsid w:val="004531D5"/>
    <w:rsid w:val="0045386F"/>
    <w:rsid w:val="004538C4"/>
    <w:rsid w:val="00453E4A"/>
    <w:rsid w:val="0045415A"/>
    <w:rsid w:val="004544A4"/>
    <w:rsid w:val="00454626"/>
    <w:rsid w:val="004547F3"/>
    <w:rsid w:val="004548F6"/>
    <w:rsid w:val="00454C4D"/>
    <w:rsid w:val="00455678"/>
    <w:rsid w:val="004558E9"/>
    <w:rsid w:val="004559FD"/>
    <w:rsid w:val="00455BE9"/>
    <w:rsid w:val="00455D27"/>
    <w:rsid w:val="00455EE0"/>
    <w:rsid w:val="00455FBB"/>
    <w:rsid w:val="00456020"/>
    <w:rsid w:val="00456652"/>
    <w:rsid w:val="00456883"/>
    <w:rsid w:val="00456C4D"/>
    <w:rsid w:val="00456EA0"/>
    <w:rsid w:val="004575A3"/>
    <w:rsid w:val="0045763F"/>
    <w:rsid w:val="004577CC"/>
    <w:rsid w:val="00457971"/>
    <w:rsid w:val="00457A2F"/>
    <w:rsid w:val="00457A73"/>
    <w:rsid w:val="00457D05"/>
    <w:rsid w:val="00460137"/>
    <w:rsid w:val="00460240"/>
    <w:rsid w:val="004602E4"/>
    <w:rsid w:val="00460437"/>
    <w:rsid w:val="004607DF"/>
    <w:rsid w:val="00460985"/>
    <w:rsid w:val="00460A11"/>
    <w:rsid w:val="00460AD4"/>
    <w:rsid w:val="00461D52"/>
    <w:rsid w:val="004623A2"/>
    <w:rsid w:val="0046257C"/>
    <w:rsid w:val="0046282F"/>
    <w:rsid w:val="00462F11"/>
    <w:rsid w:val="004632F2"/>
    <w:rsid w:val="0046356B"/>
    <w:rsid w:val="004642D2"/>
    <w:rsid w:val="00464402"/>
    <w:rsid w:val="004646EA"/>
    <w:rsid w:val="00464B33"/>
    <w:rsid w:val="00464BD0"/>
    <w:rsid w:val="00464DC7"/>
    <w:rsid w:val="00464E1E"/>
    <w:rsid w:val="00464E67"/>
    <w:rsid w:val="0046516B"/>
    <w:rsid w:val="004658B1"/>
    <w:rsid w:val="004658C7"/>
    <w:rsid w:val="00465CCE"/>
    <w:rsid w:val="00465DC9"/>
    <w:rsid w:val="00465FE2"/>
    <w:rsid w:val="00466862"/>
    <w:rsid w:val="00466A1F"/>
    <w:rsid w:val="00466BEB"/>
    <w:rsid w:val="00466BF6"/>
    <w:rsid w:val="00466D55"/>
    <w:rsid w:val="00466DCE"/>
    <w:rsid w:val="004670FE"/>
    <w:rsid w:val="00467554"/>
    <w:rsid w:val="004675E5"/>
    <w:rsid w:val="00467863"/>
    <w:rsid w:val="00467A00"/>
    <w:rsid w:val="00467CA3"/>
    <w:rsid w:val="0047028F"/>
    <w:rsid w:val="00470447"/>
    <w:rsid w:val="004707F8"/>
    <w:rsid w:val="0047099D"/>
    <w:rsid w:val="004711EE"/>
    <w:rsid w:val="00471860"/>
    <w:rsid w:val="00471B0F"/>
    <w:rsid w:val="00472096"/>
    <w:rsid w:val="0047236F"/>
    <w:rsid w:val="00472BF6"/>
    <w:rsid w:val="00472DA0"/>
    <w:rsid w:val="00472DAA"/>
    <w:rsid w:val="00473017"/>
    <w:rsid w:val="00473490"/>
    <w:rsid w:val="004736BB"/>
    <w:rsid w:val="0047388C"/>
    <w:rsid w:val="00473B40"/>
    <w:rsid w:val="00473B41"/>
    <w:rsid w:val="00473B6C"/>
    <w:rsid w:val="004740EF"/>
    <w:rsid w:val="00474534"/>
    <w:rsid w:val="00474BAC"/>
    <w:rsid w:val="00474DFD"/>
    <w:rsid w:val="004750B6"/>
    <w:rsid w:val="004751CD"/>
    <w:rsid w:val="00475264"/>
    <w:rsid w:val="00476404"/>
    <w:rsid w:val="0047654A"/>
    <w:rsid w:val="0047669D"/>
    <w:rsid w:val="00476F3F"/>
    <w:rsid w:val="00477117"/>
    <w:rsid w:val="00477299"/>
    <w:rsid w:val="004772EF"/>
    <w:rsid w:val="0047750F"/>
    <w:rsid w:val="0047777B"/>
    <w:rsid w:val="00477BA1"/>
    <w:rsid w:val="00477D6F"/>
    <w:rsid w:val="00477DFD"/>
    <w:rsid w:val="00477E9C"/>
    <w:rsid w:val="004800C5"/>
    <w:rsid w:val="00480358"/>
    <w:rsid w:val="004803D1"/>
    <w:rsid w:val="00480607"/>
    <w:rsid w:val="004809FD"/>
    <w:rsid w:val="00480B34"/>
    <w:rsid w:val="00480D9A"/>
    <w:rsid w:val="00480DD5"/>
    <w:rsid w:val="00480FAF"/>
    <w:rsid w:val="004814DE"/>
    <w:rsid w:val="0048156A"/>
    <w:rsid w:val="004816CB"/>
    <w:rsid w:val="00481710"/>
    <w:rsid w:val="00481A31"/>
    <w:rsid w:val="00481D2F"/>
    <w:rsid w:val="0048285E"/>
    <w:rsid w:val="004838D1"/>
    <w:rsid w:val="00483AFF"/>
    <w:rsid w:val="00484B38"/>
    <w:rsid w:val="00484BF1"/>
    <w:rsid w:val="004850D3"/>
    <w:rsid w:val="00485231"/>
    <w:rsid w:val="00485336"/>
    <w:rsid w:val="00485344"/>
    <w:rsid w:val="00485488"/>
    <w:rsid w:val="0048558B"/>
    <w:rsid w:val="00485667"/>
    <w:rsid w:val="00485676"/>
    <w:rsid w:val="00485B6E"/>
    <w:rsid w:val="00485C90"/>
    <w:rsid w:val="00485D7E"/>
    <w:rsid w:val="00485EFA"/>
    <w:rsid w:val="004861FA"/>
    <w:rsid w:val="0048626E"/>
    <w:rsid w:val="004865D0"/>
    <w:rsid w:val="004867D0"/>
    <w:rsid w:val="00486894"/>
    <w:rsid w:val="004868A0"/>
    <w:rsid w:val="004869C2"/>
    <w:rsid w:val="00486A9C"/>
    <w:rsid w:val="00486D91"/>
    <w:rsid w:val="00487949"/>
    <w:rsid w:val="00487BE3"/>
    <w:rsid w:val="00487CB4"/>
    <w:rsid w:val="00490272"/>
    <w:rsid w:val="00490381"/>
    <w:rsid w:val="004905BE"/>
    <w:rsid w:val="0049095E"/>
    <w:rsid w:val="0049129B"/>
    <w:rsid w:val="0049144D"/>
    <w:rsid w:val="00491487"/>
    <w:rsid w:val="004914E1"/>
    <w:rsid w:val="004916E0"/>
    <w:rsid w:val="004919BA"/>
    <w:rsid w:val="00491CE8"/>
    <w:rsid w:val="0049227E"/>
    <w:rsid w:val="004925CA"/>
    <w:rsid w:val="00492ACC"/>
    <w:rsid w:val="00492CC7"/>
    <w:rsid w:val="004932CB"/>
    <w:rsid w:val="004938DD"/>
    <w:rsid w:val="00493F4D"/>
    <w:rsid w:val="00494187"/>
    <w:rsid w:val="00494451"/>
    <w:rsid w:val="004947BC"/>
    <w:rsid w:val="00494C5F"/>
    <w:rsid w:val="00494F4D"/>
    <w:rsid w:val="00495090"/>
    <w:rsid w:val="00495480"/>
    <w:rsid w:val="00495BFD"/>
    <w:rsid w:val="004961F7"/>
    <w:rsid w:val="00496976"/>
    <w:rsid w:val="00496D93"/>
    <w:rsid w:val="004970E9"/>
    <w:rsid w:val="004976D1"/>
    <w:rsid w:val="00497BD2"/>
    <w:rsid w:val="00497DFF"/>
    <w:rsid w:val="00497EB4"/>
    <w:rsid w:val="004A054F"/>
    <w:rsid w:val="004A09C5"/>
    <w:rsid w:val="004A0A2F"/>
    <w:rsid w:val="004A0B0E"/>
    <w:rsid w:val="004A0B45"/>
    <w:rsid w:val="004A1144"/>
    <w:rsid w:val="004A116A"/>
    <w:rsid w:val="004A1521"/>
    <w:rsid w:val="004A170B"/>
    <w:rsid w:val="004A1880"/>
    <w:rsid w:val="004A19EF"/>
    <w:rsid w:val="004A1AE7"/>
    <w:rsid w:val="004A1B8E"/>
    <w:rsid w:val="004A1FE5"/>
    <w:rsid w:val="004A23DF"/>
    <w:rsid w:val="004A24C1"/>
    <w:rsid w:val="004A2775"/>
    <w:rsid w:val="004A37A5"/>
    <w:rsid w:val="004A38C4"/>
    <w:rsid w:val="004A39E3"/>
    <w:rsid w:val="004A3ACE"/>
    <w:rsid w:val="004A3B10"/>
    <w:rsid w:val="004A3C99"/>
    <w:rsid w:val="004A3CB4"/>
    <w:rsid w:val="004A3EFB"/>
    <w:rsid w:val="004A4A1B"/>
    <w:rsid w:val="004A4CAF"/>
    <w:rsid w:val="004A4CBE"/>
    <w:rsid w:val="004A5444"/>
    <w:rsid w:val="004A5DC2"/>
    <w:rsid w:val="004A5E34"/>
    <w:rsid w:val="004A6049"/>
    <w:rsid w:val="004A6379"/>
    <w:rsid w:val="004A6484"/>
    <w:rsid w:val="004A6487"/>
    <w:rsid w:val="004A65FD"/>
    <w:rsid w:val="004A6AAC"/>
    <w:rsid w:val="004A6B2E"/>
    <w:rsid w:val="004A6BE4"/>
    <w:rsid w:val="004A6CE2"/>
    <w:rsid w:val="004A7093"/>
    <w:rsid w:val="004A7355"/>
    <w:rsid w:val="004A7A33"/>
    <w:rsid w:val="004A7BD9"/>
    <w:rsid w:val="004A7D23"/>
    <w:rsid w:val="004A7EA6"/>
    <w:rsid w:val="004B038A"/>
    <w:rsid w:val="004B06FF"/>
    <w:rsid w:val="004B07AB"/>
    <w:rsid w:val="004B0C68"/>
    <w:rsid w:val="004B103F"/>
    <w:rsid w:val="004B1110"/>
    <w:rsid w:val="004B1121"/>
    <w:rsid w:val="004B16E3"/>
    <w:rsid w:val="004B18B1"/>
    <w:rsid w:val="004B19E9"/>
    <w:rsid w:val="004B1AC5"/>
    <w:rsid w:val="004B1C31"/>
    <w:rsid w:val="004B1C6F"/>
    <w:rsid w:val="004B1E43"/>
    <w:rsid w:val="004B1EC7"/>
    <w:rsid w:val="004B1FD5"/>
    <w:rsid w:val="004B2596"/>
    <w:rsid w:val="004B26BE"/>
    <w:rsid w:val="004B278F"/>
    <w:rsid w:val="004B2DF9"/>
    <w:rsid w:val="004B301F"/>
    <w:rsid w:val="004B3028"/>
    <w:rsid w:val="004B302C"/>
    <w:rsid w:val="004B318A"/>
    <w:rsid w:val="004B368A"/>
    <w:rsid w:val="004B37AE"/>
    <w:rsid w:val="004B3813"/>
    <w:rsid w:val="004B39DF"/>
    <w:rsid w:val="004B3AFB"/>
    <w:rsid w:val="004B3D33"/>
    <w:rsid w:val="004B3FB8"/>
    <w:rsid w:val="004B4333"/>
    <w:rsid w:val="004B445A"/>
    <w:rsid w:val="004B4475"/>
    <w:rsid w:val="004B4648"/>
    <w:rsid w:val="004B4A8B"/>
    <w:rsid w:val="004B4C85"/>
    <w:rsid w:val="004B4CA1"/>
    <w:rsid w:val="004B4CC7"/>
    <w:rsid w:val="004B53B9"/>
    <w:rsid w:val="004B56D9"/>
    <w:rsid w:val="004B588A"/>
    <w:rsid w:val="004B5A18"/>
    <w:rsid w:val="004B5C34"/>
    <w:rsid w:val="004B631D"/>
    <w:rsid w:val="004B6363"/>
    <w:rsid w:val="004B66B8"/>
    <w:rsid w:val="004B688C"/>
    <w:rsid w:val="004B6AA7"/>
    <w:rsid w:val="004B6AD4"/>
    <w:rsid w:val="004B6D98"/>
    <w:rsid w:val="004B6DDE"/>
    <w:rsid w:val="004B6E6D"/>
    <w:rsid w:val="004B70CA"/>
    <w:rsid w:val="004B722B"/>
    <w:rsid w:val="004B7260"/>
    <w:rsid w:val="004B76CD"/>
    <w:rsid w:val="004B7BED"/>
    <w:rsid w:val="004B7C0E"/>
    <w:rsid w:val="004B7D49"/>
    <w:rsid w:val="004B7F77"/>
    <w:rsid w:val="004C0014"/>
    <w:rsid w:val="004C00AF"/>
    <w:rsid w:val="004C02E4"/>
    <w:rsid w:val="004C037B"/>
    <w:rsid w:val="004C05F6"/>
    <w:rsid w:val="004C07DD"/>
    <w:rsid w:val="004C0D29"/>
    <w:rsid w:val="004C0DD3"/>
    <w:rsid w:val="004C0F06"/>
    <w:rsid w:val="004C1131"/>
    <w:rsid w:val="004C195B"/>
    <w:rsid w:val="004C219E"/>
    <w:rsid w:val="004C2376"/>
    <w:rsid w:val="004C2E49"/>
    <w:rsid w:val="004C3206"/>
    <w:rsid w:val="004C326B"/>
    <w:rsid w:val="004C3507"/>
    <w:rsid w:val="004C35B9"/>
    <w:rsid w:val="004C37F9"/>
    <w:rsid w:val="004C39AC"/>
    <w:rsid w:val="004C3AFE"/>
    <w:rsid w:val="004C3F07"/>
    <w:rsid w:val="004C4556"/>
    <w:rsid w:val="004C45D2"/>
    <w:rsid w:val="004C473D"/>
    <w:rsid w:val="004C475A"/>
    <w:rsid w:val="004C4B07"/>
    <w:rsid w:val="004C4E56"/>
    <w:rsid w:val="004C515E"/>
    <w:rsid w:val="004C577E"/>
    <w:rsid w:val="004C5857"/>
    <w:rsid w:val="004C5A07"/>
    <w:rsid w:val="004C5A2C"/>
    <w:rsid w:val="004C5EEC"/>
    <w:rsid w:val="004C60D2"/>
    <w:rsid w:val="004C631A"/>
    <w:rsid w:val="004C6554"/>
    <w:rsid w:val="004C655C"/>
    <w:rsid w:val="004C6BFC"/>
    <w:rsid w:val="004C7425"/>
    <w:rsid w:val="004C75CC"/>
    <w:rsid w:val="004C7708"/>
    <w:rsid w:val="004C7DD7"/>
    <w:rsid w:val="004D011D"/>
    <w:rsid w:val="004D0475"/>
    <w:rsid w:val="004D08B1"/>
    <w:rsid w:val="004D0ADF"/>
    <w:rsid w:val="004D0F0A"/>
    <w:rsid w:val="004D11A3"/>
    <w:rsid w:val="004D13FE"/>
    <w:rsid w:val="004D175C"/>
    <w:rsid w:val="004D179D"/>
    <w:rsid w:val="004D1CAE"/>
    <w:rsid w:val="004D2110"/>
    <w:rsid w:val="004D212B"/>
    <w:rsid w:val="004D22F3"/>
    <w:rsid w:val="004D23E8"/>
    <w:rsid w:val="004D2590"/>
    <w:rsid w:val="004D26D8"/>
    <w:rsid w:val="004D2735"/>
    <w:rsid w:val="004D3040"/>
    <w:rsid w:val="004D35F4"/>
    <w:rsid w:val="004D3AF0"/>
    <w:rsid w:val="004D3F80"/>
    <w:rsid w:val="004D3FB4"/>
    <w:rsid w:val="004D4352"/>
    <w:rsid w:val="004D4924"/>
    <w:rsid w:val="004D496A"/>
    <w:rsid w:val="004D4A2A"/>
    <w:rsid w:val="004D51D5"/>
    <w:rsid w:val="004D562E"/>
    <w:rsid w:val="004D56CE"/>
    <w:rsid w:val="004D58B8"/>
    <w:rsid w:val="004D5C38"/>
    <w:rsid w:val="004D61BA"/>
    <w:rsid w:val="004D64D2"/>
    <w:rsid w:val="004D68AE"/>
    <w:rsid w:val="004D6A8D"/>
    <w:rsid w:val="004D6C0A"/>
    <w:rsid w:val="004D6D15"/>
    <w:rsid w:val="004D73ED"/>
    <w:rsid w:val="004D7608"/>
    <w:rsid w:val="004D7918"/>
    <w:rsid w:val="004D7B08"/>
    <w:rsid w:val="004D7CE6"/>
    <w:rsid w:val="004D7DA0"/>
    <w:rsid w:val="004D7E58"/>
    <w:rsid w:val="004D7F37"/>
    <w:rsid w:val="004E0307"/>
    <w:rsid w:val="004E07BF"/>
    <w:rsid w:val="004E0B00"/>
    <w:rsid w:val="004E0D30"/>
    <w:rsid w:val="004E1231"/>
    <w:rsid w:val="004E13F7"/>
    <w:rsid w:val="004E15E4"/>
    <w:rsid w:val="004E1925"/>
    <w:rsid w:val="004E19BF"/>
    <w:rsid w:val="004E1B23"/>
    <w:rsid w:val="004E1C55"/>
    <w:rsid w:val="004E1CCF"/>
    <w:rsid w:val="004E2923"/>
    <w:rsid w:val="004E305C"/>
    <w:rsid w:val="004E314F"/>
    <w:rsid w:val="004E31EE"/>
    <w:rsid w:val="004E36E9"/>
    <w:rsid w:val="004E390D"/>
    <w:rsid w:val="004E3A4D"/>
    <w:rsid w:val="004E3BD6"/>
    <w:rsid w:val="004E3FEA"/>
    <w:rsid w:val="004E4008"/>
    <w:rsid w:val="004E40EF"/>
    <w:rsid w:val="004E42F1"/>
    <w:rsid w:val="004E4530"/>
    <w:rsid w:val="004E4733"/>
    <w:rsid w:val="004E4DB6"/>
    <w:rsid w:val="004E5173"/>
    <w:rsid w:val="004E52BA"/>
    <w:rsid w:val="004E5384"/>
    <w:rsid w:val="004E5611"/>
    <w:rsid w:val="004E5717"/>
    <w:rsid w:val="004E5A3C"/>
    <w:rsid w:val="004E5CC7"/>
    <w:rsid w:val="004E64E1"/>
    <w:rsid w:val="004E678A"/>
    <w:rsid w:val="004E6ACA"/>
    <w:rsid w:val="004E6BF1"/>
    <w:rsid w:val="004E6D65"/>
    <w:rsid w:val="004E6E6D"/>
    <w:rsid w:val="004E6FB1"/>
    <w:rsid w:val="004E7025"/>
    <w:rsid w:val="004E7434"/>
    <w:rsid w:val="004E7A04"/>
    <w:rsid w:val="004E7B49"/>
    <w:rsid w:val="004E7B8B"/>
    <w:rsid w:val="004F0342"/>
    <w:rsid w:val="004F045C"/>
    <w:rsid w:val="004F0D5D"/>
    <w:rsid w:val="004F147F"/>
    <w:rsid w:val="004F1549"/>
    <w:rsid w:val="004F1748"/>
    <w:rsid w:val="004F18BD"/>
    <w:rsid w:val="004F199C"/>
    <w:rsid w:val="004F1A68"/>
    <w:rsid w:val="004F1BA0"/>
    <w:rsid w:val="004F1CEE"/>
    <w:rsid w:val="004F1E7A"/>
    <w:rsid w:val="004F1FA1"/>
    <w:rsid w:val="004F2393"/>
    <w:rsid w:val="004F25BB"/>
    <w:rsid w:val="004F28B6"/>
    <w:rsid w:val="004F2928"/>
    <w:rsid w:val="004F2FC8"/>
    <w:rsid w:val="004F32C6"/>
    <w:rsid w:val="004F3C8C"/>
    <w:rsid w:val="004F3D14"/>
    <w:rsid w:val="004F4604"/>
    <w:rsid w:val="004F4711"/>
    <w:rsid w:val="004F4753"/>
    <w:rsid w:val="004F4A5E"/>
    <w:rsid w:val="004F4CE0"/>
    <w:rsid w:val="004F4DBC"/>
    <w:rsid w:val="004F4E57"/>
    <w:rsid w:val="004F4F67"/>
    <w:rsid w:val="004F5125"/>
    <w:rsid w:val="004F512C"/>
    <w:rsid w:val="004F51B9"/>
    <w:rsid w:val="004F5370"/>
    <w:rsid w:val="004F5966"/>
    <w:rsid w:val="004F5E54"/>
    <w:rsid w:val="004F66BE"/>
    <w:rsid w:val="004F6DB7"/>
    <w:rsid w:val="004F7068"/>
    <w:rsid w:val="004F73D3"/>
    <w:rsid w:val="004F741B"/>
    <w:rsid w:val="004F79AD"/>
    <w:rsid w:val="004F7EB8"/>
    <w:rsid w:val="005006B5"/>
    <w:rsid w:val="00500800"/>
    <w:rsid w:val="00500977"/>
    <w:rsid w:val="00500992"/>
    <w:rsid w:val="00500E9A"/>
    <w:rsid w:val="00500F04"/>
    <w:rsid w:val="005010EC"/>
    <w:rsid w:val="005014D8"/>
    <w:rsid w:val="0050195E"/>
    <w:rsid w:val="00501AF7"/>
    <w:rsid w:val="00501E0A"/>
    <w:rsid w:val="0050231B"/>
    <w:rsid w:val="00502350"/>
    <w:rsid w:val="005029FF"/>
    <w:rsid w:val="00502CC7"/>
    <w:rsid w:val="00503097"/>
    <w:rsid w:val="005030FD"/>
    <w:rsid w:val="005038D2"/>
    <w:rsid w:val="005038E4"/>
    <w:rsid w:val="0050399F"/>
    <w:rsid w:val="005039A7"/>
    <w:rsid w:val="005039E4"/>
    <w:rsid w:val="00503A74"/>
    <w:rsid w:val="00503B5A"/>
    <w:rsid w:val="00504141"/>
    <w:rsid w:val="0050445F"/>
    <w:rsid w:val="0050448B"/>
    <w:rsid w:val="00504555"/>
    <w:rsid w:val="0050508C"/>
    <w:rsid w:val="00505271"/>
    <w:rsid w:val="005057A6"/>
    <w:rsid w:val="005057FC"/>
    <w:rsid w:val="00505C83"/>
    <w:rsid w:val="00505D52"/>
    <w:rsid w:val="00506500"/>
    <w:rsid w:val="005070BE"/>
    <w:rsid w:val="00507190"/>
    <w:rsid w:val="00507681"/>
    <w:rsid w:val="005079FB"/>
    <w:rsid w:val="00507C60"/>
    <w:rsid w:val="00507D3E"/>
    <w:rsid w:val="0051025E"/>
    <w:rsid w:val="0051035A"/>
    <w:rsid w:val="005104AD"/>
    <w:rsid w:val="00510528"/>
    <w:rsid w:val="005105A8"/>
    <w:rsid w:val="0051107D"/>
    <w:rsid w:val="005110C6"/>
    <w:rsid w:val="00511720"/>
    <w:rsid w:val="00511B12"/>
    <w:rsid w:val="00511C1F"/>
    <w:rsid w:val="005120A1"/>
    <w:rsid w:val="00512427"/>
    <w:rsid w:val="00512778"/>
    <w:rsid w:val="005128E9"/>
    <w:rsid w:val="005129A3"/>
    <w:rsid w:val="00512A4C"/>
    <w:rsid w:val="00513686"/>
    <w:rsid w:val="00513EB7"/>
    <w:rsid w:val="005144CA"/>
    <w:rsid w:val="00514636"/>
    <w:rsid w:val="005147A4"/>
    <w:rsid w:val="00514837"/>
    <w:rsid w:val="0051487D"/>
    <w:rsid w:val="00514BE6"/>
    <w:rsid w:val="00514C53"/>
    <w:rsid w:val="00514E6C"/>
    <w:rsid w:val="00514EBE"/>
    <w:rsid w:val="005150E1"/>
    <w:rsid w:val="00516593"/>
    <w:rsid w:val="005166EE"/>
    <w:rsid w:val="0051751F"/>
    <w:rsid w:val="00517563"/>
    <w:rsid w:val="005175BA"/>
    <w:rsid w:val="00517781"/>
    <w:rsid w:val="00517CB3"/>
    <w:rsid w:val="00517F05"/>
    <w:rsid w:val="00517F6B"/>
    <w:rsid w:val="00517F94"/>
    <w:rsid w:val="00520404"/>
    <w:rsid w:val="0052048F"/>
    <w:rsid w:val="00520549"/>
    <w:rsid w:val="00520658"/>
    <w:rsid w:val="00520CC6"/>
    <w:rsid w:val="00520EAA"/>
    <w:rsid w:val="00521013"/>
    <w:rsid w:val="005210CA"/>
    <w:rsid w:val="00521493"/>
    <w:rsid w:val="0052159B"/>
    <w:rsid w:val="005215F4"/>
    <w:rsid w:val="0052171D"/>
    <w:rsid w:val="005217B6"/>
    <w:rsid w:val="005217EF"/>
    <w:rsid w:val="0052181A"/>
    <w:rsid w:val="005218B5"/>
    <w:rsid w:val="00521A99"/>
    <w:rsid w:val="00522229"/>
    <w:rsid w:val="005225FD"/>
    <w:rsid w:val="00522717"/>
    <w:rsid w:val="005227F8"/>
    <w:rsid w:val="005229E4"/>
    <w:rsid w:val="00522F62"/>
    <w:rsid w:val="005230D4"/>
    <w:rsid w:val="00523961"/>
    <w:rsid w:val="00523BE6"/>
    <w:rsid w:val="00523DCE"/>
    <w:rsid w:val="005240E0"/>
    <w:rsid w:val="00524642"/>
    <w:rsid w:val="00524AD0"/>
    <w:rsid w:val="00524B65"/>
    <w:rsid w:val="00524FD2"/>
    <w:rsid w:val="005255DD"/>
    <w:rsid w:val="005257A1"/>
    <w:rsid w:val="0052598F"/>
    <w:rsid w:val="005259BE"/>
    <w:rsid w:val="005266D0"/>
    <w:rsid w:val="00526E62"/>
    <w:rsid w:val="00527010"/>
    <w:rsid w:val="005271B6"/>
    <w:rsid w:val="0052721A"/>
    <w:rsid w:val="00527387"/>
    <w:rsid w:val="00527C8D"/>
    <w:rsid w:val="00527DC0"/>
    <w:rsid w:val="00527DD0"/>
    <w:rsid w:val="00530100"/>
    <w:rsid w:val="00530723"/>
    <w:rsid w:val="0053082F"/>
    <w:rsid w:val="0053088B"/>
    <w:rsid w:val="0053089D"/>
    <w:rsid w:val="00530A16"/>
    <w:rsid w:val="00530ABA"/>
    <w:rsid w:val="00530C21"/>
    <w:rsid w:val="00530D01"/>
    <w:rsid w:val="00530F7F"/>
    <w:rsid w:val="005311C4"/>
    <w:rsid w:val="00531444"/>
    <w:rsid w:val="00531580"/>
    <w:rsid w:val="00531837"/>
    <w:rsid w:val="00531B89"/>
    <w:rsid w:val="0053222B"/>
    <w:rsid w:val="0053248F"/>
    <w:rsid w:val="00532569"/>
    <w:rsid w:val="0053262C"/>
    <w:rsid w:val="005328EA"/>
    <w:rsid w:val="00532B06"/>
    <w:rsid w:val="00532B0E"/>
    <w:rsid w:val="00533003"/>
    <w:rsid w:val="00533334"/>
    <w:rsid w:val="0053346F"/>
    <w:rsid w:val="00533543"/>
    <w:rsid w:val="00533683"/>
    <w:rsid w:val="00533EC1"/>
    <w:rsid w:val="00533FDC"/>
    <w:rsid w:val="00534251"/>
    <w:rsid w:val="0053459C"/>
    <w:rsid w:val="005348CC"/>
    <w:rsid w:val="00535475"/>
    <w:rsid w:val="00535D27"/>
    <w:rsid w:val="00535D43"/>
    <w:rsid w:val="00536031"/>
    <w:rsid w:val="0053664A"/>
    <w:rsid w:val="005366B1"/>
    <w:rsid w:val="00536839"/>
    <w:rsid w:val="00536C39"/>
    <w:rsid w:val="00536C8A"/>
    <w:rsid w:val="00536C94"/>
    <w:rsid w:val="00537019"/>
    <w:rsid w:val="005370F4"/>
    <w:rsid w:val="0053716C"/>
    <w:rsid w:val="00537897"/>
    <w:rsid w:val="00537CEB"/>
    <w:rsid w:val="005400D0"/>
    <w:rsid w:val="0054068C"/>
    <w:rsid w:val="005406EC"/>
    <w:rsid w:val="005409A5"/>
    <w:rsid w:val="00540C11"/>
    <w:rsid w:val="00540C94"/>
    <w:rsid w:val="005412B0"/>
    <w:rsid w:val="00541438"/>
    <w:rsid w:val="00541545"/>
    <w:rsid w:val="00541866"/>
    <w:rsid w:val="00541B89"/>
    <w:rsid w:val="00541DC1"/>
    <w:rsid w:val="0054203D"/>
    <w:rsid w:val="0054258F"/>
    <w:rsid w:val="00542E46"/>
    <w:rsid w:val="00542E6C"/>
    <w:rsid w:val="00542E6F"/>
    <w:rsid w:val="00542E9F"/>
    <w:rsid w:val="00543614"/>
    <w:rsid w:val="00543AEE"/>
    <w:rsid w:val="00543EED"/>
    <w:rsid w:val="00543EFD"/>
    <w:rsid w:val="005440B1"/>
    <w:rsid w:val="005441DE"/>
    <w:rsid w:val="005442B6"/>
    <w:rsid w:val="00544313"/>
    <w:rsid w:val="00544535"/>
    <w:rsid w:val="005449DE"/>
    <w:rsid w:val="00545354"/>
    <w:rsid w:val="0054576E"/>
    <w:rsid w:val="00546224"/>
    <w:rsid w:val="00546450"/>
    <w:rsid w:val="0054650D"/>
    <w:rsid w:val="0054719D"/>
    <w:rsid w:val="00547694"/>
    <w:rsid w:val="005477CC"/>
    <w:rsid w:val="005477E6"/>
    <w:rsid w:val="00547BF0"/>
    <w:rsid w:val="005505E4"/>
    <w:rsid w:val="005506D1"/>
    <w:rsid w:val="0055090C"/>
    <w:rsid w:val="005509C0"/>
    <w:rsid w:val="0055104D"/>
    <w:rsid w:val="00551151"/>
    <w:rsid w:val="0055173A"/>
    <w:rsid w:val="00551EBF"/>
    <w:rsid w:val="005523E8"/>
    <w:rsid w:val="005529F5"/>
    <w:rsid w:val="00553770"/>
    <w:rsid w:val="00553EC1"/>
    <w:rsid w:val="00554147"/>
    <w:rsid w:val="00554150"/>
    <w:rsid w:val="00554710"/>
    <w:rsid w:val="00554885"/>
    <w:rsid w:val="00554A3D"/>
    <w:rsid w:val="00554C8C"/>
    <w:rsid w:val="00555018"/>
    <w:rsid w:val="005552C1"/>
    <w:rsid w:val="00555DEF"/>
    <w:rsid w:val="0055639E"/>
    <w:rsid w:val="005563AE"/>
    <w:rsid w:val="0055685A"/>
    <w:rsid w:val="00556FA3"/>
    <w:rsid w:val="00556FDC"/>
    <w:rsid w:val="0055738B"/>
    <w:rsid w:val="0055773E"/>
    <w:rsid w:val="0055778C"/>
    <w:rsid w:val="00557E91"/>
    <w:rsid w:val="00560405"/>
    <w:rsid w:val="00560760"/>
    <w:rsid w:val="00560970"/>
    <w:rsid w:val="00560F0A"/>
    <w:rsid w:val="00560FDE"/>
    <w:rsid w:val="0056144D"/>
    <w:rsid w:val="005614DA"/>
    <w:rsid w:val="0056197B"/>
    <w:rsid w:val="00561A55"/>
    <w:rsid w:val="00561E27"/>
    <w:rsid w:val="00561EAD"/>
    <w:rsid w:val="0056224C"/>
    <w:rsid w:val="00562A62"/>
    <w:rsid w:val="00562D50"/>
    <w:rsid w:val="005634DD"/>
    <w:rsid w:val="00563840"/>
    <w:rsid w:val="00563A17"/>
    <w:rsid w:val="0056401B"/>
    <w:rsid w:val="005641AF"/>
    <w:rsid w:val="00564265"/>
    <w:rsid w:val="0056429F"/>
    <w:rsid w:val="0056439B"/>
    <w:rsid w:val="005647E1"/>
    <w:rsid w:val="00564A8B"/>
    <w:rsid w:val="00564EA8"/>
    <w:rsid w:val="00565160"/>
    <w:rsid w:val="005652D4"/>
    <w:rsid w:val="00565372"/>
    <w:rsid w:val="00565881"/>
    <w:rsid w:val="005658B2"/>
    <w:rsid w:val="0056594E"/>
    <w:rsid w:val="005660A4"/>
    <w:rsid w:val="005661A8"/>
    <w:rsid w:val="005663C2"/>
    <w:rsid w:val="005664AD"/>
    <w:rsid w:val="00566A32"/>
    <w:rsid w:val="00566A6E"/>
    <w:rsid w:val="00566B1A"/>
    <w:rsid w:val="00566B3C"/>
    <w:rsid w:val="00566EA1"/>
    <w:rsid w:val="005671C8"/>
    <w:rsid w:val="0056727B"/>
    <w:rsid w:val="00567407"/>
    <w:rsid w:val="00567823"/>
    <w:rsid w:val="00567B08"/>
    <w:rsid w:val="00567BF2"/>
    <w:rsid w:val="005702C7"/>
    <w:rsid w:val="00570637"/>
    <w:rsid w:val="005709D0"/>
    <w:rsid w:val="005709E3"/>
    <w:rsid w:val="00570A22"/>
    <w:rsid w:val="00570A53"/>
    <w:rsid w:val="00570BCE"/>
    <w:rsid w:val="00570CD5"/>
    <w:rsid w:val="00570D1A"/>
    <w:rsid w:val="00571451"/>
    <w:rsid w:val="0057156D"/>
    <w:rsid w:val="00571CC0"/>
    <w:rsid w:val="00571D24"/>
    <w:rsid w:val="00571D87"/>
    <w:rsid w:val="0057210C"/>
    <w:rsid w:val="0057238E"/>
    <w:rsid w:val="00572674"/>
    <w:rsid w:val="00572FFB"/>
    <w:rsid w:val="00573035"/>
    <w:rsid w:val="0057376F"/>
    <w:rsid w:val="0057378E"/>
    <w:rsid w:val="00573845"/>
    <w:rsid w:val="00573CBC"/>
    <w:rsid w:val="00573EB4"/>
    <w:rsid w:val="00573EF8"/>
    <w:rsid w:val="00574285"/>
    <w:rsid w:val="005742A4"/>
    <w:rsid w:val="00574327"/>
    <w:rsid w:val="0057453C"/>
    <w:rsid w:val="005746CC"/>
    <w:rsid w:val="0057542C"/>
    <w:rsid w:val="0057592D"/>
    <w:rsid w:val="00575B12"/>
    <w:rsid w:val="00575FA7"/>
    <w:rsid w:val="005768FB"/>
    <w:rsid w:val="005772E1"/>
    <w:rsid w:val="005777F1"/>
    <w:rsid w:val="00577882"/>
    <w:rsid w:val="00577D0B"/>
    <w:rsid w:val="00577D86"/>
    <w:rsid w:val="00577F12"/>
    <w:rsid w:val="00577F37"/>
    <w:rsid w:val="0058018E"/>
    <w:rsid w:val="005808DF"/>
    <w:rsid w:val="005809DA"/>
    <w:rsid w:val="00580A66"/>
    <w:rsid w:val="0058167F"/>
    <w:rsid w:val="00581A9E"/>
    <w:rsid w:val="00581D25"/>
    <w:rsid w:val="00582293"/>
    <w:rsid w:val="00582663"/>
    <w:rsid w:val="00582A9C"/>
    <w:rsid w:val="00582B8E"/>
    <w:rsid w:val="00582D01"/>
    <w:rsid w:val="00582F55"/>
    <w:rsid w:val="0058347D"/>
    <w:rsid w:val="00583599"/>
    <w:rsid w:val="005835AF"/>
    <w:rsid w:val="00583786"/>
    <w:rsid w:val="00583814"/>
    <w:rsid w:val="0058413E"/>
    <w:rsid w:val="005841D7"/>
    <w:rsid w:val="005841F5"/>
    <w:rsid w:val="00584388"/>
    <w:rsid w:val="0058467B"/>
    <w:rsid w:val="00584814"/>
    <w:rsid w:val="00584F07"/>
    <w:rsid w:val="00585045"/>
    <w:rsid w:val="00585903"/>
    <w:rsid w:val="00585973"/>
    <w:rsid w:val="005859B6"/>
    <w:rsid w:val="005860CF"/>
    <w:rsid w:val="0058632D"/>
    <w:rsid w:val="00586642"/>
    <w:rsid w:val="00586972"/>
    <w:rsid w:val="0058699B"/>
    <w:rsid w:val="00586EF2"/>
    <w:rsid w:val="005872CD"/>
    <w:rsid w:val="005876F8"/>
    <w:rsid w:val="0058775B"/>
    <w:rsid w:val="00587CAB"/>
    <w:rsid w:val="00587CE2"/>
    <w:rsid w:val="00590183"/>
    <w:rsid w:val="005905F0"/>
    <w:rsid w:val="005909E3"/>
    <w:rsid w:val="00590A33"/>
    <w:rsid w:val="0059117F"/>
    <w:rsid w:val="00591366"/>
    <w:rsid w:val="00591587"/>
    <w:rsid w:val="00591967"/>
    <w:rsid w:val="00591E78"/>
    <w:rsid w:val="0059200B"/>
    <w:rsid w:val="005920D0"/>
    <w:rsid w:val="00592309"/>
    <w:rsid w:val="00592525"/>
    <w:rsid w:val="005927D7"/>
    <w:rsid w:val="00592D6D"/>
    <w:rsid w:val="00593589"/>
    <w:rsid w:val="0059379F"/>
    <w:rsid w:val="00593A86"/>
    <w:rsid w:val="00593C39"/>
    <w:rsid w:val="00593DB5"/>
    <w:rsid w:val="00593EEE"/>
    <w:rsid w:val="005942E7"/>
    <w:rsid w:val="0059477B"/>
    <w:rsid w:val="00594D7D"/>
    <w:rsid w:val="005955AE"/>
    <w:rsid w:val="00595759"/>
    <w:rsid w:val="00595CFC"/>
    <w:rsid w:val="00595F34"/>
    <w:rsid w:val="0059611E"/>
    <w:rsid w:val="005963F6"/>
    <w:rsid w:val="005964F9"/>
    <w:rsid w:val="005968AF"/>
    <w:rsid w:val="0059698B"/>
    <w:rsid w:val="00596C48"/>
    <w:rsid w:val="00596D03"/>
    <w:rsid w:val="00596ED8"/>
    <w:rsid w:val="0059705F"/>
    <w:rsid w:val="005972D8"/>
    <w:rsid w:val="00597674"/>
    <w:rsid w:val="00597766"/>
    <w:rsid w:val="00597820"/>
    <w:rsid w:val="00597B28"/>
    <w:rsid w:val="00597DCA"/>
    <w:rsid w:val="00597FEC"/>
    <w:rsid w:val="005A0710"/>
    <w:rsid w:val="005A07E9"/>
    <w:rsid w:val="005A0916"/>
    <w:rsid w:val="005A0A70"/>
    <w:rsid w:val="005A0F91"/>
    <w:rsid w:val="005A10FD"/>
    <w:rsid w:val="005A140B"/>
    <w:rsid w:val="005A1597"/>
    <w:rsid w:val="005A20AA"/>
    <w:rsid w:val="005A21E0"/>
    <w:rsid w:val="005A21E9"/>
    <w:rsid w:val="005A225E"/>
    <w:rsid w:val="005A23FC"/>
    <w:rsid w:val="005A2414"/>
    <w:rsid w:val="005A27CB"/>
    <w:rsid w:val="005A2873"/>
    <w:rsid w:val="005A2C58"/>
    <w:rsid w:val="005A2ECC"/>
    <w:rsid w:val="005A3220"/>
    <w:rsid w:val="005A33BD"/>
    <w:rsid w:val="005A3502"/>
    <w:rsid w:val="005A36F6"/>
    <w:rsid w:val="005A3912"/>
    <w:rsid w:val="005A3D5C"/>
    <w:rsid w:val="005A4148"/>
    <w:rsid w:val="005A45F4"/>
    <w:rsid w:val="005A4717"/>
    <w:rsid w:val="005A4F62"/>
    <w:rsid w:val="005A5256"/>
    <w:rsid w:val="005A52F3"/>
    <w:rsid w:val="005A5A12"/>
    <w:rsid w:val="005A5C75"/>
    <w:rsid w:val="005A5FBC"/>
    <w:rsid w:val="005A5FC5"/>
    <w:rsid w:val="005A634A"/>
    <w:rsid w:val="005A6569"/>
    <w:rsid w:val="005A6761"/>
    <w:rsid w:val="005A67BF"/>
    <w:rsid w:val="005A6B37"/>
    <w:rsid w:val="005A6B59"/>
    <w:rsid w:val="005A6BA0"/>
    <w:rsid w:val="005A6DFF"/>
    <w:rsid w:val="005A6F49"/>
    <w:rsid w:val="005A6FC0"/>
    <w:rsid w:val="005A7392"/>
    <w:rsid w:val="005A74B4"/>
    <w:rsid w:val="005A768D"/>
    <w:rsid w:val="005A7782"/>
    <w:rsid w:val="005A787C"/>
    <w:rsid w:val="005A7A32"/>
    <w:rsid w:val="005B08C1"/>
    <w:rsid w:val="005B0E35"/>
    <w:rsid w:val="005B0FF7"/>
    <w:rsid w:val="005B1713"/>
    <w:rsid w:val="005B1ADF"/>
    <w:rsid w:val="005B1BEF"/>
    <w:rsid w:val="005B1EA4"/>
    <w:rsid w:val="005B20B4"/>
    <w:rsid w:val="005B20D7"/>
    <w:rsid w:val="005B2178"/>
    <w:rsid w:val="005B22F1"/>
    <w:rsid w:val="005B27F4"/>
    <w:rsid w:val="005B2EAC"/>
    <w:rsid w:val="005B3087"/>
    <w:rsid w:val="005B322F"/>
    <w:rsid w:val="005B3397"/>
    <w:rsid w:val="005B34F4"/>
    <w:rsid w:val="005B35D7"/>
    <w:rsid w:val="005B3C8B"/>
    <w:rsid w:val="005B3DFD"/>
    <w:rsid w:val="005B4144"/>
    <w:rsid w:val="005B4623"/>
    <w:rsid w:val="005B48D7"/>
    <w:rsid w:val="005B4AF9"/>
    <w:rsid w:val="005B4D7C"/>
    <w:rsid w:val="005B50CE"/>
    <w:rsid w:val="005B6434"/>
    <w:rsid w:val="005B68BE"/>
    <w:rsid w:val="005B76CD"/>
    <w:rsid w:val="005B790C"/>
    <w:rsid w:val="005B79E5"/>
    <w:rsid w:val="005B7BB5"/>
    <w:rsid w:val="005B7DB3"/>
    <w:rsid w:val="005B7E32"/>
    <w:rsid w:val="005B7E74"/>
    <w:rsid w:val="005B7FEB"/>
    <w:rsid w:val="005C0374"/>
    <w:rsid w:val="005C06C6"/>
    <w:rsid w:val="005C0AA8"/>
    <w:rsid w:val="005C1092"/>
    <w:rsid w:val="005C1106"/>
    <w:rsid w:val="005C17BD"/>
    <w:rsid w:val="005C1813"/>
    <w:rsid w:val="005C19C4"/>
    <w:rsid w:val="005C2493"/>
    <w:rsid w:val="005C2B0C"/>
    <w:rsid w:val="005C2F87"/>
    <w:rsid w:val="005C33BD"/>
    <w:rsid w:val="005C3817"/>
    <w:rsid w:val="005C386F"/>
    <w:rsid w:val="005C3D03"/>
    <w:rsid w:val="005C3F87"/>
    <w:rsid w:val="005C4432"/>
    <w:rsid w:val="005C46AE"/>
    <w:rsid w:val="005C48BA"/>
    <w:rsid w:val="005C4929"/>
    <w:rsid w:val="005C4AEA"/>
    <w:rsid w:val="005C4BD1"/>
    <w:rsid w:val="005C5315"/>
    <w:rsid w:val="005C5584"/>
    <w:rsid w:val="005C55A7"/>
    <w:rsid w:val="005C576A"/>
    <w:rsid w:val="005C5795"/>
    <w:rsid w:val="005C57AD"/>
    <w:rsid w:val="005C57FE"/>
    <w:rsid w:val="005C5B4F"/>
    <w:rsid w:val="005C64DC"/>
    <w:rsid w:val="005C65B6"/>
    <w:rsid w:val="005C68DE"/>
    <w:rsid w:val="005C6A56"/>
    <w:rsid w:val="005C6C98"/>
    <w:rsid w:val="005C6D2A"/>
    <w:rsid w:val="005C703E"/>
    <w:rsid w:val="005C763A"/>
    <w:rsid w:val="005C76A2"/>
    <w:rsid w:val="005C7917"/>
    <w:rsid w:val="005C7FC2"/>
    <w:rsid w:val="005D04C5"/>
    <w:rsid w:val="005D09F0"/>
    <w:rsid w:val="005D0B0B"/>
    <w:rsid w:val="005D0B88"/>
    <w:rsid w:val="005D1470"/>
    <w:rsid w:val="005D14D3"/>
    <w:rsid w:val="005D1713"/>
    <w:rsid w:val="005D183C"/>
    <w:rsid w:val="005D198E"/>
    <w:rsid w:val="005D19F5"/>
    <w:rsid w:val="005D1A79"/>
    <w:rsid w:val="005D20B7"/>
    <w:rsid w:val="005D27B7"/>
    <w:rsid w:val="005D280F"/>
    <w:rsid w:val="005D2C97"/>
    <w:rsid w:val="005D2E8E"/>
    <w:rsid w:val="005D31A0"/>
    <w:rsid w:val="005D324D"/>
    <w:rsid w:val="005D37FE"/>
    <w:rsid w:val="005D38B1"/>
    <w:rsid w:val="005D3B72"/>
    <w:rsid w:val="005D3E02"/>
    <w:rsid w:val="005D3ED8"/>
    <w:rsid w:val="005D4188"/>
    <w:rsid w:val="005D4927"/>
    <w:rsid w:val="005D4B8A"/>
    <w:rsid w:val="005D4D35"/>
    <w:rsid w:val="005D4D46"/>
    <w:rsid w:val="005D53C8"/>
    <w:rsid w:val="005D58C7"/>
    <w:rsid w:val="005D5EC0"/>
    <w:rsid w:val="005D6016"/>
    <w:rsid w:val="005D6106"/>
    <w:rsid w:val="005D6256"/>
    <w:rsid w:val="005D666E"/>
    <w:rsid w:val="005D68B2"/>
    <w:rsid w:val="005D6E42"/>
    <w:rsid w:val="005D7081"/>
    <w:rsid w:val="005D7416"/>
    <w:rsid w:val="005D755A"/>
    <w:rsid w:val="005D7914"/>
    <w:rsid w:val="005D7B7D"/>
    <w:rsid w:val="005D7FBC"/>
    <w:rsid w:val="005E0176"/>
    <w:rsid w:val="005E054C"/>
    <w:rsid w:val="005E07F2"/>
    <w:rsid w:val="005E09BB"/>
    <w:rsid w:val="005E1020"/>
    <w:rsid w:val="005E11E6"/>
    <w:rsid w:val="005E16EF"/>
    <w:rsid w:val="005E1991"/>
    <w:rsid w:val="005E2455"/>
    <w:rsid w:val="005E24E9"/>
    <w:rsid w:val="005E280C"/>
    <w:rsid w:val="005E2995"/>
    <w:rsid w:val="005E3142"/>
    <w:rsid w:val="005E3519"/>
    <w:rsid w:val="005E35CA"/>
    <w:rsid w:val="005E3664"/>
    <w:rsid w:val="005E390A"/>
    <w:rsid w:val="005E3CCD"/>
    <w:rsid w:val="005E3E65"/>
    <w:rsid w:val="005E400B"/>
    <w:rsid w:val="005E4277"/>
    <w:rsid w:val="005E459C"/>
    <w:rsid w:val="005E46D7"/>
    <w:rsid w:val="005E474F"/>
    <w:rsid w:val="005E4F4E"/>
    <w:rsid w:val="005E4F8C"/>
    <w:rsid w:val="005E501D"/>
    <w:rsid w:val="005E5277"/>
    <w:rsid w:val="005E5733"/>
    <w:rsid w:val="005E6377"/>
    <w:rsid w:val="005E65AE"/>
    <w:rsid w:val="005E6666"/>
    <w:rsid w:val="005E66E2"/>
    <w:rsid w:val="005E68A5"/>
    <w:rsid w:val="005E6A2A"/>
    <w:rsid w:val="005E6AFC"/>
    <w:rsid w:val="005E6CC6"/>
    <w:rsid w:val="005E6DDE"/>
    <w:rsid w:val="005E6E62"/>
    <w:rsid w:val="005E7A43"/>
    <w:rsid w:val="005E7CEE"/>
    <w:rsid w:val="005F0063"/>
    <w:rsid w:val="005F0342"/>
    <w:rsid w:val="005F04B0"/>
    <w:rsid w:val="005F0565"/>
    <w:rsid w:val="005F07C2"/>
    <w:rsid w:val="005F0BF2"/>
    <w:rsid w:val="005F0D52"/>
    <w:rsid w:val="005F104F"/>
    <w:rsid w:val="005F1167"/>
    <w:rsid w:val="005F122D"/>
    <w:rsid w:val="005F130F"/>
    <w:rsid w:val="005F1380"/>
    <w:rsid w:val="005F142E"/>
    <w:rsid w:val="005F1635"/>
    <w:rsid w:val="005F168D"/>
    <w:rsid w:val="005F1727"/>
    <w:rsid w:val="005F1A92"/>
    <w:rsid w:val="005F1C42"/>
    <w:rsid w:val="005F1F24"/>
    <w:rsid w:val="005F2010"/>
    <w:rsid w:val="005F25F0"/>
    <w:rsid w:val="005F264D"/>
    <w:rsid w:val="005F2685"/>
    <w:rsid w:val="005F2E2C"/>
    <w:rsid w:val="005F31CF"/>
    <w:rsid w:val="005F320D"/>
    <w:rsid w:val="005F3274"/>
    <w:rsid w:val="005F34C1"/>
    <w:rsid w:val="005F34C3"/>
    <w:rsid w:val="005F3792"/>
    <w:rsid w:val="005F3C77"/>
    <w:rsid w:val="005F3D97"/>
    <w:rsid w:val="005F4018"/>
    <w:rsid w:val="005F4066"/>
    <w:rsid w:val="005F4406"/>
    <w:rsid w:val="005F44F3"/>
    <w:rsid w:val="005F4856"/>
    <w:rsid w:val="005F4B49"/>
    <w:rsid w:val="005F4FD5"/>
    <w:rsid w:val="005F5003"/>
    <w:rsid w:val="005F504B"/>
    <w:rsid w:val="005F68C5"/>
    <w:rsid w:val="005F6DAA"/>
    <w:rsid w:val="005F6DAC"/>
    <w:rsid w:val="005F722A"/>
    <w:rsid w:val="005F74EC"/>
    <w:rsid w:val="005F764B"/>
    <w:rsid w:val="005F7B1F"/>
    <w:rsid w:val="0060007C"/>
    <w:rsid w:val="00600332"/>
    <w:rsid w:val="0060036A"/>
    <w:rsid w:val="006009EE"/>
    <w:rsid w:val="00600A38"/>
    <w:rsid w:val="00600BF5"/>
    <w:rsid w:val="00600F29"/>
    <w:rsid w:val="00601BF0"/>
    <w:rsid w:val="0060221F"/>
    <w:rsid w:val="0060225C"/>
    <w:rsid w:val="00602344"/>
    <w:rsid w:val="006026A9"/>
    <w:rsid w:val="00602D09"/>
    <w:rsid w:val="00602DA3"/>
    <w:rsid w:val="00602F24"/>
    <w:rsid w:val="006033FF"/>
    <w:rsid w:val="00603ECE"/>
    <w:rsid w:val="00604371"/>
    <w:rsid w:val="0060446C"/>
    <w:rsid w:val="006045A2"/>
    <w:rsid w:val="00604B48"/>
    <w:rsid w:val="00604F87"/>
    <w:rsid w:val="006052B7"/>
    <w:rsid w:val="006054DA"/>
    <w:rsid w:val="006057A4"/>
    <w:rsid w:val="006059B3"/>
    <w:rsid w:val="00605C90"/>
    <w:rsid w:val="006060BB"/>
    <w:rsid w:val="0060619D"/>
    <w:rsid w:val="00606226"/>
    <w:rsid w:val="006069E3"/>
    <w:rsid w:val="00606C6E"/>
    <w:rsid w:val="0060784E"/>
    <w:rsid w:val="00607882"/>
    <w:rsid w:val="00607B1F"/>
    <w:rsid w:val="00607F55"/>
    <w:rsid w:val="006104BA"/>
    <w:rsid w:val="00610563"/>
    <w:rsid w:val="00610D45"/>
    <w:rsid w:val="006110D7"/>
    <w:rsid w:val="0061162F"/>
    <w:rsid w:val="00611F6F"/>
    <w:rsid w:val="00612535"/>
    <w:rsid w:val="006127BC"/>
    <w:rsid w:val="00612993"/>
    <w:rsid w:val="00612B4C"/>
    <w:rsid w:val="00612CB2"/>
    <w:rsid w:val="00612D28"/>
    <w:rsid w:val="0061309E"/>
    <w:rsid w:val="006130CA"/>
    <w:rsid w:val="006131B2"/>
    <w:rsid w:val="00613988"/>
    <w:rsid w:val="006139A9"/>
    <w:rsid w:val="00613BBC"/>
    <w:rsid w:val="00613C3E"/>
    <w:rsid w:val="00613C8F"/>
    <w:rsid w:val="00613EF2"/>
    <w:rsid w:val="006141F9"/>
    <w:rsid w:val="006142C5"/>
    <w:rsid w:val="0061468D"/>
    <w:rsid w:val="00614748"/>
    <w:rsid w:val="00614B9D"/>
    <w:rsid w:val="006152C6"/>
    <w:rsid w:val="006156C6"/>
    <w:rsid w:val="00615C1E"/>
    <w:rsid w:val="00615C22"/>
    <w:rsid w:val="00615DEC"/>
    <w:rsid w:val="00615DF2"/>
    <w:rsid w:val="00615FF5"/>
    <w:rsid w:val="00616690"/>
    <w:rsid w:val="006166F8"/>
    <w:rsid w:val="00616B0C"/>
    <w:rsid w:val="00617024"/>
    <w:rsid w:val="006173E1"/>
    <w:rsid w:val="00617405"/>
    <w:rsid w:val="00617569"/>
    <w:rsid w:val="00617585"/>
    <w:rsid w:val="00617884"/>
    <w:rsid w:val="0061797E"/>
    <w:rsid w:val="00617B79"/>
    <w:rsid w:val="00620249"/>
    <w:rsid w:val="00620552"/>
    <w:rsid w:val="00620832"/>
    <w:rsid w:val="00620DA9"/>
    <w:rsid w:val="0062113D"/>
    <w:rsid w:val="006217D9"/>
    <w:rsid w:val="00621A7A"/>
    <w:rsid w:val="00621AC9"/>
    <w:rsid w:val="00621AEB"/>
    <w:rsid w:val="00621F59"/>
    <w:rsid w:val="00622020"/>
    <w:rsid w:val="00622528"/>
    <w:rsid w:val="006228E4"/>
    <w:rsid w:val="006229F6"/>
    <w:rsid w:val="00622A6E"/>
    <w:rsid w:val="00622C26"/>
    <w:rsid w:val="00622D2F"/>
    <w:rsid w:val="006232CD"/>
    <w:rsid w:val="00623338"/>
    <w:rsid w:val="00623EB4"/>
    <w:rsid w:val="0062400F"/>
    <w:rsid w:val="0062411F"/>
    <w:rsid w:val="0062455E"/>
    <w:rsid w:val="006247A4"/>
    <w:rsid w:val="006247CE"/>
    <w:rsid w:val="00624AE7"/>
    <w:rsid w:val="00624C88"/>
    <w:rsid w:val="00624E44"/>
    <w:rsid w:val="00624F8C"/>
    <w:rsid w:val="00625285"/>
    <w:rsid w:val="00625AB7"/>
    <w:rsid w:val="00625AD5"/>
    <w:rsid w:val="00625B17"/>
    <w:rsid w:val="00626243"/>
    <w:rsid w:val="00626393"/>
    <w:rsid w:val="006263BB"/>
    <w:rsid w:val="00626871"/>
    <w:rsid w:val="006268A1"/>
    <w:rsid w:val="00626B2E"/>
    <w:rsid w:val="00627232"/>
    <w:rsid w:val="00627259"/>
    <w:rsid w:val="00627317"/>
    <w:rsid w:val="00627324"/>
    <w:rsid w:val="00627AE2"/>
    <w:rsid w:val="00627CA5"/>
    <w:rsid w:val="00627DDE"/>
    <w:rsid w:val="00627E2B"/>
    <w:rsid w:val="00630042"/>
    <w:rsid w:val="00630108"/>
    <w:rsid w:val="00630199"/>
    <w:rsid w:val="006302F1"/>
    <w:rsid w:val="0063049C"/>
    <w:rsid w:val="00630873"/>
    <w:rsid w:val="00631144"/>
    <w:rsid w:val="00631199"/>
    <w:rsid w:val="006311C1"/>
    <w:rsid w:val="00631A5F"/>
    <w:rsid w:val="00631A80"/>
    <w:rsid w:val="00631C23"/>
    <w:rsid w:val="00631D66"/>
    <w:rsid w:val="00631E0A"/>
    <w:rsid w:val="00631F5A"/>
    <w:rsid w:val="00632145"/>
    <w:rsid w:val="0063218C"/>
    <w:rsid w:val="0063240C"/>
    <w:rsid w:val="006326F9"/>
    <w:rsid w:val="006328ED"/>
    <w:rsid w:val="00632BCD"/>
    <w:rsid w:val="00632BE3"/>
    <w:rsid w:val="00632F4B"/>
    <w:rsid w:val="00633012"/>
    <w:rsid w:val="00633553"/>
    <w:rsid w:val="0063363C"/>
    <w:rsid w:val="006336EB"/>
    <w:rsid w:val="00633978"/>
    <w:rsid w:val="00633F47"/>
    <w:rsid w:val="00633FA4"/>
    <w:rsid w:val="006342A8"/>
    <w:rsid w:val="006345B4"/>
    <w:rsid w:val="006345BE"/>
    <w:rsid w:val="0063487A"/>
    <w:rsid w:val="00634A1E"/>
    <w:rsid w:val="00634CCD"/>
    <w:rsid w:val="0063525A"/>
    <w:rsid w:val="00635610"/>
    <w:rsid w:val="006357B9"/>
    <w:rsid w:val="0063585D"/>
    <w:rsid w:val="00635C17"/>
    <w:rsid w:val="006361B8"/>
    <w:rsid w:val="00636443"/>
    <w:rsid w:val="0063662E"/>
    <w:rsid w:val="006366C5"/>
    <w:rsid w:val="00636A76"/>
    <w:rsid w:val="00636B30"/>
    <w:rsid w:val="00636C4F"/>
    <w:rsid w:val="00636CCC"/>
    <w:rsid w:val="00637289"/>
    <w:rsid w:val="00637464"/>
    <w:rsid w:val="0063763E"/>
    <w:rsid w:val="00637F56"/>
    <w:rsid w:val="00640473"/>
    <w:rsid w:val="006406D8"/>
    <w:rsid w:val="006407E7"/>
    <w:rsid w:val="00640806"/>
    <w:rsid w:val="00640856"/>
    <w:rsid w:val="006408C0"/>
    <w:rsid w:val="00640932"/>
    <w:rsid w:val="00640D25"/>
    <w:rsid w:val="00640E79"/>
    <w:rsid w:val="00640F30"/>
    <w:rsid w:val="006412B2"/>
    <w:rsid w:val="00641426"/>
    <w:rsid w:val="00641896"/>
    <w:rsid w:val="00641B70"/>
    <w:rsid w:val="00641C07"/>
    <w:rsid w:val="00641D6E"/>
    <w:rsid w:val="00641FD9"/>
    <w:rsid w:val="0064245F"/>
    <w:rsid w:val="00642BBE"/>
    <w:rsid w:val="00642D40"/>
    <w:rsid w:val="00642EC9"/>
    <w:rsid w:val="00642F2C"/>
    <w:rsid w:val="0064330D"/>
    <w:rsid w:val="00643BC3"/>
    <w:rsid w:val="00643C07"/>
    <w:rsid w:val="00643C5B"/>
    <w:rsid w:val="00643DE8"/>
    <w:rsid w:val="00643FB8"/>
    <w:rsid w:val="00644026"/>
    <w:rsid w:val="006444B2"/>
    <w:rsid w:val="006444CE"/>
    <w:rsid w:val="00644BC3"/>
    <w:rsid w:val="00644CC7"/>
    <w:rsid w:val="00644F42"/>
    <w:rsid w:val="0064531E"/>
    <w:rsid w:val="00645569"/>
    <w:rsid w:val="006456E5"/>
    <w:rsid w:val="00645C61"/>
    <w:rsid w:val="00645D95"/>
    <w:rsid w:val="0064698B"/>
    <w:rsid w:val="00647542"/>
    <w:rsid w:val="0064754D"/>
    <w:rsid w:val="006475D3"/>
    <w:rsid w:val="006475DF"/>
    <w:rsid w:val="006479AA"/>
    <w:rsid w:val="006479BD"/>
    <w:rsid w:val="00647B0D"/>
    <w:rsid w:val="00647D6A"/>
    <w:rsid w:val="00650F34"/>
    <w:rsid w:val="00651243"/>
    <w:rsid w:val="006514A4"/>
    <w:rsid w:val="006514B0"/>
    <w:rsid w:val="006514EE"/>
    <w:rsid w:val="00651790"/>
    <w:rsid w:val="006518B9"/>
    <w:rsid w:val="006519CE"/>
    <w:rsid w:val="00651DBA"/>
    <w:rsid w:val="00651E17"/>
    <w:rsid w:val="006522EE"/>
    <w:rsid w:val="00652613"/>
    <w:rsid w:val="00653141"/>
    <w:rsid w:val="0065323D"/>
    <w:rsid w:val="00653385"/>
    <w:rsid w:val="00653648"/>
    <w:rsid w:val="00653C95"/>
    <w:rsid w:val="00653E12"/>
    <w:rsid w:val="006540ED"/>
    <w:rsid w:val="00654205"/>
    <w:rsid w:val="00654212"/>
    <w:rsid w:val="0065427D"/>
    <w:rsid w:val="0065439E"/>
    <w:rsid w:val="006549F5"/>
    <w:rsid w:val="00654AE8"/>
    <w:rsid w:val="00654CE2"/>
    <w:rsid w:val="00654E3C"/>
    <w:rsid w:val="00654F6D"/>
    <w:rsid w:val="006550C5"/>
    <w:rsid w:val="006553D7"/>
    <w:rsid w:val="0065543B"/>
    <w:rsid w:val="00655545"/>
    <w:rsid w:val="00655FEF"/>
    <w:rsid w:val="00656133"/>
    <w:rsid w:val="006561B8"/>
    <w:rsid w:val="00656237"/>
    <w:rsid w:val="006562B6"/>
    <w:rsid w:val="00657205"/>
    <w:rsid w:val="006575A4"/>
    <w:rsid w:val="0065765D"/>
    <w:rsid w:val="00657683"/>
    <w:rsid w:val="006579BD"/>
    <w:rsid w:val="00657C51"/>
    <w:rsid w:val="00657D10"/>
    <w:rsid w:val="00657D88"/>
    <w:rsid w:val="00657E0A"/>
    <w:rsid w:val="00657EB8"/>
    <w:rsid w:val="00660171"/>
    <w:rsid w:val="00660CF0"/>
    <w:rsid w:val="00660DB1"/>
    <w:rsid w:val="00660ED2"/>
    <w:rsid w:val="00661098"/>
    <w:rsid w:val="0066122F"/>
    <w:rsid w:val="006615A0"/>
    <w:rsid w:val="006615B5"/>
    <w:rsid w:val="006619B5"/>
    <w:rsid w:val="00661A3A"/>
    <w:rsid w:val="00661E24"/>
    <w:rsid w:val="00661EEF"/>
    <w:rsid w:val="00662161"/>
    <w:rsid w:val="00662412"/>
    <w:rsid w:val="00662637"/>
    <w:rsid w:val="00662731"/>
    <w:rsid w:val="00662957"/>
    <w:rsid w:val="00662B45"/>
    <w:rsid w:val="00662DAE"/>
    <w:rsid w:val="00662FA7"/>
    <w:rsid w:val="006636FB"/>
    <w:rsid w:val="00663727"/>
    <w:rsid w:val="006640CF"/>
    <w:rsid w:val="00664180"/>
    <w:rsid w:val="00664386"/>
    <w:rsid w:val="00664419"/>
    <w:rsid w:val="00664592"/>
    <w:rsid w:val="00664877"/>
    <w:rsid w:val="006649BC"/>
    <w:rsid w:val="00664B42"/>
    <w:rsid w:val="006651BC"/>
    <w:rsid w:val="00665257"/>
    <w:rsid w:val="0066529B"/>
    <w:rsid w:val="00665319"/>
    <w:rsid w:val="00665396"/>
    <w:rsid w:val="006653AC"/>
    <w:rsid w:val="00665872"/>
    <w:rsid w:val="00665BBA"/>
    <w:rsid w:val="00665BC8"/>
    <w:rsid w:val="00665CED"/>
    <w:rsid w:val="0066660B"/>
    <w:rsid w:val="00666854"/>
    <w:rsid w:val="00666B85"/>
    <w:rsid w:val="00666BE7"/>
    <w:rsid w:val="00666FF1"/>
    <w:rsid w:val="00667070"/>
    <w:rsid w:val="006674CC"/>
    <w:rsid w:val="00667651"/>
    <w:rsid w:val="006676D7"/>
    <w:rsid w:val="00667773"/>
    <w:rsid w:val="006677CD"/>
    <w:rsid w:val="00667814"/>
    <w:rsid w:val="00667A32"/>
    <w:rsid w:val="00667F7F"/>
    <w:rsid w:val="00667F99"/>
    <w:rsid w:val="0067037B"/>
    <w:rsid w:val="0067062C"/>
    <w:rsid w:val="00671372"/>
    <w:rsid w:val="006715CC"/>
    <w:rsid w:val="006718A8"/>
    <w:rsid w:val="00671900"/>
    <w:rsid w:val="00671BD1"/>
    <w:rsid w:val="00671C9C"/>
    <w:rsid w:val="006723C1"/>
    <w:rsid w:val="006723E8"/>
    <w:rsid w:val="00672499"/>
    <w:rsid w:val="006726BC"/>
    <w:rsid w:val="00672715"/>
    <w:rsid w:val="00672942"/>
    <w:rsid w:val="006729C8"/>
    <w:rsid w:val="006732D2"/>
    <w:rsid w:val="00673365"/>
    <w:rsid w:val="00673837"/>
    <w:rsid w:val="006739B4"/>
    <w:rsid w:val="006739FD"/>
    <w:rsid w:val="0067412B"/>
    <w:rsid w:val="006741AF"/>
    <w:rsid w:val="006746E4"/>
    <w:rsid w:val="0067485B"/>
    <w:rsid w:val="006748E7"/>
    <w:rsid w:val="00674F25"/>
    <w:rsid w:val="006750AE"/>
    <w:rsid w:val="00675252"/>
    <w:rsid w:val="006756C1"/>
    <w:rsid w:val="00675AAB"/>
    <w:rsid w:val="00675AF1"/>
    <w:rsid w:val="006761C3"/>
    <w:rsid w:val="0067685A"/>
    <w:rsid w:val="00676C48"/>
    <w:rsid w:val="006775CA"/>
    <w:rsid w:val="006777A9"/>
    <w:rsid w:val="0067780B"/>
    <w:rsid w:val="00677C06"/>
    <w:rsid w:val="00677F4A"/>
    <w:rsid w:val="006803A2"/>
    <w:rsid w:val="0068090C"/>
    <w:rsid w:val="00680986"/>
    <w:rsid w:val="00680A4B"/>
    <w:rsid w:val="00680B4B"/>
    <w:rsid w:val="006811A4"/>
    <w:rsid w:val="006811E4"/>
    <w:rsid w:val="0068120C"/>
    <w:rsid w:val="00681503"/>
    <w:rsid w:val="0068175E"/>
    <w:rsid w:val="00681FC9"/>
    <w:rsid w:val="006827A7"/>
    <w:rsid w:val="0068290A"/>
    <w:rsid w:val="00682F31"/>
    <w:rsid w:val="00683327"/>
    <w:rsid w:val="006833A5"/>
    <w:rsid w:val="00683523"/>
    <w:rsid w:val="006836BC"/>
    <w:rsid w:val="00683E10"/>
    <w:rsid w:val="00683F2C"/>
    <w:rsid w:val="0068419D"/>
    <w:rsid w:val="006843A5"/>
    <w:rsid w:val="0068495A"/>
    <w:rsid w:val="00684A8C"/>
    <w:rsid w:val="00685036"/>
    <w:rsid w:val="006853EA"/>
    <w:rsid w:val="00685787"/>
    <w:rsid w:val="006858EF"/>
    <w:rsid w:val="00685B36"/>
    <w:rsid w:val="00686195"/>
    <w:rsid w:val="00686524"/>
    <w:rsid w:val="0068663C"/>
    <w:rsid w:val="00686855"/>
    <w:rsid w:val="0068747D"/>
    <w:rsid w:val="00687543"/>
    <w:rsid w:val="00690109"/>
    <w:rsid w:val="00690116"/>
    <w:rsid w:val="00690132"/>
    <w:rsid w:val="006903DC"/>
    <w:rsid w:val="0069073F"/>
    <w:rsid w:val="006911EB"/>
    <w:rsid w:val="00691861"/>
    <w:rsid w:val="00691BB9"/>
    <w:rsid w:val="00691E9E"/>
    <w:rsid w:val="0069207B"/>
    <w:rsid w:val="0069256A"/>
    <w:rsid w:val="0069258C"/>
    <w:rsid w:val="006925C3"/>
    <w:rsid w:val="00692879"/>
    <w:rsid w:val="0069295D"/>
    <w:rsid w:val="006929C7"/>
    <w:rsid w:val="00692F5D"/>
    <w:rsid w:val="0069322F"/>
    <w:rsid w:val="00693234"/>
    <w:rsid w:val="00693302"/>
    <w:rsid w:val="006933ED"/>
    <w:rsid w:val="0069375E"/>
    <w:rsid w:val="0069393F"/>
    <w:rsid w:val="00693C77"/>
    <w:rsid w:val="00693DE6"/>
    <w:rsid w:val="00693EA0"/>
    <w:rsid w:val="006941D2"/>
    <w:rsid w:val="006942EA"/>
    <w:rsid w:val="006942F1"/>
    <w:rsid w:val="00694E33"/>
    <w:rsid w:val="00694EB0"/>
    <w:rsid w:val="00694F13"/>
    <w:rsid w:val="00695316"/>
    <w:rsid w:val="006953E5"/>
    <w:rsid w:val="00695892"/>
    <w:rsid w:val="006958E0"/>
    <w:rsid w:val="00695A17"/>
    <w:rsid w:val="00695C86"/>
    <w:rsid w:val="006961D0"/>
    <w:rsid w:val="0069660C"/>
    <w:rsid w:val="0069691F"/>
    <w:rsid w:val="00696C26"/>
    <w:rsid w:val="00696C50"/>
    <w:rsid w:val="00696DB3"/>
    <w:rsid w:val="006970B3"/>
    <w:rsid w:val="00697911"/>
    <w:rsid w:val="00697EBD"/>
    <w:rsid w:val="00697FC9"/>
    <w:rsid w:val="006A0366"/>
    <w:rsid w:val="006A076B"/>
    <w:rsid w:val="006A084E"/>
    <w:rsid w:val="006A08A8"/>
    <w:rsid w:val="006A08CF"/>
    <w:rsid w:val="006A0A28"/>
    <w:rsid w:val="006A0B48"/>
    <w:rsid w:val="006A0BDA"/>
    <w:rsid w:val="006A108B"/>
    <w:rsid w:val="006A10DA"/>
    <w:rsid w:val="006A1199"/>
    <w:rsid w:val="006A1530"/>
    <w:rsid w:val="006A165A"/>
    <w:rsid w:val="006A1724"/>
    <w:rsid w:val="006A17ED"/>
    <w:rsid w:val="006A1945"/>
    <w:rsid w:val="006A2092"/>
    <w:rsid w:val="006A276C"/>
    <w:rsid w:val="006A2942"/>
    <w:rsid w:val="006A301A"/>
    <w:rsid w:val="006A331C"/>
    <w:rsid w:val="006A371A"/>
    <w:rsid w:val="006A3963"/>
    <w:rsid w:val="006A3A11"/>
    <w:rsid w:val="006A3CE8"/>
    <w:rsid w:val="006A40C3"/>
    <w:rsid w:val="006A4656"/>
    <w:rsid w:val="006A470C"/>
    <w:rsid w:val="006A4908"/>
    <w:rsid w:val="006A4B39"/>
    <w:rsid w:val="006A5096"/>
    <w:rsid w:val="006A54B3"/>
    <w:rsid w:val="006A57A6"/>
    <w:rsid w:val="006A57F8"/>
    <w:rsid w:val="006A5A8C"/>
    <w:rsid w:val="006A5AB2"/>
    <w:rsid w:val="006A600D"/>
    <w:rsid w:val="006A6349"/>
    <w:rsid w:val="006A6882"/>
    <w:rsid w:val="006A69C3"/>
    <w:rsid w:val="006A6B9B"/>
    <w:rsid w:val="006A7303"/>
    <w:rsid w:val="006A7779"/>
    <w:rsid w:val="006A7A97"/>
    <w:rsid w:val="006A7BF8"/>
    <w:rsid w:val="006A7ED9"/>
    <w:rsid w:val="006A7EEB"/>
    <w:rsid w:val="006B0022"/>
    <w:rsid w:val="006B024F"/>
    <w:rsid w:val="006B0628"/>
    <w:rsid w:val="006B0836"/>
    <w:rsid w:val="006B0F6D"/>
    <w:rsid w:val="006B131F"/>
    <w:rsid w:val="006B168D"/>
    <w:rsid w:val="006B1893"/>
    <w:rsid w:val="006B1EF6"/>
    <w:rsid w:val="006B20F0"/>
    <w:rsid w:val="006B22A9"/>
    <w:rsid w:val="006B26EC"/>
    <w:rsid w:val="006B40AC"/>
    <w:rsid w:val="006B434D"/>
    <w:rsid w:val="006B44F0"/>
    <w:rsid w:val="006B4537"/>
    <w:rsid w:val="006B4556"/>
    <w:rsid w:val="006B4561"/>
    <w:rsid w:val="006B46C9"/>
    <w:rsid w:val="006B4818"/>
    <w:rsid w:val="006B4867"/>
    <w:rsid w:val="006B4A38"/>
    <w:rsid w:val="006B50BC"/>
    <w:rsid w:val="006B5126"/>
    <w:rsid w:val="006B542D"/>
    <w:rsid w:val="006B5648"/>
    <w:rsid w:val="006B58BA"/>
    <w:rsid w:val="006B5B10"/>
    <w:rsid w:val="006B63F0"/>
    <w:rsid w:val="006B69FC"/>
    <w:rsid w:val="006B6B0E"/>
    <w:rsid w:val="006B6C4E"/>
    <w:rsid w:val="006B70F6"/>
    <w:rsid w:val="006B7309"/>
    <w:rsid w:val="006B73F5"/>
    <w:rsid w:val="006B74B2"/>
    <w:rsid w:val="006B7949"/>
    <w:rsid w:val="006B7AAA"/>
    <w:rsid w:val="006B7BA4"/>
    <w:rsid w:val="006B7E5A"/>
    <w:rsid w:val="006C01A1"/>
    <w:rsid w:val="006C03C5"/>
    <w:rsid w:val="006C04D6"/>
    <w:rsid w:val="006C04E8"/>
    <w:rsid w:val="006C085E"/>
    <w:rsid w:val="006C08F9"/>
    <w:rsid w:val="006C0AEA"/>
    <w:rsid w:val="006C0D1B"/>
    <w:rsid w:val="006C1492"/>
    <w:rsid w:val="006C19FF"/>
    <w:rsid w:val="006C2631"/>
    <w:rsid w:val="006C2725"/>
    <w:rsid w:val="006C27F8"/>
    <w:rsid w:val="006C2934"/>
    <w:rsid w:val="006C29AB"/>
    <w:rsid w:val="006C2CAA"/>
    <w:rsid w:val="006C30D8"/>
    <w:rsid w:val="006C31CB"/>
    <w:rsid w:val="006C3B6C"/>
    <w:rsid w:val="006C3C22"/>
    <w:rsid w:val="006C46F6"/>
    <w:rsid w:val="006C5050"/>
    <w:rsid w:val="006C5569"/>
    <w:rsid w:val="006C5961"/>
    <w:rsid w:val="006C5A86"/>
    <w:rsid w:val="006C5D74"/>
    <w:rsid w:val="006C5EAA"/>
    <w:rsid w:val="006C6916"/>
    <w:rsid w:val="006C6A67"/>
    <w:rsid w:val="006C6C42"/>
    <w:rsid w:val="006C6DDF"/>
    <w:rsid w:val="006C6E0E"/>
    <w:rsid w:val="006C777F"/>
    <w:rsid w:val="006C7859"/>
    <w:rsid w:val="006C7D95"/>
    <w:rsid w:val="006D012C"/>
    <w:rsid w:val="006D01D8"/>
    <w:rsid w:val="006D027B"/>
    <w:rsid w:val="006D07F0"/>
    <w:rsid w:val="006D0AC1"/>
    <w:rsid w:val="006D0DBB"/>
    <w:rsid w:val="006D0DE1"/>
    <w:rsid w:val="006D0FE3"/>
    <w:rsid w:val="006D11CC"/>
    <w:rsid w:val="006D1416"/>
    <w:rsid w:val="006D18D5"/>
    <w:rsid w:val="006D1B7D"/>
    <w:rsid w:val="006D1EDE"/>
    <w:rsid w:val="006D23CA"/>
    <w:rsid w:val="006D2541"/>
    <w:rsid w:val="006D25D4"/>
    <w:rsid w:val="006D282E"/>
    <w:rsid w:val="006D2AA6"/>
    <w:rsid w:val="006D2AF0"/>
    <w:rsid w:val="006D2FD8"/>
    <w:rsid w:val="006D311A"/>
    <w:rsid w:val="006D3252"/>
    <w:rsid w:val="006D3449"/>
    <w:rsid w:val="006D35C5"/>
    <w:rsid w:val="006D3AB8"/>
    <w:rsid w:val="006D4078"/>
    <w:rsid w:val="006D40A4"/>
    <w:rsid w:val="006D4562"/>
    <w:rsid w:val="006D48AF"/>
    <w:rsid w:val="006D5182"/>
    <w:rsid w:val="006D548C"/>
    <w:rsid w:val="006D54F4"/>
    <w:rsid w:val="006D58C5"/>
    <w:rsid w:val="006D5DA1"/>
    <w:rsid w:val="006D672D"/>
    <w:rsid w:val="006D6845"/>
    <w:rsid w:val="006D6884"/>
    <w:rsid w:val="006D694B"/>
    <w:rsid w:val="006D69B9"/>
    <w:rsid w:val="006D7222"/>
    <w:rsid w:val="006D7390"/>
    <w:rsid w:val="006D74CA"/>
    <w:rsid w:val="006D76CB"/>
    <w:rsid w:val="006D7EA5"/>
    <w:rsid w:val="006E0347"/>
    <w:rsid w:val="006E03E1"/>
    <w:rsid w:val="006E04A5"/>
    <w:rsid w:val="006E05EA"/>
    <w:rsid w:val="006E0904"/>
    <w:rsid w:val="006E091A"/>
    <w:rsid w:val="006E0E3B"/>
    <w:rsid w:val="006E1092"/>
    <w:rsid w:val="006E1569"/>
    <w:rsid w:val="006E1D61"/>
    <w:rsid w:val="006E1F35"/>
    <w:rsid w:val="006E1F68"/>
    <w:rsid w:val="006E20B8"/>
    <w:rsid w:val="006E213C"/>
    <w:rsid w:val="006E2493"/>
    <w:rsid w:val="006E252E"/>
    <w:rsid w:val="006E2653"/>
    <w:rsid w:val="006E274A"/>
    <w:rsid w:val="006E3151"/>
    <w:rsid w:val="006E3244"/>
    <w:rsid w:val="006E3358"/>
    <w:rsid w:val="006E3E52"/>
    <w:rsid w:val="006E404F"/>
    <w:rsid w:val="006E4132"/>
    <w:rsid w:val="006E4459"/>
    <w:rsid w:val="006E480B"/>
    <w:rsid w:val="006E4886"/>
    <w:rsid w:val="006E4B97"/>
    <w:rsid w:val="006E529C"/>
    <w:rsid w:val="006E5D94"/>
    <w:rsid w:val="006E5F55"/>
    <w:rsid w:val="006E60BE"/>
    <w:rsid w:val="006E6217"/>
    <w:rsid w:val="006E62A3"/>
    <w:rsid w:val="006E6729"/>
    <w:rsid w:val="006E6819"/>
    <w:rsid w:val="006E6C88"/>
    <w:rsid w:val="006E6F08"/>
    <w:rsid w:val="006E6F59"/>
    <w:rsid w:val="006E74F2"/>
    <w:rsid w:val="006E7872"/>
    <w:rsid w:val="006E7B57"/>
    <w:rsid w:val="006E7CE4"/>
    <w:rsid w:val="006E7E92"/>
    <w:rsid w:val="006F0022"/>
    <w:rsid w:val="006F0548"/>
    <w:rsid w:val="006F056B"/>
    <w:rsid w:val="006F0838"/>
    <w:rsid w:val="006F0903"/>
    <w:rsid w:val="006F0986"/>
    <w:rsid w:val="006F1214"/>
    <w:rsid w:val="006F1553"/>
    <w:rsid w:val="006F1A6F"/>
    <w:rsid w:val="006F1AE7"/>
    <w:rsid w:val="006F1BA2"/>
    <w:rsid w:val="006F1C3D"/>
    <w:rsid w:val="006F215C"/>
    <w:rsid w:val="006F21FD"/>
    <w:rsid w:val="006F3045"/>
    <w:rsid w:val="006F3E8B"/>
    <w:rsid w:val="006F4474"/>
    <w:rsid w:val="006F49B4"/>
    <w:rsid w:val="006F504C"/>
    <w:rsid w:val="006F53C8"/>
    <w:rsid w:val="006F53E7"/>
    <w:rsid w:val="006F581F"/>
    <w:rsid w:val="006F5D5E"/>
    <w:rsid w:val="006F5DC1"/>
    <w:rsid w:val="006F5F02"/>
    <w:rsid w:val="006F6794"/>
    <w:rsid w:val="006F6C12"/>
    <w:rsid w:val="006F7310"/>
    <w:rsid w:val="006F77B5"/>
    <w:rsid w:val="006F7989"/>
    <w:rsid w:val="006F7B18"/>
    <w:rsid w:val="006F7B27"/>
    <w:rsid w:val="006F7E5E"/>
    <w:rsid w:val="006F7E82"/>
    <w:rsid w:val="007003EC"/>
    <w:rsid w:val="0070059D"/>
    <w:rsid w:val="007005AA"/>
    <w:rsid w:val="00700730"/>
    <w:rsid w:val="00700780"/>
    <w:rsid w:val="00700921"/>
    <w:rsid w:val="007010F2"/>
    <w:rsid w:val="0070116A"/>
    <w:rsid w:val="0070128C"/>
    <w:rsid w:val="00701460"/>
    <w:rsid w:val="0070170E"/>
    <w:rsid w:val="00701AEF"/>
    <w:rsid w:val="00701D26"/>
    <w:rsid w:val="00701D54"/>
    <w:rsid w:val="00701D5A"/>
    <w:rsid w:val="00701EBC"/>
    <w:rsid w:val="0070202B"/>
    <w:rsid w:val="0070240E"/>
    <w:rsid w:val="0070275D"/>
    <w:rsid w:val="00702792"/>
    <w:rsid w:val="00702BBB"/>
    <w:rsid w:val="00702F40"/>
    <w:rsid w:val="00702F4A"/>
    <w:rsid w:val="00703040"/>
    <w:rsid w:val="007033B6"/>
    <w:rsid w:val="007038CF"/>
    <w:rsid w:val="0070392F"/>
    <w:rsid w:val="00704117"/>
    <w:rsid w:val="0070434D"/>
    <w:rsid w:val="00704503"/>
    <w:rsid w:val="0070489A"/>
    <w:rsid w:val="00704979"/>
    <w:rsid w:val="00704DA2"/>
    <w:rsid w:val="00704F66"/>
    <w:rsid w:val="00705AEB"/>
    <w:rsid w:val="00705CF1"/>
    <w:rsid w:val="00705E9C"/>
    <w:rsid w:val="0070637E"/>
    <w:rsid w:val="00706515"/>
    <w:rsid w:val="00706CBD"/>
    <w:rsid w:val="00706D89"/>
    <w:rsid w:val="00706DDF"/>
    <w:rsid w:val="00706FCB"/>
    <w:rsid w:val="00707096"/>
    <w:rsid w:val="00707913"/>
    <w:rsid w:val="0071034C"/>
    <w:rsid w:val="007103CE"/>
    <w:rsid w:val="0071054B"/>
    <w:rsid w:val="00710966"/>
    <w:rsid w:val="00710A0F"/>
    <w:rsid w:val="00710AC6"/>
    <w:rsid w:val="00710B28"/>
    <w:rsid w:val="00710BED"/>
    <w:rsid w:val="00710D24"/>
    <w:rsid w:val="00710DBB"/>
    <w:rsid w:val="007110E6"/>
    <w:rsid w:val="007116FC"/>
    <w:rsid w:val="00711917"/>
    <w:rsid w:val="0071213F"/>
    <w:rsid w:val="007121A3"/>
    <w:rsid w:val="00712384"/>
    <w:rsid w:val="007126F1"/>
    <w:rsid w:val="0071289D"/>
    <w:rsid w:val="007129FA"/>
    <w:rsid w:val="00712F92"/>
    <w:rsid w:val="007130CF"/>
    <w:rsid w:val="00713626"/>
    <w:rsid w:val="00713B17"/>
    <w:rsid w:val="00713DC0"/>
    <w:rsid w:val="00713EC6"/>
    <w:rsid w:val="0071445D"/>
    <w:rsid w:val="00714739"/>
    <w:rsid w:val="0071481A"/>
    <w:rsid w:val="00714EF5"/>
    <w:rsid w:val="00714FEC"/>
    <w:rsid w:val="0071510C"/>
    <w:rsid w:val="007153A8"/>
    <w:rsid w:val="00715663"/>
    <w:rsid w:val="00715C78"/>
    <w:rsid w:val="007162AB"/>
    <w:rsid w:val="007164A8"/>
    <w:rsid w:val="00716999"/>
    <w:rsid w:val="00716E06"/>
    <w:rsid w:val="00716F2C"/>
    <w:rsid w:val="0071709C"/>
    <w:rsid w:val="00717270"/>
    <w:rsid w:val="00717C80"/>
    <w:rsid w:val="007204BF"/>
    <w:rsid w:val="00720655"/>
    <w:rsid w:val="00720984"/>
    <w:rsid w:val="007209CA"/>
    <w:rsid w:val="00720C1A"/>
    <w:rsid w:val="00720D42"/>
    <w:rsid w:val="00721305"/>
    <w:rsid w:val="0072147F"/>
    <w:rsid w:val="007215D6"/>
    <w:rsid w:val="00721C49"/>
    <w:rsid w:val="00721D53"/>
    <w:rsid w:val="00721DCA"/>
    <w:rsid w:val="00721EBD"/>
    <w:rsid w:val="007222CB"/>
    <w:rsid w:val="007227E2"/>
    <w:rsid w:val="00722855"/>
    <w:rsid w:val="00722A2C"/>
    <w:rsid w:val="00722F51"/>
    <w:rsid w:val="0072386B"/>
    <w:rsid w:val="00723CE1"/>
    <w:rsid w:val="007242BA"/>
    <w:rsid w:val="007243C6"/>
    <w:rsid w:val="00724402"/>
    <w:rsid w:val="00725723"/>
    <w:rsid w:val="00725AAC"/>
    <w:rsid w:val="00725AC3"/>
    <w:rsid w:val="00725BB4"/>
    <w:rsid w:val="00725BE9"/>
    <w:rsid w:val="00725D71"/>
    <w:rsid w:val="00725F77"/>
    <w:rsid w:val="00725FB4"/>
    <w:rsid w:val="0072618A"/>
    <w:rsid w:val="007265C8"/>
    <w:rsid w:val="0072692E"/>
    <w:rsid w:val="00726CF0"/>
    <w:rsid w:val="00727228"/>
    <w:rsid w:val="00727337"/>
    <w:rsid w:val="00727775"/>
    <w:rsid w:val="00727ACC"/>
    <w:rsid w:val="00727E42"/>
    <w:rsid w:val="00727E54"/>
    <w:rsid w:val="00727FDD"/>
    <w:rsid w:val="0073008D"/>
    <w:rsid w:val="0073020B"/>
    <w:rsid w:val="00730629"/>
    <w:rsid w:val="007307A4"/>
    <w:rsid w:val="00730BEF"/>
    <w:rsid w:val="0073104A"/>
    <w:rsid w:val="007310B2"/>
    <w:rsid w:val="00731499"/>
    <w:rsid w:val="00731662"/>
    <w:rsid w:val="007319A9"/>
    <w:rsid w:val="00731B27"/>
    <w:rsid w:val="00731BB6"/>
    <w:rsid w:val="007324E3"/>
    <w:rsid w:val="007324E6"/>
    <w:rsid w:val="00732FBE"/>
    <w:rsid w:val="00733041"/>
    <w:rsid w:val="0073326A"/>
    <w:rsid w:val="0073342D"/>
    <w:rsid w:val="0073362A"/>
    <w:rsid w:val="0073386B"/>
    <w:rsid w:val="00733908"/>
    <w:rsid w:val="0073397D"/>
    <w:rsid w:val="00733BF9"/>
    <w:rsid w:val="00733D0A"/>
    <w:rsid w:val="00733E03"/>
    <w:rsid w:val="00734C8A"/>
    <w:rsid w:val="00735ABB"/>
    <w:rsid w:val="00735EF9"/>
    <w:rsid w:val="00736090"/>
    <w:rsid w:val="0073641E"/>
    <w:rsid w:val="00736486"/>
    <w:rsid w:val="007365B0"/>
    <w:rsid w:val="00736801"/>
    <w:rsid w:val="00736C2A"/>
    <w:rsid w:val="00736E22"/>
    <w:rsid w:val="00736EB3"/>
    <w:rsid w:val="007372EA"/>
    <w:rsid w:val="00737790"/>
    <w:rsid w:val="00737B92"/>
    <w:rsid w:val="00737BBD"/>
    <w:rsid w:val="0074016B"/>
    <w:rsid w:val="00740260"/>
    <w:rsid w:val="00740573"/>
    <w:rsid w:val="007406B0"/>
    <w:rsid w:val="007408C8"/>
    <w:rsid w:val="0074116F"/>
    <w:rsid w:val="007411B4"/>
    <w:rsid w:val="00741913"/>
    <w:rsid w:val="00741C8D"/>
    <w:rsid w:val="00742480"/>
    <w:rsid w:val="00742CB7"/>
    <w:rsid w:val="00743626"/>
    <w:rsid w:val="0074392B"/>
    <w:rsid w:val="00743AF8"/>
    <w:rsid w:val="007441C6"/>
    <w:rsid w:val="0074423B"/>
    <w:rsid w:val="0074441B"/>
    <w:rsid w:val="00744B85"/>
    <w:rsid w:val="00744E89"/>
    <w:rsid w:val="00744EA1"/>
    <w:rsid w:val="00745010"/>
    <w:rsid w:val="00745449"/>
    <w:rsid w:val="00745552"/>
    <w:rsid w:val="0074573A"/>
    <w:rsid w:val="00745833"/>
    <w:rsid w:val="00745ABD"/>
    <w:rsid w:val="00745ABF"/>
    <w:rsid w:val="00745C27"/>
    <w:rsid w:val="00745E01"/>
    <w:rsid w:val="00746375"/>
    <w:rsid w:val="00746945"/>
    <w:rsid w:val="00746B17"/>
    <w:rsid w:val="00746B1C"/>
    <w:rsid w:val="0074733F"/>
    <w:rsid w:val="007473DD"/>
    <w:rsid w:val="00747502"/>
    <w:rsid w:val="007475AA"/>
    <w:rsid w:val="00747BDE"/>
    <w:rsid w:val="00747F98"/>
    <w:rsid w:val="00750038"/>
    <w:rsid w:val="00750811"/>
    <w:rsid w:val="00750BC9"/>
    <w:rsid w:val="00750F71"/>
    <w:rsid w:val="0075105B"/>
    <w:rsid w:val="00751145"/>
    <w:rsid w:val="007511F3"/>
    <w:rsid w:val="00751221"/>
    <w:rsid w:val="00751305"/>
    <w:rsid w:val="007513E7"/>
    <w:rsid w:val="007516A0"/>
    <w:rsid w:val="007517FF"/>
    <w:rsid w:val="00751D85"/>
    <w:rsid w:val="00751F48"/>
    <w:rsid w:val="0075282A"/>
    <w:rsid w:val="00752D6B"/>
    <w:rsid w:val="0075349C"/>
    <w:rsid w:val="007539E2"/>
    <w:rsid w:val="00753D06"/>
    <w:rsid w:val="00753E2D"/>
    <w:rsid w:val="007542E9"/>
    <w:rsid w:val="00754333"/>
    <w:rsid w:val="007546B3"/>
    <w:rsid w:val="007548D2"/>
    <w:rsid w:val="00754B4E"/>
    <w:rsid w:val="0075572F"/>
    <w:rsid w:val="007557E8"/>
    <w:rsid w:val="00755F99"/>
    <w:rsid w:val="00756646"/>
    <w:rsid w:val="007566A6"/>
    <w:rsid w:val="0075677D"/>
    <w:rsid w:val="00756861"/>
    <w:rsid w:val="007575F4"/>
    <w:rsid w:val="0075778D"/>
    <w:rsid w:val="0075783D"/>
    <w:rsid w:val="0075788F"/>
    <w:rsid w:val="007578BF"/>
    <w:rsid w:val="007601E7"/>
    <w:rsid w:val="0076071B"/>
    <w:rsid w:val="007608A5"/>
    <w:rsid w:val="00760AFE"/>
    <w:rsid w:val="00760CD7"/>
    <w:rsid w:val="0076129D"/>
    <w:rsid w:val="00761411"/>
    <w:rsid w:val="0076150D"/>
    <w:rsid w:val="00761572"/>
    <w:rsid w:val="007619D2"/>
    <w:rsid w:val="00761BF4"/>
    <w:rsid w:val="00761C45"/>
    <w:rsid w:val="00761EC6"/>
    <w:rsid w:val="007627AC"/>
    <w:rsid w:val="007629FC"/>
    <w:rsid w:val="00762ACE"/>
    <w:rsid w:val="007630CB"/>
    <w:rsid w:val="007633AA"/>
    <w:rsid w:val="00763512"/>
    <w:rsid w:val="00763E80"/>
    <w:rsid w:val="007642D4"/>
    <w:rsid w:val="00764423"/>
    <w:rsid w:val="007645DF"/>
    <w:rsid w:val="00764917"/>
    <w:rsid w:val="00764933"/>
    <w:rsid w:val="00764941"/>
    <w:rsid w:val="00764B22"/>
    <w:rsid w:val="00765026"/>
    <w:rsid w:val="0076509B"/>
    <w:rsid w:val="0076514A"/>
    <w:rsid w:val="0076539F"/>
    <w:rsid w:val="007654A2"/>
    <w:rsid w:val="00765555"/>
    <w:rsid w:val="0076579E"/>
    <w:rsid w:val="00766319"/>
    <w:rsid w:val="0076636D"/>
    <w:rsid w:val="00766429"/>
    <w:rsid w:val="0076649C"/>
    <w:rsid w:val="00766540"/>
    <w:rsid w:val="007665AC"/>
    <w:rsid w:val="007668DF"/>
    <w:rsid w:val="00766B94"/>
    <w:rsid w:val="00766CBB"/>
    <w:rsid w:val="00766CD0"/>
    <w:rsid w:val="00766E8E"/>
    <w:rsid w:val="007672E0"/>
    <w:rsid w:val="0076796E"/>
    <w:rsid w:val="00770358"/>
    <w:rsid w:val="007704BE"/>
    <w:rsid w:val="0077054B"/>
    <w:rsid w:val="00770A37"/>
    <w:rsid w:val="0077109C"/>
    <w:rsid w:val="007712FA"/>
    <w:rsid w:val="007712FB"/>
    <w:rsid w:val="007713B6"/>
    <w:rsid w:val="0077158F"/>
    <w:rsid w:val="00771657"/>
    <w:rsid w:val="0077175E"/>
    <w:rsid w:val="00771999"/>
    <w:rsid w:val="00771D89"/>
    <w:rsid w:val="00771EBC"/>
    <w:rsid w:val="00771FF3"/>
    <w:rsid w:val="00772026"/>
    <w:rsid w:val="0077223A"/>
    <w:rsid w:val="007722F7"/>
    <w:rsid w:val="007728ED"/>
    <w:rsid w:val="00772B68"/>
    <w:rsid w:val="00772BDE"/>
    <w:rsid w:val="00772D65"/>
    <w:rsid w:val="00773184"/>
    <w:rsid w:val="007731B5"/>
    <w:rsid w:val="007731FF"/>
    <w:rsid w:val="0077352A"/>
    <w:rsid w:val="00773596"/>
    <w:rsid w:val="007736CD"/>
    <w:rsid w:val="00773AC6"/>
    <w:rsid w:val="00773E08"/>
    <w:rsid w:val="00774230"/>
    <w:rsid w:val="007743FC"/>
    <w:rsid w:val="0077495C"/>
    <w:rsid w:val="007749D9"/>
    <w:rsid w:val="00774A9B"/>
    <w:rsid w:val="0077525E"/>
    <w:rsid w:val="00775366"/>
    <w:rsid w:val="0077536B"/>
    <w:rsid w:val="00775480"/>
    <w:rsid w:val="00775B37"/>
    <w:rsid w:val="00775C9B"/>
    <w:rsid w:val="00775E2E"/>
    <w:rsid w:val="007760AA"/>
    <w:rsid w:val="0077663E"/>
    <w:rsid w:val="0077714A"/>
    <w:rsid w:val="007775A7"/>
    <w:rsid w:val="007777A5"/>
    <w:rsid w:val="007779D4"/>
    <w:rsid w:val="00777C24"/>
    <w:rsid w:val="00777CCF"/>
    <w:rsid w:val="00777D2C"/>
    <w:rsid w:val="00777DFB"/>
    <w:rsid w:val="00777F48"/>
    <w:rsid w:val="00777F7A"/>
    <w:rsid w:val="007804FE"/>
    <w:rsid w:val="007807F1"/>
    <w:rsid w:val="00780B64"/>
    <w:rsid w:val="00780C0D"/>
    <w:rsid w:val="00780CDD"/>
    <w:rsid w:val="007810EC"/>
    <w:rsid w:val="00781125"/>
    <w:rsid w:val="00781280"/>
    <w:rsid w:val="007813B0"/>
    <w:rsid w:val="007816F7"/>
    <w:rsid w:val="00781791"/>
    <w:rsid w:val="00781828"/>
    <w:rsid w:val="00782019"/>
    <w:rsid w:val="007822D5"/>
    <w:rsid w:val="007824E7"/>
    <w:rsid w:val="00782A36"/>
    <w:rsid w:val="00782F35"/>
    <w:rsid w:val="00782F9A"/>
    <w:rsid w:val="007833C6"/>
    <w:rsid w:val="007838D1"/>
    <w:rsid w:val="00783B1A"/>
    <w:rsid w:val="007847CA"/>
    <w:rsid w:val="0078481B"/>
    <w:rsid w:val="00784909"/>
    <w:rsid w:val="0078522E"/>
    <w:rsid w:val="0078526C"/>
    <w:rsid w:val="007853E0"/>
    <w:rsid w:val="007853E7"/>
    <w:rsid w:val="0078551D"/>
    <w:rsid w:val="007856BE"/>
    <w:rsid w:val="00785B1E"/>
    <w:rsid w:val="0078615A"/>
    <w:rsid w:val="00786235"/>
    <w:rsid w:val="007864CC"/>
    <w:rsid w:val="0078658A"/>
    <w:rsid w:val="00786664"/>
    <w:rsid w:val="00786AAF"/>
    <w:rsid w:val="00786CBB"/>
    <w:rsid w:val="00787617"/>
    <w:rsid w:val="00787660"/>
    <w:rsid w:val="0079053D"/>
    <w:rsid w:val="00790B42"/>
    <w:rsid w:val="00790D19"/>
    <w:rsid w:val="007911FF"/>
    <w:rsid w:val="00791657"/>
    <w:rsid w:val="007916C7"/>
    <w:rsid w:val="00791B8E"/>
    <w:rsid w:val="00791CB6"/>
    <w:rsid w:val="0079215C"/>
    <w:rsid w:val="00792876"/>
    <w:rsid w:val="00793536"/>
    <w:rsid w:val="0079377C"/>
    <w:rsid w:val="00793820"/>
    <w:rsid w:val="007939D1"/>
    <w:rsid w:val="00793C75"/>
    <w:rsid w:val="0079411D"/>
    <w:rsid w:val="0079416B"/>
    <w:rsid w:val="007941C7"/>
    <w:rsid w:val="0079431F"/>
    <w:rsid w:val="007943B9"/>
    <w:rsid w:val="0079448C"/>
    <w:rsid w:val="0079452F"/>
    <w:rsid w:val="00794F52"/>
    <w:rsid w:val="00794FB7"/>
    <w:rsid w:val="0079547D"/>
    <w:rsid w:val="00795618"/>
    <w:rsid w:val="0079563E"/>
    <w:rsid w:val="007956C5"/>
    <w:rsid w:val="0079590D"/>
    <w:rsid w:val="00795CA4"/>
    <w:rsid w:val="00795EC4"/>
    <w:rsid w:val="00796492"/>
    <w:rsid w:val="0079664C"/>
    <w:rsid w:val="00796753"/>
    <w:rsid w:val="00797709"/>
    <w:rsid w:val="00797AF3"/>
    <w:rsid w:val="00797C0B"/>
    <w:rsid w:val="007A0297"/>
    <w:rsid w:val="007A05E0"/>
    <w:rsid w:val="007A0773"/>
    <w:rsid w:val="007A09C8"/>
    <w:rsid w:val="007A0AB7"/>
    <w:rsid w:val="007A1272"/>
    <w:rsid w:val="007A136F"/>
    <w:rsid w:val="007A1495"/>
    <w:rsid w:val="007A1BDC"/>
    <w:rsid w:val="007A2514"/>
    <w:rsid w:val="007A2518"/>
    <w:rsid w:val="007A2613"/>
    <w:rsid w:val="007A27B6"/>
    <w:rsid w:val="007A29A3"/>
    <w:rsid w:val="007A2AE8"/>
    <w:rsid w:val="007A31A4"/>
    <w:rsid w:val="007A3C4D"/>
    <w:rsid w:val="007A3C57"/>
    <w:rsid w:val="007A3C86"/>
    <w:rsid w:val="007A3F16"/>
    <w:rsid w:val="007A4280"/>
    <w:rsid w:val="007A42D3"/>
    <w:rsid w:val="007A434A"/>
    <w:rsid w:val="007A4628"/>
    <w:rsid w:val="007A46EE"/>
    <w:rsid w:val="007A4A50"/>
    <w:rsid w:val="007A4E7C"/>
    <w:rsid w:val="007A511D"/>
    <w:rsid w:val="007A5184"/>
    <w:rsid w:val="007A541F"/>
    <w:rsid w:val="007A56FE"/>
    <w:rsid w:val="007A590A"/>
    <w:rsid w:val="007A5A82"/>
    <w:rsid w:val="007A5B22"/>
    <w:rsid w:val="007A6152"/>
    <w:rsid w:val="007A7388"/>
    <w:rsid w:val="007A7CE9"/>
    <w:rsid w:val="007A7D98"/>
    <w:rsid w:val="007B07DA"/>
    <w:rsid w:val="007B0A12"/>
    <w:rsid w:val="007B0A78"/>
    <w:rsid w:val="007B0E61"/>
    <w:rsid w:val="007B1397"/>
    <w:rsid w:val="007B1E7C"/>
    <w:rsid w:val="007B1F1F"/>
    <w:rsid w:val="007B226A"/>
    <w:rsid w:val="007B22B3"/>
    <w:rsid w:val="007B2A70"/>
    <w:rsid w:val="007B305A"/>
    <w:rsid w:val="007B3607"/>
    <w:rsid w:val="007B37C1"/>
    <w:rsid w:val="007B453B"/>
    <w:rsid w:val="007B45EE"/>
    <w:rsid w:val="007B4B55"/>
    <w:rsid w:val="007B4DD7"/>
    <w:rsid w:val="007B534C"/>
    <w:rsid w:val="007B56D3"/>
    <w:rsid w:val="007B5AD7"/>
    <w:rsid w:val="007B5C8A"/>
    <w:rsid w:val="007B6105"/>
    <w:rsid w:val="007B6591"/>
    <w:rsid w:val="007B6F08"/>
    <w:rsid w:val="007B70B9"/>
    <w:rsid w:val="007B732A"/>
    <w:rsid w:val="007B757D"/>
    <w:rsid w:val="007B767D"/>
    <w:rsid w:val="007B7A7B"/>
    <w:rsid w:val="007B7D22"/>
    <w:rsid w:val="007C009F"/>
    <w:rsid w:val="007C0775"/>
    <w:rsid w:val="007C0785"/>
    <w:rsid w:val="007C08AE"/>
    <w:rsid w:val="007C0B7E"/>
    <w:rsid w:val="007C10F8"/>
    <w:rsid w:val="007C1278"/>
    <w:rsid w:val="007C12CB"/>
    <w:rsid w:val="007C12F1"/>
    <w:rsid w:val="007C1605"/>
    <w:rsid w:val="007C1953"/>
    <w:rsid w:val="007C267F"/>
    <w:rsid w:val="007C29B0"/>
    <w:rsid w:val="007C2ACA"/>
    <w:rsid w:val="007C2AD6"/>
    <w:rsid w:val="007C2F39"/>
    <w:rsid w:val="007C3219"/>
    <w:rsid w:val="007C352E"/>
    <w:rsid w:val="007C3C20"/>
    <w:rsid w:val="007C3F67"/>
    <w:rsid w:val="007C4296"/>
    <w:rsid w:val="007C42C4"/>
    <w:rsid w:val="007C4330"/>
    <w:rsid w:val="007C44F0"/>
    <w:rsid w:val="007C4523"/>
    <w:rsid w:val="007C4566"/>
    <w:rsid w:val="007C47AB"/>
    <w:rsid w:val="007C4809"/>
    <w:rsid w:val="007C486B"/>
    <w:rsid w:val="007C4ACA"/>
    <w:rsid w:val="007C4B96"/>
    <w:rsid w:val="007C4E10"/>
    <w:rsid w:val="007C5122"/>
    <w:rsid w:val="007C52B7"/>
    <w:rsid w:val="007C557F"/>
    <w:rsid w:val="007C57D1"/>
    <w:rsid w:val="007C59EC"/>
    <w:rsid w:val="007C5C8C"/>
    <w:rsid w:val="007C5E6C"/>
    <w:rsid w:val="007C5FA4"/>
    <w:rsid w:val="007C611C"/>
    <w:rsid w:val="007C6167"/>
    <w:rsid w:val="007C6292"/>
    <w:rsid w:val="007C672A"/>
    <w:rsid w:val="007C67F5"/>
    <w:rsid w:val="007C6DDF"/>
    <w:rsid w:val="007C6EEC"/>
    <w:rsid w:val="007C6FC0"/>
    <w:rsid w:val="007C7044"/>
    <w:rsid w:val="007C73E1"/>
    <w:rsid w:val="007C7D28"/>
    <w:rsid w:val="007C7D65"/>
    <w:rsid w:val="007C7DDC"/>
    <w:rsid w:val="007D0259"/>
    <w:rsid w:val="007D084E"/>
    <w:rsid w:val="007D08A1"/>
    <w:rsid w:val="007D0929"/>
    <w:rsid w:val="007D0AA9"/>
    <w:rsid w:val="007D0E70"/>
    <w:rsid w:val="007D12ED"/>
    <w:rsid w:val="007D13A3"/>
    <w:rsid w:val="007D1436"/>
    <w:rsid w:val="007D18FB"/>
    <w:rsid w:val="007D22FC"/>
    <w:rsid w:val="007D23DF"/>
    <w:rsid w:val="007D254C"/>
    <w:rsid w:val="007D2E75"/>
    <w:rsid w:val="007D2F3B"/>
    <w:rsid w:val="007D306A"/>
    <w:rsid w:val="007D328C"/>
    <w:rsid w:val="007D3803"/>
    <w:rsid w:val="007D3CE5"/>
    <w:rsid w:val="007D3ED1"/>
    <w:rsid w:val="007D41AE"/>
    <w:rsid w:val="007D4251"/>
    <w:rsid w:val="007D48C7"/>
    <w:rsid w:val="007D4AF3"/>
    <w:rsid w:val="007D5C70"/>
    <w:rsid w:val="007D63C4"/>
    <w:rsid w:val="007D6B2B"/>
    <w:rsid w:val="007D742D"/>
    <w:rsid w:val="007D7472"/>
    <w:rsid w:val="007D7F82"/>
    <w:rsid w:val="007E0215"/>
    <w:rsid w:val="007E05B9"/>
    <w:rsid w:val="007E0866"/>
    <w:rsid w:val="007E0AC3"/>
    <w:rsid w:val="007E1454"/>
    <w:rsid w:val="007E1591"/>
    <w:rsid w:val="007E17C5"/>
    <w:rsid w:val="007E18DD"/>
    <w:rsid w:val="007E1A78"/>
    <w:rsid w:val="007E1B59"/>
    <w:rsid w:val="007E1C7C"/>
    <w:rsid w:val="007E1D5E"/>
    <w:rsid w:val="007E1DE6"/>
    <w:rsid w:val="007E1EE2"/>
    <w:rsid w:val="007E218F"/>
    <w:rsid w:val="007E281A"/>
    <w:rsid w:val="007E28F5"/>
    <w:rsid w:val="007E28FB"/>
    <w:rsid w:val="007E2942"/>
    <w:rsid w:val="007E2D03"/>
    <w:rsid w:val="007E38B5"/>
    <w:rsid w:val="007E4028"/>
    <w:rsid w:val="007E419A"/>
    <w:rsid w:val="007E4253"/>
    <w:rsid w:val="007E4272"/>
    <w:rsid w:val="007E45A3"/>
    <w:rsid w:val="007E48D5"/>
    <w:rsid w:val="007E4933"/>
    <w:rsid w:val="007E4C0B"/>
    <w:rsid w:val="007E4F2C"/>
    <w:rsid w:val="007E4F8F"/>
    <w:rsid w:val="007E5083"/>
    <w:rsid w:val="007E5094"/>
    <w:rsid w:val="007E610C"/>
    <w:rsid w:val="007E61E5"/>
    <w:rsid w:val="007E62CD"/>
    <w:rsid w:val="007E6325"/>
    <w:rsid w:val="007E63CF"/>
    <w:rsid w:val="007E6786"/>
    <w:rsid w:val="007E683C"/>
    <w:rsid w:val="007E6C5A"/>
    <w:rsid w:val="007E6E4C"/>
    <w:rsid w:val="007E6EDE"/>
    <w:rsid w:val="007E7BE6"/>
    <w:rsid w:val="007E7DF9"/>
    <w:rsid w:val="007F0163"/>
    <w:rsid w:val="007F0344"/>
    <w:rsid w:val="007F08FA"/>
    <w:rsid w:val="007F09F0"/>
    <w:rsid w:val="007F0CAF"/>
    <w:rsid w:val="007F1C9D"/>
    <w:rsid w:val="007F1E47"/>
    <w:rsid w:val="007F2557"/>
    <w:rsid w:val="007F2962"/>
    <w:rsid w:val="007F2A4B"/>
    <w:rsid w:val="007F2C6B"/>
    <w:rsid w:val="007F35A5"/>
    <w:rsid w:val="007F3ED1"/>
    <w:rsid w:val="007F3F62"/>
    <w:rsid w:val="007F421C"/>
    <w:rsid w:val="007F42EF"/>
    <w:rsid w:val="007F4396"/>
    <w:rsid w:val="007F4569"/>
    <w:rsid w:val="007F4712"/>
    <w:rsid w:val="007F4876"/>
    <w:rsid w:val="007F4A74"/>
    <w:rsid w:val="007F4B2B"/>
    <w:rsid w:val="007F4C49"/>
    <w:rsid w:val="007F54F7"/>
    <w:rsid w:val="007F59F9"/>
    <w:rsid w:val="007F5CFF"/>
    <w:rsid w:val="007F5E91"/>
    <w:rsid w:val="007F5FD9"/>
    <w:rsid w:val="007F6423"/>
    <w:rsid w:val="007F64F4"/>
    <w:rsid w:val="007F7664"/>
    <w:rsid w:val="007F7A80"/>
    <w:rsid w:val="008003CA"/>
    <w:rsid w:val="00800DCB"/>
    <w:rsid w:val="00800F67"/>
    <w:rsid w:val="008013D8"/>
    <w:rsid w:val="0080152C"/>
    <w:rsid w:val="00801A28"/>
    <w:rsid w:val="00801B43"/>
    <w:rsid w:val="00801EAB"/>
    <w:rsid w:val="00801ED5"/>
    <w:rsid w:val="0080204F"/>
    <w:rsid w:val="00802091"/>
    <w:rsid w:val="00802119"/>
    <w:rsid w:val="008022FA"/>
    <w:rsid w:val="00802833"/>
    <w:rsid w:val="008030A1"/>
    <w:rsid w:val="0080314E"/>
    <w:rsid w:val="008034F5"/>
    <w:rsid w:val="008035F9"/>
    <w:rsid w:val="00804662"/>
    <w:rsid w:val="00804C23"/>
    <w:rsid w:val="00804D97"/>
    <w:rsid w:val="00805122"/>
    <w:rsid w:val="0080517D"/>
    <w:rsid w:val="00805B20"/>
    <w:rsid w:val="00805CF0"/>
    <w:rsid w:val="00805F4B"/>
    <w:rsid w:val="00805F9F"/>
    <w:rsid w:val="008061F4"/>
    <w:rsid w:val="0080622A"/>
    <w:rsid w:val="0080679E"/>
    <w:rsid w:val="008067E2"/>
    <w:rsid w:val="00806841"/>
    <w:rsid w:val="00806903"/>
    <w:rsid w:val="00806A88"/>
    <w:rsid w:val="00806B63"/>
    <w:rsid w:val="00806F68"/>
    <w:rsid w:val="008070B3"/>
    <w:rsid w:val="00807122"/>
    <w:rsid w:val="00807130"/>
    <w:rsid w:val="008075C4"/>
    <w:rsid w:val="0080775E"/>
    <w:rsid w:val="00807805"/>
    <w:rsid w:val="008078B8"/>
    <w:rsid w:val="00807C7F"/>
    <w:rsid w:val="00807CF1"/>
    <w:rsid w:val="00807E73"/>
    <w:rsid w:val="00807F1F"/>
    <w:rsid w:val="00807FBE"/>
    <w:rsid w:val="00807FC3"/>
    <w:rsid w:val="008101FB"/>
    <w:rsid w:val="008104D8"/>
    <w:rsid w:val="008109E5"/>
    <w:rsid w:val="00810A5D"/>
    <w:rsid w:val="00810D9C"/>
    <w:rsid w:val="00810E26"/>
    <w:rsid w:val="00810E32"/>
    <w:rsid w:val="008113E2"/>
    <w:rsid w:val="0081163E"/>
    <w:rsid w:val="00811F9E"/>
    <w:rsid w:val="0081304E"/>
    <w:rsid w:val="008130C7"/>
    <w:rsid w:val="008133A1"/>
    <w:rsid w:val="0081369E"/>
    <w:rsid w:val="008137FB"/>
    <w:rsid w:val="00813D79"/>
    <w:rsid w:val="008145A5"/>
    <w:rsid w:val="00814967"/>
    <w:rsid w:val="00814B2D"/>
    <w:rsid w:val="00814BAD"/>
    <w:rsid w:val="00814D22"/>
    <w:rsid w:val="008155D3"/>
    <w:rsid w:val="0081588E"/>
    <w:rsid w:val="00815A54"/>
    <w:rsid w:val="00815CC7"/>
    <w:rsid w:val="008161A4"/>
    <w:rsid w:val="0081649F"/>
    <w:rsid w:val="00816851"/>
    <w:rsid w:val="0081696E"/>
    <w:rsid w:val="00816B42"/>
    <w:rsid w:val="00816BBC"/>
    <w:rsid w:val="00816D37"/>
    <w:rsid w:val="00816D3A"/>
    <w:rsid w:val="00816D75"/>
    <w:rsid w:val="00817DE9"/>
    <w:rsid w:val="00817EE7"/>
    <w:rsid w:val="0082034A"/>
    <w:rsid w:val="0082046D"/>
    <w:rsid w:val="00820C12"/>
    <w:rsid w:val="00820C90"/>
    <w:rsid w:val="00820CC0"/>
    <w:rsid w:val="00820D58"/>
    <w:rsid w:val="008210CE"/>
    <w:rsid w:val="00821570"/>
    <w:rsid w:val="0082177E"/>
    <w:rsid w:val="00821795"/>
    <w:rsid w:val="00821B63"/>
    <w:rsid w:val="0082209C"/>
    <w:rsid w:val="00822182"/>
    <w:rsid w:val="008224C4"/>
    <w:rsid w:val="0082289E"/>
    <w:rsid w:val="00822936"/>
    <w:rsid w:val="00822941"/>
    <w:rsid w:val="00822C4C"/>
    <w:rsid w:val="008230BF"/>
    <w:rsid w:val="0082319A"/>
    <w:rsid w:val="0082378D"/>
    <w:rsid w:val="00823A54"/>
    <w:rsid w:val="0082414F"/>
    <w:rsid w:val="00824208"/>
    <w:rsid w:val="008244AA"/>
    <w:rsid w:val="008245CF"/>
    <w:rsid w:val="008247E3"/>
    <w:rsid w:val="008248D5"/>
    <w:rsid w:val="00824D2B"/>
    <w:rsid w:val="00824DEF"/>
    <w:rsid w:val="00825296"/>
    <w:rsid w:val="008252F3"/>
    <w:rsid w:val="008258A6"/>
    <w:rsid w:val="00825E37"/>
    <w:rsid w:val="008260A4"/>
    <w:rsid w:val="0082616B"/>
    <w:rsid w:val="008265D8"/>
    <w:rsid w:val="008267CE"/>
    <w:rsid w:val="00826B4C"/>
    <w:rsid w:val="00826DE0"/>
    <w:rsid w:val="00827359"/>
    <w:rsid w:val="00827BB8"/>
    <w:rsid w:val="00827C49"/>
    <w:rsid w:val="00827F68"/>
    <w:rsid w:val="00830572"/>
    <w:rsid w:val="008306EB"/>
    <w:rsid w:val="00830803"/>
    <w:rsid w:val="00830A11"/>
    <w:rsid w:val="00830BA7"/>
    <w:rsid w:val="00830CFC"/>
    <w:rsid w:val="00831374"/>
    <w:rsid w:val="00831C6D"/>
    <w:rsid w:val="00831D5C"/>
    <w:rsid w:val="00831F4F"/>
    <w:rsid w:val="00832A72"/>
    <w:rsid w:val="00832F96"/>
    <w:rsid w:val="00833000"/>
    <w:rsid w:val="00833043"/>
    <w:rsid w:val="0083307F"/>
    <w:rsid w:val="00833733"/>
    <w:rsid w:val="00833BB4"/>
    <w:rsid w:val="00833C18"/>
    <w:rsid w:val="00833D03"/>
    <w:rsid w:val="00833E3F"/>
    <w:rsid w:val="00834CB1"/>
    <w:rsid w:val="008355F6"/>
    <w:rsid w:val="0083571D"/>
    <w:rsid w:val="008357A1"/>
    <w:rsid w:val="008359AC"/>
    <w:rsid w:val="008367F3"/>
    <w:rsid w:val="0083690A"/>
    <w:rsid w:val="00836BFA"/>
    <w:rsid w:val="00837024"/>
    <w:rsid w:val="0083734D"/>
    <w:rsid w:val="00837520"/>
    <w:rsid w:val="008378B0"/>
    <w:rsid w:val="00837AEE"/>
    <w:rsid w:val="0084017D"/>
    <w:rsid w:val="00840642"/>
    <w:rsid w:val="008408C6"/>
    <w:rsid w:val="00840996"/>
    <w:rsid w:val="00840C2D"/>
    <w:rsid w:val="00840C79"/>
    <w:rsid w:val="00841153"/>
    <w:rsid w:val="00841429"/>
    <w:rsid w:val="008414B2"/>
    <w:rsid w:val="00841590"/>
    <w:rsid w:val="00841679"/>
    <w:rsid w:val="00841869"/>
    <w:rsid w:val="00841873"/>
    <w:rsid w:val="008418FA"/>
    <w:rsid w:val="00841E37"/>
    <w:rsid w:val="00841F15"/>
    <w:rsid w:val="00841F41"/>
    <w:rsid w:val="00841FC2"/>
    <w:rsid w:val="0084241C"/>
    <w:rsid w:val="00842598"/>
    <w:rsid w:val="00842B3F"/>
    <w:rsid w:val="00842C7C"/>
    <w:rsid w:val="00842CA3"/>
    <w:rsid w:val="00842DB5"/>
    <w:rsid w:val="0084317B"/>
    <w:rsid w:val="008432F6"/>
    <w:rsid w:val="00843776"/>
    <w:rsid w:val="00843C9C"/>
    <w:rsid w:val="00843EA6"/>
    <w:rsid w:val="00844039"/>
    <w:rsid w:val="008445A2"/>
    <w:rsid w:val="008449BD"/>
    <w:rsid w:val="008449EB"/>
    <w:rsid w:val="00844BC8"/>
    <w:rsid w:val="00844EB5"/>
    <w:rsid w:val="00845691"/>
    <w:rsid w:val="008456CC"/>
    <w:rsid w:val="008459F7"/>
    <w:rsid w:val="00845AAE"/>
    <w:rsid w:val="00845E2B"/>
    <w:rsid w:val="008463EE"/>
    <w:rsid w:val="008465F9"/>
    <w:rsid w:val="00846C1B"/>
    <w:rsid w:val="008477DF"/>
    <w:rsid w:val="008479BC"/>
    <w:rsid w:val="00847D7B"/>
    <w:rsid w:val="008510EE"/>
    <w:rsid w:val="00851172"/>
    <w:rsid w:val="00851371"/>
    <w:rsid w:val="0085141A"/>
    <w:rsid w:val="008521EA"/>
    <w:rsid w:val="00852379"/>
    <w:rsid w:val="00852535"/>
    <w:rsid w:val="0085255D"/>
    <w:rsid w:val="00852674"/>
    <w:rsid w:val="00852916"/>
    <w:rsid w:val="008536DA"/>
    <w:rsid w:val="0085373C"/>
    <w:rsid w:val="0085379F"/>
    <w:rsid w:val="00853831"/>
    <w:rsid w:val="008538DF"/>
    <w:rsid w:val="00853B06"/>
    <w:rsid w:val="00853E44"/>
    <w:rsid w:val="008544FD"/>
    <w:rsid w:val="008548AE"/>
    <w:rsid w:val="00854B08"/>
    <w:rsid w:val="00854DAA"/>
    <w:rsid w:val="00854E17"/>
    <w:rsid w:val="0085511E"/>
    <w:rsid w:val="0085515F"/>
    <w:rsid w:val="008554C6"/>
    <w:rsid w:val="00855503"/>
    <w:rsid w:val="00855847"/>
    <w:rsid w:val="00855DB3"/>
    <w:rsid w:val="00855DED"/>
    <w:rsid w:val="00855E41"/>
    <w:rsid w:val="00855F10"/>
    <w:rsid w:val="008566E5"/>
    <w:rsid w:val="00856BDD"/>
    <w:rsid w:val="00856E4E"/>
    <w:rsid w:val="00856FBA"/>
    <w:rsid w:val="008573D5"/>
    <w:rsid w:val="008577C2"/>
    <w:rsid w:val="00857A55"/>
    <w:rsid w:val="00857FF8"/>
    <w:rsid w:val="0086011B"/>
    <w:rsid w:val="00860598"/>
    <w:rsid w:val="00860E3A"/>
    <w:rsid w:val="00860FED"/>
    <w:rsid w:val="0086107E"/>
    <w:rsid w:val="00861121"/>
    <w:rsid w:val="00861395"/>
    <w:rsid w:val="0086157B"/>
    <w:rsid w:val="00861B04"/>
    <w:rsid w:val="008621F0"/>
    <w:rsid w:val="00862237"/>
    <w:rsid w:val="008622C6"/>
    <w:rsid w:val="0086236B"/>
    <w:rsid w:val="008626F9"/>
    <w:rsid w:val="00862837"/>
    <w:rsid w:val="008628B6"/>
    <w:rsid w:val="00862C11"/>
    <w:rsid w:val="00862FB3"/>
    <w:rsid w:val="0086332D"/>
    <w:rsid w:val="00863467"/>
    <w:rsid w:val="00863614"/>
    <w:rsid w:val="00864390"/>
    <w:rsid w:val="00864646"/>
    <w:rsid w:val="00864852"/>
    <w:rsid w:val="008649FB"/>
    <w:rsid w:val="00864BB1"/>
    <w:rsid w:val="00864D84"/>
    <w:rsid w:val="00865252"/>
    <w:rsid w:val="00865950"/>
    <w:rsid w:val="00865D40"/>
    <w:rsid w:val="00865ED9"/>
    <w:rsid w:val="00866492"/>
    <w:rsid w:val="00866C7F"/>
    <w:rsid w:val="008678A3"/>
    <w:rsid w:val="00867B01"/>
    <w:rsid w:val="00867B7A"/>
    <w:rsid w:val="00867BEA"/>
    <w:rsid w:val="00870178"/>
    <w:rsid w:val="0087020E"/>
    <w:rsid w:val="00870306"/>
    <w:rsid w:val="0087062B"/>
    <w:rsid w:val="00870B20"/>
    <w:rsid w:val="00870F6A"/>
    <w:rsid w:val="00870F83"/>
    <w:rsid w:val="008711E4"/>
    <w:rsid w:val="008712A8"/>
    <w:rsid w:val="00871401"/>
    <w:rsid w:val="008714FC"/>
    <w:rsid w:val="0087172E"/>
    <w:rsid w:val="00871755"/>
    <w:rsid w:val="00871C68"/>
    <w:rsid w:val="00871D99"/>
    <w:rsid w:val="008729FD"/>
    <w:rsid w:val="00872BC4"/>
    <w:rsid w:val="00873075"/>
    <w:rsid w:val="0087321B"/>
    <w:rsid w:val="008733C4"/>
    <w:rsid w:val="00873755"/>
    <w:rsid w:val="0087377F"/>
    <w:rsid w:val="0087387B"/>
    <w:rsid w:val="008739CB"/>
    <w:rsid w:val="00873BDF"/>
    <w:rsid w:val="008740DC"/>
    <w:rsid w:val="0087453B"/>
    <w:rsid w:val="0087457F"/>
    <w:rsid w:val="00874715"/>
    <w:rsid w:val="00874789"/>
    <w:rsid w:val="00874A04"/>
    <w:rsid w:val="00874A19"/>
    <w:rsid w:val="00874B49"/>
    <w:rsid w:val="00874D9E"/>
    <w:rsid w:val="00874DFC"/>
    <w:rsid w:val="00874E3F"/>
    <w:rsid w:val="00874E7F"/>
    <w:rsid w:val="00875204"/>
    <w:rsid w:val="00875349"/>
    <w:rsid w:val="008754F0"/>
    <w:rsid w:val="00875C4D"/>
    <w:rsid w:val="00875C94"/>
    <w:rsid w:val="00875D52"/>
    <w:rsid w:val="00875F4C"/>
    <w:rsid w:val="00876DBF"/>
    <w:rsid w:val="00876F11"/>
    <w:rsid w:val="00877040"/>
    <w:rsid w:val="00877083"/>
    <w:rsid w:val="008771D2"/>
    <w:rsid w:val="00877C55"/>
    <w:rsid w:val="008807BD"/>
    <w:rsid w:val="008807CA"/>
    <w:rsid w:val="008807F4"/>
    <w:rsid w:val="0088093F"/>
    <w:rsid w:val="00880958"/>
    <w:rsid w:val="00881324"/>
    <w:rsid w:val="00881899"/>
    <w:rsid w:val="00881903"/>
    <w:rsid w:val="00881DC4"/>
    <w:rsid w:val="0088204F"/>
    <w:rsid w:val="0088273C"/>
    <w:rsid w:val="00882912"/>
    <w:rsid w:val="00882F35"/>
    <w:rsid w:val="008832EF"/>
    <w:rsid w:val="0088351C"/>
    <w:rsid w:val="00883D7F"/>
    <w:rsid w:val="008840E8"/>
    <w:rsid w:val="00884226"/>
    <w:rsid w:val="0088464A"/>
    <w:rsid w:val="00885183"/>
    <w:rsid w:val="0088577F"/>
    <w:rsid w:val="00885A59"/>
    <w:rsid w:val="00885C70"/>
    <w:rsid w:val="00885E46"/>
    <w:rsid w:val="00885F50"/>
    <w:rsid w:val="0088609A"/>
    <w:rsid w:val="00886350"/>
    <w:rsid w:val="00886484"/>
    <w:rsid w:val="00886746"/>
    <w:rsid w:val="00886BD4"/>
    <w:rsid w:val="00886FF3"/>
    <w:rsid w:val="0088776B"/>
    <w:rsid w:val="008900DE"/>
    <w:rsid w:val="0089043D"/>
    <w:rsid w:val="008904D0"/>
    <w:rsid w:val="00890616"/>
    <w:rsid w:val="0089094A"/>
    <w:rsid w:val="00890C39"/>
    <w:rsid w:val="00890CB4"/>
    <w:rsid w:val="00890D26"/>
    <w:rsid w:val="0089196E"/>
    <w:rsid w:val="00891A14"/>
    <w:rsid w:val="00891A27"/>
    <w:rsid w:val="00891A62"/>
    <w:rsid w:val="00891C3B"/>
    <w:rsid w:val="00891FD8"/>
    <w:rsid w:val="00892A82"/>
    <w:rsid w:val="00892EC1"/>
    <w:rsid w:val="00892FB6"/>
    <w:rsid w:val="00893089"/>
    <w:rsid w:val="00893420"/>
    <w:rsid w:val="0089391A"/>
    <w:rsid w:val="00893A35"/>
    <w:rsid w:val="00893BBE"/>
    <w:rsid w:val="00893E16"/>
    <w:rsid w:val="00894126"/>
    <w:rsid w:val="0089426C"/>
    <w:rsid w:val="0089427F"/>
    <w:rsid w:val="008946C8"/>
    <w:rsid w:val="0089476F"/>
    <w:rsid w:val="008947C2"/>
    <w:rsid w:val="00894B19"/>
    <w:rsid w:val="00894B9A"/>
    <w:rsid w:val="00894DFB"/>
    <w:rsid w:val="00894E05"/>
    <w:rsid w:val="00894EF5"/>
    <w:rsid w:val="00894F96"/>
    <w:rsid w:val="0089512B"/>
    <w:rsid w:val="008951FB"/>
    <w:rsid w:val="0089579F"/>
    <w:rsid w:val="00895B1A"/>
    <w:rsid w:val="00895D42"/>
    <w:rsid w:val="00895F08"/>
    <w:rsid w:val="0089619A"/>
    <w:rsid w:val="008963AE"/>
    <w:rsid w:val="0089656F"/>
    <w:rsid w:val="00896AD3"/>
    <w:rsid w:val="008973CF"/>
    <w:rsid w:val="0089749C"/>
    <w:rsid w:val="00897685"/>
    <w:rsid w:val="00897CF3"/>
    <w:rsid w:val="008A04DA"/>
    <w:rsid w:val="008A0CEB"/>
    <w:rsid w:val="008A1AAE"/>
    <w:rsid w:val="008A1E6D"/>
    <w:rsid w:val="008A3122"/>
    <w:rsid w:val="008A33B8"/>
    <w:rsid w:val="008A38D5"/>
    <w:rsid w:val="008A3F10"/>
    <w:rsid w:val="008A4134"/>
    <w:rsid w:val="008A45A4"/>
    <w:rsid w:val="008A4870"/>
    <w:rsid w:val="008A48CA"/>
    <w:rsid w:val="008A49EF"/>
    <w:rsid w:val="008A4A5C"/>
    <w:rsid w:val="008A4BBE"/>
    <w:rsid w:val="008A5529"/>
    <w:rsid w:val="008A5E5E"/>
    <w:rsid w:val="008A60E4"/>
    <w:rsid w:val="008A622A"/>
    <w:rsid w:val="008A672D"/>
    <w:rsid w:val="008A6AC4"/>
    <w:rsid w:val="008A71A5"/>
    <w:rsid w:val="008A735C"/>
    <w:rsid w:val="008A73B8"/>
    <w:rsid w:val="008A765D"/>
    <w:rsid w:val="008A7777"/>
    <w:rsid w:val="008A789F"/>
    <w:rsid w:val="008A7EA6"/>
    <w:rsid w:val="008B0195"/>
    <w:rsid w:val="008B02FE"/>
    <w:rsid w:val="008B03E6"/>
    <w:rsid w:val="008B096C"/>
    <w:rsid w:val="008B0EBE"/>
    <w:rsid w:val="008B0EF1"/>
    <w:rsid w:val="008B0F8A"/>
    <w:rsid w:val="008B1573"/>
    <w:rsid w:val="008B1B96"/>
    <w:rsid w:val="008B1F83"/>
    <w:rsid w:val="008B2106"/>
    <w:rsid w:val="008B2A26"/>
    <w:rsid w:val="008B2FE9"/>
    <w:rsid w:val="008B32AD"/>
    <w:rsid w:val="008B335B"/>
    <w:rsid w:val="008B355F"/>
    <w:rsid w:val="008B3F08"/>
    <w:rsid w:val="008B3F3C"/>
    <w:rsid w:val="008B413E"/>
    <w:rsid w:val="008B4AFD"/>
    <w:rsid w:val="008B4B42"/>
    <w:rsid w:val="008B4D21"/>
    <w:rsid w:val="008B4F65"/>
    <w:rsid w:val="008B4FEA"/>
    <w:rsid w:val="008B50D9"/>
    <w:rsid w:val="008B5220"/>
    <w:rsid w:val="008B5398"/>
    <w:rsid w:val="008B568F"/>
    <w:rsid w:val="008B56C9"/>
    <w:rsid w:val="008B625E"/>
    <w:rsid w:val="008B656F"/>
    <w:rsid w:val="008B6723"/>
    <w:rsid w:val="008B6753"/>
    <w:rsid w:val="008B697A"/>
    <w:rsid w:val="008B6B4E"/>
    <w:rsid w:val="008B6C20"/>
    <w:rsid w:val="008B6DAF"/>
    <w:rsid w:val="008B6F8C"/>
    <w:rsid w:val="008B7889"/>
    <w:rsid w:val="008B7B5B"/>
    <w:rsid w:val="008B7F1E"/>
    <w:rsid w:val="008B7F27"/>
    <w:rsid w:val="008C024F"/>
    <w:rsid w:val="008C03C6"/>
    <w:rsid w:val="008C045C"/>
    <w:rsid w:val="008C0927"/>
    <w:rsid w:val="008C0B7F"/>
    <w:rsid w:val="008C0B98"/>
    <w:rsid w:val="008C1190"/>
    <w:rsid w:val="008C11AF"/>
    <w:rsid w:val="008C1699"/>
    <w:rsid w:val="008C18DC"/>
    <w:rsid w:val="008C1CAE"/>
    <w:rsid w:val="008C237D"/>
    <w:rsid w:val="008C2678"/>
    <w:rsid w:val="008C272D"/>
    <w:rsid w:val="008C2D9B"/>
    <w:rsid w:val="008C2FC3"/>
    <w:rsid w:val="008C309A"/>
    <w:rsid w:val="008C3347"/>
    <w:rsid w:val="008C38A4"/>
    <w:rsid w:val="008C3DDB"/>
    <w:rsid w:val="008C42F8"/>
    <w:rsid w:val="008C454E"/>
    <w:rsid w:val="008C4902"/>
    <w:rsid w:val="008C4A3A"/>
    <w:rsid w:val="008C4BBB"/>
    <w:rsid w:val="008C4D8C"/>
    <w:rsid w:val="008C4F96"/>
    <w:rsid w:val="008C546F"/>
    <w:rsid w:val="008C5E93"/>
    <w:rsid w:val="008C61FD"/>
    <w:rsid w:val="008C6566"/>
    <w:rsid w:val="008C6D24"/>
    <w:rsid w:val="008C716F"/>
    <w:rsid w:val="008C71C2"/>
    <w:rsid w:val="008C77CE"/>
    <w:rsid w:val="008C78A6"/>
    <w:rsid w:val="008C7B9A"/>
    <w:rsid w:val="008C7BE9"/>
    <w:rsid w:val="008D015D"/>
    <w:rsid w:val="008D0434"/>
    <w:rsid w:val="008D04C1"/>
    <w:rsid w:val="008D0596"/>
    <w:rsid w:val="008D0794"/>
    <w:rsid w:val="008D08AF"/>
    <w:rsid w:val="008D094A"/>
    <w:rsid w:val="008D0BF6"/>
    <w:rsid w:val="008D1154"/>
    <w:rsid w:val="008D1234"/>
    <w:rsid w:val="008D1460"/>
    <w:rsid w:val="008D156A"/>
    <w:rsid w:val="008D1975"/>
    <w:rsid w:val="008D1E84"/>
    <w:rsid w:val="008D1F89"/>
    <w:rsid w:val="008D209E"/>
    <w:rsid w:val="008D225D"/>
    <w:rsid w:val="008D2441"/>
    <w:rsid w:val="008D24BB"/>
    <w:rsid w:val="008D2622"/>
    <w:rsid w:val="008D2858"/>
    <w:rsid w:val="008D28C1"/>
    <w:rsid w:val="008D3212"/>
    <w:rsid w:val="008D3666"/>
    <w:rsid w:val="008D3E85"/>
    <w:rsid w:val="008D4052"/>
    <w:rsid w:val="008D41AA"/>
    <w:rsid w:val="008D43B4"/>
    <w:rsid w:val="008D44E8"/>
    <w:rsid w:val="008D47A3"/>
    <w:rsid w:val="008D4AEF"/>
    <w:rsid w:val="008D5226"/>
    <w:rsid w:val="008D552C"/>
    <w:rsid w:val="008D56A9"/>
    <w:rsid w:val="008D5E54"/>
    <w:rsid w:val="008D5F2A"/>
    <w:rsid w:val="008D5FDD"/>
    <w:rsid w:val="008D67D8"/>
    <w:rsid w:val="008D6810"/>
    <w:rsid w:val="008D6B81"/>
    <w:rsid w:val="008D6C20"/>
    <w:rsid w:val="008D7566"/>
    <w:rsid w:val="008D7B31"/>
    <w:rsid w:val="008D7BCC"/>
    <w:rsid w:val="008D7CF4"/>
    <w:rsid w:val="008D7DB5"/>
    <w:rsid w:val="008D7EA5"/>
    <w:rsid w:val="008E07C3"/>
    <w:rsid w:val="008E1015"/>
    <w:rsid w:val="008E15F7"/>
    <w:rsid w:val="008E1B1D"/>
    <w:rsid w:val="008E1F12"/>
    <w:rsid w:val="008E1F57"/>
    <w:rsid w:val="008E2150"/>
    <w:rsid w:val="008E24D9"/>
    <w:rsid w:val="008E26D3"/>
    <w:rsid w:val="008E2985"/>
    <w:rsid w:val="008E2BD4"/>
    <w:rsid w:val="008E35BC"/>
    <w:rsid w:val="008E3878"/>
    <w:rsid w:val="008E38FD"/>
    <w:rsid w:val="008E3F55"/>
    <w:rsid w:val="008E417C"/>
    <w:rsid w:val="008E496D"/>
    <w:rsid w:val="008E4A29"/>
    <w:rsid w:val="008E4D69"/>
    <w:rsid w:val="008E4F20"/>
    <w:rsid w:val="008E50FD"/>
    <w:rsid w:val="008E5235"/>
    <w:rsid w:val="008E53C0"/>
    <w:rsid w:val="008E547D"/>
    <w:rsid w:val="008E5570"/>
    <w:rsid w:val="008E5745"/>
    <w:rsid w:val="008E5771"/>
    <w:rsid w:val="008E5A2D"/>
    <w:rsid w:val="008E5C40"/>
    <w:rsid w:val="008E5FC0"/>
    <w:rsid w:val="008E6268"/>
    <w:rsid w:val="008E65DC"/>
    <w:rsid w:val="008E692F"/>
    <w:rsid w:val="008E6A21"/>
    <w:rsid w:val="008E6B13"/>
    <w:rsid w:val="008E701F"/>
    <w:rsid w:val="008E7190"/>
    <w:rsid w:val="008E72A2"/>
    <w:rsid w:val="008E7338"/>
    <w:rsid w:val="008E76E0"/>
    <w:rsid w:val="008E7A19"/>
    <w:rsid w:val="008E7B4A"/>
    <w:rsid w:val="008E7E69"/>
    <w:rsid w:val="008E7F78"/>
    <w:rsid w:val="008F036D"/>
    <w:rsid w:val="008F037A"/>
    <w:rsid w:val="008F0969"/>
    <w:rsid w:val="008F0E85"/>
    <w:rsid w:val="008F1255"/>
    <w:rsid w:val="008F12DD"/>
    <w:rsid w:val="008F133E"/>
    <w:rsid w:val="008F15C3"/>
    <w:rsid w:val="008F1A12"/>
    <w:rsid w:val="008F1AE0"/>
    <w:rsid w:val="008F1B3C"/>
    <w:rsid w:val="008F205F"/>
    <w:rsid w:val="008F20F7"/>
    <w:rsid w:val="008F211E"/>
    <w:rsid w:val="008F21B7"/>
    <w:rsid w:val="008F269F"/>
    <w:rsid w:val="008F28EB"/>
    <w:rsid w:val="008F2FF8"/>
    <w:rsid w:val="008F3234"/>
    <w:rsid w:val="008F3B3B"/>
    <w:rsid w:val="008F3E7F"/>
    <w:rsid w:val="008F3FB6"/>
    <w:rsid w:val="008F434F"/>
    <w:rsid w:val="008F445F"/>
    <w:rsid w:val="008F47E5"/>
    <w:rsid w:val="008F4AE9"/>
    <w:rsid w:val="008F4B62"/>
    <w:rsid w:val="008F4DD4"/>
    <w:rsid w:val="008F524E"/>
    <w:rsid w:val="008F5334"/>
    <w:rsid w:val="008F6744"/>
    <w:rsid w:val="008F689A"/>
    <w:rsid w:val="008F6988"/>
    <w:rsid w:val="008F6B7D"/>
    <w:rsid w:val="008F6F02"/>
    <w:rsid w:val="008F727D"/>
    <w:rsid w:val="008F732F"/>
    <w:rsid w:val="008F734A"/>
    <w:rsid w:val="008F7428"/>
    <w:rsid w:val="008F76B1"/>
    <w:rsid w:val="008F7705"/>
    <w:rsid w:val="008F7881"/>
    <w:rsid w:val="00900314"/>
    <w:rsid w:val="00900456"/>
    <w:rsid w:val="00900AA9"/>
    <w:rsid w:val="00900DD0"/>
    <w:rsid w:val="00900F43"/>
    <w:rsid w:val="00901668"/>
    <w:rsid w:val="00901C18"/>
    <w:rsid w:val="00901E5A"/>
    <w:rsid w:val="00901F46"/>
    <w:rsid w:val="0090246D"/>
    <w:rsid w:val="00902538"/>
    <w:rsid w:val="00902893"/>
    <w:rsid w:val="00902B75"/>
    <w:rsid w:val="00902C70"/>
    <w:rsid w:val="00902D9A"/>
    <w:rsid w:val="0090340C"/>
    <w:rsid w:val="00903443"/>
    <w:rsid w:val="00903707"/>
    <w:rsid w:val="0090379D"/>
    <w:rsid w:val="0090386B"/>
    <w:rsid w:val="00903924"/>
    <w:rsid w:val="00903BC8"/>
    <w:rsid w:val="00903FBC"/>
    <w:rsid w:val="00904008"/>
    <w:rsid w:val="009044A4"/>
    <w:rsid w:val="009047EC"/>
    <w:rsid w:val="00904B18"/>
    <w:rsid w:val="0090508B"/>
    <w:rsid w:val="00905219"/>
    <w:rsid w:val="0090528F"/>
    <w:rsid w:val="009055C4"/>
    <w:rsid w:val="00905FA6"/>
    <w:rsid w:val="00906350"/>
    <w:rsid w:val="009064EF"/>
    <w:rsid w:val="00906770"/>
    <w:rsid w:val="00906CDC"/>
    <w:rsid w:val="00906EA5"/>
    <w:rsid w:val="00906ED3"/>
    <w:rsid w:val="00907019"/>
    <w:rsid w:val="009072E9"/>
    <w:rsid w:val="0090735B"/>
    <w:rsid w:val="009074FE"/>
    <w:rsid w:val="009075C0"/>
    <w:rsid w:val="00907EFE"/>
    <w:rsid w:val="00910003"/>
    <w:rsid w:val="00910037"/>
    <w:rsid w:val="009100AC"/>
    <w:rsid w:val="0091015F"/>
    <w:rsid w:val="009101EB"/>
    <w:rsid w:val="00910472"/>
    <w:rsid w:val="009109C4"/>
    <w:rsid w:val="00910C9F"/>
    <w:rsid w:val="00911587"/>
    <w:rsid w:val="00911801"/>
    <w:rsid w:val="0091196B"/>
    <w:rsid w:val="00912049"/>
    <w:rsid w:val="0091223D"/>
    <w:rsid w:val="00912526"/>
    <w:rsid w:val="0091252A"/>
    <w:rsid w:val="009127E9"/>
    <w:rsid w:val="00912DEE"/>
    <w:rsid w:val="009134EF"/>
    <w:rsid w:val="009137A9"/>
    <w:rsid w:val="0091394F"/>
    <w:rsid w:val="00913A9B"/>
    <w:rsid w:val="00913B07"/>
    <w:rsid w:val="00913D29"/>
    <w:rsid w:val="00913E0E"/>
    <w:rsid w:val="00913E1D"/>
    <w:rsid w:val="00914406"/>
    <w:rsid w:val="0091455F"/>
    <w:rsid w:val="00914887"/>
    <w:rsid w:val="009149BB"/>
    <w:rsid w:val="009149C9"/>
    <w:rsid w:val="00914E86"/>
    <w:rsid w:val="00915484"/>
    <w:rsid w:val="009155DE"/>
    <w:rsid w:val="00915739"/>
    <w:rsid w:val="00915BAA"/>
    <w:rsid w:val="00915FEC"/>
    <w:rsid w:val="0091620D"/>
    <w:rsid w:val="00916283"/>
    <w:rsid w:val="009163AA"/>
    <w:rsid w:val="00916BC5"/>
    <w:rsid w:val="00916F35"/>
    <w:rsid w:val="00917728"/>
    <w:rsid w:val="00917ACC"/>
    <w:rsid w:val="00917B10"/>
    <w:rsid w:val="00917D2E"/>
    <w:rsid w:val="00917E36"/>
    <w:rsid w:val="009200CF"/>
    <w:rsid w:val="0092022E"/>
    <w:rsid w:val="009203C6"/>
    <w:rsid w:val="009203DD"/>
    <w:rsid w:val="00920619"/>
    <w:rsid w:val="009207A5"/>
    <w:rsid w:val="00920A23"/>
    <w:rsid w:val="00920B25"/>
    <w:rsid w:val="00920CFB"/>
    <w:rsid w:val="009211F1"/>
    <w:rsid w:val="009212F6"/>
    <w:rsid w:val="009213B3"/>
    <w:rsid w:val="0092202F"/>
    <w:rsid w:val="009222E4"/>
    <w:rsid w:val="0092270A"/>
    <w:rsid w:val="009227F9"/>
    <w:rsid w:val="00922CF6"/>
    <w:rsid w:val="00922E41"/>
    <w:rsid w:val="0092320F"/>
    <w:rsid w:val="00923453"/>
    <w:rsid w:val="00923550"/>
    <w:rsid w:val="00923623"/>
    <w:rsid w:val="00923ACC"/>
    <w:rsid w:val="00923B60"/>
    <w:rsid w:val="00923EE5"/>
    <w:rsid w:val="00923FF1"/>
    <w:rsid w:val="0092405B"/>
    <w:rsid w:val="00924195"/>
    <w:rsid w:val="0092438B"/>
    <w:rsid w:val="00924421"/>
    <w:rsid w:val="009249E7"/>
    <w:rsid w:val="00925052"/>
    <w:rsid w:val="00925227"/>
    <w:rsid w:val="00925407"/>
    <w:rsid w:val="009256A3"/>
    <w:rsid w:val="00925739"/>
    <w:rsid w:val="009257B2"/>
    <w:rsid w:val="00926372"/>
    <w:rsid w:val="009264E0"/>
    <w:rsid w:val="00926AEC"/>
    <w:rsid w:val="00927163"/>
    <w:rsid w:val="009271B9"/>
    <w:rsid w:val="009271EC"/>
    <w:rsid w:val="0092744E"/>
    <w:rsid w:val="0092777A"/>
    <w:rsid w:val="00927DE5"/>
    <w:rsid w:val="00927EF9"/>
    <w:rsid w:val="00930268"/>
    <w:rsid w:val="009302C5"/>
    <w:rsid w:val="00930508"/>
    <w:rsid w:val="0093230C"/>
    <w:rsid w:val="0093279B"/>
    <w:rsid w:val="009327D9"/>
    <w:rsid w:val="00932A5A"/>
    <w:rsid w:val="00932DDF"/>
    <w:rsid w:val="00932E94"/>
    <w:rsid w:val="00933332"/>
    <w:rsid w:val="0093343E"/>
    <w:rsid w:val="009335A4"/>
    <w:rsid w:val="00933603"/>
    <w:rsid w:val="00933679"/>
    <w:rsid w:val="00933A9A"/>
    <w:rsid w:val="00933FBD"/>
    <w:rsid w:val="00934697"/>
    <w:rsid w:val="00934987"/>
    <w:rsid w:val="00935130"/>
    <w:rsid w:val="00935BD7"/>
    <w:rsid w:val="00935FBF"/>
    <w:rsid w:val="00936084"/>
    <w:rsid w:val="009365FB"/>
    <w:rsid w:val="00936E3E"/>
    <w:rsid w:val="009373EA"/>
    <w:rsid w:val="0093769E"/>
    <w:rsid w:val="00937919"/>
    <w:rsid w:val="00937AB8"/>
    <w:rsid w:val="00937C37"/>
    <w:rsid w:val="00937F79"/>
    <w:rsid w:val="00937FB5"/>
    <w:rsid w:val="00940342"/>
    <w:rsid w:val="0094050F"/>
    <w:rsid w:val="00940571"/>
    <w:rsid w:val="0094072A"/>
    <w:rsid w:val="00940890"/>
    <w:rsid w:val="009413AE"/>
    <w:rsid w:val="0094149A"/>
    <w:rsid w:val="00941D17"/>
    <w:rsid w:val="00941D87"/>
    <w:rsid w:val="009420AE"/>
    <w:rsid w:val="0094211A"/>
    <w:rsid w:val="00942318"/>
    <w:rsid w:val="00942414"/>
    <w:rsid w:val="00942617"/>
    <w:rsid w:val="009428C6"/>
    <w:rsid w:val="00942AAC"/>
    <w:rsid w:val="00942F92"/>
    <w:rsid w:val="00942FC4"/>
    <w:rsid w:val="0094328C"/>
    <w:rsid w:val="00943730"/>
    <w:rsid w:val="00943842"/>
    <w:rsid w:val="00943C5A"/>
    <w:rsid w:val="00943DE0"/>
    <w:rsid w:val="00943FD2"/>
    <w:rsid w:val="0094410C"/>
    <w:rsid w:val="0094422C"/>
    <w:rsid w:val="009443E4"/>
    <w:rsid w:val="0094446F"/>
    <w:rsid w:val="009446B7"/>
    <w:rsid w:val="00944757"/>
    <w:rsid w:val="009448F5"/>
    <w:rsid w:val="00944C37"/>
    <w:rsid w:val="00944DC7"/>
    <w:rsid w:val="0094508F"/>
    <w:rsid w:val="00945329"/>
    <w:rsid w:val="009453D0"/>
    <w:rsid w:val="0094551D"/>
    <w:rsid w:val="00945522"/>
    <w:rsid w:val="00945527"/>
    <w:rsid w:val="00945580"/>
    <w:rsid w:val="00945AD8"/>
    <w:rsid w:val="00945D8F"/>
    <w:rsid w:val="009468A5"/>
    <w:rsid w:val="00946DD5"/>
    <w:rsid w:val="00947686"/>
    <w:rsid w:val="0094798F"/>
    <w:rsid w:val="00947BC4"/>
    <w:rsid w:val="00950000"/>
    <w:rsid w:val="00950129"/>
    <w:rsid w:val="009507B4"/>
    <w:rsid w:val="00950908"/>
    <w:rsid w:val="0095117D"/>
    <w:rsid w:val="0095136C"/>
    <w:rsid w:val="009515E0"/>
    <w:rsid w:val="00951787"/>
    <w:rsid w:val="00951B25"/>
    <w:rsid w:val="00951B53"/>
    <w:rsid w:val="00951C86"/>
    <w:rsid w:val="00951D42"/>
    <w:rsid w:val="00951F07"/>
    <w:rsid w:val="00951F90"/>
    <w:rsid w:val="00952789"/>
    <w:rsid w:val="0095291B"/>
    <w:rsid w:val="009531BB"/>
    <w:rsid w:val="0095356F"/>
    <w:rsid w:val="00953757"/>
    <w:rsid w:val="0095384B"/>
    <w:rsid w:val="00953AFC"/>
    <w:rsid w:val="00953C80"/>
    <w:rsid w:val="00953D18"/>
    <w:rsid w:val="00953FE8"/>
    <w:rsid w:val="009540DA"/>
    <w:rsid w:val="0095424E"/>
    <w:rsid w:val="009548AF"/>
    <w:rsid w:val="009556F0"/>
    <w:rsid w:val="009558E9"/>
    <w:rsid w:val="00955A9F"/>
    <w:rsid w:val="00955C8E"/>
    <w:rsid w:val="00955FD6"/>
    <w:rsid w:val="0095671D"/>
    <w:rsid w:val="00956916"/>
    <w:rsid w:val="00956A43"/>
    <w:rsid w:val="00956AC6"/>
    <w:rsid w:val="00956C1A"/>
    <w:rsid w:val="00956D56"/>
    <w:rsid w:val="00956F55"/>
    <w:rsid w:val="00957143"/>
    <w:rsid w:val="00957184"/>
    <w:rsid w:val="009575BC"/>
    <w:rsid w:val="00957686"/>
    <w:rsid w:val="009577EF"/>
    <w:rsid w:val="009578D1"/>
    <w:rsid w:val="00957947"/>
    <w:rsid w:val="009601AE"/>
    <w:rsid w:val="009604C9"/>
    <w:rsid w:val="009604F3"/>
    <w:rsid w:val="009605D1"/>
    <w:rsid w:val="0096069A"/>
    <w:rsid w:val="00960B56"/>
    <w:rsid w:val="00960BDE"/>
    <w:rsid w:val="00961166"/>
    <w:rsid w:val="009618F9"/>
    <w:rsid w:val="00961985"/>
    <w:rsid w:val="009619C2"/>
    <w:rsid w:val="00961CED"/>
    <w:rsid w:val="00961D15"/>
    <w:rsid w:val="009620CD"/>
    <w:rsid w:val="0096217D"/>
    <w:rsid w:val="00962521"/>
    <w:rsid w:val="009629C9"/>
    <w:rsid w:val="00962D41"/>
    <w:rsid w:val="0096343C"/>
    <w:rsid w:val="00963603"/>
    <w:rsid w:val="009637EC"/>
    <w:rsid w:val="0096394F"/>
    <w:rsid w:val="009639A9"/>
    <w:rsid w:val="00963B2A"/>
    <w:rsid w:val="00963C7F"/>
    <w:rsid w:val="00964321"/>
    <w:rsid w:val="0096442D"/>
    <w:rsid w:val="00964578"/>
    <w:rsid w:val="00964891"/>
    <w:rsid w:val="00964A33"/>
    <w:rsid w:val="00964ADF"/>
    <w:rsid w:val="00964C4E"/>
    <w:rsid w:val="00964DC0"/>
    <w:rsid w:val="00964F47"/>
    <w:rsid w:val="00965172"/>
    <w:rsid w:val="00965426"/>
    <w:rsid w:val="00965451"/>
    <w:rsid w:val="00965680"/>
    <w:rsid w:val="00965807"/>
    <w:rsid w:val="0096580B"/>
    <w:rsid w:val="0096593D"/>
    <w:rsid w:val="00965A9D"/>
    <w:rsid w:val="00965D2A"/>
    <w:rsid w:val="00965F0C"/>
    <w:rsid w:val="00965FE5"/>
    <w:rsid w:val="0096657E"/>
    <w:rsid w:val="009666DD"/>
    <w:rsid w:val="009668CC"/>
    <w:rsid w:val="00966992"/>
    <w:rsid w:val="00966D89"/>
    <w:rsid w:val="009672C1"/>
    <w:rsid w:val="00967573"/>
    <w:rsid w:val="0096760F"/>
    <w:rsid w:val="0096762F"/>
    <w:rsid w:val="0096770D"/>
    <w:rsid w:val="00967D52"/>
    <w:rsid w:val="009701C7"/>
    <w:rsid w:val="009703FD"/>
    <w:rsid w:val="00970572"/>
    <w:rsid w:val="00970772"/>
    <w:rsid w:val="00970B02"/>
    <w:rsid w:val="00970F53"/>
    <w:rsid w:val="00970F64"/>
    <w:rsid w:val="0097110C"/>
    <w:rsid w:val="00971191"/>
    <w:rsid w:val="00971697"/>
    <w:rsid w:val="00971921"/>
    <w:rsid w:val="00971CC4"/>
    <w:rsid w:val="00971DD3"/>
    <w:rsid w:val="00971EE8"/>
    <w:rsid w:val="00972049"/>
    <w:rsid w:val="009721EA"/>
    <w:rsid w:val="00972800"/>
    <w:rsid w:val="00972B5F"/>
    <w:rsid w:val="00972B92"/>
    <w:rsid w:val="00972C15"/>
    <w:rsid w:val="0097311E"/>
    <w:rsid w:val="00973962"/>
    <w:rsid w:val="00973AF6"/>
    <w:rsid w:val="00973E31"/>
    <w:rsid w:val="00973E64"/>
    <w:rsid w:val="00974152"/>
    <w:rsid w:val="00974206"/>
    <w:rsid w:val="0097441C"/>
    <w:rsid w:val="009749A2"/>
    <w:rsid w:val="00974C79"/>
    <w:rsid w:val="00974CEB"/>
    <w:rsid w:val="00974FFF"/>
    <w:rsid w:val="00975125"/>
    <w:rsid w:val="00975902"/>
    <w:rsid w:val="0097595C"/>
    <w:rsid w:val="00975B12"/>
    <w:rsid w:val="00975B23"/>
    <w:rsid w:val="00975F02"/>
    <w:rsid w:val="009762C5"/>
    <w:rsid w:val="00976E76"/>
    <w:rsid w:val="009770E2"/>
    <w:rsid w:val="009774B4"/>
    <w:rsid w:val="00977592"/>
    <w:rsid w:val="009778E8"/>
    <w:rsid w:val="00977D6C"/>
    <w:rsid w:val="00977E74"/>
    <w:rsid w:val="0098047E"/>
    <w:rsid w:val="0098087B"/>
    <w:rsid w:val="00980D0A"/>
    <w:rsid w:val="009811E9"/>
    <w:rsid w:val="00981445"/>
    <w:rsid w:val="0098157B"/>
    <w:rsid w:val="00981764"/>
    <w:rsid w:val="009819CC"/>
    <w:rsid w:val="00981A0D"/>
    <w:rsid w:val="00981A6A"/>
    <w:rsid w:val="00981D27"/>
    <w:rsid w:val="00981FB8"/>
    <w:rsid w:val="009820B2"/>
    <w:rsid w:val="009822C7"/>
    <w:rsid w:val="00982558"/>
    <w:rsid w:val="00982820"/>
    <w:rsid w:val="00982BB1"/>
    <w:rsid w:val="00982EFA"/>
    <w:rsid w:val="0098322F"/>
    <w:rsid w:val="00983262"/>
    <w:rsid w:val="009833E0"/>
    <w:rsid w:val="00983669"/>
    <w:rsid w:val="00983D14"/>
    <w:rsid w:val="00983D4F"/>
    <w:rsid w:val="00983DBE"/>
    <w:rsid w:val="00983DE7"/>
    <w:rsid w:val="00983E06"/>
    <w:rsid w:val="00983F67"/>
    <w:rsid w:val="00985500"/>
    <w:rsid w:val="00985703"/>
    <w:rsid w:val="00985883"/>
    <w:rsid w:val="009858D0"/>
    <w:rsid w:val="00985A64"/>
    <w:rsid w:val="00985BCC"/>
    <w:rsid w:val="00985C21"/>
    <w:rsid w:val="00985CFA"/>
    <w:rsid w:val="00985EA3"/>
    <w:rsid w:val="009862EB"/>
    <w:rsid w:val="00986414"/>
    <w:rsid w:val="00986EFE"/>
    <w:rsid w:val="009871F7"/>
    <w:rsid w:val="009872DE"/>
    <w:rsid w:val="0098741B"/>
    <w:rsid w:val="00987704"/>
    <w:rsid w:val="0098798E"/>
    <w:rsid w:val="00987A56"/>
    <w:rsid w:val="00987D1F"/>
    <w:rsid w:val="009901CE"/>
    <w:rsid w:val="0099024D"/>
    <w:rsid w:val="009904B6"/>
    <w:rsid w:val="00990BEF"/>
    <w:rsid w:val="00990C21"/>
    <w:rsid w:val="00990EFA"/>
    <w:rsid w:val="00990F07"/>
    <w:rsid w:val="009914C3"/>
    <w:rsid w:val="009918D9"/>
    <w:rsid w:val="00992209"/>
    <w:rsid w:val="00992711"/>
    <w:rsid w:val="00993163"/>
    <w:rsid w:val="009932F8"/>
    <w:rsid w:val="00993D81"/>
    <w:rsid w:val="00994328"/>
    <w:rsid w:val="0099451B"/>
    <w:rsid w:val="009947B7"/>
    <w:rsid w:val="00994EE0"/>
    <w:rsid w:val="009954CE"/>
    <w:rsid w:val="00995849"/>
    <w:rsid w:val="00995A73"/>
    <w:rsid w:val="00995D5C"/>
    <w:rsid w:val="00995DB9"/>
    <w:rsid w:val="009961C0"/>
    <w:rsid w:val="009968EF"/>
    <w:rsid w:val="0099691E"/>
    <w:rsid w:val="00996931"/>
    <w:rsid w:val="00996CE3"/>
    <w:rsid w:val="009971ED"/>
    <w:rsid w:val="00997AF7"/>
    <w:rsid w:val="00997AFB"/>
    <w:rsid w:val="00997F7B"/>
    <w:rsid w:val="009A005C"/>
    <w:rsid w:val="009A011A"/>
    <w:rsid w:val="009A02A5"/>
    <w:rsid w:val="009A02E0"/>
    <w:rsid w:val="009A0338"/>
    <w:rsid w:val="009A07E0"/>
    <w:rsid w:val="009A116C"/>
    <w:rsid w:val="009A16D2"/>
    <w:rsid w:val="009A18F9"/>
    <w:rsid w:val="009A1A8C"/>
    <w:rsid w:val="009A2566"/>
    <w:rsid w:val="009A28A9"/>
    <w:rsid w:val="009A2B0B"/>
    <w:rsid w:val="009A2F5B"/>
    <w:rsid w:val="009A3050"/>
    <w:rsid w:val="009A32F5"/>
    <w:rsid w:val="009A338B"/>
    <w:rsid w:val="009A35D0"/>
    <w:rsid w:val="009A360C"/>
    <w:rsid w:val="009A3A00"/>
    <w:rsid w:val="009A3D63"/>
    <w:rsid w:val="009A3E2F"/>
    <w:rsid w:val="009A3E54"/>
    <w:rsid w:val="009A458C"/>
    <w:rsid w:val="009A45C6"/>
    <w:rsid w:val="009A49CF"/>
    <w:rsid w:val="009A4B30"/>
    <w:rsid w:val="009A4D1A"/>
    <w:rsid w:val="009A4D1D"/>
    <w:rsid w:val="009A4D9E"/>
    <w:rsid w:val="009A5036"/>
    <w:rsid w:val="009A52AA"/>
    <w:rsid w:val="009A52AB"/>
    <w:rsid w:val="009A55A8"/>
    <w:rsid w:val="009A59B1"/>
    <w:rsid w:val="009A59C6"/>
    <w:rsid w:val="009A59E9"/>
    <w:rsid w:val="009A5AFF"/>
    <w:rsid w:val="009A5C6B"/>
    <w:rsid w:val="009A5CD7"/>
    <w:rsid w:val="009A5CDC"/>
    <w:rsid w:val="009A621D"/>
    <w:rsid w:val="009A632C"/>
    <w:rsid w:val="009A6433"/>
    <w:rsid w:val="009A64F0"/>
    <w:rsid w:val="009A67D9"/>
    <w:rsid w:val="009A6AA5"/>
    <w:rsid w:val="009A7252"/>
    <w:rsid w:val="009A739D"/>
    <w:rsid w:val="009B0288"/>
    <w:rsid w:val="009B05FE"/>
    <w:rsid w:val="009B074F"/>
    <w:rsid w:val="009B0954"/>
    <w:rsid w:val="009B0B10"/>
    <w:rsid w:val="009B0BDA"/>
    <w:rsid w:val="009B0EAD"/>
    <w:rsid w:val="009B0F72"/>
    <w:rsid w:val="009B105A"/>
    <w:rsid w:val="009B1293"/>
    <w:rsid w:val="009B13EA"/>
    <w:rsid w:val="009B14B0"/>
    <w:rsid w:val="009B17C8"/>
    <w:rsid w:val="009B17F9"/>
    <w:rsid w:val="009B19DB"/>
    <w:rsid w:val="009B1AA1"/>
    <w:rsid w:val="009B1CCB"/>
    <w:rsid w:val="009B1EC9"/>
    <w:rsid w:val="009B2388"/>
    <w:rsid w:val="009B27B4"/>
    <w:rsid w:val="009B2C5F"/>
    <w:rsid w:val="009B35F4"/>
    <w:rsid w:val="009B36AF"/>
    <w:rsid w:val="009B388B"/>
    <w:rsid w:val="009B3C1A"/>
    <w:rsid w:val="009B3F0A"/>
    <w:rsid w:val="009B4060"/>
    <w:rsid w:val="009B4538"/>
    <w:rsid w:val="009B464A"/>
    <w:rsid w:val="009B49E1"/>
    <w:rsid w:val="009B4B42"/>
    <w:rsid w:val="009B4F28"/>
    <w:rsid w:val="009B503E"/>
    <w:rsid w:val="009B52DC"/>
    <w:rsid w:val="009B5A5C"/>
    <w:rsid w:val="009B5D62"/>
    <w:rsid w:val="009B5FD8"/>
    <w:rsid w:val="009B6540"/>
    <w:rsid w:val="009B6E30"/>
    <w:rsid w:val="009B6E91"/>
    <w:rsid w:val="009B718A"/>
    <w:rsid w:val="009B7193"/>
    <w:rsid w:val="009B72EF"/>
    <w:rsid w:val="009B7334"/>
    <w:rsid w:val="009B73F8"/>
    <w:rsid w:val="009B786F"/>
    <w:rsid w:val="009B7916"/>
    <w:rsid w:val="009B7B10"/>
    <w:rsid w:val="009B7E1D"/>
    <w:rsid w:val="009C01C0"/>
    <w:rsid w:val="009C0229"/>
    <w:rsid w:val="009C061F"/>
    <w:rsid w:val="009C0A8F"/>
    <w:rsid w:val="009C102D"/>
    <w:rsid w:val="009C12FC"/>
    <w:rsid w:val="009C131D"/>
    <w:rsid w:val="009C1475"/>
    <w:rsid w:val="009C1692"/>
    <w:rsid w:val="009C16F1"/>
    <w:rsid w:val="009C1BDA"/>
    <w:rsid w:val="009C2E29"/>
    <w:rsid w:val="009C302A"/>
    <w:rsid w:val="009C303A"/>
    <w:rsid w:val="009C308B"/>
    <w:rsid w:val="009C33BD"/>
    <w:rsid w:val="009C344C"/>
    <w:rsid w:val="009C3505"/>
    <w:rsid w:val="009C38F6"/>
    <w:rsid w:val="009C396E"/>
    <w:rsid w:val="009C5223"/>
    <w:rsid w:val="009C535A"/>
    <w:rsid w:val="009C5450"/>
    <w:rsid w:val="009C5BF5"/>
    <w:rsid w:val="009C5C58"/>
    <w:rsid w:val="009C66A5"/>
    <w:rsid w:val="009C69C0"/>
    <w:rsid w:val="009C6B43"/>
    <w:rsid w:val="009C6CAB"/>
    <w:rsid w:val="009C6EDD"/>
    <w:rsid w:val="009C7252"/>
    <w:rsid w:val="009C7311"/>
    <w:rsid w:val="009C7620"/>
    <w:rsid w:val="009C7CB7"/>
    <w:rsid w:val="009C7F79"/>
    <w:rsid w:val="009D0033"/>
    <w:rsid w:val="009D0CFB"/>
    <w:rsid w:val="009D0EFD"/>
    <w:rsid w:val="009D1202"/>
    <w:rsid w:val="009D14F7"/>
    <w:rsid w:val="009D1705"/>
    <w:rsid w:val="009D2153"/>
    <w:rsid w:val="009D21EE"/>
    <w:rsid w:val="009D25D0"/>
    <w:rsid w:val="009D265E"/>
    <w:rsid w:val="009D28C6"/>
    <w:rsid w:val="009D2930"/>
    <w:rsid w:val="009D2E0C"/>
    <w:rsid w:val="009D2F62"/>
    <w:rsid w:val="009D3105"/>
    <w:rsid w:val="009D32CE"/>
    <w:rsid w:val="009D3549"/>
    <w:rsid w:val="009D3994"/>
    <w:rsid w:val="009D3BF0"/>
    <w:rsid w:val="009D3CB3"/>
    <w:rsid w:val="009D4250"/>
    <w:rsid w:val="009D42E3"/>
    <w:rsid w:val="009D443C"/>
    <w:rsid w:val="009D4ACA"/>
    <w:rsid w:val="009D4E08"/>
    <w:rsid w:val="009D4E51"/>
    <w:rsid w:val="009D51F4"/>
    <w:rsid w:val="009D524C"/>
    <w:rsid w:val="009D53FA"/>
    <w:rsid w:val="009D5997"/>
    <w:rsid w:val="009D5ABA"/>
    <w:rsid w:val="009D5F3D"/>
    <w:rsid w:val="009D64DF"/>
    <w:rsid w:val="009D65FD"/>
    <w:rsid w:val="009D67F3"/>
    <w:rsid w:val="009D6CDE"/>
    <w:rsid w:val="009D71BA"/>
    <w:rsid w:val="009D72A2"/>
    <w:rsid w:val="009D7941"/>
    <w:rsid w:val="009D7D12"/>
    <w:rsid w:val="009D7FFE"/>
    <w:rsid w:val="009E0626"/>
    <w:rsid w:val="009E06A6"/>
    <w:rsid w:val="009E0826"/>
    <w:rsid w:val="009E082D"/>
    <w:rsid w:val="009E0934"/>
    <w:rsid w:val="009E0AF0"/>
    <w:rsid w:val="009E0D23"/>
    <w:rsid w:val="009E124C"/>
    <w:rsid w:val="009E154B"/>
    <w:rsid w:val="009E155C"/>
    <w:rsid w:val="009E177E"/>
    <w:rsid w:val="009E1A51"/>
    <w:rsid w:val="009E1A8E"/>
    <w:rsid w:val="009E20D7"/>
    <w:rsid w:val="009E24C5"/>
    <w:rsid w:val="009E2A65"/>
    <w:rsid w:val="009E2AC9"/>
    <w:rsid w:val="009E2B6D"/>
    <w:rsid w:val="009E30DF"/>
    <w:rsid w:val="009E3108"/>
    <w:rsid w:val="009E316F"/>
    <w:rsid w:val="009E35B3"/>
    <w:rsid w:val="009E3BD7"/>
    <w:rsid w:val="009E4ACD"/>
    <w:rsid w:val="009E4CA1"/>
    <w:rsid w:val="009E4F46"/>
    <w:rsid w:val="009E521E"/>
    <w:rsid w:val="009E53B1"/>
    <w:rsid w:val="009E56B9"/>
    <w:rsid w:val="009E5ABA"/>
    <w:rsid w:val="009E5F9A"/>
    <w:rsid w:val="009E6470"/>
    <w:rsid w:val="009E64D9"/>
    <w:rsid w:val="009E6F1C"/>
    <w:rsid w:val="009E721E"/>
    <w:rsid w:val="009E73F5"/>
    <w:rsid w:val="009E7591"/>
    <w:rsid w:val="009E782C"/>
    <w:rsid w:val="009E7C20"/>
    <w:rsid w:val="009F0017"/>
    <w:rsid w:val="009F03F9"/>
    <w:rsid w:val="009F04A5"/>
    <w:rsid w:val="009F054C"/>
    <w:rsid w:val="009F0DF9"/>
    <w:rsid w:val="009F0F33"/>
    <w:rsid w:val="009F0FDF"/>
    <w:rsid w:val="009F135B"/>
    <w:rsid w:val="009F1A67"/>
    <w:rsid w:val="009F1C42"/>
    <w:rsid w:val="009F21A3"/>
    <w:rsid w:val="009F28C6"/>
    <w:rsid w:val="009F29A5"/>
    <w:rsid w:val="009F2C41"/>
    <w:rsid w:val="009F2C75"/>
    <w:rsid w:val="009F2D27"/>
    <w:rsid w:val="009F31B9"/>
    <w:rsid w:val="009F3478"/>
    <w:rsid w:val="009F36D2"/>
    <w:rsid w:val="009F38E2"/>
    <w:rsid w:val="009F3A58"/>
    <w:rsid w:val="009F3A77"/>
    <w:rsid w:val="009F3C1F"/>
    <w:rsid w:val="009F3D1B"/>
    <w:rsid w:val="009F3DFA"/>
    <w:rsid w:val="009F42A9"/>
    <w:rsid w:val="009F42D1"/>
    <w:rsid w:val="009F448E"/>
    <w:rsid w:val="009F44AE"/>
    <w:rsid w:val="009F45D5"/>
    <w:rsid w:val="009F462A"/>
    <w:rsid w:val="009F488E"/>
    <w:rsid w:val="009F4E4A"/>
    <w:rsid w:val="009F54D7"/>
    <w:rsid w:val="009F5815"/>
    <w:rsid w:val="009F5B71"/>
    <w:rsid w:val="009F60F3"/>
    <w:rsid w:val="009F6194"/>
    <w:rsid w:val="009F628E"/>
    <w:rsid w:val="009F672D"/>
    <w:rsid w:val="009F6A3E"/>
    <w:rsid w:val="009F6BC9"/>
    <w:rsid w:val="009F6DD4"/>
    <w:rsid w:val="009F7159"/>
    <w:rsid w:val="009F778B"/>
    <w:rsid w:val="009F784E"/>
    <w:rsid w:val="009F7881"/>
    <w:rsid w:val="009F7DCD"/>
    <w:rsid w:val="009F7F6F"/>
    <w:rsid w:val="00A004B0"/>
    <w:rsid w:val="00A005E7"/>
    <w:rsid w:val="00A006F3"/>
    <w:rsid w:val="00A0089F"/>
    <w:rsid w:val="00A00A93"/>
    <w:rsid w:val="00A00C09"/>
    <w:rsid w:val="00A0129A"/>
    <w:rsid w:val="00A01DEB"/>
    <w:rsid w:val="00A01E81"/>
    <w:rsid w:val="00A02156"/>
    <w:rsid w:val="00A02764"/>
    <w:rsid w:val="00A0285D"/>
    <w:rsid w:val="00A029BC"/>
    <w:rsid w:val="00A02E43"/>
    <w:rsid w:val="00A02E81"/>
    <w:rsid w:val="00A02EFB"/>
    <w:rsid w:val="00A02FA8"/>
    <w:rsid w:val="00A03142"/>
    <w:rsid w:val="00A03212"/>
    <w:rsid w:val="00A036CF"/>
    <w:rsid w:val="00A03E61"/>
    <w:rsid w:val="00A04115"/>
    <w:rsid w:val="00A0433D"/>
    <w:rsid w:val="00A04684"/>
    <w:rsid w:val="00A04864"/>
    <w:rsid w:val="00A04913"/>
    <w:rsid w:val="00A04B03"/>
    <w:rsid w:val="00A05632"/>
    <w:rsid w:val="00A058A3"/>
    <w:rsid w:val="00A05B77"/>
    <w:rsid w:val="00A05C1B"/>
    <w:rsid w:val="00A05D0D"/>
    <w:rsid w:val="00A05D7C"/>
    <w:rsid w:val="00A05EDE"/>
    <w:rsid w:val="00A05F55"/>
    <w:rsid w:val="00A06127"/>
    <w:rsid w:val="00A06671"/>
    <w:rsid w:val="00A06748"/>
    <w:rsid w:val="00A06C49"/>
    <w:rsid w:val="00A0749B"/>
    <w:rsid w:val="00A0766A"/>
    <w:rsid w:val="00A07787"/>
    <w:rsid w:val="00A07C5C"/>
    <w:rsid w:val="00A1027E"/>
    <w:rsid w:val="00A109A3"/>
    <w:rsid w:val="00A109B4"/>
    <w:rsid w:val="00A10A06"/>
    <w:rsid w:val="00A10AEF"/>
    <w:rsid w:val="00A10D2D"/>
    <w:rsid w:val="00A1129E"/>
    <w:rsid w:val="00A11A10"/>
    <w:rsid w:val="00A11BA7"/>
    <w:rsid w:val="00A11BC5"/>
    <w:rsid w:val="00A11E26"/>
    <w:rsid w:val="00A11FE8"/>
    <w:rsid w:val="00A11FEA"/>
    <w:rsid w:val="00A12935"/>
    <w:rsid w:val="00A12A7E"/>
    <w:rsid w:val="00A12E56"/>
    <w:rsid w:val="00A13109"/>
    <w:rsid w:val="00A13A2A"/>
    <w:rsid w:val="00A13C65"/>
    <w:rsid w:val="00A13F62"/>
    <w:rsid w:val="00A13F83"/>
    <w:rsid w:val="00A13FCE"/>
    <w:rsid w:val="00A142CF"/>
    <w:rsid w:val="00A14511"/>
    <w:rsid w:val="00A1455E"/>
    <w:rsid w:val="00A146C9"/>
    <w:rsid w:val="00A148A2"/>
    <w:rsid w:val="00A1497D"/>
    <w:rsid w:val="00A149A5"/>
    <w:rsid w:val="00A149A7"/>
    <w:rsid w:val="00A14A04"/>
    <w:rsid w:val="00A14EF0"/>
    <w:rsid w:val="00A152D7"/>
    <w:rsid w:val="00A154BB"/>
    <w:rsid w:val="00A15A05"/>
    <w:rsid w:val="00A15A91"/>
    <w:rsid w:val="00A15AC7"/>
    <w:rsid w:val="00A1619C"/>
    <w:rsid w:val="00A161ED"/>
    <w:rsid w:val="00A16E43"/>
    <w:rsid w:val="00A16F69"/>
    <w:rsid w:val="00A17082"/>
    <w:rsid w:val="00A1720A"/>
    <w:rsid w:val="00A17992"/>
    <w:rsid w:val="00A17D4A"/>
    <w:rsid w:val="00A17F70"/>
    <w:rsid w:val="00A2039F"/>
    <w:rsid w:val="00A203B1"/>
    <w:rsid w:val="00A203CE"/>
    <w:rsid w:val="00A20673"/>
    <w:rsid w:val="00A2079E"/>
    <w:rsid w:val="00A20ADD"/>
    <w:rsid w:val="00A21A8C"/>
    <w:rsid w:val="00A21C76"/>
    <w:rsid w:val="00A21D76"/>
    <w:rsid w:val="00A21DE1"/>
    <w:rsid w:val="00A2276E"/>
    <w:rsid w:val="00A228BD"/>
    <w:rsid w:val="00A22A8B"/>
    <w:rsid w:val="00A22C34"/>
    <w:rsid w:val="00A22C7B"/>
    <w:rsid w:val="00A22CDD"/>
    <w:rsid w:val="00A23114"/>
    <w:rsid w:val="00A2311A"/>
    <w:rsid w:val="00A23356"/>
    <w:rsid w:val="00A23563"/>
    <w:rsid w:val="00A23A2C"/>
    <w:rsid w:val="00A23A66"/>
    <w:rsid w:val="00A23D91"/>
    <w:rsid w:val="00A242FB"/>
    <w:rsid w:val="00A244DC"/>
    <w:rsid w:val="00A24A20"/>
    <w:rsid w:val="00A24C1D"/>
    <w:rsid w:val="00A24C46"/>
    <w:rsid w:val="00A24D55"/>
    <w:rsid w:val="00A24DF9"/>
    <w:rsid w:val="00A24F3F"/>
    <w:rsid w:val="00A252BC"/>
    <w:rsid w:val="00A2568B"/>
    <w:rsid w:val="00A25811"/>
    <w:rsid w:val="00A25BCE"/>
    <w:rsid w:val="00A25C32"/>
    <w:rsid w:val="00A25C76"/>
    <w:rsid w:val="00A264A7"/>
    <w:rsid w:val="00A26C78"/>
    <w:rsid w:val="00A26EDC"/>
    <w:rsid w:val="00A2730C"/>
    <w:rsid w:val="00A274C3"/>
    <w:rsid w:val="00A27B99"/>
    <w:rsid w:val="00A30010"/>
    <w:rsid w:val="00A3026B"/>
    <w:rsid w:val="00A3055D"/>
    <w:rsid w:val="00A3064A"/>
    <w:rsid w:val="00A30A10"/>
    <w:rsid w:val="00A30A4D"/>
    <w:rsid w:val="00A30B53"/>
    <w:rsid w:val="00A30CAC"/>
    <w:rsid w:val="00A30F4E"/>
    <w:rsid w:val="00A3122C"/>
    <w:rsid w:val="00A31340"/>
    <w:rsid w:val="00A313F7"/>
    <w:rsid w:val="00A315C8"/>
    <w:rsid w:val="00A31740"/>
    <w:rsid w:val="00A31CC3"/>
    <w:rsid w:val="00A31F2F"/>
    <w:rsid w:val="00A31FFB"/>
    <w:rsid w:val="00A32199"/>
    <w:rsid w:val="00A3280E"/>
    <w:rsid w:val="00A328E6"/>
    <w:rsid w:val="00A32FAB"/>
    <w:rsid w:val="00A33061"/>
    <w:rsid w:val="00A336E6"/>
    <w:rsid w:val="00A336EC"/>
    <w:rsid w:val="00A3377A"/>
    <w:rsid w:val="00A337BA"/>
    <w:rsid w:val="00A33926"/>
    <w:rsid w:val="00A33AC8"/>
    <w:rsid w:val="00A33B73"/>
    <w:rsid w:val="00A3454A"/>
    <w:rsid w:val="00A346C4"/>
    <w:rsid w:val="00A34C36"/>
    <w:rsid w:val="00A34FC5"/>
    <w:rsid w:val="00A350F1"/>
    <w:rsid w:val="00A360B8"/>
    <w:rsid w:val="00A3612E"/>
    <w:rsid w:val="00A364A1"/>
    <w:rsid w:val="00A36BE7"/>
    <w:rsid w:val="00A36C7D"/>
    <w:rsid w:val="00A36CDE"/>
    <w:rsid w:val="00A36E66"/>
    <w:rsid w:val="00A3749B"/>
    <w:rsid w:val="00A3756B"/>
    <w:rsid w:val="00A37AB4"/>
    <w:rsid w:val="00A37DA3"/>
    <w:rsid w:val="00A37FA3"/>
    <w:rsid w:val="00A4046A"/>
    <w:rsid w:val="00A40607"/>
    <w:rsid w:val="00A40667"/>
    <w:rsid w:val="00A408EB"/>
    <w:rsid w:val="00A40EDC"/>
    <w:rsid w:val="00A411F5"/>
    <w:rsid w:val="00A41227"/>
    <w:rsid w:val="00A41551"/>
    <w:rsid w:val="00A419E5"/>
    <w:rsid w:val="00A41BE4"/>
    <w:rsid w:val="00A41D92"/>
    <w:rsid w:val="00A41E20"/>
    <w:rsid w:val="00A420F5"/>
    <w:rsid w:val="00A42518"/>
    <w:rsid w:val="00A425E1"/>
    <w:rsid w:val="00A4279A"/>
    <w:rsid w:val="00A42839"/>
    <w:rsid w:val="00A42BDC"/>
    <w:rsid w:val="00A42C9F"/>
    <w:rsid w:val="00A42E89"/>
    <w:rsid w:val="00A43641"/>
    <w:rsid w:val="00A4365E"/>
    <w:rsid w:val="00A4439B"/>
    <w:rsid w:val="00A445C9"/>
    <w:rsid w:val="00A44E8D"/>
    <w:rsid w:val="00A4528F"/>
    <w:rsid w:val="00A452F4"/>
    <w:rsid w:val="00A454AF"/>
    <w:rsid w:val="00A461DC"/>
    <w:rsid w:val="00A46723"/>
    <w:rsid w:val="00A46B05"/>
    <w:rsid w:val="00A470BC"/>
    <w:rsid w:val="00A47C90"/>
    <w:rsid w:val="00A50677"/>
    <w:rsid w:val="00A50B1C"/>
    <w:rsid w:val="00A5121C"/>
    <w:rsid w:val="00A5146E"/>
    <w:rsid w:val="00A516B3"/>
    <w:rsid w:val="00A51758"/>
    <w:rsid w:val="00A51ADA"/>
    <w:rsid w:val="00A51BDB"/>
    <w:rsid w:val="00A52098"/>
    <w:rsid w:val="00A526BE"/>
    <w:rsid w:val="00A52905"/>
    <w:rsid w:val="00A52A45"/>
    <w:rsid w:val="00A52F39"/>
    <w:rsid w:val="00A52F78"/>
    <w:rsid w:val="00A530AA"/>
    <w:rsid w:val="00A530F9"/>
    <w:rsid w:val="00A53456"/>
    <w:rsid w:val="00A53680"/>
    <w:rsid w:val="00A537E3"/>
    <w:rsid w:val="00A538E6"/>
    <w:rsid w:val="00A5396A"/>
    <w:rsid w:val="00A53A0D"/>
    <w:rsid w:val="00A53AA4"/>
    <w:rsid w:val="00A53FFD"/>
    <w:rsid w:val="00A54388"/>
    <w:rsid w:val="00A548FB"/>
    <w:rsid w:val="00A54B59"/>
    <w:rsid w:val="00A54E44"/>
    <w:rsid w:val="00A54F42"/>
    <w:rsid w:val="00A551DB"/>
    <w:rsid w:val="00A55531"/>
    <w:rsid w:val="00A55FB3"/>
    <w:rsid w:val="00A561CB"/>
    <w:rsid w:val="00A56297"/>
    <w:rsid w:val="00A56476"/>
    <w:rsid w:val="00A564AE"/>
    <w:rsid w:val="00A56B30"/>
    <w:rsid w:val="00A5702B"/>
    <w:rsid w:val="00A57082"/>
    <w:rsid w:val="00A57196"/>
    <w:rsid w:val="00A57D89"/>
    <w:rsid w:val="00A57D9C"/>
    <w:rsid w:val="00A57DB5"/>
    <w:rsid w:val="00A602D1"/>
    <w:rsid w:val="00A6096D"/>
    <w:rsid w:val="00A60D14"/>
    <w:rsid w:val="00A615BC"/>
    <w:rsid w:val="00A61BE8"/>
    <w:rsid w:val="00A62487"/>
    <w:rsid w:val="00A627EF"/>
    <w:rsid w:val="00A628DB"/>
    <w:rsid w:val="00A634E8"/>
    <w:rsid w:val="00A63696"/>
    <w:rsid w:val="00A636F9"/>
    <w:rsid w:val="00A63831"/>
    <w:rsid w:val="00A638AE"/>
    <w:rsid w:val="00A63923"/>
    <w:rsid w:val="00A639D4"/>
    <w:rsid w:val="00A63B45"/>
    <w:rsid w:val="00A63BF5"/>
    <w:rsid w:val="00A64C2E"/>
    <w:rsid w:val="00A64ED4"/>
    <w:rsid w:val="00A652BE"/>
    <w:rsid w:val="00A6559A"/>
    <w:rsid w:val="00A6591F"/>
    <w:rsid w:val="00A65ACB"/>
    <w:rsid w:val="00A6605C"/>
    <w:rsid w:val="00A6628D"/>
    <w:rsid w:val="00A662C1"/>
    <w:rsid w:val="00A6667F"/>
    <w:rsid w:val="00A667E4"/>
    <w:rsid w:val="00A669F1"/>
    <w:rsid w:val="00A66A32"/>
    <w:rsid w:val="00A66B0C"/>
    <w:rsid w:val="00A66D31"/>
    <w:rsid w:val="00A66DD3"/>
    <w:rsid w:val="00A66E6B"/>
    <w:rsid w:val="00A66FFA"/>
    <w:rsid w:val="00A6759B"/>
    <w:rsid w:val="00A679E7"/>
    <w:rsid w:val="00A67FD9"/>
    <w:rsid w:val="00A705BC"/>
    <w:rsid w:val="00A70805"/>
    <w:rsid w:val="00A70D04"/>
    <w:rsid w:val="00A71526"/>
    <w:rsid w:val="00A71AAA"/>
    <w:rsid w:val="00A723E4"/>
    <w:rsid w:val="00A723EB"/>
    <w:rsid w:val="00A7259F"/>
    <w:rsid w:val="00A72777"/>
    <w:rsid w:val="00A72876"/>
    <w:rsid w:val="00A7297F"/>
    <w:rsid w:val="00A72A71"/>
    <w:rsid w:val="00A72C83"/>
    <w:rsid w:val="00A72E92"/>
    <w:rsid w:val="00A732D3"/>
    <w:rsid w:val="00A733CB"/>
    <w:rsid w:val="00A73AB2"/>
    <w:rsid w:val="00A73E50"/>
    <w:rsid w:val="00A74134"/>
    <w:rsid w:val="00A741BF"/>
    <w:rsid w:val="00A744BB"/>
    <w:rsid w:val="00A7470E"/>
    <w:rsid w:val="00A7478F"/>
    <w:rsid w:val="00A7479F"/>
    <w:rsid w:val="00A747B9"/>
    <w:rsid w:val="00A74849"/>
    <w:rsid w:val="00A74983"/>
    <w:rsid w:val="00A74CE8"/>
    <w:rsid w:val="00A74D93"/>
    <w:rsid w:val="00A753EA"/>
    <w:rsid w:val="00A75540"/>
    <w:rsid w:val="00A755B1"/>
    <w:rsid w:val="00A756AF"/>
    <w:rsid w:val="00A75986"/>
    <w:rsid w:val="00A75A23"/>
    <w:rsid w:val="00A75A2B"/>
    <w:rsid w:val="00A76452"/>
    <w:rsid w:val="00A765C0"/>
    <w:rsid w:val="00A76AE1"/>
    <w:rsid w:val="00A76DD2"/>
    <w:rsid w:val="00A77124"/>
    <w:rsid w:val="00A77315"/>
    <w:rsid w:val="00A773B4"/>
    <w:rsid w:val="00A8000F"/>
    <w:rsid w:val="00A80244"/>
    <w:rsid w:val="00A802CE"/>
    <w:rsid w:val="00A802D9"/>
    <w:rsid w:val="00A803B2"/>
    <w:rsid w:val="00A8060D"/>
    <w:rsid w:val="00A81271"/>
    <w:rsid w:val="00A812D7"/>
    <w:rsid w:val="00A814E5"/>
    <w:rsid w:val="00A81648"/>
    <w:rsid w:val="00A81714"/>
    <w:rsid w:val="00A81B56"/>
    <w:rsid w:val="00A81BBD"/>
    <w:rsid w:val="00A82008"/>
    <w:rsid w:val="00A82314"/>
    <w:rsid w:val="00A82320"/>
    <w:rsid w:val="00A824B7"/>
    <w:rsid w:val="00A829E5"/>
    <w:rsid w:val="00A82FA9"/>
    <w:rsid w:val="00A82FFD"/>
    <w:rsid w:val="00A8325F"/>
    <w:rsid w:val="00A83284"/>
    <w:rsid w:val="00A8344B"/>
    <w:rsid w:val="00A835D5"/>
    <w:rsid w:val="00A835FC"/>
    <w:rsid w:val="00A8399D"/>
    <w:rsid w:val="00A839E7"/>
    <w:rsid w:val="00A83A76"/>
    <w:rsid w:val="00A83A87"/>
    <w:rsid w:val="00A83AD5"/>
    <w:rsid w:val="00A83C80"/>
    <w:rsid w:val="00A840EF"/>
    <w:rsid w:val="00A843E1"/>
    <w:rsid w:val="00A84608"/>
    <w:rsid w:val="00A8463A"/>
    <w:rsid w:val="00A847CD"/>
    <w:rsid w:val="00A84948"/>
    <w:rsid w:val="00A852A6"/>
    <w:rsid w:val="00A852B4"/>
    <w:rsid w:val="00A85334"/>
    <w:rsid w:val="00A854EB"/>
    <w:rsid w:val="00A85721"/>
    <w:rsid w:val="00A857AD"/>
    <w:rsid w:val="00A85EE2"/>
    <w:rsid w:val="00A861C5"/>
    <w:rsid w:val="00A862B3"/>
    <w:rsid w:val="00A868BF"/>
    <w:rsid w:val="00A86B52"/>
    <w:rsid w:val="00A87224"/>
    <w:rsid w:val="00A8732D"/>
    <w:rsid w:val="00A8739D"/>
    <w:rsid w:val="00A879E9"/>
    <w:rsid w:val="00A90252"/>
    <w:rsid w:val="00A90723"/>
    <w:rsid w:val="00A90937"/>
    <w:rsid w:val="00A90F45"/>
    <w:rsid w:val="00A91213"/>
    <w:rsid w:val="00A9184D"/>
    <w:rsid w:val="00A91C67"/>
    <w:rsid w:val="00A91FBA"/>
    <w:rsid w:val="00A9206B"/>
    <w:rsid w:val="00A921D9"/>
    <w:rsid w:val="00A924BD"/>
    <w:rsid w:val="00A9268D"/>
    <w:rsid w:val="00A9283B"/>
    <w:rsid w:val="00A92CB3"/>
    <w:rsid w:val="00A92E75"/>
    <w:rsid w:val="00A934D8"/>
    <w:rsid w:val="00A93548"/>
    <w:rsid w:val="00A939D4"/>
    <w:rsid w:val="00A93B97"/>
    <w:rsid w:val="00A93D6C"/>
    <w:rsid w:val="00A93DD0"/>
    <w:rsid w:val="00A940D9"/>
    <w:rsid w:val="00A940EB"/>
    <w:rsid w:val="00A943D7"/>
    <w:rsid w:val="00A94411"/>
    <w:rsid w:val="00A94457"/>
    <w:rsid w:val="00A94A04"/>
    <w:rsid w:val="00A94B6E"/>
    <w:rsid w:val="00A94D4C"/>
    <w:rsid w:val="00A95246"/>
    <w:rsid w:val="00A95848"/>
    <w:rsid w:val="00A95A89"/>
    <w:rsid w:val="00A95AEE"/>
    <w:rsid w:val="00A95CFB"/>
    <w:rsid w:val="00A95E02"/>
    <w:rsid w:val="00A96374"/>
    <w:rsid w:val="00A963B4"/>
    <w:rsid w:val="00A963C9"/>
    <w:rsid w:val="00A964CF"/>
    <w:rsid w:val="00A966FE"/>
    <w:rsid w:val="00A968FA"/>
    <w:rsid w:val="00A96E06"/>
    <w:rsid w:val="00A972E1"/>
    <w:rsid w:val="00A976B4"/>
    <w:rsid w:val="00A97CF5"/>
    <w:rsid w:val="00A97E89"/>
    <w:rsid w:val="00AA03D8"/>
    <w:rsid w:val="00AA0607"/>
    <w:rsid w:val="00AA0ABE"/>
    <w:rsid w:val="00AA0AFD"/>
    <w:rsid w:val="00AA1080"/>
    <w:rsid w:val="00AA14D1"/>
    <w:rsid w:val="00AA1E6B"/>
    <w:rsid w:val="00AA1E85"/>
    <w:rsid w:val="00AA1F39"/>
    <w:rsid w:val="00AA237B"/>
    <w:rsid w:val="00AA242F"/>
    <w:rsid w:val="00AA2C2D"/>
    <w:rsid w:val="00AA2D60"/>
    <w:rsid w:val="00AA3126"/>
    <w:rsid w:val="00AA3868"/>
    <w:rsid w:val="00AA4053"/>
    <w:rsid w:val="00AA40AA"/>
    <w:rsid w:val="00AA41C3"/>
    <w:rsid w:val="00AA4250"/>
    <w:rsid w:val="00AA4839"/>
    <w:rsid w:val="00AA48D7"/>
    <w:rsid w:val="00AA499A"/>
    <w:rsid w:val="00AA4D04"/>
    <w:rsid w:val="00AA4D3F"/>
    <w:rsid w:val="00AA4EAE"/>
    <w:rsid w:val="00AA4F99"/>
    <w:rsid w:val="00AA5555"/>
    <w:rsid w:val="00AA5B8E"/>
    <w:rsid w:val="00AA6093"/>
    <w:rsid w:val="00AA6513"/>
    <w:rsid w:val="00AA7030"/>
    <w:rsid w:val="00AA7FA0"/>
    <w:rsid w:val="00AB0027"/>
    <w:rsid w:val="00AB03E7"/>
    <w:rsid w:val="00AB04F5"/>
    <w:rsid w:val="00AB0791"/>
    <w:rsid w:val="00AB09CA"/>
    <w:rsid w:val="00AB0B74"/>
    <w:rsid w:val="00AB0DCE"/>
    <w:rsid w:val="00AB0F45"/>
    <w:rsid w:val="00AB0F96"/>
    <w:rsid w:val="00AB10A2"/>
    <w:rsid w:val="00AB1181"/>
    <w:rsid w:val="00AB1814"/>
    <w:rsid w:val="00AB1AE3"/>
    <w:rsid w:val="00AB1AF7"/>
    <w:rsid w:val="00AB1D4C"/>
    <w:rsid w:val="00AB2313"/>
    <w:rsid w:val="00AB2B87"/>
    <w:rsid w:val="00AB326C"/>
    <w:rsid w:val="00AB349F"/>
    <w:rsid w:val="00AB3764"/>
    <w:rsid w:val="00AB37A3"/>
    <w:rsid w:val="00AB3AC5"/>
    <w:rsid w:val="00AB3B4A"/>
    <w:rsid w:val="00AB4196"/>
    <w:rsid w:val="00AB4581"/>
    <w:rsid w:val="00AB4734"/>
    <w:rsid w:val="00AB4956"/>
    <w:rsid w:val="00AB4B3D"/>
    <w:rsid w:val="00AB4C1D"/>
    <w:rsid w:val="00AB4E5B"/>
    <w:rsid w:val="00AB55B3"/>
    <w:rsid w:val="00AB58A1"/>
    <w:rsid w:val="00AB5A74"/>
    <w:rsid w:val="00AB5B8C"/>
    <w:rsid w:val="00AB5BFA"/>
    <w:rsid w:val="00AB62D1"/>
    <w:rsid w:val="00AB62F6"/>
    <w:rsid w:val="00AB66E6"/>
    <w:rsid w:val="00AB6B44"/>
    <w:rsid w:val="00AB6F88"/>
    <w:rsid w:val="00AB700D"/>
    <w:rsid w:val="00AB7401"/>
    <w:rsid w:val="00AB749C"/>
    <w:rsid w:val="00AB7DAC"/>
    <w:rsid w:val="00AC01AD"/>
    <w:rsid w:val="00AC0A01"/>
    <w:rsid w:val="00AC0E6A"/>
    <w:rsid w:val="00AC0F7D"/>
    <w:rsid w:val="00AC1040"/>
    <w:rsid w:val="00AC12E1"/>
    <w:rsid w:val="00AC1AF7"/>
    <w:rsid w:val="00AC1DE5"/>
    <w:rsid w:val="00AC2039"/>
    <w:rsid w:val="00AC214A"/>
    <w:rsid w:val="00AC2567"/>
    <w:rsid w:val="00AC2611"/>
    <w:rsid w:val="00AC26B2"/>
    <w:rsid w:val="00AC2F0F"/>
    <w:rsid w:val="00AC302A"/>
    <w:rsid w:val="00AC304D"/>
    <w:rsid w:val="00AC3334"/>
    <w:rsid w:val="00AC3698"/>
    <w:rsid w:val="00AC3805"/>
    <w:rsid w:val="00AC3845"/>
    <w:rsid w:val="00AC3942"/>
    <w:rsid w:val="00AC3A58"/>
    <w:rsid w:val="00AC3F48"/>
    <w:rsid w:val="00AC4516"/>
    <w:rsid w:val="00AC4656"/>
    <w:rsid w:val="00AC476B"/>
    <w:rsid w:val="00AC47BC"/>
    <w:rsid w:val="00AC4910"/>
    <w:rsid w:val="00AC495C"/>
    <w:rsid w:val="00AC4A1E"/>
    <w:rsid w:val="00AC50BA"/>
    <w:rsid w:val="00AC50BC"/>
    <w:rsid w:val="00AC50ED"/>
    <w:rsid w:val="00AC5143"/>
    <w:rsid w:val="00AC539E"/>
    <w:rsid w:val="00AC53AE"/>
    <w:rsid w:val="00AC585D"/>
    <w:rsid w:val="00AC5A13"/>
    <w:rsid w:val="00AC5F42"/>
    <w:rsid w:val="00AC5FEC"/>
    <w:rsid w:val="00AC61D5"/>
    <w:rsid w:val="00AC6236"/>
    <w:rsid w:val="00AC6283"/>
    <w:rsid w:val="00AC628C"/>
    <w:rsid w:val="00AC62A4"/>
    <w:rsid w:val="00AC6464"/>
    <w:rsid w:val="00AC68EC"/>
    <w:rsid w:val="00AC69EB"/>
    <w:rsid w:val="00AC6E49"/>
    <w:rsid w:val="00AC740C"/>
    <w:rsid w:val="00AC7558"/>
    <w:rsid w:val="00AC7BA6"/>
    <w:rsid w:val="00AC7C0E"/>
    <w:rsid w:val="00AC7CC9"/>
    <w:rsid w:val="00AC7EA0"/>
    <w:rsid w:val="00AD01BE"/>
    <w:rsid w:val="00AD09B2"/>
    <w:rsid w:val="00AD0A6F"/>
    <w:rsid w:val="00AD0F99"/>
    <w:rsid w:val="00AD0FCA"/>
    <w:rsid w:val="00AD1106"/>
    <w:rsid w:val="00AD124B"/>
    <w:rsid w:val="00AD1264"/>
    <w:rsid w:val="00AD1357"/>
    <w:rsid w:val="00AD14D4"/>
    <w:rsid w:val="00AD179C"/>
    <w:rsid w:val="00AD17A8"/>
    <w:rsid w:val="00AD19F0"/>
    <w:rsid w:val="00AD1A79"/>
    <w:rsid w:val="00AD2094"/>
    <w:rsid w:val="00AD20D8"/>
    <w:rsid w:val="00AD2367"/>
    <w:rsid w:val="00AD2619"/>
    <w:rsid w:val="00AD274C"/>
    <w:rsid w:val="00AD275F"/>
    <w:rsid w:val="00AD2901"/>
    <w:rsid w:val="00AD2E87"/>
    <w:rsid w:val="00AD34D4"/>
    <w:rsid w:val="00AD364F"/>
    <w:rsid w:val="00AD36DE"/>
    <w:rsid w:val="00AD36E3"/>
    <w:rsid w:val="00AD3C3B"/>
    <w:rsid w:val="00AD3CAE"/>
    <w:rsid w:val="00AD3E37"/>
    <w:rsid w:val="00AD3EE3"/>
    <w:rsid w:val="00AD43FA"/>
    <w:rsid w:val="00AD49A7"/>
    <w:rsid w:val="00AD503B"/>
    <w:rsid w:val="00AD5085"/>
    <w:rsid w:val="00AD510A"/>
    <w:rsid w:val="00AD58E6"/>
    <w:rsid w:val="00AD59C4"/>
    <w:rsid w:val="00AD5C63"/>
    <w:rsid w:val="00AD5DB0"/>
    <w:rsid w:val="00AD61E2"/>
    <w:rsid w:val="00AD641B"/>
    <w:rsid w:val="00AD65AD"/>
    <w:rsid w:val="00AD69B4"/>
    <w:rsid w:val="00AD6E60"/>
    <w:rsid w:val="00AD7059"/>
    <w:rsid w:val="00AD7D73"/>
    <w:rsid w:val="00AD7DB4"/>
    <w:rsid w:val="00AE03D3"/>
    <w:rsid w:val="00AE04DC"/>
    <w:rsid w:val="00AE0A50"/>
    <w:rsid w:val="00AE0DC5"/>
    <w:rsid w:val="00AE0E04"/>
    <w:rsid w:val="00AE11B8"/>
    <w:rsid w:val="00AE1514"/>
    <w:rsid w:val="00AE18C1"/>
    <w:rsid w:val="00AE220D"/>
    <w:rsid w:val="00AE23AE"/>
    <w:rsid w:val="00AE23B7"/>
    <w:rsid w:val="00AE2586"/>
    <w:rsid w:val="00AE2B22"/>
    <w:rsid w:val="00AE2C6E"/>
    <w:rsid w:val="00AE2D2E"/>
    <w:rsid w:val="00AE2EA5"/>
    <w:rsid w:val="00AE2F1F"/>
    <w:rsid w:val="00AE31E7"/>
    <w:rsid w:val="00AE3396"/>
    <w:rsid w:val="00AE34EA"/>
    <w:rsid w:val="00AE34EF"/>
    <w:rsid w:val="00AE3508"/>
    <w:rsid w:val="00AE3707"/>
    <w:rsid w:val="00AE3D59"/>
    <w:rsid w:val="00AE3E0B"/>
    <w:rsid w:val="00AE42F0"/>
    <w:rsid w:val="00AE4D03"/>
    <w:rsid w:val="00AE5143"/>
    <w:rsid w:val="00AE51A4"/>
    <w:rsid w:val="00AE551F"/>
    <w:rsid w:val="00AE5635"/>
    <w:rsid w:val="00AE59C2"/>
    <w:rsid w:val="00AE59D3"/>
    <w:rsid w:val="00AE5A50"/>
    <w:rsid w:val="00AE5B1D"/>
    <w:rsid w:val="00AE5B8A"/>
    <w:rsid w:val="00AE6773"/>
    <w:rsid w:val="00AE7031"/>
    <w:rsid w:val="00AE7767"/>
    <w:rsid w:val="00AE7C43"/>
    <w:rsid w:val="00AE7DD8"/>
    <w:rsid w:val="00AF0035"/>
    <w:rsid w:val="00AF0528"/>
    <w:rsid w:val="00AF0D67"/>
    <w:rsid w:val="00AF10FF"/>
    <w:rsid w:val="00AF1D66"/>
    <w:rsid w:val="00AF1F4A"/>
    <w:rsid w:val="00AF1FAD"/>
    <w:rsid w:val="00AF22B6"/>
    <w:rsid w:val="00AF22E4"/>
    <w:rsid w:val="00AF2665"/>
    <w:rsid w:val="00AF2CDF"/>
    <w:rsid w:val="00AF2F81"/>
    <w:rsid w:val="00AF304F"/>
    <w:rsid w:val="00AF3087"/>
    <w:rsid w:val="00AF31C6"/>
    <w:rsid w:val="00AF31E6"/>
    <w:rsid w:val="00AF322A"/>
    <w:rsid w:val="00AF37A8"/>
    <w:rsid w:val="00AF3A30"/>
    <w:rsid w:val="00AF3C2B"/>
    <w:rsid w:val="00AF3D9F"/>
    <w:rsid w:val="00AF3F68"/>
    <w:rsid w:val="00AF4220"/>
    <w:rsid w:val="00AF4412"/>
    <w:rsid w:val="00AF486F"/>
    <w:rsid w:val="00AF4A6E"/>
    <w:rsid w:val="00AF55A5"/>
    <w:rsid w:val="00AF5856"/>
    <w:rsid w:val="00AF59C0"/>
    <w:rsid w:val="00AF5F09"/>
    <w:rsid w:val="00AF5F5D"/>
    <w:rsid w:val="00AF6380"/>
    <w:rsid w:val="00AF6662"/>
    <w:rsid w:val="00AF687E"/>
    <w:rsid w:val="00AF692D"/>
    <w:rsid w:val="00AF69C3"/>
    <w:rsid w:val="00AF6BF6"/>
    <w:rsid w:val="00AF6F0A"/>
    <w:rsid w:val="00AF73B5"/>
    <w:rsid w:val="00AF773A"/>
    <w:rsid w:val="00AF7797"/>
    <w:rsid w:val="00AF77BE"/>
    <w:rsid w:val="00AF7910"/>
    <w:rsid w:val="00AF7CA0"/>
    <w:rsid w:val="00AF7D71"/>
    <w:rsid w:val="00AF7DD4"/>
    <w:rsid w:val="00B00231"/>
    <w:rsid w:val="00B00319"/>
    <w:rsid w:val="00B005DB"/>
    <w:rsid w:val="00B009B7"/>
    <w:rsid w:val="00B01280"/>
    <w:rsid w:val="00B01445"/>
    <w:rsid w:val="00B014F4"/>
    <w:rsid w:val="00B01535"/>
    <w:rsid w:val="00B01564"/>
    <w:rsid w:val="00B015D3"/>
    <w:rsid w:val="00B01B23"/>
    <w:rsid w:val="00B01CF6"/>
    <w:rsid w:val="00B01E91"/>
    <w:rsid w:val="00B01FE5"/>
    <w:rsid w:val="00B0260F"/>
    <w:rsid w:val="00B03487"/>
    <w:rsid w:val="00B03519"/>
    <w:rsid w:val="00B039F1"/>
    <w:rsid w:val="00B03A42"/>
    <w:rsid w:val="00B03DA6"/>
    <w:rsid w:val="00B03E19"/>
    <w:rsid w:val="00B04521"/>
    <w:rsid w:val="00B04680"/>
    <w:rsid w:val="00B04707"/>
    <w:rsid w:val="00B04C76"/>
    <w:rsid w:val="00B04D3F"/>
    <w:rsid w:val="00B053FD"/>
    <w:rsid w:val="00B05A23"/>
    <w:rsid w:val="00B05B18"/>
    <w:rsid w:val="00B05DA4"/>
    <w:rsid w:val="00B0650B"/>
    <w:rsid w:val="00B0655F"/>
    <w:rsid w:val="00B065C9"/>
    <w:rsid w:val="00B068C6"/>
    <w:rsid w:val="00B06D89"/>
    <w:rsid w:val="00B07287"/>
    <w:rsid w:val="00B0730F"/>
    <w:rsid w:val="00B0742E"/>
    <w:rsid w:val="00B0768D"/>
    <w:rsid w:val="00B07708"/>
    <w:rsid w:val="00B078E7"/>
    <w:rsid w:val="00B07A8E"/>
    <w:rsid w:val="00B100C3"/>
    <w:rsid w:val="00B102CE"/>
    <w:rsid w:val="00B10713"/>
    <w:rsid w:val="00B10717"/>
    <w:rsid w:val="00B10C19"/>
    <w:rsid w:val="00B1117C"/>
    <w:rsid w:val="00B11366"/>
    <w:rsid w:val="00B11372"/>
    <w:rsid w:val="00B11392"/>
    <w:rsid w:val="00B11641"/>
    <w:rsid w:val="00B119D4"/>
    <w:rsid w:val="00B1211A"/>
    <w:rsid w:val="00B12160"/>
    <w:rsid w:val="00B12384"/>
    <w:rsid w:val="00B125C6"/>
    <w:rsid w:val="00B12762"/>
    <w:rsid w:val="00B12A0A"/>
    <w:rsid w:val="00B12BC5"/>
    <w:rsid w:val="00B12C22"/>
    <w:rsid w:val="00B12E7A"/>
    <w:rsid w:val="00B12F3A"/>
    <w:rsid w:val="00B13017"/>
    <w:rsid w:val="00B13450"/>
    <w:rsid w:val="00B139E5"/>
    <w:rsid w:val="00B13B21"/>
    <w:rsid w:val="00B13E75"/>
    <w:rsid w:val="00B146F5"/>
    <w:rsid w:val="00B14852"/>
    <w:rsid w:val="00B150FC"/>
    <w:rsid w:val="00B15503"/>
    <w:rsid w:val="00B15B94"/>
    <w:rsid w:val="00B160D3"/>
    <w:rsid w:val="00B16979"/>
    <w:rsid w:val="00B16A4B"/>
    <w:rsid w:val="00B16F66"/>
    <w:rsid w:val="00B16F83"/>
    <w:rsid w:val="00B17296"/>
    <w:rsid w:val="00B17629"/>
    <w:rsid w:val="00B17713"/>
    <w:rsid w:val="00B17994"/>
    <w:rsid w:val="00B17D98"/>
    <w:rsid w:val="00B17F5E"/>
    <w:rsid w:val="00B20C02"/>
    <w:rsid w:val="00B2110C"/>
    <w:rsid w:val="00B211A2"/>
    <w:rsid w:val="00B21668"/>
    <w:rsid w:val="00B216E4"/>
    <w:rsid w:val="00B218A0"/>
    <w:rsid w:val="00B21985"/>
    <w:rsid w:val="00B21CEE"/>
    <w:rsid w:val="00B21E7E"/>
    <w:rsid w:val="00B21F69"/>
    <w:rsid w:val="00B223F6"/>
    <w:rsid w:val="00B22466"/>
    <w:rsid w:val="00B2247D"/>
    <w:rsid w:val="00B22614"/>
    <w:rsid w:val="00B22D81"/>
    <w:rsid w:val="00B23205"/>
    <w:rsid w:val="00B234C5"/>
    <w:rsid w:val="00B23552"/>
    <w:rsid w:val="00B2358C"/>
    <w:rsid w:val="00B237E8"/>
    <w:rsid w:val="00B23DE5"/>
    <w:rsid w:val="00B23EF5"/>
    <w:rsid w:val="00B2444C"/>
    <w:rsid w:val="00B2468D"/>
    <w:rsid w:val="00B24B82"/>
    <w:rsid w:val="00B2501B"/>
    <w:rsid w:val="00B25194"/>
    <w:rsid w:val="00B256A4"/>
    <w:rsid w:val="00B256F4"/>
    <w:rsid w:val="00B257BF"/>
    <w:rsid w:val="00B25DC7"/>
    <w:rsid w:val="00B26112"/>
    <w:rsid w:val="00B26261"/>
    <w:rsid w:val="00B265C1"/>
    <w:rsid w:val="00B26904"/>
    <w:rsid w:val="00B26E80"/>
    <w:rsid w:val="00B27272"/>
    <w:rsid w:val="00B27405"/>
    <w:rsid w:val="00B27BBA"/>
    <w:rsid w:val="00B27D87"/>
    <w:rsid w:val="00B27E76"/>
    <w:rsid w:val="00B30111"/>
    <w:rsid w:val="00B30137"/>
    <w:rsid w:val="00B30223"/>
    <w:rsid w:val="00B303F8"/>
    <w:rsid w:val="00B304A0"/>
    <w:rsid w:val="00B30713"/>
    <w:rsid w:val="00B30BBC"/>
    <w:rsid w:val="00B30BDD"/>
    <w:rsid w:val="00B30F86"/>
    <w:rsid w:val="00B312B7"/>
    <w:rsid w:val="00B31932"/>
    <w:rsid w:val="00B329CD"/>
    <w:rsid w:val="00B32B6B"/>
    <w:rsid w:val="00B32CB8"/>
    <w:rsid w:val="00B331F4"/>
    <w:rsid w:val="00B3371F"/>
    <w:rsid w:val="00B33819"/>
    <w:rsid w:val="00B338B7"/>
    <w:rsid w:val="00B3390A"/>
    <w:rsid w:val="00B33EB3"/>
    <w:rsid w:val="00B342C0"/>
    <w:rsid w:val="00B34455"/>
    <w:rsid w:val="00B345D9"/>
    <w:rsid w:val="00B34C5D"/>
    <w:rsid w:val="00B34CE6"/>
    <w:rsid w:val="00B34D15"/>
    <w:rsid w:val="00B34E60"/>
    <w:rsid w:val="00B34E9D"/>
    <w:rsid w:val="00B3501B"/>
    <w:rsid w:val="00B3519E"/>
    <w:rsid w:val="00B35701"/>
    <w:rsid w:val="00B35738"/>
    <w:rsid w:val="00B35752"/>
    <w:rsid w:val="00B35A5D"/>
    <w:rsid w:val="00B35D3F"/>
    <w:rsid w:val="00B35F12"/>
    <w:rsid w:val="00B360C0"/>
    <w:rsid w:val="00B36EB8"/>
    <w:rsid w:val="00B375A5"/>
    <w:rsid w:val="00B375CF"/>
    <w:rsid w:val="00B37820"/>
    <w:rsid w:val="00B379E7"/>
    <w:rsid w:val="00B37A22"/>
    <w:rsid w:val="00B37DE3"/>
    <w:rsid w:val="00B4003D"/>
    <w:rsid w:val="00B400EA"/>
    <w:rsid w:val="00B404E4"/>
    <w:rsid w:val="00B404FD"/>
    <w:rsid w:val="00B40534"/>
    <w:rsid w:val="00B40762"/>
    <w:rsid w:val="00B40C10"/>
    <w:rsid w:val="00B4147A"/>
    <w:rsid w:val="00B414AD"/>
    <w:rsid w:val="00B41D6E"/>
    <w:rsid w:val="00B41DE5"/>
    <w:rsid w:val="00B423BF"/>
    <w:rsid w:val="00B428A4"/>
    <w:rsid w:val="00B42AA1"/>
    <w:rsid w:val="00B42B4E"/>
    <w:rsid w:val="00B42D7E"/>
    <w:rsid w:val="00B4313F"/>
    <w:rsid w:val="00B433F0"/>
    <w:rsid w:val="00B43534"/>
    <w:rsid w:val="00B4368C"/>
    <w:rsid w:val="00B43A1A"/>
    <w:rsid w:val="00B43AA2"/>
    <w:rsid w:val="00B43AC2"/>
    <w:rsid w:val="00B43F94"/>
    <w:rsid w:val="00B44098"/>
    <w:rsid w:val="00B44382"/>
    <w:rsid w:val="00B4441F"/>
    <w:rsid w:val="00B447FC"/>
    <w:rsid w:val="00B44900"/>
    <w:rsid w:val="00B44998"/>
    <w:rsid w:val="00B44C21"/>
    <w:rsid w:val="00B44D00"/>
    <w:rsid w:val="00B44D62"/>
    <w:rsid w:val="00B44D88"/>
    <w:rsid w:val="00B44DAA"/>
    <w:rsid w:val="00B44E82"/>
    <w:rsid w:val="00B44E9D"/>
    <w:rsid w:val="00B4550E"/>
    <w:rsid w:val="00B45F2C"/>
    <w:rsid w:val="00B45F44"/>
    <w:rsid w:val="00B466C9"/>
    <w:rsid w:val="00B46747"/>
    <w:rsid w:val="00B468F6"/>
    <w:rsid w:val="00B47379"/>
    <w:rsid w:val="00B47C44"/>
    <w:rsid w:val="00B50072"/>
    <w:rsid w:val="00B5031A"/>
    <w:rsid w:val="00B50702"/>
    <w:rsid w:val="00B50798"/>
    <w:rsid w:val="00B509FC"/>
    <w:rsid w:val="00B50B70"/>
    <w:rsid w:val="00B512BB"/>
    <w:rsid w:val="00B5160D"/>
    <w:rsid w:val="00B51FFB"/>
    <w:rsid w:val="00B525CB"/>
    <w:rsid w:val="00B5261B"/>
    <w:rsid w:val="00B52646"/>
    <w:rsid w:val="00B526AE"/>
    <w:rsid w:val="00B5271B"/>
    <w:rsid w:val="00B527AC"/>
    <w:rsid w:val="00B529B1"/>
    <w:rsid w:val="00B52B57"/>
    <w:rsid w:val="00B52F7C"/>
    <w:rsid w:val="00B530FA"/>
    <w:rsid w:val="00B5392B"/>
    <w:rsid w:val="00B53BF5"/>
    <w:rsid w:val="00B53D3A"/>
    <w:rsid w:val="00B53EF1"/>
    <w:rsid w:val="00B540DA"/>
    <w:rsid w:val="00B541C3"/>
    <w:rsid w:val="00B5476A"/>
    <w:rsid w:val="00B54BB1"/>
    <w:rsid w:val="00B555FC"/>
    <w:rsid w:val="00B5566A"/>
    <w:rsid w:val="00B559B2"/>
    <w:rsid w:val="00B5626F"/>
    <w:rsid w:val="00B5662B"/>
    <w:rsid w:val="00B5672D"/>
    <w:rsid w:val="00B56900"/>
    <w:rsid w:val="00B56979"/>
    <w:rsid w:val="00B56C1B"/>
    <w:rsid w:val="00B56F2B"/>
    <w:rsid w:val="00B56FAB"/>
    <w:rsid w:val="00B5711F"/>
    <w:rsid w:val="00B57306"/>
    <w:rsid w:val="00B57ADB"/>
    <w:rsid w:val="00B57DBE"/>
    <w:rsid w:val="00B57EEC"/>
    <w:rsid w:val="00B6053F"/>
    <w:rsid w:val="00B605C6"/>
    <w:rsid w:val="00B6098C"/>
    <w:rsid w:val="00B60B60"/>
    <w:rsid w:val="00B61044"/>
    <w:rsid w:val="00B6137C"/>
    <w:rsid w:val="00B61847"/>
    <w:rsid w:val="00B618AD"/>
    <w:rsid w:val="00B61AA7"/>
    <w:rsid w:val="00B61BE5"/>
    <w:rsid w:val="00B61CD8"/>
    <w:rsid w:val="00B62454"/>
    <w:rsid w:val="00B625E8"/>
    <w:rsid w:val="00B62828"/>
    <w:rsid w:val="00B62A22"/>
    <w:rsid w:val="00B62AAE"/>
    <w:rsid w:val="00B6320D"/>
    <w:rsid w:val="00B6348A"/>
    <w:rsid w:val="00B634B1"/>
    <w:rsid w:val="00B6367D"/>
    <w:rsid w:val="00B637F7"/>
    <w:rsid w:val="00B63CA0"/>
    <w:rsid w:val="00B63EB8"/>
    <w:rsid w:val="00B6465E"/>
    <w:rsid w:val="00B6470B"/>
    <w:rsid w:val="00B6497C"/>
    <w:rsid w:val="00B653B2"/>
    <w:rsid w:val="00B65738"/>
    <w:rsid w:val="00B65A20"/>
    <w:rsid w:val="00B6631A"/>
    <w:rsid w:val="00B6633A"/>
    <w:rsid w:val="00B6718B"/>
    <w:rsid w:val="00B671BE"/>
    <w:rsid w:val="00B673FC"/>
    <w:rsid w:val="00B67908"/>
    <w:rsid w:val="00B67C20"/>
    <w:rsid w:val="00B67E93"/>
    <w:rsid w:val="00B70195"/>
    <w:rsid w:val="00B705CF"/>
    <w:rsid w:val="00B709CE"/>
    <w:rsid w:val="00B70D46"/>
    <w:rsid w:val="00B714FF"/>
    <w:rsid w:val="00B71669"/>
    <w:rsid w:val="00B71739"/>
    <w:rsid w:val="00B71747"/>
    <w:rsid w:val="00B72025"/>
    <w:rsid w:val="00B72469"/>
    <w:rsid w:val="00B72682"/>
    <w:rsid w:val="00B7342D"/>
    <w:rsid w:val="00B737C8"/>
    <w:rsid w:val="00B73803"/>
    <w:rsid w:val="00B73D83"/>
    <w:rsid w:val="00B73F79"/>
    <w:rsid w:val="00B740ED"/>
    <w:rsid w:val="00B74140"/>
    <w:rsid w:val="00B74239"/>
    <w:rsid w:val="00B74690"/>
    <w:rsid w:val="00B747F7"/>
    <w:rsid w:val="00B74F81"/>
    <w:rsid w:val="00B754F0"/>
    <w:rsid w:val="00B75523"/>
    <w:rsid w:val="00B75D3C"/>
    <w:rsid w:val="00B75EC4"/>
    <w:rsid w:val="00B75EFF"/>
    <w:rsid w:val="00B766BA"/>
    <w:rsid w:val="00B76E1D"/>
    <w:rsid w:val="00B76FCA"/>
    <w:rsid w:val="00B7729E"/>
    <w:rsid w:val="00B77A2E"/>
    <w:rsid w:val="00B77A72"/>
    <w:rsid w:val="00B77D6E"/>
    <w:rsid w:val="00B802C3"/>
    <w:rsid w:val="00B80AD5"/>
    <w:rsid w:val="00B81105"/>
    <w:rsid w:val="00B811F4"/>
    <w:rsid w:val="00B81462"/>
    <w:rsid w:val="00B818BB"/>
    <w:rsid w:val="00B81935"/>
    <w:rsid w:val="00B81A34"/>
    <w:rsid w:val="00B81CCD"/>
    <w:rsid w:val="00B81D0D"/>
    <w:rsid w:val="00B8241C"/>
    <w:rsid w:val="00B8248D"/>
    <w:rsid w:val="00B8266C"/>
    <w:rsid w:val="00B82E10"/>
    <w:rsid w:val="00B82EC5"/>
    <w:rsid w:val="00B82F08"/>
    <w:rsid w:val="00B83198"/>
    <w:rsid w:val="00B83894"/>
    <w:rsid w:val="00B83CD8"/>
    <w:rsid w:val="00B83FE7"/>
    <w:rsid w:val="00B84045"/>
    <w:rsid w:val="00B84083"/>
    <w:rsid w:val="00B8468E"/>
    <w:rsid w:val="00B84840"/>
    <w:rsid w:val="00B84EAE"/>
    <w:rsid w:val="00B85017"/>
    <w:rsid w:val="00B85239"/>
    <w:rsid w:val="00B8556D"/>
    <w:rsid w:val="00B85904"/>
    <w:rsid w:val="00B85EF2"/>
    <w:rsid w:val="00B86140"/>
    <w:rsid w:val="00B86762"/>
    <w:rsid w:val="00B869A0"/>
    <w:rsid w:val="00B869A5"/>
    <w:rsid w:val="00B873E6"/>
    <w:rsid w:val="00B87764"/>
    <w:rsid w:val="00B87888"/>
    <w:rsid w:val="00B8792B"/>
    <w:rsid w:val="00B87970"/>
    <w:rsid w:val="00B87A5C"/>
    <w:rsid w:val="00B87D50"/>
    <w:rsid w:val="00B87EC3"/>
    <w:rsid w:val="00B87F71"/>
    <w:rsid w:val="00B90121"/>
    <w:rsid w:val="00B90263"/>
    <w:rsid w:val="00B90471"/>
    <w:rsid w:val="00B9052F"/>
    <w:rsid w:val="00B907DB"/>
    <w:rsid w:val="00B90A76"/>
    <w:rsid w:val="00B90F5F"/>
    <w:rsid w:val="00B9134C"/>
    <w:rsid w:val="00B91642"/>
    <w:rsid w:val="00B91986"/>
    <w:rsid w:val="00B91CAC"/>
    <w:rsid w:val="00B91CDA"/>
    <w:rsid w:val="00B91DA7"/>
    <w:rsid w:val="00B9260B"/>
    <w:rsid w:val="00B92C99"/>
    <w:rsid w:val="00B92FE9"/>
    <w:rsid w:val="00B93257"/>
    <w:rsid w:val="00B9400E"/>
    <w:rsid w:val="00B941ED"/>
    <w:rsid w:val="00B94265"/>
    <w:rsid w:val="00B94899"/>
    <w:rsid w:val="00B94C82"/>
    <w:rsid w:val="00B94CCB"/>
    <w:rsid w:val="00B94D8C"/>
    <w:rsid w:val="00B94F53"/>
    <w:rsid w:val="00B95132"/>
    <w:rsid w:val="00B954F2"/>
    <w:rsid w:val="00B96593"/>
    <w:rsid w:val="00B965DF"/>
    <w:rsid w:val="00B9683B"/>
    <w:rsid w:val="00B96862"/>
    <w:rsid w:val="00B9686B"/>
    <w:rsid w:val="00B96BCF"/>
    <w:rsid w:val="00B96E61"/>
    <w:rsid w:val="00B971DA"/>
    <w:rsid w:val="00B97757"/>
    <w:rsid w:val="00BA01DC"/>
    <w:rsid w:val="00BA08B6"/>
    <w:rsid w:val="00BA101A"/>
    <w:rsid w:val="00BA16EA"/>
    <w:rsid w:val="00BA1BDA"/>
    <w:rsid w:val="00BA1C49"/>
    <w:rsid w:val="00BA1D1C"/>
    <w:rsid w:val="00BA1F45"/>
    <w:rsid w:val="00BA208A"/>
    <w:rsid w:val="00BA22AB"/>
    <w:rsid w:val="00BA2367"/>
    <w:rsid w:val="00BA25C7"/>
    <w:rsid w:val="00BA27D7"/>
    <w:rsid w:val="00BA2D60"/>
    <w:rsid w:val="00BA2ECB"/>
    <w:rsid w:val="00BA2FFA"/>
    <w:rsid w:val="00BA31D3"/>
    <w:rsid w:val="00BA3220"/>
    <w:rsid w:val="00BA3307"/>
    <w:rsid w:val="00BA3347"/>
    <w:rsid w:val="00BA338E"/>
    <w:rsid w:val="00BA35CC"/>
    <w:rsid w:val="00BA4451"/>
    <w:rsid w:val="00BA446D"/>
    <w:rsid w:val="00BA52DA"/>
    <w:rsid w:val="00BA5348"/>
    <w:rsid w:val="00BA53BF"/>
    <w:rsid w:val="00BA542B"/>
    <w:rsid w:val="00BA547B"/>
    <w:rsid w:val="00BA576E"/>
    <w:rsid w:val="00BA59FA"/>
    <w:rsid w:val="00BA5A17"/>
    <w:rsid w:val="00BA5CCB"/>
    <w:rsid w:val="00BA60AD"/>
    <w:rsid w:val="00BA6504"/>
    <w:rsid w:val="00BA6940"/>
    <w:rsid w:val="00BA6A94"/>
    <w:rsid w:val="00BA77A3"/>
    <w:rsid w:val="00BA7840"/>
    <w:rsid w:val="00BA7BD3"/>
    <w:rsid w:val="00BA7C9D"/>
    <w:rsid w:val="00BA7CA6"/>
    <w:rsid w:val="00BA7DAD"/>
    <w:rsid w:val="00BB0073"/>
    <w:rsid w:val="00BB01AB"/>
    <w:rsid w:val="00BB04F9"/>
    <w:rsid w:val="00BB0598"/>
    <w:rsid w:val="00BB0792"/>
    <w:rsid w:val="00BB0826"/>
    <w:rsid w:val="00BB0B30"/>
    <w:rsid w:val="00BB0BB7"/>
    <w:rsid w:val="00BB0CD8"/>
    <w:rsid w:val="00BB10AB"/>
    <w:rsid w:val="00BB1313"/>
    <w:rsid w:val="00BB1347"/>
    <w:rsid w:val="00BB14E9"/>
    <w:rsid w:val="00BB1638"/>
    <w:rsid w:val="00BB187D"/>
    <w:rsid w:val="00BB1C6E"/>
    <w:rsid w:val="00BB1CAC"/>
    <w:rsid w:val="00BB1E80"/>
    <w:rsid w:val="00BB1FDC"/>
    <w:rsid w:val="00BB21CE"/>
    <w:rsid w:val="00BB29B8"/>
    <w:rsid w:val="00BB2A70"/>
    <w:rsid w:val="00BB2D2C"/>
    <w:rsid w:val="00BB2E3E"/>
    <w:rsid w:val="00BB3357"/>
    <w:rsid w:val="00BB3B90"/>
    <w:rsid w:val="00BB439B"/>
    <w:rsid w:val="00BB466B"/>
    <w:rsid w:val="00BB4E7D"/>
    <w:rsid w:val="00BB4FC5"/>
    <w:rsid w:val="00BB54CB"/>
    <w:rsid w:val="00BB55D2"/>
    <w:rsid w:val="00BB563E"/>
    <w:rsid w:val="00BB5694"/>
    <w:rsid w:val="00BB59F1"/>
    <w:rsid w:val="00BB606A"/>
    <w:rsid w:val="00BB6270"/>
    <w:rsid w:val="00BB6353"/>
    <w:rsid w:val="00BB657E"/>
    <w:rsid w:val="00BB6EFF"/>
    <w:rsid w:val="00BB6F22"/>
    <w:rsid w:val="00BB7053"/>
    <w:rsid w:val="00BB73B5"/>
    <w:rsid w:val="00BB74CB"/>
    <w:rsid w:val="00BB77C6"/>
    <w:rsid w:val="00BB79F7"/>
    <w:rsid w:val="00BB7D39"/>
    <w:rsid w:val="00BB7F4D"/>
    <w:rsid w:val="00BB7F72"/>
    <w:rsid w:val="00BC0442"/>
    <w:rsid w:val="00BC0B9A"/>
    <w:rsid w:val="00BC0C70"/>
    <w:rsid w:val="00BC0DED"/>
    <w:rsid w:val="00BC0E7A"/>
    <w:rsid w:val="00BC0F53"/>
    <w:rsid w:val="00BC1613"/>
    <w:rsid w:val="00BC1995"/>
    <w:rsid w:val="00BC1CE8"/>
    <w:rsid w:val="00BC20CD"/>
    <w:rsid w:val="00BC2154"/>
    <w:rsid w:val="00BC2326"/>
    <w:rsid w:val="00BC2347"/>
    <w:rsid w:val="00BC25AD"/>
    <w:rsid w:val="00BC2634"/>
    <w:rsid w:val="00BC2753"/>
    <w:rsid w:val="00BC2893"/>
    <w:rsid w:val="00BC2A17"/>
    <w:rsid w:val="00BC2B96"/>
    <w:rsid w:val="00BC30C6"/>
    <w:rsid w:val="00BC3133"/>
    <w:rsid w:val="00BC36D7"/>
    <w:rsid w:val="00BC3840"/>
    <w:rsid w:val="00BC390F"/>
    <w:rsid w:val="00BC3A03"/>
    <w:rsid w:val="00BC3D4D"/>
    <w:rsid w:val="00BC41A3"/>
    <w:rsid w:val="00BC42EE"/>
    <w:rsid w:val="00BC50CD"/>
    <w:rsid w:val="00BC5445"/>
    <w:rsid w:val="00BC561F"/>
    <w:rsid w:val="00BC583B"/>
    <w:rsid w:val="00BC5A61"/>
    <w:rsid w:val="00BC5BDD"/>
    <w:rsid w:val="00BC61F5"/>
    <w:rsid w:val="00BC6589"/>
    <w:rsid w:val="00BC694C"/>
    <w:rsid w:val="00BC71F2"/>
    <w:rsid w:val="00BC751B"/>
    <w:rsid w:val="00BC751D"/>
    <w:rsid w:val="00BC761C"/>
    <w:rsid w:val="00BC7F0C"/>
    <w:rsid w:val="00BD0177"/>
    <w:rsid w:val="00BD098D"/>
    <w:rsid w:val="00BD0DCD"/>
    <w:rsid w:val="00BD0EDC"/>
    <w:rsid w:val="00BD0FD6"/>
    <w:rsid w:val="00BD106F"/>
    <w:rsid w:val="00BD138D"/>
    <w:rsid w:val="00BD18BB"/>
    <w:rsid w:val="00BD1C00"/>
    <w:rsid w:val="00BD1EE3"/>
    <w:rsid w:val="00BD204A"/>
    <w:rsid w:val="00BD2055"/>
    <w:rsid w:val="00BD21E2"/>
    <w:rsid w:val="00BD23C7"/>
    <w:rsid w:val="00BD2878"/>
    <w:rsid w:val="00BD290E"/>
    <w:rsid w:val="00BD29C3"/>
    <w:rsid w:val="00BD2A49"/>
    <w:rsid w:val="00BD2C33"/>
    <w:rsid w:val="00BD33C3"/>
    <w:rsid w:val="00BD34DC"/>
    <w:rsid w:val="00BD3CDF"/>
    <w:rsid w:val="00BD44BA"/>
    <w:rsid w:val="00BD4822"/>
    <w:rsid w:val="00BD4BBF"/>
    <w:rsid w:val="00BD510A"/>
    <w:rsid w:val="00BD5127"/>
    <w:rsid w:val="00BD5393"/>
    <w:rsid w:val="00BD541A"/>
    <w:rsid w:val="00BD56D5"/>
    <w:rsid w:val="00BD5996"/>
    <w:rsid w:val="00BD6122"/>
    <w:rsid w:val="00BD620E"/>
    <w:rsid w:val="00BD6456"/>
    <w:rsid w:val="00BD6520"/>
    <w:rsid w:val="00BD6CBE"/>
    <w:rsid w:val="00BD6EE0"/>
    <w:rsid w:val="00BD6F03"/>
    <w:rsid w:val="00BD71E9"/>
    <w:rsid w:val="00BD77DD"/>
    <w:rsid w:val="00BD7A89"/>
    <w:rsid w:val="00BD7D5D"/>
    <w:rsid w:val="00BD7DAB"/>
    <w:rsid w:val="00BD7E62"/>
    <w:rsid w:val="00BD7FF4"/>
    <w:rsid w:val="00BE0168"/>
    <w:rsid w:val="00BE02E1"/>
    <w:rsid w:val="00BE02E4"/>
    <w:rsid w:val="00BE0336"/>
    <w:rsid w:val="00BE0582"/>
    <w:rsid w:val="00BE064F"/>
    <w:rsid w:val="00BE0651"/>
    <w:rsid w:val="00BE067F"/>
    <w:rsid w:val="00BE0784"/>
    <w:rsid w:val="00BE0A47"/>
    <w:rsid w:val="00BE0B09"/>
    <w:rsid w:val="00BE149B"/>
    <w:rsid w:val="00BE1570"/>
    <w:rsid w:val="00BE16B4"/>
    <w:rsid w:val="00BE19C3"/>
    <w:rsid w:val="00BE1BCD"/>
    <w:rsid w:val="00BE227C"/>
    <w:rsid w:val="00BE2410"/>
    <w:rsid w:val="00BE25F7"/>
    <w:rsid w:val="00BE2903"/>
    <w:rsid w:val="00BE2AFD"/>
    <w:rsid w:val="00BE2B9B"/>
    <w:rsid w:val="00BE2BE9"/>
    <w:rsid w:val="00BE2E23"/>
    <w:rsid w:val="00BE300B"/>
    <w:rsid w:val="00BE3134"/>
    <w:rsid w:val="00BE3396"/>
    <w:rsid w:val="00BE370C"/>
    <w:rsid w:val="00BE3AF2"/>
    <w:rsid w:val="00BE3C6B"/>
    <w:rsid w:val="00BE3D9A"/>
    <w:rsid w:val="00BE3DFC"/>
    <w:rsid w:val="00BE4779"/>
    <w:rsid w:val="00BE4AB5"/>
    <w:rsid w:val="00BE4CB2"/>
    <w:rsid w:val="00BE543F"/>
    <w:rsid w:val="00BE549B"/>
    <w:rsid w:val="00BE571B"/>
    <w:rsid w:val="00BE5B87"/>
    <w:rsid w:val="00BE655F"/>
    <w:rsid w:val="00BE68B9"/>
    <w:rsid w:val="00BE6DD2"/>
    <w:rsid w:val="00BE74E4"/>
    <w:rsid w:val="00BE7507"/>
    <w:rsid w:val="00BE792C"/>
    <w:rsid w:val="00BE799C"/>
    <w:rsid w:val="00BF01B7"/>
    <w:rsid w:val="00BF0218"/>
    <w:rsid w:val="00BF045E"/>
    <w:rsid w:val="00BF0D0A"/>
    <w:rsid w:val="00BF0D7B"/>
    <w:rsid w:val="00BF1386"/>
    <w:rsid w:val="00BF15CE"/>
    <w:rsid w:val="00BF1609"/>
    <w:rsid w:val="00BF1701"/>
    <w:rsid w:val="00BF17D3"/>
    <w:rsid w:val="00BF1991"/>
    <w:rsid w:val="00BF1DE6"/>
    <w:rsid w:val="00BF2056"/>
    <w:rsid w:val="00BF2177"/>
    <w:rsid w:val="00BF21D4"/>
    <w:rsid w:val="00BF2406"/>
    <w:rsid w:val="00BF2CF9"/>
    <w:rsid w:val="00BF2F1B"/>
    <w:rsid w:val="00BF2FA8"/>
    <w:rsid w:val="00BF33C5"/>
    <w:rsid w:val="00BF367C"/>
    <w:rsid w:val="00BF3BE8"/>
    <w:rsid w:val="00BF3BFB"/>
    <w:rsid w:val="00BF3FC4"/>
    <w:rsid w:val="00BF426B"/>
    <w:rsid w:val="00BF4523"/>
    <w:rsid w:val="00BF4578"/>
    <w:rsid w:val="00BF4A90"/>
    <w:rsid w:val="00BF51E2"/>
    <w:rsid w:val="00BF5821"/>
    <w:rsid w:val="00BF5935"/>
    <w:rsid w:val="00BF61E8"/>
    <w:rsid w:val="00BF66CE"/>
    <w:rsid w:val="00BF69A7"/>
    <w:rsid w:val="00BF6AD5"/>
    <w:rsid w:val="00BF6D5F"/>
    <w:rsid w:val="00BF6DBD"/>
    <w:rsid w:val="00BF7299"/>
    <w:rsid w:val="00BF732E"/>
    <w:rsid w:val="00BF735C"/>
    <w:rsid w:val="00BF738E"/>
    <w:rsid w:val="00BF7413"/>
    <w:rsid w:val="00BF7518"/>
    <w:rsid w:val="00BF7853"/>
    <w:rsid w:val="00BF7A88"/>
    <w:rsid w:val="00BF7D6B"/>
    <w:rsid w:val="00C0008E"/>
    <w:rsid w:val="00C00117"/>
    <w:rsid w:val="00C00F6E"/>
    <w:rsid w:val="00C00FA6"/>
    <w:rsid w:val="00C015A7"/>
    <w:rsid w:val="00C017BC"/>
    <w:rsid w:val="00C0190D"/>
    <w:rsid w:val="00C01C1C"/>
    <w:rsid w:val="00C01C80"/>
    <w:rsid w:val="00C023EE"/>
    <w:rsid w:val="00C02594"/>
    <w:rsid w:val="00C027EF"/>
    <w:rsid w:val="00C02891"/>
    <w:rsid w:val="00C02BBD"/>
    <w:rsid w:val="00C02EB3"/>
    <w:rsid w:val="00C02F29"/>
    <w:rsid w:val="00C034E9"/>
    <w:rsid w:val="00C038B5"/>
    <w:rsid w:val="00C0399D"/>
    <w:rsid w:val="00C03A4D"/>
    <w:rsid w:val="00C03AC3"/>
    <w:rsid w:val="00C03B1E"/>
    <w:rsid w:val="00C03B2C"/>
    <w:rsid w:val="00C03CC9"/>
    <w:rsid w:val="00C048E4"/>
    <w:rsid w:val="00C04B5A"/>
    <w:rsid w:val="00C05023"/>
    <w:rsid w:val="00C05801"/>
    <w:rsid w:val="00C05B5B"/>
    <w:rsid w:val="00C06067"/>
    <w:rsid w:val="00C06466"/>
    <w:rsid w:val="00C072CA"/>
    <w:rsid w:val="00C074AB"/>
    <w:rsid w:val="00C07668"/>
    <w:rsid w:val="00C076C2"/>
    <w:rsid w:val="00C0778A"/>
    <w:rsid w:val="00C07905"/>
    <w:rsid w:val="00C07AC0"/>
    <w:rsid w:val="00C07AF4"/>
    <w:rsid w:val="00C07BA0"/>
    <w:rsid w:val="00C1021C"/>
    <w:rsid w:val="00C1024F"/>
    <w:rsid w:val="00C10681"/>
    <w:rsid w:val="00C10BDC"/>
    <w:rsid w:val="00C10C27"/>
    <w:rsid w:val="00C1132E"/>
    <w:rsid w:val="00C113BD"/>
    <w:rsid w:val="00C115BF"/>
    <w:rsid w:val="00C11F5D"/>
    <w:rsid w:val="00C120BA"/>
    <w:rsid w:val="00C12223"/>
    <w:rsid w:val="00C123DE"/>
    <w:rsid w:val="00C1240F"/>
    <w:rsid w:val="00C1293B"/>
    <w:rsid w:val="00C13342"/>
    <w:rsid w:val="00C13357"/>
    <w:rsid w:val="00C1361E"/>
    <w:rsid w:val="00C140B0"/>
    <w:rsid w:val="00C1422D"/>
    <w:rsid w:val="00C1436E"/>
    <w:rsid w:val="00C144D8"/>
    <w:rsid w:val="00C146AF"/>
    <w:rsid w:val="00C14713"/>
    <w:rsid w:val="00C14E99"/>
    <w:rsid w:val="00C14FC5"/>
    <w:rsid w:val="00C1504A"/>
    <w:rsid w:val="00C152A0"/>
    <w:rsid w:val="00C15A53"/>
    <w:rsid w:val="00C15CB0"/>
    <w:rsid w:val="00C15DD5"/>
    <w:rsid w:val="00C15DF2"/>
    <w:rsid w:val="00C15E6E"/>
    <w:rsid w:val="00C16492"/>
    <w:rsid w:val="00C166D7"/>
    <w:rsid w:val="00C169DC"/>
    <w:rsid w:val="00C16A96"/>
    <w:rsid w:val="00C16B13"/>
    <w:rsid w:val="00C16D6F"/>
    <w:rsid w:val="00C16EC0"/>
    <w:rsid w:val="00C16EEE"/>
    <w:rsid w:val="00C16EFA"/>
    <w:rsid w:val="00C170F2"/>
    <w:rsid w:val="00C178DB"/>
    <w:rsid w:val="00C17B87"/>
    <w:rsid w:val="00C17CB9"/>
    <w:rsid w:val="00C17F0B"/>
    <w:rsid w:val="00C20B54"/>
    <w:rsid w:val="00C20EE0"/>
    <w:rsid w:val="00C2120E"/>
    <w:rsid w:val="00C217DE"/>
    <w:rsid w:val="00C21AF3"/>
    <w:rsid w:val="00C21D92"/>
    <w:rsid w:val="00C21E0A"/>
    <w:rsid w:val="00C228BF"/>
    <w:rsid w:val="00C22B62"/>
    <w:rsid w:val="00C22EA4"/>
    <w:rsid w:val="00C23129"/>
    <w:rsid w:val="00C231F5"/>
    <w:rsid w:val="00C23DA8"/>
    <w:rsid w:val="00C23F1B"/>
    <w:rsid w:val="00C244E7"/>
    <w:rsid w:val="00C24BCC"/>
    <w:rsid w:val="00C24DDB"/>
    <w:rsid w:val="00C254B0"/>
    <w:rsid w:val="00C254D3"/>
    <w:rsid w:val="00C25DD4"/>
    <w:rsid w:val="00C25E67"/>
    <w:rsid w:val="00C262BD"/>
    <w:rsid w:val="00C265CF"/>
    <w:rsid w:val="00C2665C"/>
    <w:rsid w:val="00C26A11"/>
    <w:rsid w:val="00C26A3A"/>
    <w:rsid w:val="00C26AF1"/>
    <w:rsid w:val="00C26EA7"/>
    <w:rsid w:val="00C26F76"/>
    <w:rsid w:val="00C276DE"/>
    <w:rsid w:val="00C27730"/>
    <w:rsid w:val="00C27936"/>
    <w:rsid w:val="00C2797D"/>
    <w:rsid w:val="00C27D0A"/>
    <w:rsid w:val="00C309B5"/>
    <w:rsid w:val="00C30E10"/>
    <w:rsid w:val="00C31514"/>
    <w:rsid w:val="00C31575"/>
    <w:rsid w:val="00C315EA"/>
    <w:rsid w:val="00C316BE"/>
    <w:rsid w:val="00C31A3F"/>
    <w:rsid w:val="00C31C93"/>
    <w:rsid w:val="00C31EAA"/>
    <w:rsid w:val="00C320FB"/>
    <w:rsid w:val="00C322A1"/>
    <w:rsid w:val="00C3231E"/>
    <w:rsid w:val="00C32550"/>
    <w:rsid w:val="00C32AF3"/>
    <w:rsid w:val="00C32BE7"/>
    <w:rsid w:val="00C32D8B"/>
    <w:rsid w:val="00C33105"/>
    <w:rsid w:val="00C33550"/>
    <w:rsid w:val="00C33760"/>
    <w:rsid w:val="00C3387D"/>
    <w:rsid w:val="00C339AC"/>
    <w:rsid w:val="00C339AD"/>
    <w:rsid w:val="00C33C31"/>
    <w:rsid w:val="00C33DAA"/>
    <w:rsid w:val="00C33E04"/>
    <w:rsid w:val="00C33E19"/>
    <w:rsid w:val="00C3444F"/>
    <w:rsid w:val="00C34978"/>
    <w:rsid w:val="00C34A01"/>
    <w:rsid w:val="00C34B4C"/>
    <w:rsid w:val="00C34C5C"/>
    <w:rsid w:val="00C351ED"/>
    <w:rsid w:val="00C356BF"/>
    <w:rsid w:val="00C3586C"/>
    <w:rsid w:val="00C35DC3"/>
    <w:rsid w:val="00C3620A"/>
    <w:rsid w:val="00C362AC"/>
    <w:rsid w:val="00C366E9"/>
    <w:rsid w:val="00C36875"/>
    <w:rsid w:val="00C36E4C"/>
    <w:rsid w:val="00C36E5B"/>
    <w:rsid w:val="00C36F76"/>
    <w:rsid w:val="00C37169"/>
    <w:rsid w:val="00C3779F"/>
    <w:rsid w:val="00C37828"/>
    <w:rsid w:val="00C37885"/>
    <w:rsid w:val="00C37EB7"/>
    <w:rsid w:val="00C40280"/>
    <w:rsid w:val="00C40430"/>
    <w:rsid w:val="00C404A8"/>
    <w:rsid w:val="00C405DF"/>
    <w:rsid w:val="00C40B0B"/>
    <w:rsid w:val="00C40E42"/>
    <w:rsid w:val="00C414B0"/>
    <w:rsid w:val="00C414F4"/>
    <w:rsid w:val="00C41614"/>
    <w:rsid w:val="00C4165D"/>
    <w:rsid w:val="00C4178E"/>
    <w:rsid w:val="00C41912"/>
    <w:rsid w:val="00C41B4E"/>
    <w:rsid w:val="00C41EDD"/>
    <w:rsid w:val="00C42759"/>
    <w:rsid w:val="00C42889"/>
    <w:rsid w:val="00C42A8A"/>
    <w:rsid w:val="00C43785"/>
    <w:rsid w:val="00C43923"/>
    <w:rsid w:val="00C43A11"/>
    <w:rsid w:val="00C43A72"/>
    <w:rsid w:val="00C43F15"/>
    <w:rsid w:val="00C4422E"/>
    <w:rsid w:val="00C443B2"/>
    <w:rsid w:val="00C4454F"/>
    <w:rsid w:val="00C44C9F"/>
    <w:rsid w:val="00C44D4F"/>
    <w:rsid w:val="00C4518A"/>
    <w:rsid w:val="00C45198"/>
    <w:rsid w:val="00C4524F"/>
    <w:rsid w:val="00C4597D"/>
    <w:rsid w:val="00C45CF5"/>
    <w:rsid w:val="00C45D11"/>
    <w:rsid w:val="00C45FC4"/>
    <w:rsid w:val="00C462F6"/>
    <w:rsid w:val="00C463E6"/>
    <w:rsid w:val="00C4674D"/>
    <w:rsid w:val="00C467F5"/>
    <w:rsid w:val="00C46941"/>
    <w:rsid w:val="00C4725D"/>
    <w:rsid w:val="00C4775C"/>
    <w:rsid w:val="00C47D4A"/>
    <w:rsid w:val="00C47EC5"/>
    <w:rsid w:val="00C5064A"/>
    <w:rsid w:val="00C508FA"/>
    <w:rsid w:val="00C50A98"/>
    <w:rsid w:val="00C51078"/>
    <w:rsid w:val="00C51C47"/>
    <w:rsid w:val="00C52260"/>
    <w:rsid w:val="00C52330"/>
    <w:rsid w:val="00C523CB"/>
    <w:rsid w:val="00C52782"/>
    <w:rsid w:val="00C52869"/>
    <w:rsid w:val="00C528C8"/>
    <w:rsid w:val="00C52962"/>
    <w:rsid w:val="00C5298B"/>
    <w:rsid w:val="00C53291"/>
    <w:rsid w:val="00C5333D"/>
    <w:rsid w:val="00C5343C"/>
    <w:rsid w:val="00C5392C"/>
    <w:rsid w:val="00C53AD3"/>
    <w:rsid w:val="00C540B4"/>
    <w:rsid w:val="00C5438F"/>
    <w:rsid w:val="00C548D6"/>
    <w:rsid w:val="00C54BED"/>
    <w:rsid w:val="00C54D26"/>
    <w:rsid w:val="00C5584E"/>
    <w:rsid w:val="00C5592E"/>
    <w:rsid w:val="00C55945"/>
    <w:rsid w:val="00C55EE1"/>
    <w:rsid w:val="00C56123"/>
    <w:rsid w:val="00C5617C"/>
    <w:rsid w:val="00C56B51"/>
    <w:rsid w:val="00C56C33"/>
    <w:rsid w:val="00C56CCA"/>
    <w:rsid w:val="00C56DEF"/>
    <w:rsid w:val="00C5749B"/>
    <w:rsid w:val="00C574D4"/>
    <w:rsid w:val="00C57E26"/>
    <w:rsid w:val="00C603D1"/>
    <w:rsid w:val="00C60626"/>
    <w:rsid w:val="00C60848"/>
    <w:rsid w:val="00C609FF"/>
    <w:rsid w:val="00C60B14"/>
    <w:rsid w:val="00C60F89"/>
    <w:rsid w:val="00C61015"/>
    <w:rsid w:val="00C61394"/>
    <w:rsid w:val="00C619C0"/>
    <w:rsid w:val="00C625BD"/>
    <w:rsid w:val="00C626AA"/>
    <w:rsid w:val="00C626F1"/>
    <w:rsid w:val="00C628C4"/>
    <w:rsid w:val="00C62C90"/>
    <w:rsid w:val="00C62D74"/>
    <w:rsid w:val="00C638DC"/>
    <w:rsid w:val="00C63D8F"/>
    <w:rsid w:val="00C640A8"/>
    <w:rsid w:val="00C641C5"/>
    <w:rsid w:val="00C645D5"/>
    <w:rsid w:val="00C646E8"/>
    <w:rsid w:val="00C6478A"/>
    <w:rsid w:val="00C6497D"/>
    <w:rsid w:val="00C64A97"/>
    <w:rsid w:val="00C64C9E"/>
    <w:rsid w:val="00C64CE5"/>
    <w:rsid w:val="00C64DB6"/>
    <w:rsid w:val="00C65260"/>
    <w:rsid w:val="00C65343"/>
    <w:rsid w:val="00C653B5"/>
    <w:rsid w:val="00C65850"/>
    <w:rsid w:val="00C65AEC"/>
    <w:rsid w:val="00C65D1E"/>
    <w:rsid w:val="00C66295"/>
    <w:rsid w:val="00C6629C"/>
    <w:rsid w:val="00C666BF"/>
    <w:rsid w:val="00C66CCA"/>
    <w:rsid w:val="00C66F0D"/>
    <w:rsid w:val="00C66FFF"/>
    <w:rsid w:val="00C674F8"/>
    <w:rsid w:val="00C67A07"/>
    <w:rsid w:val="00C67AAA"/>
    <w:rsid w:val="00C67FE0"/>
    <w:rsid w:val="00C6843A"/>
    <w:rsid w:val="00C70135"/>
    <w:rsid w:val="00C702E2"/>
    <w:rsid w:val="00C705A9"/>
    <w:rsid w:val="00C70BA5"/>
    <w:rsid w:val="00C70C03"/>
    <w:rsid w:val="00C71023"/>
    <w:rsid w:val="00C71106"/>
    <w:rsid w:val="00C7115B"/>
    <w:rsid w:val="00C71ACC"/>
    <w:rsid w:val="00C72756"/>
    <w:rsid w:val="00C7276C"/>
    <w:rsid w:val="00C728A1"/>
    <w:rsid w:val="00C729CE"/>
    <w:rsid w:val="00C72B1F"/>
    <w:rsid w:val="00C72DB1"/>
    <w:rsid w:val="00C73182"/>
    <w:rsid w:val="00C73238"/>
    <w:rsid w:val="00C73C08"/>
    <w:rsid w:val="00C73C46"/>
    <w:rsid w:val="00C73F9E"/>
    <w:rsid w:val="00C740D9"/>
    <w:rsid w:val="00C741C0"/>
    <w:rsid w:val="00C742E7"/>
    <w:rsid w:val="00C7454B"/>
    <w:rsid w:val="00C748DF"/>
    <w:rsid w:val="00C74966"/>
    <w:rsid w:val="00C74C46"/>
    <w:rsid w:val="00C750AB"/>
    <w:rsid w:val="00C75665"/>
    <w:rsid w:val="00C759B5"/>
    <w:rsid w:val="00C75F08"/>
    <w:rsid w:val="00C76275"/>
    <w:rsid w:val="00C7630F"/>
    <w:rsid w:val="00C7662D"/>
    <w:rsid w:val="00C769D9"/>
    <w:rsid w:val="00C76B70"/>
    <w:rsid w:val="00C76C1E"/>
    <w:rsid w:val="00C76D3B"/>
    <w:rsid w:val="00C76DCD"/>
    <w:rsid w:val="00C76E8F"/>
    <w:rsid w:val="00C7757C"/>
    <w:rsid w:val="00C77DB9"/>
    <w:rsid w:val="00C80095"/>
    <w:rsid w:val="00C800A2"/>
    <w:rsid w:val="00C80930"/>
    <w:rsid w:val="00C810C4"/>
    <w:rsid w:val="00C810E9"/>
    <w:rsid w:val="00C812B7"/>
    <w:rsid w:val="00C81CEC"/>
    <w:rsid w:val="00C81F3A"/>
    <w:rsid w:val="00C824D4"/>
    <w:rsid w:val="00C8302E"/>
    <w:rsid w:val="00C830E6"/>
    <w:rsid w:val="00C840E1"/>
    <w:rsid w:val="00C8411E"/>
    <w:rsid w:val="00C841B5"/>
    <w:rsid w:val="00C84473"/>
    <w:rsid w:val="00C84805"/>
    <w:rsid w:val="00C84B3B"/>
    <w:rsid w:val="00C84BB8"/>
    <w:rsid w:val="00C84E67"/>
    <w:rsid w:val="00C84EC6"/>
    <w:rsid w:val="00C8514A"/>
    <w:rsid w:val="00C8590D"/>
    <w:rsid w:val="00C85D80"/>
    <w:rsid w:val="00C8637D"/>
    <w:rsid w:val="00C864D7"/>
    <w:rsid w:val="00C86599"/>
    <w:rsid w:val="00C866A5"/>
    <w:rsid w:val="00C86785"/>
    <w:rsid w:val="00C86877"/>
    <w:rsid w:val="00C876D6"/>
    <w:rsid w:val="00C87843"/>
    <w:rsid w:val="00C87F57"/>
    <w:rsid w:val="00C90045"/>
    <w:rsid w:val="00C901ED"/>
    <w:rsid w:val="00C90360"/>
    <w:rsid w:val="00C90594"/>
    <w:rsid w:val="00C90922"/>
    <w:rsid w:val="00C90C02"/>
    <w:rsid w:val="00C90C34"/>
    <w:rsid w:val="00C90C7F"/>
    <w:rsid w:val="00C91565"/>
    <w:rsid w:val="00C91769"/>
    <w:rsid w:val="00C9198F"/>
    <w:rsid w:val="00C91C09"/>
    <w:rsid w:val="00C91F74"/>
    <w:rsid w:val="00C92AD8"/>
    <w:rsid w:val="00C92E4B"/>
    <w:rsid w:val="00C932D9"/>
    <w:rsid w:val="00C933DD"/>
    <w:rsid w:val="00C934C3"/>
    <w:rsid w:val="00C936CD"/>
    <w:rsid w:val="00C9385C"/>
    <w:rsid w:val="00C9393A"/>
    <w:rsid w:val="00C93F75"/>
    <w:rsid w:val="00C940BE"/>
    <w:rsid w:val="00C941AB"/>
    <w:rsid w:val="00C946C6"/>
    <w:rsid w:val="00C94C2A"/>
    <w:rsid w:val="00C94F8F"/>
    <w:rsid w:val="00C953B0"/>
    <w:rsid w:val="00C95787"/>
    <w:rsid w:val="00C95AD9"/>
    <w:rsid w:val="00C95BEA"/>
    <w:rsid w:val="00C95D3A"/>
    <w:rsid w:val="00C95DD1"/>
    <w:rsid w:val="00C96E0A"/>
    <w:rsid w:val="00C97B26"/>
    <w:rsid w:val="00CA04A8"/>
    <w:rsid w:val="00CA07F9"/>
    <w:rsid w:val="00CA081D"/>
    <w:rsid w:val="00CA0B8A"/>
    <w:rsid w:val="00CA0CCE"/>
    <w:rsid w:val="00CA0D82"/>
    <w:rsid w:val="00CA0DD1"/>
    <w:rsid w:val="00CA0E72"/>
    <w:rsid w:val="00CA0F35"/>
    <w:rsid w:val="00CA1239"/>
    <w:rsid w:val="00CA1A0B"/>
    <w:rsid w:val="00CA1DCF"/>
    <w:rsid w:val="00CA1DE2"/>
    <w:rsid w:val="00CA1F02"/>
    <w:rsid w:val="00CA214E"/>
    <w:rsid w:val="00CA24F4"/>
    <w:rsid w:val="00CA2507"/>
    <w:rsid w:val="00CA272B"/>
    <w:rsid w:val="00CA3299"/>
    <w:rsid w:val="00CA3323"/>
    <w:rsid w:val="00CA33B8"/>
    <w:rsid w:val="00CA3BCF"/>
    <w:rsid w:val="00CA3C3A"/>
    <w:rsid w:val="00CA3F49"/>
    <w:rsid w:val="00CA3F7C"/>
    <w:rsid w:val="00CA40B5"/>
    <w:rsid w:val="00CA43A6"/>
    <w:rsid w:val="00CA44AC"/>
    <w:rsid w:val="00CA4509"/>
    <w:rsid w:val="00CA45CA"/>
    <w:rsid w:val="00CA46A4"/>
    <w:rsid w:val="00CA46B1"/>
    <w:rsid w:val="00CA4A50"/>
    <w:rsid w:val="00CA4D6E"/>
    <w:rsid w:val="00CA5043"/>
    <w:rsid w:val="00CA506A"/>
    <w:rsid w:val="00CA52FE"/>
    <w:rsid w:val="00CA5A14"/>
    <w:rsid w:val="00CA5A87"/>
    <w:rsid w:val="00CA5C02"/>
    <w:rsid w:val="00CA5EA4"/>
    <w:rsid w:val="00CA5F97"/>
    <w:rsid w:val="00CA6408"/>
    <w:rsid w:val="00CA67DC"/>
    <w:rsid w:val="00CA6DD0"/>
    <w:rsid w:val="00CA7009"/>
    <w:rsid w:val="00CA703D"/>
    <w:rsid w:val="00CA75A0"/>
    <w:rsid w:val="00CA78B7"/>
    <w:rsid w:val="00CA7C30"/>
    <w:rsid w:val="00CB0272"/>
    <w:rsid w:val="00CB06A1"/>
    <w:rsid w:val="00CB0743"/>
    <w:rsid w:val="00CB0AFB"/>
    <w:rsid w:val="00CB0E2C"/>
    <w:rsid w:val="00CB0F8D"/>
    <w:rsid w:val="00CB10E4"/>
    <w:rsid w:val="00CB13F2"/>
    <w:rsid w:val="00CB1502"/>
    <w:rsid w:val="00CB18C7"/>
    <w:rsid w:val="00CB18E7"/>
    <w:rsid w:val="00CB1969"/>
    <w:rsid w:val="00CB1AD6"/>
    <w:rsid w:val="00CB1BF3"/>
    <w:rsid w:val="00CB1C88"/>
    <w:rsid w:val="00CB1CD7"/>
    <w:rsid w:val="00CB2251"/>
    <w:rsid w:val="00CB247B"/>
    <w:rsid w:val="00CB26D7"/>
    <w:rsid w:val="00CB2D5C"/>
    <w:rsid w:val="00CB2FB5"/>
    <w:rsid w:val="00CB30F2"/>
    <w:rsid w:val="00CB323A"/>
    <w:rsid w:val="00CB385C"/>
    <w:rsid w:val="00CB38E3"/>
    <w:rsid w:val="00CB3D6F"/>
    <w:rsid w:val="00CB40D0"/>
    <w:rsid w:val="00CB40FE"/>
    <w:rsid w:val="00CB4326"/>
    <w:rsid w:val="00CB4457"/>
    <w:rsid w:val="00CB447F"/>
    <w:rsid w:val="00CB4F33"/>
    <w:rsid w:val="00CB51E0"/>
    <w:rsid w:val="00CB56D1"/>
    <w:rsid w:val="00CB594C"/>
    <w:rsid w:val="00CB5D82"/>
    <w:rsid w:val="00CB6F11"/>
    <w:rsid w:val="00CB70D9"/>
    <w:rsid w:val="00CB7185"/>
    <w:rsid w:val="00CB755D"/>
    <w:rsid w:val="00CB7855"/>
    <w:rsid w:val="00CB7A0F"/>
    <w:rsid w:val="00CB7F9A"/>
    <w:rsid w:val="00CC06C4"/>
    <w:rsid w:val="00CC083B"/>
    <w:rsid w:val="00CC0AF3"/>
    <w:rsid w:val="00CC0BAF"/>
    <w:rsid w:val="00CC0CBD"/>
    <w:rsid w:val="00CC1259"/>
    <w:rsid w:val="00CC1852"/>
    <w:rsid w:val="00CC1B5A"/>
    <w:rsid w:val="00CC2398"/>
    <w:rsid w:val="00CC28F7"/>
    <w:rsid w:val="00CC2BEB"/>
    <w:rsid w:val="00CC2ED3"/>
    <w:rsid w:val="00CC2F1D"/>
    <w:rsid w:val="00CC3031"/>
    <w:rsid w:val="00CC3118"/>
    <w:rsid w:val="00CC3296"/>
    <w:rsid w:val="00CC34F8"/>
    <w:rsid w:val="00CC3608"/>
    <w:rsid w:val="00CC3697"/>
    <w:rsid w:val="00CC4022"/>
    <w:rsid w:val="00CC46D6"/>
    <w:rsid w:val="00CC4700"/>
    <w:rsid w:val="00CC4A1A"/>
    <w:rsid w:val="00CC4BEB"/>
    <w:rsid w:val="00CC4CA1"/>
    <w:rsid w:val="00CC4CA8"/>
    <w:rsid w:val="00CC5233"/>
    <w:rsid w:val="00CC5332"/>
    <w:rsid w:val="00CC5389"/>
    <w:rsid w:val="00CC57C2"/>
    <w:rsid w:val="00CC5836"/>
    <w:rsid w:val="00CC5F44"/>
    <w:rsid w:val="00CC5FC2"/>
    <w:rsid w:val="00CC6268"/>
    <w:rsid w:val="00CC6882"/>
    <w:rsid w:val="00CC72AB"/>
    <w:rsid w:val="00CC7842"/>
    <w:rsid w:val="00CC7F00"/>
    <w:rsid w:val="00CD0079"/>
    <w:rsid w:val="00CD009F"/>
    <w:rsid w:val="00CD023F"/>
    <w:rsid w:val="00CD035D"/>
    <w:rsid w:val="00CD0451"/>
    <w:rsid w:val="00CD0463"/>
    <w:rsid w:val="00CD08C7"/>
    <w:rsid w:val="00CD0CA8"/>
    <w:rsid w:val="00CD0E6E"/>
    <w:rsid w:val="00CD10BF"/>
    <w:rsid w:val="00CD11E3"/>
    <w:rsid w:val="00CD151F"/>
    <w:rsid w:val="00CD174A"/>
    <w:rsid w:val="00CD1F12"/>
    <w:rsid w:val="00CD1F85"/>
    <w:rsid w:val="00CD21B5"/>
    <w:rsid w:val="00CD2378"/>
    <w:rsid w:val="00CD2711"/>
    <w:rsid w:val="00CD2B23"/>
    <w:rsid w:val="00CD2C82"/>
    <w:rsid w:val="00CD31AD"/>
    <w:rsid w:val="00CD3205"/>
    <w:rsid w:val="00CD38DD"/>
    <w:rsid w:val="00CD39D9"/>
    <w:rsid w:val="00CD3A3C"/>
    <w:rsid w:val="00CD3AC7"/>
    <w:rsid w:val="00CD3CB6"/>
    <w:rsid w:val="00CD4457"/>
    <w:rsid w:val="00CD45BE"/>
    <w:rsid w:val="00CD4DC1"/>
    <w:rsid w:val="00CD4FC4"/>
    <w:rsid w:val="00CD50DA"/>
    <w:rsid w:val="00CD530F"/>
    <w:rsid w:val="00CD5337"/>
    <w:rsid w:val="00CD5799"/>
    <w:rsid w:val="00CD5BC2"/>
    <w:rsid w:val="00CD5EAD"/>
    <w:rsid w:val="00CD6369"/>
    <w:rsid w:val="00CD664B"/>
    <w:rsid w:val="00CD6746"/>
    <w:rsid w:val="00CD6971"/>
    <w:rsid w:val="00CD6B3A"/>
    <w:rsid w:val="00CD6BA2"/>
    <w:rsid w:val="00CD6E2E"/>
    <w:rsid w:val="00CD6E53"/>
    <w:rsid w:val="00CD7506"/>
    <w:rsid w:val="00CD7570"/>
    <w:rsid w:val="00CD7766"/>
    <w:rsid w:val="00CD7AF9"/>
    <w:rsid w:val="00CD7C2D"/>
    <w:rsid w:val="00CE069D"/>
    <w:rsid w:val="00CE0C84"/>
    <w:rsid w:val="00CE0D12"/>
    <w:rsid w:val="00CE0D21"/>
    <w:rsid w:val="00CE0EFB"/>
    <w:rsid w:val="00CE0FD5"/>
    <w:rsid w:val="00CE121C"/>
    <w:rsid w:val="00CE13BB"/>
    <w:rsid w:val="00CE13DB"/>
    <w:rsid w:val="00CE166F"/>
    <w:rsid w:val="00CE18FC"/>
    <w:rsid w:val="00CE1971"/>
    <w:rsid w:val="00CE1E9C"/>
    <w:rsid w:val="00CE1F63"/>
    <w:rsid w:val="00CE2086"/>
    <w:rsid w:val="00CE24EF"/>
    <w:rsid w:val="00CE2637"/>
    <w:rsid w:val="00CE28CD"/>
    <w:rsid w:val="00CE2904"/>
    <w:rsid w:val="00CE2B55"/>
    <w:rsid w:val="00CE382D"/>
    <w:rsid w:val="00CE385D"/>
    <w:rsid w:val="00CE3A0A"/>
    <w:rsid w:val="00CE40B0"/>
    <w:rsid w:val="00CE4108"/>
    <w:rsid w:val="00CE43EB"/>
    <w:rsid w:val="00CE4904"/>
    <w:rsid w:val="00CE4A05"/>
    <w:rsid w:val="00CE4B1B"/>
    <w:rsid w:val="00CE51A7"/>
    <w:rsid w:val="00CE52D7"/>
    <w:rsid w:val="00CE5811"/>
    <w:rsid w:val="00CE5847"/>
    <w:rsid w:val="00CE62FD"/>
    <w:rsid w:val="00CE6689"/>
    <w:rsid w:val="00CE6881"/>
    <w:rsid w:val="00CE6ABB"/>
    <w:rsid w:val="00CE6D08"/>
    <w:rsid w:val="00CE6E09"/>
    <w:rsid w:val="00CE72CA"/>
    <w:rsid w:val="00CE72EE"/>
    <w:rsid w:val="00CE74D6"/>
    <w:rsid w:val="00CE754A"/>
    <w:rsid w:val="00CE75C6"/>
    <w:rsid w:val="00CE783C"/>
    <w:rsid w:val="00CE7DF6"/>
    <w:rsid w:val="00CE7E57"/>
    <w:rsid w:val="00CF01B8"/>
    <w:rsid w:val="00CF05AF"/>
    <w:rsid w:val="00CF07C9"/>
    <w:rsid w:val="00CF0FC6"/>
    <w:rsid w:val="00CF1424"/>
    <w:rsid w:val="00CF1883"/>
    <w:rsid w:val="00CF1FBE"/>
    <w:rsid w:val="00CF2515"/>
    <w:rsid w:val="00CF2851"/>
    <w:rsid w:val="00CF28C0"/>
    <w:rsid w:val="00CF2C26"/>
    <w:rsid w:val="00CF34B0"/>
    <w:rsid w:val="00CF402A"/>
    <w:rsid w:val="00CF4534"/>
    <w:rsid w:val="00CF4675"/>
    <w:rsid w:val="00CF4734"/>
    <w:rsid w:val="00CF4BB7"/>
    <w:rsid w:val="00CF534E"/>
    <w:rsid w:val="00CF538E"/>
    <w:rsid w:val="00CF5843"/>
    <w:rsid w:val="00CF59B8"/>
    <w:rsid w:val="00CF5B22"/>
    <w:rsid w:val="00CF5C90"/>
    <w:rsid w:val="00CF5CB4"/>
    <w:rsid w:val="00CF5D55"/>
    <w:rsid w:val="00CF5EFE"/>
    <w:rsid w:val="00CF632B"/>
    <w:rsid w:val="00CF69B8"/>
    <w:rsid w:val="00CF6C78"/>
    <w:rsid w:val="00CF6E39"/>
    <w:rsid w:val="00CF6F8A"/>
    <w:rsid w:val="00CF74E5"/>
    <w:rsid w:val="00CF76A7"/>
    <w:rsid w:val="00CF7B3E"/>
    <w:rsid w:val="00CF7C74"/>
    <w:rsid w:val="00D0084B"/>
    <w:rsid w:val="00D00D1C"/>
    <w:rsid w:val="00D00DDB"/>
    <w:rsid w:val="00D015A5"/>
    <w:rsid w:val="00D02095"/>
    <w:rsid w:val="00D0216B"/>
    <w:rsid w:val="00D025CF"/>
    <w:rsid w:val="00D02650"/>
    <w:rsid w:val="00D026F4"/>
    <w:rsid w:val="00D028C8"/>
    <w:rsid w:val="00D02A76"/>
    <w:rsid w:val="00D02A81"/>
    <w:rsid w:val="00D02BA8"/>
    <w:rsid w:val="00D02C51"/>
    <w:rsid w:val="00D0335C"/>
    <w:rsid w:val="00D03724"/>
    <w:rsid w:val="00D03BE5"/>
    <w:rsid w:val="00D03C91"/>
    <w:rsid w:val="00D040FF"/>
    <w:rsid w:val="00D044CE"/>
    <w:rsid w:val="00D04787"/>
    <w:rsid w:val="00D04E6C"/>
    <w:rsid w:val="00D05037"/>
    <w:rsid w:val="00D052B8"/>
    <w:rsid w:val="00D0579F"/>
    <w:rsid w:val="00D0585C"/>
    <w:rsid w:val="00D05B8A"/>
    <w:rsid w:val="00D05BC9"/>
    <w:rsid w:val="00D05D63"/>
    <w:rsid w:val="00D05DFB"/>
    <w:rsid w:val="00D06B79"/>
    <w:rsid w:val="00D06DBF"/>
    <w:rsid w:val="00D06EBA"/>
    <w:rsid w:val="00D07173"/>
    <w:rsid w:val="00D07375"/>
    <w:rsid w:val="00D073F6"/>
    <w:rsid w:val="00D07D9A"/>
    <w:rsid w:val="00D07FB7"/>
    <w:rsid w:val="00D10574"/>
    <w:rsid w:val="00D1110E"/>
    <w:rsid w:val="00D114B5"/>
    <w:rsid w:val="00D115E5"/>
    <w:rsid w:val="00D11736"/>
    <w:rsid w:val="00D118A9"/>
    <w:rsid w:val="00D11B1D"/>
    <w:rsid w:val="00D11E15"/>
    <w:rsid w:val="00D11F3C"/>
    <w:rsid w:val="00D1202C"/>
    <w:rsid w:val="00D12044"/>
    <w:rsid w:val="00D12095"/>
    <w:rsid w:val="00D12268"/>
    <w:rsid w:val="00D12826"/>
    <w:rsid w:val="00D12A35"/>
    <w:rsid w:val="00D12D9E"/>
    <w:rsid w:val="00D1352A"/>
    <w:rsid w:val="00D139A6"/>
    <w:rsid w:val="00D13C16"/>
    <w:rsid w:val="00D13DA4"/>
    <w:rsid w:val="00D148F7"/>
    <w:rsid w:val="00D14A7F"/>
    <w:rsid w:val="00D14D1D"/>
    <w:rsid w:val="00D15124"/>
    <w:rsid w:val="00D15166"/>
    <w:rsid w:val="00D151D6"/>
    <w:rsid w:val="00D15988"/>
    <w:rsid w:val="00D16382"/>
    <w:rsid w:val="00D1659C"/>
    <w:rsid w:val="00D1660C"/>
    <w:rsid w:val="00D16630"/>
    <w:rsid w:val="00D16A74"/>
    <w:rsid w:val="00D16B38"/>
    <w:rsid w:val="00D1794A"/>
    <w:rsid w:val="00D17A05"/>
    <w:rsid w:val="00D17CE3"/>
    <w:rsid w:val="00D17D3C"/>
    <w:rsid w:val="00D20299"/>
    <w:rsid w:val="00D20C5C"/>
    <w:rsid w:val="00D21053"/>
    <w:rsid w:val="00D21926"/>
    <w:rsid w:val="00D219B7"/>
    <w:rsid w:val="00D21AA7"/>
    <w:rsid w:val="00D21D30"/>
    <w:rsid w:val="00D21D79"/>
    <w:rsid w:val="00D22007"/>
    <w:rsid w:val="00D228C1"/>
    <w:rsid w:val="00D228CB"/>
    <w:rsid w:val="00D229B3"/>
    <w:rsid w:val="00D22B19"/>
    <w:rsid w:val="00D22F1F"/>
    <w:rsid w:val="00D22F41"/>
    <w:rsid w:val="00D22F82"/>
    <w:rsid w:val="00D23175"/>
    <w:rsid w:val="00D23B30"/>
    <w:rsid w:val="00D23DFA"/>
    <w:rsid w:val="00D242B5"/>
    <w:rsid w:val="00D24508"/>
    <w:rsid w:val="00D247CB"/>
    <w:rsid w:val="00D24D8E"/>
    <w:rsid w:val="00D25692"/>
    <w:rsid w:val="00D257CC"/>
    <w:rsid w:val="00D257D9"/>
    <w:rsid w:val="00D25A92"/>
    <w:rsid w:val="00D25BEF"/>
    <w:rsid w:val="00D25D9C"/>
    <w:rsid w:val="00D26368"/>
    <w:rsid w:val="00D26542"/>
    <w:rsid w:val="00D26788"/>
    <w:rsid w:val="00D26BA9"/>
    <w:rsid w:val="00D26E5D"/>
    <w:rsid w:val="00D26EA0"/>
    <w:rsid w:val="00D26EEF"/>
    <w:rsid w:val="00D26F7C"/>
    <w:rsid w:val="00D27021"/>
    <w:rsid w:val="00D27244"/>
    <w:rsid w:val="00D27773"/>
    <w:rsid w:val="00D27CC7"/>
    <w:rsid w:val="00D30549"/>
    <w:rsid w:val="00D31516"/>
    <w:rsid w:val="00D31568"/>
    <w:rsid w:val="00D3176C"/>
    <w:rsid w:val="00D31874"/>
    <w:rsid w:val="00D31B72"/>
    <w:rsid w:val="00D31E55"/>
    <w:rsid w:val="00D32148"/>
    <w:rsid w:val="00D322A7"/>
    <w:rsid w:val="00D3260A"/>
    <w:rsid w:val="00D32B1A"/>
    <w:rsid w:val="00D331E0"/>
    <w:rsid w:val="00D333DC"/>
    <w:rsid w:val="00D3347C"/>
    <w:rsid w:val="00D3350D"/>
    <w:rsid w:val="00D33A75"/>
    <w:rsid w:val="00D33A86"/>
    <w:rsid w:val="00D33D9A"/>
    <w:rsid w:val="00D3429D"/>
    <w:rsid w:val="00D342B4"/>
    <w:rsid w:val="00D3456E"/>
    <w:rsid w:val="00D347E0"/>
    <w:rsid w:val="00D34C3E"/>
    <w:rsid w:val="00D34DFA"/>
    <w:rsid w:val="00D34ED7"/>
    <w:rsid w:val="00D35101"/>
    <w:rsid w:val="00D3518C"/>
    <w:rsid w:val="00D3576E"/>
    <w:rsid w:val="00D35C5D"/>
    <w:rsid w:val="00D36A48"/>
    <w:rsid w:val="00D37128"/>
    <w:rsid w:val="00D373F9"/>
    <w:rsid w:val="00D37506"/>
    <w:rsid w:val="00D37593"/>
    <w:rsid w:val="00D375D8"/>
    <w:rsid w:val="00D37A92"/>
    <w:rsid w:val="00D37CBA"/>
    <w:rsid w:val="00D4006F"/>
    <w:rsid w:val="00D4020B"/>
    <w:rsid w:val="00D40821"/>
    <w:rsid w:val="00D40A97"/>
    <w:rsid w:val="00D40C91"/>
    <w:rsid w:val="00D40D8E"/>
    <w:rsid w:val="00D40F41"/>
    <w:rsid w:val="00D40FF7"/>
    <w:rsid w:val="00D4110E"/>
    <w:rsid w:val="00D41477"/>
    <w:rsid w:val="00D41644"/>
    <w:rsid w:val="00D416B9"/>
    <w:rsid w:val="00D41719"/>
    <w:rsid w:val="00D418F7"/>
    <w:rsid w:val="00D41E6A"/>
    <w:rsid w:val="00D42093"/>
    <w:rsid w:val="00D422F8"/>
    <w:rsid w:val="00D42304"/>
    <w:rsid w:val="00D428F6"/>
    <w:rsid w:val="00D4299B"/>
    <w:rsid w:val="00D42D4B"/>
    <w:rsid w:val="00D42E74"/>
    <w:rsid w:val="00D42FD2"/>
    <w:rsid w:val="00D4359A"/>
    <w:rsid w:val="00D435E1"/>
    <w:rsid w:val="00D440F0"/>
    <w:rsid w:val="00D4426B"/>
    <w:rsid w:val="00D4497A"/>
    <w:rsid w:val="00D44B08"/>
    <w:rsid w:val="00D44D6C"/>
    <w:rsid w:val="00D44F13"/>
    <w:rsid w:val="00D45089"/>
    <w:rsid w:val="00D45152"/>
    <w:rsid w:val="00D4534F"/>
    <w:rsid w:val="00D45673"/>
    <w:rsid w:val="00D456E4"/>
    <w:rsid w:val="00D45700"/>
    <w:rsid w:val="00D458DE"/>
    <w:rsid w:val="00D46344"/>
    <w:rsid w:val="00D467D1"/>
    <w:rsid w:val="00D46945"/>
    <w:rsid w:val="00D46AF0"/>
    <w:rsid w:val="00D46D11"/>
    <w:rsid w:val="00D4723A"/>
    <w:rsid w:val="00D47778"/>
    <w:rsid w:val="00D47FC7"/>
    <w:rsid w:val="00D5008C"/>
    <w:rsid w:val="00D50613"/>
    <w:rsid w:val="00D506E2"/>
    <w:rsid w:val="00D50BBB"/>
    <w:rsid w:val="00D51011"/>
    <w:rsid w:val="00D51658"/>
    <w:rsid w:val="00D51664"/>
    <w:rsid w:val="00D51D4F"/>
    <w:rsid w:val="00D51E23"/>
    <w:rsid w:val="00D5249B"/>
    <w:rsid w:val="00D52D09"/>
    <w:rsid w:val="00D52F35"/>
    <w:rsid w:val="00D53C6A"/>
    <w:rsid w:val="00D5402F"/>
    <w:rsid w:val="00D54354"/>
    <w:rsid w:val="00D54DB9"/>
    <w:rsid w:val="00D54F75"/>
    <w:rsid w:val="00D553AB"/>
    <w:rsid w:val="00D55589"/>
    <w:rsid w:val="00D55708"/>
    <w:rsid w:val="00D5582E"/>
    <w:rsid w:val="00D55965"/>
    <w:rsid w:val="00D559D3"/>
    <w:rsid w:val="00D55C48"/>
    <w:rsid w:val="00D5680D"/>
    <w:rsid w:val="00D56979"/>
    <w:rsid w:val="00D574BB"/>
    <w:rsid w:val="00D574FE"/>
    <w:rsid w:val="00D5783B"/>
    <w:rsid w:val="00D578B6"/>
    <w:rsid w:val="00D579BF"/>
    <w:rsid w:val="00D57D7E"/>
    <w:rsid w:val="00D602C0"/>
    <w:rsid w:val="00D604F2"/>
    <w:rsid w:val="00D6053E"/>
    <w:rsid w:val="00D6056E"/>
    <w:rsid w:val="00D606DB"/>
    <w:rsid w:val="00D60767"/>
    <w:rsid w:val="00D607F2"/>
    <w:rsid w:val="00D60899"/>
    <w:rsid w:val="00D60930"/>
    <w:rsid w:val="00D609CE"/>
    <w:rsid w:val="00D60A75"/>
    <w:rsid w:val="00D60EC9"/>
    <w:rsid w:val="00D6139D"/>
    <w:rsid w:val="00D617C4"/>
    <w:rsid w:val="00D619E4"/>
    <w:rsid w:val="00D61D3B"/>
    <w:rsid w:val="00D61E5D"/>
    <w:rsid w:val="00D62022"/>
    <w:rsid w:val="00D62086"/>
    <w:rsid w:val="00D6222F"/>
    <w:rsid w:val="00D62396"/>
    <w:rsid w:val="00D624D6"/>
    <w:rsid w:val="00D626A8"/>
    <w:rsid w:val="00D62B29"/>
    <w:rsid w:val="00D62EC0"/>
    <w:rsid w:val="00D63332"/>
    <w:rsid w:val="00D63757"/>
    <w:rsid w:val="00D63A82"/>
    <w:rsid w:val="00D63E01"/>
    <w:rsid w:val="00D64237"/>
    <w:rsid w:val="00D6431F"/>
    <w:rsid w:val="00D64E75"/>
    <w:rsid w:val="00D64F05"/>
    <w:rsid w:val="00D64F72"/>
    <w:rsid w:val="00D6506C"/>
    <w:rsid w:val="00D652C4"/>
    <w:rsid w:val="00D653F8"/>
    <w:rsid w:val="00D6540C"/>
    <w:rsid w:val="00D656FB"/>
    <w:rsid w:val="00D65A4E"/>
    <w:rsid w:val="00D65EE7"/>
    <w:rsid w:val="00D66128"/>
    <w:rsid w:val="00D66416"/>
    <w:rsid w:val="00D668A5"/>
    <w:rsid w:val="00D6715C"/>
    <w:rsid w:val="00D67178"/>
    <w:rsid w:val="00D6750F"/>
    <w:rsid w:val="00D67558"/>
    <w:rsid w:val="00D6795F"/>
    <w:rsid w:val="00D67973"/>
    <w:rsid w:val="00D679AB"/>
    <w:rsid w:val="00D67B19"/>
    <w:rsid w:val="00D67DFC"/>
    <w:rsid w:val="00D67EF4"/>
    <w:rsid w:val="00D706A8"/>
    <w:rsid w:val="00D7081B"/>
    <w:rsid w:val="00D7094D"/>
    <w:rsid w:val="00D70A6B"/>
    <w:rsid w:val="00D70C6B"/>
    <w:rsid w:val="00D70E5C"/>
    <w:rsid w:val="00D7126F"/>
    <w:rsid w:val="00D715BE"/>
    <w:rsid w:val="00D717EE"/>
    <w:rsid w:val="00D7186D"/>
    <w:rsid w:val="00D71937"/>
    <w:rsid w:val="00D71B79"/>
    <w:rsid w:val="00D720B5"/>
    <w:rsid w:val="00D7219E"/>
    <w:rsid w:val="00D72816"/>
    <w:rsid w:val="00D7295D"/>
    <w:rsid w:val="00D72BC3"/>
    <w:rsid w:val="00D73220"/>
    <w:rsid w:val="00D73297"/>
    <w:rsid w:val="00D73A1A"/>
    <w:rsid w:val="00D73B85"/>
    <w:rsid w:val="00D73FE1"/>
    <w:rsid w:val="00D742CF"/>
    <w:rsid w:val="00D74393"/>
    <w:rsid w:val="00D74A09"/>
    <w:rsid w:val="00D74A54"/>
    <w:rsid w:val="00D74D26"/>
    <w:rsid w:val="00D74F5F"/>
    <w:rsid w:val="00D75056"/>
    <w:rsid w:val="00D750DD"/>
    <w:rsid w:val="00D752B9"/>
    <w:rsid w:val="00D7580E"/>
    <w:rsid w:val="00D758A1"/>
    <w:rsid w:val="00D75D82"/>
    <w:rsid w:val="00D75EC4"/>
    <w:rsid w:val="00D764CC"/>
    <w:rsid w:val="00D7660E"/>
    <w:rsid w:val="00D7678B"/>
    <w:rsid w:val="00D76E61"/>
    <w:rsid w:val="00D775A0"/>
    <w:rsid w:val="00D77619"/>
    <w:rsid w:val="00D7788C"/>
    <w:rsid w:val="00D778C9"/>
    <w:rsid w:val="00D803F1"/>
    <w:rsid w:val="00D8070E"/>
    <w:rsid w:val="00D80898"/>
    <w:rsid w:val="00D80FEC"/>
    <w:rsid w:val="00D81083"/>
    <w:rsid w:val="00D81573"/>
    <w:rsid w:val="00D815BF"/>
    <w:rsid w:val="00D817EF"/>
    <w:rsid w:val="00D81A82"/>
    <w:rsid w:val="00D81DC4"/>
    <w:rsid w:val="00D821FB"/>
    <w:rsid w:val="00D8222C"/>
    <w:rsid w:val="00D8242C"/>
    <w:rsid w:val="00D82514"/>
    <w:rsid w:val="00D8279B"/>
    <w:rsid w:val="00D828C6"/>
    <w:rsid w:val="00D82990"/>
    <w:rsid w:val="00D82992"/>
    <w:rsid w:val="00D82A7A"/>
    <w:rsid w:val="00D82B07"/>
    <w:rsid w:val="00D82B64"/>
    <w:rsid w:val="00D831EF"/>
    <w:rsid w:val="00D8379C"/>
    <w:rsid w:val="00D843AE"/>
    <w:rsid w:val="00D843B6"/>
    <w:rsid w:val="00D84419"/>
    <w:rsid w:val="00D8477B"/>
    <w:rsid w:val="00D84874"/>
    <w:rsid w:val="00D84BA4"/>
    <w:rsid w:val="00D84DA9"/>
    <w:rsid w:val="00D8503A"/>
    <w:rsid w:val="00D85138"/>
    <w:rsid w:val="00D85139"/>
    <w:rsid w:val="00D85918"/>
    <w:rsid w:val="00D8597D"/>
    <w:rsid w:val="00D85DF2"/>
    <w:rsid w:val="00D86131"/>
    <w:rsid w:val="00D86440"/>
    <w:rsid w:val="00D86511"/>
    <w:rsid w:val="00D86659"/>
    <w:rsid w:val="00D868C6"/>
    <w:rsid w:val="00D86B80"/>
    <w:rsid w:val="00D86C8D"/>
    <w:rsid w:val="00D87DC8"/>
    <w:rsid w:val="00D901FE"/>
    <w:rsid w:val="00D90304"/>
    <w:rsid w:val="00D9069E"/>
    <w:rsid w:val="00D90F8B"/>
    <w:rsid w:val="00D91280"/>
    <w:rsid w:val="00D91420"/>
    <w:rsid w:val="00D9151B"/>
    <w:rsid w:val="00D91907"/>
    <w:rsid w:val="00D91D36"/>
    <w:rsid w:val="00D9212A"/>
    <w:rsid w:val="00D92164"/>
    <w:rsid w:val="00D93053"/>
    <w:rsid w:val="00D93376"/>
    <w:rsid w:val="00D93AFD"/>
    <w:rsid w:val="00D93B40"/>
    <w:rsid w:val="00D93D90"/>
    <w:rsid w:val="00D94000"/>
    <w:rsid w:val="00D942EB"/>
    <w:rsid w:val="00D9432D"/>
    <w:rsid w:val="00D944CF"/>
    <w:rsid w:val="00D94C55"/>
    <w:rsid w:val="00D957F0"/>
    <w:rsid w:val="00D95EEB"/>
    <w:rsid w:val="00D95EF7"/>
    <w:rsid w:val="00D95F15"/>
    <w:rsid w:val="00D96352"/>
    <w:rsid w:val="00D96727"/>
    <w:rsid w:val="00D96A26"/>
    <w:rsid w:val="00D96BB3"/>
    <w:rsid w:val="00D97140"/>
    <w:rsid w:val="00D97224"/>
    <w:rsid w:val="00D9776A"/>
    <w:rsid w:val="00D979BD"/>
    <w:rsid w:val="00D97D34"/>
    <w:rsid w:val="00D97D3A"/>
    <w:rsid w:val="00DA04F9"/>
    <w:rsid w:val="00DA0F08"/>
    <w:rsid w:val="00DA0FD0"/>
    <w:rsid w:val="00DA1049"/>
    <w:rsid w:val="00DA10E3"/>
    <w:rsid w:val="00DA1252"/>
    <w:rsid w:val="00DA16E4"/>
    <w:rsid w:val="00DA1780"/>
    <w:rsid w:val="00DA1782"/>
    <w:rsid w:val="00DA20F6"/>
    <w:rsid w:val="00DA2227"/>
    <w:rsid w:val="00DA226D"/>
    <w:rsid w:val="00DA23CE"/>
    <w:rsid w:val="00DA25B5"/>
    <w:rsid w:val="00DA2893"/>
    <w:rsid w:val="00DA28BC"/>
    <w:rsid w:val="00DA298E"/>
    <w:rsid w:val="00DA2A15"/>
    <w:rsid w:val="00DA2A7D"/>
    <w:rsid w:val="00DA2CFA"/>
    <w:rsid w:val="00DA2E0C"/>
    <w:rsid w:val="00DA34DC"/>
    <w:rsid w:val="00DA3BC3"/>
    <w:rsid w:val="00DA3D79"/>
    <w:rsid w:val="00DA3D8C"/>
    <w:rsid w:val="00DA3DB5"/>
    <w:rsid w:val="00DA3E00"/>
    <w:rsid w:val="00DA3EC0"/>
    <w:rsid w:val="00DA40CA"/>
    <w:rsid w:val="00DA476D"/>
    <w:rsid w:val="00DA47A3"/>
    <w:rsid w:val="00DA47F2"/>
    <w:rsid w:val="00DA4FD4"/>
    <w:rsid w:val="00DA531E"/>
    <w:rsid w:val="00DA5982"/>
    <w:rsid w:val="00DA5AF0"/>
    <w:rsid w:val="00DA5D79"/>
    <w:rsid w:val="00DA5F60"/>
    <w:rsid w:val="00DA62D6"/>
    <w:rsid w:val="00DA6A5F"/>
    <w:rsid w:val="00DA7228"/>
    <w:rsid w:val="00DA781E"/>
    <w:rsid w:val="00DA78D5"/>
    <w:rsid w:val="00DA7A48"/>
    <w:rsid w:val="00DA7D22"/>
    <w:rsid w:val="00DB0107"/>
    <w:rsid w:val="00DB0131"/>
    <w:rsid w:val="00DB0253"/>
    <w:rsid w:val="00DB03A7"/>
    <w:rsid w:val="00DB040A"/>
    <w:rsid w:val="00DB0596"/>
    <w:rsid w:val="00DB071F"/>
    <w:rsid w:val="00DB0DD5"/>
    <w:rsid w:val="00DB10D6"/>
    <w:rsid w:val="00DB12A7"/>
    <w:rsid w:val="00DB170E"/>
    <w:rsid w:val="00DB2258"/>
    <w:rsid w:val="00DB2690"/>
    <w:rsid w:val="00DB2849"/>
    <w:rsid w:val="00DB2A21"/>
    <w:rsid w:val="00DB3148"/>
    <w:rsid w:val="00DB332B"/>
    <w:rsid w:val="00DB3487"/>
    <w:rsid w:val="00DB380B"/>
    <w:rsid w:val="00DB39C0"/>
    <w:rsid w:val="00DB3DFB"/>
    <w:rsid w:val="00DB4038"/>
    <w:rsid w:val="00DB40E0"/>
    <w:rsid w:val="00DB492F"/>
    <w:rsid w:val="00DB49E5"/>
    <w:rsid w:val="00DB53F8"/>
    <w:rsid w:val="00DB58D9"/>
    <w:rsid w:val="00DB5A0C"/>
    <w:rsid w:val="00DB5B24"/>
    <w:rsid w:val="00DB5BDD"/>
    <w:rsid w:val="00DB5EB4"/>
    <w:rsid w:val="00DB5FE1"/>
    <w:rsid w:val="00DB602A"/>
    <w:rsid w:val="00DB6077"/>
    <w:rsid w:val="00DB6112"/>
    <w:rsid w:val="00DB6184"/>
    <w:rsid w:val="00DB6283"/>
    <w:rsid w:val="00DB63A5"/>
    <w:rsid w:val="00DB63D5"/>
    <w:rsid w:val="00DB661B"/>
    <w:rsid w:val="00DB6786"/>
    <w:rsid w:val="00DB67C1"/>
    <w:rsid w:val="00DB6A0F"/>
    <w:rsid w:val="00DB6AB6"/>
    <w:rsid w:val="00DB6F34"/>
    <w:rsid w:val="00DB7034"/>
    <w:rsid w:val="00DB7244"/>
    <w:rsid w:val="00DB7300"/>
    <w:rsid w:val="00DB7894"/>
    <w:rsid w:val="00DB7A10"/>
    <w:rsid w:val="00DB7B0B"/>
    <w:rsid w:val="00DB7B73"/>
    <w:rsid w:val="00DB7BBF"/>
    <w:rsid w:val="00DB7C53"/>
    <w:rsid w:val="00DB7C78"/>
    <w:rsid w:val="00DB7F7D"/>
    <w:rsid w:val="00DC0141"/>
    <w:rsid w:val="00DC01BA"/>
    <w:rsid w:val="00DC062E"/>
    <w:rsid w:val="00DC0EC3"/>
    <w:rsid w:val="00DC0EC8"/>
    <w:rsid w:val="00DC1433"/>
    <w:rsid w:val="00DC1783"/>
    <w:rsid w:val="00DC1E3B"/>
    <w:rsid w:val="00DC23C4"/>
    <w:rsid w:val="00DC24DC"/>
    <w:rsid w:val="00DC2761"/>
    <w:rsid w:val="00DC2818"/>
    <w:rsid w:val="00DC322F"/>
    <w:rsid w:val="00DC34CE"/>
    <w:rsid w:val="00DC3BD9"/>
    <w:rsid w:val="00DC3E35"/>
    <w:rsid w:val="00DC3E9F"/>
    <w:rsid w:val="00DC3EE4"/>
    <w:rsid w:val="00DC4537"/>
    <w:rsid w:val="00DC4586"/>
    <w:rsid w:val="00DC468F"/>
    <w:rsid w:val="00DC4DCE"/>
    <w:rsid w:val="00DC4F92"/>
    <w:rsid w:val="00DC4FE3"/>
    <w:rsid w:val="00DC566C"/>
    <w:rsid w:val="00DC5934"/>
    <w:rsid w:val="00DC5CE4"/>
    <w:rsid w:val="00DC5F0D"/>
    <w:rsid w:val="00DC6765"/>
    <w:rsid w:val="00DC6AB7"/>
    <w:rsid w:val="00DC768B"/>
    <w:rsid w:val="00DD0278"/>
    <w:rsid w:val="00DD0686"/>
    <w:rsid w:val="00DD0704"/>
    <w:rsid w:val="00DD0AAD"/>
    <w:rsid w:val="00DD0D59"/>
    <w:rsid w:val="00DD0D93"/>
    <w:rsid w:val="00DD0F49"/>
    <w:rsid w:val="00DD114D"/>
    <w:rsid w:val="00DD147F"/>
    <w:rsid w:val="00DD17D4"/>
    <w:rsid w:val="00DD1B9B"/>
    <w:rsid w:val="00DD20BF"/>
    <w:rsid w:val="00DD211A"/>
    <w:rsid w:val="00DD223D"/>
    <w:rsid w:val="00DD2286"/>
    <w:rsid w:val="00DD2399"/>
    <w:rsid w:val="00DD286B"/>
    <w:rsid w:val="00DD30A2"/>
    <w:rsid w:val="00DD3435"/>
    <w:rsid w:val="00DD34A1"/>
    <w:rsid w:val="00DD3F8D"/>
    <w:rsid w:val="00DD4549"/>
    <w:rsid w:val="00DD463A"/>
    <w:rsid w:val="00DD4D26"/>
    <w:rsid w:val="00DD4F77"/>
    <w:rsid w:val="00DD5558"/>
    <w:rsid w:val="00DD57A4"/>
    <w:rsid w:val="00DD5AC8"/>
    <w:rsid w:val="00DD657A"/>
    <w:rsid w:val="00DD69D9"/>
    <w:rsid w:val="00DD69E8"/>
    <w:rsid w:val="00DD6F5C"/>
    <w:rsid w:val="00DD6F79"/>
    <w:rsid w:val="00DD71B4"/>
    <w:rsid w:val="00DD7228"/>
    <w:rsid w:val="00DD73A9"/>
    <w:rsid w:val="00DD7ADC"/>
    <w:rsid w:val="00DD7E6F"/>
    <w:rsid w:val="00DE021B"/>
    <w:rsid w:val="00DE06DC"/>
    <w:rsid w:val="00DE09EA"/>
    <w:rsid w:val="00DE0AB6"/>
    <w:rsid w:val="00DE0B0C"/>
    <w:rsid w:val="00DE0E95"/>
    <w:rsid w:val="00DE12EA"/>
    <w:rsid w:val="00DE1474"/>
    <w:rsid w:val="00DE1D7D"/>
    <w:rsid w:val="00DE2009"/>
    <w:rsid w:val="00DE234A"/>
    <w:rsid w:val="00DE25B6"/>
    <w:rsid w:val="00DE2B70"/>
    <w:rsid w:val="00DE2FE5"/>
    <w:rsid w:val="00DE302C"/>
    <w:rsid w:val="00DE31E1"/>
    <w:rsid w:val="00DE3351"/>
    <w:rsid w:val="00DE381D"/>
    <w:rsid w:val="00DE38DD"/>
    <w:rsid w:val="00DE3A63"/>
    <w:rsid w:val="00DE3E6C"/>
    <w:rsid w:val="00DE42C8"/>
    <w:rsid w:val="00DE45D7"/>
    <w:rsid w:val="00DE4719"/>
    <w:rsid w:val="00DE4729"/>
    <w:rsid w:val="00DE4752"/>
    <w:rsid w:val="00DE477E"/>
    <w:rsid w:val="00DE4892"/>
    <w:rsid w:val="00DE48C5"/>
    <w:rsid w:val="00DE4B4F"/>
    <w:rsid w:val="00DE4C38"/>
    <w:rsid w:val="00DE5638"/>
    <w:rsid w:val="00DE59A2"/>
    <w:rsid w:val="00DE5ABA"/>
    <w:rsid w:val="00DE5B2B"/>
    <w:rsid w:val="00DE618E"/>
    <w:rsid w:val="00DE71CD"/>
    <w:rsid w:val="00DE737B"/>
    <w:rsid w:val="00DE765F"/>
    <w:rsid w:val="00DE7692"/>
    <w:rsid w:val="00DE783E"/>
    <w:rsid w:val="00DE7A5A"/>
    <w:rsid w:val="00DE7A8E"/>
    <w:rsid w:val="00DF0043"/>
    <w:rsid w:val="00DF023D"/>
    <w:rsid w:val="00DF06D6"/>
    <w:rsid w:val="00DF06F0"/>
    <w:rsid w:val="00DF07C7"/>
    <w:rsid w:val="00DF0946"/>
    <w:rsid w:val="00DF0E74"/>
    <w:rsid w:val="00DF12C6"/>
    <w:rsid w:val="00DF1824"/>
    <w:rsid w:val="00DF1988"/>
    <w:rsid w:val="00DF1CA2"/>
    <w:rsid w:val="00DF1F5E"/>
    <w:rsid w:val="00DF22C3"/>
    <w:rsid w:val="00DF2470"/>
    <w:rsid w:val="00DF2861"/>
    <w:rsid w:val="00DF29E2"/>
    <w:rsid w:val="00DF3037"/>
    <w:rsid w:val="00DF3070"/>
    <w:rsid w:val="00DF3DF0"/>
    <w:rsid w:val="00DF4016"/>
    <w:rsid w:val="00DF4367"/>
    <w:rsid w:val="00DF451D"/>
    <w:rsid w:val="00DF585F"/>
    <w:rsid w:val="00DF60A5"/>
    <w:rsid w:val="00DF6125"/>
    <w:rsid w:val="00DF6BD6"/>
    <w:rsid w:val="00DF6FB2"/>
    <w:rsid w:val="00DF72EC"/>
    <w:rsid w:val="00DF760D"/>
    <w:rsid w:val="00E000C8"/>
    <w:rsid w:val="00E00385"/>
    <w:rsid w:val="00E005BA"/>
    <w:rsid w:val="00E00FB3"/>
    <w:rsid w:val="00E0106E"/>
    <w:rsid w:val="00E01221"/>
    <w:rsid w:val="00E01531"/>
    <w:rsid w:val="00E015C2"/>
    <w:rsid w:val="00E01772"/>
    <w:rsid w:val="00E019D6"/>
    <w:rsid w:val="00E019F5"/>
    <w:rsid w:val="00E01A69"/>
    <w:rsid w:val="00E02076"/>
    <w:rsid w:val="00E021A4"/>
    <w:rsid w:val="00E023B0"/>
    <w:rsid w:val="00E030FD"/>
    <w:rsid w:val="00E0345A"/>
    <w:rsid w:val="00E03559"/>
    <w:rsid w:val="00E03635"/>
    <w:rsid w:val="00E038C1"/>
    <w:rsid w:val="00E03924"/>
    <w:rsid w:val="00E03ABD"/>
    <w:rsid w:val="00E03C4D"/>
    <w:rsid w:val="00E03F0A"/>
    <w:rsid w:val="00E03F1F"/>
    <w:rsid w:val="00E04392"/>
    <w:rsid w:val="00E0487C"/>
    <w:rsid w:val="00E04B93"/>
    <w:rsid w:val="00E04BD0"/>
    <w:rsid w:val="00E04E2D"/>
    <w:rsid w:val="00E04E45"/>
    <w:rsid w:val="00E05223"/>
    <w:rsid w:val="00E054CE"/>
    <w:rsid w:val="00E058CB"/>
    <w:rsid w:val="00E059B9"/>
    <w:rsid w:val="00E0621D"/>
    <w:rsid w:val="00E06270"/>
    <w:rsid w:val="00E066E6"/>
    <w:rsid w:val="00E069C5"/>
    <w:rsid w:val="00E06A6A"/>
    <w:rsid w:val="00E06A9A"/>
    <w:rsid w:val="00E06D04"/>
    <w:rsid w:val="00E06DC5"/>
    <w:rsid w:val="00E076E8"/>
    <w:rsid w:val="00E078A7"/>
    <w:rsid w:val="00E1010E"/>
    <w:rsid w:val="00E10281"/>
    <w:rsid w:val="00E105DA"/>
    <w:rsid w:val="00E108BD"/>
    <w:rsid w:val="00E10AC2"/>
    <w:rsid w:val="00E10D5B"/>
    <w:rsid w:val="00E10E3A"/>
    <w:rsid w:val="00E10E63"/>
    <w:rsid w:val="00E117F8"/>
    <w:rsid w:val="00E11CC2"/>
    <w:rsid w:val="00E11D0D"/>
    <w:rsid w:val="00E11D98"/>
    <w:rsid w:val="00E11E66"/>
    <w:rsid w:val="00E122E1"/>
    <w:rsid w:val="00E12445"/>
    <w:rsid w:val="00E12841"/>
    <w:rsid w:val="00E12A03"/>
    <w:rsid w:val="00E12B53"/>
    <w:rsid w:val="00E12CF1"/>
    <w:rsid w:val="00E12D9D"/>
    <w:rsid w:val="00E12E96"/>
    <w:rsid w:val="00E13392"/>
    <w:rsid w:val="00E134F2"/>
    <w:rsid w:val="00E1377E"/>
    <w:rsid w:val="00E138DD"/>
    <w:rsid w:val="00E13F4C"/>
    <w:rsid w:val="00E141F5"/>
    <w:rsid w:val="00E14493"/>
    <w:rsid w:val="00E14550"/>
    <w:rsid w:val="00E147E8"/>
    <w:rsid w:val="00E14844"/>
    <w:rsid w:val="00E14979"/>
    <w:rsid w:val="00E14CB8"/>
    <w:rsid w:val="00E14F68"/>
    <w:rsid w:val="00E15A0E"/>
    <w:rsid w:val="00E16176"/>
    <w:rsid w:val="00E163C5"/>
    <w:rsid w:val="00E166DC"/>
    <w:rsid w:val="00E16878"/>
    <w:rsid w:val="00E16B39"/>
    <w:rsid w:val="00E16F0E"/>
    <w:rsid w:val="00E17709"/>
    <w:rsid w:val="00E17B6A"/>
    <w:rsid w:val="00E17B7D"/>
    <w:rsid w:val="00E17C8B"/>
    <w:rsid w:val="00E20862"/>
    <w:rsid w:val="00E2092F"/>
    <w:rsid w:val="00E20A00"/>
    <w:rsid w:val="00E20FEB"/>
    <w:rsid w:val="00E21026"/>
    <w:rsid w:val="00E21065"/>
    <w:rsid w:val="00E2122F"/>
    <w:rsid w:val="00E21347"/>
    <w:rsid w:val="00E21800"/>
    <w:rsid w:val="00E218AE"/>
    <w:rsid w:val="00E21D5D"/>
    <w:rsid w:val="00E225B5"/>
    <w:rsid w:val="00E22707"/>
    <w:rsid w:val="00E22C91"/>
    <w:rsid w:val="00E22E95"/>
    <w:rsid w:val="00E22F59"/>
    <w:rsid w:val="00E23025"/>
    <w:rsid w:val="00E23079"/>
    <w:rsid w:val="00E23783"/>
    <w:rsid w:val="00E237B0"/>
    <w:rsid w:val="00E23B74"/>
    <w:rsid w:val="00E24779"/>
    <w:rsid w:val="00E24909"/>
    <w:rsid w:val="00E24A2C"/>
    <w:rsid w:val="00E24CFC"/>
    <w:rsid w:val="00E24D05"/>
    <w:rsid w:val="00E24FBA"/>
    <w:rsid w:val="00E25125"/>
    <w:rsid w:val="00E253C0"/>
    <w:rsid w:val="00E25834"/>
    <w:rsid w:val="00E25942"/>
    <w:rsid w:val="00E25DF3"/>
    <w:rsid w:val="00E2608B"/>
    <w:rsid w:val="00E26145"/>
    <w:rsid w:val="00E2645C"/>
    <w:rsid w:val="00E2657E"/>
    <w:rsid w:val="00E265F3"/>
    <w:rsid w:val="00E26714"/>
    <w:rsid w:val="00E26F63"/>
    <w:rsid w:val="00E27236"/>
    <w:rsid w:val="00E27CD6"/>
    <w:rsid w:val="00E27F80"/>
    <w:rsid w:val="00E27FE4"/>
    <w:rsid w:val="00E3061C"/>
    <w:rsid w:val="00E3079C"/>
    <w:rsid w:val="00E307EB"/>
    <w:rsid w:val="00E307F8"/>
    <w:rsid w:val="00E30CF4"/>
    <w:rsid w:val="00E30E22"/>
    <w:rsid w:val="00E30F29"/>
    <w:rsid w:val="00E30FDC"/>
    <w:rsid w:val="00E31657"/>
    <w:rsid w:val="00E31780"/>
    <w:rsid w:val="00E31943"/>
    <w:rsid w:val="00E31A59"/>
    <w:rsid w:val="00E31BA4"/>
    <w:rsid w:val="00E31E4B"/>
    <w:rsid w:val="00E32485"/>
    <w:rsid w:val="00E326A7"/>
    <w:rsid w:val="00E32759"/>
    <w:rsid w:val="00E32840"/>
    <w:rsid w:val="00E3294F"/>
    <w:rsid w:val="00E32AF2"/>
    <w:rsid w:val="00E330EE"/>
    <w:rsid w:val="00E33229"/>
    <w:rsid w:val="00E33329"/>
    <w:rsid w:val="00E337D8"/>
    <w:rsid w:val="00E33828"/>
    <w:rsid w:val="00E3382B"/>
    <w:rsid w:val="00E3399E"/>
    <w:rsid w:val="00E33A26"/>
    <w:rsid w:val="00E33CC4"/>
    <w:rsid w:val="00E33DC6"/>
    <w:rsid w:val="00E34254"/>
    <w:rsid w:val="00E34424"/>
    <w:rsid w:val="00E346C0"/>
    <w:rsid w:val="00E34766"/>
    <w:rsid w:val="00E34927"/>
    <w:rsid w:val="00E3492F"/>
    <w:rsid w:val="00E34F0E"/>
    <w:rsid w:val="00E35318"/>
    <w:rsid w:val="00E35561"/>
    <w:rsid w:val="00E3562A"/>
    <w:rsid w:val="00E35851"/>
    <w:rsid w:val="00E35BC7"/>
    <w:rsid w:val="00E3602A"/>
    <w:rsid w:val="00E36132"/>
    <w:rsid w:val="00E361CB"/>
    <w:rsid w:val="00E36301"/>
    <w:rsid w:val="00E365D3"/>
    <w:rsid w:val="00E365F9"/>
    <w:rsid w:val="00E36AF9"/>
    <w:rsid w:val="00E36E4E"/>
    <w:rsid w:val="00E36E50"/>
    <w:rsid w:val="00E36F4F"/>
    <w:rsid w:val="00E37317"/>
    <w:rsid w:val="00E373B7"/>
    <w:rsid w:val="00E37697"/>
    <w:rsid w:val="00E37729"/>
    <w:rsid w:val="00E378E4"/>
    <w:rsid w:val="00E37EAB"/>
    <w:rsid w:val="00E403A9"/>
    <w:rsid w:val="00E40694"/>
    <w:rsid w:val="00E40AE5"/>
    <w:rsid w:val="00E40B7D"/>
    <w:rsid w:val="00E40CA4"/>
    <w:rsid w:val="00E40CC1"/>
    <w:rsid w:val="00E40D13"/>
    <w:rsid w:val="00E413A2"/>
    <w:rsid w:val="00E41464"/>
    <w:rsid w:val="00E414C5"/>
    <w:rsid w:val="00E416DC"/>
    <w:rsid w:val="00E4172E"/>
    <w:rsid w:val="00E417E8"/>
    <w:rsid w:val="00E419C6"/>
    <w:rsid w:val="00E41D09"/>
    <w:rsid w:val="00E41E30"/>
    <w:rsid w:val="00E42227"/>
    <w:rsid w:val="00E42264"/>
    <w:rsid w:val="00E4238B"/>
    <w:rsid w:val="00E4275C"/>
    <w:rsid w:val="00E42DEF"/>
    <w:rsid w:val="00E430A2"/>
    <w:rsid w:val="00E431F8"/>
    <w:rsid w:val="00E4397B"/>
    <w:rsid w:val="00E43EF0"/>
    <w:rsid w:val="00E442B4"/>
    <w:rsid w:val="00E443A8"/>
    <w:rsid w:val="00E44519"/>
    <w:rsid w:val="00E44581"/>
    <w:rsid w:val="00E4492C"/>
    <w:rsid w:val="00E44DA8"/>
    <w:rsid w:val="00E44DD8"/>
    <w:rsid w:val="00E45035"/>
    <w:rsid w:val="00E45146"/>
    <w:rsid w:val="00E452C3"/>
    <w:rsid w:val="00E45701"/>
    <w:rsid w:val="00E45769"/>
    <w:rsid w:val="00E45AD2"/>
    <w:rsid w:val="00E45B9A"/>
    <w:rsid w:val="00E45C7E"/>
    <w:rsid w:val="00E45DBE"/>
    <w:rsid w:val="00E462DF"/>
    <w:rsid w:val="00E4630B"/>
    <w:rsid w:val="00E4635E"/>
    <w:rsid w:val="00E46511"/>
    <w:rsid w:val="00E4654E"/>
    <w:rsid w:val="00E46F1D"/>
    <w:rsid w:val="00E471BB"/>
    <w:rsid w:val="00E47550"/>
    <w:rsid w:val="00E4782F"/>
    <w:rsid w:val="00E47967"/>
    <w:rsid w:val="00E47EE4"/>
    <w:rsid w:val="00E50328"/>
    <w:rsid w:val="00E5087C"/>
    <w:rsid w:val="00E508AB"/>
    <w:rsid w:val="00E50B82"/>
    <w:rsid w:val="00E50BC4"/>
    <w:rsid w:val="00E5154D"/>
    <w:rsid w:val="00E515CC"/>
    <w:rsid w:val="00E51ABC"/>
    <w:rsid w:val="00E520D3"/>
    <w:rsid w:val="00E52258"/>
    <w:rsid w:val="00E52B3E"/>
    <w:rsid w:val="00E52BBE"/>
    <w:rsid w:val="00E52CF6"/>
    <w:rsid w:val="00E52DB4"/>
    <w:rsid w:val="00E52E35"/>
    <w:rsid w:val="00E53126"/>
    <w:rsid w:val="00E533F3"/>
    <w:rsid w:val="00E5343C"/>
    <w:rsid w:val="00E53522"/>
    <w:rsid w:val="00E53530"/>
    <w:rsid w:val="00E535B6"/>
    <w:rsid w:val="00E538DA"/>
    <w:rsid w:val="00E53A5D"/>
    <w:rsid w:val="00E53D2A"/>
    <w:rsid w:val="00E53DCB"/>
    <w:rsid w:val="00E53E05"/>
    <w:rsid w:val="00E53FF0"/>
    <w:rsid w:val="00E543D9"/>
    <w:rsid w:val="00E546D3"/>
    <w:rsid w:val="00E54C17"/>
    <w:rsid w:val="00E54F22"/>
    <w:rsid w:val="00E5509F"/>
    <w:rsid w:val="00E55189"/>
    <w:rsid w:val="00E5527C"/>
    <w:rsid w:val="00E5546D"/>
    <w:rsid w:val="00E55517"/>
    <w:rsid w:val="00E55BC9"/>
    <w:rsid w:val="00E55ED5"/>
    <w:rsid w:val="00E560D6"/>
    <w:rsid w:val="00E561A2"/>
    <w:rsid w:val="00E564A0"/>
    <w:rsid w:val="00E567BE"/>
    <w:rsid w:val="00E570BE"/>
    <w:rsid w:val="00E57630"/>
    <w:rsid w:val="00E579AD"/>
    <w:rsid w:val="00E57C6A"/>
    <w:rsid w:val="00E60148"/>
    <w:rsid w:val="00E60412"/>
    <w:rsid w:val="00E60513"/>
    <w:rsid w:val="00E60695"/>
    <w:rsid w:val="00E60728"/>
    <w:rsid w:val="00E60A36"/>
    <w:rsid w:val="00E60ABA"/>
    <w:rsid w:val="00E60F73"/>
    <w:rsid w:val="00E6150B"/>
    <w:rsid w:val="00E61825"/>
    <w:rsid w:val="00E6194A"/>
    <w:rsid w:val="00E619C9"/>
    <w:rsid w:val="00E619F3"/>
    <w:rsid w:val="00E61D45"/>
    <w:rsid w:val="00E61E99"/>
    <w:rsid w:val="00E61EC3"/>
    <w:rsid w:val="00E620FD"/>
    <w:rsid w:val="00E6224B"/>
    <w:rsid w:val="00E623A1"/>
    <w:rsid w:val="00E62E62"/>
    <w:rsid w:val="00E62FBC"/>
    <w:rsid w:val="00E62FF6"/>
    <w:rsid w:val="00E636BB"/>
    <w:rsid w:val="00E638FC"/>
    <w:rsid w:val="00E63940"/>
    <w:rsid w:val="00E639EE"/>
    <w:rsid w:val="00E63E94"/>
    <w:rsid w:val="00E642AE"/>
    <w:rsid w:val="00E643C1"/>
    <w:rsid w:val="00E64555"/>
    <w:rsid w:val="00E64691"/>
    <w:rsid w:val="00E6472E"/>
    <w:rsid w:val="00E6476C"/>
    <w:rsid w:val="00E647FE"/>
    <w:rsid w:val="00E6489A"/>
    <w:rsid w:val="00E64FB1"/>
    <w:rsid w:val="00E65015"/>
    <w:rsid w:val="00E65225"/>
    <w:rsid w:val="00E655A8"/>
    <w:rsid w:val="00E6580D"/>
    <w:rsid w:val="00E65B47"/>
    <w:rsid w:val="00E66084"/>
    <w:rsid w:val="00E663B1"/>
    <w:rsid w:val="00E66A0E"/>
    <w:rsid w:val="00E66FA3"/>
    <w:rsid w:val="00E6782E"/>
    <w:rsid w:val="00E67CC7"/>
    <w:rsid w:val="00E67EC8"/>
    <w:rsid w:val="00E70108"/>
    <w:rsid w:val="00E7047B"/>
    <w:rsid w:val="00E706E1"/>
    <w:rsid w:val="00E70988"/>
    <w:rsid w:val="00E71286"/>
    <w:rsid w:val="00E71312"/>
    <w:rsid w:val="00E714DC"/>
    <w:rsid w:val="00E71783"/>
    <w:rsid w:val="00E71F60"/>
    <w:rsid w:val="00E7203E"/>
    <w:rsid w:val="00E727CB"/>
    <w:rsid w:val="00E72866"/>
    <w:rsid w:val="00E72B62"/>
    <w:rsid w:val="00E72DBE"/>
    <w:rsid w:val="00E73014"/>
    <w:rsid w:val="00E73437"/>
    <w:rsid w:val="00E73765"/>
    <w:rsid w:val="00E738D0"/>
    <w:rsid w:val="00E7394C"/>
    <w:rsid w:val="00E73A3B"/>
    <w:rsid w:val="00E73B7B"/>
    <w:rsid w:val="00E73BA2"/>
    <w:rsid w:val="00E73BF4"/>
    <w:rsid w:val="00E73C2F"/>
    <w:rsid w:val="00E73CD3"/>
    <w:rsid w:val="00E73D1B"/>
    <w:rsid w:val="00E73F79"/>
    <w:rsid w:val="00E74114"/>
    <w:rsid w:val="00E745FA"/>
    <w:rsid w:val="00E74637"/>
    <w:rsid w:val="00E74857"/>
    <w:rsid w:val="00E748C0"/>
    <w:rsid w:val="00E7498A"/>
    <w:rsid w:val="00E74B0E"/>
    <w:rsid w:val="00E74E29"/>
    <w:rsid w:val="00E74EF3"/>
    <w:rsid w:val="00E75461"/>
    <w:rsid w:val="00E769FB"/>
    <w:rsid w:val="00E76B34"/>
    <w:rsid w:val="00E76D3F"/>
    <w:rsid w:val="00E76DA3"/>
    <w:rsid w:val="00E76E9F"/>
    <w:rsid w:val="00E76FA3"/>
    <w:rsid w:val="00E770C9"/>
    <w:rsid w:val="00E77735"/>
    <w:rsid w:val="00E77B79"/>
    <w:rsid w:val="00E77CB4"/>
    <w:rsid w:val="00E77D34"/>
    <w:rsid w:val="00E80525"/>
    <w:rsid w:val="00E8071B"/>
    <w:rsid w:val="00E80886"/>
    <w:rsid w:val="00E80C56"/>
    <w:rsid w:val="00E80F25"/>
    <w:rsid w:val="00E81428"/>
    <w:rsid w:val="00E8164C"/>
    <w:rsid w:val="00E817F7"/>
    <w:rsid w:val="00E8187C"/>
    <w:rsid w:val="00E81B0D"/>
    <w:rsid w:val="00E81E2C"/>
    <w:rsid w:val="00E81E41"/>
    <w:rsid w:val="00E825DB"/>
    <w:rsid w:val="00E82AB8"/>
    <w:rsid w:val="00E82ADB"/>
    <w:rsid w:val="00E82B9F"/>
    <w:rsid w:val="00E82E2A"/>
    <w:rsid w:val="00E82ECA"/>
    <w:rsid w:val="00E82FA2"/>
    <w:rsid w:val="00E8316E"/>
    <w:rsid w:val="00E8333B"/>
    <w:rsid w:val="00E8379A"/>
    <w:rsid w:val="00E8382A"/>
    <w:rsid w:val="00E8394F"/>
    <w:rsid w:val="00E83C37"/>
    <w:rsid w:val="00E83DB1"/>
    <w:rsid w:val="00E83EA8"/>
    <w:rsid w:val="00E83EF7"/>
    <w:rsid w:val="00E84663"/>
    <w:rsid w:val="00E84706"/>
    <w:rsid w:val="00E84792"/>
    <w:rsid w:val="00E85E7D"/>
    <w:rsid w:val="00E85EBF"/>
    <w:rsid w:val="00E85FD2"/>
    <w:rsid w:val="00E8613D"/>
    <w:rsid w:val="00E86703"/>
    <w:rsid w:val="00E868D4"/>
    <w:rsid w:val="00E86976"/>
    <w:rsid w:val="00E869A2"/>
    <w:rsid w:val="00E869FC"/>
    <w:rsid w:val="00E87012"/>
    <w:rsid w:val="00E872C6"/>
    <w:rsid w:val="00E87492"/>
    <w:rsid w:val="00E8757B"/>
    <w:rsid w:val="00E87915"/>
    <w:rsid w:val="00E87D8F"/>
    <w:rsid w:val="00E87DF3"/>
    <w:rsid w:val="00E87F6C"/>
    <w:rsid w:val="00E90795"/>
    <w:rsid w:val="00E90FC4"/>
    <w:rsid w:val="00E910E8"/>
    <w:rsid w:val="00E91DD0"/>
    <w:rsid w:val="00E92702"/>
    <w:rsid w:val="00E92AC0"/>
    <w:rsid w:val="00E92DF1"/>
    <w:rsid w:val="00E92F1B"/>
    <w:rsid w:val="00E9319F"/>
    <w:rsid w:val="00E931D3"/>
    <w:rsid w:val="00E933A5"/>
    <w:rsid w:val="00E9343C"/>
    <w:rsid w:val="00E9346C"/>
    <w:rsid w:val="00E9383C"/>
    <w:rsid w:val="00E939D5"/>
    <w:rsid w:val="00E93A2D"/>
    <w:rsid w:val="00E93AA5"/>
    <w:rsid w:val="00E94212"/>
    <w:rsid w:val="00E94232"/>
    <w:rsid w:val="00E943EC"/>
    <w:rsid w:val="00E9479D"/>
    <w:rsid w:val="00E947D0"/>
    <w:rsid w:val="00E94845"/>
    <w:rsid w:val="00E94A7C"/>
    <w:rsid w:val="00E94D5A"/>
    <w:rsid w:val="00E94E0A"/>
    <w:rsid w:val="00E955E9"/>
    <w:rsid w:val="00E9578D"/>
    <w:rsid w:val="00E9598D"/>
    <w:rsid w:val="00E95A07"/>
    <w:rsid w:val="00E95FC1"/>
    <w:rsid w:val="00E96093"/>
    <w:rsid w:val="00E961D3"/>
    <w:rsid w:val="00E9623B"/>
    <w:rsid w:val="00E96FD2"/>
    <w:rsid w:val="00E974CF"/>
    <w:rsid w:val="00E976FA"/>
    <w:rsid w:val="00EA0229"/>
    <w:rsid w:val="00EA04C5"/>
    <w:rsid w:val="00EA14A6"/>
    <w:rsid w:val="00EA174E"/>
    <w:rsid w:val="00EA1766"/>
    <w:rsid w:val="00EA18CD"/>
    <w:rsid w:val="00EA1A4E"/>
    <w:rsid w:val="00EA1A61"/>
    <w:rsid w:val="00EA1E7E"/>
    <w:rsid w:val="00EA204A"/>
    <w:rsid w:val="00EA20BA"/>
    <w:rsid w:val="00EA2145"/>
    <w:rsid w:val="00EA227F"/>
    <w:rsid w:val="00EA22D2"/>
    <w:rsid w:val="00EA24D0"/>
    <w:rsid w:val="00EA342D"/>
    <w:rsid w:val="00EA3AEA"/>
    <w:rsid w:val="00EA3C2F"/>
    <w:rsid w:val="00EA4257"/>
    <w:rsid w:val="00EA43E2"/>
    <w:rsid w:val="00EA46DE"/>
    <w:rsid w:val="00EA4C44"/>
    <w:rsid w:val="00EA4D3E"/>
    <w:rsid w:val="00EA4E47"/>
    <w:rsid w:val="00EA4ED8"/>
    <w:rsid w:val="00EA520D"/>
    <w:rsid w:val="00EA5225"/>
    <w:rsid w:val="00EA5397"/>
    <w:rsid w:val="00EA560D"/>
    <w:rsid w:val="00EA56C4"/>
    <w:rsid w:val="00EA5AD2"/>
    <w:rsid w:val="00EA6789"/>
    <w:rsid w:val="00EA6D44"/>
    <w:rsid w:val="00EA711A"/>
    <w:rsid w:val="00EA7646"/>
    <w:rsid w:val="00EA76DD"/>
    <w:rsid w:val="00EA7B6E"/>
    <w:rsid w:val="00EA7C44"/>
    <w:rsid w:val="00EB040E"/>
    <w:rsid w:val="00EB06F2"/>
    <w:rsid w:val="00EB06FE"/>
    <w:rsid w:val="00EB0F9C"/>
    <w:rsid w:val="00EB136A"/>
    <w:rsid w:val="00EB1770"/>
    <w:rsid w:val="00EB1A75"/>
    <w:rsid w:val="00EB1D66"/>
    <w:rsid w:val="00EB236A"/>
    <w:rsid w:val="00EB2397"/>
    <w:rsid w:val="00EB23EA"/>
    <w:rsid w:val="00EB2442"/>
    <w:rsid w:val="00EB244A"/>
    <w:rsid w:val="00EB2CA9"/>
    <w:rsid w:val="00EB2D0B"/>
    <w:rsid w:val="00EB2F06"/>
    <w:rsid w:val="00EB2F28"/>
    <w:rsid w:val="00EB308A"/>
    <w:rsid w:val="00EB312F"/>
    <w:rsid w:val="00EB31E5"/>
    <w:rsid w:val="00EB3309"/>
    <w:rsid w:val="00EB3582"/>
    <w:rsid w:val="00EB3C2F"/>
    <w:rsid w:val="00EB43D3"/>
    <w:rsid w:val="00EB5042"/>
    <w:rsid w:val="00EB5168"/>
    <w:rsid w:val="00EB51DB"/>
    <w:rsid w:val="00EB5476"/>
    <w:rsid w:val="00EB5494"/>
    <w:rsid w:val="00EB5525"/>
    <w:rsid w:val="00EB5621"/>
    <w:rsid w:val="00EB5971"/>
    <w:rsid w:val="00EB600B"/>
    <w:rsid w:val="00EB6054"/>
    <w:rsid w:val="00EB6267"/>
    <w:rsid w:val="00EB62EC"/>
    <w:rsid w:val="00EB64AF"/>
    <w:rsid w:val="00EB693F"/>
    <w:rsid w:val="00EB6950"/>
    <w:rsid w:val="00EB6D85"/>
    <w:rsid w:val="00EB6FED"/>
    <w:rsid w:val="00EB7062"/>
    <w:rsid w:val="00EB72E5"/>
    <w:rsid w:val="00EB7488"/>
    <w:rsid w:val="00EB7C0B"/>
    <w:rsid w:val="00EC0016"/>
    <w:rsid w:val="00EC009D"/>
    <w:rsid w:val="00EC04A5"/>
    <w:rsid w:val="00EC050E"/>
    <w:rsid w:val="00EC072E"/>
    <w:rsid w:val="00EC087E"/>
    <w:rsid w:val="00EC0D89"/>
    <w:rsid w:val="00EC102A"/>
    <w:rsid w:val="00EC11FB"/>
    <w:rsid w:val="00EC12FB"/>
    <w:rsid w:val="00EC14FD"/>
    <w:rsid w:val="00EC169D"/>
    <w:rsid w:val="00EC181B"/>
    <w:rsid w:val="00EC1976"/>
    <w:rsid w:val="00EC1B24"/>
    <w:rsid w:val="00EC1EE3"/>
    <w:rsid w:val="00EC1FFC"/>
    <w:rsid w:val="00EC2058"/>
    <w:rsid w:val="00EC20BC"/>
    <w:rsid w:val="00EC26DF"/>
    <w:rsid w:val="00EC2DE1"/>
    <w:rsid w:val="00EC3279"/>
    <w:rsid w:val="00EC3380"/>
    <w:rsid w:val="00EC359F"/>
    <w:rsid w:val="00EC39BE"/>
    <w:rsid w:val="00EC3BF7"/>
    <w:rsid w:val="00EC43AB"/>
    <w:rsid w:val="00EC4486"/>
    <w:rsid w:val="00EC4741"/>
    <w:rsid w:val="00EC475F"/>
    <w:rsid w:val="00EC4973"/>
    <w:rsid w:val="00EC4B03"/>
    <w:rsid w:val="00EC4B37"/>
    <w:rsid w:val="00EC4C56"/>
    <w:rsid w:val="00EC4C60"/>
    <w:rsid w:val="00EC5267"/>
    <w:rsid w:val="00EC553F"/>
    <w:rsid w:val="00EC58A4"/>
    <w:rsid w:val="00EC5930"/>
    <w:rsid w:val="00EC593D"/>
    <w:rsid w:val="00EC5B97"/>
    <w:rsid w:val="00EC6218"/>
    <w:rsid w:val="00EC642F"/>
    <w:rsid w:val="00EC6457"/>
    <w:rsid w:val="00EC6570"/>
    <w:rsid w:val="00EC6620"/>
    <w:rsid w:val="00EC669A"/>
    <w:rsid w:val="00EC68CB"/>
    <w:rsid w:val="00EC6D50"/>
    <w:rsid w:val="00EC6F6D"/>
    <w:rsid w:val="00EC6FAF"/>
    <w:rsid w:val="00EC708D"/>
    <w:rsid w:val="00EC7248"/>
    <w:rsid w:val="00EC7517"/>
    <w:rsid w:val="00EC78EF"/>
    <w:rsid w:val="00ED0122"/>
    <w:rsid w:val="00ED04A8"/>
    <w:rsid w:val="00ED0665"/>
    <w:rsid w:val="00ED06E1"/>
    <w:rsid w:val="00ED0B8B"/>
    <w:rsid w:val="00ED0B8D"/>
    <w:rsid w:val="00ED1209"/>
    <w:rsid w:val="00ED1687"/>
    <w:rsid w:val="00ED1AF4"/>
    <w:rsid w:val="00ED1B75"/>
    <w:rsid w:val="00ED1D76"/>
    <w:rsid w:val="00ED1E0F"/>
    <w:rsid w:val="00ED1E2D"/>
    <w:rsid w:val="00ED1FA6"/>
    <w:rsid w:val="00ED2125"/>
    <w:rsid w:val="00ED245B"/>
    <w:rsid w:val="00ED2583"/>
    <w:rsid w:val="00ED2AFE"/>
    <w:rsid w:val="00ED2BC3"/>
    <w:rsid w:val="00ED329E"/>
    <w:rsid w:val="00ED340D"/>
    <w:rsid w:val="00ED36E1"/>
    <w:rsid w:val="00ED4293"/>
    <w:rsid w:val="00ED4627"/>
    <w:rsid w:val="00ED49B2"/>
    <w:rsid w:val="00ED4B22"/>
    <w:rsid w:val="00ED4BD7"/>
    <w:rsid w:val="00ED4EF4"/>
    <w:rsid w:val="00ED51D2"/>
    <w:rsid w:val="00ED5EF8"/>
    <w:rsid w:val="00ED5F82"/>
    <w:rsid w:val="00ED6C1A"/>
    <w:rsid w:val="00ED703F"/>
    <w:rsid w:val="00ED708C"/>
    <w:rsid w:val="00ED7125"/>
    <w:rsid w:val="00ED7193"/>
    <w:rsid w:val="00ED75D6"/>
    <w:rsid w:val="00ED76C5"/>
    <w:rsid w:val="00ED784C"/>
    <w:rsid w:val="00ED7AD0"/>
    <w:rsid w:val="00ED7DA8"/>
    <w:rsid w:val="00ED7DFA"/>
    <w:rsid w:val="00ED7F61"/>
    <w:rsid w:val="00ED7FD1"/>
    <w:rsid w:val="00EE0231"/>
    <w:rsid w:val="00EE0292"/>
    <w:rsid w:val="00EE08BB"/>
    <w:rsid w:val="00EE0C3D"/>
    <w:rsid w:val="00EE0F11"/>
    <w:rsid w:val="00EE141E"/>
    <w:rsid w:val="00EE1712"/>
    <w:rsid w:val="00EE1F5D"/>
    <w:rsid w:val="00EE1F88"/>
    <w:rsid w:val="00EE21D7"/>
    <w:rsid w:val="00EE21F6"/>
    <w:rsid w:val="00EE22F7"/>
    <w:rsid w:val="00EE3528"/>
    <w:rsid w:val="00EE368E"/>
    <w:rsid w:val="00EE36DE"/>
    <w:rsid w:val="00EE3BC0"/>
    <w:rsid w:val="00EE3C1A"/>
    <w:rsid w:val="00EE3C5D"/>
    <w:rsid w:val="00EE3CAD"/>
    <w:rsid w:val="00EE3D1F"/>
    <w:rsid w:val="00EE4247"/>
    <w:rsid w:val="00EE4A92"/>
    <w:rsid w:val="00EE4F23"/>
    <w:rsid w:val="00EE5052"/>
    <w:rsid w:val="00EE553F"/>
    <w:rsid w:val="00EE5AD7"/>
    <w:rsid w:val="00EE5AE5"/>
    <w:rsid w:val="00EE5D62"/>
    <w:rsid w:val="00EE5EF3"/>
    <w:rsid w:val="00EE5F92"/>
    <w:rsid w:val="00EE609F"/>
    <w:rsid w:val="00EE6B71"/>
    <w:rsid w:val="00EE6D31"/>
    <w:rsid w:val="00EE75EC"/>
    <w:rsid w:val="00EE7704"/>
    <w:rsid w:val="00EF01BB"/>
    <w:rsid w:val="00EF02D8"/>
    <w:rsid w:val="00EF0368"/>
    <w:rsid w:val="00EF1001"/>
    <w:rsid w:val="00EF1AA0"/>
    <w:rsid w:val="00EF1DF5"/>
    <w:rsid w:val="00EF2058"/>
    <w:rsid w:val="00EF20DB"/>
    <w:rsid w:val="00EF21DD"/>
    <w:rsid w:val="00EF227B"/>
    <w:rsid w:val="00EF25DD"/>
    <w:rsid w:val="00EF27C4"/>
    <w:rsid w:val="00EF3556"/>
    <w:rsid w:val="00EF36E1"/>
    <w:rsid w:val="00EF3CE4"/>
    <w:rsid w:val="00EF3F3B"/>
    <w:rsid w:val="00EF3F3F"/>
    <w:rsid w:val="00EF431A"/>
    <w:rsid w:val="00EF4333"/>
    <w:rsid w:val="00EF43A5"/>
    <w:rsid w:val="00EF4ABB"/>
    <w:rsid w:val="00EF5929"/>
    <w:rsid w:val="00EF5B3B"/>
    <w:rsid w:val="00EF5CC3"/>
    <w:rsid w:val="00EF5F6E"/>
    <w:rsid w:val="00EF5FAF"/>
    <w:rsid w:val="00EF622F"/>
    <w:rsid w:val="00EF666F"/>
    <w:rsid w:val="00EF6DDE"/>
    <w:rsid w:val="00EF719F"/>
    <w:rsid w:val="00EF71C9"/>
    <w:rsid w:val="00EF73FF"/>
    <w:rsid w:val="00EF7A34"/>
    <w:rsid w:val="00EF7DC9"/>
    <w:rsid w:val="00EF7E17"/>
    <w:rsid w:val="00F0019F"/>
    <w:rsid w:val="00F004AD"/>
    <w:rsid w:val="00F00909"/>
    <w:rsid w:val="00F00A13"/>
    <w:rsid w:val="00F00B0F"/>
    <w:rsid w:val="00F00D86"/>
    <w:rsid w:val="00F00E75"/>
    <w:rsid w:val="00F01182"/>
    <w:rsid w:val="00F0139B"/>
    <w:rsid w:val="00F0163A"/>
    <w:rsid w:val="00F01A00"/>
    <w:rsid w:val="00F01B4A"/>
    <w:rsid w:val="00F01E92"/>
    <w:rsid w:val="00F020B4"/>
    <w:rsid w:val="00F020C5"/>
    <w:rsid w:val="00F02C6D"/>
    <w:rsid w:val="00F03714"/>
    <w:rsid w:val="00F03DE8"/>
    <w:rsid w:val="00F040D0"/>
    <w:rsid w:val="00F0412C"/>
    <w:rsid w:val="00F045BB"/>
    <w:rsid w:val="00F048A6"/>
    <w:rsid w:val="00F049CC"/>
    <w:rsid w:val="00F04AC2"/>
    <w:rsid w:val="00F04E33"/>
    <w:rsid w:val="00F04EE2"/>
    <w:rsid w:val="00F04F5B"/>
    <w:rsid w:val="00F04FF6"/>
    <w:rsid w:val="00F05138"/>
    <w:rsid w:val="00F0525D"/>
    <w:rsid w:val="00F056DD"/>
    <w:rsid w:val="00F059C3"/>
    <w:rsid w:val="00F05A11"/>
    <w:rsid w:val="00F05C8B"/>
    <w:rsid w:val="00F0604C"/>
    <w:rsid w:val="00F06B98"/>
    <w:rsid w:val="00F06DC3"/>
    <w:rsid w:val="00F06E93"/>
    <w:rsid w:val="00F0708E"/>
    <w:rsid w:val="00F072FD"/>
    <w:rsid w:val="00F07AF1"/>
    <w:rsid w:val="00F10036"/>
    <w:rsid w:val="00F109CE"/>
    <w:rsid w:val="00F10D08"/>
    <w:rsid w:val="00F10E61"/>
    <w:rsid w:val="00F11126"/>
    <w:rsid w:val="00F11511"/>
    <w:rsid w:val="00F11512"/>
    <w:rsid w:val="00F1184D"/>
    <w:rsid w:val="00F11992"/>
    <w:rsid w:val="00F12C45"/>
    <w:rsid w:val="00F12D5F"/>
    <w:rsid w:val="00F12F49"/>
    <w:rsid w:val="00F13935"/>
    <w:rsid w:val="00F13BBE"/>
    <w:rsid w:val="00F13D36"/>
    <w:rsid w:val="00F13DBC"/>
    <w:rsid w:val="00F13E1A"/>
    <w:rsid w:val="00F13F4C"/>
    <w:rsid w:val="00F140C7"/>
    <w:rsid w:val="00F14249"/>
    <w:rsid w:val="00F14D5D"/>
    <w:rsid w:val="00F150AB"/>
    <w:rsid w:val="00F152CD"/>
    <w:rsid w:val="00F15883"/>
    <w:rsid w:val="00F15DC2"/>
    <w:rsid w:val="00F15F18"/>
    <w:rsid w:val="00F16057"/>
    <w:rsid w:val="00F160FB"/>
    <w:rsid w:val="00F16BDB"/>
    <w:rsid w:val="00F16E03"/>
    <w:rsid w:val="00F17871"/>
    <w:rsid w:val="00F17FCF"/>
    <w:rsid w:val="00F202B0"/>
    <w:rsid w:val="00F20593"/>
    <w:rsid w:val="00F20902"/>
    <w:rsid w:val="00F20CBA"/>
    <w:rsid w:val="00F20D3D"/>
    <w:rsid w:val="00F21758"/>
    <w:rsid w:val="00F217F2"/>
    <w:rsid w:val="00F21ABC"/>
    <w:rsid w:val="00F21B90"/>
    <w:rsid w:val="00F21E6F"/>
    <w:rsid w:val="00F221E4"/>
    <w:rsid w:val="00F22606"/>
    <w:rsid w:val="00F2261D"/>
    <w:rsid w:val="00F233A1"/>
    <w:rsid w:val="00F237AB"/>
    <w:rsid w:val="00F23DF4"/>
    <w:rsid w:val="00F23E14"/>
    <w:rsid w:val="00F23F15"/>
    <w:rsid w:val="00F241DB"/>
    <w:rsid w:val="00F243C0"/>
    <w:rsid w:val="00F24536"/>
    <w:rsid w:val="00F24847"/>
    <w:rsid w:val="00F2496A"/>
    <w:rsid w:val="00F24A03"/>
    <w:rsid w:val="00F24A7F"/>
    <w:rsid w:val="00F24C3C"/>
    <w:rsid w:val="00F24E27"/>
    <w:rsid w:val="00F24E71"/>
    <w:rsid w:val="00F25170"/>
    <w:rsid w:val="00F253AB"/>
    <w:rsid w:val="00F25A28"/>
    <w:rsid w:val="00F25CC6"/>
    <w:rsid w:val="00F25E32"/>
    <w:rsid w:val="00F25EFB"/>
    <w:rsid w:val="00F265FE"/>
    <w:rsid w:val="00F266BF"/>
    <w:rsid w:val="00F26BF9"/>
    <w:rsid w:val="00F2749E"/>
    <w:rsid w:val="00F27912"/>
    <w:rsid w:val="00F27CE3"/>
    <w:rsid w:val="00F27FDE"/>
    <w:rsid w:val="00F305F2"/>
    <w:rsid w:val="00F30DB0"/>
    <w:rsid w:val="00F311D1"/>
    <w:rsid w:val="00F31B95"/>
    <w:rsid w:val="00F32363"/>
    <w:rsid w:val="00F327C9"/>
    <w:rsid w:val="00F328A1"/>
    <w:rsid w:val="00F328CF"/>
    <w:rsid w:val="00F32965"/>
    <w:rsid w:val="00F32B0E"/>
    <w:rsid w:val="00F32C0E"/>
    <w:rsid w:val="00F32E27"/>
    <w:rsid w:val="00F3315A"/>
    <w:rsid w:val="00F33F4B"/>
    <w:rsid w:val="00F34362"/>
    <w:rsid w:val="00F347F6"/>
    <w:rsid w:val="00F34A81"/>
    <w:rsid w:val="00F34D1C"/>
    <w:rsid w:val="00F34F03"/>
    <w:rsid w:val="00F35188"/>
    <w:rsid w:val="00F352AF"/>
    <w:rsid w:val="00F352CA"/>
    <w:rsid w:val="00F3535E"/>
    <w:rsid w:val="00F353C1"/>
    <w:rsid w:val="00F35695"/>
    <w:rsid w:val="00F357FC"/>
    <w:rsid w:val="00F358B9"/>
    <w:rsid w:val="00F35ADB"/>
    <w:rsid w:val="00F35CCF"/>
    <w:rsid w:val="00F35D8D"/>
    <w:rsid w:val="00F360C5"/>
    <w:rsid w:val="00F365CD"/>
    <w:rsid w:val="00F36A17"/>
    <w:rsid w:val="00F36A6C"/>
    <w:rsid w:val="00F36F52"/>
    <w:rsid w:val="00F36F95"/>
    <w:rsid w:val="00F37138"/>
    <w:rsid w:val="00F37477"/>
    <w:rsid w:val="00F377C1"/>
    <w:rsid w:val="00F37E08"/>
    <w:rsid w:val="00F37E79"/>
    <w:rsid w:val="00F40360"/>
    <w:rsid w:val="00F4036C"/>
    <w:rsid w:val="00F403A8"/>
    <w:rsid w:val="00F404C6"/>
    <w:rsid w:val="00F40700"/>
    <w:rsid w:val="00F40BB2"/>
    <w:rsid w:val="00F4155B"/>
    <w:rsid w:val="00F418AC"/>
    <w:rsid w:val="00F419E4"/>
    <w:rsid w:val="00F41C05"/>
    <w:rsid w:val="00F41FD7"/>
    <w:rsid w:val="00F42177"/>
    <w:rsid w:val="00F424A2"/>
    <w:rsid w:val="00F4294A"/>
    <w:rsid w:val="00F42A42"/>
    <w:rsid w:val="00F42ABA"/>
    <w:rsid w:val="00F42F99"/>
    <w:rsid w:val="00F43560"/>
    <w:rsid w:val="00F43D1D"/>
    <w:rsid w:val="00F43D96"/>
    <w:rsid w:val="00F43F36"/>
    <w:rsid w:val="00F43F9B"/>
    <w:rsid w:val="00F45045"/>
    <w:rsid w:val="00F451CF"/>
    <w:rsid w:val="00F45444"/>
    <w:rsid w:val="00F454F0"/>
    <w:rsid w:val="00F45A45"/>
    <w:rsid w:val="00F45B05"/>
    <w:rsid w:val="00F461C6"/>
    <w:rsid w:val="00F4627F"/>
    <w:rsid w:val="00F465D2"/>
    <w:rsid w:val="00F46631"/>
    <w:rsid w:val="00F4683F"/>
    <w:rsid w:val="00F46A01"/>
    <w:rsid w:val="00F46BEF"/>
    <w:rsid w:val="00F46F1D"/>
    <w:rsid w:val="00F476A3"/>
    <w:rsid w:val="00F477D2"/>
    <w:rsid w:val="00F47A81"/>
    <w:rsid w:val="00F50529"/>
    <w:rsid w:val="00F509E4"/>
    <w:rsid w:val="00F50FAC"/>
    <w:rsid w:val="00F50FB3"/>
    <w:rsid w:val="00F5120E"/>
    <w:rsid w:val="00F5178A"/>
    <w:rsid w:val="00F518B5"/>
    <w:rsid w:val="00F51A75"/>
    <w:rsid w:val="00F51AA0"/>
    <w:rsid w:val="00F51B6A"/>
    <w:rsid w:val="00F51E87"/>
    <w:rsid w:val="00F51EEC"/>
    <w:rsid w:val="00F51F01"/>
    <w:rsid w:val="00F52046"/>
    <w:rsid w:val="00F52910"/>
    <w:rsid w:val="00F530DA"/>
    <w:rsid w:val="00F536EE"/>
    <w:rsid w:val="00F53D37"/>
    <w:rsid w:val="00F54519"/>
    <w:rsid w:val="00F55506"/>
    <w:rsid w:val="00F5551D"/>
    <w:rsid w:val="00F555F1"/>
    <w:rsid w:val="00F55725"/>
    <w:rsid w:val="00F55B31"/>
    <w:rsid w:val="00F55C05"/>
    <w:rsid w:val="00F55CC5"/>
    <w:rsid w:val="00F56609"/>
    <w:rsid w:val="00F566D5"/>
    <w:rsid w:val="00F566FE"/>
    <w:rsid w:val="00F56736"/>
    <w:rsid w:val="00F568C2"/>
    <w:rsid w:val="00F56AB9"/>
    <w:rsid w:val="00F56F08"/>
    <w:rsid w:val="00F57880"/>
    <w:rsid w:val="00F57FB2"/>
    <w:rsid w:val="00F60232"/>
    <w:rsid w:val="00F6031A"/>
    <w:rsid w:val="00F603CB"/>
    <w:rsid w:val="00F605F3"/>
    <w:rsid w:val="00F60BC7"/>
    <w:rsid w:val="00F6101F"/>
    <w:rsid w:val="00F619D5"/>
    <w:rsid w:val="00F61F48"/>
    <w:rsid w:val="00F61F87"/>
    <w:rsid w:val="00F62103"/>
    <w:rsid w:val="00F6271A"/>
    <w:rsid w:val="00F62F9C"/>
    <w:rsid w:val="00F630F2"/>
    <w:rsid w:val="00F63E17"/>
    <w:rsid w:val="00F63F56"/>
    <w:rsid w:val="00F64395"/>
    <w:rsid w:val="00F64474"/>
    <w:rsid w:val="00F648B8"/>
    <w:rsid w:val="00F64AD5"/>
    <w:rsid w:val="00F64C5C"/>
    <w:rsid w:val="00F64CE5"/>
    <w:rsid w:val="00F65AE6"/>
    <w:rsid w:val="00F662A2"/>
    <w:rsid w:val="00F6632A"/>
    <w:rsid w:val="00F6634B"/>
    <w:rsid w:val="00F663D3"/>
    <w:rsid w:val="00F66AAD"/>
    <w:rsid w:val="00F66B3C"/>
    <w:rsid w:val="00F66D8B"/>
    <w:rsid w:val="00F66FA9"/>
    <w:rsid w:val="00F66FE6"/>
    <w:rsid w:val="00F67036"/>
    <w:rsid w:val="00F67129"/>
    <w:rsid w:val="00F673FD"/>
    <w:rsid w:val="00F674AB"/>
    <w:rsid w:val="00F67AA2"/>
    <w:rsid w:val="00F67C41"/>
    <w:rsid w:val="00F67D69"/>
    <w:rsid w:val="00F703B7"/>
    <w:rsid w:val="00F704F6"/>
    <w:rsid w:val="00F70943"/>
    <w:rsid w:val="00F70E6B"/>
    <w:rsid w:val="00F70FBA"/>
    <w:rsid w:val="00F71BBB"/>
    <w:rsid w:val="00F71C2D"/>
    <w:rsid w:val="00F71C93"/>
    <w:rsid w:val="00F71DB3"/>
    <w:rsid w:val="00F71E08"/>
    <w:rsid w:val="00F7207B"/>
    <w:rsid w:val="00F72968"/>
    <w:rsid w:val="00F72C04"/>
    <w:rsid w:val="00F7320A"/>
    <w:rsid w:val="00F7323D"/>
    <w:rsid w:val="00F73289"/>
    <w:rsid w:val="00F7346D"/>
    <w:rsid w:val="00F734DC"/>
    <w:rsid w:val="00F73654"/>
    <w:rsid w:val="00F73705"/>
    <w:rsid w:val="00F73869"/>
    <w:rsid w:val="00F738CD"/>
    <w:rsid w:val="00F7398F"/>
    <w:rsid w:val="00F73C78"/>
    <w:rsid w:val="00F73D54"/>
    <w:rsid w:val="00F74122"/>
    <w:rsid w:val="00F74763"/>
    <w:rsid w:val="00F747EF"/>
    <w:rsid w:val="00F74B6C"/>
    <w:rsid w:val="00F74D3D"/>
    <w:rsid w:val="00F751B6"/>
    <w:rsid w:val="00F752EC"/>
    <w:rsid w:val="00F7561E"/>
    <w:rsid w:val="00F75DB1"/>
    <w:rsid w:val="00F76364"/>
    <w:rsid w:val="00F76366"/>
    <w:rsid w:val="00F7656F"/>
    <w:rsid w:val="00F766A9"/>
    <w:rsid w:val="00F766D1"/>
    <w:rsid w:val="00F766EF"/>
    <w:rsid w:val="00F767EB"/>
    <w:rsid w:val="00F7691A"/>
    <w:rsid w:val="00F77164"/>
    <w:rsid w:val="00F77D70"/>
    <w:rsid w:val="00F77EF4"/>
    <w:rsid w:val="00F8009F"/>
    <w:rsid w:val="00F800C5"/>
    <w:rsid w:val="00F80695"/>
    <w:rsid w:val="00F812F1"/>
    <w:rsid w:val="00F8152A"/>
    <w:rsid w:val="00F817D9"/>
    <w:rsid w:val="00F8182E"/>
    <w:rsid w:val="00F819B6"/>
    <w:rsid w:val="00F82366"/>
    <w:rsid w:val="00F82413"/>
    <w:rsid w:val="00F8244D"/>
    <w:rsid w:val="00F827E0"/>
    <w:rsid w:val="00F828A9"/>
    <w:rsid w:val="00F83131"/>
    <w:rsid w:val="00F8328A"/>
    <w:rsid w:val="00F832BD"/>
    <w:rsid w:val="00F833C5"/>
    <w:rsid w:val="00F8347B"/>
    <w:rsid w:val="00F834F5"/>
    <w:rsid w:val="00F835F0"/>
    <w:rsid w:val="00F83819"/>
    <w:rsid w:val="00F83A77"/>
    <w:rsid w:val="00F83E98"/>
    <w:rsid w:val="00F8452F"/>
    <w:rsid w:val="00F84ADE"/>
    <w:rsid w:val="00F84B9D"/>
    <w:rsid w:val="00F85184"/>
    <w:rsid w:val="00F853E2"/>
    <w:rsid w:val="00F8544B"/>
    <w:rsid w:val="00F854FA"/>
    <w:rsid w:val="00F85BE3"/>
    <w:rsid w:val="00F85C84"/>
    <w:rsid w:val="00F85D16"/>
    <w:rsid w:val="00F85D67"/>
    <w:rsid w:val="00F85E7E"/>
    <w:rsid w:val="00F861C7"/>
    <w:rsid w:val="00F8655A"/>
    <w:rsid w:val="00F866CA"/>
    <w:rsid w:val="00F868C9"/>
    <w:rsid w:val="00F86912"/>
    <w:rsid w:val="00F86C51"/>
    <w:rsid w:val="00F86D35"/>
    <w:rsid w:val="00F86FB6"/>
    <w:rsid w:val="00F8705A"/>
    <w:rsid w:val="00F87214"/>
    <w:rsid w:val="00F87435"/>
    <w:rsid w:val="00F874D1"/>
    <w:rsid w:val="00F87A39"/>
    <w:rsid w:val="00F900F8"/>
    <w:rsid w:val="00F90352"/>
    <w:rsid w:val="00F90512"/>
    <w:rsid w:val="00F90596"/>
    <w:rsid w:val="00F906AD"/>
    <w:rsid w:val="00F90A19"/>
    <w:rsid w:val="00F90FFD"/>
    <w:rsid w:val="00F911B7"/>
    <w:rsid w:val="00F9123C"/>
    <w:rsid w:val="00F9141A"/>
    <w:rsid w:val="00F915C9"/>
    <w:rsid w:val="00F91B47"/>
    <w:rsid w:val="00F91E10"/>
    <w:rsid w:val="00F9231E"/>
    <w:rsid w:val="00F925BC"/>
    <w:rsid w:val="00F9267C"/>
    <w:rsid w:val="00F92A5E"/>
    <w:rsid w:val="00F92B39"/>
    <w:rsid w:val="00F930D6"/>
    <w:rsid w:val="00F931F3"/>
    <w:rsid w:val="00F93273"/>
    <w:rsid w:val="00F934B3"/>
    <w:rsid w:val="00F93B93"/>
    <w:rsid w:val="00F93E94"/>
    <w:rsid w:val="00F93ED1"/>
    <w:rsid w:val="00F941BC"/>
    <w:rsid w:val="00F941EB"/>
    <w:rsid w:val="00F94748"/>
    <w:rsid w:val="00F94C68"/>
    <w:rsid w:val="00F95293"/>
    <w:rsid w:val="00F95460"/>
    <w:rsid w:val="00F954D0"/>
    <w:rsid w:val="00F95629"/>
    <w:rsid w:val="00F95742"/>
    <w:rsid w:val="00F95C09"/>
    <w:rsid w:val="00F96008"/>
    <w:rsid w:val="00F961CC"/>
    <w:rsid w:val="00F963E0"/>
    <w:rsid w:val="00F96AFB"/>
    <w:rsid w:val="00F96C84"/>
    <w:rsid w:val="00F972FA"/>
    <w:rsid w:val="00F97634"/>
    <w:rsid w:val="00F976BE"/>
    <w:rsid w:val="00F97940"/>
    <w:rsid w:val="00F97D07"/>
    <w:rsid w:val="00F97E26"/>
    <w:rsid w:val="00FA08D5"/>
    <w:rsid w:val="00FA09FC"/>
    <w:rsid w:val="00FA0A36"/>
    <w:rsid w:val="00FA0AB0"/>
    <w:rsid w:val="00FA0C82"/>
    <w:rsid w:val="00FA0F48"/>
    <w:rsid w:val="00FA10B1"/>
    <w:rsid w:val="00FA1224"/>
    <w:rsid w:val="00FA1530"/>
    <w:rsid w:val="00FA1540"/>
    <w:rsid w:val="00FA187F"/>
    <w:rsid w:val="00FA220A"/>
    <w:rsid w:val="00FA2612"/>
    <w:rsid w:val="00FA26E5"/>
    <w:rsid w:val="00FA29C8"/>
    <w:rsid w:val="00FA3435"/>
    <w:rsid w:val="00FA358C"/>
    <w:rsid w:val="00FA3C83"/>
    <w:rsid w:val="00FA415D"/>
    <w:rsid w:val="00FA42AF"/>
    <w:rsid w:val="00FA460C"/>
    <w:rsid w:val="00FA4A68"/>
    <w:rsid w:val="00FA590C"/>
    <w:rsid w:val="00FA5B8A"/>
    <w:rsid w:val="00FA6046"/>
    <w:rsid w:val="00FA62DD"/>
    <w:rsid w:val="00FA653F"/>
    <w:rsid w:val="00FA69F6"/>
    <w:rsid w:val="00FA6A55"/>
    <w:rsid w:val="00FA6A8F"/>
    <w:rsid w:val="00FA6E92"/>
    <w:rsid w:val="00FA7273"/>
    <w:rsid w:val="00FA72A4"/>
    <w:rsid w:val="00FA7370"/>
    <w:rsid w:val="00FA73A5"/>
    <w:rsid w:val="00FA7465"/>
    <w:rsid w:val="00FA751A"/>
    <w:rsid w:val="00FA7B40"/>
    <w:rsid w:val="00FB0288"/>
    <w:rsid w:val="00FB02B1"/>
    <w:rsid w:val="00FB05EE"/>
    <w:rsid w:val="00FB0BBE"/>
    <w:rsid w:val="00FB0D41"/>
    <w:rsid w:val="00FB17B9"/>
    <w:rsid w:val="00FB185E"/>
    <w:rsid w:val="00FB19C2"/>
    <w:rsid w:val="00FB19FD"/>
    <w:rsid w:val="00FB1CB4"/>
    <w:rsid w:val="00FB22E6"/>
    <w:rsid w:val="00FB24BB"/>
    <w:rsid w:val="00FB2563"/>
    <w:rsid w:val="00FB281E"/>
    <w:rsid w:val="00FB34CF"/>
    <w:rsid w:val="00FB37A2"/>
    <w:rsid w:val="00FB382C"/>
    <w:rsid w:val="00FB3A38"/>
    <w:rsid w:val="00FB3A45"/>
    <w:rsid w:val="00FB3AE4"/>
    <w:rsid w:val="00FB3B26"/>
    <w:rsid w:val="00FB3BF3"/>
    <w:rsid w:val="00FB3C63"/>
    <w:rsid w:val="00FB419C"/>
    <w:rsid w:val="00FB4411"/>
    <w:rsid w:val="00FB4469"/>
    <w:rsid w:val="00FB459C"/>
    <w:rsid w:val="00FB48E4"/>
    <w:rsid w:val="00FB4BFD"/>
    <w:rsid w:val="00FB4F94"/>
    <w:rsid w:val="00FB510E"/>
    <w:rsid w:val="00FB54A1"/>
    <w:rsid w:val="00FB54FF"/>
    <w:rsid w:val="00FB553B"/>
    <w:rsid w:val="00FB55DD"/>
    <w:rsid w:val="00FB55F1"/>
    <w:rsid w:val="00FB580D"/>
    <w:rsid w:val="00FB58B6"/>
    <w:rsid w:val="00FB5AE3"/>
    <w:rsid w:val="00FB5E21"/>
    <w:rsid w:val="00FB62D7"/>
    <w:rsid w:val="00FB640D"/>
    <w:rsid w:val="00FB6651"/>
    <w:rsid w:val="00FB6701"/>
    <w:rsid w:val="00FB6C7B"/>
    <w:rsid w:val="00FB6D87"/>
    <w:rsid w:val="00FB7586"/>
    <w:rsid w:val="00FB7AB2"/>
    <w:rsid w:val="00FB7C76"/>
    <w:rsid w:val="00FB7CA8"/>
    <w:rsid w:val="00FB7DBC"/>
    <w:rsid w:val="00FC0276"/>
    <w:rsid w:val="00FC08B6"/>
    <w:rsid w:val="00FC0B52"/>
    <w:rsid w:val="00FC0E73"/>
    <w:rsid w:val="00FC1001"/>
    <w:rsid w:val="00FC1472"/>
    <w:rsid w:val="00FC177B"/>
    <w:rsid w:val="00FC193D"/>
    <w:rsid w:val="00FC1BE1"/>
    <w:rsid w:val="00FC2EE4"/>
    <w:rsid w:val="00FC3674"/>
    <w:rsid w:val="00FC416A"/>
    <w:rsid w:val="00FC42E8"/>
    <w:rsid w:val="00FC45EA"/>
    <w:rsid w:val="00FC4695"/>
    <w:rsid w:val="00FC496B"/>
    <w:rsid w:val="00FC4CC2"/>
    <w:rsid w:val="00FC4FC4"/>
    <w:rsid w:val="00FC51A9"/>
    <w:rsid w:val="00FC55B8"/>
    <w:rsid w:val="00FC5C0B"/>
    <w:rsid w:val="00FC5C99"/>
    <w:rsid w:val="00FC5E81"/>
    <w:rsid w:val="00FC7792"/>
    <w:rsid w:val="00FC7882"/>
    <w:rsid w:val="00FC794D"/>
    <w:rsid w:val="00FC79FC"/>
    <w:rsid w:val="00FC7A11"/>
    <w:rsid w:val="00FC7A50"/>
    <w:rsid w:val="00FC7C00"/>
    <w:rsid w:val="00FC7E6E"/>
    <w:rsid w:val="00FC7EFC"/>
    <w:rsid w:val="00FD01F5"/>
    <w:rsid w:val="00FD0411"/>
    <w:rsid w:val="00FD093C"/>
    <w:rsid w:val="00FD0C22"/>
    <w:rsid w:val="00FD0DE9"/>
    <w:rsid w:val="00FD1073"/>
    <w:rsid w:val="00FD115F"/>
    <w:rsid w:val="00FD14CB"/>
    <w:rsid w:val="00FD19D7"/>
    <w:rsid w:val="00FD1C69"/>
    <w:rsid w:val="00FD2113"/>
    <w:rsid w:val="00FD2409"/>
    <w:rsid w:val="00FD250B"/>
    <w:rsid w:val="00FD2855"/>
    <w:rsid w:val="00FD2B77"/>
    <w:rsid w:val="00FD3B03"/>
    <w:rsid w:val="00FD3EC2"/>
    <w:rsid w:val="00FD4114"/>
    <w:rsid w:val="00FD4376"/>
    <w:rsid w:val="00FD4824"/>
    <w:rsid w:val="00FD4A25"/>
    <w:rsid w:val="00FD4BC1"/>
    <w:rsid w:val="00FD4D77"/>
    <w:rsid w:val="00FD4E28"/>
    <w:rsid w:val="00FD5050"/>
    <w:rsid w:val="00FD5145"/>
    <w:rsid w:val="00FD5228"/>
    <w:rsid w:val="00FD52AD"/>
    <w:rsid w:val="00FD55A2"/>
    <w:rsid w:val="00FD5A93"/>
    <w:rsid w:val="00FD5B6A"/>
    <w:rsid w:val="00FD5B7C"/>
    <w:rsid w:val="00FD5FB5"/>
    <w:rsid w:val="00FD622B"/>
    <w:rsid w:val="00FD6503"/>
    <w:rsid w:val="00FD66CA"/>
    <w:rsid w:val="00FD6866"/>
    <w:rsid w:val="00FD6EA6"/>
    <w:rsid w:val="00FD73E9"/>
    <w:rsid w:val="00FD771D"/>
    <w:rsid w:val="00FD7760"/>
    <w:rsid w:val="00FD779E"/>
    <w:rsid w:val="00FD77E4"/>
    <w:rsid w:val="00FD7CD5"/>
    <w:rsid w:val="00FD7E5F"/>
    <w:rsid w:val="00FD7FA0"/>
    <w:rsid w:val="00FE0258"/>
    <w:rsid w:val="00FE04ED"/>
    <w:rsid w:val="00FE0AC6"/>
    <w:rsid w:val="00FE0E4D"/>
    <w:rsid w:val="00FE191D"/>
    <w:rsid w:val="00FE1C5A"/>
    <w:rsid w:val="00FE1CC7"/>
    <w:rsid w:val="00FE1D68"/>
    <w:rsid w:val="00FE2004"/>
    <w:rsid w:val="00FE210E"/>
    <w:rsid w:val="00FE236F"/>
    <w:rsid w:val="00FE27C2"/>
    <w:rsid w:val="00FE2BF5"/>
    <w:rsid w:val="00FE2DE1"/>
    <w:rsid w:val="00FE31C7"/>
    <w:rsid w:val="00FE33BC"/>
    <w:rsid w:val="00FE3A79"/>
    <w:rsid w:val="00FE41E2"/>
    <w:rsid w:val="00FE4359"/>
    <w:rsid w:val="00FE4575"/>
    <w:rsid w:val="00FE46BD"/>
    <w:rsid w:val="00FE476D"/>
    <w:rsid w:val="00FE4841"/>
    <w:rsid w:val="00FE54F0"/>
    <w:rsid w:val="00FE59C2"/>
    <w:rsid w:val="00FE5A17"/>
    <w:rsid w:val="00FE5B95"/>
    <w:rsid w:val="00FE5D1C"/>
    <w:rsid w:val="00FE5FCA"/>
    <w:rsid w:val="00FE62EF"/>
    <w:rsid w:val="00FE6645"/>
    <w:rsid w:val="00FE6F53"/>
    <w:rsid w:val="00FE723C"/>
    <w:rsid w:val="00FE76C8"/>
    <w:rsid w:val="00FE7857"/>
    <w:rsid w:val="00FE7D19"/>
    <w:rsid w:val="00FE7E2E"/>
    <w:rsid w:val="00FF024E"/>
    <w:rsid w:val="00FF035B"/>
    <w:rsid w:val="00FF04A3"/>
    <w:rsid w:val="00FF0505"/>
    <w:rsid w:val="00FF0944"/>
    <w:rsid w:val="00FF09ED"/>
    <w:rsid w:val="00FF1663"/>
    <w:rsid w:val="00FF16F8"/>
    <w:rsid w:val="00FF1943"/>
    <w:rsid w:val="00FF1A59"/>
    <w:rsid w:val="00FF2576"/>
    <w:rsid w:val="00FF2BB0"/>
    <w:rsid w:val="00FF2DCB"/>
    <w:rsid w:val="00FF2F81"/>
    <w:rsid w:val="00FF315A"/>
    <w:rsid w:val="00FF3467"/>
    <w:rsid w:val="00FF38A1"/>
    <w:rsid w:val="00FF3A84"/>
    <w:rsid w:val="00FF3DF6"/>
    <w:rsid w:val="00FF3E26"/>
    <w:rsid w:val="00FF41D8"/>
    <w:rsid w:val="00FF444F"/>
    <w:rsid w:val="00FF4515"/>
    <w:rsid w:val="00FF466F"/>
    <w:rsid w:val="00FF48D9"/>
    <w:rsid w:val="00FF4AE4"/>
    <w:rsid w:val="00FF4B40"/>
    <w:rsid w:val="00FF4F0D"/>
    <w:rsid w:val="00FF4F39"/>
    <w:rsid w:val="00FF5455"/>
    <w:rsid w:val="00FF54AD"/>
    <w:rsid w:val="00FF5C00"/>
    <w:rsid w:val="00FF6581"/>
    <w:rsid w:val="00FF67F0"/>
    <w:rsid w:val="00FF6C71"/>
    <w:rsid w:val="00FF6D32"/>
    <w:rsid w:val="00FF6FF5"/>
    <w:rsid w:val="00FF6FF8"/>
    <w:rsid w:val="00FF72C0"/>
    <w:rsid w:val="00FF765E"/>
    <w:rsid w:val="00FF791E"/>
    <w:rsid w:val="00FF7AB6"/>
    <w:rsid w:val="00FF7B24"/>
    <w:rsid w:val="04BD509B"/>
    <w:rsid w:val="152483DB"/>
    <w:rsid w:val="17C35B58"/>
    <w:rsid w:val="1DA4C990"/>
    <w:rsid w:val="21BF4019"/>
    <w:rsid w:val="22B4CA7B"/>
    <w:rsid w:val="234E554D"/>
    <w:rsid w:val="278F0204"/>
    <w:rsid w:val="2AB5C874"/>
    <w:rsid w:val="31A38A03"/>
    <w:rsid w:val="37DDB647"/>
    <w:rsid w:val="3B7562A5"/>
    <w:rsid w:val="47908E26"/>
    <w:rsid w:val="4846C0E2"/>
    <w:rsid w:val="4F4E05D9"/>
    <w:rsid w:val="4FA69862"/>
    <w:rsid w:val="59033EB0"/>
    <w:rsid w:val="5940FE56"/>
    <w:rsid w:val="59882E55"/>
    <w:rsid w:val="5FE474A5"/>
    <w:rsid w:val="67067102"/>
    <w:rsid w:val="6CE663F3"/>
    <w:rsid w:val="6D1BD3EA"/>
    <w:rsid w:val="6D45C891"/>
    <w:rsid w:val="75FFE246"/>
    <w:rsid w:val="786DB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9E1"/>
    <w:rPr>
      <w:rFonts w:ascii="Times New Roman" w:eastAsia="Times New Roman" w:hAnsi="Times New Roman" w:cs="Times New Roman"/>
      <w:sz w:val="24"/>
      <w:szCs w:val="24"/>
    </w:rPr>
  </w:style>
  <w:style w:type="paragraph" w:styleId="Heading1">
    <w:name w:val="heading 1"/>
    <w:next w:val="Normal"/>
    <w:link w:val="Heading1Char"/>
    <w:uiPriority w:val="1"/>
    <w:qFormat/>
    <w:rsid w:val="00C56C33"/>
    <w:pPr>
      <w:keepNext/>
      <w:numPr>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136D86"/>
    <w:pPr>
      <w:keepLines/>
      <w:numPr>
        <w:ilvl w:val="1"/>
        <w:numId w:val="7"/>
      </w:numPr>
      <w:tabs>
        <w:tab w:val="clear" w:pos="1440"/>
        <w:tab w:val="left" w:pos="1080"/>
      </w:tabs>
      <w:spacing w:before="240" w:after="2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CE0C84"/>
    <w:pPr>
      <w:numPr>
        <w:ilvl w:val="2"/>
        <w:numId w:val="8"/>
      </w:numPr>
      <w:spacing w:before="0"/>
      <w:outlineLvl w:val="2"/>
    </w:pPr>
  </w:style>
  <w:style w:type="paragraph" w:styleId="Heading4">
    <w:name w:val="heading 4"/>
    <w:basedOn w:val="Heading3"/>
    <w:next w:val="Normal"/>
    <w:link w:val="Heading4Char"/>
    <w:uiPriority w:val="9"/>
    <w:unhideWhenUsed/>
    <w:qFormat/>
    <w:rsid w:val="00073E56"/>
    <w:pPr>
      <w:numPr>
        <w:ilvl w:val="0"/>
        <w:numId w:val="21"/>
      </w:numPr>
      <w:spacing w:before="40" w:after="80"/>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qFormat/>
    <w:rsid w:val="00766CD0"/>
    <w:rPr>
      <w:sz w:val="16"/>
      <w:szCs w:val="16"/>
    </w:rPr>
  </w:style>
  <w:style w:type="paragraph" w:styleId="CommentText">
    <w:name w:val="annotation text"/>
    <w:aliases w:val="t,Times New Roman"/>
    <w:basedOn w:val="Normal"/>
    <w:link w:val="CommentTextChar"/>
    <w:uiPriority w:val="99"/>
    <w:unhideWhenUsed/>
    <w:qFormat/>
    <w:rsid w:val="00766CD0"/>
    <w:rPr>
      <w:szCs w:val="20"/>
    </w:rPr>
  </w:style>
  <w:style w:type="character" w:customStyle="1" w:styleId="CommentTextChar">
    <w:name w:val="Comment Text Char"/>
    <w:aliases w:val="t Char,Times New Roman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Table Grid-A,Acumen"/>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136D86"/>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073E56"/>
    <w:rPr>
      <w:rFonts w:ascii="Times New Roman" w:eastAsiaTheme="majorEastAsia" w:hAnsi="Times New Roman" w:cstheme="majorBid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CE0C84"/>
    <w:pPr>
      <w:numPr>
        <w:numId w:val="1"/>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5"/>
      </w:numPr>
      <w:spacing w:after="0"/>
    </w:pPr>
    <w:rPr>
      <w:rFonts w:ascii="Arial" w:eastAsia="Calibri" w:hAnsi="Arial"/>
      <w:color w:val="000000"/>
      <w:sz w:val="20"/>
      <w:szCs w:val="20"/>
      <w:lang w:val="x-none" w:eastAsia="x-none"/>
    </w:rPr>
  </w:style>
  <w:style w:type="character" w:customStyle="1" w:styleId="normaltextrun1">
    <w:name w:val="normaltextrun1"/>
    <w:basedOn w:val="DefaultParagraphFont"/>
    <w:rsid w:val="00A81B56"/>
  </w:style>
  <w:style w:type="character" w:customStyle="1" w:styleId="UnresolvedMention1">
    <w:name w:val="Unresolved Mention1"/>
    <w:basedOn w:val="DefaultParagraphFont"/>
    <w:uiPriority w:val="99"/>
    <w:semiHidden/>
    <w:unhideWhenUsed/>
    <w:rsid w:val="003F55AC"/>
    <w:rPr>
      <w:color w:val="605E5C"/>
      <w:shd w:val="clear" w:color="auto" w:fill="E1DFDD"/>
    </w:rPr>
  </w:style>
  <w:style w:type="character" w:customStyle="1" w:styleId="findhit">
    <w:name w:val="findhit"/>
    <w:basedOn w:val="DefaultParagraphFont"/>
    <w:rsid w:val="00435E5F"/>
    <w:rPr>
      <w:shd w:val="clear" w:color="auto" w:fill="FFEE80"/>
    </w:rPr>
  </w:style>
  <w:style w:type="paragraph" w:customStyle="1" w:styleId="paragraph">
    <w:name w:val="paragraph"/>
    <w:basedOn w:val="Normal"/>
    <w:rsid w:val="002F7812"/>
    <w:pPr>
      <w:spacing w:after="0"/>
    </w:pPr>
  </w:style>
  <w:style w:type="character" w:customStyle="1" w:styleId="eop">
    <w:name w:val="eop"/>
    <w:basedOn w:val="DefaultParagraphFont"/>
    <w:rsid w:val="002F7812"/>
  </w:style>
  <w:style w:type="character" w:customStyle="1" w:styleId="normaltextrun">
    <w:name w:val="normaltextrun"/>
    <w:basedOn w:val="DefaultParagraphFont"/>
    <w:rsid w:val="00613C3E"/>
  </w:style>
  <w:style w:type="character" w:customStyle="1" w:styleId="UnresolvedMention2">
    <w:name w:val="Unresolved Mention2"/>
    <w:basedOn w:val="DefaultParagraphFont"/>
    <w:uiPriority w:val="99"/>
    <w:semiHidden/>
    <w:unhideWhenUsed/>
    <w:rsid w:val="004B6E6D"/>
    <w:rPr>
      <w:color w:val="605E5C"/>
      <w:shd w:val="clear" w:color="auto" w:fill="E1DFDD"/>
    </w:rPr>
  </w:style>
  <w:style w:type="character" w:styleId="UnresolvedMention">
    <w:name w:val="Unresolved Mention"/>
    <w:basedOn w:val="DefaultParagraphFont"/>
    <w:uiPriority w:val="99"/>
    <w:unhideWhenUsed/>
    <w:rsid w:val="00C810E9"/>
    <w:rPr>
      <w:color w:val="605E5C"/>
      <w:shd w:val="clear" w:color="auto" w:fill="E1DFDD"/>
    </w:rPr>
  </w:style>
  <w:style w:type="character" w:styleId="Mention">
    <w:name w:val="Mention"/>
    <w:basedOn w:val="DefaultParagraphFont"/>
    <w:uiPriority w:val="99"/>
    <w:unhideWhenUsed/>
    <w:rsid w:val="00345B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0462576">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395592153">
      <w:bodyDiv w:val="1"/>
      <w:marLeft w:val="0"/>
      <w:marRight w:val="0"/>
      <w:marTop w:val="0"/>
      <w:marBottom w:val="0"/>
      <w:divBdr>
        <w:top w:val="none" w:sz="0" w:space="0" w:color="auto"/>
        <w:left w:val="none" w:sz="0" w:space="0" w:color="auto"/>
        <w:bottom w:val="none" w:sz="0" w:space="0" w:color="auto"/>
        <w:right w:val="none" w:sz="0" w:space="0" w:color="auto"/>
      </w:divBdr>
      <w:divsChild>
        <w:div w:id="2051151737">
          <w:marLeft w:val="0"/>
          <w:marRight w:val="0"/>
          <w:marTop w:val="0"/>
          <w:marBottom w:val="0"/>
          <w:divBdr>
            <w:top w:val="none" w:sz="0" w:space="0" w:color="auto"/>
            <w:left w:val="none" w:sz="0" w:space="0" w:color="auto"/>
            <w:bottom w:val="none" w:sz="0" w:space="0" w:color="auto"/>
            <w:right w:val="none" w:sz="0" w:space="0" w:color="auto"/>
          </w:divBdr>
          <w:divsChild>
            <w:div w:id="417823442">
              <w:marLeft w:val="0"/>
              <w:marRight w:val="0"/>
              <w:marTop w:val="0"/>
              <w:marBottom w:val="0"/>
              <w:divBdr>
                <w:top w:val="none" w:sz="0" w:space="0" w:color="auto"/>
                <w:left w:val="none" w:sz="0" w:space="0" w:color="auto"/>
                <w:bottom w:val="none" w:sz="0" w:space="0" w:color="auto"/>
                <w:right w:val="none" w:sz="0" w:space="0" w:color="auto"/>
              </w:divBdr>
              <w:divsChild>
                <w:div w:id="937443126">
                  <w:marLeft w:val="0"/>
                  <w:marRight w:val="0"/>
                  <w:marTop w:val="0"/>
                  <w:marBottom w:val="0"/>
                  <w:divBdr>
                    <w:top w:val="none" w:sz="0" w:space="0" w:color="auto"/>
                    <w:left w:val="none" w:sz="0" w:space="0" w:color="auto"/>
                    <w:bottom w:val="none" w:sz="0" w:space="0" w:color="auto"/>
                    <w:right w:val="none" w:sz="0" w:space="0" w:color="auto"/>
                  </w:divBdr>
                  <w:divsChild>
                    <w:div w:id="128059020">
                      <w:marLeft w:val="0"/>
                      <w:marRight w:val="0"/>
                      <w:marTop w:val="0"/>
                      <w:marBottom w:val="0"/>
                      <w:divBdr>
                        <w:top w:val="none" w:sz="0" w:space="0" w:color="auto"/>
                        <w:left w:val="none" w:sz="0" w:space="0" w:color="auto"/>
                        <w:bottom w:val="none" w:sz="0" w:space="0" w:color="auto"/>
                        <w:right w:val="none" w:sz="0" w:space="0" w:color="auto"/>
                      </w:divBdr>
                      <w:divsChild>
                        <w:div w:id="1096632752">
                          <w:marLeft w:val="0"/>
                          <w:marRight w:val="0"/>
                          <w:marTop w:val="0"/>
                          <w:marBottom w:val="0"/>
                          <w:divBdr>
                            <w:top w:val="none" w:sz="0" w:space="0" w:color="auto"/>
                            <w:left w:val="none" w:sz="0" w:space="0" w:color="auto"/>
                            <w:bottom w:val="none" w:sz="0" w:space="0" w:color="auto"/>
                            <w:right w:val="none" w:sz="0" w:space="0" w:color="auto"/>
                          </w:divBdr>
                          <w:divsChild>
                            <w:div w:id="357971370">
                              <w:marLeft w:val="0"/>
                              <w:marRight w:val="0"/>
                              <w:marTop w:val="0"/>
                              <w:marBottom w:val="0"/>
                              <w:divBdr>
                                <w:top w:val="none" w:sz="0" w:space="0" w:color="auto"/>
                                <w:left w:val="none" w:sz="0" w:space="0" w:color="auto"/>
                                <w:bottom w:val="none" w:sz="0" w:space="0" w:color="auto"/>
                                <w:right w:val="none" w:sz="0" w:space="0" w:color="auto"/>
                              </w:divBdr>
                              <w:divsChild>
                                <w:div w:id="1901405521">
                                  <w:marLeft w:val="0"/>
                                  <w:marRight w:val="0"/>
                                  <w:marTop w:val="0"/>
                                  <w:marBottom w:val="0"/>
                                  <w:divBdr>
                                    <w:top w:val="none" w:sz="0" w:space="0" w:color="auto"/>
                                    <w:left w:val="none" w:sz="0" w:space="0" w:color="auto"/>
                                    <w:bottom w:val="none" w:sz="0" w:space="0" w:color="auto"/>
                                    <w:right w:val="none" w:sz="0" w:space="0" w:color="auto"/>
                                  </w:divBdr>
                                  <w:divsChild>
                                    <w:div w:id="483745521">
                                      <w:marLeft w:val="0"/>
                                      <w:marRight w:val="0"/>
                                      <w:marTop w:val="0"/>
                                      <w:marBottom w:val="0"/>
                                      <w:divBdr>
                                        <w:top w:val="none" w:sz="0" w:space="0" w:color="auto"/>
                                        <w:left w:val="none" w:sz="0" w:space="0" w:color="auto"/>
                                        <w:bottom w:val="none" w:sz="0" w:space="0" w:color="auto"/>
                                        <w:right w:val="none" w:sz="0" w:space="0" w:color="auto"/>
                                      </w:divBdr>
                                      <w:divsChild>
                                        <w:div w:id="1593396867">
                                          <w:marLeft w:val="0"/>
                                          <w:marRight w:val="0"/>
                                          <w:marTop w:val="0"/>
                                          <w:marBottom w:val="0"/>
                                          <w:divBdr>
                                            <w:top w:val="none" w:sz="0" w:space="0" w:color="auto"/>
                                            <w:left w:val="none" w:sz="0" w:space="0" w:color="auto"/>
                                            <w:bottom w:val="none" w:sz="0" w:space="0" w:color="auto"/>
                                            <w:right w:val="none" w:sz="0" w:space="0" w:color="auto"/>
                                          </w:divBdr>
                                          <w:divsChild>
                                            <w:div w:id="553201429">
                                              <w:marLeft w:val="0"/>
                                              <w:marRight w:val="0"/>
                                              <w:marTop w:val="0"/>
                                              <w:marBottom w:val="0"/>
                                              <w:divBdr>
                                                <w:top w:val="none" w:sz="0" w:space="0" w:color="auto"/>
                                                <w:left w:val="none" w:sz="0" w:space="0" w:color="auto"/>
                                                <w:bottom w:val="none" w:sz="0" w:space="0" w:color="auto"/>
                                                <w:right w:val="none" w:sz="0" w:space="0" w:color="auto"/>
                                              </w:divBdr>
                                              <w:divsChild>
                                                <w:div w:id="1845971770">
                                                  <w:marLeft w:val="0"/>
                                                  <w:marRight w:val="0"/>
                                                  <w:marTop w:val="0"/>
                                                  <w:marBottom w:val="0"/>
                                                  <w:divBdr>
                                                    <w:top w:val="none" w:sz="0" w:space="0" w:color="auto"/>
                                                    <w:left w:val="none" w:sz="0" w:space="0" w:color="auto"/>
                                                    <w:bottom w:val="none" w:sz="0" w:space="0" w:color="auto"/>
                                                    <w:right w:val="none" w:sz="0" w:space="0" w:color="auto"/>
                                                  </w:divBdr>
                                                  <w:divsChild>
                                                    <w:div w:id="986276163">
                                                      <w:marLeft w:val="0"/>
                                                      <w:marRight w:val="0"/>
                                                      <w:marTop w:val="0"/>
                                                      <w:marBottom w:val="0"/>
                                                      <w:divBdr>
                                                        <w:top w:val="single" w:sz="12" w:space="0" w:color="auto"/>
                                                        <w:left w:val="none" w:sz="0" w:space="0" w:color="auto"/>
                                                        <w:bottom w:val="none" w:sz="0" w:space="0" w:color="auto"/>
                                                        <w:right w:val="none" w:sz="0" w:space="0" w:color="auto"/>
                                                      </w:divBdr>
                                                      <w:divsChild>
                                                        <w:div w:id="2131898069">
                                                          <w:marLeft w:val="0"/>
                                                          <w:marRight w:val="0"/>
                                                          <w:marTop w:val="0"/>
                                                          <w:marBottom w:val="0"/>
                                                          <w:divBdr>
                                                            <w:top w:val="none" w:sz="0" w:space="0" w:color="auto"/>
                                                            <w:left w:val="none" w:sz="0" w:space="0" w:color="auto"/>
                                                            <w:bottom w:val="none" w:sz="0" w:space="0" w:color="auto"/>
                                                            <w:right w:val="none" w:sz="0" w:space="0" w:color="auto"/>
                                                          </w:divBdr>
                                                          <w:divsChild>
                                                            <w:div w:id="958412850">
                                                              <w:marLeft w:val="0"/>
                                                              <w:marRight w:val="0"/>
                                                              <w:marTop w:val="0"/>
                                                              <w:marBottom w:val="0"/>
                                                              <w:divBdr>
                                                                <w:top w:val="none" w:sz="0" w:space="0" w:color="auto"/>
                                                                <w:left w:val="none" w:sz="0" w:space="0" w:color="auto"/>
                                                                <w:bottom w:val="none" w:sz="0" w:space="0" w:color="auto"/>
                                                                <w:right w:val="none" w:sz="0" w:space="0" w:color="auto"/>
                                                              </w:divBdr>
                                                              <w:divsChild>
                                                                <w:div w:id="2116707196">
                                                                  <w:marLeft w:val="0"/>
                                                                  <w:marRight w:val="0"/>
                                                                  <w:marTop w:val="0"/>
                                                                  <w:marBottom w:val="0"/>
                                                                  <w:divBdr>
                                                                    <w:top w:val="none" w:sz="0" w:space="0" w:color="auto"/>
                                                                    <w:left w:val="none" w:sz="0" w:space="0" w:color="auto"/>
                                                                    <w:bottom w:val="none" w:sz="0" w:space="0" w:color="auto"/>
                                                                    <w:right w:val="none" w:sz="0" w:space="0" w:color="auto"/>
                                                                  </w:divBdr>
                                                                  <w:divsChild>
                                                                    <w:div w:id="1862158975">
                                                                      <w:marLeft w:val="0"/>
                                                                      <w:marRight w:val="0"/>
                                                                      <w:marTop w:val="0"/>
                                                                      <w:marBottom w:val="0"/>
                                                                      <w:divBdr>
                                                                        <w:top w:val="none" w:sz="0" w:space="0" w:color="auto"/>
                                                                        <w:left w:val="none" w:sz="0" w:space="0" w:color="auto"/>
                                                                        <w:bottom w:val="none" w:sz="0" w:space="0" w:color="auto"/>
                                                                        <w:right w:val="none" w:sz="0" w:space="0" w:color="auto"/>
                                                                      </w:divBdr>
                                                                      <w:divsChild>
                                                                        <w:div w:id="715810115">
                                                                          <w:marLeft w:val="0"/>
                                                                          <w:marRight w:val="0"/>
                                                                          <w:marTop w:val="0"/>
                                                                          <w:marBottom w:val="0"/>
                                                                          <w:divBdr>
                                                                            <w:top w:val="none" w:sz="0" w:space="0" w:color="auto"/>
                                                                            <w:left w:val="none" w:sz="0" w:space="0" w:color="auto"/>
                                                                            <w:bottom w:val="none" w:sz="0" w:space="0" w:color="auto"/>
                                                                            <w:right w:val="none" w:sz="0" w:space="0" w:color="auto"/>
                                                                          </w:divBdr>
                                                                          <w:divsChild>
                                                                            <w:div w:id="946230953">
                                                                              <w:marLeft w:val="0"/>
                                                                              <w:marRight w:val="0"/>
                                                                              <w:marTop w:val="0"/>
                                                                              <w:marBottom w:val="0"/>
                                                                              <w:divBdr>
                                                                                <w:top w:val="none" w:sz="0" w:space="0" w:color="auto"/>
                                                                                <w:left w:val="none" w:sz="0" w:space="0" w:color="auto"/>
                                                                                <w:bottom w:val="none" w:sz="0" w:space="0" w:color="auto"/>
                                                                                <w:right w:val="none" w:sz="0" w:space="0" w:color="auto"/>
                                                                              </w:divBdr>
                                                                              <w:divsChild>
                                                                                <w:div w:id="50020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81377430">
      <w:bodyDiv w:val="1"/>
      <w:marLeft w:val="0"/>
      <w:marRight w:val="0"/>
      <w:marTop w:val="0"/>
      <w:marBottom w:val="0"/>
      <w:divBdr>
        <w:top w:val="none" w:sz="0" w:space="0" w:color="auto"/>
        <w:left w:val="none" w:sz="0" w:space="0" w:color="auto"/>
        <w:bottom w:val="none" w:sz="0" w:space="0" w:color="auto"/>
        <w:right w:val="none" w:sz="0" w:space="0" w:color="auto"/>
      </w:divBdr>
      <w:divsChild>
        <w:div w:id="2005937836">
          <w:marLeft w:val="0"/>
          <w:marRight w:val="0"/>
          <w:marTop w:val="0"/>
          <w:marBottom w:val="0"/>
          <w:divBdr>
            <w:top w:val="none" w:sz="0" w:space="0" w:color="auto"/>
            <w:left w:val="none" w:sz="0" w:space="0" w:color="auto"/>
            <w:bottom w:val="none" w:sz="0" w:space="0" w:color="auto"/>
            <w:right w:val="none" w:sz="0" w:space="0" w:color="auto"/>
          </w:divBdr>
          <w:divsChild>
            <w:div w:id="1032681834">
              <w:marLeft w:val="0"/>
              <w:marRight w:val="0"/>
              <w:marTop w:val="0"/>
              <w:marBottom w:val="0"/>
              <w:divBdr>
                <w:top w:val="none" w:sz="0" w:space="0" w:color="auto"/>
                <w:left w:val="none" w:sz="0" w:space="0" w:color="auto"/>
                <w:bottom w:val="none" w:sz="0" w:space="0" w:color="auto"/>
                <w:right w:val="none" w:sz="0" w:space="0" w:color="auto"/>
              </w:divBdr>
              <w:divsChild>
                <w:div w:id="1013072582">
                  <w:marLeft w:val="0"/>
                  <w:marRight w:val="0"/>
                  <w:marTop w:val="0"/>
                  <w:marBottom w:val="0"/>
                  <w:divBdr>
                    <w:top w:val="none" w:sz="0" w:space="0" w:color="auto"/>
                    <w:left w:val="none" w:sz="0" w:space="0" w:color="auto"/>
                    <w:bottom w:val="none" w:sz="0" w:space="0" w:color="auto"/>
                    <w:right w:val="none" w:sz="0" w:space="0" w:color="auto"/>
                  </w:divBdr>
                  <w:divsChild>
                    <w:div w:id="1912543489">
                      <w:marLeft w:val="0"/>
                      <w:marRight w:val="0"/>
                      <w:marTop w:val="0"/>
                      <w:marBottom w:val="0"/>
                      <w:divBdr>
                        <w:top w:val="none" w:sz="0" w:space="0" w:color="auto"/>
                        <w:left w:val="none" w:sz="0" w:space="0" w:color="auto"/>
                        <w:bottom w:val="none" w:sz="0" w:space="0" w:color="auto"/>
                        <w:right w:val="none" w:sz="0" w:space="0" w:color="auto"/>
                      </w:divBdr>
                      <w:divsChild>
                        <w:div w:id="1630283762">
                          <w:marLeft w:val="0"/>
                          <w:marRight w:val="0"/>
                          <w:marTop w:val="0"/>
                          <w:marBottom w:val="0"/>
                          <w:divBdr>
                            <w:top w:val="none" w:sz="0" w:space="0" w:color="auto"/>
                            <w:left w:val="none" w:sz="0" w:space="0" w:color="auto"/>
                            <w:bottom w:val="none" w:sz="0" w:space="0" w:color="auto"/>
                            <w:right w:val="none" w:sz="0" w:space="0" w:color="auto"/>
                          </w:divBdr>
                          <w:divsChild>
                            <w:div w:id="935358668">
                              <w:marLeft w:val="0"/>
                              <w:marRight w:val="0"/>
                              <w:marTop w:val="0"/>
                              <w:marBottom w:val="0"/>
                              <w:divBdr>
                                <w:top w:val="none" w:sz="0" w:space="0" w:color="auto"/>
                                <w:left w:val="none" w:sz="0" w:space="0" w:color="auto"/>
                                <w:bottom w:val="none" w:sz="0" w:space="0" w:color="auto"/>
                                <w:right w:val="none" w:sz="0" w:space="0" w:color="auto"/>
                              </w:divBdr>
                              <w:divsChild>
                                <w:div w:id="1138573428">
                                  <w:marLeft w:val="0"/>
                                  <w:marRight w:val="0"/>
                                  <w:marTop w:val="0"/>
                                  <w:marBottom w:val="0"/>
                                  <w:divBdr>
                                    <w:top w:val="none" w:sz="0" w:space="0" w:color="auto"/>
                                    <w:left w:val="none" w:sz="0" w:space="0" w:color="auto"/>
                                    <w:bottom w:val="none" w:sz="0" w:space="0" w:color="auto"/>
                                    <w:right w:val="none" w:sz="0" w:space="0" w:color="auto"/>
                                  </w:divBdr>
                                  <w:divsChild>
                                    <w:div w:id="154300926">
                                      <w:marLeft w:val="0"/>
                                      <w:marRight w:val="0"/>
                                      <w:marTop w:val="0"/>
                                      <w:marBottom w:val="0"/>
                                      <w:divBdr>
                                        <w:top w:val="none" w:sz="0" w:space="0" w:color="auto"/>
                                        <w:left w:val="none" w:sz="0" w:space="0" w:color="auto"/>
                                        <w:bottom w:val="none" w:sz="0" w:space="0" w:color="auto"/>
                                        <w:right w:val="none" w:sz="0" w:space="0" w:color="auto"/>
                                      </w:divBdr>
                                      <w:divsChild>
                                        <w:div w:id="1615208757">
                                          <w:marLeft w:val="0"/>
                                          <w:marRight w:val="0"/>
                                          <w:marTop w:val="0"/>
                                          <w:marBottom w:val="0"/>
                                          <w:divBdr>
                                            <w:top w:val="none" w:sz="0" w:space="0" w:color="auto"/>
                                            <w:left w:val="none" w:sz="0" w:space="0" w:color="auto"/>
                                            <w:bottom w:val="none" w:sz="0" w:space="0" w:color="auto"/>
                                            <w:right w:val="none" w:sz="0" w:space="0" w:color="auto"/>
                                          </w:divBdr>
                                          <w:divsChild>
                                            <w:div w:id="608391536">
                                              <w:marLeft w:val="0"/>
                                              <w:marRight w:val="0"/>
                                              <w:marTop w:val="0"/>
                                              <w:marBottom w:val="0"/>
                                              <w:divBdr>
                                                <w:top w:val="none" w:sz="0" w:space="0" w:color="auto"/>
                                                <w:left w:val="none" w:sz="0" w:space="0" w:color="auto"/>
                                                <w:bottom w:val="none" w:sz="0" w:space="0" w:color="auto"/>
                                                <w:right w:val="none" w:sz="0" w:space="0" w:color="auto"/>
                                              </w:divBdr>
                                              <w:divsChild>
                                                <w:div w:id="726684442">
                                                  <w:marLeft w:val="0"/>
                                                  <w:marRight w:val="0"/>
                                                  <w:marTop w:val="0"/>
                                                  <w:marBottom w:val="0"/>
                                                  <w:divBdr>
                                                    <w:top w:val="none" w:sz="0" w:space="0" w:color="auto"/>
                                                    <w:left w:val="none" w:sz="0" w:space="0" w:color="auto"/>
                                                    <w:bottom w:val="none" w:sz="0" w:space="0" w:color="auto"/>
                                                    <w:right w:val="none" w:sz="0" w:space="0" w:color="auto"/>
                                                  </w:divBdr>
                                                  <w:divsChild>
                                                    <w:div w:id="1985886193">
                                                      <w:marLeft w:val="0"/>
                                                      <w:marRight w:val="0"/>
                                                      <w:marTop w:val="0"/>
                                                      <w:marBottom w:val="0"/>
                                                      <w:divBdr>
                                                        <w:top w:val="single" w:sz="12" w:space="0" w:color="auto"/>
                                                        <w:left w:val="none" w:sz="0" w:space="0" w:color="auto"/>
                                                        <w:bottom w:val="none" w:sz="0" w:space="0" w:color="auto"/>
                                                        <w:right w:val="none" w:sz="0" w:space="0" w:color="auto"/>
                                                      </w:divBdr>
                                                      <w:divsChild>
                                                        <w:div w:id="1290163219">
                                                          <w:marLeft w:val="0"/>
                                                          <w:marRight w:val="0"/>
                                                          <w:marTop w:val="0"/>
                                                          <w:marBottom w:val="0"/>
                                                          <w:divBdr>
                                                            <w:top w:val="none" w:sz="0" w:space="0" w:color="auto"/>
                                                            <w:left w:val="none" w:sz="0" w:space="0" w:color="auto"/>
                                                            <w:bottom w:val="none" w:sz="0" w:space="0" w:color="auto"/>
                                                            <w:right w:val="none" w:sz="0" w:space="0" w:color="auto"/>
                                                          </w:divBdr>
                                                          <w:divsChild>
                                                            <w:div w:id="16860427">
                                                              <w:marLeft w:val="0"/>
                                                              <w:marRight w:val="0"/>
                                                              <w:marTop w:val="0"/>
                                                              <w:marBottom w:val="0"/>
                                                              <w:divBdr>
                                                                <w:top w:val="none" w:sz="0" w:space="0" w:color="auto"/>
                                                                <w:left w:val="none" w:sz="0" w:space="0" w:color="auto"/>
                                                                <w:bottom w:val="none" w:sz="0" w:space="0" w:color="auto"/>
                                                                <w:right w:val="none" w:sz="0" w:space="0" w:color="auto"/>
                                                              </w:divBdr>
                                                              <w:divsChild>
                                                                <w:div w:id="1131441887">
                                                                  <w:marLeft w:val="0"/>
                                                                  <w:marRight w:val="0"/>
                                                                  <w:marTop w:val="0"/>
                                                                  <w:marBottom w:val="0"/>
                                                                  <w:divBdr>
                                                                    <w:top w:val="none" w:sz="0" w:space="0" w:color="auto"/>
                                                                    <w:left w:val="none" w:sz="0" w:space="0" w:color="auto"/>
                                                                    <w:bottom w:val="none" w:sz="0" w:space="0" w:color="auto"/>
                                                                    <w:right w:val="none" w:sz="0" w:space="0" w:color="auto"/>
                                                                  </w:divBdr>
                                                                  <w:divsChild>
                                                                    <w:div w:id="970743016">
                                                                      <w:marLeft w:val="0"/>
                                                                      <w:marRight w:val="0"/>
                                                                      <w:marTop w:val="0"/>
                                                                      <w:marBottom w:val="0"/>
                                                                      <w:divBdr>
                                                                        <w:top w:val="none" w:sz="0" w:space="0" w:color="auto"/>
                                                                        <w:left w:val="none" w:sz="0" w:space="0" w:color="auto"/>
                                                                        <w:bottom w:val="none" w:sz="0" w:space="0" w:color="auto"/>
                                                                        <w:right w:val="none" w:sz="0" w:space="0" w:color="auto"/>
                                                                      </w:divBdr>
                                                                      <w:divsChild>
                                                                        <w:div w:id="478576003">
                                                                          <w:marLeft w:val="0"/>
                                                                          <w:marRight w:val="0"/>
                                                                          <w:marTop w:val="0"/>
                                                                          <w:marBottom w:val="0"/>
                                                                          <w:divBdr>
                                                                            <w:top w:val="none" w:sz="0" w:space="0" w:color="auto"/>
                                                                            <w:left w:val="none" w:sz="0" w:space="0" w:color="auto"/>
                                                                            <w:bottom w:val="none" w:sz="0" w:space="0" w:color="auto"/>
                                                                            <w:right w:val="none" w:sz="0" w:space="0" w:color="auto"/>
                                                                          </w:divBdr>
                                                                          <w:divsChild>
                                                                            <w:div w:id="934364122">
                                                                              <w:marLeft w:val="0"/>
                                                                              <w:marRight w:val="0"/>
                                                                              <w:marTop w:val="0"/>
                                                                              <w:marBottom w:val="0"/>
                                                                              <w:divBdr>
                                                                                <w:top w:val="none" w:sz="0" w:space="0" w:color="auto"/>
                                                                                <w:left w:val="none" w:sz="0" w:space="0" w:color="auto"/>
                                                                                <w:bottom w:val="none" w:sz="0" w:space="0" w:color="auto"/>
                                                                                <w:right w:val="none" w:sz="0" w:space="0" w:color="auto"/>
                                                                              </w:divBdr>
                                                                              <w:divsChild>
                                                                                <w:div w:id="3393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4555353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777212866">
      <w:bodyDiv w:val="1"/>
      <w:marLeft w:val="0"/>
      <w:marRight w:val="0"/>
      <w:marTop w:val="0"/>
      <w:marBottom w:val="0"/>
      <w:divBdr>
        <w:top w:val="none" w:sz="0" w:space="0" w:color="auto"/>
        <w:left w:val="none" w:sz="0" w:space="0" w:color="auto"/>
        <w:bottom w:val="none" w:sz="0" w:space="0" w:color="auto"/>
        <w:right w:val="none" w:sz="0" w:space="0" w:color="auto"/>
      </w:divBdr>
    </w:div>
    <w:div w:id="799109976">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085882708">
      <w:bodyDiv w:val="1"/>
      <w:marLeft w:val="0"/>
      <w:marRight w:val="0"/>
      <w:marTop w:val="0"/>
      <w:marBottom w:val="0"/>
      <w:divBdr>
        <w:top w:val="none" w:sz="0" w:space="0" w:color="auto"/>
        <w:left w:val="none" w:sz="0" w:space="0" w:color="auto"/>
        <w:bottom w:val="none" w:sz="0" w:space="0" w:color="auto"/>
        <w:right w:val="none" w:sz="0" w:space="0" w:color="auto"/>
      </w:divBdr>
    </w:div>
    <w:div w:id="1194883045">
      <w:bodyDiv w:val="1"/>
      <w:marLeft w:val="0"/>
      <w:marRight w:val="0"/>
      <w:marTop w:val="0"/>
      <w:marBottom w:val="0"/>
      <w:divBdr>
        <w:top w:val="none" w:sz="0" w:space="0" w:color="auto"/>
        <w:left w:val="none" w:sz="0" w:space="0" w:color="auto"/>
        <w:bottom w:val="none" w:sz="0" w:space="0" w:color="auto"/>
        <w:right w:val="none" w:sz="0" w:space="0" w:color="auto"/>
      </w:divBdr>
    </w:div>
    <w:div w:id="1195189935">
      <w:bodyDiv w:val="1"/>
      <w:marLeft w:val="0"/>
      <w:marRight w:val="0"/>
      <w:marTop w:val="0"/>
      <w:marBottom w:val="0"/>
      <w:divBdr>
        <w:top w:val="none" w:sz="0" w:space="0" w:color="auto"/>
        <w:left w:val="none" w:sz="0" w:space="0" w:color="auto"/>
        <w:bottom w:val="none" w:sz="0" w:space="0" w:color="auto"/>
        <w:right w:val="none" w:sz="0" w:space="0" w:color="auto"/>
      </w:divBdr>
    </w:div>
    <w:div w:id="1202061807">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284001198">
      <w:bodyDiv w:val="1"/>
      <w:marLeft w:val="0"/>
      <w:marRight w:val="0"/>
      <w:marTop w:val="0"/>
      <w:marBottom w:val="0"/>
      <w:divBdr>
        <w:top w:val="none" w:sz="0" w:space="0" w:color="auto"/>
        <w:left w:val="none" w:sz="0" w:space="0" w:color="auto"/>
        <w:bottom w:val="none" w:sz="0" w:space="0" w:color="auto"/>
        <w:right w:val="none" w:sz="0" w:space="0" w:color="auto"/>
      </w:divBdr>
    </w:div>
    <w:div w:id="1289239889">
      <w:bodyDiv w:val="1"/>
      <w:marLeft w:val="0"/>
      <w:marRight w:val="0"/>
      <w:marTop w:val="0"/>
      <w:marBottom w:val="0"/>
      <w:divBdr>
        <w:top w:val="none" w:sz="0" w:space="0" w:color="auto"/>
        <w:left w:val="none" w:sz="0" w:space="0" w:color="auto"/>
        <w:bottom w:val="none" w:sz="0" w:space="0" w:color="auto"/>
        <w:right w:val="none" w:sz="0" w:space="0" w:color="auto"/>
      </w:divBdr>
    </w:div>
    <w:div w:id="1336104462">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468934250">
      <w:bodyDiv w:val="1"/>
      <w:marLeft w:val="0"/>
      <w:marRight w:val="0"/>
      <w:marTop w:val="0"/>
      <w:marBottom w:val="0"/>
      <w:divBdr>
        <w:top w:val="none" w:sz="0" w:space="0" w:color="auto"/>
        <w:left w:val="none" w:sz="0" w:space="0" w:color="auto"/>
        <w:bottom w:val="none" w:sz="0" w:space="0" w:color="auto"/>
        <w:right w:val="none" w:sz="0" w:space="0" w:color="auto"/>
      </w:divBdr>
      <w:divsChild>
        <w:div w:id="1531987938">
          <w:marLeft w:val="0"/>
          <w:marRight w:val="0"/>
          <w:marTop w:val="0"/>
          <w:marBottom w:val="0"/>
          <w:divBdr>
            <w:top w:val="none" w:sz="0" w:space="0" w:color="auto"/>
            <w:left w:val="none" w:sz="0" w:space="0" w:color="auto"/>
            <w:bottom w:val="none" w:sz="0" w:space="0" w:color="auto"/>
            <w:right w:val="none" w:sz="0" w:space="0" w:color="auto"/>
          </w:divBdr>
          <w:divsChild>
            <w:div w:id="732503528">
              <w:marLeft w:val="0"/>
              <w:marRight w:val="0"/>
              <w:marTop w:val="0"/>
              <w:marBottom w:val="0"/>
              <w:divBdr>
                <w:top w:val="none" w:sz="0" w:space="0" w:color="auto"/>
                <w:left w:val="none" w:sz="0" w:space="0" w:color="auto"/>
                <w:bottom w:val="none" w:sz="0" w:space="0" w:color="auto"/>
                <w:right w:val="none" w:sz="0" w:space="0" w:color="auto"/>
              </w:divBdr>
              <w:divsChild>
                <w:div w:id="638145162">
                  <w:marLeft w:val="0"/>
                  <w:marRight w:val="0"/>
                  <w:marTop w:val="0"/>
                  <w:marBottom w:val="0"/>
                  <w:divBdr>
                    <w:top w:val="none" w:sz="0" w:space="0" w:color="auto"/>
                    <w:left w:val="none" w:sz="0" w:space="0" w:color="auto"/>
                    <w:bottom w:val="none" w:sz="0" w:space="0" w:color="auto"/>
                    <w:right w:val="none" w:sz="0" w:space="0" w:color="auto"/>
                  </w:divBdr>
                  <w:divsChild>
                    <w:div w:id="1482843381">
                      <w:marLeft w:val="0"/>
                      <w:marRight w:val="0"/>
                      <w:marTop w:val="0"/>
                      <w:marBottom w:val="0"/>
                      <w:divBdr>
                        <w:top w:val="none" w:sz="0" w:space="0" w:color="auto"/>
                        <w:left w:val="none" w:sz="0" w:space="0" w:color="auto"/>
                        <w:bottom w:val="none" w:sz="0" w:space="0" w:color="auto"/>
                        <w:right w:val="none" w:sz="0" w:space="0" w:color="auto"/>
                      </w:divBdr>
                      <w:divsChild>
                        <w:div w:id="457577132">
                          <w:marLeft w:val="0"/>
                          <w:marRight w:val="0"/>
                          <w:marTop w:val="0"/>
                          <w:marBottom w:val="0"/>
                          <w:divBdr>
                            <w:top w:val="none" w:sz="0" w:space="0" w:color="auto"/>
                            <w:left w:val="none" w:sz="0" w:space="0" w:color="auto"/>
                            <w:bottom w:val="none" w:sz="0" w:space="0" w:color="auto"/>
                            <w:right w:val="none" w:sz="0" w:space="0" w:color="auto"/>
                          </w:divBdr>
                          <w:divsChild>
                            <w:div w:id="512495154">
                              <w:marLeft w:val="0"/>
                              <w:marRight w:val="0"/>
                              <w:marTop w:val="0"/>
                              <w:marBottom w:val="0"/>
                              <w:divBdr>
                                <w:top w:val="none" w:sz="0" w:space="0" w:color="auto"/>
                                <w:left w:val="none" w:sz="0" w:space="0" w:color="auto"/>
                                <w:bottom w:val="none" w:sz="0" w:space="0" w:color="auto"/>
                                <w:right w:val="none" w:sz="0" w:space="0" w:color="auto"/>
                              </w:divBdr>
                              <w:divsChild>
                                <w:div w:id="39088130">
                                  <w:marLeft w:val="0"/>
                                  <w:marRight w:val="0"/>
                                  <w:marTop w:val="0"/>
                                  <w:marBottom w:val="0"/>
                                  <w:divBdr>
                                    <w:top w:val="none" w:sz="0" w:space="0" w:color="auto"/>
                                    <w:left w:val="none" w:sz="0" w:space="0" w:color="auto"/>
                                    <w:bottom w:val="none" w:sz="0" w:space="0" w:color="auto"/>
                                    <w:right w:val="none" w:sz="0" w:space="0" w:color="auto"/>
                                  </w:divBdr>
                                  <w:divsChild>
                                    <w:div w:id="1997032583">
                                      <w:marLeft w:val="0"/>
                                      <w:marRight w:val="0"/>
                                      <w:marTop w:val="0"/>
                                      <w:marBottom w:val="0"/>
                                      <w:divBdr>
                                        <w:top w:val="none" w:sz="0" w:space="0" w:color="auto"/>
                                        <w:left w:val="none" w:sz="0" w:space="0" w:color="auto"/>
                                        <w:bottom w:val="none" w:sz="0" w:space="0" w:color="auto"/>
                                        <w:right w:val="none" w:sz="0" w:space="0" w:color="auto"/>
                                      </w:divBdr>
                                      <w:divsChild>
                                        <w:div w:id="1869443847">
                                          <w:marLeft w:val="0"/>
                                          <w:marRight w:val="0"/>
                                          <w:marTop w:val="0"/>
                                          <w:marBottom w:val="0"/>
                                          <w:divBdr>
                                            <w:top w:val="none" w:sz="0" w:space="0" w:color="auto"/>
                                            <w:left w:val="none" w:sz="0" w:space="0" w:color="auto"/>
                                            <w:bottom w:val="none" w:sz="0" w:space="0" w:color="auto"/>
                                            <w:right w:val="none" w:sz="0" w:space="0" w:color="auto"/>
                                          </w:divBdr>
                                          <w:divsChild>
                                            <w:div w:id="2027438257">
                                              <w:marLeft w:val="0"/>
                                              <w:marRight w:val="0"/>
                                              <w:marTop w:val="0"/>
                                              <w:marBottom w:val="0"/>
                                              <w:divBdr>
                                                <w:top w:val="none" w:sz="0" w:space="0" w:color="auto"/>
                                                <w:left w:val="none" w:sz="0" w:space="0" w:color="auto"/>
                                                <w:bottom w:val="none" w:sz="0" w:space="0" w:color="auto"/>
                                                <w:right w:val="none" w:sz="0" w:space="0" w:color="auto"/>
                                              </w:divBdr>
                                              <w:divsChild>
                                                <w:div w:id="1855073416">
                                                  <w:marLeft w:val="0"/>
                                                  <w:marRight w:val="0"/>
                                                  <w:marTop w:val="0"/>
                                                  <w:marBottom w:val="0"/>
                                                  <w:divBdr>
                                                    <w:top w:val="none" w:sz="0" w:space="0" w:color="auto"/>
                                                    <w:left w:val="none" w:sz="0" w:space="0" w:color="auto"/>
                                                    <w:bottom w:val="none" w:sz="0" w:space="0" w:color="auto"/>
                                                    <w:right w:val="none" w:sz="0" w:space="0" w:color="auto"/>
                                                  </w:divBdr>
                                                  <w:divsChild>
                                                    <w:div w:id="1309019420">
                                                      <w:marLeft w:val="0"/>
                                                      <w:marRight w:val="0"/>
                                                      <w:marTop w:val="0"/>
                                                      <w:marBottom w:val="0"/>
                                                      <w:divBdr>
                                                        <w:top w:val="single" w:sz="12" w:space="0" w:color="ABABAB"/>
                                                        <w:left w:val="single" w:sz="6" w:space="0" w:color="ABABAB"/>
                                                        <w:bottom w:val="none" w:sz="0" w:space="0" w:color="auto"/>
                                                        <w:right w:val="single" w:sz="6" w:space="0" w:color="ABABAB"/>
                                                      </w:divBdr>
                                                      <w:divsChild>
                                                        <w:div w:id="286358385">
                                                          <w:marLeft w:val="0"/>
                                                          <w:marRight w:val="0"/>
                                                          <w:marTop w:val="0"/>
                                                          <w:marBottom w:val="0"/>
                                                          <w:divBdr>
                                                            <w:top w:val="none" w:sz="0" w:space="0" w:color="auto"/>
                                                            <w:left w:val="none" w:sz="0" w:space="0" w:color="auto"/>
                                                            <w:bottom w:val="none" w:sz="0" w:space="0" w:color="auto"/>
                                                            <w:right w:val="none" w:sz="0" w:space="0" w:color="auto"/>
                                                          </w:divBdr>
                                                          <w:divsChild>
                                                            <w:div w:id="1102186797">
                                                              <w:marLeft w:val="0"/>
                                                              <w:marRight w:val="0"/>
                                                              <w:marTop w:val="0"/>
                                                              <w:marBottom w:val="0"/>
                                                              <w:divBdr>
                                                                <w:top w:val="none" w:sz="0" w:space="0" w:color="auto"/>
                                                                <w:left w:val="none" w:sz="0" w:space="0" w:color="auto"/>
                                                                <w:bottom w:val="none" w:sz="0" w:space="0" w:color="auto"/>
                                                                <w:right w:val="none" w:sz="0" w:space="0" w:color="auto"/>
                                                              </w:divBdr>
                                                              <w:divsChild>
                                                                <w:div w:id="628170322">
                                                                  <w:marLeft w:val="0"/>
                                                                  <w:marRight w:val="0"/>
                                                                  <w:marTop w:val="0"/>
                                                                  <w:marBottom w:val="0"/>
                                                                  <w:divBdr>
                                                                    <w:top w:val="none" w:sz="0" w:space="0" w:color="auto"/>
                                                                    <w:left w:val="none" w:sz="0" w:space="0" w:color="auto"/>
                                                                    <w:bottom w:val="none" w:sz="0" w:space="0" w:color="auto"/>
                                                                    <w:right w:val="none" w:sz="0" w:space="0" w:color="auto"/>
                                                                  </w:divBdr>
                                                                  <w:divsChild>
                                                                    <w:div w:id="21320057">
                                                                      <w:marLeft w:val="0"/>
                                                                      <w:marRight w:val="0"/>
                                                                      <w:marTop w:val="0"/>
                                                                      <w:marBottom w:val="0"/>
                                                                      <w:divBdr>
                                                                        <w:top w:val="none" w:sz="0" w:space="0" w:color="auto"/>
                                                                        <w:left w:val="none" w:sz="0" w:space="0" w:color="auto"/>
                                                                        <w:bottom w:val="none" w:sz="0" w:space="0" w:color="auto"/>
                                                                        <w:right w:val="none" w:sz="0" w:space="0" w:color="auto"/>
                                                                      </w:divBdr>
                                                                      <w:divsChild>
                                                                        <w:div w:id="414978052">
                                                                          <w:marLeft w:val="-75"/>
                                                                          <w:marRight w:val="0"/>
                                                                          <w:marTop w:val="30"/>
                                                                          <w:marBottom w:val="30"/>
                                                                          <w:divBdr>
                                                                            <w:top w:val="none" w:sz="0" w:space="0" w:color="auto"/>
                                                                            <w:left w:val="none" w:sz="0" w:space="0" w:color="auto"/>
                                                                            <w:bottom w:val="none" w:sz="0" w:space="0" w:color="auto"/>
                                                                            <w:right w:val="none" w:sz="0" w:space="0" w:color="auto"/>
                                                                          </w:divBdr>
                                                                          <w:divsChild>
                                                                            <w:div w:id="755631265">
                                                                              <w:marLeft w:val="0"/>
                                                                              <w:marRight w:val="0"/>
                                                                              <w:marTop w:val="0"/>
                                                                              <w:marBottom w:val="0"/>
                                                                              <w:divBdr>
                                                                                <w:top w:val="none" w:sz="0" w:space="0" w:color="auto"/>
                                                                                <w:left w:val="none" w:sz="0" w:space="0" w:color="auto"/>
                                                                                <w:bottom w:val="none" w:sz="0" w:space="0" w:color="auto"/>
                                                                                <w:right w:val="none" w:sz="0" w:space="0" w:color="auto"/>
                                                                              </w:divBdr>
                                                                              <w:divsChild>
                                                                                <w:div w:id="631248769">
                                                                                  <w:marLeft w:val="0"/>
                                                                                  <w:marRight w:val="0"/>
                                                                                  <w:marTop w:val="0"/>
                                                                                  <w:marBottom w:val="0"/>
                                                                                  <w:divBdr>
                                                                                    <w:top w:val="none" w:sz="0" w:space="0" w:color="auto"/>
                                                                                    <w:left w:val="none" w:sz="0" w:space="0" w:color="auto"/>
                                                                                    <w:bottom w:val="none" w:sz="0" w:space="0" w:color="auto"/>
                                                                                    <w:right w:val="none" w:sz="0" w:space="0" w:color="auto"/>
                                                                                  </w:divBdr>
                                                                                  <w:divsChild>
                                                                                    <w:div w:id="631906711">
                                                                                      <w:marLeft w:val="0"/>
                                                                                      <w:marRight w:val="0"/>
                                                                                      <w:marTop w:val="0"/>
                                                                                      <w:marBottom w:val="0"/>
                                                                                      <w:divBdr>
                                                                                        <w:top w:val="none" w:sz="0" w:space="0" w:color="auto"/>
                                                                                        <w:left w:val="none" w:sz="0" w:space="0" w:color="auto"/>
                                                                                        <w:bottom w:val="none" w:sz="0" w:space="0" w:color="auto"/>
                                                                                        <w:right w:val="none" w:sz="0" w:space="0" w:color="auto"/>
                                                                                      </w:divBdr>
                                                                                      <w:divsChild>
                                                                                        <w:div w:id="1296911910">
                                                                                          <w:marLeft w:val="0"/>
                                                                                          <w:marRight w:val="0"/>
                                                                                          <w:marTop w:val="0"/>
                                                                                          <w:marBottom w:val="0"/>
                                                                                          <w:divBdr>
                                                                                            <w:top w:val="none" w:sz="0" w:space="0" w:color="auto"/>
                                                                                            <w:left w:val="none" w:sz="0" w:space="0" w:color="auto"/>
                                                                                            <w:bottom w:val="none" w:sz="0" w:space="0" w:color="auto"/>
                                                                                            <w:right w:val="none" w:sz="0" w:space="0" w:color="auto"/>
                                                                                          </w:divBdr>
                                                                                          <w:divsChild>
                                                                                            <w:div w:id="1451971899">
                                                                                              <w:marLeft w:val="0"/>
                                                                                              <w:marRight w:val="0"/>
                                                                                              <w:marTop w:val="0"/>
                                                                                              <w:marBottom w:val="0"/>
                                                                                              <w:divBdr>
                                                                                                <w:top w:val="none" w:sz="0" w:space="0" w:color="auto"/>
                                                                                                <w:left w:val="none" w:sz="0" w:space="0" w:color="auto"/>
                                                                                                <w:bottom w:val="none" w:sz="0" w:space="0" w:color="auto"/>
                                                                                                <w:right w:val="none" w:sz="0" w:space="0" w:color="auto"/>
                                                                                              </w:divBdr>
                                                                                              <w:divsChild>
                                                                                                <w:div w:id="573586815">
                                                                                                  <w:marLeft w:val="0"/>
                                                                                                  <w:marRight w:val="0"/>
                                                                                                  <w:marTop w:val="30"/>
                                                                                                  <w:marBottom w:val="30"/>
                                                                                                  <w:divBdr>
                                                                                                    <w:top w:val="none" w:sz="0" w:space="0" w:color="auto"/>
                                                                                                    <w:left w:val="none" w:sz="0" w:space="0" w:color="auto"/>
                                                                                                    <w:bottom w:val="none" w:sz="0" w:space="0" w:color="auto"/>
                                                                                                    <w:right w:val="none" w:sz="0" w:space="0" w:color="auto"/>
                                                                                                  </w:divBdr>
                                                                                                  <w:divsChild>
                                                                                                    <w:div w:id="1548300803">
                                                                                                      <w:marLeft w:val="0"/>
                                                                                                      <w:marRight w:val="0"/>
                                                                                                      <w:marTop w:val="0"/>
                                                                                                      <w:marBottom w:val="0"/>
                                                                                                      <w:divBdr>
                                                                                                        <w:top w:val="none" w:sz="0" w:space="0" w:color="auto"/>
                                                                                                        <w:left w:val="none" w:sz="0" w:space="0" w:color="auto"/>
                                                                                                        <w:bottom w:val="none" w:sz="0" w:space="0" w:color="auto"/>
                                                                                                        <w:right w:val="none" w:sz="0" w:space="0" w:color="auto"/>
                                                                                                      </w:divBdr>
                                                                                                      <w:divsChild>
                                                                                                        <w:div w:id="223182829">
                                                                                                          <w:marLeft w:val="0"/>
                                                                                                          <w:marRight w:val="0"/>
                                                                                                          <w:marTop w:val="0"/>
                                                                                                          <w:marBottom w:val="0"/>
                                                                                                          <w:divBdr>
                                                                                                            <w:top w:val="none" w:sz="0" w:space="0" w:color="auto"/>
                                                                                                            <w:left w:val="none" w:sz="0" w:space="0" w:color="auto"/>
                                                                                                            <w:bottom w:val="none" w:sz="0" w:space="0" w:color="auto"/>
                                                                                                            <w:right w:val="none" w:sz="0" w:space="0" w:color="auto"/>
                                                                                                          </w:divBdr>
                                                                                                        </w:div>
                                                                                                      </w:divsChild>
                                                                                                    </w:div>
                                                                                                    <w:div w:id="1775858596">
                                                                                                      <w:marLeft w:val="0"/>
                                                                                                      <w:marRight w:val="0"/>
                                                                                                      <w:marTop w:val="0"/>
                                                                                                      <w:marBottom w:val="0"/>
                                                                                                      <w:divBdr>
                                                                                                        <w:top w:val="none" w:sz="0" w:space="0" w:color="auto"/>
                                                                                                        <w:left w:val="none" w:sz="0" w:space="0" w:color="auto"/>
                                                                                                        <w:bottom w:val="none" w:sz="0" w:space="0" w:color="auto"/>
                                                                                                        <w:right w:val="none" w:sz="0" w:space="0" w:color="auto"/>
                                                                                                      </w:divBdr>
                                                                                                      <w:divsChild>
                                                                                                        <w:div w:id="9379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662806055">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20407305">
      <w:bodyDiv w:val="1"/>
      <w:marLeft w:val="0"/>
      <w:marRight w:val="0"/>
      <w:marTop w:val="0"/>
      <w:marBottom w:val="0"/>
      <w:divBdr>
        <w:top w:val="none" w:sz="0" w:space="0" w:color="auto"/>
        <w:left w:val="none" w:sz="0" w:space="0" w:color="auto"/>
        <w:bottom w:val="none" w:sz="0" w:space="0" w:color="auto"/>
        <w:right w:val="none" w:sz="0" w:space="0" w:color="auto"/>
      </w:divBdr>
    </w:div>
    <w:div w:id="1951429865">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 w:id="1973246425">
      <w:bodyDiv w:val="1"/>
      <w:marLeft w:val="0"/>
      <w:marRight w:val="0"/>
      <w:marTop w:val="0"/>
      <w:marBottom w:val="0"/>
      <w:divBdr>
        <w:top w:val="none" w:sz="0" w:space="0" w:color="auto"/>
        <w:left w:val="none" w:sz="0" w:space="0" w:color="auto"/>
        <w:bottom w:val="none" w:sz="0" w:space="0" w:color="auto"/>
        <w:right w:val="none" w:sz="0" w:space="0" w:color="auto"/>
      </w:divBdr>
    </w:div>
    <w:div w:id="2040353003">
      <w:bodyDiv w:val="1"/>
      <w:marLeft w:val="0"/>
      <w:marRight w:val="0"/>
      <w:marTop w:val="0"/>
      <w:marBottom w:val="0"/>
      <w:divBdr>
        <w:top w:val="none" w:sz="0" w:space="0" w:color="auto"/>
        <w:left w:val="none" w:sz="0" w:space="0" w:color="auto"/>
        <w:bottom w:val="none" w:sz="0" w:space="0" w:color="auto"/>
        <w:right w:val="none" w:sz="0" w:space="0" w:color="auto"/>
      </w:divBdr>
    </w:div>
    <w:div w:id="205692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medicare/quality-initiatives-patient-assessment-instruments/physician-compare-initiativ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dicare.gov/care-compa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it.gov/topic/safety/safer-guid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4" ma:contentTypeDescription="Create a new document." ma:contentTypeScope="" ma:versionID="f4f59d22b45c2995e2cd05b9c111241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c270ec4a26ed2c59ba656835c3bd7986"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SharedWithUsers xmlns="473fb903-928d-4c19-82a4-142fa71b231e">
      <UserInfo>
        <DisplayName>Rob Truhn II</DisplayName>
        <AccountId>165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2.xml><?xml version="1.0" encoding="utf-8"?>
<ds:datastoreItem xmlns:ds="http://schemas.openxmlformats.org/officeDocument/2006/customXml" ds:itemID="{EFA53B59-1CC8-4F81-9089-69AC7C168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38921-E2A9-4CFB-A4EC-6C7E8C5A6B26}">
  <ds:schemaRefs>
    <ds:schemaRef ds:uri="http://purl.org/dc/elements/1.1/"/>
    <ds:schemaRef ds:uri="http://schemas.microsoft.com/office/2006/metadata/properties"/>
    <ds:schemaRef ds:uri="473fb903-928d-4c19-82a4-142fa71b231e"/>
    <ds:schemaRef ds:uri="22bb7b03-74e3-4244-88c2-4a3caedda43c"/>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45FA2C6-4418-4315-9ADD-6C821DC6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34401</Words>
  <Characters>196089</Characters>
  <Application>Microsoft Office Word</Application>
  <DocSecurity>0</DocSecurity>
  <Lines>1634</Lines>
  <Paragraphs>460</Paragraphs>
  <ScaleCrop>false</ScaleCrop>
  <HeadingPairs>
    <vt:vector size="2" baseType="variant">
      <vt:variant>
        <vt:lpstr>Title</vt:lpstr>
      </vt:variant>
      <vt:variant>
        <vt:i4>1</vt:i4>
      </vt:variant>
    </vt:vector>
  </HeadingPairs>
  <TitlesOfParts>
    <vt:vector size="1" baseType="lpstr">
      <vt:lpstr>MIPS Supporting Statement - Part A (CMS-10621, OMB 0938-1314)</vt:lpstr>
    </vt:vector>
  </TitlesOfParts>
  <Company/>
  <LinksUpToDate>false</LinksUpToDate>
  <CharactersWithSpaces>230030</CharactersWithSpaces>
  <SharedDoc>false</SharedDoc>
  <HLinks>
    <vt:vector size="18" baseType="variant">
      <vt:variant>
        <vt:i4>5439565</vt:i4>
      </vt:variant>
      <vt:variant>
        <vt:i4>6</vt:i4>
      </vt:variant>
      <vt:variant>
        <vt:i4>0</vt:i4>
      </vt:variant>
      <vt:variant>
        <vt:i4>5</vt:i4>
      </vt:variant>
      <vt:variant>
        <vt:lpwstr>https://www.cms.gov/medicare/quality-initiatives-patient-assessment-instruments/physician-compare-initiative/</vt:lpwstr>
      </vt:variant>
      <vt:variant>
        <vt:lpwstr/>
      </vt:variant>
      <vt:variant>
        <vt:i4>3080248</vt:i4>
      </vt:variant>
      <vt:variant>
        <vt:i4>3</vt:i4>
      </vt:variant>
      <vt:variant>
        <vt:i4>0</vt:i4>
      </vt:variant>
      <vt:variant>
        <vt:i4>5</vt:i4>
      </vt:variant>
      <vt:variant>
        <vt:lpwstr>https://www.medicare.gov/care-compare/</vt:lpwstr>
      </vt:variant>
      <vt:variant>
        <vt:lpwstr/>
      </vt:variant>
      <vt:variant>
        <vt:i4>3014754</vt:i4>
      </vt:variant>
      <vt:variant>
        <vt:i4>0</vt:i4>
      </vt:variant>
      <vt:variant>
        <vt:i4>0</vt:i4>
      </vt:variant>
      <vt:variant>
        <vt:i4>5</vt:i4>
      </vt:variant>
      <vt:variant>
        <vt:lpwstr>https://www.healthit.gov/topic/safety/safer-guides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MIPS Supporting Statement - Part A (CMS-10621, OMB 0938-1314)</dc:title>
  <dc:subject/>
  <dc:creator/>
  <cp:keywords/>
  <dc:description/>
  <cp:lastModifiedBy/>
  <cp:revision>1</cp:revision>
  <dcterms:created xsi:type="dcterms:W3CDTF">2021-09-30T16:40:00Z</dcterms:created>
  <dcterms:modified xsi:type="dcterms:W3CDTF">2021-09-30T16:40:00Z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