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3596B" w:rsidR="00FC633E" w:rsidP="00FC633E" w:rsidRDefault="00FC633E" w14:paraId="66216BBC" w14:textId="77777777">
      <w:pPr>
        <w:jc w:val="center"/>
        <w:rPr>
          <w:i/>
          <w:sz w:val="28"/>
          <w:szCs w:val="28"/>
        </w:rPr>
      </w:pPr>
    </w:p>
    <w:p w:rsidRPr="00FC633E" w:rsidR="00FC633E" w:rsidP="005453AD" w:rsidRDefault="00FC633E" w14:paraId="2B2F0069" w14:textId="77777777">
      <w:pPr>
        <w:jc w:val="center"/>
        <w:rPr>
          <w:sz w:val="28"/>
          <w:szCs w:val="28"/>
        </w:rPr>
      </w:pPr>
    </w:p>
    <w:p w:rsidR="00FC633E" w:rsidP="005453AD" w:rsidRDefault="00FC633E" w14:paraId="452F9250" w14:textId="77777777">
      <w:pPr>
        <w:jc w:val="center"/>
        <w:rPr>
          <w:b/>
          <w:sz w:val="28"/>
          <w:szCs w:val="28"/>
        </w:rPr>
      </w:pPr>
    </w:p>
    <w:p w:rsidR="005453AD" w:rsidP="005453AD" w:rsidRDefault="005453AD" w14:paraId="4D0CDC8E" w14:textId="77777777">
      <w:pPr>
        <w:jc w:val="center"/>
        <w:rPr>
          <w:b/>
          <w:sz w:val="28"/>
          <w:szCs w:val="28"/>
        </w:rPr>
      </w:pPr>
      <w:r w:rsidRPr="00456179">
        <w:rPr>
          <w:b/>
          <w:sz w:val="28"/>
          <w:szCs w:val="28"/>
        </w:rPr>
        <w:t>SUPPORTING STATEMENT</w:t>
      </w:r>
    </w:p>
    <w:p w:rsidR="00FC633E" w:rsidP="005453AD" w:rsidRDefault="00FC633E" w14:paraId="01761718" w14:textId="77777777">
      <w:pPr>
        <w:jc w:val="center"/>
        <w:rPr>
          <w:b/>
          <w:sz w:val="28"/>
          <w:szCs w:val="28"/>
        </w:rPr>
      </w:pPr>
    </w:p>
    <w:p w:rsidR="005453AD" w:rsidP="005453AD" w:rsidRDefault="005453AD" w14:paraId="2A60AF97" w14:textId="77777777">
      <w:pPr>
        <w:jc w:val="center"/>
        <w:rPr>
          <w:sz w:val="28"/>
          <w:szCs w:val="28"/>
        </w:rPr>
      </w:pPr>
      <w:r>
        <w:rPr>
          <w:b/>
          <w:sz w:val="28"/>
          <w:szCs w:val="28"/>
        </w:rPr>
        <w:t>Part B</w:t>
      </w:r>
    </w:p>
    <w:p w:rsidR="005453AD" w:rsidP="005453AD" w:rsidRDefault="005453AD" w14:paraId="5A3CEC5A" w14:textId="77777777">
      <w:pPr>
        <w:jc w:val="center"/>
        <w:rPr>
          <w:sz w:val="28"/>
          <w:szCs w:val="28"/>
        </w:rPr>
      </w:pPr>
    </w:p>
    <w:p w:rsidR="005453AD" w:rsidP="005453AD" w:rsidRDefault="005453AD" w14:paraId="6E441C63" w14:textId="77777777">
      <w:pPr>
        <w:jc w:val="center"/>
        <w:rPr>
          <w:sz w:val="28"/>
          <w:szCs w:val="28"/>
        </w:rPr>
      </w:pPr>
    </w:p>
    <w:p w:rsidR="005453AD" w:rsidP="005453AD" w:rsidRDefault="005453AD" w14:paraId="4601E279" w14:textId="77777777">
      <w:pPr>
        <w:jc w:val="center"/>
        <w:rPr>
          <w:sz w:val="28"/>
          <w:szCs w:val="28"/>
        </w:rPr>
      </w:pPr>
    </w:p>
    <w:p w:rsidR="005453AD" w:rsidP="005453AD" w:rsidRDefault="005453AD" w14:paraId="515A13FF" w14:textId="77777777">
      <w:pPr>
        <w:jc w:val="center"/>
        <w:rPr>
          <w:sz w:val="28"/>
          <w:szCs w:val="28"/>
        </w:rPr>
      </w:pPr>
    </w:p>
    <w:p w:rsidR="005453AD" w:rsidP="005453AD" w:rsidRDefault="005453AD" w14:paraId="07BE07E4" w14:textId="77777777">
      <w:pPr>
        <w:jc w:val="center"/>
        <w:rPr>
          <w:sz w:val="28"/>
          <w:szCs w:val="28"/>
        </w:rPr>
      </w:pPr>
    </w:p>
    <w:p w:rsidR="005453AD" w:rsidP="005453AD" w:rsidRDefault="005453AD" w14:paraId="204158AC" w14:textId="77777777">
      <w:pPr>
        <w:jc w:val="center"/>
        <w:rPr>
          <w:sz w:val="28"/>
          <w:szCs w:val="28"/>
        </w:rPr>
      </w:pPr>
    </w:p>
    <w:p w:rsidRPr="00D87D3D" w:rsidR="005453AD" w:rsidP="005453AD" w:rsidRDefault="00502DB0" w14:paraId="05F383B9" w14:textId="77777777">
      <w:pPr>
        <w:jc w:val="center"/>
        <w:rPr>
          <w:sz w:val="28"/>
          <w:szCs w:val="28"/>
        </w:rPr>
      </w:pPr>
      <w:r w:rsidRPr="00D90589">
        <w:rPr>
          <w:sz w:val="28"/>
          <w:szCs w:val="28"/>
        </w:rPr>
        <w:t>Medicare Beneficiary Experiences with Care Survey</w:t>
      </w:r>
      <w:r w:rsidRPr="00C4006D" w:rsidDel="00502DB0">
        <w:rPr>
          <w:i/>
          <w:sz w:val="28"/>
          <w:szCs w:val="28"/>
        </w:rPr>
        <w:t xml:space="preserve"> </w:t>
      </w:r>
      <w:r w:rsidR="00DD7FBF">
        <w:rPr>
          <w:sz w:val="28"/>
          <w:szCs w:val="28"/>
        </w:rPr>
        <w:t>(</w:t>
      </w:r>
      <w:r w:rsidRPr="00D87D3D" w:rsidR="00D87D3D">
        <w:rPr>
          <w:sz w:val="28"/>
          <w:szCs w:val="28"/>
        </w:rPr>
        <w:t>MBECS)</w:t>
      </w:r>
      <w:r w:rsidR="008C122A">
        <w:rPr>
          <w:sz w:val="28"/>
          <w:szCs w:val="28"/>
        </w:rPr>
        <w:t xml:space="preserve"> System</w:t>
      </w:r>
    </w:p>
    <w:p w:rsidR="005453AD" w:rsidP="005453AD" w:rsidRDefault="005453AD" w14:paraId="6A10FD63" w14:textId="77777777">
      <w:pPr>
        <w:jc w:val="center"/>
        <w:rPr>
          <w:sz w:val="28"/>
          <w:szCs w:val="28"/>
        </w:rPr>
      </w:pPr>
    </w:p>
    <w:p w:rsidR="005453AD" w:rsidP="005453AD" w:rsidRDefault="005453AD" w14:paraId="28D5AD1C" w14:textId="77777777">
      <w:pPr>
        <w:jc w:val="center"/>
        <w:rPr>
          <w:sz w:val="28"/>
          <w:szCs w:val="28"/>
        </w:rPr>
      </w:pPr>
    </w:p>
    <w:p w:rsidR="005453AD" w:rsidP="005453AD" w:rsidRDefault="005453AD" w14:paraId="285EE576" w14:textId="77777777">
      <w:pPr>
        <w:jc w:val="center"/>
        <w:rPr>
          <w:sz w:val="28"/>
          <w:szCs w:val="28"/>
        </w:rPr>
      </w:pPr>
    </w:p>
    <w:p w:rsidRPr="00F86215" w:rsidR="00FC633E" w:rsidP="00FC633E" w:rsidRDefault="00B268D8" w14:paraId="5B95B4FC" w14:textId="41ACBCC9">
      <w:pPr>
        <w:jc w:val="center"/>
        <w:rPr>
          <w:sz w:val="28"/>
          <w:szCs w:val="28"/>
        </w:rPr>
      </w:pPr>
      <w:r>
        <w:rPr>
          <w:sz w:val="28"/>
          <w:szCs w:val="28"/>
        </w:rPr>
        <w:t xml:space="preserve">March </w:t>
      </w:r>
      <w:r w:rsidR="005A055B">
        <w:rPr>
          <w:sz w:val="28"/>
          <w:szCs w:val="28"/>
        </w:rPr>
        <w:t>10</w:t>
      </w:r>
      <w:r w:rsidR="00B60351">
        <w:rPr>
          <w:sz w:val="28"/>
          <w:szCs w:val="28"/>
        </w:rPr>
        <w:t>, 2021</w:t>
      </w:r>
    </w:p>
    <w:p w:rsidR="005453AD" w:rsidP="005453AD" w:rsidRDefault="005453AD" w14:paraId="194D0E93" w14:textId="77777777">
      <w:pPr>
        <w:jc w:val="center"/>
        <w:rPr>
          <w:sz w:val="28"/>
          <w:szCs w:val="28"/>
        </w:rPr>
      </w:pPr>
    </w:p>
    <w:p w:rsidR="005453AD" w:rsidP="005453AD" w:rsidRDefault="005453AD" w14:paraId="3C34EDE0" w14:textId="77777777">
      <w:pPr>
        <w:jc w:val="center"/>
        <w:rPr>
          <w:sz w:val="28"/>
          <w:szCs w:val="28"/>
        </w:rPr>
      </w:pPr>
    </w:p>
    <w:p w:rsidR="005453AD" w:rsidP="005453AD" w:rsidRDefault="005453AD" w14:paraId="5596875C" w14:textId="77777777">
      <w:pPr>
        <w:jc w:val="center"/>
        <w:rPr>
          <w:sz w:val="28"/>
          <w:szCs w:val="28"/>
        </w:rPr>
      </w:pPr>
    </w:p>
    <w:p w:rsidR="005453AD" w:rsidP="005453AD" w:rsidRDefault="005453AD" w14:paraId="0AD3BE39" w14:textId="77777777">
      <w:pPr>
        <w:jc w:val="center"/>
        <w:rPr>
          <w:sz w:val="28"/>
          <w:szCs w:val="28"/>
        </w:rPr>
      </w:pPr>
    </w:p>
    <w:p w:rsidR="005453AD" w:rsidP="005453AD" w:rsidRDefault="005453AD" w14:paraId="78355676" w14:textId="77777777">
      <w:pPr>
        <w:jc w:val="center"/>
        <w:rPr>
          <w:sz w:val="28"/>
          <w:szCs w:val="28"/>
        </w:rPr>
      </w:pPr>
    </w:p>
    <w:p w:rsidR="005453AD" w:rsidP="005453AD" w:rsidRDefault="005453AD" w14:paraId="3142F131" w14:textId="77777777">
      <w:pPr>
        <w:jc w:val="center"/>
        <w:rPr>
          <w:sz w:val="28"/>
          <w:szCs w:val="28"/>
        </w:rPr>
      </w:pPr>
    </w:p>
    <w:p w:rsidR="005453AD" w:rsidP="005453AD" w:rsidRDefault="005453AD" w14:paraId="702BB63F" w14:textId="77777777">
      <w:pPr>
        <w:jc w:val="center"/>
        <w:rPr>
          <w:sz w:val="28"/>
          <w:szCs w:val="28"/>
        </w:rPr>
      </w:pPr>
    </w:p>
    <w:p w:rsidR="00307089" w:rsidP="00307089" w:rsidRDefault="002418FA" w14:paraId="4A3BF56F" w14:textId="256D2477">
      <w:pPr>
        <w:jc w:val="center"/>
        <w:rPr>
          <w:sz w:val="28"/>
          <w:szCs w:val="28"/>
        </w:rPr>
      </w:pPr>
      <w:r>
        <w:rPr>
          <w:sz w:val="28"/>
          <w:szCs w:val="28"/>
        </w:rPr>
        <w:t>Centers for Medicare and Medicaid Services (CMS)</w:t>
      </w:r>
      <w:r w:rsidR="00307089">
        <w:rPr>
          <w:sz w:val="28"/>
          <w:szCs w:val="28"/>
        </w:rPr>
        <w:t>,</w:t>
      </w:r>
    </w:p>
    <w:p w:rsidR="00307089" w:rsidP="00307089" w:rsidRDefault="00307089" w14:paraId="2C0BD29B" w14:textId="4CAEC98D">
      <w:pPr>
        <w:jc w:val="center"/>
        <w:rPr>
          <w:sz w:val="28"/>
          <w:szCs w:val="28"/>
        </w:rPr>
      </w:pPr>
      <w:r>
        <w:rPr>
          <w:sz w:val="28"/>
          <w:szCs w:val="28"/>
        </w:rPr>
        <w:t>Office of Minority Health</w:t>
      </w:r>
    </w:p>
    <w:p w:rsidR="005453AD" w:rsidP="005453AD" w:rsidRDefault="005453AD" w14:paraId="6579FC08" w14:textId="77777777">
      <w:pPr>
        <w:rPr>
          <w:sz w:val="28"/>
          <w:szCs w:val="28"/>
        </w:rPr>
      </w:pPr>
    </w:p>
    <w:p w:rsidR="005453AD" w:rsidP="005453AD" w:rsidRDefault="005453AD" w14:paraId="13C6BDD6" w14:textId="77777777">
      <w:pPr>
        <w:rPr>
          <w:sz w:val="28"/>
          <w:szCs w:val="28"/>
        </w:rPr>
      </w:pPr>
    </w:p>
    <w:p w:rsidR="00D753CE" w:rsidP="00D753CE" w:rsidRDefault="005453AD" w14:paraId="4A6D890B" w14:textId="77777777">
      <w:pPr>
        <w:jc w:val="center"/>
      </w:pPr>
      <w:r>
        <w:br w:type="page"/>
      </w:r>
      <w:bookmarkStart w:name="_Toc151782198" w:id="0"/>
      <w:bookmarkStart w:name="_Toc158526234" w:id="1"/>
    </w:p>
    <w:p w:rsidR="00D753CE" w:rsidRDefault="00D753CE" w14:paraId="672F3DB7" w14:textId="77777777">
      <w:pPr>
        <w:pStyle w:val="TOCHeading"/>
      </w:pPr>
      <w:r>
        <w:lastRenderedPageBreak/>
        <w:t>Contents</w:t>
      </w:r>
    </w:p>
    <w:p w:rsidR="008217D4" w:rsidRDefault="00D753CE" w14:paraId="21E855EF" w14:textId="77777777">
      <w:pPr>
        <w:pStyle w:val="TOC1"/>
        <w:tabs>
          <w:tab w:val="right" w:leader="dot" w:pos="8630"/>
        </w:tabs>
        <w:rPr>
          <w:rFonts w:asciiTheme="minorHAnsi" w:hAnsiTheme="minorHAnsi" w:eastAsiaTheme="minorEastAsia" w:cstheme="minorBidi"/>
          <w:noProof/>
          <w:sz w:val="22"/>
          <w:szCs w:val="22"/>
        </w:rPr>
      </w:pPr>
      <w:r>
        <w:fldChar w:fldCharType="begin"/>
      </w:r>
      <w:r>
        <w:instrText xml:space="preserve"> TOC \o "1-3" \h \z \u </w:instrText>
      </w:r>
      <w:r>
        <w:fldChar w:fldCharType="separate"/>
      </w:r>
      <w:hyperlink w:history="1" w:anchor="_Toc66294007">
        <w:r w:rsidRPr="009C415A" w:rsidR="008217D4">
          <w:rPr>
            <w:rStyle w:val="Hyperlink"/>
            <w:noProof/>
          </w:rPr>
          <w:t>B. Collections of Information Employing Statistical Methods</w:t>
        </w:r>
        <w:r w:rsidR="008217D4">
          <w:rPr>
            <w:noProof/>
            <w:webHidden/>
          </w:rPr>
          <w:tab/>
        </w:r>
        <w:r w:rsidR="008217D4">
          <w:rPr>
            <w:noProof/>
            <w:webHidden/>
          </w:rPr>
          <w:fldChar w:fldCharType="begin"/>
        </w:r>
        <w:r w:rsidR="008217D4">
          <w:rPr>
            <w:noProof/>
            <w:webHidden/>
          </w:rPr>
          <w:instrText xml:space="preserve"> PAGEREF _Toc66294007 \h </w:instrText>
        </w:r>
        <w:r w:rsidR="008217D4">
          <w:rPr>
            <w:noProof/>
            <w:webHidden/>
          </w:rPr>
        </w:r>
        <w:r w:rsidR="008217D4">
          <w:rPr>
            <w:noProof/>
            <w:webHidden/>
          </w:rPr>
          <w:fldChar w:fldCharType="separate"/>
        </w:r>
        <w:r w:rsidR="008217D4">
          <w:rPr>
            <w:noProof/>
            <w:webHidden/>
          </w:rPr>
          <w:t>3</w:t>
        </w:r>
        <w:r w:rsidR="008217D4">
          <w:rPr>
            <w:noProof/>
            <w:webHidden/>
          </w:rPr>
          <w:fldChar w:fldCharType="end"/>
        </w:r>
      </w:hyperlink>
    </w:p>
    <w:p w:rsidR="008217D4" w:rsidRDefault="00195C04" w14:paraId="6935667F" w14:textId="77777777">
      <w:pPr>
        <w:pStyle w:val="TOC2"/>
        <w:tabs>
          <w:tab w:val="right" w:leader="dot" w:pos="8630"/>
        </w:tabs>
        <w:rPr>
          <w:rFonts w:asciiTheme="minorHAnsi" w:hAnsiTheme="minorHAnsi" w:eastAsiaTheme="minorEastAsia" w:cstheme="minorBidi"/>
          <w:noProof/>
          <w:sz w:val="22"/>
          <w:szCs w:val="22"/>
        </w:rPr>
      </w:pPr>
      <w:hyperlink w:history="1" w:anchor="_Toc66294008">
        <w:r w:rsidRPr="009C415A" w:rsidR="008217D4">
          <w:rPr>
            <w:rStyle w:val="Hyperlink"/>
            <w:noProof/>
          </w:rPr>
          <w:t>1. Respondent universe and sampling methods</w:t>
        </w:r>
        <w:r w:rsidR="008217D4">
          <w:rPr>
            <w:noProof/>
            <w:webHidden/>
          </w:rPr>
          <w:tab/>
        </w:r>
        <w:r w:rsidR="008217D4">
          <w:rPr>
            <w:noProof/>
            <w:webHidden/>
          </w:rPr>
          <w:fldChar w:fldCharType="begin"/>
        </w:r>
        <w:r w:rsidR="008217D4">
          <w:rPr>
            <w:noProof/>
            <w:webHidden/>
          </w:rPr>
          <w:instrText xml:space="preserve"> PAGEREF _Toc66294008 \h </w:instrText>
        </w:r>
        <w:r w:rsidR="008217D4">
          <w:rPr>
            <w:noProof/>
            <w:webHidden/>
          </w:rPr>
        </w:r>
        <w:r w:rsidR="008217D4">
          <w:rPr>
            <w:noProof/>
            <w:webHidden/>
          </w:rPr>
          <w:fldChar w:fldCharType="separate"/>
        </w:r>
        <w:r w:rsidR="008217D4">
          <w:rPr>
            <w:noProof/>
            <w:webHidden/>
          </w:rPr>
          <w:t>3</w:t>
        </w:r>
        <w:r w:rsidR="008217D4">
          <w:rPr>
            <w:noProof/>
            <w:webHidden/>
          </w:rPr>
          <w:fldChar w:fldCharType="end"/>
        </w:r>
      </w:hyperlink>
    </w:p>
    <w:p w:rsidR="008217D4" w:rsidRDefault="00195C04" w14:paraId="40AA0A93" w14:textId="77777777">
      <w:pPr>
        <w:pStyle w:val="TOC2"/>
        <w:tabs>
          <w:tab w:val="right" w:leader="dot" w:pos="8630"/>
        </w:tabs>
        <w:rPr>
          <w:rFonts w:asciiTheme="minorHAnsi" w:hAnsiTheme="minorHAnsi" w:eastAsiaTheme="minorEastAsia" w:cstheme="minorBidi"/>
          <w:noProof/>
          <w:sz w:val="22"/>
          <w:szCs w:val="22"/>
        </w:rPr>
      </w:pPr>
      <w:hyperlink w:history="1" w:anchor="_Toc66294009">
        <w:r w:rsidRPr="009C415A" w:rsidR="008217D4">
          <w:rPr>
            <w:rStyle w:val="Hyperlink"/>
            <w:noProof/>
          </w:rPr>
          <w:t>2. Information Collection Procedures</w:t>
        </w:r>
        <w:r w:rsidR="008217D4">
          <w:rPr>
            <w:noProof/>
            <w:webHidden/>
          </w:rPr>
          <w:tab/>
        </w:r>
        <w:r w:rsidR="008217D4">
          <w:rPr>
            <w:noProof/>
            <w:webHidden/>
          </w:rPr>
          <w:fldChar w:fldCharType="begin"/>
        </w:r>
        <w:r w:rsidR="008217D4">
          <w:rPr>
            <w:noProof/>
            <w:webHidden/>
          </w:rPr>
          <w:instrText xml:space="preserve"> PAGEREF _Toc66294009 \h </w:instrText>
        </w:r>
        <w:r w:rsidR="008217D4">
          <w:rPr>
            <w:noProof/>
            <w:webHidden/>
          </w:rPr>
        </w:r>
        <w:r w:rsidR="008217D4">
          <w:rPr>
            <w:noProof/>
            <w:webHidden/>
          </w:rPr>
          <w:fldChar w:fldCharType="separate"/>
        </w:r>
        <w:r w:rsidR="008217D4">
          <w:rPr>
            <w:noProof/>
            <w:webHidden/>
          </w:rPr>
          <w:t>5</w:t>
        </w:r>
        <w:r w:rsidR="008217D4">
          <w:rPr>
            <w:noProof/>
            <w:webHidden/>
          </w:rPr>
          <w:fldChar w:fldCharType="end"/>
        </w:r>
      </w:hyperlink>
    </w:p>
    <w:p w:rsidR="008217D4" w:rsidRDefault="00195C04" w14:paraId="56648D95" w14:textId="77777777">
      <w:pPr>
        <w:pStyle w:val="TOC2"/>
        <w:tabs>
          <w:tab w:val="right" w:leader="dot" w:pos="8630"/>
        </w:tabs>
        <w:rPr>
          <w:rFonts w:asciiTheme="minorHAnsi" w:hAnsiTheme="minorHAnsi" w:eastAsiaTheme="minorEastAsia" w:cstheme="minorBidi"/>
          <w:noProof/>
          <w:sz w:val="22"/>
          <w:szCs w:val="22"/>
        </w:rPr>
      </w:pPr>
      <w:hyperlink w:history="1" w:anchor="_Toc66294010">
        <w:r w:rsidRPr="009C415A" w:rsidR="008217D4">
          <w:rPr>
            <w:rStyle w:val="Hyperlink"/>
            <w:noProof/>
          </w:rPr>
          <w:t>4. Tests of Procedures</w:t>
        </w:r>
        <w:r w:rsidR="008217D4">
          <w:rPr>
            <w:noProof/>
            <w:webHidden/>
          </w:rPr>
          <w:tab/>
        </w:r>
        <w:r w:rsidR="008217D4">
          <w:rPr>
            <w:noProof/>
            <w:webHidden/>
          </w:rPr>
          <w:fldChar w:fldCharType="begin"/>
        </w:r>
        <w:r w:rsidR="008217D4">
          <w:rPr>
            <w:noProof/>
            <w:webHidden/>
          </w:rPr>
          <w:instrText xml:space="preserve"> PAGEREF _Toc66294010 \h </w:instrText>
        </w:r>
        <w:r w:rsidR="008217D4">
          <w:rPr>
            <w:noProof/>
            <w:webHidden/>
          </w:rPr>
        </w:r>
        <w:r w:rsidR="008217D4">
          <w:rPr>
            <w:noProof/>
            <w:webHidden/>
          </w:rPr>
          <w:fldChar w:fldCharType="separate"/>
        </w:r>
        <w:r w:rsidR="008217D4">
          <w:rPr>
            <w:noProof/>
            <w:webHidden/>
          </w:rPr>
          <w:t>8</w:t>
        </w:r>
        <w:r w:rsidR="008217D4">
          <w:rPr>
            <w:noProof/>
            <w:webHidden/>
          </w:rPr>
          <w:fldChar w:fldCharType="end"/>
        </w:r>
      </w:hyperlink>
    </w:p>
    <w:p w:rsidR="008217D4" w:rsidRDefault="00195C04" w14:paraId="6A986159" w14:textId="77777777">
      <w:pPr>
        <w:pStyle w:val="TOC2"/>
        <w:tabs>
          <w:tab w:val="right" w:leader="dot" w:pos="8630"/>
        </w:tabs>
        <w:rPr>
          <w:rFonts w:asciiTheme="minorHAnsi" w:hAnsiTheme="minorHAnsi" w:eastAsiaTheme="minorEastAsia" w:cstheme="minorBidi"/>
          <w:noProof/>
          <w:sz w:val="22"/>
          <w:szCs w:val="22"/>
        </w:rPr>
      </w:pPr>
      <w:hyperlink w:history="1" w:anchor="_Toc66294011">
        <w:r w:rsidRPr="009C415A" w:rsidR="008217D4">
          <w:rPr>
            <w:rStyle w:val="Hyperlink"/>
            <w:noProof/>
          </w:rPr>
          <w:t>5. Statistical Consultants</w:t>
        </w:r>
        <w:r w:rsidR="008217D4">
          <w:rPr>
            <w:noProof/>
            <w:webHidden/>
          </w:rPr>
          <w:tab/>
        </w:r>
        <w:r w:rsidR="008217D4">
          <w:rPr>
            <w:noProof/>
            <w:webHidden/>
          </w:rPr>
          <w:fldChar w:fldCharType="begin"/>
        </w:r>
        <w:r w:rsidR="008217D4">
          <w:rPr>
            <w:noProof/>
            <w:webHidden/>
          </w:rPr>
          <w:instrText xml:space="preserve"> PAGEREF _Toc66294011 \h </w:instrText>
        </w:r>
        <w:r w:rsidR="008217D4">
          <w:rPr>
            <w:noProof/>
            <w:webHidden/>
          </w:rPr>
        </w:r>
        <w:r w:rsidR="008217D4">
          <w:rPr>
            <w:noProof/>
            <w:webHidden/>
          </w:rPr>
          <w:fldChar w:fldCharType="separate"/>
        </w:r>
        <w:r w:rsidR="008217D4">
          <w:rPr>
            <w:noProof/>
            <w:webHidden/>
          </w:rPr>
          <w:t>8</w:t>
        </w:r>
        <w:r w:rsidR="008217D4">
          <w:rPr>
            <w:noProof/>
            <w:webHidden/>
          </w:rPr>
          <w:fldChar w:fldCharType="end"/>
        </w:r>
      </w:hyperlink>
    </w:p>
    <w:p w:rsidR="00D753CE" w:rsidRDefault="00D753CE" w14:paraId="3D3DC845" w14:textId="77777777">
      <w:r>
        <w:rPr>
          <w:b/>
          <w:bCs/>
          <w:noProof/>
        </w:rPr>
        <w:fldChar w:fldCharType="end"/>
      </w:r>
    </w:p>
    <w:p w:rsidR="00874B68" w:rsidP="00D753CE" w:rsidRDefault="00D753CE" w14:paraId="0638D084" w14:textId="77777777">
      <w:pPr>
        <w:jc w:val="center"/>
      </w:pPr>
      <w:r>
        <w:t xml:space="preserve"> </w:t>
      </w:r>
    </w:p>
    <w:p w:rsidR="00874B68" w:rsidP="00874B68" w:rsidRDefault="00874B68" w14:paraId="4CA41C70" w14:textId="77777777"/>
    <w:p w:rsidR="00874B68" w:rsidP="00874B68" w:rsidRDefault="00874B68" w14:paraId="4EE3CF46" w14:textId="77777777"/>
    <w:p w:rsidR="00874B68" w:rsidP="00874B68" w:rsidRDefault="00874B68" w14:paraId="1493A16D" w14:textId="77777777"/>
    <w:p w:rsidR="00874B68" w:rsidP="00874B68" w:rsidRDefault="00874B68" w14:paraId="7EA482C6" w14:textId="77777777"/>
    <w:p w:rsidR="00874B68" w:rsidP="00874B68" w:rsidRDefault="00874B68" w14:paraId="0839DE45" w14:textId="77777777"/>
    <w:p w:rsidR="00874B68" w:rsidP="00874B68" w:rsidRDefault="00874B68" w14:paraId="2F10A5C1" w14:textId="77777777"/>
    <w:p w:rsidR="00874B68" w:rsidP="00874B68" w:rsidRDefault="00874B68" w14:paraId="2CB3A8CB" w14:textId="77777777"/>
    <w:p w:rsidR="00874B68" w:rsidP="00874B68" w:rsidRDefault="00874B68" w14:paraId="035F38C2" w14:textId="77777777"/>
    <w:p w:rsidR="00874B68" w:rsidP="00874B68" w:rsidRDefault="00874B68" w14:paraId="7711291D" w14:textId="77777777"/>
    <w:p w:rsidR="00874B68" w:rsidP="00874B68" w:rsidRDefault="00874B68" w14:paraId="6863380A" w14:textId="77777777"/>
    <w:p w:rsidR="00874B68" w:rsidP="00874B68" w:rsidRDefault="00874B68" w14:paraId="4169D73C" w14:textId="77777777"/>
    <w:p w:rsidR="00874B68" w:rsidP="00874B68" w:rsidRDefault="00874B68" w14:paraId="1472FF74" w14:textId="77777777"/>
    <w:p w:rsidR="00874B68" w:rsidP="00874B68" w:rsidRDefault="00874B68" w14:paraId="1ABEB2C6" w14:textId="77777777"/>
    <w:p w:rsidR="00874B68" w:rsidP="00874B68" w:rsidRDefault="00874B68" w14:paraId="20DD2129" w14:textId="77777777"/>
    <w:p w:rsidR="00874B68" w:rsidP="00874B68" w:rsidRDefault="00874B68" w14:paraId="5E4DE375" w14:textId="77777777"/>
    <w:p w:rsidR="00874B68" w:rsidP="00874B68" w:rsidRDefault="00874B68" w14:paraId="6D1BD6DE" w14:textId="77777777"/>
    <w:p w:rsidR="00874B68" w:rsidP="00874B68" w:rsidRDefault="00874B68" w14:paraId="600EFAE8" w14:textId="77777777"/>
    <w:p w:rsidR="00874B68" w:rsidP="00874B68" w:rsidRDefault="00874B68" w14:paraId="39BC84A7" w14:textId="77777777"/>
    <w:p w:rsidR="00874B68" w:rsidP="00874B68" w:rsidRDefault="00874B68" w14:paraId="1039C380" w14:textId="77777777"/>
    <w:p w:rsidR="00874B68" w:rsidP="00874B68" w:rsidRDefault="00874B68" w14:paraId="130DCE42" w14:textId="77777777"/>
    <w:p w:rsidR="00874B68" w:rsidP="00874B68" w:rsidRDefault="00874B68" w14:paraId="13AE7BC4" w14:textId="77777777"/>
    <w:p w:rsidR="00874B68" w:rsidP="00874B68" w:rsidRDefault="00874B68" w14:paraId="27CED41D" w14:textId="77777777"/>
    <w:p w:rsidR="00874B68" w:rsidP="00874B68" w:rsidRDefault="00874B68" w14:paraId="44AC2212" w14:textId="77777777"/>
    <w:p w:rsidR="00874B68" w:rsidP="00874B68" w:rsidRDefault="00874B68" w14:paraId="1AA3D599" w14:textId="77777777"/>
    <w:p w:rsidR="00874B68" w:rsidP="00874B68" w:rsidRDefault="00874B68" w14:paraId="1A4605E2" w14:textId="77777777"/>
    <w:p w:rsidR="00874B68" w:rsidP="00874B68" w:rsidRDefault="00874B68" w14:paraId="0B5C6487" w14:textId="77777777"/>
    <w:p w:rsidR="00874B68" w:rsidP="00874B68" w:rsidRDefault="00874B68" w14:paraId="72895612" w14:textId="77777777"/>
    <w:p w:rsidR="00874B68" w:rsidP="00874B68" w:rsidRDefault="00874B68" w14:paraId="19B7F83D" w14:textId="77777777"/>
    <w:p w:rsidR="00874B68" w:rsidP="00874B68" w:rsidRDefault="00874B68" w14:paraId="41BAEDD6" w14:textId="77777777"/>
    <w:p w:rsidR="00874B68" w:rsidP="00874B68" w:rsidRDefault="00874B68" w14:paraId="3B4314FE" w14:textId="77777777"/>
    <w:p w:rsidR="00874B68" w:rsidP="00874B68" w:rsidRDefault="00874B68" w14:paraId="17891D7B" w14:textId="77777777"/>
    <w:p w:rsidR="00874B68" w:rsidP="00874B68" w:rsidRDefault="00874B68" w14:paraId="023CBCEC" w14:textId="77777777"/>
    <w:p w:rsidR="00874B68" w:rsidP="00874B68" w:rsidRDefault="00874B68" w14:paraId="6F2856EA" w14:textId="77777777"/>
    <w:p w:rsidR="00874B68" w:rsidP="00874B68" w:rsidRDefault="00874B68" w14:paraId="799B3D27" w14:textId="77777777"/>
    <w:p w:rsidR="002837E3" w:rsidP="005453AD" w:rsidRDefault="002837E3" w14:paraId="5385F289" w14:textId="77777777">
      <w:pPr>
        <w:pStyle w:val="Heading1"/>
        <w:rPr>
          <w:sz w:val="24"/>
          <w:szCs w:val="24"/>
        </w:rPr>
      </w:pPr>
    </w:p>
    <w:p w:rsidR="005453AD" w:rsidP="00D753CE" w:rsidRDefault="005453AD" w14:paraId="54B644DD" w14:textId="77777777">
      <w:pPr>
        <w:pStyle w:val="Heading1"/>
      </w:pPr>
      <w:bookmarkStart w:name="_Toc66294007" w:id="2"/>
      <w:r w:rsidRPr="00FC633E">
        <w:t xml:space="preserve">B. Collections of </w:t>
      </w:r>
      <w:r w:rsidRPr="00D753CE">
        <w:t>Information</w:t>
      </w:r>
      <w:r w:rsidRPr="00FC633E">
        <w:t xml:space="preserve"> Employing Statistical Methods</w:t>
      </w:r>
      <w:bookmarkEnd w:id="0"/>
      <w:bookmarkEnd w:id="1"/>
      <w:bookmarkEnd w:id="2"/>
    </w:p>
    <w:p w:rsidR="00B168D2" w:rsidP="00B168D2" w:rsidRDefault="00B168D2" w14:paraId="6F7CBCFB" w14:textId="77777777">
      <w:pPr>
        <w:rPr>
          <w:bCs/>
        </w:rPr>
      </w:pPr>
      <w:r>
        <w:rPr>
          <w:bCs/>
        </w:rPr>
        <w:t xml:space="preserve">The </w:t>
      </w:r>
      <w:r w:rsidRPr="00E45058" w:rsidR="0049362F">
        <w:rPr>
          <w:bCs/>
          <w:i/>
          <w:iCs/>
        </w:rPr>
        <w:t>Medicare Beneficiary Experiences with Care Survey</w:t>
      </w:r>
      <w:r w:rsidR="0049362F">
        <w:rPr>
          <w:bCs/>
        </w:rPr>
        <w:t xml:space="preserve"> (</w:t>
      </w:r>
      <w:r w:rsidRPr="00E45058" w:rsidR="0049362F">
        <w:rPr>
          <w:bCs/>
        </w:rPr>
        <w:t>MBECS)</w:t>
      </w:r>
      <w:r w:rsidR="0049362F">
        <w:rPr>
          <w:bCs/>
        </w:rPr>
        <w:t xml:space="preserve"> </w:t>
      </w:r>
      <w:r>
        <w:rPr>
          <w:bCs/>
        </w:rPr>
        <w:t>data collection</w:t>
      </w:r>
      <w:r w:rsidR="0049362F">
        <w:rPr>
          <w:bCs/>
        </w:rPr>
        <w:t xml:space="preserve"> system</w:t>
      </w:r>
      <w:r>
        <w:rPr>
          <w:bCs/>
        </w:rPr>
        <w:t xml:space="preserve"> will allow </w:t>
      </w:r>
      <w:r w:rsidR="001C3A3F">
        <w:rPr>
          <w:bCs/>
        </w:rPr>
        <w:t>the Centers for Medicare and Medicaid Services’ Office of Minority Health</w:t>
      </w:r>
      <w:r>
        <w:rPr>
          <w:bCs/>
        </w:rPr>
        <w:t xml:space="preserve"> </w:t>
      </w:r>
      <w:r w:rsidR="001C3A3F">
        <w:rPr>
          <w:bCs/>
        </w:rPr>
        <w:t xml:space="preserve">(CMS </w:t>
      </w:r>
      <w:r>
        <w:rPr>
          <w:bCs/>
        </w:rPr>
        <w:t>OMH</w:t>
      </w:r>
      <w:r w:rsidR="001C3A3F">
        <w:rPr>
          <w:bCs/>
        </w:rPr>
        <w:t>)</w:t>
      </w:r>
      <w:r>
        <w:rPr>
          <w:bCs/>
        </w:rPr>
        <w:t xml:space="preserve"> to better understand and measure differences in the</w:t>
      </w:r>
      <w:r w:rsidR="001C3A3F">
        <w:rPr>
          <w:bCs/>
        </w:rPr>
        <w:t xml:space="preserve"> health care</w:t>
      </w:r>
      <w:r>
        <w:rPr>
          <w:bCs/>
        </w:rPr>
        <w:t xml:space="preserve"> experiences of </w:t>
      </w:r>
      <w:r w:rsidR="0049362F">
        <w:rPr>
          <w:bCs/>
        </w:rPr>
        <w:t>minority</w:t>
      </w:r>
      <w:r>
        <w:rPr>
          <w:bCs/>
        </w:rPr>
        <w:t xml:space="preserve"> Medicare beneficiaries compared with those of the general Medicare population.</w:t>
      </w:r>
      <w:r w:rsidR="007E0620">
        <w:t xml:space="preserve"> </w:t>
      </w:r>
    </w:p>
    <w:p w:rsidR="002837E3" w:rsidP="00931F2D" w:rsidRDefault="005453AD" w14:paraId="1F6ADC33" w14:textId="77777777">
      <w:pPr>
        <w:pStyle w:val="Heading2"/>
      </w:pPr>
      <w:bookmarkStart w:name="_Toc151782199" w:id="3"/>
      <w:bookmarkStart w:name="_Toc158526235" w:id="4"/>
      <w:bookmarkStart w:name="_Toc66294008" w:id="5"/>
      <w:r w:rsidRPr="001D0454">
        <w:t xml:space="preserve">1. Respondent universe and </w:t>
      </w:r>
      <w:r w:rsidRPr="00D753CE">
        <w:t>sampling</w:t>
      </w:r>
      <w:r w:rsidRPr="001D0454">
        <w:t xml:space="preserve"> methods</w:t>
      </w:r>
      <w:bookmarkEnd w:id="3"/>
      <w:bookmarkEnd w:id="4"/>
      <w:bookmarkEnd w:id="5"/>
    </w:p>
    <w:p w:rsidR="00A21665" w:rsidP="00C63806" w:rsidRDefault="00A0643A" w14:paraId="4C875D49" w14:textId="01E54189">
      <w:pPr>
        <w:rPr>
          <w:bCs/>
          <w:szCs w:val="22"/>
        </w:rPr>
      </w:pPr>
      <w:r>
        <w:rPr>
          <w:bCs/>
          <w:szCs w:val="22"/>
        </w:rPr>
        <w:t>For each of the MBECS data collection efforts, t</w:t>
      </w:r>
      <w:r w:rsidR="00C63806">
        <w:rPr>
          <w:bCs/>
          <w:szCs w:val="22"/>
        </w:rPr>
        <w:t xml:space="preserve">he universe of respondents </w:t>
      </w:r>
      <w:r>
        <w:rPr>
          <w:bCs/>
          <w:szCs w:val="22"/>
        </w:rPr>
        <w:t>will be identified</w:t>
      </w:r>
      <w:r w:rsidR="00B60351">
        <w:rPr>
          <w:bCs/>
          <w:szCs w:val="22"/>
        </w:rPr>
        <w:t xml:space="preserve"> leveraging one or more datasets as described</w:t>
      </w:r>
      <w:r w:rsidR="005A055B">
        <w:rPr>
          <w:bCs/>
          <w:szCs w:val="22"/>
        </w:rPr>
        <w:t xml:space="preserve"> below</w:t>
      </w:r>
      <w:r w:rsidR="00B60351">
        <w:rPr>
          <w:bCs/>
          <w:szCs w:val="22"/>
        </w:rPr>
        <w:t>, creating a sampling frame.</w:t>
      </w:r>
      <w:r w:rsidR="008C122A">
        <w:rPr>
          <w:bCs/>
          <w:szCs w:val="22"/>
        </w:rPr>
        <w:t xml:space="preserve"> </w:t>
      </w:r>
      <w:r w:rsidR="00B60351">
        <w:rPr>
          <w:bCs/>
          <w:szCs w:val="22"/>
        </w:rPr>
        <w:t xml:space="preserve">The underlying data will come from </w:t>
      </w:r>
      <w:r w:rsidR="00A21665">
        <w:rPr>
          <w:bCs/>
          <w:szCs w:val="22"/>
        </w:rPr>
        <w:t>the following and may be used by themselves or potentially combined</w:t>
      </w:r>
      <w:r w:rsidR="005A055B">
        <w:rPr>
          <w:bCs/>
          <w:szCs w:val="22"/>
        </w:rPr>
        <w:t>,</w:t>
      </w:r>
      <w:r w:rsidR="00A21665">
        <w:rPr>
          <w:bCs/>
          <w:szCs w:val="22"/>
        </w:rPr>
        <w:t xml:space="preserve"> as needed. This </w:t>
      </w:r>
      <w:r w:rsidR="005A055B">
        <w:rPr>
          <w:bCs/>
          <w:szCs w:val="22"/>
        </w:rPr>
        <w:t xml:space="preserve">respondent </w:t>
      </w:r>
      <w:r w:rsidR="00A21665">
        <w:rPr>
          <w:bCs/>
          <w:szCs w:val="22"/>
        </w:rPr>
        <w:t>data will come from</w:t>
      </w:r>
      <w:r w:rsidR="005A055B">
        <w:rPr>
          <w:bCs/>
          <w:szCs w:val="22"/>
        </w:rPr>
        <w:t>:</w:t>
      </w:r>
    </w:p>
    <w:p w:rsidR="008217D4" w:rsidP="00C63806" w:rsidRDefault="008217D4" w14:paraId="72DB7376" w14:textId="77777777">
      <w:pPr>
        <w:rPr>
          <w:bCs/>
          <w:szCs w:val="22"/>
        </w:rPr>
      </w:pPr>
    </w:p>
    <w:p w:rsidR="00A21665" w:rsidP="0092309B" w:rsidRDefault="005A055B" w14:paraId="5BA196B9" w14:textId="341A8B9F">
      <w:pPr>
        <w:pStyle w:val="ListParagraph"/>
        <w:numPr>
          <w:ilvl w:val="0"/>
          <w:numId w:val="15"/>
        </w:numPr>
        <w:rPr>
          <w:bCs/>
        </w:rPr>
      </w:pPr>
      <w:r>
        <w:rPr>
          <w:bCs/>
        </w:rPr>
        <w:t>E</w:t>
      </w:r>
      <w:r w:rsidRPr="00A21665" w:rsidR="00A0643A">
        <w:rPr>
          <w:bCs/>
        </w:rPr>
        <w:t xml:space="preserve">xisting flags in </w:t>
      </w:r>
      <w:r w:rsidRPr="00A21665" w:rsidR="001C0233">
        <w:rPr>
          <w:bCs/>
        </w:rPr>
        <w:t>the CMS Virtual Research Data Center (also known as the Chronic Conditions Warehouse, or CCW)</w:t>
      </w:r>
      <w:r w:rsidR="00A21665">
        <w:rPr>
          <w:bCs/>
        </w:rPr>
        <w:t>;</w:t>
      </w:r>
      <w:r w:rsidRPr="00A21665" w:rsidR="00A0643A">
        <w:rPr>
          <w:bCs/>
        </w:rPr>
        <w:t xml:space="preserve"> </w:t>
      </w:r>
    </w:p>
    <w:p w:rsidR="00A21665" w:rsidP="0092309B" w:rsidRDefault="00C63806" w14:paraId="0CCB42B3" w14:textId="3C048285">
      <w:pPr>
        <w:pStyle w:val="ListParagraph"/>
        <w:numPr>
          <w:ilvl w:val="0"/>
          <w:numId w:val="15"/>
        </w:numPr>
        <w:rPr>
          <w:bCs/>
        </w:rPr>
      </w:pPr>
      <w:r w:rsidRPr="00A21665">
        <w:rPr>
          <w:bCs/>
        </w:rPr>
        <w:t>Internati</w:t>
      </w:r>
      <w:r w:rsidRPr="00A21665" w:rsidR="00A0643A">
        <w:rPr>
          <w:bCs/>
        </w:rPr>
        <w:t>onal Classification of Diseases</w:t>
      </w:r>
      <w:r w:rsidR="0065370A">
        <w:rPr>
          <w:bCs/>
        </w:rPr>
        <w:t xml:space="preserve"> </w:t>
      </w:r>
      <w:r w:rsidRPr="00A21665" w:rsidR="00A0643A">
        <w:rPr>
          <w:bCs/>
        </w:rPr>
        <w:t>-</w:t>
      </w:r>
      <w:r w:rsidR="0065370A">
        <w:rPr>
          <w:bCs/>
        </w:rPr>
        <w:t xml:space="preserve"> T</w:t>
      </w:r>
      <w:r w:rsidRPr="00A21665" w:rsidR="00A0643A">
        <w:rPr>
          <w:bCs/>
        </w:rPr>
        <w:t>enth</w:t>
      </w:r>
      <w:r w:rsidRPr="00A21665">
        <w:rPr>
          <w:bCs/>
        </w:rPr>
        <w:t xml:space="preserve"> </w:t>
      </w:r>
      <w:r w:rsidR="0065370A">
        <w:rPr>
          <w:bCs/>
        </w:rPr>
        <w:t>E</w:t>
      </w:r>
      <w:r w:rsidRPr="00A21665">
        <w:rPr>
          <w:bCs/>
        </w:rPr>
        <w:t>dition (IC</w:t>
      </w:r>
      <w:r w:rsidRPr="00A21665" w:rsidR="00A0643A">
        <w:rPr>
          <w:bCs/>
        </w:rPr>
        <w:t>D-10</w:t>
      </w:r>
      <w:r w:rsidRPr="00A21665">
        <w:rPr>
          <w:bCs/>
        </w:rPr>
        <w:t>) codes from CMS’ Medicare Fee-For-Service (FFS) “final action” claims from institutional and non-institutional providers</w:t>
      </w:r>
      <w:r w:rsidR="00A21665">
        <w:rPr>
          <w:bCs/>
        </w:rPr>
        <w:t>;</w:t>
      </w:r>
    </w:p>
    <w:p w:rsidRPr="00A21665" w:rsidR="001C0233" w:rsidP="0092309B" w:rsidRDefault="005A055B" w14:paraId="618E6379" w14:textId="3F694D81">
      <w:pPr>
        <w:pStyle w:val="ListParagraph"/>
        <w:numPr>
          <w:ilvl w:val="0"/>
          <w:numId w:val="15"/>
        </w:numPr>
        <w:rPr>
          <w:bCs/>
        </w:rPr>
      </w:pPr>
      <w:r>
        <w:rPr>
          <w:bCs/>
        </w:rPr>
        <w:t>A</w:t>
      </w:r>
      <w:r w:rsidRPr="00A21665" w:rsidR="008C122A">
        <w:rPr>
          <w:bCs/>
        </w:rPr>
        <w:t xml:space="preserve">lgorithms that </w:t>
      </w:r>
      <w:r w:rsidR="00A21665">
        <w:rPr>
          <w:bCs/>
        </w:rPr>
        <w:t>leverage</w:t>
      </w:r>
      <w:r w:rsidRPr="00A21665" w:rsidR="00A21665">
        <w:rPr>
          <w:bCs/>
        </w:rPr>
        <w:t xml:space="preserve"> </w:t>
      </w:r>
      <w:r w:rsidRPr="00A21665" w:rsidR="008C122A">
        <w:rPr>
          <w:bCs/>
        </w:rPr>
        <w:t>these data sources to identify beneficiaries who are likely in the population of interest</w:t>
      </w:r>
      <w:r w:rsidRPr="00A21665" w:rsidR="00C63806">
        <w:rPr>
          <w:bCs/>
        </w:rPr>
        <w:t>.</w:t>
      </w:r>
      <w:r w:rsidRPr="00A21665" w:rsidR="00AF517A">
        <w:rPr>
          <w:bCs/>
        </w:rPr>
        <w:t xml:space="preserve"> </w:t>
      </w:r>
    </w:p>
    <w:p w:rsidR="001C0233" w:rsidP="00C63806" w:rsidRDefault="001C0233" w14:paraId="2E8AF5B8" w14:textId="77777777">
      <w:pPr>
        <w:rPr>
          <w:bCs/>
          <w:szCs w:val="22"/>
        </w:rPr>
      </w:pPr>
    </w:p>
    <w:p w:rsidR="00A0643A" w:rsidP="00C63806" w:rsidRDefault="00A0643A" w14:paraId="240168BD" w14:textId="45CF1A37">
      <w:pPr>
        <w:rPr>
          <w:bCs/>
          <w:szCs w:val="22"/>
        </w:rPr>
      </w:pPr>
      <w:r w:rsidRPr="00E85CD2">
        <w:rPr>
          <w:bCs/>
          <w:szCs w:val="22"/>
        </w:rPr>
        <w:t>Table 1 shows each minority population of interest and how each universe will be identified.</w:t>
      </w:r>
      <w:r w:rsidR="001C0233">
        <w:rPr>
          <w:bCs/>
          <w:szCs w:val="22"/>
        </w:rPr>
        <w:t xml:space="preserve"> </w:t>
      </w:r>
      <w:r w:rsidR="00D3127C">
        <w:rPr>
          <w:bCs/>
          <w:szCs w:val="22"/>
        </w:rPr>
        <w:t xml:space="preserve">The primary groups of interest are listed in the </w:t>
      </w:r>
      <w:proofErr w:type="gramStart"/>
      <w:r w:rsidR="00D3127C">
        <w:rPr>
          <w:bCs/>
          <w:szCs w:val="22"/>
        </w:rPr>
        <w:t>far left</w:t>
      </w:r>
      <w:proofErr w:type="gramEnd"/>
      <w:r w:rsidR="00D3127C">
        <w:rPr>
          <w:bCs/>
          <w:szCs w:val="22"/>
        </w:rPr>
        <w:t xml:space="preserve"> column; for each group, any sub-groups of interest are also indicated, along with the definition and identification method associated with each. The </w:t>
      </w:r>
      <w:proofErr w:type="gramStart"/>
      <w:r w:rsidR="00D3127C">
        <w:rPr>
          <w:bCs/>
          <w:szCs w:val="22"/>
        </w:rPr>
        <w:t>far right</w:t>
      </w:r>
      <w:proofErr w:type="gramEnd"/>
      <w:r w:rsidR="00D3127C">
        <w:rPr>
          <w:bCs/>
          <w:szCs w:val="22"/>
        </w:rPr>
        <w:t xml:space="preserve"> column provides the estimated size of each population as indicated by the relevant CCW </w:t>
      </w:r>
      <w:r w:rsidR="00477AE9">
        <w:rPr>
          <w:bCs/>
          <w:szCs w:val="22"/>
        </w:rPr>
        <w:t>flags,</w:t>
      </w:r>
      <w:r w:rsidR="004242CA">
        <w:rPr>
          <w:bCs/>
          <w:szCs w:val="22"/>
        </w:rPr>
        <w:t xml:space="preserve"> ICD-10 code, or algorithm</w:t>
      </w:r>
      <w:r w:rsidR="005A055B">
        <w:rPr>
          <w:bCs/>
          <w:szCs w:val="22"/>
        </w:rPr>
        <w:t xml:space="preserve"> in current datasets</w:t>
      </w:r>
      <w:r w:rsidR="00D3127C">
        <w:rPr>
          <w:bCs/>
          <w:szCs w:val="22"/>
        </w:rPr>
        <w:t>.</w:t>
      </w:r>
      <w:r w:rsidR="00F67F8B">
        <w:rPr>
          <w:bCs/>
          <w:szCs w:val="22"/>
        </w:rPr>
        <w:t xml:space="preserve"> Estimated population sizes are based on the most recent data available and may fluctuate</w:t>
      </w:r>
      <w:r w:rsidR="00653240">
        <w:rPr>
          <w:bCs/>
          <w:szCs w:val="22"/>
        </w:rPr>
        <w:t xml:space="preserve"> </w:t>
      </w:r>
      <w:r w:rsidR="005A055B">
        <w:rPr>
          <w:bCs/>
          <w:szCs w:val="22"/>
        </w:rPr>
        <w:t>as new data becomes available</w:t>
      </w:r>
      <w:r w:rsidR="00F67F8B">
        <w:rPr>
          <w:bCs/>
          <w:szCs w:val="22"/>
        </w:rPr>
        <w:t>.</w:t>
      </w:r>
    </w:p>
    <w:p w:rsidR="001C0233" w:rsidP="00C63806" w:rsidRDefault="001C0233" w14:paraId="651BECC8" w14:textId="77777777">
      <w:pPr>
        <w:rPr>
          <w:bCs/>
          <w:szCs w:val="22"/>
        </w:rPr>
      </w:pPr>
    </w:p>
    <w:p w:rsidR="001C0233" w:rsidP="00C63806" w:rsidRDefault="001C0233" w14:paraId="7B57917D" w14:textId="041D6344">
      <w:pPr>
        <w:rPr>
          <w:b/>
          <w:bCs/>
          <w:szCs w:val="22"/>
        </w:rPr>
      </w:pPr>
      <w:r w:rsidRPr="007E15FF">
        <w:rPr>
          <w:b/>
          <w:bCs/>
          <w:szCs w:val="22"/>
        </w:rPr>
        <w:t xml:space="preserve">Table 1. </w:t>
      </w:r>
      <w:r w:rsidRPr="0092309B">
        <w:rPr>
          <w:bCs/>
          <w:szCs w:val="22"/>
        </w:rPr>
        <w:t>MBECS Data Collection System Minority Populations of Interest</w:t>
      </w:r>
      <w:r w:rsidRPr="0092309B" w:rsidR="00D87203">
        <w:rPr>
          <w:bCs/>
          <w:szCs w:val="22"/>
        </w:rPr>
        <w:t>*</w:t>
      </w:r>
    </w:p>
    <w:tbl>
      <w:tblPr>
        <w:tblStyle w:val="TableGrid"/>
        <w:tblW w:w="7875" w:type="dxa"/>
        <w:tblLook w:val="04A0" w:firstRow="1" w:lastRow="0" w:firstColumn="1" w:lastColumn="0" w:noHBand="0" w:noVBand="1"/>
      </w:tblPr>
      <w:tblGrid>
        <w:gridCol w:w="1433"/>
        <w:gridCol w:w="1972"/>
        <w:gridCol w:w="3133"/>
        <w:gridCol w:w="1337"/>
      </w:tblGrid>
      <w:tr w:rsidRPr="00D87203" w:rsidR="00B268D8" w:rsidTr="0092309B" w14:paraId="31ECC411" w14:textId="77777777">
        <w:trPr>
          <w:cantSplit/>
          <w:trHeight w:val="890"/>
        </w:trPr>
        <w:tc>
          <w:tcPr>
            <w:tcW w:w="1433" w:type="dxa"/>
            <w:vAlign w:val="center"/>
            <w:hideMark/>
          </w:tcPr>
          <w:p w:rsidRPr="00250E7B" w:rsidR="00B268D8" w:rsidP="00536CE1" w:rsidRDefault="00B268D8" w14:paraId="0EABAF8B" w14:textId="77777777">
            <w:pPr>
              <w:jc w:val="center"/>
              <w:rPr>
                <w:b/>
                <w:bCs/>
              </w:rPr>
            </w:pPr>
            <w:r w:rsidRPr="00250E7B">
              <w:rPr>
                <w:b/>
                <w:bCs/>
              </w:rPr>
              <w:t>Population of Interest</w:t>
            </w:r>
          </w:p>
        </w:tc>
        <w:tc>
          <w:tcPr>
            <w:tcW w:w="1972" w:type="dxa"/>
            <w:vAlign w:val="center"/>
            <w:hideMark/>
          </w:tcPr>
          <w:p w:rsidRPr="00250E7B" w:rsidR="00B268D8" w:rsidP="00536CE1" w:rsidRDefault="00B268D8" w14:paraId="6B7A10EE" w14:textId="77777777">
            <w:pPr>
              <w:jc w:val="center"/>
              <w:rPr>
                <w:b/>
                <w:bCs/>
              </w:rPr>
            </w:pPr>
            <w:r w:rsidRPr="00250E7B">
              <w:rPr>
                <w:b/>
                <w:bCs/>
              </w:rPr>
              <w:t>Sub-groups (if any)</w:t>
            </w:r>
          </w:p>
        </w:tc>
        <w:tc>
          <w:tcPr>
            <w:tcW w:w="3133" w:type="dxa"/>
            <w:vAlign w:val="center"/>
            <w:hideMark/>
          </w:tcPr>
          <w:p w:rsidRPr="00250E7B" w:rsidR="00B268D8" w:rsidP="00536CE1" w:rsidRDefault="00B268D8" w14:paraId="44E86575" w14:textId="77777777">
            <w:pPr>
              <w:jc w:val="center"/>
              <w:rPr>
                <w:b/>
                <w:bCs/>
              </w:rPr>
            </w:pPr>
            <w:r w:rsidRPr="00250E7B">
              <w:rPr>
                <w:b/>
                <w:bCs/>
              </w:rPr>
              <w:t>Definition</w:t>
            </w:r>
          </w:p>
        </w:tc>
        <w:tc>
          <w:tcPr>
            <w:tcW w:w="1337" w:type="dxa"/>
            <w:vAlign w:val="center"/>
            <w:hideMark/>
          </w:tcPr>
          <w:p w:rsidRPr="00250E7B" w:rsidR="00B268D8" w:rsidP="008B2C1B" w:rsidRDefault="00B268D8" w14:paraId="22892208" w14:textId="1A4A346B">
            <w:pPr>
              <w:jc w:val="center"/>
              <w:rPr>
                <w:b/>
                <w:bCs/>
              </w:rPr>
            </w:pPr>
            <w:r w:rsidRPr="00250E7B">
              <w:rPr>
                <w:b/>
                <w:bCs/>
              </w:rPr>
              <w:t>Estimated Population Size</w:t>
            </w:r>
          </w:p>
        </w:tc>
      </w:tr>
      <w:tr w:rsidRPr="00D87203" w:rsidR="00B268D8" w:rsidTr="0092309B" w14:paraId="243BD01B" w14:textId="77777777">
        <w:trPr>
          <w:trHeight w:val="1200"/>
        </w:trPr>
        <w:tc>
          <w:tcPr>
            <w:tcW w:w="1433" w:type="dxa"/>
            <w:shd w:val="clear" w:color="auto" w:fill="auto"/>
            <w:vAlign w:val="center"/>
            <w:hideMark/>
          </w:tcPr>
          <w:p w:rsidRPr="00250E7B" w:rsidR="00B268D8" w:rsidP="00536CE1" w:rsidRDefault="00B268D8" w14:paraId="632A7CDE" w14:textId="77777777">
            <w:pPr>
              <w:rPr>
                <w:bCs/>
              </w:rPr>
            </w:pPr>
            <w:r w:rsidRPr="00250E7B">
              <w:rPr>
                <w:bCs/>
              </w:rPr>
              <w:t>Severe Mental Illness (SMI)</w:t>
            </w:r>
          </w:p>
        </w:tc>
        <w:tc>
          <w:tcPr>
            <w:tcW w:w="1972" w:type="dxa"/>
            <w:shd w:val="clear" w:color="auto" w:fill="auto"/>
            <w:vAlign w:val="center"/>
            <w:hideMark/>
          </w:tcPr>
          <w:p w:rsidRPr="00250E7B" w:rsidR="00B268D8" w:rsidP="00536CE1" w:rsidRDefault="00B268D8" w14:paraId="70052F6E" w14:textId="77777777">
            <w:pPr>
              <w:rPr>
                <w:bCs/>
              </w:rPr>
            </w:pPr>
          </w:p>
        </w:tc>
        <w:tc>
          <w:tcPr>
            <w:tcW w:w="3133" w:type="dxa"/>
            <w:shd w:val="clear" w:color="auto" w:fill="auto"/>
            <w:vAlign w:val="center"/>
            <w:hideMark/>
          </w:tcPr>
          <w:p w:rsidRPr="00250E7B" w:rsidR="00B268D8" w:rsidP="00536CE1" w:rsidRDefault="00B268D8" w14:paraId="11F9868D" w14:textId="77777777">
            <w:pPr>
              <w:rPr>
                <w:bCs/>
              </w:rPr>
            </w:pPr>
            <w:r w:rsidRPr="00250E7B">
              <w:rPr>
                <w:bCs/>
              </w:rPr>
              <w:t>Beneficiaries 18 years and over who have severe mental illness and/or intellectual disability. Excludes beneficiaries with end stage renal disease (ESRD).</w:t>
            </w:r>
          </w:p>
        </w:tc>
        <w:tc>
          <w:tcPr>
            <w:tcW w:w="1337" w:type="dxa"/>
            <w:shd w:val="clear" w:color="auto" w:fill="auto"/>
            <w:vAlign w:val="center"/>
            <w:hideMark/>
          </w:tcPr>
          <w:p w:rsidRPr="00250E7B" w:rsidR="00B268D8" w:rsidP="00536CE1" w:rsidRDefault="00B268D8" w14:paraId="2CAB7ECE" w14:textId="77777777">
            <w:pPr>
              <w:jc w:val="center"/>
              <w:rPr>
                <w:bCs/>
              </w:rPr>
            </w:pPr>
            <w:r w:rsidRPr="009A27D0">
              <w:rPr>
                <w:bCs/>
              </w:rPr>
              <w:t>3</w:t>
            </w:r>
            <w:r>
              <w:rPr>
                <w:bCs/>
              </w:rPr>
              <w:t>81</w:t>
            </w:r>
            <w:r w:rsidRPr="009A27D0">
              <w:rPr>
                <w:bCs/>
              </w:rPr>
              <w:t>,</w:t>
            </w:r>
            <w:r>
              <w:rPr>
                <w:bCs/>
              </w:rPr>
              <w:t>553</w:t>
            </w:r>
          </w:p>
        </w:tc>
      </w:tr>
      <w:tr w:rsidRPr="00D87203" w:rsidR="00B268D8" w:rsidTr="0092309B" w14:paraId="668B5182" w14:textId="77777777">
        <w:trPr>
          <w:trHeight w:val="413"/>
        </w:trPr>
        <w:tc>
          <w:tcPr>
            <w:tcW w:w="1433" w:type="dxa"/>
            <w:shd w:val="clear" w:color="auto" w:fill="auto"/>
            <w:vAlign w:val="center"/>
            <w:hideMark/>
          </w:tcPr>
          <w:p w:rsidRPr="00250E7B" w:rsidR="00B268D8" w:rsidP="00536CE1" w:rsidRDefault="00B268D8" w14:paraId="25AB568E" w14:textId="77777777">
            <w:pPr>
              <w:rPr>
                <w:bCs/>
              </w:rPr>
            </w:pPr>
          </w:p>
        </w:tc>
        <w:tc>
          <w:tcPr>
            <w:tcW w:w="1972" w:type="dxa"/>
            <w:shd w:val="clear" w:color="auto" w:fill="auto"/>
            <w:vAlign w:val="center"/>
            <w:hideMark/>
          </w:tcPr>
          <w:p w:rsidRPr="0092309B" w:rsidR="00B268D8" w:rsidP="00536CE1" w:rsidRDefault="00B268D8" w14:paraId="392448A6" w14:textId="77777777">
            <w:pPr>
              <w:rPr>
                <w:bCs/>
                <w:i/>
              </w:rPr>
            </w:pPr>
            <w:r w:rsidRPr="0092309B">
              <w:rPr>
                <w:bCs/>
                <w:i/>
              </w:rPr>
              <w:t>Hispanic</w:t>
            </w:r>
          </w:p>
        </w:tc>
        <w:tc>
          <w:tcPr>
            <w:tcW w:w="3133" w:type="dxa"/>
            <w:shd w:val="clear" w:color="auto" w:fill="auto"/>
            <w:vAlign w:val="center"/>
            <w:hideMark/>
          </w:tcPr>
          <w:p w:rsidRPr="00250E7B" w:rsidR="00B268D8" w:rsidP="00536CE1" w:rsidRDefault="00B268D8" w14:paraId="4003D196" w14:textId="77777777">
            <w:pPr>
              <w:rPr>
                <w:bCs/>
              </w:rPr>
            </w:pPr>
            <w:r w:rsidRPr="00250E7B">
              <w:rPr>
                <w:bCs/>
              </w:rPr>
              <w:t>SMI beneficiaries who are Hispanic</w:t>
            </w:r>
          </w:p>
        </w:tc>
        <w:tc>
          <w:tcPr>
            <w:tcW w:w="1337" w:type="dxa"/>
            <w:shd w:val="clear" w:color="auto" w:fill="auto"/>
            <w:vAlign w:val="center"/>
          </w:tcPr>
          <w:p w:rsidRPr="00250E7B" w:rsidR="00B268D8" w:rsidP="00536CE1" w:rsidRDefault="00B268D8" w14:paraId="6D8C33B1" w14:textId="77777777">
            <w:pPr>
              <w:jc w:val="center"/>
              <w:rPr>
                <w:bCs/>
              </w:rPr>
            </w:pPr>
            <w:r w:rsidRPr="00D73FA3">
              <w:t>2</w:t>
            </w:r>
            <w:r>
              <w:t>8</w:t>
            </w:r>
            <w:r w:rsidRPr="00D73FA3">
              <w:t>,</w:t>
            </w:r>
            <w:r>
              <w:t>338</w:t>
            </w:r>
          </w:p>
        </w:tc>
      </w:tr>
      <w:tr w:rsidRPr="00D87203" w:rsidR="00B268D8" w:rsidTr="0092309B" w14:paraId="59E133AD" w14:textId="77777777">
        <w:trPr>
          <w:trHeight w:val="629"/>
        </w:trPr>
        <w:tc>
          <w:tcPr>
            <w:tcW w:w="1433" w:type="dxa"/>
            <w:shd w:val="clear" w:color="auto" w:fill="auto"/>
            <w:vAlign w:val="center"/>
            <w:hideMark/>
          </w:tcPr>
          <w:p w:rsidRPr="00250E7B" w:rsidR="00B268D8" w:rsidP="00536CE1" w:rsidRDefault="00B268D8" w14:paraId="09C2E55C" w14:textId="77777777">
            <w:pPr>
              <w:rPr>
                <w:bCs/>
              </w:rPr>
            </w:pPr>
          </w:p>
        </w:tc>
        <w:tc>
          <w:tcPr>
            <w:tcW w:w="1972" w:type="dxa"/>
            <w:shd w:val="clear" w:color="auto" w:fill="auto"/>
            <w:vAlign w:val="center"/>
            <w:hideMark/>
          </w:tcPr>
          <w:p w:rsidRPr="0092309B" w:rsidR="00B268D8" w:rsidP="00536CE1" w:rsidRDefault="00B268D8" w14:paraId="14E5BAF0" w14:textId="77777777">
            <w:pPr>
              <w:rPr>
                <w:bCs/>
                <w:i/>
              </w:rPr>
            </w:pPr>
            <w:r w:rsidRPr="0092309B">
              <w:rPr>
                <w:bCs/>
                <w:i/>
              </w:rPr>
              <w:t>Non-Hispanic Black or African American</w:t>
            </w:r>
          </w:p>
        </w:tc>
        <w:tc>
          <w:tcPr>
            <w:tcW w:w="3133" w:type="dxa"/>
            <w:shd w:val="clear" w:color="auto" w:fill="auto"/>
            <w:vAlign w:val="center"/>
            <w:hideMark/>
          </w:tcPr>
          <w:p w:rsidRPr="00250E7B" w:rsidR="00B268D8" w:rsidP="00536CE1" w:rsidRDefault="00B268D8" w14:paraId="4C414BB9" w14:textId="77777777">
            <w:pPr>
              <w:rPr>
                <w:bCs/>
              </w:rPr>
            </w:pPr>
            <w:r w:rsidRPr="00250E7B">
              <w:rPr>
                <w:bCs/>
              </w:rPr>
              <w:t>SMI beneficiaries whose RTI Race Code = Black or African American</w:t>
            </w:r>
          </w:p>
        </w:tc>
        <w:tc>
          <w:tcPr>
            <w:tcW w:w="1337" w:type="dxa"/>
            <w:shd w:val="clear" w:color="auto" w:fill="auto"/>
            <w:vAlign w:val="center"/>
          </w:tcPr>
          <w:p w:rsidRPr="00250E7B" w:rsidR="00B268D8" w:rsidP="00536CE1" w:rsidRDefault="00B268D8" w14:paraId="0002DD70" w14:textId="77777777">
            <w:pPr>
              <w:jc w:val="center"/>
              <w:rPr>
                <w:bCs/>
              </w:rPr>
            </w:pPr>
            <w:r w:rsidRPr="00D73FA3">
              <w:t>5</w:t>
            </w:r>
            <w:r>
              <w:t>7</w:t>
            </w:r>
            <w:r w:rsidRPr="00D73FA3">
              <w:t>,</w:t>
            </w:r>
            <w:r>
              <w:t>42</w:t>
            </w:r>
            <w:r w:rsidRPr="00D73FA3">
              <w:t>5</w:t>
            </w:r>
          </w:p>
        </w:tc>
      </w:tr>
      <w:tr w:rsidRPr="00D87203" w:rsidR="00B268D8" w:rsidTr="0092309B" w14:paraId="3BAE793B" w14:textId="77777777">
        <w:trPr>
          <w:trHeight w:val="548"/>
        </w:trPr>
        <w:tc>
          <w:tcPr>
            <w:tcW w:w="1433" w:type="dxa"/>
            <w:shd w:val="clear" w:color="auto" w:fill="auto"/>
            <w:vAlign w:val="center"/>
            <w:hideMark/>
          </w:tcPr>
          <w:p w:rsidRPr="00250E7B" w:rsidR="00B268D8" w:rsidP="00536CE1" w:rsidRDefault="00B268D8" w14:paraId="0D528433" w14:textId="77777777">
            <w:pPr>
              <w:rPr>
                <w:bCs/>
              </w:rPr>
            </w:pPr>
          </w:p>
        </w:tc>
        <w:tc>
          <w:tcPr>
            <w:tcW w:w="1972" w:type="dxa"/>
            <w:shd w:val="clear" w:color="auto" w:fill="auto"/>
            <w:vAlign w:val="center"/>
            <w:hideMark/>
          </w:tcPr>
          <w:p w:rsidRPr="0092309B" w:rsidR="00B268D8" w:rsidP="00536CE1" w:rsidRDefault="00B268D8" w14:paraId="31A6494F" w14:textId="77777777">
            <w:pPr>
              <w:rPr>
                <w:bCs/>
                <w:i/>
              </w:rPr>
            </w:pPr>
            <w:r w:rsidRPr="0092309B">
              <w:rPr>
                <w:bCs/>
                <w:i/>
              </w:rPr>
              <w:t>Non-Hispanic Other, including White</w:t>
            </w:r>
          </w:p>
        </w:tc>
        <w:tc>
          <w:tcPr>
            <w:tcW w:w="3133" w:type="dxa"/>
            <w:shd w:val="clear" w:color="auto" w:fill="auto"/>
            <w:vAlign w:val="center"/>
            <w:hideMark/>
          </w:tcPr>
          <w:p w:rsidRPr="00250E7B" w:rsidR="00B268D8" w:rsidP="00536CE1" w:rsidRDefault="00B268D8" w14:paraId="535718B1" w14:textId="77777777">
            <w:pPr>
              <w:rPr>
                <w:bCs/>
              </w:rPr>
            </w:pPr>
            <w:r w:rsidRPr="00250E7B">
              <w:rPr>
                <w:bCs/>
              </w:rPr>
              <w:t xml:space="preserve">SMI beneficiaries whose RTI Race Code </w:t>
            </w:r>
            <w:r>
              <w:rPr>
                <w:bCs/>
              </w:rPr>
              <w:t>are not Hispanic or NH Black</w:t>
            </w:r>
          </w:p>
        </w:tc>
        <w:tc>
          <w:tcPr>
            <w:tcW w:w="1337" w:type="dxa"/>
            <w:shd w:val="clear" w:color="auto" w:fill="auto"/>
            <w:vAlign w:val="center"/>
          </w:tcPr>
          <w:p w:rsidRPr="00250E7B" w:rsidR="00B268D8" w:rsidP="00536CE1" w:rsidRDefault="00B268D8" w14:paraId="4F5B1298" w14:textId="77777777">
            <w:pPr>
              <w:jc w:val="center"/>
              <w:rPr>
                <w:bCs/>
              </w:rPr>
            </w:pPr>
            <w:r>
              <w:t>295,790</w:t>
            </w:r>
          </w:p>
        </w:tc>
      </w:tr>
      <w:tr w:rsidRPr="00D87203" w:rsidR="00B268D8" w:rsidTr="0092309B" w14:paraId="30C328EF" w14:textId="77777777">
        <w:trPr>
          <w:trHeight w:val="728"/>
        </w:trPr>
        <w:tc>
          <w:tcPr>
            <w:tcW w:w="1433" w:type="dxa"/>
            <w:shd w:val="clear" w:color="auto" w:fill="auto"/>
            <w:vAlign w:val="center"/>
            <w:hideMark/>
          </w:tcPr>
          <w:p w:rsidRPr="00250E7B" w:rsidR="00B268D8" w:rsidP="00536CE1" w:rsidRDefault="00B268D8" w14:paraId="2F6DA560" w14:textId="77777777">
            <w:pPr>
              <w:rPr>
                <w:bCs/>
              </w:rPr>
            </w:pPr>
            <w:r w:rsidRPr="00250E7B">
              <w:rPr>
                <w:bCs/>
              </w:rPr>
              <w:t>Substance Use Disorder (SUD)</w:t>
            </w:r>
          </w:p>
        </w:tc>
        <w:tc>
          <w:tcPr>
            <w:tcW w:w="1972" w:type="dxa"/>
            <w:shd w:val="clear" w:color="auto" w:fill="auto"/>
            <w:vAlign w:val="center"/>
            <w:hideMark/>
          </w:tcPr>
          <w:p w:rsidRPr="00250E7B" w:rsidR="00B268D8" w:rsidP="00536CE1" w:rsidRDefault="00B268D8" w14:paraId="1C6E1EA8" w14:textId="77777777">
            <w:pPr>
              <w:rPr>
                <w:bCs/>
              </w:rPr>
            </w:pPr>
          </w:p>
        </w:tc>
        <w:tc>
          <w:tcPr>
            <w:tcW w:w="3133" w:type="dxa"/>
            <w:shd w:val="clear" w:color="auto" w:fill="auto"/>
            <w:vAlign w:val="center"/>
            <w:hideMark/>
          </w:tcPr>
          <w:p w:rsidRPr="00250E7B" w:rsidR="00B268D8" w:rsidP="00536CE1" w:rsidRDefault="00B268D8" w14:paraId="479AD126" w14:textId="77777777">
            <w:pPr>
              <w:rPr>
                <w:bCs/>
              </w:rPr>
            </w:pPr>
            <w:r w:rsidRPr="00250E7B">
              <w:rPr>
                <w:bCs/>
              </w:rPr>
              <w:t>Beneficiaries 18 years and over who have SUD. Excludes beneficiaries with ESRD.</w:t>
            </w:r>
          </w:p>
        </w:tc>
        <w:tc>
          <w:tcPr>
            <w:tcW w:w="1337" w:type="dxa"/>
            <w:shd w:val="clear" w:color="auto" w:fill="auto"/>
            <w:vAlign w:val="center"/>
            <w:hideMark/>
          </w:tcPr>
          <w:p w:rsidRPr="00250E7B" w:rsidR="00B268D8" w:rsidP="00536CE1" w:rsidRDefault="00B268D8" w14:paraId="19566889" w14:textId="77777777">
            <w:pPr>
              <w:jc w:val="center"/>
              <w:rPr>
                <w:bCs/>
              </w:rPr>
            </w:pPr>
            <w:r w:rsidRPr="009A27D0">
              <w:rPr>
                <w:bCs/>
              </w:rPr>
              <w:t>1,</w:t>
            </w:r>
            <w:r>
              <w:rPr>
                <w:bCs/>
              </w:rPr>
              <w:t>908</w:t>
            </w:r>
            <w:r w:rsidRPr="009A27D0">
              <w:rPr>
                <w:bCs/>
              </w:rPr>
              <w:t>,</w:t>
            </w:r>
            <w:r>
              <w:rPr>
                <w:bCs/>
              </w:rPr>
              <w:t>617</w:t>
            </w:r>
          </w:p>
        </w:tc>
      </w:tr>
      <w:tr w:rsidRPr="00D87203" w:rsidR="00B268D8" w:rsidTr="0092309B" w14:paraId="498FDDA9" w14:textId="77777777">
        <w:trPr>
          <w:trHeight w:val="458"/>
        </w:trPr>
        <w:tc>
          <w:tcPr>
            <w:tcW w:w="1433" w:type="dxa"/>
            <w:shd w:val="clear" w:color="auto" w:fill="auto"/>
            <w:vAlign w:val="center"/>
            <w:hideMark/>
          </w:tcPr>
          <w:p w:rsidRPr="00250E7B" w:rsidR="00B268D8" w:rsidP="00536CE1" w:rsidRDefault="00B268D8" w14:paraId="4A06233A" w14:textId="77777777">
            <w:pPr>
              <w:rPr>
                <w:bCs/>
              </w:rPr>
            </w:pPr>
          </w:p>
        </w:tc>
        <w:tc>
          <w:tcPr>
            <w:tcW w:w="1972" w:type="dxa"/>
            <w:shd w:val="clear" w:color="auto" w:fill="auto"/>
            <w:vAlign w:val="center"/>
            <w:hideMark/>
          </w:tcPr>
          <w:p w:rsidRPr="0092309B" w:rsidR="00B268D8" w:rsidP="00536CE1" w:rsidRDefault="00B268D8" w14:paraId="68825012" w14:textId="77777777">
            <w:pPr>
              <w:rPr>
                <w:bCs/>
                <w:i/>
              </w:rPr>
            </w:pPr>
            <w:r w:rsidRPr="0092309B">
              <w:rPr>
                <w:bCs/>
                <w:i/>
              </w:rPr>
              <w:t>Hispanic</w:t>
            </w:r>
          </w:p>
        </w:tc>
        <w:tc>
          <w:tcPr>
            <w:tcW w:w="3133" w:type="dxa"/>
            <w:shd w:val="clear" w:color="auto" w:fill="auto"/>
            <w:vAlign w:val="center"/>
            <w:hideMark/>
          </w:tcPr>
          <w:p w:rsidRPr="00250E7B" w:rsidR="00B268D8" w:rsidP="00536CE1" w:rsidRDefault="00B268D8" w14:paraId="6A46A0DF" w14:textId="77777777">
            <w:pPr>
              <w:rPr>
                <w:bCs/>
              </w:rPr>
            </w:pPr>
            <w:r w:rsidRPr="00250E7B">
              <w:rPr>
                <w:bCs/>
              </w:rPr>
              <w:t>SUD beneficiaries who are Hispanic</w:t>
            </w:r>
          </w:p>
        </w:tc>
        <w:tc>
          <w:tcPr>
            <w:tcW w:w="1337" w:type="dxa"/>
            <w:shd w:val="clear" w:color="auto" w:fill="auto"/>
            <w:vAlign w:val="center"/>
          </w:tcPr>
          <w:p w:rsidRPr="00250E7B" w:rsidR="00B268D8" w:rsidP="00536CE1" w:rsidRDefault="00B268D8" w14:paraId="32967F27" w14:textId="77777777">
            <w:pPr>
              <w:jc w:val="center"/>
              <w:rPr>
                <w:bCs/>
              </w:rPr>
            </w:pPr>
            <w:r w:rsidRPr="00656406">
              <w:rPr>
                <w:bCs/>
              </w:rPr>
              <w:t>1</w:t>
            </w:r>
            <w:r>
              <w:rPr>
                <w:bCs/>
              </w:rPr>
              <w:t>25</w:t>
            </w:r>
            <w:r w:rsidRPr="00656406">
              <w:rPr>
                <w:bCs/>
              </w:rPr>
              <w:t>,</w:t>
            </w:r>
            <w:r>
              <w:rPr>
                <w:bCs/>
              </w:rPr>
              <w:t>634</w:t>
            </w:r>
          </w:p>
        </w:tc>
      </w:tr>
      <w:tr w:rsidRPr="00D87203" w:rsidR="00B268D8" w:rsidTr="0092309B" w14:paraId="6F279E74" w14:textId="77777777">
        <w:trPr>
          <w:trHeight w:val="530"/>
        </w:trPr>
        <w:tc>
          <w:tcPr>
            <w:tcW w:w="1433" w:type="dxa"/>
            <w:shd w:val="clear" w:color="auto" w:fill="auto"/>
            <w:vAlign w:val="center"/>
            <w:hideMark/>
          </w:tcPr>
          <w:p w:rsidRPr="00250E7B" w:rsidR="00B268D8" w:rsidP="00536CE1" w:rsidRDefault="00B268D8" w14:paraId="2F377B08" w14:textId="77777777">
            <w:pPr>
              <w:rPr>
                <w:bCs/>
              </w:rPr>
            </w:pPr>
          </w:p>
        </w:tc>
        <w:tc>
          <w:tcPr>
            <w:tcW w:w="1972" w:type="dxa"/>
            <w:shd w:val="clear" w:color="auto" w:fill="auto"/>
            <w:vAlign w:val="center"/>
            <w:hideMark/>
          </w:tcPr>
          <w:p w:rsidRPr="0092309B" w:rsidR="00B268D8" w:rsidP="00536CE1" w:rsidRDefault="00B268D8" w14:paraId="7E77A530" w14:textId="77777777">
            <w:pPr>
              <w:rPr>
                <w:bCs/>
                <w:i/>
              </w:rPr>
            </w:pPr>
            <w:r w:rsidRPr="0092309B">
              <w:rPr>
                <w:bCs/>
                <w:i/>
              </w:rPr>
              <w:t>Non-Hispanic Black or African American</w:t>
            </w:r>
          </w:p>
        </w:tc>
        <w:tc>
          <w:tcPr>
            <w:tcW w:w="3133" w:type="dxa"/>
            <w:shd w:val="clear" w:color="auto" w:fill="auto"/>
            <w:vAlign w:val="center"/>
            <w:hideMark/>
          </w:tcPr>
          <w:p w:rsidRPr="00250E7B" w:rsidR="00B268D8" w:rsidP="00536CE1" w:rsidRDefault="00B268D8" w14:paraId="4F0926FC" w14:textId="77777777">
            <w:pPr>
              <w:rPr>
                <w:bCs/>
              </w:rPr>
            </w:pPr>
            <w:r w:rsidRPr="00250E7B">
              <w:rPr>
                <w:bCs/>
              </w:rPr>
              <w:t>SUD beneficiaries whose RTI Race Code = Black or African American</w:t>
            </w:r>
          </w:p>
        </w:tc>
        <w:tc>
          <w:tcPr>
            <w:tcW w:w="1337" w:type="dxa"/>
            <w:shd w:val="clear" w:color="auto" w:fill="auto"/>
            <w:vAlign w:val="center"/>
          </w:tcPr>
          <w:p w:rsidRPr="00250E7B" w:rsidR="00B268D8" w:rsidP="00536CE1" w:rsidRDefault="00B268D8" w14:paraId="2D2977D3" w14:textId="77777777">
            <w:pPr>
              <w:jc w:val="center"/>
              <w:rPr>
                <w:bCs/>
              </w:rPr>
            </w:pPr>
            <w:r w:rsidRPr="00656406">
              <w:rPr>
                <w:bCs/>
              </w:rPr>
              <w:t>2</w:t>
            </w:r>
            <w:r>
              <w:rPr>
                <w:bCs/>
              </w:rPr>
              <w:t>80</w:t>
            </w:r>
            <w:r w:rsidRPr="00656406">
              <w:rPr>
                <w:bCs/>
              </w:rPr>
              <w:t>,</w:t>
            </w:r>
            <w:r>
              <w:rPr>
                <w:bCs/>
              </w:rPr>
              <w:t>693</w:t>
            </w:r>
          </w:p>
        </w:tc>
      </w:tr>
      <w:tr w:rsidRPr="00D87203" w:rsidR="00B268D8" w:rsidTr="0092309B" w14:paraId="69EC7303" w14:textId="77777777">
        <w:trPr>
          <w:trHeight w:val="548"/>
        </w:trPr>
        <w:tc>
          <w:tcPr>
            <w:tcW w:w="1433" w:type="dxa"/>
            <w:shd w:val="clear" w:color="auto" w:fill="auto"/>
            <w:vAlign w:val="center"/>
            <w:hideMark/>
          </w:tcPr>
          <w:p w:rsidRPr="00250E7B" w:rsidR="00B268D8" w:rsidP="00536CE1" w:rsidRDefault="00B268D8" w14:paraId="31A4767B" w14:textId="77777777">
            <w:pPr>
              <w:rPr>
                <w:bCs/>
              </w:rPr>
            </w:pPr>
          </w:p>
        </w:tc>
        <w:tc>
          <w:tcPr>
            <w:tcW w:w="1972" w:type="dxa"/>
            <w:shd w:val="clear" w:color="auto" w:fill="auto"/>
            <w:vAlign w:val="center"/>
            <w:hideMark/>
          </w:tcPr>
          <w:p w:rsidRPr="0092309B" w:rsidR="00B268D8" w:rsidP="00536CE1" w:rsidRDefault="00B268D8" w14:paraId="0D6222DB" w14:textId="77777777">
            <w:pPr>
              <w:rPr>
                <w:bCs/>
                <w:i/>
              </w:rPr>
            </w:pPr>
            <w:r w:rsidRPr="0092309B">
              <w:rPr>
                <w:bCs/>
                <w:i/>
              </w:rPr>
              <w:t>Non-Hispanic Other, including White</w:t>
            </w:r>
          </w:p>
        </w:tc>
        <w:tc>
          <w:tcPr>
            <w:tcW w:w="3133" w:type="dxa"/>
            <w:shd w:val="clear" w:color="auto" w:fill="auto"/>
            <w:vAlign w:val="center"/>
            <w:hideMark/>
          </w:tcPr>
          <w:p w:rsidRPr="00250E7B" w:rsidR="00B268D8" w:rsidP="00536CE1" w:rsidRDefault="00B268D8" w14:paraId="08DFDAB1" w14:textId="77777777">
            <w:pPr>
              <w:rPr>
                <w:bCs/>
              </w:rPr>
            </w:pPr>
            <w:r w:rsidRPr="00250E7B">
              <w:rPr>
                <w:bCs/>
              </w:rPr>
              <w:t xml:space="preserve">SUD beneficiaries whose RTI Race Code </w:t>
            </w:r>
            <w:r>
              <w:rPr>
                <w:bCs/>
              </w:rPr>
              <w:t>are not Hispanic or NH Black</w:t>
            </w:r>
          </w:p>
        </w:tc>
        <w:tc>
          <w:tcPr>
            <w:tcW w:w="1337" w:type="dxa"/>
            <w:shd w:val="clear" w:color="auto" w:fill="auto"/>
            <w:vAlign w:val="center"/>
          </w:tcPr>
          <w:p w:rsidRPr="00250E7B" w:rsidR="00B268D8" w:rsidP="00536CE1" w:rsidRDefault="00B268D8" w14:paraId="0ED57572" w14:textId="77777777">
            <w:pPr>
              <w:jc w:val="center"/>
              <w:rPr>
                <w:bCs/>
              </w:rPr>
            </w:pPr>
            <w:r>
              <w:rPr>
                <w:bCs/>
              </w:rPr>
              <w:t>1,502,290</w:t>
            </w:r>
          </w:p>
        </w:tc>
      </w:tr>
    </w:tbl>
    <w:p w:rsidRPr="00035206" w:rsidR="00D87203" w:rsidP="00D87203" w:rsidRDefault="00D87203" w14:paraId="09351F3E" w14:textId="352D8D58">
      <w:pPr>
        <w:rPr>
          <w:bCs/>
          <w:sz w:val="20"/>
          <w:szCs w:val="20"/>
        </w:rPr>
      </w:pPr>
      <w:r>
        <w:rPr>
          <w:bCs/>
          <w:sz w:val="20"/>
          <w:szCs w:val="20"/>
        </w:rPr>
        <w:t>*</w:t>
      </w:r>
      <w:r w:rsidR="00596D4F">
        <w:rPr>
          <w:bCs/>
          <w:sz w:val="20"/>
          <w:szCs w:val="20"/>
        </w:rPr>
        <w:t>Estimates presented in Table 1 were generated</w:t>
      </w:r>
      <w:r w:rsidRPr="00596D4F" w:rsidR="00596D4F">
        <w:rPr>
          <w:bCs/>
          <w:sz w:val="20"/>
          <w:szCs w:val="20"/>
        </w:rPr>
        <w:t xml:space="preserve"> using the 2018 Master Beneficiary Summary File – Base with Medicare Part A/B/C/D, 2018 Master Beneficiary Summary File Other Chronic or Potentially Disabling Conditions Segment</w:t>
      </w:r>
      <w:r>
        <w:rPr>
          <w:bCs/>
          <w:sz w:val="20"/>
          <w:szCs w:val="20"/>
        </w:rPr>
        <w:t>.</w:t>
      </w:r>
    </w:p>
    <w:p w:rsidR="00D87203" w:rsidP="00C63806" w:rsidRDefault="00D87203" w14:paraId="35319A9C" w14:textId="1A025918">
      <w:pPr>
        <w:rPr>
          <w:bCs/>
          <w:szCs w:val="22"/>
        </w:rPr>
      </w:pPr>
    </w:p>
    <w:p w:rsidR="008B2C1B" w:rsidP="008B2C1B" w:rsidRDefault="008B2C1B" w14:paraId="0E85DAC5" w14:textId="0566B365">
      <w:pPr>
        <w:rPr>
          <w:bCs/>
          <w:szCs w:val="22"/>
        </w:rPr>
      </w:pPr>
      <w:r>
        <w:rPr>
          <w:bCs/>
          <w:szCs w:val="22"/>
        </w:rPr>
        <w:t xml:space="preserve">CMS OMH’s priority minority populations vary in size. Differential sampling will impact the design effective and overall effective sample size. The targeted sample size </w:t>
      </w:r>
      <w:proofErr w:type="gramStart"/>
      <w:r>
        <w:rPr>
          <w:bCs/>
          <w:szCs w:val="22"/>
        </w:rPr>
        <w:t>try</w:t>
      </w:r>
      <w:proofErr w:type="gramEnd"/>
      <w:r>
        <w:rPr>
          <w:bCs/>
          <w:szCs w:val="22"/>
        </w:rPr>
        <w:t xml:space="preserve"> to balance the need for a sufficient number of completes to create subgroup estimates, and compare to other subgroups of interest, while also minimizing the design effect that can be influenced by oversampling these subgroups. </w:t>
      </w:r>
      <w:r w:rsidRPr="007E15FF">
        <w:rPr>
          <w:bCs/>
          <w:szCs w:val="22"/>
        </w:rPr>
        <w:t>A</w:t>
      </w:r>
      <w:r>
        <w:rPr>
          <w:bCs/>
          <w:szCs w:val="22"/>
        </w:rPr>
        <w:t>s shown below</w:t>
      </w:r>
      <w:r w:rsidR="008217D4">
        <w:rPr>
          <w:bCs/>
          <w:szCs w:val="22"/>
        </w:rPr>
        <w:t xml:space="preserve"> in Table 2, a </w:t>
      </w:r>
      <w:r w:rsidRPr="007E15FF">
        <w:rPr>
          <w:bCs/>
          <w:szCs w:val="22"/>
        </w:rPr>
        <w:t xml:space="preserve">target </w:t>
      </w:r>
      <w:r w:rsidR="008217D4">
        <w:rPr>
          <w:bCs/>
          <w:szCs w:val="22"/>
        </w:rPr>
        <w:t>size</w:t>
      </w:r>
      <w:r w:rsidRPr="007E15FF">
        <w:rPr>
          <w:bCs/>
          <w:szCs w:val="22"/>
        </w:rPr>
        <w:t xml:space="preserve"> of </w:t>
      </w:r>
      <w:r>
        <w:rPr>
          <w:bCs/>
          <w:szCs w:val="22"/>
        </w:rPr>
        <w:t>400-700</w:t>
      </w:r>
      <w:r w:rsidR="008217D4">
        <w:rPr>
          <w:bCs/>
          <w:szCs w:val="22"/>
        </w:rPr>
        <w:t xml:space="preserve"> completed surveys</w:t>
      </w:r>
      <w:r>
        <w:rPr>
          <w:bCs/>
          <w:szCs w:val="22"/>
        </w:rPr>
        <w:t xml:space="preserve"> for Hispanics and Non-Hispanic Blacks allows for these estimates and comparisons, while minimizing the design effect as best possible.</w:t>
      </w:r>
      <w:r w:rsidRPr="007E15FF">
        <w:rPr>
          <w:bCs/>
          <w:szCs w:val="22"/>
        </w:rPr>
        <w:t xml:space="preserve"> </w:t>
      </w:r>
    </w:p>
    <w:p w:rsidR="008B2C1B" w:rsidP="008B2C1B" w:rsidRDefault="008B2C1B" w14:paraId="61164B1D" w14:textId="77777777">
      <w:pPr>
        <w:rPr>
          <w:bCs/>
          <w:szCs w:val="22"/>
        </w:rPr>
      </w:pPr>
    </w:p>
    <w:p w:rsidR="008B2C1B" w:rsidP="008B2C1B" w:rsidRDefault="008B2C1B" w14:paraId="4026717C" w14:textId="4FC9B20E">
      <w:pPr>
        <w:rPr>
          <w:bCs/>
          <w:szCs w:val="22"/>
        </w:rPr>
      </w:pPr>
      <w:r>
        <w:rPr>
          <w:bCs/>
          <w:szCs w:val="22"/>
        </w:rPr>
        <w:t>Table 2 shows the anticipated design effect and margin of er</w:t>
      </w:r>
      <w:r w:rsidR="008217D4">
        <w:rPr>
          <w:bCs/>
          <w:szCs w:val="22"/>
        </w:rPr>
        <w:t>ror associated with the target</w:t>
      </w:r>
      <w:r>
        <w:rPr>
          <w:bCs/>
          <w:szCs w:val="22"/>
        </w:rPr>
        <w:t xml:space="preserve"> </w:t>
      </w:r>
      <w:r w:rsidR="008217D4">
        <w:rPr>
          <w:bCs/>
          <w:szCs w:val="22"/>
        </w:rPr>
        <w:t>completes</w:t>
      </w:r>
      <w:r>
        <w:rPr>
          <w:bCs/>
          <w:szCs w:val="22"/>
        </w:rPr>
        <w:t xml:space="preserve"> for each subgroup of interest. The expected margin of errors ranges from 1.8-2.9 for larger groups of interest (e.g., SMI as a whole, Non-Hispanic Other including white), and from 5.2-7.2 for the smaller minority populations. </w:t>
      </w:r>
    </w:p>
    <w:p w:rsidR="008B2C1B" w:rsidP="008B2C1B" w:rsidRDefault="008B2C1B" w14:paraId="1DDC8B8C" w14:textId="77777777">
      <w:pPr>
        <w:rPr>
          <w:bCs/>
          <w:szCs w:val="22"/>
        </w:rPr>
      </w:pPr>
    </w:p>
    <w:p w:rsidR="008B2C1B" w:rsidP="008B2C1B" w:rsidRDefault="008B2C1B" w14:paraId="7441DC40" w14:textId="1931BE32">
      <w:pPr>
        <w:rPr>
          <w:bCs/>
          <w:szCs w:val="22"/>
        </w:rPr>
      </w:pPr>
      <w:r w:rsidRPr="00E32E81">
        <w:rPr>
          <w:b/>
          <w:bCs/>
          <w:szCs w:val="22"/>
        </w:rPr>
        <w:t>Table 2.</w:t>
      </w:r>
      <w:r w:rsidRPr="00E32E81">
        <w:rPr>
          <w:bCs/>
          <w:szCs w:val="22"/>
        </w:rPr>
        <w:t xml:space="preserve"> Estimated Measures of Error for MBECS Population Domains </w:t>
      </w:r>
    </w:p>
    <w:tbl>
      <w:tblPr>
        <w:tblW w:w="7982" w:type="dxa"/>
        <w:tblInd w:w="113" w:type="dxa"/>
        <w:tblLayout w:type="fixed"/>
        <w:tblLook w:val="04A0" w:firstRow="1" w:lastRow="0" w:firstColumn="1" w:lastColumn="0" w:noHBand="0" w:noVBand="1"/>
      </w:tblPr>
      <w:tblGrid>
        <w:gridCol w:w="3572"/>
        <w:gridCol w:w="1350"/>
        <w:gridCol w:w="1440"/>
        <w:gridCol w:w="1620"/>
      </w:tblGrid>
      <w:tr w:rsidR="008B2C1B" w:rsidTr="007B52FC" w14:paraId="6ED9E128" w14:textId="77777777">
        <w:trPr>
          <w:trHeight w:val="323"/>
        </w:trPr>
        <w:tc>
          <w:tcPr>
            <w:tcW w:w="3572" w:type="dxa"/>
            <w:tcBorders>
              <w:top w:val="single" w:color="auto" w:sz="4" w:space="0"/>
              <w:left w:val="single" w:color="auto" w:sz="4" w:space="0"/>
              <w:bottom w:val="single" w:color="auto" w:sz="4" w:space="0"/>
              <w:right w:val="single" w:color="auto" w:sz="4" w:space="0"/>
            </w:tcBorders>
            <w:shd w:val="clear" w:color="auto" w:fill="auto"/>
            <w:vAlign w:val="center"/>
          </w:tcPr>
          <w:p w:rsidRPr="003150D5" w:rsidR="008B2C1B" w:rsidP="007B52FC" w:rsidRDefault="008B2C1B" w14:paraId="1DAB796A" w14:textId="77777777">
            <w:pPr>
              <w:jc w:val="center"/>
              <w:rPr>
                <w:b/>
                <w:color w:val="000000"/>
              </w:rPr>
            </w:pPr>
            <w:r w:rsidRPr="003150D5">
              <w:rPr>
                <w:b/>
                <w:color w:val="000000"/>
              </w:rPr>
              <w:t>MBECS Population Domains</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250E7B" w:rsidR="008B2C1B" w:rsidP="008217D4" w:rsidRDefault="008B2C1B" w14:paraId="565D9C37" w14:textId="0780BE61">
            <w:pPr>
              <w:jc w:val="center"/>
              <w:rPr>
                <w:rFonts w:ascii="Calibri" w:hAnsi="Calibri"/>
                <w:b/>
                <w:color w:val="000000"/>
              </w:rPr>
            </w:pPr>
            <w:r w:rsidRPr="00250E7B">
              <w:rPr>
                <w:rFonts w:ascii="Calibri" w:hAnsi="Calibri"/>
                <w:b/>
                <w:color w:val="000000"/>
              </w:rPr>
              <w:t xml:space="preserve">MBECS </w:t>
            </w:r>
            <w:r w:rsidR="008217D4">
              <w:rPr>
                <w:rFonts w:ascii="Calibri" w:hAnsi="Calibri"/>
                <w:b/>
                <w:color w:val="000000"/>
              </w:rPr>
              <w:t>Target</w:t>
            </w:r>
            <w:r>
              <w:rPr>
                <w:rFonts w:ascii="Calibri" w:hAnsi="Calibri"/>
                <w:b/>
                <w:color w:val="000000"/>
              </w:rPr>
              <w:t xml:space="preserve"> </w:t>
            </w:r>
            <w:r w:rsidR="008217D4">
              <w:rPr>
                <w:rFonts w:ascii="Calibri" w:hAnsi="Calibri"/>
                <w:b/>
                <w:color w:val="000000"/>
              </w:rPr>
              <w:t>Completes</w:t>
            </w:r>
          </w:p>
        </w:tc>
        <w:tc>
          <w:tcPr>
            <w:tcW w:w="1440" w:type="dxa"/>
            <w:tcBorders>
              <w:top w:val="single" w:color="auto" w:sz="4" w:space="0"/>
              <w:left w:val="single" w:color="auto" w:sz="4" w:space="0"/>
              <w:bottom w:val="single" w:color="auto" w:sz="4" w:space="0"/>
              <w:right w:val="single" w:color="auto" w:sz="4" w:space="0"/>
            </w:tcBorders>
            <w:vAlign w:val="center"/>
          </w:tcPr>
          <w:p w:rsidRPr="00250E7B" w:rsidR="008B2C1B" w:rsidP="007B52FC" w:rsidRDefault="008B2C1B" w14:paraId="603ED979" w14:textId="77777777">
            <w:pPr>
              <w:jc w:val="center"/>
              <w:rPr>
                <w:rFonts w:ascii="Calibri" w:hAnsi="Calibri"/>
                <w:b/>
                <w:color w:val="000000"/>
              </w:rPr>
            </w:pPr>
            <w:r>
              <w:rPr>
                <w:rFonts w:ascii="Calibri" w:hAnsi="Calibri"/>
                <w:b/>
                <w:color w:val="000000"/>
              </w:rPr>
              <w:t>Estimated Design Effect (DEFF)</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250E7B" w:rsidR="008B2C1B" w:rsidP="007B52FC" w:rsidRDefault="008B2C1B" w14:paraId="6629DB95" w14:textId="77777777">
            <w:pPr>
              <w:jc w:val="center"/>
              <w:rPr>
                <w:rFonts w:ascii="Calibri" w:hAnsi="Calibri"/>
                <w:b/>
                <w:color w:val="000000"/>
              </w:rPr>
            </w:pPr>
            <w:r w:rsidRPr="00250E7B">
              <w:rPr>
                <w:rFonts w:ascii="Calibri" w:hAnsi="Calibri"/>
                <w:b/>
                <w:color w:val="000000"/>
              </w:rPr>
              <w:t>M</w:t>
            </w:r>
            <w:r>
              <w:rPr>
                <w:rFonts w:ascii="Calibri" w:hAnsi="Calibri"/>
                <w:b/>
                <w:color w:val="000000"/>
              </w:rPr>
              <w:t>argin</w:t>
            </w:r>
            <w:r w:rsidRPr="00250E7B">
              <w:rPr>
                <w:rFonts w:ascii="Calibri" w:hAnsi="Calibri"/>
                <w:b/>
                <w:color w:val="000000"/>
              </w:rPr>
              <w:t xml:space="preserve"> of Error (percentage points)</w:t>
            </w:r>
          </w:p>
        </w:tc>
      </w:tr>
      <w:tr w:rsidR="008B2C1B" w:rsidTr="007B52FC" w14:paraId="6882A99D" w14:textId="77777777">
        <w:trPr>
          <w:trHeight w:val="323"/>
        </w:trPr>
        <w:tc>
          <w:tcPr>
            <w:tcW w:w="3572" w:type="dxa"/>
            <w:tcBorders>
              <w:top w:val="single" w:color="auto" w:sz="4" w:space="0"/>
              <w:left w:val="single" w:color="auto" w:sz="4" w:space="0"/>
              <w:bottom w:val="single" w:color="auto" w:sz="4" w:space="0"/>
              <w:right w:val="single" w:color="auto" w:sz="4" w:space="0"/>
            </w:tcBorders>
            <w:shd w:val="clear" w:color="auto" w:fill="auto"/>
            <w:vAlign w:val="center"/>
          </w:tcPr>
          <w:p w:rsidRPr="00176F08" w:rsidR="008B2C1B" w:rsidP="007B52FC" w:rsidRDefault="008B2C1B" w14:paraId="379FA94D" w14:textId="77777777">
            <w:pPr>
              <w:rPr>
                <w:b/>
                <w:color w:val="000000"/>
              </w:rPr>
            </w:pPr>
            <w:r w:rsidRPr="00176F08">
              <w:rPr>
                <w:b/>
                <w:color w:val="000000"/>
              </w:rPr>
              <w:t>Serious Mental Illness (SMI)</w:t>
            </w:r>
          </w:p>
        </w:tc>
        <w:tc>
          <w:tcPr>
            <w:tcW w:w="1350" w:type="dxa"/>
            <w:tcBorders>
              <w:top w:val="single" w:color="auto" w:sz="8" w:space="0"/>
              <w:left w:val="single" w:color="auto" w:sz="4" w:space="0"/>
              <w:bottom w:val="single" w:color="auto" w:sz="4" w:space="0"/>
              <w:right w:val="single" w:color="auto" w:sz="8" w:space="0"/>
            </w:tcBorders>
            <w:shd w:val="clear" w:color="auto" w:fill="auto"/>
            <w:vAlign w:val="center"/>
          </w:tcPr>
          <w:p w:rsidRPr="00176F08" w:rsidR="008B2C1B" w:rsidP="007B52FC" w:rsidRDefault="008B2C1B" w14:paraId="032ECCDD" w14:textId="77777777">
            <w:pPr>
              <w:jc w:val="center"/>
              <w:rPr>
                <w:rFonts w:ascii="Calibri" w:hAnsi="Calibri"/>
                <w:bCs/>
                <w:color w:val="000000"/>
              </w:rPr>
            </w:pPr>
            <w:r>
              <w:rPr>
                <w:rFonts w:ascii="Calibri" w:hAnsi="Calibri"/>
                <w:bCs/>
                <w:color w:val="000000"/>
              </w:rPr>
              <w:t>3,000</w:t>
            </w:r>
          </w:p>
        </w:tc>
        <w:tc>
          <w:tcPr>
            <w:tcW w:w="1440" w:type="dxa"/>
            <w:tcBorders>
              <w:top w:val="single" w:color="auto" w:sz="4" w:space="0"/>
              <w:left w:val="single" w:color="auto" w:sz="4" w:space="0"/>
              <w:bottom w:val="single" w:color="auto" w:sz="4" w:space="0"/>
              <w:right w:val="single" w:color="auto" w:sz="4" w:space="0"/>
            </w:tcBorders>
            <w:vAlign w:val="center"/>
          </w:tcPr>
          <w:p w:rsidRPr="00250E7B" w:rsidR="008B2C1B" w:rsidP="007B52FC" w:rsidRDefault="008B2C1B" w14:paraId="3575DE40" w14:textId="77777777">
            <w:pPr>
              <w:jc w:val="center"/>
              <w:rPr>
                <w:rFonts w:ascii="Calibri" w:hAnsi="Calibri"/>
                <w:bCs/>
                <w:color w:val="000000"/>
              </w:rPr>
            </w:pPr>
            <w:r>
              <w:rPr>
                <w:rFonts w:ascii="Calibri" w:hAnsi="Calibri"/>
                <w:bCs/>
                <w:color w:val="000000"/>
              </w:rPr>
              <w:t>2.0</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250E7B" w:rsidR="008B2C1B" w:rsidP="007B52FC" w:rsidRDefault="008B2C1B" w14:paraId="05DC1E4A" w14:textId="77777777">
            <w:pPr>
              <w:jc w:val="center"/>
              <w:rPr>
                <w:rFonts w:ascii="Calibri" w:hAnsi="Calibri"/>
                <w:color w:val="000000"/>
              </w:rPr>
            </w:pPr>
            <w:r>
              <w:rPr>
                <w:rFonts w:ascii="Calibri" w:hAnsi="Calibri"/>
                <w:bCs/>
                <w:color w:val="000000"/>
              </w:rPr>
              <w:t>2.4</w:t>
            </w:r>
          </w:p>
        </w:tc>
      </w:tr>
      <w:tr w:rsidR="008B2C1B" w:rsidTr="007B52FC" w14:paraId="4CBA8E6F" w14:textId="77777777">
        <w:trPr>
          <w:trHeight w:val="323"/>
        </w:trPr>
        <w:tc>
          <w:tcPr>
            <w:tcW w:w="3572" w:type="dxa"/>
            <w:tcBorders>
              <w:top w:val="single" w:color="auto" w:sz="4" w:space="0"/>
              <w:left w:val="single" w:color="auto" w:sz="4" w:space="0"/>
              <w:bottom w:val="single" w:color="auto" w:sz="4" w:space="0"/>
              <w:right w:val="single" w:color="auto" w:sz="4" w:space="0"/>
            </w:tcBorders>
            <w:shd w:val="clear" w:color="auto" w:fill="auto"/>
            <w:vAlign w:val="center"/>
          </w:tcPr>
          <w:p w:rsidRPr="00176F08" w:rsidR="008B2C1B" w:rsidP="007B52FC" w:rsidRDefault="008B2C1B" w14:paraId="77B1D6BB" w14:textId="77777777">
            <w:pPr>
              <w:rPr>
                <w:i/>
                <w:color w:val="000000"/>
              </w:rPr>
            </w:pPr>
            <w:r w:rsidRPr="00176F08">
              <w:rPr>
                <w:i/>
                <w:color w:val="000000"/>
              </w:rPr>
              <w:t>Hispanic</w:t>
            </w:r>
          </w:p>
        </w:tc>
        <w:tc>
          <w:tcPr>
            <w:tcW w:w="1350" w:type="dxa"/>
            <w:tcBorders>
              <w:top w:val="nil"/>
              <w:left w:val="single" w:color="auto" w:sz="4" w:space="0"/>
              <w:bottom w:val="single" w:color="auto" w:sz="4" w:space="0"/>
              <w:right w:val="single" w:color="auto" w:sz="8" w:space="0"/>
            </w:tcBorders>
            <w:shd w:val="clear" w:color="auto" w:fill="auto"/>
            <w:vAlign w:val="center"/>
          </w:tcPr>
          <w:p w:rsidRPr="00176F08" w:rsidR="008B2C1B" w:rsidP="007B52FC" w:rsidRDefault="008B2C1B" w14:paraId="7C87B6F2" w14:textId="77777777">
            <w:pPr>
              <w:jc w:val="center"/>
              <w:rPr>
                <w:rFonts w:ascii="Calibri" w:hAnsi="Calibri"/>
                <w:bCs/>
                <w:color w:val="000000"/>
              </w:rPr>
            </w:pPr>
            <w:r>
              <w:rPr>
                <w:rFonts w:ascii="Calibri" w:hAnsi="Calibri"/>
                <w:bCs/>
                <w:color w:val="000000"/>
              </w:rPr>
              <w:t>400</w:t>
            </w:r>
          </w:p>
        </w:tc>
        <w:tc>
          <w:tcPr>
            <w:tcW w:w="1440" w:type="dxa"/>
            <w:tcBorders>
              <w:top w:val="nil"/>
              <w:left w:val="single" w:color="auto" w:sz="4" w:space="0"/>
              <w:bottom w:val="single" w:color="auto" w:sz="4" w:space="0"/>
              <w:right w:val="single" w:color="auto" w:sz="4" w:space="0"/>
            </w:tcBorders>
            <w:vAlign w:val="center"/>
          </w:tcPr>
          <w:p w:rsidR="008B2C1B" w:rsidP="007B52FC" w:rsidRDefault="008B2C1B" w14:paraId="7D825B38" w14:textId="77777777">
            <w:pPr>
              <w:jc w:val="center"/>
              <w:rPr>
                <w:rFonts w:ascii="Calibri" w:hAnsi="Calibri"/>
                <w:color w:val="000000"/>
              </w:rPr>
            </w:pPr>
            <w:r>
              <w:rPr>
                <w:rFonts w:ascii="Calibri" w:hAnsi="Calibri"/>
                <w:color w:val="000000"/>
              </w:rPr>
              <w:t>2.2</w:t>
            </w:r>
          </w:p>
        </w:tc>
        <w:tc>
          <w:tcPr>
            <w:tcW w:w="1620" w:type="dxa"/>
            <w:tcBorders>
              <w:top w:val="nil"/>
              <w:left w:val="single" w:color="auto" w:sz="4" w:space="0"/>
              <w:bottom w:val="single" w:color="auto" w:sz="4" w:space="0"/>
              <w:right w:val="single" w:color="auto" w:sz="4" w:space="0"/>
            </w:tcBorders>
            <w:shd w:val="clear" w:color="auto" w:fill="auto"/>
            <w:vAlign w:val="center"/>
          </w:tcPr>
          <w:p w:rsidRPr="000D0D56" w:rsidR="008B2C1B" w:rsidP="007B52FC" w:rsidRDefault="008B2C1B" w14:paraId="0CF2768C" w14:textId="77777777">
            <w:pPr>
              <w:jc w:val="center"/>
              <w:rPr>
                <w:rFonts w:ascii="Calibri" w:hAnsi="Calibri"/>
                <w:color w:val="000000"/>
              </w:rPr>
            </w:pPr>
            <w:r>
              <w:rPr>
                <w:rFonts w:ascii="Calibri" w:hAnsi="Calibri"/>
                <w:color w:val="000000"/>
              </w:rPr>
              <w:t>7.2</w:t>
            </w:r>
          </w:p>
        </w:tc>
      </w:tr>
      <w:tr w:rsidR="008B2C1B" w:rsidTr="007B52FC" w14:paraId="08C25A01" w14:textId="77777777">
        <w:trPr>
          <w:trHeight w:val="323"/>
        </w:trPr>
        <w:tc>
          <w:tcPr>
            <w:tcW w:w="3572" w:type="dxa"/>
            <w:tcBorders>
              <w:top w:val="single" w:color="auto" w:sz="4" w:space="0"/>
              <w:left w:val="single" w:color="auto" w:sz="4" w:space="0"/>
              <w:bottom w:val="single" w:color="auto" w:sz="4" w:space="0"/>
              <w:right w:val="single" w:color="auto" w:sz="4" w:space="0"/>
            </w:tcBorders>
            <w:shd w:val="clear" w:color="auto" w:fill="auto"/>
            <w:vAlign w:val="center"/>
          </w:tcPr>
          <w:p w:rsidRPr="00176F08" w:rsidR="008B2C1B" w:rsidP="007B52FC" w:rsidRDefault="008B2C1B" w14:paraId="2BF70D4B" w14:textId="77777777">
            <w:pPr>
              <w:rPr>
                <w:i/>
                <w:color w:val="000000"/>
              </w:rPr>
            </w:pPr>
            <w:r w:rsidRPr="00176F08">
              <w:rPr>
                <w:i/>
                <w:color w:val="000000"/>
              </w:rPr>
              <w:t>Non-Hispanic Black or African American</w:t>
            </w:r>
          </w:p>
        </w:tc>
        <w:tc>
          <w:tcPr>
            <w:tcW w:w="1350" w:type="dxa"/>
            <w:tcBorders>
              <w:top w:val="nil"/>
              <w:left w:val="single" w:color="auto" w:sz="4" w:space="0"/>
              <w:bottom w:val="single" w:color="auto" w:sz="4" w:space="0"/>
              <w:right w:val="single" w:color="auto" w:sz="8" w:space="0"/>
            </w:tcBorders>
            <w:shd w:val="clear" w:color="auto" w:fill="auto"/>
            <w:vAlign w:val="center"/>
          </w:tcPr>
          <w:p w:rsidRPr="00176F08" w:rsidR="008B2C1B" w:rsidP="007B52FC" w:rsidRDefault="008B2C1B" w14:paraId="3FC5CF56" w14:textId="77777777">
            <w:pPr>
              <w:jc w:val="center"/>
              <w:rPr>
                <w:rFonts w:ascii="Calibri" w:hAnsi="Calibri"/>
                <w:bCs/>
                <w:color w:val="000000"/>
              </w:rPr>
            </w:pPr>
            <w:r>
              <w:rPr>
                <w:rFonts w:ascii="Calibri" w:hAnsi="Calibri"/>
                <w:bCs/>
                <w:color w:val="000000"/>
              </w:rPr>
              <w:t>6</w:t>
            </w:r>
            <w:r w:rsidRPr="00176F08">
              <w:rPr>
                <w:rFonts w:ascii="Calibri" w:hAnsi="Calibri"/>
                <w:bCs/>
                <w:color w:val="000000"/>
              </w:rPr>
              <w:t>00</w:t>
            </w:r>
          </w:p>
        </w:tc>
        <w:tc>
          <w:tcPr>
            <w:tcW w:w="1440" w:type="dxa"/>
            <w:tcBorders>
              <w:top w:val="nil"/>
              <w:left w:val="single" w:color="auto" w:sz="4" w:space="0"/>
              <w:bottom w:val="single" w:color="auto" w:sz="4" w:space="0"/>
              <w:right w:val="single" w:color="auto" w:sz="4" w:space="0"/>
            </w:tcBorders>
            <w:vAlign w:val="center"/>
          </w:tcPr>
          <w:p w:rsidR="008B2C1B" w:rsidP="007B52FC" w:rsidRDefault="008B2C1B" w14:paraId="22AFEEF6" w14:textId="77777777">
            <w:pPr>
              <w:jc w:val="center"/>
              <w:rPr>
                <w:rFonts w:ascii="Calibri" w:hAnsi="Calibri"/>
                <w:color w:val="000000"/>
              </w:rPr>
            </w:pPr>
            <w:r>
              <w:rPr>
                <w:rFonts w:ascii="Calibri" w:hAnsi="Calibri"/>
                <w:color w:val="000000"/>
              </w:rPr>
              <w:t>2.0</w:t>
            </w:r>
          </w:p>
        </w:tc>
        <w:tc>
          <w:tcPr>
            <w:tcW w:w="1620" w:type="dxa"/>
            <w:tcBorders>
              <w:top w:val="nil"/>
              <w:left w:val="single" w:color="auto" w:sz="4" w:space="0"/>
              <w:bottom w:val="single" w:color="auto" w:sz="4" w:space="0"/>
              <w:right w:val="single" w:color="auto" w:sz="4" w:space="0"/>
            </w:tcBorders>
            <w:shd w:val="clear" w:color="auto" w:fill="auto"/>
            <w:vAlign w:val="center"/>
          </w:tcPr>
          <w:p w:rsidRPr="000D0D56" w:rsidR="008B2C1B" w:rsidP="007B52FC" w:rsidRDefault="008B2C1B" w14:paraId="526F093D" w14:textId="77777777">
            <w:pPr>
              <w:jc w:val="center"/>
              <w:rPr>
                <w:rFonts w:ascii="Calibri" w:hAnsi="Calibri"/>
                <w:color w:val="000000"/>
              </w:rPr>
            </w:pPr>
            <w:r>
              <w:rPr>
                <w:rFonts w:ascii="Calibri" w:hAnsi="Calibri"/>
                <w:color w:val="000000"/>
              </w:rPr>
              <w:t>5.6</w:t>
            </w:r>
          </w:p>
        </w:tc>
      </w:tr>
      <w:tr w:rsidR="008B2C1B" w:rsidTr="0092309B" w14:paraId="7F0A386E" w14:textId="77777777">
        <w:trPr>
          <w:trHeight w:val="323"/>
        </w:trPr>
        <w:tc>
          <w:tcPr>
            <w:tcW w:w="3572" w:type="dxa"/>
            <w:tcBorders>
              <w:top w:val="single" w:color="auto" w:sz="4" w:space="0"/>
              <w:left w:val="single" w:color="auto" w:sz="4" w:space="0"/>
              <w:bottom w:val="single" w:color="auto" w:sz="4" w:space="0"/>
              <w:right w:val="single" w:color="auto" w:sz="4" w:space="0"/>
            </w:tcBorders>
            <w:shd w:val="clear" w:color="auto" w:fill="auto"/>
            <w:vAlign w:val="center"/>
          </w:tcPr>
          <w:p w:rsidRPr="00176F08" w:rsidR="008B2C1B" w:rsidP="007B52FC" w:rsidRDefault="008B2C1B" w14:paraId="2303A0F9" w14:textId="77777777">
            <w:pPr>
              <w:rPr>
                <w:i/>
                <w:color w:val="000000"/>
              </w:rPr>
            </w:pPr>
            <w:r w:rsidRPr="00176F08">
              <w:rPr>
                <w:i/>
                <w:color w:val="000000"/>
              </w:rPr>
              <w:t>Non-Hispanic Other, including White</w:t>
            </w:r>
          </w:p>
        </w:tc>
        <w:tc>
          <w:tcPr>
            <w:tcW w:w="1350" w:type="dxa"/>
            <w:tcBorders>
              <w:top w:val="nil"/>
              <w:left w:val="single" w:color="auto" w:sz="4" w:space="0"/>
              <w:bottom w:val="single" w:color="auto" w:sz="4" w:space="0"/>
              <w:right w:val="single" w:color="auto" w:sz="8" w:space="0"/>
            </w:tcBorders>
            <w:shd w:val="clear" w:color="auto" w:fill="auto"/>
            <w:vAlign w:val="center"/>
          </w:tcPr>
          <w:p w:rsidRPr="00176F08" w:rsidR="008B2C1B" w:rsidP="007B52FC" w:rsidRDefault="008B2C1B" w14:paraId="5D43244E" w14:textId="77777777">
            <w:pPr>
              <w:jc w:val="center"/>
              <w:rPr>
                <w:rFonts w:ascii="Calibri" w:hAnsi="Calibri"/>
                <w:bCs/>
                <w:color w:val="000000"/>
              </w:rPr>
            </w:pPr>
            <w:r>
              <w:rPr>
                <w:rFonts w:ascii="Calibri" w:hAnsi="Calibri"/>
                <w:bCs/>
                <w:color w:val="000000"/>
              </w:rPr>
              <w:t>2,000</w:t>
            </w:r>
          </w:p>
        </w:tc>
        <w:tc>
          <w:tcPr>
            <w:tcW w:w="1440" w:type="dxa"/>
            <w:tcBorders>
              <w:top w:val="nil"/>
              <w:left w:val="single" w:color="auto" w:sz="4" w:space="0"/>
              <w:bottom w:val="single" w:color="auto" w:sz="4" w:space="0"/>
              <w:right w:val="single" w:color="auto" w:sz="4" w:space="0"/>
            </w:tcBorders>
            <w:vAlign w:val="center"/>
          </w:tcPr>
          <w:p w:rsidR="008B2C1B" w:rsidP="007B52FC" w:rsidRDefault="008B2C1B" w14:paraId="73D4B8D9" w14:textId="77777777">
            <w:pPr>
              <w:jc w:val="center"/>
              <w:rPr>
                <w:rFonts w:ascii="Calibri" w:hAnsi="Calibri"/>
                <w:color w:val="000000"/>
              </w:rPr>
            </w:pPr>
            <w:r>
              <w:rPr>
                <w:rFonts w:ascii="Calibri" w:hAnsi="Calibri"/>
                <w:color w:val="000000"/>
              </w:rPr>
              <w:t>1.8</w:t>
            </w:r>
          </w:p>
        </w:tc>
        <w:tc>
          <w:tcPr>
            <w:tcW w:w="1620" w:type="dxa"/>
            <w:tcBorders>
              <w:top w:val="nil"/>
              <w:left w:val="single" w:color="auto" w:sz="4" w:space="0"/>
              <w:bottom w:val="single" w:color="auto" w:sz="4" w:space="0"/>
              <w:right w:val="single" w:color="auto" w:sz="4" w:space="0"/>
            </w:tcBorders>
            <w:shd w:val="clear" w:color="auto" w:fill="auto"/>
            <w:vAlign w:val="center"/>
          </w:tcPr>
          <w:p w:rsidRPr="000D0D56" w:rsidR="008B2C1B" w:rsidP="007B52FC" w:rsidRDefault="008B2C1B" w14:paraId="42C447FB" w14:textId="77777777">
            <w:pPr>
              <w:jc w:val="center"/>
              <w:rPr>
                <w:rFonts w:ascii="Calibri" w:hAnsi="Calibri"/>
                <w:color w:val="000000"/>
              </w:rPr>
            </w:pPr>
            <w:r>
              <w:rPr>
                <w:rFonts w:ascii="Calibri" w:hAnsi="Calibri"/>
                <w:color w:val="000000"/>
              </w:rPr>
              <w:t>2.9</w:t>
            </w:r>
          </w:p>
        </w:tc>
      </w:tr>
      <w:tr w:rsidR="008B2C1B" w:rsidTr="0092309B" w14:paraId="3BE2A8F1" w14:textId="77777777">
        <w:trPr>
          <w:trHeight w:val="323"/>
        </w:trPr>
        <w:tc>
          <w:tcPr>
            <w:tcW w:w="3572" w:type="dxa"/>
            <w:tcBorders>
              <w:top w:val="single" w:color="auto" w:sz="4" w:space="0"/>
              <w:left w:val="single" w:color="auto" w:sz="4" w:space="0"/>
              <w:bottom w:val="single" w:color="auto" w:sz="4" w:space="0"/>
              <w:right w:val="single" w:color="auto" w:sz="4" w:space="0"/>
            </w:tcBorders>
            <w:shd w:val="clear" w:color="auto" w:fill="auto"/>
            <w:vAlign w:val="center"/>
          </w:tcPr>
          <w:p w:rsidRPr="00176F08" w:rsidR="008B2C1B" w:rsidP="007B52FC" w:rsidRDefault="008B2C1B" w14:paraId="4623C268" w14:textId="77777777">
            <w:pPr>
              <w:rPr>
                <w:b/>
                <w:color w:val="000000"/>
              </w:rPr>
            </w:pPr>
            <w:r w:rsidRPr="00176F08">
              <w:rPr>
                <w:b/>
                <w:color w:val="000000"/>
              </w:rPr>
              <w:lastRenderedPageBreak/>
              <w:t>Substance Use Disorders (SUD)</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76F08" w:rsidR="008B2C1B" w:rsidP="007B52FC" w:rsidRDefault="008B2C1B" w14:paraId="64E5DFBA" w14:textId="77777777">
            <w:pPr>
              <w:jc w:val="center"/>
              <w:rPr>
                <w:rFonts w:ascii="Calibri" w:hAnsi="Calibri"/>
                <w:bCs/>
                <w:color w:val="000000"/>
              </w:rPr>
            </w:pPr>
            <w:r w:rsidRPr="00176F08">
              <w:rPr>
                <w:rFonts w:ascii="Calibri" w:hAnsi="Calibri"/>
                <w:bCs/>
                <w:color w:val="000000"/>
              </w:rPr>
              <w:t>5,</w:t>
            </w:r>
            <w:r>
              <w:rPr>
                <w:rFonts w:ascii="Calibri" w:hAnsi="Calibri"/>
                <w:bCs/>
                <w:color w:val="000000"/>
              </w:rPr>
              <w:t>000</w:t>
            </w:r>
          </w:p>
        </w:tc>
        <w:tc>
          <w:tcPr>
            <w:tcW w:w="1440" w:type="dxa"/>
            <w:tcBorders>
              <w:top w:val="single" w:color="auto" w:sz="4" w:space="0"/>
              <w:left w:val="single" w:color="auto" w:sz="4" w:space="0"/>
              <w:bottom w:val="single" w:color="auto" w:sz="4" w:space="0"/>
              <w:right w:val="single" w:color="auto" w:sz="4" w:space="0"/>
            </w:tcBorders>
            <w:vAlign w:val="center"/>
          </w:tcPr>
          <w:p w:rsidRPr="00250E7B" w:rsidR="008B2C1B" w:rsidP="007B52FC" w:rsidRDefault="008B2C1B" w14:paraId="61C4DB81" w14:textId="77777777">
            <w:pPr>
              <w:jc w:val="center"/>
              <w:rPr>
                <w:rFonts w:ascii="Calibri" w:hAnsi="Calibri"/>
                <w:bCs/>
                <w:color w:val="000000"/>
              </w:rPr>
            </w:pPr>
            <w:r>
              <w:rPr>
                <w:rFonts w:ascii="Calibri" w:hAnsi="Calibri"/>
                <w:bCs/>
                <w:color w:val="000000"/>
              </w:rPr>
              <w:t>2.0</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250E7B" w:rsidR="008B2C1B" w:rsidP="007B52FC" w:rsidRDefault="008B2C1B" w14:paraId="5825C425" w14:textId="77777777">
            <w:pPr>
              <w:jc w:val="center"/>
              <w:rPr>
                <w:rFonts w:ascii="Calibri" w:hAnsi="Calibri"/>
                <w:color w:val="000000"/>
              </w:rPr>
            </w:pPr>
            <w:r w:rsidRPr="00250E7B">
              <w:rPr>
                <w:rFonts w:ascii="Calibri" w:hAnsi="Calibri"/>
                <w:bCs/>
                <w:color w:val="000000"/>
              </w:rPr>
              <w:t>1.8</w:t>
            </w:r>
          </w:p>
        </w:tc>
      </w:tr>
      <w:tr w:rsidR="008B2C1B" w:rsidTr="007B52FC" w14:paraId="4ADEE823" w14:textId="77777777">
        <w:trPr>
          <w:trHeight w:val="323"/>
        </w:trPr>
        <w:tc>
          <w:tcPr>
            <w:tcW w:w="3572" w:type="dxa"/>
            <w:tcBorders>
              <w:top w:val="single" w:color="auto" w:sz="4" w:space="0"/>
              <w:left w:val="single" w:color="auto" w:sz="4" w:space="0"/>
              <w:bottom w:val="single" w:color="auto" w:sz="4" w:space="0"/>
              <w:right w:val="single" w:color="auto" w:sz="4" w:space="0"/>
            </w:tcBorders>
            <w:shd w:val="clear" w:color="auto" w:fill="auto"/>
            <w:vAlign w:val="center"/>
          </w:tcPr>
          <w:p w:rsidRPr="00176F08" w:rsidR="008B2C1B" w:rsidP="007B52FC" w:rsidRDefault="008B2C1B" w14:paraId="0177F5CE" w14:textId="77777777">
            <w:pPr>
              <w:rPr>
                <w:i/>
                <w:color w:val="000000"/>
              </w:rPr>
            </w:pPr>
            <w:r w:rsidRPr="00176F08">
              <w:rPr>
                <w:i/>
                <w:color w:val="000000"/>
              </w:rPr>
              <w:t>Hispanic</w:t>
            </w:r>
          </w:p>
        </w:tc>
        <w:tc>
          <w:tcPr>
            <w:tcW w:w="1350" w:type="dxa"/>
            <w:tcBorders>
              <w:top w:val="single" w:color="auto" w:sz="4" w:space="0"/>
              <w:left w:val="single" w:color="auto" w:sz="4" w:space="0"/>
              <w:bottom w:val="single" w:color="auto" w:sz="4" w:space="0"/>
              <w:right w:val="single" w:color="auto" w:sz="8" w:space="0"/>
            </w:tcBorders>
            <w:shd w:val="clear" w:color="auto" w:fill="auto"/>
            <w:vAlign w:val="center"/>
          </w:tcPr>
          <w:p w:rsidRPr="00176F08" w:rsidR="008B2C1B" w:rsidP="007B52FC" w:rsidRDefault="008B2C1B" w14:paraId="721D818D" w14:textId="77777777">
            <w:pPr>
              <w:jc w:val="center"/>
              <w:rPr>
                <w:rFonts w:ascii="Calibri" w:hAnsi="Calibri"/>
                <w:bCs/>
                <w:color w:val="000000"/>
              </w:rPr>
            </w:pPr>
            <w:r>
              <w:rPr>
                <w:rFonts w:ascii="Calibri" w:hAnsi="Calibri"/>
                <w:bCs/>
                <w:color w:val="000000"/>
              </w:rPr>
              <w:t>4</w:t>
            </w:r>
            <w:r w:rsidRPr="00176F08">
              <w:rPr>
                <w:rFonts w:ascii="Calibri" w:hAnsi="Calibri"/>
                <w:bCs/>
                <w:color w:val="000000"/>
              </w:rPr>
              <w:t>00</w:t>
            </w:r>
          </w:p>
        </w:tc>
        <w:tc>
          <w:tcPr>
            <w:tcW w:w="1440" w:type="dxa"/>
            <w:tcBorders>
              <w:top w:val="single" w:color="auto" w:sz="4" w:space="0"/>
              <w:left w:val="single" w:color="auto" w:sz="4" w:space="0"/>
              <w:bottom w:val="single" w:color="auto" w:sz="4" w:space="0"/>
              <w:right w:val="single" w:color="auto" w:sz="4" w:space="0"/>
            </w:tcBorders>
            <w:vAlign w:val="center"/>
          </w:tcPr>
          <w:p w:rsidR="008B2C1B" w:rsidP="007B52FC" w:rsidRDefault="008B2C1B" w14:paraId="70FFF462" w14:textId="77777777">
            <w:pPr>
              <w:jc w:val="center"/>
              <w:rPr>
                <w:rFonts w:ascii="Calibri" w:hAnsi="Calibri"/>
                <w:color w:val="000000"/>
              </w:rPr>
            </w:pPr>
            <w:r>
              <w:rPr>
                <w:rFonts w:ascii="Calibri" w:hAnsi="Calibri"/>
                <w:color w:val="000000"/>
              </w:rPr>
              <w:t>2.2</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0D0D56" w:rsidR="008B2C1B" w:rsidP="007B52FC" w:rsidRDefault="008B2C1B" w14:paraId="264F4A37" w14:textId="77777777">
            <w:pPr>
              <w:jc w:val="center"/>
              <w:rPr>
                <w:rFonts w:ascii="Calibri" w:hAnsi="Calibri"/>
                <w:color w:val="000000"/>
              </w:rPr>
            </w:pPr>
            <w:r>
              <w:rPr>
                <w:rFonts w:ascii="Calibri" w:hAnsi="Calibri"/>
                <w:color w:val="000000"/>
              </w:rPr>
              <w:t>7.2</w:t>
            </w:r>
          </w:p>
        </w:tc>
      </w:tr>
      <w:tr w:rsidR="008B2C1B" w:rsidTr="007B52FC" w14:paraId="4DB5C680" w14:textId="77777777">
        <w:trPr>
          <w:trHeight w:val="323"/>
        </w:trPr>
        <w:tc>
          <w:tcPr>
            <w:tcW w:w="3572" w:type="dxa"/>
            <w:tcBorders>
              <w:top w:val="single" w:color="auto" w:sz="4" w:space="0"/>
              <w:left w:val="single" w:color="auto" w:sz="4" w:space="0"/>
              <w:bottom w:val="single" w:color="auto" w:sz="4" w:space="0"/>
              <w:right w:val="single" w:color="auto" w:sz="4" w:space="0"/>
            </w:tcBorders>
            <w:shd w:val="clear" w:color="auto" w:fill="auto"/>
            <w:vAlign w:val="center"/>
          </w:tcPr>
          <w:p w:rsidRPr="00176F08" w:rsidR="008B2C1B" w:rsidP="007B52FC" w:rsidRDefault="008B2C1B" w14:paraId="647C5D7B" w14:textId="77777777">
            <w:pPr>
              <w:rPr>
                <w:i/>
                <w:color w:val="000000"/>
              </w:rPr>
            </w:pPr>
            <w:r w:rsidRPr="00176F08">
              <w:rPr>
                <w:i/>
                <w:color w:val="000000"/>
              </w:rPr>
              <w:t>Non-Hispanic Black or African American</w:t>
            </w:r>
          </w:p>
        </w:tc>
        <w:tc>
          <w:tcPr>
            <w:tcW w:w="1350" w:type="dxa"/>
            <w:tcBorders>
              <w:top w:val="nil"/>
              <w:left w:val="single" w:color="auto" w:sz="4" w:space="0"/>
              <w:bottom w:val="single" w:color="auto" w:sz="4" w:space="0"/>
              <w:right w:val="single" w:color="auto" w:sz="8" w:space="0"/>
            </w:tcBorders>
            <w:shd w:val="clear" w:color="auto" w:fill="auto"/>
            <w:vAlign w:val="center"/>
          </w:tcPr>
          <w:p w:rsidRPr="00176F08" w:rsidR="008B2C1B" w:rsidP="007B52FC" w:rsidRDefault="008B2C1B" w14:paraId="121B1E90" w14:textId="77777777">
            <w:pPr>
              <w:jc w:val="center"/>
              <w:rPr>
                <w:rFonts w:ascii="Calibri" w:hAnsi="Calibri"/>
                <w:bCs/>
                <w:color w:val="000000"/>
              </w:rPr>
            </w:pPr>
            <w:r>
              <w:rPr>
                <w:rFonts w:ascii="Calibri" w:hAnsi="Calibri"/>
                <w:bCs/>
                <w:color w:val="000000"/>
              </w:rPr>
              <w:t>7</w:t>
            </w:r>
            <w:r w:rsidRPr="00176F08">
              <w:rPr>
                <w:rFonts w:ascii="Calibri" w:hAnsi="Calibri"/>
                <w:bCs/>
                <w:color w:val="000000"/>
              </w:rPr>
              <w:t>00</w:t>
            </w:r>
          </w:p>
        </w:tc>
        <w:tc>
          <w:tcPr>
            <w:tcW w:w="1440" w:type="dxa"/>
            <w:tcBorders>
              <w:top w:val="nil"/>
              <w:left w:val="single" w:color="auto" w:sz="4" w:space="0"/>
              <w:bottom w:val="single" w:color="auto" w:sz="4" w:space="0"/>
              <w:right w:val="single" w:color="auto" w:sz="4" w:space="0"/>
            </w:tcBorders>
            <w:vAlign w:val="center"/>
          </w:tcPr>
          <w:p w:rsidR="008B2C1B" w:rsidP="007B52FC" w:rsidRDefault="008B2C1B" w14:paraId="35703CDA" w14:textId="77777777">
            <w:pPr>
              <w:jc w:val="center"/>
              <w:rPr>
                <w:rFonts w:ascii="Calibri" w:hAnsi="Calibri"/>
                <w:color w:val="000000"/>
              </w:rPr>
            </w:pPr>
            <w:r>
              <w:rPr>
                <w:rFonts w:ascii="Calibri" w:hAnsi="Calibri"/>
                <w:color w:val="000000"/>
              </w:rPr>
              <w:t>2.0</w:t>
            </w:r>
          </w:p>
        </w:tc>
        <w:tc>
          <w:tcPr>
            <w:tcW w:w="1620" w:type="dxa"/>
            <w:tcBorders>
              <w:top w:val="nil"/>
              <w:left w:val="single" w:color="auto" w:sz="4" w:space="0"/>
              <w:bottom w:val="single" w:color="auto" w:sz="4" w:space="0"/>
              <w:right w:val="single" w:color="auto" w:sz="4" w:space="0"/>
            </w:tcBorders>
            <w:shd w:val="clear" w:color="auto" w:fill="auto"/>
            <w:vAlign w:val="center"/>
          </w:tcPr>
          <w:p w:rsidRPr="000D0D56" w:rsidR="008B2C1B" w:rsidP="007B52FC" w:rsidRDefault="008B2C1B" w14:paraId="2DDB3610" w14:textId="77777777">
            <w:pPr>
              <w:jc w:val="center"/>
              <w:rPr>
                <w:rFonts w:ascii="Calibri" w:hAnsi="Calibri"/>
                <w:color w:val="000000"/>
              </w:rPr>
            </w:pPr>
            <w:r>
              <w:rPr>
                <w:rFonts w:ascii="Calibri" w:hAnsi="Calibri"/>
                <w:color w:val="000000"/>
              </w:rPr>
              <w:t>5.2</w:t>
            </w:r>
          </w:p>
        </w:tc>
      </w:tr>
      <w:tr w:rsidR="008B2C1B" w:rsidTr="007B52FC" w14:paraId="08940AAC" w14:textId="77777777">
        <w:trPr>
          <w:trHeight w:val="323"/>
        </w:trPr>
        <w:tc>
          <w:tcPr>
            <w:tcW w:w="3572" w:type="dxa"/>
            <w:tcBorders>
              <w:top w:val="single" w:color="auto" w:sz="4" w:space="0"/>
              <w:left w:val="single" w:color="auto" w:sz="4" w:space="0"/>
              <w:bottom w:val="single" w:color="auto" w:sz="4" w:space="0"/>
              <w:right w:val="single" w:color="auto" w:sz="4" w:space="0"/>
            </w:tcBorders>
            <w:shd w:val="clear" w:color="auto" w:fill="auto"/>
            <w:vAlign w:val="center"/>
          </w:tcPr>
          <w:p w:rsidRPr="00176F08" w:rsidR="008B2C1B" w:rsidP="007B52FC" w:rsidRDefault="008B2C1B" w14:paraId="518CE94D" w14:textId="77777777">
            <w:pPr>
              <w:rPr>
                <w:i/>
                <w:color w:val="000000"/>
              </w:rPr>
            </w:pPr>
            <w:r w:rsidRPr="00176F08">
              <w:rPr>
                <w:i/>
                <w:color w:val="000000"/>
              </w:rPr>
              <w:t>Non-Hispanic Other, including White</w:t>
            </w:r>
          </w:p>
        </w:tc>
        <w:tc>
          <w:tcPr>
            <w:tcW w:w="1350" w:type="dxa"/>
            <w:tcBorders>
              <w:top w:val="nil"/>
              <w:left w:val="single" w:color="auto" w:sz="4" w:space="0"/>
              <w:bottom w:val="single" w:color="auto" w:sz="4" w:space="0"/>
              <w:right w:val="single" w:color="auto" w:sz="8" w:space="0"/>
            </w:tcBorders>
            <w:shd w:val="clear" w:color="auto" w:fill="auto"/>
            <w:vAlign w:val="center"/>
          </w:tcPr>
          <w:p w:rsidR="008B2C1B" w:rsidP="007B52FC" w:rsidRDefault="008B2C1B" w14:paraId="25DF0FC8" w14:textId="77777777">
            <w:pPr>
              <w:jc w:val="center"/>
              <w:rPr>
                <w:rFonts w:ascii="Calibri" w:hAnsi="Calibri"/>
                <w:bCs/>
                <w:color w:val="000000"/>
              </w:rPr>
            </w:pPr>
            <w:r>
              <w:rPr>
                <w:rFonts w:ascii="Calibri" w:hAnsi="Calibri"/>
                <w:bCs/>
                <w:color w:val="000000"/>
              </w:rPr>
              <w:t>3,9</w:t>
            </w:r>
            <w:r w:rsidRPr="00176F08">
              <w:rPr>
                <w:rFonts w:ascii="Calibri" w:hAnsi="Calibri"/>
                <w:bCs/>
                <w:color w:val="000000"/>
              </w:rPr>
              <w:t>00</w:t>
            </w:r>
          </w:p>
        </w:tc>
        <w:tc>
          <w:tcPr>
            <w:tcW w:w="1440" w:type="dxa"/>
            <w:tcBorders>
              <w:top w:val="nil"/>
              <w:left w:val="single" w:color="auto" w:sz="4" w:space="0"/>
              <w:bottom w:val="single" w:color="auto" w:sz="4" w:space="0"/>
              <w:right w:val="single" w:color="auto" w:sz="4" w:space="0"/>
            </w:tcBorders>
            <w:vAlign w:val="center"/>
          </w:tcPr>
          <w:p w:rsidR="008B2C1B" w:rsidP="007B52FC" w:rsidRDefault="008B2C1B" w14:paraId="796D3934" w14:textId="77777777">
            <w:pPr>
              <w:jc w:val="center"/>
              <w:rPr>
                <w:rFonts w:ascii="Calibri" w:hAnsi="Calibri"/>
                <w:color w:val="000000"/>
              </w:rPr>
            </w:pPr>
            <w:r>
              <w:rPr>
                <w:rFonts w:ascii="Calibri" w:hAnsi="Calibri"/>
                <w:color w:val="000000"/>
              </w:rPr>
              <w:t>1.8</w:t>
            </w:r>
          </w:p>
        </w:tc>
        <w:tc>
          <w:tcPr>
            <w:tcW w:w="1620" w:type="dxa"/>
            <w:tcBorders>
              <w:top w:val="nil"/>
              <w:left w:val="single" w:color="auto" w:sz="4" w:space="0"/>
              <w:bottom w:val="single" w:color="auto" w:sz="4" w:space="0"/>
              <w:right w:val="single" w:color="auto" w:sz="4" w:space="0"/>
            </w:tcBorders>
            <w:shd w:val="clear" w:color="auto" w:fill="auto"/>
            <w:vAlign w:val="center"/>
          </w:tcPr>
          <w:p w:rsidR="008B2C1B" w:rsidP="007B52FC" w:rsidRDefault="008B2C1B" w14:paraId="6E388004" w14:textId="77777777">
            <w:pPr>
              <w:jc w:val="center"/>
              <w:rPr>
                <w:rFonts w:ascii="Calibri" w:hAnsi="Calibri"/>
                <w:color w:val="000000"/>
              </w:rPr>
            </w:pPr>
            <w:r>
              <w:rPr>
                <w:rFonts w:ascii="Calibri" w:hAnsi="Calibri"/>
                <w:color w:val="000000"/>
              </w:rPr>
              <w:t>2.0</w:t>
            </w:r>
          </w:p>
        </w:tc>
      </w:tr>
    </w:tbl>
    <w:p w:rsidRPr="0092309B" w:rsidR="0092309B" w:rsidP="00C63806" w:rsidRDefault="0092309B" w14:paraId="7E4E7D4E" w14:textId="7F2B08FA">
      <w:pPr>
        <w:rPr>
          <w:bCs/>
          <w:sz w:val="20"/>
          <w:szCs w:val="20"/>
        </w:rPr>
      </w:pPr>
      <w:r w:rsidRPr="0092309B">
        <w:rPr>
          <w:sz w:val="20"/>
          <w:szCs w:val="20"/>
        </w:rPr>
        <w:t>*A design effect of 2.0 is assumed for the Total across Domains a-f and a design effect of 1.2 is assumed for each sub-group sample. A correlation of .10 between the population domain estimate and each benchmark estimate is assumed.</w:t>
      </w:r>
      <w:r w:rsidRPr="0092309B">
        <w:rPr>
          <w:sz w:val="20"/>
          <w:szCs w:val="20"/>
        </w:rPr>
        <w:tab/>
      </w:r>
    </w:p>
    <w:p w:rsidR="0092309B" w:rsidP="00C63806" w:rsidRDefault="0092309B" w14:paraId="242A206F" w14:textId="77777777">
      <w:pPr>
        <w:rPr>
          <w:bCs/>
          <w:szCs w:val="22"/>
        </w:rPr>
      </w:pPr>
    </w:p>
    <w:p w:rsidRPr="00250E7B" w:rsidR="00A720C1" w:rsidP="00C63806" w:rsidRDefault="00A720C1" w14:paraId="09F74650" w14:textId="10FCC308">
      <w:pPr>
        <w:rPr>
          <w:bCs/>
          <w:szCs w:val="22"/>
        </w:rPr>
      </w:pPr>
      <w:r>
        <w:rPr>
          <w:bCs/>
          <w:szCs w:val="22"/>
        </w:rPr>
        <w:t>The sample will be selected using a simple random sample stratified by each of the six strata (primary group crossed by race/ethnicity). The sample will be drawn to reflect current estimated response rates determined at the time of sample selection,</w:t>
      </w:r>
    </w:p>
    <w:p w:rsidRPr="0092309B" w:rsidR="00DF11C7" w:rsidP="0092309B" w:rsidRDefault="005453AD" w14:paraId="1B63FEAF" w14:textId="10F11CF2">
      <w:pPr>
        <w:pStyle w:val="Heading2"/>
      </w:pPr>
      <w:bookmarkStart w:name="_Toc151782200" w:id="6"/>
      <w:bookmarkStart w:name="_Toc158526236" w:id="7"/>
      <w:bookmarkStart w:name="_Toc66294009" w:id="8"/>
      <w:r w:rsidRPr="001D0454">
        <w:t>2. Information Collection Procedures</w:t>
      </w:r>
      <w:bookmarkEnd w:id="6"/>
      <w:bookmarkEnd w:id="7"/>
      <w:bookmarkEnd w:id="8"/>
    </w:p>
    <w:p w:rsidRPr="00EB1D0B" w:rsidR="00EB1D0B" w:rsidP="0092309B" w:rsidRDefault="00642DAA" w14:paraId="662E39F1" w14:textId="77777777">
      <w:pPr>
        <w:pStyle w:val="BodyText"/>
        <w:spacing w:after="120"/>
        <w:rPr>
          <w:b/>
          <w:szCs w:val="24"/>
        </w:rPr>
      </w:pPr>
      <w:r>
        <w:rPr>
          <w:b/>
          <w:szCs w:val="24"/>
        </w:rPr>
        <w:t>MBECS Core</w:t>
      </w:r>
      <w:r w:rsidR="007F6A9A">
        <w:rPr>
          <w:b/>
          <w:szCs w:val="24"/>
        </w:rPr>
        <w:t xml:space="preserve"> </w:t>
      </w:r>
      <w:r w:rsidRPr="00EB1D0B" w:rsidR="00EB1D0B">
        <w:rPr>
          <w:b/>
          <w:szCs w:val="24"/>
        </w:rPr>
        <w:t>Questionnaire</w:t>
      </w:r>
    </w:p>
    <w:p w:rsidR="005D1BD6" w:rsidP="005D1BD6" w:rsidRDefault="005D1BD6" w14:paraId="1671BF80" w14:textId="76C062FE">
      <w:pPr>
        <w:pStyle w:val="BodyText"/>
        <w:rPr>
          <w:bCs/>
        </w:rPr>
      </w:pPr>
      <w:r>
        <w:rPr>
          <w:szCs w:val="24"/>
        </w:rPr>
        <w:t xml:space="preserve">The </w:t>
      </w:r>
      <w:r w:rsidR="00B57596">
        <w:rPr>
          <w:szCs w:val="24"/>
        </w:rPr>
        <w:t>MBECS</w:t>
      </w:r>
      <w:r>
        <w:rPr>
          <w:szCs w:val="24"/>
        </w:rPr>
        <w:t xml:space="preserve"> questionnaire uses items from three surveys relevant to </w:t>
      </w:r>
      <w:r w:rsidR="00931F2D">
        <w:rPr>
          <w:szCs w:val="24"/>
        </w:rPr>
        <w:t>the Medicare population</w:t>
      </w:r>
      <w:r>
        <w:rPr>
          <w:szCs w:val="24"/>
        </w:rPr>
        <w:t xml:space="preserve">: </w:t>
      </w:r>
      <w:proofErr w:type="gramStart"/>
      <w:r w:rsidRPr="005D1BD6">
        <w:rPr>
          <w:bCs/>
          <w:szCs w:val="22"/>
        </w:rPr>
        <w:t>the</w:t>
      </w:r>
      <w:proofErr w:type="gramEnd"/>
      <w:r w:rsidRPr="005D1BD6">
        <w:rPr>
          <w:bCs/>
          <w:szCs w:val="22"/>
        </w:rPr>
        <w:t xml:space="preserve"> Fee </w:t>
      </w:r>
      <w:r w:rsidRPr="005D1BD6" w:rsidR="00387984">
        <w:rPr>
          <w:bCs/>
          <w:szCs w:val="22"/>
        </w:rPr>
        <w:t>for</w:t>
      </w:r>
      <w:r w:rsidRPr="005D1BD6">
        <w:rPr>
          <w:bCs/>
          <w:szCs w:val="22"/>
        </w:rPr>
        <w:t xml:space="preserve"> Service</w:t>
      </w:r>
      <w:r>
        <w:rPr>
          <w:bCs/>
          <w:szCs w:val="22"/>
        </w:rPr>
        <w:t xml:space="preserve"> (FFS) </w:t>
      </w:r>
      <w:r w:rsidRPr="00477AE9" w:rsidR="00477AE9">
        <w:rPr>
          <w:bCs/>
          <w:szCs w:val="22"/>
        </w:rPr>
        <w:t>Consumer Assessment of Healthcare Providers and Systems (CAHPS®)</w:t>
      </w:r>
      <w:r w:rsidRPr="005D1BD6">
        <w:rPr>
          <w:bCs/>
          <w:szCs w:val="22"/>
        </w:rPr>
        <w:t>, Medicare Advantage</w:t>
      </w:r>
      <w:r>
        <w:rPr>
          <w:bCs/>
          <w:szCs w:val="22"/>
        </w:rPr>
        <w:t xml:space="preserve"> (MA) CAHPS</w:t>
      </w:r>
      <w:r w:rsidRPr="005D1BD6">
        <w:rPr>
          <w:bCs/>
          <w:szCs w:val="22"/>
        </w:rPr>
        <w:t>, and Nationwide Adult Medicaid</w:t>
      </w:r>
      <w:r w:rsidR="00335849">
        <w:rPr>
          <w:bCs/>
          <w:szCs w:val="22"/>
        </w:rPr>
        <w:t xml:space="preserve"> (NAM)</w:t>
      </w:r>
      <w:r w:rsidRPr="005D1BD6">
        <w:rPr>
          <w:bCs/>
          <w:szCs w:val="22"/>
        </w:rPr>
        <w:t xml:space="preserve"> CAHPS surveys</w:t>
      </w:r>
      <w:r>
        <w:rPr>
          <w:bCs/>
          <w:szCs w:val="22"/>
        </w:rPr>
        <w:t>.</w:t>
      </w:r>
      <w:r w:rsidR="00AF517A">
        <w:rPr>
          <w:bCs/>
          <w:szCs w:val="22"/>
        </w:rPr>
        <w:t xml:space="preserve"> </w:t>
      </w:r>
      <w:r>
        <w:rPr>
          <w:bCs/>
          <w:szCs w:val="22"/>
        </w:rPr>
        <w:t>Questions cover</w:t>
      </w:r>
      <w:r w:rsidR="00EB1D0B">
        <w:rPr>
          <w:bCs/>
          <w:szCs w:val="22"/>
        </w:rPr>
        <w:t xml:space="preserve"> the following areas using a 6-month look-back period</w:t>
      </w:r>
      <w:r>
        <w:rPr>
          <w:bCs/>
          <w:szCs w:val="22"/>
        </w:rPr>
        <w:t>:</w:t>
      </w:r>
      <w:r>
        <w:rPr>
          <w:bCs/>
        </w:rPr>
        <w:t xml:space="preserve"> </w:t>
      </w:r>
    </w:p>
    <w:p w:rsidR="008B30BA" w:rsidP="005D1BD6" w:rsidRDefault="008B30BA" w14:paraId="24CC4906" w14:textId="77777777">
      <w:pPr>
        <w:pStyle w:val="BodyText"/>
        <w:rPr>
          <w:bCs/>
        </w:rPr>
      </w:pPr>
    </w:p>
    <w:p w:rsidRPr="005D1BD6" w:rsidR="005D1BD6" w:rsidP="0031285A" w:rsidRDefault="005D1BD6" w14:paraId="4C1A3582" w14:textId="77777777">
      <w:pPr>
        <w:pStyle w:val="BodyText"/>
        <w:numPr>
          <w:ilvl w:val="0"/>
          <w:numId w:val="7"/>
        </w:numPr>
        <w:spacing w:after="120"/>
      </w:pPr>
      <w:r>
        <w:rPr>
          <w:bCs/>
        </w:rPr>
        <w:t>Health</w:t>
      </w:r>
      <w:r w:rsidR="00642DAA">
        <w:rPr>
          <w:bCs/>
        </w:rPr>
        <w:t xml:space="preserve"> </w:t>
      </w:r>
      <w:r>
        <w:rPr>
          <w:bCs/>
        </w:rPr>
        <w:t>care utilization</w:t>
      </w:r>
      <w:r w:rsidR="00EB1D0B">
        <w:rPr>
          <w:bCs/>
        </w:rPr>
        <w:t xml:space="preserve"> (e.g. health care needed, getting appointments, prescription medicines)</w:t>
      </w:r>
    </w:p>
    <w:p w:rsidRPr="00EB1D0B" w:rsidR="005D1BD6" w:rsidP="0031285A" w:rsidRDefault="00EB1D0B" w14:paraId="24839D43" w14:textId="77777777">
      <w:pPr>
        <w:pStyle w:val="BodyText"/>
        <w:numPr>
          <w:ilvl w:val="0"/>
          <w:numId w:val="7"/>
        </w:numPr>
        <w:spacing w:after="120"/>
      </w:pPr>
      <w:r>
        <w:rPr>
          <w:bCs/>
        </w:rPr>
        <w:t>Experience with care (e.g. global rating of health care, wait times)</w:t>
      </w:r>
    </w:p>
    <w:p w:rsidRPr="00EB1D0B" w:rsidR="00EB1D0B" w:rsidP="0031285A" w:rsidRDefault="00EB1D0B" w14:paraId="6834CF6E" w14:textId="4C7F6182">
      <w:pPr>
        <w:pStyle w:val="BodyText"/>
        <w:numPr>
          <w:ilvl w:val="0"/>
          <w:numId w:val="7"/>
        </w:numPr>
        <w:spacing w:after="120"/>
      </w:pPr>
      <w:r>
        <w:rPr>
          <w:bCs/>
        </w:rPr>
        <w:t xml:space="preserve">Care from personal </w:t>
      </w:r>
      <w:r w:rsidR="00195C04">
        <w:rPr>
          <w:bCs/>
        </w:rPr>
        <w:t>health care provider</w:t>
      </w:r>
      <w:r>
        <w:rPr>
          <w:bCs/>
        </w:rPr>
        <w:t xml:space="preserve"> and specialists (e.g. number of visits, global ratings, care coordination)</w:t>
      </w:r>
      <w:bookmarkStart w:name="_GoBack" w:id="9"/>
      <w:bookmarkEnd w:id="9"/>
    </w:p>
    <w:p w:rsidRPr="005D1BD6" w:rsidR="00EB1D0B" w:rsidP="0031285A" w:rsidRDefault="00EB1D0B" w14:paraId="4D06A2BA" w14:textId="77777777">
      <w:pPr>
        <w:pStyle w:val="BodyText"/>
        <w:numPr>
          <w:ilvl w:val="0"/>
          <w:numId w:val="7"/>
        </w:numPr>
        <w:spacing w:after="120"/>
      </w:pPr>
      <w:r>
        <w:rPr>
          <w:bCs/>
        </w:rPr>
        <w:t>Experience with health plan (e.g. customer service, health plan rating)</w:t>
      </w:r>
    </w:p>
    <w:p w:rsidR="0092309B" w:rsidP="0092309B" w:rsidRDefault="0092309B" w14:paraId="16F73449" w14:textId="77777777">
      <w:pPr>
        <w:pStyle w:val="BodyText"/>
        <w:rPr>
          <w:b/>
          <w:bCs/>
        </w:rPr>
      </w:pPr>
    </w:p>
    <w:p w:rsidR="0092309B" w:rsidP="0092309B" w:rsidRDefault="008B30BA" w14:paraId="7E828C65" w14:textId="77777777">
      <w:pPr>
        <w:pStyle w:val="BodyText"/>
        <w:spacing w:after="120"/>
        <w:rPr>
          <w:b/>
          <w:bCs/>
        </w:rPr>
      </w:pPr>
      <w:r w:rsidRPr="0031285A">
        <w:rPr>
          <w:b/>
          <w:bCs/>
        </w:rPr>
        <w:t>MBECS Population-Specific Questionnaire Module</w:t>
      </w:r>
      <w:r w:rsidR="00D302E3">
        <w:rPr>
          <w:b/>
          <w:bCs/>
        </w:rPr>
        <w:t>s</w:t>
      </w:r>
    </w:p>
    <w:p w:rsidRPr="0092309B" w:rsidR="00EB1D0B" w:rsidP="0092309B" w:rsidRDefault="008B30BA" w14:paraId="51378EBC" w14:textId="7150FA9F">
      <w:pPr>
        <w:pStyle w:val="BodyText"/>
        <w:rPr>
          <w:b/>
          <w:bCs/>
        </w:rPr>
      </w:pPr>
      <w:r>
        <w:rPr>
          <w:bCs/>
        </w:rPr>
        <w:t>For each surveyed population, the MBECS questionnaire will include a brief module that contains population-specific questions. These</w:t>
      </w:r>
      <w:r w:rsidR="00D45207">
        <w:rPr>
          <w:bCs/>
        </w:rPr>
        <w:t xml:space="preserve"> questions</w:t>
      </w:r>
      <w:r>
        <w:rPr>
          <w:bCs/>
        </w:rPr>
        <w:t xml:space="preserve"> will be included in individual information collection requests as they have not yet been identified. Population-specific </w:t>
      </w:r>
      <w:r w:rsidR="00D45207">
        <w:rPr>
          <w:bCs/>
        </w:rPr>
        <w:t>questions</w:t>
      </w:r>
      <w:r>
        <w:rPr>
          <w:bCs/>
        </w:rPr>
        <w:t xml:space="preserve"> will be taken from already approved Federal surveys</w:t>
      </w:r>
      <w:r w:rsidR="00335849">
        <w:rPr>
          <w:bCs/>
        </w:rPr>
        <w:t xml:space="preserve"> (e.g., the National Health Interview Survey, the Medicare Current Beneficiary Survey, the Current Population Survey, etc.)</w:t>
      </w:r>
      <w:r>
        <w:rPr>
          <w:bCs/>
        </w:rPr>
        <w:t>.</w:t>
      </w:r>
      <w:r w:rsidR="00EB1D0B">
        <w:rPr>
          <w:bCs/>
        </w:rPr>
        <w:br/>
      </w:r>
    </w:p>
    <w:p w:rsidRPr="00D87D3D" w:rsidR="00DF11C7" w:rsidP="0092309B" w:rsidRDefault="007F6A9A" w14:paraId="5B6B946B" w14:textId="77777777">
      <w:pPr>
        <w:pStyle w:val="BodyText"/>
        <w:spacing w:after="120"/>
        <w:rPr>
          <w:b/>
          <w:bCs/>
        </w:rPr>
      </w:pPr>
      <w:r>
        <w:rPr>
          <w:b/>
          <w:bCs/>
        </w:rPr>
        <w:t xml:space="preserve">Respondent Recruitment and </w:t>
      </w:r>
      <w:r w:rsidRPr="00EB1D0B" w:rsidR="00EB1D0B">
        <w:rPr>
          <w:b/>
          <w:bCs/>
        </w:rPr>
        <w:t xml:space="preserve">Data </w:t>
      </w:r>
      <w:r>
        <w:rPr>
          <w:b/>
          <w:bCs/>
        </w:rPr>
        <w:t>C</w:t>
      </w:r>
      <w:r w:rsidRPr="00EB1D0B" w:rsidR="00EB1D0B">
        <w:rPr>
          <w:b/>
          <w:bCs/>
        </w:rPr>
        <w:t>ollection</w:t>
      </w:r>
    </w:p>
    <w:p w:rsidR="008D7DC9" w:rsidP="003E0A4D" w:rsidRDefault="005D1BD6" w14:paraId="4929A9B5" w14:textId="4DA2925A">
      <w:pPr>
        <w:pStyle w:val="BodyText"/>
        <w:rPr>
          <w:bCs/>
        </w:rPr>
      </w:pPr>
      <w:r w:rsidRPr="00101FF1">
        <w:rPr>
          <w:bCs/>
        </w:rPr>
        <w:t xml:space="preserve">The </w:t>
      </w:r>
      <w:r w:rsidR="00642DAA">
        <w:rPr>
          <w:bCs/>
        </w:rPr>
        <w:t xml:space="preserve">MBECS </w:t>
      </w:r>
      <w:r>
        <w:rPr>
          <w:bCs/>
        </w:rPr>
        <w:t xml:space="preserve">data collection </w:t>
      </w:r>
      <w:r w:rsidR="00642DAA">
        <w:rPr>
          <w:bCs/>
        </w:rPr>
        <w:t xml:space="preserve">system </w:t>
      </w:r>
      <w:r>
        <w:rPr>
          <w:bCs/>
        </w:rPr>
        <w:t xml:space="preserve">will </w:t>
      </w:r>
      <w:r w:rsidR="00B57596">
        <w:rPr>
          <w:bCs/>
        </w:rPr>
        <w:t xml:space="preserve">be based on </w:t>
      </w:r>
      <w:r w:rsidR="00AB3EB9">
        <w:rPr>
          <w:bCs/>
        </w:rPr>
        <w:t>enhanced</w:t>
      </w:r>
      <w:r>
        <w:rPr>
          <w:bCs/>
        </w:rPr>
        <w:t xml:space="preserve"> CAHP</w:t>
      </w:r>
      <w:r w:rsidR="00B57596">
        <w:rPr>
          <w:bCs/>
        </w:rPr>
        <w:t>S</w:t>
      </w:r>
      <w:r>
        <w:rPr>
          <w:bCs/>
        </w:rPr>
        <w:t xml:space="preserve"> methodology using </w:t>
      </w:r>
      <w:r w:rsidR="0031285A">
        <w:rPr>
          <w:bCs/>
        </w:rPr>
        <w:t>sequential</w:t>
      </w:r>
      <w:r w:rsidRPr="00101FF1">
        <w:rPr>
          <w:bCs/>
        </w:rPr>
        <w:t xml:space="preserve"> multi-mode (</w:t>
      </w:r>
      <w:r w:rsidR="00B57596">
        <w:rPr>
          <w:bCs/>
        </w:rPr>
        <w:t xml:space="preserve">web, </w:t>
      </w:r>
      <w:r w:rsidRPr="00101FF1">
        <w:rPr>
          <w:bCs/>
        </w:rPr>
        <w:t>mail</w:t>
      </w:r>
      <w:r w:rsidR="00B57596">
        <w:rPr>
          <w:bCs/>
        </w:rPr>
        <w:t>,</w:t>
      </w:r>
      <w:r w:rsidRPr="00101FF1">
        <w:rPr>
          <w:bCs/>
        </w:rPr>
        <w:t xml:space="preserve"> and telephone) </w:t>
      </w:r>
      <w:r>
        <w:rPr>
          <w:bCs/>
        </w:rPr>
        <w:t>approach.</w:t>
      </w:r>
      <w:r w:rsidR="00AF517A">
        <w:rPr>
          <w:bCs/>
        </w:rPr>
        <w:t xml:space="preserve"> </w:t>
      </w:r>
      <w:r w:rsidR="008B30BA">
        <w:rPr>
          <w:bCs/>
        </w:rPr>
        <w:t>Respondent materials</w:t>
      </w:r>
      <w:r w:rsidR="0031285A">
        <w:rPr>
          <w:bCs/>
        </w:rPr>
        <w:t xml:space="preserve"> (web survey invitation letters, </w:t>
      </w:r>
      <w:r w:rsidR="00477AE9">
        <w:rPr>
          <w:bCs/>
        </w:rPr>
        <w:t xml:space="preserve">Self-Administered Questionnaire </w:t>
      </w:r>
      <w:r w:rsidR="00D45207">
        <w:rPr>
          <w:bCs/>
        </w:rPr>
        <w:t xml:space="preserve">cover letters, </w:t>
      </w:r>
      <w:r w:rsidR="0031285A">
        <w:rPr>
          <w:bCs/>
        </w:rPr>
        <w:t>etc.)</w:t>
      </w:r>
      <w:r w:rsidR="008B30BA">
        <w:rPr>
          <w:bCs/>
        </w:rPr>
        <w:t xml:space="preserve"> will be population-specific and included in individual information collection requests.</w:t>
      </w:r>
      <w:r w:rsidR="00D302E3">
        <w:rPr>
          <w:bCs/>
        </w:rPr>
        <w:t xml:space="preserve"> CMS </w:t>
      </w:r>
      <w:r w:rsidR="00D302E3">
        <w:rPr>
          <w:bCs/>
        </w:rPr>
        <w:lastRenderedPageBreak/>
        <w:t>OMH anticipates that the data collection schedule for all minority populations of interest will be as follows:</w:t>
      </w:r>
    </w:p>
    <w:p w:rsidR="0092309B" w:rsidP="003E0A4D" w:rsidRDefault="0092309B" w14:paraId="5C48F8AD" w14:textId="77777777">
      <w:pPr>
        <w:pStyle w:val="BodyText"/>
        <w:rPr>
          <w:bCs/>
        </w:rPr>
      </w:pPr>
    </w:p>
    <w:p w:rsidR="008D7DC9" w:rsidP="00D45207" w:rsidRDefault="008D7DC9" w14:paraId="32675B66" w14:textId="3DBBF91C">
      <w:pPr>
        <w:pStyle w:val="BodyText"/>
        <w:numPr>
          <w:ilvl w:val="0"/>
          <w:numId w:val="8"/>
        </w:numPr>
        <w:spacing w:after="120"/>
        <w:rPr>
          <w:szCs w:val="24"/>
        </w:rPr>
      </w:pPr>
      <w:r>
        <w:rPr>
          <w:szCs w:val="24"/>
        </w:rPr>
        <w:t xml:space="preserve">Week 0: </w:t>
      </w:r>
      <w:r w:rsidRPr="005D1BD6" w:rsidR="00C578BD">
        <w:rPr>
          <w:szCs w:val="24"/>
        </w:rPr>
        <w:t xml:space="preserve">Respondents </w:t>
      </w:r>
      <w:r w:rsidR="00B57596">
        <w:rPr>
          <w:szCs w:val="24"/>
        </w:rPr>
        <w:t>will</w:t>
      </w:r>
      <w:r w:rsidRPr="005D1BD6" w:rsidR="00B57596">
        <w:rPr>
          <w:szCs w:val="24"/>
        </w:rPr>
        <w:t xml:space="preserve"> </w:t>
      </w:r>
      <w:r w:rsidRPr="005D1BD6" w:rsidR="00C578BD">
        <w:rPr>
          <w:szCs w:val="24"/>
        </w:rPr>
        <w:t xml:space="preserve">first </w:t>
      </w:r>
      <w:r w:rsidR="00B57596">
        <w:rPr>
          <w:szCs w:val="24"/>
        </w:rPr>
        <w:t xml:space="preserve">be </w:t>
      </w:r>
      <w:r w:rsidRPr="005D1BD6" w:rsidR="00C578BD">
        <w:rPr>
          <w:szCs w:val="24"/>
        </w:rPr>
        <w:t xml:space="preserve">sent a </w:t>
      </w:r>
      <w:r w:rsidR="00E30263">
        <w:rPr>
          <w:szCs w:val="24"/>
        </w:rPr>
        <w:t>web invitation</w:t>
      </w:r>
      <w:r w:rsidRPr="005D1BD6" w:rsidR="00C578BD">
        <w:rPr>
          <w:szCs w:val="24"/>
        </w:rPr>
        <w:t xml:space="preserve"> letter that explains the purpose of the survey and </w:t>
      </w:r>
      <w:r w:rsidR="00B57596">
        <w:rPr>
          <w:szCs w:val="24"/>
        </w:rPr>
        <w:t xml:space="preserve">provides the web survey URL and </w:t>
      </w:r>
      <w:r w:rsidR="00CE339F">
        <w:rPr>
          <w:szCs w:val="24"/>
        </w:rPr>
        <w:t>personal access code (PAC)</w:t>
      </w:r>
      <w:r w:rsidR="00B57596">
        <w:rPr>
          <w:szCs w:val="24"/>
        </w:rPr>
        <w:t xml:space="preserve"> to securely access the survey. </w:t>
      </w:r>
      <w:r w:rsidR="00387984">
        <w:rPr>
          <w:szCs w:val="24"/>
        </w:rPr>
        <w:t xml:space="preserve">Any respondents whose </w:t>
      </w:r>
      <w:r w:rsidR="00CE339F">
        <w:rPr>
          <w:szCs w:val="24"/>
        </w:rPr>
        <w:t>web invitation</w:t>
      </w:r>
      <w:r w:rsidR="00387984">
        <w:rPr>
          <w:szCs w:val="24"/>
        </w:rPr>
        <w:t xml:space="preserve"> letter </w:t>
      </w:r>
      <w:r w:rsidR="007F6A9A">
        <w:rPr>
          <w:szCs w:val="24"/>
        </w:rPr>
        <w:t xml:space="preserve">is </w:t>
      </w:r>
      <w:r w:rsidR="00387984">
        <w:rPr>
          <w:szCs w:val="24"/>
        </w:rPr>
        <w:t xml:space="preserve">returned as undeliverable will undergo enhanced </w:t>
      </w:r>
      <w:r w:rsidR="00D45207">
        <w:rPr>
          <w:szCs w:val="24"/>
        </w:rPr>
        <w:t>locating</w:t>
      </w:r>
      <w:r w:rsidR="0068063F">
        <w:rPr>
          <w:szCs w:val="24"/>
        </w:rPr>
        <w:t xml:space="preserve"> </w:t>
      </w:r>
      <w:r w:rsidR="00D45207">
        <w:rPr>
          <w:szCs w:val="24"/>
        </w:rPr>
        <w:t xml:space="preserve">techniques </w:t>
      </w:r>
      <w:r w:rsidR="0068063F">
        <w:rPr>
          <w:szCs w:val="24"/>
        </w:rPr>
        <w:t>(described below in “Methods to Maximize Response Rates”</w:t>
      </w:r>
      <w:r w:rsidR="004A534E">
        <w:rPr>
          <w:szCs w:val="24"/>
        </w:rPr>
        <w:t>).</w:t>
      </w:r>
    </w:p>
    <w:p w:rsidR="008D7DC9" w:rsidP="00D45207" w:rsidRDefault="008D7DC9" w14:paraId="422A3544" w14:textId="7B58C574">
      <w:pPr>
        <w:pStyle w:val="BodyText"/>
        <w:numPr>
          <w:ilvl w:val="0"/>
          <w:numId w:val="8"/>
        </w:numPr>
        <w:spacing w:after="120"/>
        <w:rPr>
          <w:szCs w:val="24"/>
        </w:rPr>
      </w:pPr>
      <w:r>
        <w:rPr>
          <w:szCs w:val="24"/>
        </w:rPr>
        <w:t xml:space="preserve">Week 3: </w:t>
      </w:r>
      <w:r w:rsidRPr="008D7DC9" w:rsidR="005A6271">
        <w:rPr>
          <w:szCs w:val="24"/>
        </w:rPr>
        <w:t>Three</w:t>
      </w:r>
      <w:r w:rsidRPr="008D7DC9" w:rsidR="00B57596">
        <w:rPr>
          <w:szCs w:val="24"/>
        </w:rPr>
        <w:t xml:space="preserve"> </w:t>
      </w:r>
      <w:r w:rsidRPr="008D7DC9" w:rsidR="00387984">
        <w:rPr>
          <w:szCs w:val="24"/>
        </w:rPr>
        <w:t xml:space="preserve">weeks after the </w:t>
      </w:r>
      <w:r w:rsidRPr="008D7DC9" w:rsidR="004A534E">
        <w:rPr>
          <w:szCs w:val="24"/>
        </w:rPr>
        <w:t xml:space="preserve">web invitation </w:t>
      </w:r>
      <w:r w:rsidRPr="008D7DC9" w:rsidR="00387984">
        <w:rPr>
          <w:szCs w:val="24"/>
        </w:rPr>
        <w:t xml:space="preserve">mailing, </w:t>
      </w:r>
      <w:r w:rsidRPr="008D7DC9" w:rsidR="004A534E">
        <w:rPr>
          <w:szCs w:val="24"/>
        </w:rPr>
        <w:t xml:space="preserve">non-responders to the web survey will be </w:t>
      </w:r>
      <w:r w:rsidRPr="008D7DC9" w:rsidR="00C578BD">
        <w:rPr>
          <w:szCs w:val="24"/>
        </w:rPr>
        <w:t xml:space="preserve">mailed the first </w:t>
      </w:r>
      <w:r w:rsidRPr="008D7DC9" w:rsidR="00215EBF">
        <w:rPr>
          <w:szCs w:val="24"/>
        </w:rPr>
        <w:t xml:space="preserve">self-administered </w:t>
      </w:r>
      <w:r w:rsidRPr="008D7DC9" w:rsidR="00C578BD">
        <w:rPr>
          <w:szCs w:val="24"/>
        </w:rPr>
        <w:t>questionnaire (SAQ) with a cover letter.</w:t>
      </w:r>
      <w:r w:rsidR="00D302E3">
        <w:rPr>
          <w:szCs w:val="24"/>
        </w:rPr>
        <w:t xml:space="preserve"> (See Attachment </w:t>
      </w:r>
      <w:r w:rsidR="00B5270A">
        <w:rPr>
          <w:szCs w:val="24"/>
        </w:rPr>
        <w:t xml:space="preserve">A </w:t>
      </w:r>
      <w:r w:rsidR="00D302E3">
        <w:rPr>
          <w:szCs w:val="24"/>
        </w:rPr>
        <w:t xml:space="preserve">for the SAQ version of the core questionnaire; population-specific </w:t>
      </w:r>
      <w:r w:rsidR="00D45207">
        <w:rPr>
          <w:szCs w:val="24"/>
        </w:rPr>
        <w:t>module questions</w:t>
      </w:r>
      <w:r w:rsidR="00D302E3">
        <w:rPr>
          <w:szCs w:val="24"/>
        </w:rPr>
        <w:t xml:space="preserve"> and </w:t>
      </w:r>
      <w:r w:rsidR="00D45207">
        <w:rPr>
          <w:szCs w:val="24"/>
        </w:rPr>
        <w:t xml:space="preserve">SAQ </w:t>
      </w:r>
      <w:r w:rsidR="00D302E3">
        <w:rPr>
          <w:szCs w:val="24"/>
        </w:rPr>
        <w:t>cover letters will be submitt</w:t>
      </w:r>
      <w:r w:rsidR="00D45207">
        <w:rPr>
          <w:szCs w:val="24"/>
        </w:rPr>
        <w:t>ed</w:t>
      </w:r>
      <w:r w:rsidR="00D302E3">
        <w:rPr>
          <w:szCs w:val="24"/>
        </w:rPr>
        <w:t xml:space="preserve"> as part of individual information collection requests.)</w:t>
      </w:r>
    </w:p>
    <w:p w:rsidR="008D7DC9" w:rsidP="00D45207" w:rsidRDefault="008D7DC9" w14:paraId="684A4A0B" w14:textId="77777777">
      <w:pPr>
        <w:pStyle w:val="BodyText"/>
        <w:numPr>
          <w:ilvl w:val="0"/>
          <w:numId w:val="8"/>
        </w:numPr>
        <w:spacing w:after="120"/>
        <w:rPr>
          <w:szCs w:val="24"/>
        </w:rPr>
      </w:pPr>
      <w:r>
        <w:rPr>
          <w:szCs w:val="24"/>
        </w:rPr>
        <w:t xml:space="preserve">Week 7: </w:t>
      </w:r>
      <w:r w:rsidRPr="008D7DC9" w:rsidR="005A6271">
        <w:rPr>
          <w:szCs w:val="24"/>
        </w:rPr>
        <w:t>After four weeks, n</w:t>
      </w:r>
      <w:r w:rsidRPr="008D7DC9" w:rsidR="00C578BD">
        <w:rPr>
          <w:szCs w:val="24"/>
        </w:rPr>
        <w:t xml:space="preserve">on-responders to </w:t>
      </w:r>
      <w:r w:rsidR="00D302E3">
        <w:rPr>
          <w:szCs w:val="24"/>
        </w:rPr>
        <w:t xml:space="preserve">both </w:t>
      </w:r>
      <w:r w:rsidRPr="008D7DC9" w:rsidR="00C578BD">
        <w:rPr>
          <w:szCs w:val="24"/>
        </w:rPr>
        <w:t xml:space="preserve">the </w:t>
      </w:r>
      <w:r w:rsidRPr="008D7DC9" w:rsidR="004A534E">
        <w:rPr>
          <w:szCs w:val="24"/>
        </w:rPr>
        <w:t xml:space="preserve">web </w:t>
      </w:r>
      <w:r w:rsidRPr="008D7DC9" w:rsidR="000D3160">
        <w:rPr>
          <w:szCs w:val="24"/>
        </w:rPr>
        <w:t>survey</w:t>
      </w:r>
      <w:r w:rsidRPr="008D7DC9" w:rsidR="004A534E">
        <w:rPr>
          <w:szCs w:val="24"/>
        </w:rPr>
        <w:t xml:space="preserve"> </w:t>
      </w:r>
      <w:r w:rsidR="00D302E3">
        <w:rPr>
          <w:szCs w:val="24"/>
        </w:rPr>
        <w:t>and</w:t>
      </w:r>
      <w:r w:rsidRPr="008D7DC9" w:rsidR="00D302E3">
        <w:rPr>
          <w:szCs w:val="24"/>
        </w:rPr>
        <w:t xml:space="preserve"> </w:t>
      </w:r>
      <w:r w:rsidRPr="008D7DC9" w:rsidR="00C578BD">
        <w:rPr>
          <w:szCs w:val="24"/>
        </w:rPr>
        <w:t xml:space="preserve">first questionnaire </w:t>
      </w:r>
      <w:r w:rsidRPr="008D7DC9" w:rsidR="000D3160">
        <w:rPr>
          <w:szCs w:val="24"/>
        </w:rPr>
        <w:t xml:space="preserve">mailing </w:t>
      </w:r>
      <w:r w:rsidRPr="008D7DC9" w:rsidR="004A534E">
        <w:rPr>
          <w:szCs w:val="24"/>
        </w:rPr>
        <w:t xml:space="preserve">will be </w:t>
      </w:r>
      <w:r w:rsidRPr="008D7DC9" w:rsidR="00C578BD">
        <w:rPr>
          <w:szCs w:val="24"/>
        </w:rPr>
        <w:t xml:space="preserve">sent a second </w:t>
      </w:r>
      <w:r w:rsidR="00D45207">
        <w:rPr>
          <w:szCs w:val="24"/>
        </w:rPr>
        <w:t>SAQ</w:t>
      </w:r>
      <w:r w:rsidRPr="008D7DC9" w:rsidR="00C578BD">
        <w:rPr>
          <w:szCs w:val="24"/>
        </w:rPr>
        <w:t xml:space="preserve"> </w:t>
      </w:r>
      <w:r w:rsidRPr="008D7DC9" w:rsidR="00934ACF">
        <w:rPr>
          <w:szCs w:val="24"/>
        </w:rPr>
        <w:t xml:space="preserve">package with </w:t>
      </w:r>
      <w:r w:rsidRPr="008D7DC9" w:rsidR="00C578BD">
        <w:rPr>
          <w:szCs w:val="24"/>
        </w:rPr>
        <w:t>cover letter.</w:t>
      </w:r>
      <w:r w:rsidRPr="008D7DC9" w:rsidR="00AF517A">
        <w:rPr>
          <w:szCs w:val="24"/>
        </w:rPr>
        <w:t xml:space="preserve"> </w:t>
      </w:r>
    </w:p>
    <w:p w:rsidRPr="0092309B" w:rsidR="008D7DC9" w:rsidP="0092309B" w:rsidRDefault="008D7DC9" w14:paraId="08243633" w14:textId="14500127">
      <w:pPr>
        <w:pStyle w:val="BodyText"/>
        <w:numPr>
          <w:ilvl w:val="0"/>
          <w:numId w:val="8"/>
        </w:numPr>
        <w:rPr>
          <w:szCs w:val="24"/>
        </w:rPr>
      </w:pPr>
      <w:r>
        <w:rPr>
          <w:szCs w:val="24"/>
        </w:rPr>
        <w:t xml:space="preserve">Weeks 11-17: </w:t>
      </w:r>
      <w:r w:rsidR="006B30B6">
        <w:rPr>
          <w:szCs w:val="24"/>
        </w:rPr>
        <w:t>F</w:t>
      </w:r>
      <w:r w:rsidRPr="008D7DC9" w:rsidR="005A6271">
        <w:rPr>
          <w:szCs w:val="24"/>
        </w:rPr>
        <w:t>our weeks after the second SAQ mailing</w:t>
      </w:r>
      <w:r w:rsidR="00D302E3">
        <w:rPr>
          <w:szCs w:val="24"/>
        </w:rPr>
        <w:t>,</w:t>
      </w:r>
      <w:r w:rsidRPr="008D7DC9" w:rsidR="005A6271">
        <w:rPr>
          <w:szCs w:val="24"/>
        </w:rPr>
        <w:t xml:space="preserve"> </w:t>
      </w:r>
      <w:r w:rsidRPr="008D7DC9" w:rsidR="00C578BD">
        <w:rPr>
          <w:szCs w:val="24"/>
        </w:rPr>
        <w:t xml:space="preserve">non-responders to the </w:t>
      </w:r>
      <w:r w:rsidRPr="008D7DC9" w:rsidR="004A534E">
        <w:rPr>
          <w:szCs w:val="24"/>
        </w:rPr>
        <w:t xml:space="preserve">web survey </w:t>
      </w:r>
      <w:r w:rsidR="00D302E3">
        <w:rPr>
          <w:szCs w:val="24"/>
        </w:rPr>
        <w:t>and</w:t>
      </w:r>
      <w:r w:rsidRPr="008D7DC9" w:rsidR="00D302E3">
        <w:rPr>
          <w:szCs w:val="24"/>
        </w:rPr>
        <w:t xml:space="preserve"> </w:t>
      </w:r>
      <w:r w:rsidRPr="008D7DC9" w:rsidR="00C578BD">
        <w:rPr>
          <w:szCs w:val="24"/>
        </w:rPr>
        <w:t>mailed questionnaire</w:t>
      </w:r>
      <w:r w:rsidRPr="008D7DC9" w:rsidR="004A534E">
        <w:rPr>
          <w:szCs w:val="24"/>
        </w:rPr>
        <w:t>s</w:t>
      </w:r>
      <w:r w:rsidRPr="008D7DC9" w:rsidR="00C578BD">
        <w:rPr>
          <w:szCs w:val="24"/>
        </w:rPr>
        <w:t xml:space="preserve"> </w:t>
      </w:r>
      <w:r w:rsidRPr="008D7DC9" w:rsidR="004A534E">
        <w:rPr>
          <w:szCs w:val="24"/>
        </w:rPr>
        <w:t xml:space="preserve">will be </w:t>
      </w:r>
      <w:r w:rsidRPr="008D7DC9" w:rsidR="00387984">
        <w:rPr>
          <w:szCs w:val="24"/>
        </w:rPr>
        <w:t xml:space="preserve">contacted </w:t>
      </w:r>
      <w:r w:rsidRPr="008D7DC9" w:rsidR="00C578BD">
        <w:rPr>
          <w:szCs w:val="24"/>
        </w:rPr>
        <w:t xml:space="preserve">via telephone </w:t>
      </w:r>
      <w:r w:rsidRPr="008D7DC9" w:rsidR="007F6A9A">
        <w:rPr>
          <w:szCs w:val="24"/>
        </w:rPr>
        <w:t>to complete the qu</w:t>
      </w:r>
      <w:r w:rsidRPr="008D7DC9" w:rsidR="00CE339F">
        <w:rPr>
          <w:szCs w:val="24"/>
        </w:rPr>
        <w:t>estionnaire with a</w:t>
      </w:r>
      <w:r w:rsidRPr="008D7DC9" w:rsidR="007F6A9A">
        <w:rPr>
          <w:szCs w:val="24"/>
        </w:rPr>
        <w:t xml:space="preserve"> </w:t>
      </w:r>
      <w:r w:rsidRPr="008D7DC9" w:rsidR="00DF11C7">
        <w:rPr>
          <w:szCs w:val="24"/>
        </w:rPr>
        <w:t xml:space="preserve">trained </w:t>
      </w:r>
      <w:r w:rsidRPr="008D7DC9" w:rsidR="007F6A9A">
        <w:rPr>
          <w:szCs w:val="24"/>
        </w:rPr>
        <w:t xml:space="preserve">telephone </w:t>
      </w:r>
      <w:r w:rsidRPr="008D7DC9" w:rsidR="00DF11C7">
        <w:rPr>
          <w:szCs w:val="24"/>
        </w:rPr>
        <w:t xml:space="preserve">interviewer. </w:t>
      </w:r>
    </w:p>
    <w:p w:rsidR="0092309B" w:rsidP="0092309B" w:rsidRDefault="0092309B" w14:paraId="70F192DA" w14:textId="77777777">
      <w:pPr>
        <w:pStyle w:val="BodyText"/>
        <w:rPr>
          <w:szCs w:val="24"/>
        </w:rPr>
      </w:pPr>
    </w:p>
    <w:p w:rsidR="00C578BD" w:rsidP="0092309B" w:rsidRDefault="005A6271" w14:paraId="70400942" w14:textId="37736144">
      <w:pPr>
        <w:pStyle w:val="BodyText"/>
        <w:rPr>
          <w:szCs w:val="24"/>
        </w:rPr>
      </w:pPr>
      <w:r w:rsidRPr="008D7DC9">
        <w:rPr>
          <w:szCs w:val="24"/>
        </w:rPr>
        <w:t>Throughout the data collection period</w:t>
      </w:r>
      <w:r w:rsidR="00D302E3">
        <w:rPr>
          <w:szCs w:val="24"/>
        </w:rPr>
        <w:t>,</w:t>
      </w:r>
      <w:r w:rsidRPr="008D7DC9">
        <w:rPr>
          <w:szCs w:val="24"/>
        </w:rPr>
        <w:t xml:space="preserve"> </w:t>
      </w:r>
      <w:r w:rsidR="008D7DC9">
        <w:rPr>
          <w:szCs w:val="24"/>
        </w:rPr>
        <w:t>respondents will be able to call a</w:t>
      </w:r>
      <w:r w:rsidRPr="008D7DC9">
        <w:rPr>
          <w:szCs w:val="24"/>
        </w:rPr>
        <w:t xml:space="preserve"> toll-free line to ask questions or complete the survey via telephone. T</w:t>
      </w:r>
      <w:r w:rsidRPr="008D7DC9" w:rsidR="00B57596">
        <w:rPr>
          <w:szCs w:val="24"/>
        </w:rPr>
        <w:t xml:space="preserve">he web survey </w:t>
      </w:r>
      <w:r w:rsidRPr="008D7DC9">
        <w:rPr>
          <w:szCs w:val="24"/>
        </w:rPr>
        <w:t xml:space="preserve">will </w:t>
      </w:r>
      <w:r w:rsidRPr="008D7DC9" w:rsidR="00B57596">
        <w:rPr>
          <w:szCs w:val="24"/>
        </w:rPr>
        <w:t>remain open for the duration of the data collection period.</w:t>
      </w:r>
      <w:r w:rsidR="00537A28">
        <w:rPr>
          <w:szCs w:val="24"/>
        </w:rPr>
        <w:t xml:space="preserve"> </w:t>
      </w:r>
    </w:p>
    <w:p w:rsidR="00F910EE" w:rsidP="008D7DC9" w:rsidRDefault="00F910EE" w14:paraId="63B014CC" w14:textId="77777777">
      <w:pPr>
        <w:pStyle w:val="BodyText"/>
        <w:rPr>
          <w:szCs w:val="24"/>
        </w:rPr>
      </w:pPr>
    </w:p>
    <w:p w:rsidR="00F910EE" w:rsidP="008D7DC9" w:rsidRDefault="00F910EE" w14:paraId="751ABEA2" w14:textId="77777777">
      <w:pPr>
        <w:pStyle w:val="BodyText"/>
        <w:rPr>
          <w:szCs w:val="24"/>
        </w:rPr>
      </w:pPr>
      <w:r>
        <w:rPr>
          <w:szCs w:val="24"/>
        </w:rPr>
        <w:t>All MBECS surveys will be available in Spanish language.</w:t>
      </w:r>
    </w:p>
    <w:p w:rsidR="00477AE9" w:rsidP="008D7DC9" w:rsidRDefault="00477AE9" w14:paraId="4B2D3E71" w14:textId="77777777">
      <w:pPr>
        <w:pStyle w:val="BodyText"/>
        <w:rPr>
          <w:szCs w:val="24"/>
        </w:rPr>
      </w:pPr>
    </w:p>
    <w:p w:rsidRPr="008D7DC9" w:rsidR="00477AE9" w:rsidP="008D7DC9" w:rsidRDefault="00477AE9" w14:paraId="21C14D8B" w14:textId="71BA0502">
      <w:pPr>
        <w:pStyle w:val="BodyText"/>
        <w:rPr>
          <w:szCs w:val="24"/>
        </w:rPr>
      </w:pPr>
      <w:r>
        <w:rPr>
          <w:szCs w:val="24"/>
        </w:rPr>
        <w:t xml:space="preserve">Prior to any individual survey under MBECS, </w:t>
      </w:r>
      <w:r w:rsidR="00EC45E4">
        <w:rPr>
          <w:szCs w:val="24"/>
        </w:rPr>
        <w:t xml:space="preserve">CMS </w:t>
      </w:r>
      <w:r>
        <w:rPr>
          <w:szCs w:val="24"/>
        </w:rPr>
        <w:t xml:space="preserve">OMH will evaluate whether </w:t>
      </w:r>
      <w:r w:rsidR="001F6268">
        <w:rPr>
          <w:szCs w:val="24"/>
        </w:rPr>
        <w:t>incentives may be necessary to improve response rates and reduce nonresponse for the target population.</w:t>
      </w:r>
      <w:r>
        <w:rPr>
          <w:szCs w:val="24"/>
        </w:rPr>
        <w:t xml:space="preserve"> </w:t>
      </w:r>
    </w:p>
    <w:p w:rsidR="003E0A4D" w:rsidP="003E0A4D" w:rsidRDefault="003E0A4D" w14:paraId="1E10359B" w14:textId="77777777">
      <w:pPr>
        <w:pStyle w:val="BodyText"/>
        <w:rPr>
          <w:rFonts w:ascii="Calibri" w:hAnsi="Calibri"/>
          <w:szCs w:val="24"/>
        </w:rPr>
      </w:pPr>
    </w:p>
    <w:p w:rsidRPr="00EB1D0B" w:rsidR="00683759" w:rsidP="007E15FF" w:rsidRDefault="00EB1D0B" w14:paraId="6EE52C62" w14:textId="77777777">
      <w:pPr>
        <w:pStyle w:val="BodyText"/>
        <w:spacing w:after="120"/>
        <w:rPr>
          <w:b/>
          <w:bCs/>
        </w:rPr>
      </w:pPr>
      <w:r w:rsidRPr="00EB1D0B">
        <w:rPr>
          <w:b/>
          <w:bCs/>
        </w:rPr>
        <w:t>Cleaning and Imputation</w:t>
      </w:r>
    </w:p>
    <w:p w:rsidR="00526952" w:rsidP="005453AD" w:rsidRDefault="00D4314A" w14:paraId="68E4AAD4" w14:textId="77777777">
      <w:r>
        <w:t xml:space="preserve">After </w:t>
      </w:r>
      <w:r w:rsidR="00D302E3">
        <w:t xml:space="preserve">each MBECS </w:t>
      </w:r>
      <w:r>
        <w:t>data collection period</w:t>
      </w:r>
      <w:r w:rsidR="00D302E3">
        <w:t xml:space="preserve"> ends</w:t>
      </w:r>
      <w:r>
        <w:t xml:space="preserve">, </w:t>
      </w:r>
      <w:r w:rsidR="00215EBF">
        <w:t xml:space="preserve">the data collection </w:t>
      </w:r>
      <w:r w:rsidR="00D87D3D">
        <w:t>contractor</w:t>
      </w:r>
      <w:r>
        <w:t xml:space="preserve"> will </w:t>
      </w:r>
      <w:r w:rsidR="00EB1D0B">
        <w:t>conduct</w:t>
      </w:r>
      <w:r>
        <w:t xml:space="preserve"> </w:t>
      </w:r>
      <w:r w:rsidR="00976F3B">
        <w:t xml:space="preserve">general </w:t>
      </w:r>
      <w:r>
        <w:t>data cleaning</w:t>
      </w:r>
      <w:r w:rsidR="00EB1D0B">
        <w:t>, including</w:t>
      </w:r>
      <w:r w:rsidR="00526952">
        <w:t xml:space="preserve"> ensuring </w:t>
      </w:r>
      <w:r w:rsidR="00EB1D0B">
        <w:t xml:space="preserve">1) </w:t>
      </w:r>
      <w:r w:rsidR="00526952">
        <w:t>approp</w:t>
      </w:r>
      <w:r w:rsidR="00EB1D0B">
        <w:t>riate skip patterns were applied; 2)</w:t>
      </w:r>
      <w:r w:rsidR="00526952">
        <w:t xml:space="preserve"> logical c</w:t>
      </w:r>
      <w:r w:rsidR="00EB1D0B">
        <w:t>onsistency throughout the surve</w:t>
      </w:r>
      <w:r w:rsidR="00387984">
        <w:t>y</w:t>
      </w:r>
      <w:r w:rsidR="00EB1D0B">
        <w:t>; and 3)</w:t>
      </w:r>
      <w:r w:rsidR="00526952">
        <w:t xml:space="preserve"> responses are within the </w:t>
      </w:r>
      <w:r w:rsidR="00E24134">
        <w:t>expected ranges</w:t>
      </w:r>
      <w:r w:rsidR="00526952">
        <w:t xml:space="preserve">. During data cleaning, imputation methods will </w:t>
      </w:r>
      <w:r w:rsidR="00976F3B">
        <w:t>be implemented where necessary to account for item nonresponse. The imputation methods will be based on hot-deck methods, where cases with similar characteristics (donors) are used to fill in cases with missing data.</w:t>
      </w:r>
    </w:p>
    <w:p w:rsidR="00526952" w:rsidP="005453AD" w:rsidRDefault="00526952" w14:paraId="277A7157" w14:textId="77777777"/>
    <w:p w:rsidRPr="0054693C" w:rsidR="00E24134" w:rsidP="007E15FF" w:rsidRDefault="00E24134" w14:paraId="1F5AE6C8" w14:textId="77777777">
      <w:pPr>
        <w:spacing w:after="120"/>
        <w:rPr>
          <w:b/>
        </w:rPr>
      </w:pPr>
      <w:r w:rsidRPr="0054693C">
        <w:rPr>
          <w:b/>
        </w:rPr>
        <w:t>Weighting</w:t>
      </w:r>
    </w:p>
    <w:p w:rsidR="00526952" w:rsidP="005453AD" w:rsidRDefault="0054693C" w14:paraId="7D5447C4" w14:textId="682F24C1">
      <w:r>
        <w:t>F</w:t>
      </w:r>
      <w:r w:rsidR="00526952">
        <w:t>or appropriate estimation</w:t>
      </w:r>
      <w:r w:rsidR="00976F3B">
        <w:t xml:space="preserve"> and analysis</w:t>
      </w:r>
      <w:r w:rsidR="00526952">
        <w:t xml:space="preserve">, </w:t>
      </w:r>
      <w:r w:rsidR="007F6A9A">
        <w:t xml:space="preserve">the </w:t>
      </w:r>
      <w:r w:rsidR="00D87D3D">
        <w:t>contractor</w:t>
      </w:r>
      <w:r>
        <w:t xml:space="preserve"> will create </w:t>
      </w:r>
      <w:r w:rsidR="00976F3B">
        <w:t>weights</w:t>
      </w:r>
      <w:r w:rsidR="00526952">
        <w:t xml:space="preserve"> to accurately account for </w:t>
      </w:r>
      <w:r w:rsidR="002C24F3">
        <w:t xml:space="preserve">differential </w:t>
      </w:r>
      <w:r w:rsidR="001F6268">
        <w:t>response</w:t>
      </w:r>
      <w:r w:rsidR="002C24F3">
        <w:t>, aggregation across minority populations</w:t>
      </w:r>
      <w:r w:rsidR="006B30B6">
        <w:t>,</w:t>
      </w:r>
      <w:r w:rsidR="002C24F3">
        <w:t xml:space="preserve"> and </w:t>
      </w:r>
      <w:r w:rsidR="00976F3B">
        <w:t>survey nonresponse</w:t>
      </w:r>
      <w:r w:rsidR="00526952">
        <w:t xml:space="preserve">. </w:t>
      </w:r>
    </w:p>
    <w:p w:rsidR="00D95020" w:rsidP="005453AD" w:rsidRDefault="00D95020" w14:paraId="6D6523CA" w14:textId="73A1DCCC">
      <w:r>
        <w:t xml:space="preserve">The weighting process will consist of three broad steps: calculation of the </w:t>
      </w:r>
      <w:proofErr w:type="spellStart"/>
      <w:r>
        <w:t>baseweight</w:t>
      </w:r>
      <w:proofErr w:type="spellEnd"/>
      <w:r>
        <w:t xml:space="preserve">, a weight to account for nonresponse, and a final raked survey weight. The </w:t>
      </w:r>
      <w:proofErr w:type="spellStart"/>
      <w:r>
        <w:t>baseweight</w:t>
      </w:r>
      <w:proofErr w:type="spellEnd"/>
      <w:r>
        <w:t xml:space="preserve"> will </w:t>
      </w:r>
      <w:r>
        <w:lastRenderedPageBreak/>
        <w:t>simply be the inverse of the sampling fraction for the group of interest. The nonresponse adjustment will be done within homogeneous groups or adjustment cells, to account for differential nonresponse (e.g., age groups, race/ethnicity, etc.). The determination of adjustment cells will be based on logistic regression analysis to see what demographic variables may be associated with the propensity to respond. After the nonresponse weighting adjustment, the data will be adjusted (“raked”) to known population totals. These population totals will be based on known accessible tabulations that will likely be made from the most recent</w:t>
      </w:r>
      <w:r w:rsidRPr="0092309B">
        <w:t xml:space="preserve"> Master Beneficiary Summary File</w:t>
      </w:r>
      <w:r>
        <w:t xml:space="preserve"> and any other data files that are used to help define the sampling frame. </w:t>
      </w:r>
    </w:p>
    <w:p w:rsidR="007818E2" w:rsidP="005453AD" w:rsidRDefault="007818E2" w14:paraId="2552247D" w14:textId="77777777"/>
    <w:p w:rsidRPr="0092309B" w:rsidR="00E32E81" w:rsidP="0092309B" w:rsidRDefault="00845E6A" w14:paraId="2401915F" w14:textId="34829349">
      <w:pPr>
        <w:spacing w:after="120"/>
        <w:rPr>
          <w:b/>
          <w:bCs/>
          <w:szCs w:val="22"/>
        </w:rPr>
      </w:pPr>
      <w:r>
        <w:rPr>
          <w:b/>
          <w:bCs/>
          <w:szCs w:val="22"/>
        </w:rPr>
        <w:t>Data Analysis</w:t>
      </w:r>
    </w:p>
    <w:p w:rsidR="007818E2" w:rsidP="003D30F3" w:rsidRDefault="00712F7C" w14:paraId="6B32C12D" w14:textId="10592992">
      <w:pPr>
        <w:rPr>
          <w:bCs/>
          <w:szCs w:val="22"/>
        </w:rPr>
      </w:pPr>
      <w:r>
        <w:rPr>
          <w:bCs/>
          <w:szCs w:val="22"/>
        </w:rPr>
        <w:t xml:space="preserve">Data </w:t>
      </w:r>
      <w:r w:rsidR="007F6A9A">
        <w:rPr>
          <w:bCs/>
          <w:szCs w:val="22"/>
        </w:rPr>
        <w:t xml:space="preserve">analysis </w:t>
      </w:r>
      <w:r w:rsidR="003D30F3">
        <w:rPr>
          <w:bCs/>
          <w:szCs w:val="22"/>
        </w:rPr>
        <w:t xml:space="preserve">will </w:t>
      </w:r>
      <w:r w:rsidR="002C24F3">
        <w:rPr>
          <w:bCs/>
          <w:szCs w:val="22"/>
        </w:rPr>
        <w:t>include comparison of</w:t>
      </w:r>
      <w:r w:rsidR="003D30F3">
        <w:rPr>
          <w:bCs/>
          <w:szCs w:val="22"/>
        </w:rPr>
        <w:t xml:space="preserve"> </w:t>
      </w:r>
      <w:r w:rsidR="002C24F3">
        <w:rPr>
          <w:bCs/>
          <w:szCs w:val="22"/>
        </w:rPr>
        <w:t xml:space="preserve">MBECS survey </w:t>
      </w:r>
      <w:r w:rsidR="003D30F3">
        <w:rPr>
          <w:bCs/>
          <w:szCs w:val="22"/>
        </w:rPr>
        <w:t xml:space="preserve">estimates to </w:t>
      </w:r>
      <w:r w:rsidR="007818E2">
        <w:rPr>
          <w:bCs/>
          <w:szCs w:val="22"/>
        </w:rPr>
        <w:t>benchmark estimates</w:t>
      </w:r>
      <w:r w:rsidR="003D30F3">
        <w:rPr>
          <w:bCs/>
          <w:szCs w:val="22"/>
        </w:rPr>
        <w:t xml:space="preserve"> from the FFS, MA, and NAM CAHPS surveys</w:t>
      </w:r>
      <w:r w:rsidR="00C919D8">
        <w:rPr>
          <w:bCs/>
          <w:szCs w:val="22"/>
        </w:rPr>
        <w:t xml:space="preserve">, and to other source surveys in the case of population-specific </w:t>
      </w:r>
      <w:r w:rsidR="00D45207">
        <w:rPr>
          <w:bCs/>
          <w:szCs w:val="22"/>
        </w:rPr>
        <w:t>module questions</w:t>
      </w:r>
      <w:r w:rsidR="007818E2">
        <w:rPr>
          <w:bCs/>
          <w:szCs w:val="22"/>
        </w:rPr>
        <w:t xml:space="preserve">. </w:t>
      </w:r>
      <w:r w:rsidR="00536CE1">
        <w:rPr>
          <w:bCs/>
          <w:szCs w:val="22"/>
        </w:rPr>
        <w:t xml:space="preserve">The variables of interest will be dependent on the subgroups of interest, the variables that are available for both the targeted MBECS population and benchmark data, and the currency of information. </w:t>
      </w:r>
    </w:p>
    <w:p w:rsidRPr="004A4C4F" w:rsidR="007818E2" w:rsidP="007818E2" w:rsidRDefault="007818E2" w14:paraId="1529C91F" w14:textId="77777777">
      <w:pPr>
        <w:jc w:val="both"/>
        <w:rPr>
          <w:bCs/>
          <w:szCs w:val="22"/>
        </w:rPr>
      </w:pPr>
    </w:p>
    <w:p w:rsidRPr="008217D4" w:rsidR="005453AD" w:rsidP="008217D4" w:rsidRDefault="005453AD" w14:paraId="55C32D7E" w14:textId="40393642">
      <w:pPr>
        <w:spacing w:before="240" w:after="60"/>
        <w:rPr>
          <w:rFonts w:ascii="Arial" w:hAnsi="Arial" w:cs="Arial"/>
          <w:b/>
          <w:bCs/>
          <w:i/>
          <w:sz w:val="28"/>
          <w:szCs w:val="28"/>
        </w:rPr>
      </w:pPr>
      <w:bookmarkStart w:name="_Toc151782201" w:id="10"/>
      <w:bookmarkStart w:name="_Toc158526237" w:id="11"/>
      <w:r w:rsidRPr="008217D4">
        <w:rPr>
          <w:rFonts w:ascii="Arial" w:hAnsi="Arial" w:cs="Arial"/>
          <w:b/>
          <w:i/>
          <w:sz w:val="28"/>
          <w:szCs w:val="28"/>
        </w:rPr>
        <w:t>3. Methods to Maximize Response Rates</w:t>
      </w:r>
      <w:bookmarkEnd w:id="10"/>
      <w:bookmarkEnd w:id="11"/>
    </w:p>
    <w:p w:rsidR="00B57596" w:rsidP="00F34C93" w:rsidRDefault="00544957" w14:paraId="3BB511B1" w14:textId="77777777">
      <w:pPr>
        <w:spacing w:after="240"/>
      </w:pPr>
      <w:r>
        <w:t xml:space="preserve">The </w:t>
      </w:r>
      <w:r w:rsidR="00B57596">
        <w:t>MBECS</w:t>
      </w:r>
      <w:r>
        <w:t xml:space="preserve"> </w:t>
      </w:r>
      <w:r w:rsidR="00803607">
        <w:t xml:space="preserve">data collection system </w:t>
      </w:r>
      <w:r w:rsidR="0059507D">
        <w:t xml:space="preserve">will use </w:t>
      </w:r>
      <w:r w:rsidR="00DA1838">
        <w:t>a</w:t>
      </w:r>
      <w:r w:rsidR="00E009FE">
        <w:t xml:space="preserve"> sequential multi-mode method of </w:t>
      </w:r>
      <w:r w:rsidR="00592D0C">
        <w:t xml:space="preserve">survey </w:t>
      </w:r>
      <w:r w:rsidR="00E009FE">
        <w:t xml:space="preserve">administration—a </w:t>
      </w:r>
      <w:r w:rsidR="00B57596">
        <w:t xml:space="preserve">web invitation </w:t>
      </w:r>
      <w:r w:rsidR="00E009FE">
        <w:t>letter, two mailing</w:t>
      </w:r>
      <w:r w:rsidR="00E30263">
        <w:t>s</w:t>
      </w:r>
      <w:r w:rsidR="00E009FE">
        <w:t xml:space="preserve"> of the paper questionnaire</w:t>
      </w:r>
      <w:r w:rsidR="008D7DC9">
        <w:t xml:space="preserve"> (SAQ)</w:t>
      </w:r>
      <w:r w:rsidR="00E009FE">
        <w:t>, and telephone follow-up with non-</w:t>
      </w:r>
      <w:r w:rsidR="00A104E6">
        <w:t>responders</w:t>
      </w:r>
      <w:r w:rsidR="00DA1838">
        <w:t>.</w:t>
      </w:r>
      <w:r w:rsidR="00AF517A">
        <w:t xml:space="preserve"> </w:t>
      </w:r>
      <w:r w:rsidR="00DA1838">
        <w:t>This</w:t>
      </w:r>
      <w:r w:rsidR="00E009FE">
        <w:t xml:space="preserve"> </w:t>
      </w:r>
      <w:r w:rsidR="00ED05DC">
        <w:t xml:space="preserve">sequential </w:t>
      </w:r>
      <w:r w:rsidR="00E30263">
        <w:t xml:space="preserve">multi-mode approach </w:t>
      </w:r>
      <w:r w:rsidR="00E009FE">
        <w:t xml:space="preserve">avoids the weaknesses </w:t>
      </w:r>
      <w:r w:rsidR="00517F12">
        <w:t>associated with</w:t>
      </w:r>
      <w:r w:rsidR="00E009FE">
        <w:t xml:space="preserve"> mail or telephone administration al</w:t>
      </w:r>
      <w:r w:rsidR="00DA1838">
        <w:t>one and increases opportunities for respondents to complete the survey</w:t>
      </w:r>
      <w:r w:rsidR="0057791C">
        <w:t>.</w:t>
      </w:r>
      <w:r w:rsidR="005F0531">
        <w:t xml:space="preserve"> </w:t>
      </w:r>
      <w:r w:rsidRPr="003D30F3" w:rsidR="0057791C">
        <w:t>Research has shown that including telephone follow-up with non-responders to a mail survey increases the overall response rate</w:t>
      </w:r>
      <w:r w:rsidRPr="003D30F3" w:rsidR="0057791C">
        <w:rPr>
          <w:vertAlign w:val="superscript"/>
        </w:rPr>
        <w:endnoteReference w:id="2"/>
      </w:r>
      <w:r w:rsidRPr="003D30F3" w:rsidR="0057791C">
        <w:t xml:space="preserve"> and increases the socio-demographic representativeness of the sample</w:t>
      </w:r>
      <w:r w:rsidR="0068063F">
        <w:t>.</w:t>
      </w:r>
      <w:r w:rsidRPr="003D30F3" w:rsidR="006264EF">
        <w:rPr>
          <w:vertAlign w:val="superscript"/>
        </w:rPr>
        <w:endnoteReference w:id="3"/>
      </w:r>
      <w:r w:rsidR="00AF517A">
        <w:t xml:space="preserve"> </w:t>
      </w:r>
      <w:r w:rsidR="001917C9">
        <w:t xml:space="preserve">Including an option for respondents to </w:t>
      </w:r>
      <w:r w:rsidR="00517F12">
        <w:t xml:space="preserve">complete </w:t>
      </w:r>
      <w:r w:rsidR="003C71E0">
        <w:t xml:space="preserve">the survey </w:t>
      </w:r>
      <w:r w:rsidR="001917C9">
        <w:t>via the web minimizes respondent burden by</w:t>
      </w:r>
      <w:r w:rsidR="00A104E6">
        <w:t xml:space="preserve"> </w:t>
      </w:r>
      <w:r w:rsidR="001917C9">
        <w:t>allowing respondents to complete the survey at a convenient time</w:t>
      </w:r>
      <w:r w:rsidR="00A104E6">
        <w:t xml:space="preserve">, </w:t>
      </w:r>
      <w:r w:rsidR="001917C9">
        <w:t>allowing respondents to stop and re-enter the survey if needed</w:t>
      </w:r>
      <w:r w:rsidR="00592D0C">
        <w:t>, and handling skip patterns based on responses to each question</w:t>
      </w:r>
      <w:r w:rsidR="001917C9">
        <w:t xml:space="preserve">. </w:t>
      </w:r>
      <w:r w:rsidR="00517F12">
        <w:t xml:space="preserve">In addition, the </w:t>
      </w:r>
      <w:r w:rsidR="001917C9">
        <w:t xml:space="preserve">MBECS </w:t>
      </w:r>
      <w:r w:rsidR="00517F12">
        <w:t xml:space="preserve">system </w:t>
      </w:r>
      <w:r w:rsidR="001917C9">
        <w:t>will build on recommendations</w:t>
      </w:r>
      <w:r w:rsidR="006264EF">
        <w:rPr>
          <w:rStyle w:val="EndnoteReference"/>
        </w:rPr>
        <w:endnoteReference w:id="4"/>
      </w:r>
      <w:r w:rsidR="006264EF">
        <w:t xml:space="preserve"> </w:t>
      </w:r>
      <w:r w:rsidR="001917C9">
        <w:t>to include a web option for CAHPS survey administration by using sequential—rather than concurrent—multi-mode administration</w:t>
      </w:r>
      <w:r w:rsidR="00592D0C">
        <w:t xml:space="preserve"> (as is currently the case with CAHPS survey administration that </w:t>
      </w:r>
      <w:r w:rsidR="00537A28">
        <w:t>includes an internet enhancement option</w:t>
      </w:r>
      <w:r w:rsidR="00592D0C">
        <w:t>)</w:t>
      </w:r>
      <w:r w:rsidR="001917C9">
        <w:t>.</w:t>
      </w:r>
    </w:p>
    <w:p w:rsidR="008B1F52" w:rsidP="00F34C93" w:rsidRDefault="00690E25" w14:paraId="2C7481C1" w14:textId="722788DA">
      <w:pPr>
        <w:spacing w:after="240"/>
      </w:pPr>
      <w:r>
        <w:t xml:space="preserve">For each </w:t>
      </w:r>
      <w:r w:rsidRPr="00690E25">
        <w:t xml:space="preserve">individual survey under MBECS, </w:t>
      </w:r>
      <w:r w:rsidR="00EC45E4">
        <w:t xml:space="preserve">CMS </w:t>
      </w:r>
      <w:r w:rsidRPr="00690E25">
        <w:t xml:space="preserve">OMH will evaluate whether incentives may be necessary to improve response rates and reduce nonresponse for the target population. </w:t>
      </w:r>
      <w:r w:rsidR="0072343D">
        <w:t xml:space="preserve">Finally, some respondents may be difficult to reach via mail alone or reluctant to participate; </w:t>
      </w:r>
      <w:proofErr w:type="gramStart"/>
      <w:r w:rsidR="0072343D">
        <w:t>thus</w:t>
      </w:r>
      <w:proofErr w:type="gramEnd"/>
      <w:r w:rsidR="0072343D">
        <w:t xml:space="preserve"> non-</w:t>
      </w:r>
      <w:r w:rsidR="00A104E6">
        <w:t xml:space="preserve">responders </w:t>
      </w:r>
      <w:r w:rsidR="0072343D">
        <w:t xml:space="preserve">to the mail portion of the survey will be </w:t>
      </w:r>
      <w:r w:rsidR="00802289">
        <w:t>contacted via telephone to complete the</w:t>
      </w:r>
      <w:r w:rsidR="0072343D">
        <w:t xml:space="preserve"> survey.</w:t>
      </w:r>
      <w:r w:rsidR="00AF517A">
        <w:t xml:space="preserve"> </w:t>
      </w:r>
    </w:p>
    <w:p w:rsidR="00536CE1" w:rsidP="00F34C93" w:rsidRDefault="00BC47DB" w14:paraId="3145EFA3" w14:textId="17AF9022">
      <w:pPr>
        <w:spacing w:after="240"/>
      </w:pPr>
      <w:r>
        <w:t>During data collection efforts, weekly</w:t>
      </w:r>
      <w:r w:rsidR="00536CE1">
        <w:t xml:space="preserve"> review of demographic distributions will be conducted to determine if any targeted outreach needs to be conducted. For example, if the response rate for Non</w:t>
      </w:r>
      <w:r>
        <w:t>-Hispanic B</w:t>
      </w:r>
      <w:r w:rsidR="00536CE1">
        <w:t>lacks significantly lags behind other groups during the same period</w:t>
      </w:r>
      <w:r>
        <w:t>, additional calls to that subgroup would be conducted to increase representativeness and decrease the potential for nonresponse bias.</w:t>
      </w:r>
    </w:p>
    <w:p w:rsidR="00802289" w:rsidP="00F34C93" w:rsidRDefault="00802289" w14:paraId="0CA28369" w14:textId="0B4F43B1">
      <w:pPr>
        <w:spacing w:after="240"/>
      </w:pPr>
      <w:r>
        <w:lastRenderedPageBreak/>
        <w:t xml:space="preserve">In order to maximize the likelihood of reaching respondents by mail or telephone, </w:t>
      </w:r>
      <w:r w:rsidR="00D6739C">
        <w:t>MBECS</w:t>
      </w:r>
      <w:r>
        <w:t xml:space="preserve"> </w:t>
      </w:r>
      <w:r w:rsidR="006264EF">
        <w:t xml:space="preserve">surveys </w:t>
      </w:r>
      <w:r>
        <w:t xml:space="preserve">will use the LexisNexis® Accurint® </w:t>
      </w:r>
      <w:r w:rsidR="00194307">
        <w:t>service</w:t>
      </w:r>
      <w:r>
        <w:t xml:space="preserve"> for all address/telephone records to ensure the most up-to-date</w:t>
      </w:r>
      <w:r w:rsidR="00194307">
        <w:t xml:space="preserve"> information is used for contacting respondents</w:t>
      </w:r>
      <w:r>
        <w:t>.</w:t>
      </w:r>
      <w:r w:rsidR="00AF517A">
        <w:t xml:space="preserve"> </w:t>
      </w:r>
      <w:r>
        <w:t xml:space="preserve">This method has been shown to be </w:t>
      </w:r>
      <w:r w:rsidR="00194307">
        <w:t>more</w:t>
      </w:r>
      <w:r>
        <w:t xml:space="preserve"> effective in getting up-to-date address and telephone records </w:t>
      </w:r>
      <w:r w:rsidR="00194307">
        <w:t>than similar methods</w:t>
      </w:r>
      <w:r w:rsidR="00C437B4">
        <w:t xml:space="preserve">, such as </w:t>
      </w:r>
      <w:proofErr w:type="spellStart"/>
      <w:r w:rsidR="00194307">
        <w:t>Telematch</w:t>
      </w:r>
      <w:proofErr w:type="spellEnd"/>
      <w:r w:rsidR="00194307">
        <w:t xml:space="preserve"> and Directory Assistance</w:t>
      </w:r>
      <w:r w:rsidR="00C437B4">
        <w:t xml:space="preserve"> (M. Elliot, personal communication, May 22, 2017)</w:t>
      </w:r>
      <w:r w:rsidR="00194307">
        <w:t>.</w:t>
      </w:r>
    </w:p>
    <w:p w:rsidRPr="00F34C93" w:rsidR="00F34C93" w:rsidP="00D87D3D" w:rsidRDefault="0059507D" w14:paraId="519812C2" w14:textId="3F8774CB">
      <w:pPr>
        <w:spacing w:after="240"/>
      </w:pPr>
      <w:r>
        <w:t xml:space="preserve">Following the completion of </w:t>
      </w:r>
      <w:r w:rsidR="006264EF">
        <w:t>each</w:t>
      </w:r>
      <w:r w:rsidR="00D6739C">
        <w:t xml:space="preserve"> MBECS </w:t>
      </w:r>
      <w:r w:rsidR="006264EF">
        <w:t>survey</w:t>
      </w:r>
      <w:r w:rsidR="0072343D">
        <w:t xml:space="preserve">, </w:t>
      </w:r>
      <w:r w:rsidR="00E65BED">
        <w:t xml:space="preserve">CMS OMH’s </w:t>
      </w:r>
      <w:r w:rsidR="0072343D">
        <w:t xml:space="preserve">contractor will conduct a nonresponse bias analysis </w:t>
      </w:r>
      <w:r>
        <w:t>to</w:t>
      </w:r>
      <w:r w:rsidRPr="00987BCF" w:rsidR="00987BCF">
        <w:t xml:space="preserve"> assess how well the final respondents to the survey represent the target population of </w:t>
      </w:r>
      <w:r w:rsidR="00987BCF">
        <w:t>Medicare beneficiaries. The contractor will use</w:t>
      </w:r>
      <w:r w:rsidRPr="00987BCF" w:rsidR="00987BCF">
        <w:t xml:space="preserve"> available comparison characteristics from the sample frame </w:t>
      </w:r>
      <w:r w:rsidR="00987BCF">
        <w:t>to</w:t>
      </w:r>
      <w:r w:rsidRPr="00987BCF" w:rsidR="00987BCF">
        <w:t xml:space="preserve"> assess to what extent the respondents differ from non-</w:t>
      </w:r>
      <w:r w:rsidRPr="00987BCF" w:rsidR="00B55873">
        <w:t>responde</w:t>
      </w:r>
      <w:r w:rsidR="00B55873">
        <w:t>r</w:t>
      </w:r>
      <w:r w:rsidRPr="00987BCF" w:rsidR="00B55873">
        <w:t>s</w:t>
      </w:r>
      <w:r w:rsidRPr="00987BCF" w:rsidR="00987BCF">
        <w:t xml:space="preserve">, and </w:t>
      </w:r>
      <w:r w:rsidR="0068063F">
        <w:t>whether</w:t>
      </w:r>
      <w:r w:rsidRPr="00987BCF" w:rsidR="0068063F">
        <w:t xml:space="preserve"> </w:t>
      </w:r>
      <w:r w:rsidRPr="00987BCF" w:rsidR="00987BCF">
        <w:t xml:space="preserve">this needs to be </w:t>
      </w:r>
      <w:proofErr w:type="gramStart"/>
      <w:r w:rsidRPr="00987BCF" w:rsidR="00987BCF">
        <w:t xml:space="preserve">taken into </w:t>
      </w:r>
      <w:r w:rsidRPr="0092309B" w:rsidR="00987BCF">
        <w:t>account</w:t>
      </w:r>
      <w:proofErr w:type="gramEnd"/>
      <w:r w:rsidRPr="0092309B" w:rsidR="00987BCF">
        <w:t xml:space="preserve"> when weighting the dataset.</w:t>
      </w:r>
      <w:r w:rsidRPr="0092309B" w:rsidR="00BC47DB">
        <w:t xml:space="preserve"> Additional demographic comparisons </w:t>
      </w:r>
      <w:r w:rsidRPr="0092309B" w:rsidR="00712F7C">
        <w:t>(</w:t>
      </w:r>
      <w:r w:rsidRPr="0092309B" w:rsidR="007B52FC">
        <w:t>e.g.,</w:t>
      </w:r>
      <w:r w:rsidRPr="0092309B" w:rsidR="00712F7C">
        <w:t xml:space="preserve"> rural vs. urban</w:t>
      </w:r>
      <w:r w:rsidRPr="0092309B" w:rsidR="007B52FC">
        <w:t>, age group comparison, race/ethnicity comparisons</w:t>
      </w:r>
      <w:r w:rsidRPr="0092309B" w:rsidR="00712F7C">
        <w:t xml:space="preserve">) </w:t>
      </w:r>
      <w:r w:rsidRPr="0092309B" w:rsidR="00BC47DB">
        <w:t>can be made to benchmark estimates</w:t>
      </w:r>
      <w:r w:rsidR="00BC47DB">
        <w:t xml:space="preserve"> for the population of interest</w:t>
      </w:r>
      <w:r w:rsidR="00600182">
        <w:t>,</w:t>
      </w:r>
      <w:r w:rsidR="00BC47DB">
        <w:t xml:space="preserve"> where possible.</w:t>
      </w:r>
    </w:p>
    <w:p w:rsidRPr="00D87D3D" w:rsidR="00F34C93" w:rsidP="00D87D3D" w:rsidRDefault="005453AD" w14:paraId="52147E7B" w14:textId="77777777">
      <w:pPr>
        <w:pStyle w:val="Heading2"/>
      </w:pPr>
      <w:bookmarkStart w:name="_Toc151782202" w:id="12"/>
      <w:bookmarkStart w:name="_Toc158526238" w:id="13"/>
      <w:bookmarkStart w:name="_Toc66294010" w:id="14"/>
      <w:r w:rsidRPr="001D0454">
        <w:t xml:space="preserve">4. Tests of </w:t>
      </w:r>
      <w:r w:rsidRPr="00D753CE">
        <w:t>Procedures</w:t>
      </w:r>
      <w:bookmarkStart w:name="_Toc151782203" w:id="15"/>
      <w:bookmarkStart w:name="_Toc158526239" w:id="16"/>
      <w:bookmarkEnd w:id="12"/>
      <w:bookmarkEnd w:id="13"/>
      <w:bookmarkEnd w:id="14"/>
    </w:p>
    <w:p w:rsidR="00072CB1" w:rsidP="00072CB1" w:rsidRDefault="00072CB1" w14:paraId="77452500" w14:textId="0A2B591A">
      <w:pPr>
        <w:spacing w:before="100" w:beforeAutospacing="1" w:after="100" w:afterAutospacing="1"/>
      </w:pPr>
      <w:r>
        <w:t xml:space="preserve">CAHPS surveys are used extensively by CMS to support </w:t>
      </w:r>
      <w:r w:rsidRPr="00072CB1">
        <w:t>efforts to improve health</w:t>
      </w:r>
      <w:r w:rsidR="00CB45E5">
        <w:t xml:space="preserve"> </w:t>
      </w:r>
      <w:r w:rsidRPr="00072CB1">
        <w:t>care in the U.S.</w:t>
      </w:r>
      <w:r w:rsidR="00AF517A">
        <w:t xml:space="preserve"> </w:t>
      </w:r>
      <w:r>
        <w:t xml:space="preserve">As part of </w:t>
      </w:r>
      <w:r w:rsidR="00987BCF">
        <w:t>their</w:t>
      </w:r>
      <w:r>
        <w:t xml:space="preserve"> development and on-going maintenance, all CA</w:t>
      </w:r>
      <w:r w:rsidR="00A104E6">
        <w:t>H</w:t>
      </w:r>
      <w:r>
        <w:t>PS surveys undergo cognitive testing, field testing</w:t>
      </w:r>
      <w:r w:rsidR="00987BCF">
        <w:t>,</w:t>
      </w:r>
      <w:r>
        <w:t xml:space="preserve"> and psychometric analyses</w:t>
      </w:r>
      <w:r w:rsidR="0068063F">
        <w:t>.</w:t>
      </w:r>
      <w:r w:rsidR="00DF3F0D">
        <w:rPr>
          <w:rStyle w:val="EndnoteReference"/>
        </w:rPr>
        <w:endnoteReference w:id="5"/>
      </w:r>
    </w:p>
    <w:p w:rsidRPr="00072CB1" w:rsidR="00D6739C" w:rsidP="00072CB1" w:rsidRDefault="00D6739C" w14:paraId="32A9558E" w14:textId="77777777">
      <w:pPr>
        <w:spacing w:before="100" w:beforeAutospacing="1" w:after="100" w:afterAutospacing="1"/>
      </w:pPr>
      <w:r>
        <w:t>Regarding population-specific questionnaire modules, information about testing and development of source surveys will be provided with individual information collection requests.</w:t>
      </w:r>
    </w:p>
    <w:p w:rsidR="005453AD" w:rsidP="00D753CE" w:rsidRDefault="00F34C93" w14:paraId="2543F96F" w14:textId="77777777">
      <w:pPr>
        <w:pStyle w:val="Heading2"/>
      </w:pPr>
      <w:r w:rsidRPr="001D0454">
        <w:t xml:space="preserve"> </w:t>
      </w:r>
      <w:bookmarkStart w:name="_Toc66294011" w:id="17"/>
      <w:r w:rsidRPr="001D0454" w:rsidR="005453AD">
        <w:t xml:space="preserve">5. Statistical </w:t>
      </w:r>
      <w:r w:rsidRPr="00D753CE" w:rsidR="005453AD">
        <w:t>Consultants</w:t>
      </w:r>
      <w:bookmarkEnd w:id="15"/>
      <w:bookmarkEnd w:id="16"/>
      <w:bookmarkEnd w:id="17"/>
    </w:p>
    <w:p w:rsidR="00D56E17" w:rsidP="00D87D3D" w:rsidRDefault="00683759" w14:paraId="3BC4F0CA" w14:textId="62740D5E">
      <w:pPr>
        <w:spacing w:after="240"/>
      </w:pPr>
      <w:r>
        <w:t>Data will be collected by NORC at the University of Chicago.</w:t>
      </w:r>
      <w:r w:rsidR="00AF517A">
        <w:t xml:space="preserve"> </w:t>
      </w:r>
      <w:r w:rsidR="008B1F52">
        <w:t xml:space="preserve">Statistical consulting on weighting will be provided by Elizabeth </w:t>
      </w:r>
      <w:r w:rsidR="004671F5">
        <w:t>Allen</w:t>
      </w:r>
      <w:r w:rsidR="008B1F52">
        <w:t xml:space="preserve">, Senior Statistician at NORC at the University of </w:t>
      </w:r>
      <w:r w:rsidR="00D87D3D">
        <w:t>Chicago.</w:t>
      </w:r>
      <w:r w:rsidR="00AF517A">
        <w:t xml:space="preserve"> </w:t>
      </w:r>
    </w:p>
    <w:p w:rsidRPr="00016560" w:rsidR="006C5A7A" w:rsidP="006C5A7A" w:rsidRDefault="006C5A7A" w14:paraId="0D564A94" w14:textId="77777777">
      <w:pPr>
        <w:pStyle w:val="NormalWeb"/>
        <w:rPr>
          <w:rFonts w:ascii="Arial" w:hAnsi="Arial" w:cs="Arial"/>
          <w:b/>
        </w:rPr>
      </w:pPr>
      <w:r>
        <w:rPr>
          <w:rFonts w:ascii="Arial" w:hAnsi="Arial" w:cs="Arial"/>
          <w:b/>
        </w:rPr>
        <w:t xml:space="preserve">List of </w:t>
      </w:r>
      <w:r w:rsidRPr="00016560">
        <w:rPr>
          <w:rFonts w:ascii="Arial" w:hAnsi="Arial" w:cs="Arial"/>
          <w:b/>
        </w:rPr>
        <w:t>Attachments:</w:t>
      </w:r>
    </w:p>
    <w:p w:rsidR="006C5A7A" w:rsidP="006C5A7A" w:rsidRDefault="006C5A7A" w14:paraId="4277D766" w14:textId="77777777">
      <w:r>
        <w:t xml:space="preserve">Attachment A – MBECS </w:t>
      </w:r>
      <w:r w:rsidR="00D6739C">
        <w:t>Core Questionnaire</w:t>
      </w:r>
    </w:p>
    <w:p w:rsidR="006C5A7A" w:rsidP="006C5A7A" w:rsidRDefault="006C5A7A" w14:paraId="0A8F3069" w14:textId="77777777"/>
    <w:p w:rsidR="006C5A7A" w:rsidP="006C5A7A" w:rsidRDefault="006C5A7A" w14:paraId="3240E325" w14:textId="77777777">
      <w:r>
        <w:t>Attachment B – Federal Register Notice #1</w:t>
      </w:r>
    </w:p>
    <w:p w:rsidRPr="00683759" w:rsidR="00F34C93" w:rsidP="00F34C93" w:rsidRDefault="00F34C93" w14:paraId="242B62DA" w14:textId="61207116"/>
    <w:sectPr w:rsidRPr="00683759" w:rsidR="00F34C93" w:rsidSect="00874B68">
      <w:footerReference w:type="even" r:id="rId8"/>
      <w:footerReference w:type="default" r:id="rId9"/>
      <w:endnotePr>
        <w:numFmt w:val="decimal"/>
      </w:endnotePr>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72F8A" w14:textId="77777777" w:rsidR="00303EE9" w:rsidRDefault="00303EE9">
      <w:r>
        <w:separator/>
      </w:r>
    </w:p>
  </w:endnote>
  <w:endnote w:type="continuationSeparator" w:id="0">
    <w:p w14:paraId="34F37BE0" w14:textId="77777777" w:rsidR="00303EE9" w:rsidRDefault="00303EE9">
      <w:r>
        <w:continuationSeparator/>
      </w:r>
    </w:p>
  </w:endnote>
  <w:endnote w:type="continuationNotice" w:id="1">
    <w:p w14:paraId="748D12AA" w14:textId="77777777" w:rsidR="00303EE9" w:rsidRDefault="00303EE9"/>
  </w:endnote>
  <w:endnote w:id="2">
    <w:p w14:paraId="2EA6D3F6" w14:textId="77777777" w:rsidR="007B52FC" w:rsidRPr="00537A28" w:rsidRDefault="007B52FC" w:rsidP="0057791C">
      <w:pPr>
        <w:pStyle w:val="EndnoteText"/>
        <w:rPr>
          <w:sz w:val="22"/>
          <w:szCs w:val="22"/>
        </w:rPr>
      </w:pPr>
      <w:r w:rsidRPr="00537A28">
        <w:rPr>
          <w:rStyle w:val="EndnoteReference"/>
          <w:sz w:val="22"/>
          <w:szCs w:val="22"/>
        </w:rPr>
        <w:endnoteRef/>
      </w:r>
      <w:r w:rsidRPr="00537A28">
        <w:rPr>
          <w:sz w:val="22"/>
          <w:szCs w:val="22"/>
        </w:rPr>
        <w:t xml:space="preserve"> Beebe, T. J., Davern, M. E., McAlpine, D. D., Call, K. T., &amp; Rockwood, T. H. (2005). Increasing Response Rates in a Survey of Medicaid Enrollees: The Effect of a Prepaid Monetary incentive and Mixed Modes (Mail and Telephone). </w:t>
      </w:r>
      <w:r w:rsidRPr="00537A28">
        <w:rPr>
          <w:i/>
          <w:sz w:val="22"/>
          <w:szCs w:val="22"/>
        </w:rPr>
        <w:t xml:space="preserve">Medical Care, 43(4), </w:t>
      </w:r>
      <w:r w:rsidRPr="00537A28">
        <w:rPr>
          <w:sz w:val="22"/>
          <w:szCs w:val="22"/>
        </w:rPr>
        <w:t xml:space="preserve">411-414. </w:t>
      </w:r>
      <w:r w:rsidRPr="00537A28">
        <w:rPr>
          <w:sz w:val="22"/>
          <w:szCs w:val="22"/>
        </w:rPr>
        <w:br/>
      </w:r>
    </w:p>
  </w:endnote>
  <w:endnote w:id="3">
    <w:p w14:paraId="511E501E" w14:textId="77777777" w:rsidR="007B52FC" w:rsidRPr="00537A28" w:rsidRDefault="007B52FC" w:rsidP="006264EF">
      <w:pPr>
        <w:pStyle w:val="EndnoteText"/>
        <w:rPr>
          <w:sz w:val="22"/>
          <w:szCs w:val="22"/>
        </w:rPr>
      </w:pPr>
      <w:r w:rsidRPr="00537A28">
        <w:rPr>
          <w:rStyle w:val="EndnoteReference"/>
          <w:sz w:val="22"/>
          <w:szCs w:val="22"/>
        </w:rPr>
        <w:endnoteRef/>
      </w:r>
      <w:r w:rsidRPr="00537A28">
        <w:rPr>
          <w:sz w:val="22"/>
          <w:szCs w:val="22"/>
        </w:rPr>
        <w:t xml:space="preserve"> Zaslavsky, A., Zaborski, L., &amp; Cleary, P. (2002). Factors Affecting Response Rates to the Consumer Assessment of Health Plans Study Survey. </w:t>
      </w:r>
      <w:r w:rsidRPr="00537A28">
        <w:rPr>
          <w:i/>
          <w:iCs/>
          <w:sz w:val="22"/>
          <w:szCs w:val="22"/>
        </w:rPr>
        <w:t>Medical Care,</w:t>
      </w:r>
      <w:r w:rsidRPr="00537A28">
        <w:rPr>
          <w:sz w:val="22"/>
          <w:szCs w:val="22"/>
        </w:rPr>
        <w:t> </w:t>
      </w:r>
      <w:r w:rsidRPr="00537A28">
        <w:rPr>
          <w:i/>
          <w:iCs/>
          <w:sz w:val="22"/>
          <w:szCs w:val="22"/>
        </w:rPr>
        <w:t>40</w:t>
      </w:r>
      <w:r w:rsidRPr="00537A28">
        <w:rPr>
          <w:sz w:val="22"/>
          <w:szCs w:val="22"/>
        </w:rPr>
        <w:t xml:space="preserve">(6), 485-499. Retrieved from </w:t>
      </w:r>
      <w:hyperlink r:id="rId1" w:history="1">
        <w:r w:rsidRPr="00537A28">
          <w:rPr>
            <w:rStyle w:val="Hyperlink"/>
            <w:sz w:val="22"/>
            <w:szCs w:val="22"/>
          </w:rPr>
          <w:t>http://www.jstor.org/stable/3768129</w:t>
        </w:r>
      </w:hyperlink>
      <w:r w:rsidRPr="00537A28">
        <w:rPr>
          <w:sz w:val="22"/>
          <w:szCs w:val="22"/>
        </w:rPr>
        <w:br/>
      </w:r>
    </w:p>
  </w:endnote>
  <w:endnote w:id="4">
    <w:p w14:paraId="12F4813E" w14:textId="77777777" w:rsidR="007B52FC" w:rsidRPr="00537A28" w:rsidRDefault="007B52FC" w:rsidP="006264EF">
      <w:pPr>
        <w:pStyle w:val="EndnoteText"/>
        <w:rPr>
          <w:sz w:val="22"/>
          <w:szCs w:val="22"/>
        </w:rPr>
      </w:pPr>
      <w:r w:rsidRPr="00537A28">
        <w:rPr>
          <w:sz w:val="22"/>
          <w:szCs w:val="22"/>
        </w:rPr>
        <w:endnoteRef/>
      </w:r>
      <w:r w:rsidRPr="00537A28">
        <w:rPr>
          <w:sz w:val="22"/>
          <w:szCs w:val="22"/>
        </w:rPr>
        <w:t xml:space="preserve"> IMPAQ International, LLC. National Implementation of the Original Medicare Fee-For-Service CAHPS Survey Data Collection and Data File Preparation: Annual Report for the 2016 Survey.  Columbia, MD.  Prepared for the Centers for Medicare and Medicaid Services, 2016.</w:t>
      </w:r>
    </w:p>
    <w:p w14:paraId="490EE20B" w14:textId="77777777" w:rsidR="007B52FC" w:rsidRPr="00537A28" w:rsidRDefault="007B52FC" w:rsidP="006264EF">
      <w:pPr>
        <w:pStyle w:val="EndnoteText"/>
        <w:rPr>
          <w:sz w:val="22"/>
          <w:szCs w:val="22"/>
        </w:rPr>
      </w:pPr>
    </w:p>
  </w:endnote>
  <w:endnote w:id="5">
    <w:p w14:paraId="0EA12E63" w14:textId="77777777" w:rsidR="007B52FC" w:rsidRDefault="007B52FC">
      <w:pPr>
        <w:pStyle w:val="EndnoteText"/>
      </w:pPr>
      <w:r w:rsidRPr="00537A28">
        <w:rPr>
          <w:rStyle w:val="EndnoteReference"/>
          <w:sz w:val="22"/>
          <w:szCs w:val="22"/>
        </w:rPr>
        <w:endnoteRef/>
      </w:r>
      <w:r w:rsidRPr="00537A28">
        <w:rPr>
          <w:sz w:val="22"/>
          <w:szCs w:val="22"/>
        </w:rPr>
        <w:t xml:space="preserve"> Hargraves JL, Hays RD, Cleary PD. Psychometric properties of the Consumer Assessment of Health Plans Study (CAHPS) 2.0 Adult Core Survey. Health Serv Res. 2003 Dec;38(6 Pt 1):1509-27.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E612E" w14:textId="77777777" w:rsidR="007B52FC" w:rsidRDefault="007B52FC" w:rsidP="00874B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62D26B" w14:textId="77777777" w:rsidR="007B52FC" w:rsidRDefault="007B52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5119B" w14:textId="6BD8F497" w:rsidR="007B52FC" w:rsidRDefault="007B52FC" w:rsidP="00874B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46B42">
      <w:rPr>
        <w:rStyle w:val="PageNumber"/>
        <w:noProof/>
      </w:rPr>
      <w:t>5</w:t>
    </w:r>
    <w:r>
      <w:rPr>
        <w:rStyle w:val="PageNumber"/>
      </w:rPr>
      <w:fldChar w:fldCharType="end"/>
    </w:r>
  </w:p>
  <w:p w14:paraId="6F314E08" w14:textId="77777777" w:rsidR="007B52FC" w:rsidRDefault="007B52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9AD88" w14:textId="77777777" w:rsidR="00303EE9" w:rsidRDefault="00303EE9">
      <w:r>
        <w:separator/>
      </w:r>
    </w:p>
  </w:footnote>
  <w:footnote w:type="continuationSeparator" w:id="0">
    <w:p w14:paraId="0AF01479" w14:textId="77777777" w:rsidR="00303EE9" w:rsidRDefault="00303EE9">
      <w:r>
        <w:continuationSeparator/>
      </w:r>
    </w:p>
  </w:footnote>
  <w:footnote w:type="continuationNotice" w:id="1">
    <w:p w14:paraId="4AE7A0D9" w14:textId="77777777" w:rsidR="00303EE9" w:rsidRDefault="00303E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574B"/>
    <w:multiLevelType w:val="hybridMultilevel"/>
    <w:tmpl w:val="34EEE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85ACA"/>
    <w:multiLevelType w:val="multilevel"/>
    <w:tmpl w:val="96A6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9D200E"/>
    <w:multiLevelType w:val="multilevel"/>
    <w:tmpl w:val="C590A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66395"/>
    <w:multiLevelType w:val="hybridMultilevel"/>
    <w:tmpl w:val="A2CAC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A91912"/>
    <w:multiLevelType w:val="multilevel"/>
    <w:tmpl w:val="086ED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F85ED0"/>
    <w:multiLevelType w:val="multilevel"/>
    <w:tmpl w:val="17B2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C46DCE"/>
    <w:multiLevelType w:val="hybridMultilevel"/>
    <w:tmpl w:val="C1E4D876"/>
    <w:lvl w:ilvl="0" w:tplc="0409000F">
      <w:start w:val="1"/>
      <w:numFmt w:val="decimal"/>
      <w:lvlText w:val="%1."/>
      <w:lvlJc w:val="left"/>
      <w:pPr>
        <w:ind w:left="720" w:hanging="360"/>
      </w:pPr>
    </w:lvl>
    <w:lvl w:ilvl="1" w:tplc="3280AF18">
      <w:start w:val="1"/>
      <w:numFmt w:val="lowerLetter"/>
      <w:lvlText w:val="%2."/>
      <w:lvlJc w:val="left"/>
      <w:pPr>
        <w:ind w:left="1440" w:hanging="360"/>
      </w:pPr>
      <w:rPr>
        <w:rFonts w:hint="default"/>
      </w:rPr>
    </w:lvl>
    <w:lvl w:ilvl="2" w:tplc="CA9C7A3E">
      <w:start w:val="1"/>
      <w:numFmt w:val="upperLetter"/>
      <w:lvlText w:val="%3."/>
      <w:lvlJc w:val="left"/>
      <w:pPr>
        <w:ind w:left="225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981764"/>
    <w:multiLevelType w:val="multilevel"/>
    <w:tmpl w:val="089E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3539E0"/>
    <w:multiLevelType w:val="hybridMultilevel"/>
    <w:tmpl w:val="814A62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F16D7E"/>
    <w:multiLevelType w:val="hybridMultilevel"/>
    <w:tmpl w:val="A61E7CA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AD84A54"/>
    <w:multiLevelType w:val="hybridMultilevel"/>
    <w:tmpl w:val="5D260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7F59F7"/>
    <w:multiLevelType w:val="multilevel"/>
    <w:tmpl w:val="2F9CC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546BE8"/>
    <w:multiLevelType w:val="hybridMultilevel"/>
    <w:tmpl w:val="FB467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8F80649"/>
    <w:multiLevelType w:val="hybridMultilevel"/>
    <w:tmpl w:val="87847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1D47F3"/>
    <w:multiLevelType w:val="hybridMultilevel"/>
    <w:tmpl w:val="814A62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11"/>
  </w:num>
  <w:num w:numId="5">
    <w:abstractNumId w:val="7"/>
  </w:num>
  <w:num w:numId="6">
    <w:abstractNumId w:val="4"/>
  </w:num>
  <w:num w:numId="7">
    <w:abstractNumId w:val="0"/>
  </w:num>
  <w:num w:numId="8">
    <w:abstractNumId w:val="10"/>
  </w:num>
  <w:num w:numId="9">
    <w:abstractNumId w:val="12"/>
  </w:num>
  <w:num w:numId="10">
    <w:abstractNumId w:val="13"/>
  </w:num>
  <w:num w:numId="11">
    <w:abstractNumId w:val="14"/>
  </w:num>
  <w:num w:numId="12">
    <w:abstractNumId w:val="9"/>
  </w:num>
  <w:num w:numId="13">
    <w:abstractNumId w:val="8"/>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3AD"/>
    <w:rsid w:val="000028E6"/>
    <w:rsid w:val="00003726"/>
    <w:rsid w:val="00007C23"/>
    <w:rsid w:val="0001418A"/>
    <w:rsid w:val="00022973"/>
    <w:rsid w:val="00022B2F"/>
    <w:rsid w:val="00023905"/>
    <w:rsid w:val="00026298"/>
    <w:rsid w:val="0002688B"/>
    <w:rsid w:val="00027931"/>
    <w:rsid w:val="000323C1"/>
    <w:rsid w:val="00034BD7"/>
    <w:rsid w:val="000375C3"/>
    <w:rsid w:val="00040D98"/>
    <w:rsid w:val="0004144A"/>
    <w:rsid w:val="00042F92"/>
    <w:rsid w:val="00044F87"/>
    <w:rsid w:val="00050229"/>
    <w:rsid w:val="00053B30"/>
    <w:rsid w:val="00067137"/>
    <w:rsid w:val="00071D00"/>
    <w:rsid w:val="0007298C"/>
    <w:rsid w:val="00072CB1"/>
    <w:rsid w:val="000733EB"/>
    <w:rsid w:val="0008338A"/>
    <w:rsid w:val="00084D1F"/>
    <w:rsid w:val="000904AC"/>
    <w:rsid w:val="000963A9"/>
    <w:rsid w:val="000A039A"/>
    <w:rsid w:val="000A3642"/>
    <w:rsid w:val="000B246F"/>
    <w:rsid w:val="000B2925"/>
    <w:rsid w:val="000B3A13"/>
    <w:rsid w:val="000B51D2"/>
    <w:rsid w:val="000B6025"/>
    <w:rsid w:val="000B6337"/>
    <w:rsid w:val="000C052D"/>
    <w:rsid w:val="000C0C71"/>
    <w:rsid w:val="000C26A4"/>
    <w:rsid w:val="000C273C"/>
    <w:rsid w:val="000D0D56"/>
    <w:rsid w:val="000D3160"/>
    <w:rsid w:val="000D328B"/>
    <w:rsid w:val="000D5862"/>
    <w:rsid w:val="000D68E0"/>
    <w:rsid w:val="000E1D17"/>
    <w:rsid w:val="000E5B21"/>
    <w:rsid w:val="000F1C4B"/>
    <w:rsid w:val="0010368D"/>
    <w:rsid w:val="001277A0"/>
    <w:rsid w:val="00133642"/>
    <w:rsid w:val="0013418E"/>
    <w:rsid w:val="00144014"/>
    <w:rsid w:val="001462BA"/>
    <w:rsid w:val="00160B30"/>
    <w:rsid w:val="00161726"/>
    <w:rsid w:val="001623B4"/>
    <w:rsid w:val="0016752B"/>
    <w:rsid w:val="00172665"/>
    <w:rsid w:val="001826BD"/>
    <w:rsid w:val="00184281"/>
    <w:rsid w:val="001914B6"/>
    <w:rsid w:val="001917C9"/>
    <w:rsid w:val="00193D98"/>
    <w:rsid w:val="00194307"/>
    <w:rsid w:val="00194E2E"/>
    <w:rsid w:val="00195C04"/>
    <w:rsid w:val="001961A5"/>
    <w:rsid w:val="001A5FF7"/>
    <w:rsid w:val="001A640C"/>
    <w:rsid w:val="001B0912"/>
    <w:rsid w:val="001B100A"/>
    <w:rsid w:val="001B58FA"/>
    <w:rsid w:val="001B5D6F"/>
    <w:rsid w:val="001C0233"/>
    <w:rsid w:val="001C3A3F"/>
    <w:rsid w:val="001C3D9E"/>
    <w:rsid w:val="001C78FD"/>
    <w:rsid w:val="001E0F94"/>
    <w:rsid w:val="001F5E2E"/>
    <w:rsid w:val="001F6268"/>
    <w:rsid w:val="00200BC3"/>
    <w:rsid w:val="00202661"/>
    <w:rsid w:val="0020740B"/>
    <w:rsid w:val="00215EBF"/>
    <w:rsid w:val="002175A7"/>
    <w:rsid w:val="00220C60"/>
    <w:rsid w:val="00222258"/>
    <w:rsid w:val="00223B2F"/>
    <w:rsid w:val="00224620"/>
    <w:rsid w:val="002343F0"/>
    <w:rsid w:val="002344D9"/>
    <w:rsid w:val="00235467"/>
    <w:rsid w:val="0023595D"/>
    <w:rsid w:val="00240615"/>
    <w:rsid w:val="00241276"/>
    <w:rsid w:val="002418FA"/>
    <w:rsid w:val="00243021"/>
    <w:rsid w:val="00250E7B"/>
    <w:rsid w:val="00250F6D"/>
    <w:rsid w:val="00260A01"/>
    <w:rsid w:val="00262FCA"/>
    <w:rsid w:val="00265C70"/>
    <w:rsid w:val="00266D37"/>
    <w:rsid w:val="00274E60"/>
    <w:rsid w:val="00277CEA"/>
    <w:rsid w:val="00282DD5"/>
    <w:rsid w:val="002837E3"/>
    <w:rsid w:val="0029332D"/>
    <w:rsid w:val="002A08AD"/>
    <w:rsid w:val="002A3E40"/>
    <w:rsid w:val="002A5262"/>
    <w:rsid w:val="002B0F78"/>
    <w:rsid w:val="002B51BE"/>
    <w:rsid w:val="002C24F3"/>
    <w:rsid w:val="002D2B4A"/>
    <w:rsid w:val="002D6340"/>
    <w:rsid w:val="002E023B"/>
    <w:rsid w:val="002E57EF"/>
    <w:rsid w:val="002F344F"/>
    <w:rsid w:val="003004BA"/>
    <w:rsid w:val="00302636"/>
    <w:rsid w:val="00303EE9"/>
    <w:rsid w:val="00307089"/>
    <w:rsid w:val="00307CE1"/>
    <w:rsid w:val="00307F15"/>
    <w:rsid w:val="00312071"/>
    <w:rsid w:val="0031285A"/>
    <w:rsid w:val="00314B99"/>
    <w:rsid w:val="0031502F"/>
    <w:rsid w:val="003150D5"/>
    <w:rsid w:val="00325BC9"/>
    <w:rsid w:val="003338AE"/>
    <w:rsid w:val="00335849"/>
    <w:rsid w:val="00353007"/>
    <w:rsid w:val="00357545"/>
    <w:rsid w:val="00365067"/>
    <w:rsid w:val="003671A9"/>
    <w:rsid w:val="00367D62"/>
    <w:rsid w:val="0037009A"/>
    <w:rsid w:val="00381C57"/>
    <w:rsid w:val="0038270A"/>
    <w:rsid w:val="00383034"/>
    <w:rsid w:val="00384745"/>
    <w:rsid w:val="00387984"/>
    <w:rsid w:val="00393005"/>
    <w:rsid w:val="00396B62"/>
    <w:rsid w:val="003A145F"/>
    <w:rsid w:val="003B376A"/>
    <w:rsid w:val="003B3C70"/>
    <w:rsid w:val="003B5DBF"/>
    <w:rsid w:val="003B7C56"/>
    <w:rsid w:val="003C1C77"/>
    <w:rsid w:val="003C2C5C"/>
    <w:rsid w:val="003C3103"/>
    <w:rsid w:val="003C312C"/>
    <w:rsid w:val="003C6E1D"/>
    <w:rsid w:val="003C71E0"/>
    <w:rsid w:val="003C73E8"/>
    <w:rsid w:val="003D30F3"/>
    <w:rsid w:val="003D369A"/>
    <w:rsid w:val="003D3B9C"/>
    <w:rsid w:val="003D6AE8"/>
    <w:rsid w:val="003E0A4D"/>
    <w:rsid w:val="003E5535"/>
    <w:rsid w:val="003F223C"/>
    <w:rsid w:val="003F42C7"/>
    <w:rsid w:val="003F4F2F"/>
    <w:rsid w:val="004121E9"/>
    <w:rsid w:val="00413710"/>
    <w:rsid w:val="00415138"/>
    <w:rsid w:val="004177C0"/>
    <w:rsid w:val="00422B2A"/>
    <w:rsid w:val="004230CE"/>
    <w:rsid w:val="004242CA"/>
    <w:rsid w:val="00426BAE"/>
    <w:rsid w:val="00431F3A"/>
    <w:rsid w:val="0043295B"/>
    <w:rsid w:val="00451EBF"/>
    <w:rsid w:val="004543F7"/>
    <w:rsid w:val="00460D1B"/>
    <w:rsid w:val="00461D98"/>
    <w:rsid w:val="004671F5"/>
    <w:rsid w:val="00474DB9"/>
    <w:rsid w:val="00477AE9"/>
    <w:rsid w:val="0049362F"/>
    <w:rsid w:val="0049545C"/>
    <w:rsid w:val="00497C66"/>
    <w:rsid w:val="004A0508"/>
    <w:rsid w:val="004A111A"/>
    <w:rsid w:val="004A2775"/>
    <w:rsid w:val="004A534E"/>
    <w:rsid w:val="004A58E2"/>
    <w:rsid w:val="004B06E4"/>
    <w:rsid w:val="004B5BD6"/>
    <w:rsid w:val="004B64D5"/>
    <w:rsid w:val="004C7F3B"/>
    <w:rsid w:val="004D0229"/>
    <w:rsid w:val="004D6C5F"/>
    <w:rsid w:val="004F153D"/>
    <w:rsid w:val="004F7C29"/>
    <w:rsid w:val="0050069A"/>
    <w:rsid w:val="00502B7A"/>
    <w:rsid w:val="00502DB0"/>
    <w:rsid w:val="0050472C"/>
    <w:rsid w:val="00506B7C"/>
    <w:rsid w:val="00506E4D"/>
    <w:rsid w:val="00512D72"/>
    <w:rsid w:val="00513750"/>
    <w:rsid w:val="00517F12"/>
    <w:rsid w:val="00520D8D"/>
    <w:rsid w:val="00526952"/>
    <w:rsid w:val="00536106"/>
    <w:rsid w:val="00536CE1"/>
    <w:rsid w:val="00537A28"/>
    <w:rsid w:val="0054002D"/>
    <w:rsid w:val="005402C7"/>
    <w:rsid w:val="00541571"/>
    <w:rsid w:val="00543AF4"/>
    <w:rsid w:val="00544957"/>
    <w:rsid w:val="005453AD"/>
    <w:rsid w:val="0054693C"/>
    <w:rsid w:val="00552C85"/>
    <w:rsid w:val="00555B00"/>
    <w:rsid w:val="00555B8A"/>
    <w:rsid w:val="00561756"/>
    <w:rsid w:val="00561B67"/>
    <w:rsid w:val="00574D56"/>
    <w:rsid w:val="005772BD"/>
    <w:rsid w:val="0057791C"/>
    <w:rsid w:val="00584F7C"/>
    <w:rsid w:val="00587D46"/>
    <w:rsid w:val="00592D0C"/>
    <w:rsid w:val="0059507D"/>
    <w:rsid w:val="00595E78"/>
    <w:rsid w:val="00596D4F"/>
    <w:rsid w:val="005A055B"/>
    <w:rsid w:val="005A0DCB"/>
    <w:rsid w:val="005A6271"/>
    <w:rsid w:val="005B7E1A"/>
    <w:rsid w:val="005C5779"/>
    <w:rsid w:val="005C69BD"/>
    <w:rsid w:val="005D1BD6"/>
    <w:rsid w:val="005D220C"/>
    <w:rsid w:val="005E3686"/>
    <w:rsid w:val="005E5170"/>
    <w:rsid w:val="005F0531"/>
    <w:rsid w:val="005F08FA"/>
    <w:rsid w:val="005F1B0F"/>
    <w:rsid w:val="005F6627"/>
    <w:rsid w:val="00600182"/>
    <w:rsid w:val="00603537"/>
    <w:rsid w:val="006051E2"/>
    <w:rsid w:val="00607E4C"/>
    <w:rsid w:val="006106C1"/>
    <w:rsid w:val="00612140"/>
    <w:rsid w:val="00620AC7"/>
    <w:rsid w:val="006264EF"/>
    <w:rsid w:val="00626F19"/>
    <w:rsid w:val="00631667"/>
    <w:rsid w:val="00631ACA"/>
    <w:rsid w:val="00635512"/>
    <w:rsid w:val="0063714F"/>
    <w:rsid w:val="00642DAA"/>
    <w:rsid w:val="00650EF9"/>
    <w:rsid w:val="00653240"/>
    <w:rsid w:val="0065370A"/>
    <w:rsid w:val="00653C6E"/>
    <w:rsid w:val="00656406"/>
    <w:rsid w:val="00656C4F"/>
    <w:rsid w:val="0065798D"/>
    <w:rsid w:val="0066058A"/>
    <w:rsid w:val="006653E4"/>
    <w:rsid w:val="00666C20"/>
    <w:rsid w:val="006751F3"/>
    <w:rsid w:val="00676B11"/>
    <w:rsid w:val="006804F1"/>
    <w:rsid w:val="0068063F"/>
    <w:rsid w:val="00683759"/>
    <w:rsid w:val="00687D1B"/>
    <w:rsid w:val="0069068A"/>
    <w:rsid w:val="00690E25"/>
    <w:rsid w:val="00694254"/>
    <w:rsid w:val="00697067"/>
    <w:rsid w:val="006A09B7"/>
    <w:rsid w:val="006A1D32"/>
    <w:rsid w:val="006A23A7"/>
    <w:rsid w:val="006A6E5B"/>
    <w:rsid w:val="006B30B6"/>
    <w:rsid w:val="006B417B"/>
    <w:rsid w:val="006B65D6"/>
    <w:rsid w:val="006C0C47"/>
    <w:rsid w:val="006C288C"/>
    <w:rsid w:val="006C4290"/>
    <w:rsid w:val="006C5A7A"/>
    <w:rsid w:val="006D2949"/>
    <w:rsid w:val="006D2A3E"/>
    <w:rsid w:val="006D4549"/>
    <w:rsid w:val="006D548C"/>
    <w:rsid w:val="006E0FBF"/>
    <w:rsid w:val="006F6A40"/>
    <w:rsid w:val="007017C8"/>
    <w:rsid w:val="00701B9B"/>
    <w:rsid w:val="007033D7"/>
    <w:rsid w:val="00712F7C"/>
    <w:rsid w:val="00714C76"/>
    <w:rsid w:val="0072065D"/>
    <w:rsid w:val="0072343D"/>
    <w:rsid w:val="007257EA"/>
    <w:rsid w:val="00726E4F"/>
    <w:rsid w:val="0072702F"/>
    <w:rsid w:val="0073259F"/>
    <w:rsid w:val="007370B3"/>
    <w:rsid w:val="0074279C"/>
    <w:rsid w:val="007519A8"/>
    <w:rsid w:val="00752720"/>
    <w:rsid w:val="00761BC9"/>
    <w:rsid w:val="00766ABD"/>
    <w:rsid w:val="00772E70"/>
    <w:rsid w:val="00773A1B"/>
    <w:rsid w:val="00775880"/>
    <w:rsid w:val="00777546"/>
    <w:rsid w:val="007818E2"/>
    <w:rsid w:val="007831BE"/>
    <w:rsid w:val="007855F5"/>
    <w:rsid w:val="00790A3B"/>
    <w:rsid w:val="00792830"/>
    <w:rsid w:val="00793E46"/>
    <w:rsid w:val="00797EA9"/>
    <w:rsid w:val="007A011B"/>
    <w:rsid w:val="007A17F0"/>
    <w:rsid w:val="007A57E0"/>
    <w:rsid w:val="007B52FC"/>
    <w:rsid w:val="007C0ABE"/>
    <w:rsid w:val="007C0D40"/>
    <w:rsid w:val="007C39E4"/>
    <w:rsid w:val="007C49D3"/>
    <w:rsid w:val="007C569D"/>
    <w:rsid w:val="007C5905"/>
    <w:rsid w:val="007D2127"/>
    <w:rsid w:val="007D53AA"/>
    <w:rsid w:val="007E0620"/>
    <w:rsid w:val="007E15FF"/>
    <w:rsid w:val="007F154C"/>
    <w:rsid w:val="007F2387"/>
    <w:rsid w:val="007F2F72"/>
    <w:rsid w:val="007F6A9A"/>
    <w:rsid w:val="00802289"/>
    <w:rsid w:val="00803607"/>
    <w:rsid w:val="00812673"/>
    <w:rsid w:val="008129CA"/>
    <w:rsid w:val="0082128E"/>
    <w:rsid w:val="008217D4"/>
    <w:rsid w:val="00826B80"/>
    <w:rsid w:val="00827782"/>
    <w:rsid w:val="00833D8A"/>
    <w:rsid w:val="00834A30"/>
    <w:rsid w:val="00840DCC"/>
    <w:rsid w:val="008452A3"/>
    <w:rsid w:val="00845E6A"/>
    <w:rsid w:val="00852C36"/>
    <w:rsid w:val="00854B3A"/>
    <w:rsid w:val="008572D0"/>
    <w:rsid w:val="00864C0A"/>
    <w:rsid w:val="00871DAE"/>
    <w:rsid w:val="00873091"/>
    <w:rsid w:val="008741AB"/>
    <w:rsid w:val="00874B68"/>
    <w:rsid w:val="00883778"/>
    <w:rsid w:val="00886C86"/>
    <w:rsid w:val="00890667"/>
    <w:rsid w:val="0089215C"/>
    <w:rsid w:val="00892197"/>
    <w:rsid w:val="00892AC5"/>
    <w:rsid w:val="008933F8"/>
    <w:rsid w:val="00894559"/>
    <w:rsid w:val="00894CB3"/>
    <w:rsid w:val="00895461"/>
    <w:rsid w:val="008A1887"/>
    <w:rsid w:val="008A2542"/>
    <w:rsid w:val="008A5586"/>
    <w:rsid w:val="008B1F52"/>
    <w:rsid w:val="008B2C1B"/>
    <w:rsid w:val="008B30BA"/>
    <w:rsid w:val="008B59A2"/>
    <w:rsid w:val="008B5B54"/>
    <w:rsid w:val="008B5CFB"/>
    <w:rsid w:val="008C122A"/>
    <w:rsid w:val="008C3495"/>
    <w:rsid w:val="008C5771"/>
    <w:rsid w:val="008D7DC9"/>
    <w:rsid w:val="008E06B8"/>
    <w:rsid w:val="008E0DFC"/>
    <w:rsid w:val="008E2A13"/>
    <w:rsid w:val="008E542F"/>
    <w:rsid w:val="008E5F75"/>
    <w:rsid w:val="008E7CEE"/>
    <w:rsid w:val="008F18CD"/>
    <w:rsid w:val="008F197F"/>
    <w:rsid w:val="008F23F5"/>
    <w:rsid w:val="008F29BB"/>
    <w:rsid w:val="008F6C41"/>
    <w:rsid w:val="008F74FC"/>
    <w:rsid w:val="008F76E7"/>
    <w:rsid w:val="00900100"/>
    <w:rsid w:val="0090111B"/>
    <w:rsid w:val="00911A25"/>
    <w:rsid w:val="00915652"/>
    <w:rsid w:val="00916AA3"/>
    <w:rsid w:val="009221BD"/>
    <w:rsid w:val="0092309B"/>
    <w:rsid w:val="0092385E"/>
    <w:rsid w:val="00931F2D"/>
    <w:rsid w:val="0093202A"/>
    <w:rsid w:val="00932810"/>
    <w:rsid w:val="00934ACF"/>
    <w:rsid w:val="00944266"/>
    <w:rsid w:val="00944F8E"/>
    <w:rsid w:val="009504CB"/>
    <w:rsid w:val="0095588E"/>
    <w:rsid w:val="00957C5A"/>
    <w:rsid w:val="009607AD"/>
    <w:rsid w:val="00960D0A"/>
    <w:rsid w:val="00962495"/>
    <w:rsid w:val="009631D2"/>
    <w:rsid w:val="009659F5"/>
    <w:rsid w:val="00976F3B"/>
    <w:rsid w:val="00983C27"/>
    <w:rsid w:val="00986127"/>
    <w:rsid w:val="00986B33"/>
    <w:rsid w:val="00986FB6"/>
    <w:rsid w:val="00987BCF"/>
    <w:rsid w:val="009A12A8"/>
    <w:rsid w:val="009A13F5"/>
    <w:rsid w:val="009A1506"/>
    <w:rsid w:val="009A27D0"/>
    <w:rsid w:val="009B7B44"/>
    <w:rsid w:val="009C00DB"/>
    <w:rsid w:val="009C0F50"/>
    <w:rsid w:val="009C14BB"/>
    <w:rsid w:val="009C5AA4"/>
    <w:rsid w:val="009D1E64"/>
    <w:rsid w:val="009D2004"/>
    <w:rsid w:val="009D5632"/>
    <w:rsid w:val="009D5E90"/>
    <w:rsid w:val="009D74E3"/>
    <w:rsid w:val="009E070F"/>
    <w:rsid w:val="009E201E"/>
    <w:rsid w:val="009E226C"/>
    <w:rsid w:val="009E289B"/>
    <w:rsid w:val="009E749B"/>
    <w:rsid w:val="009F0517"/>
    <w:rsid w:val="009F51F5"/>
    <w:rsid w:val="009F5807"/>
    <w:rsid w:val="00A0022E"/>
    <w:rsid w:val="00A00D79"/>
    <w:rsid w:val="00A04FB9"/>
    <w:rsid w:val="00A0643A"/>
    <w:rsid w:val="00A104E6"/>
    <w:rsid w:val="00A11BB5"/>
    <w:rsid w:val="00A15B3E"/>
    <w:rsid w:val="00A15E19"/>
    <w:rsid w:val="00A175C7"/>
    <w:rsid w:val="00A21665"/>
    <w:rsid w:val="00A24C1A"/>
    <w:rsid w:val="00A24E33"/>
    <w:rsid w:val="00A35E11"/>
    <w:rsid w:val="00A400AF"/>
    <w:rsid w:val="00A433E3"/>
    <w:rsid w:val="00A4499C"/>
    <w:rsid w:val="00A51A46"/>
    <w:rsid w:val="00A64316"/>
    <w:rsid w:val="00A720C1"/>
    <w:rsid w:val="00A73DB3"/>
    <w:rsid w:val="00A964C5"/>
    <w:rsid w:val="00AB0020"/>
    <w:rsid w:val="00AB2C9A"/>
    <w:rsid w:val="00AB3EB9"/>
    <w:rsid w:val="00AB5F7C"/>
    <w:rsid w:val="00AB72C0"/>
    <w:rsid w:val="00AC4D1E"/>
    <w:rsid w:val="00AC6AA6"/>
    <w:rsid w:val="00AC7A69"/>
    <w:rsid w:val="00AD7038"/>
    <w:rsid w:val="00AE5089"/>
    <w:rsid w:val="00AE642F"/>
    <w:rsid w:val="00AF135C"/>
    <w:rsid w:val="00AF4804"/>
    <w:rsid w:val="00AF517A"/>
    <w:rsid w:val="00AF63AB"/>
    <w:rsid w:val="00B03A17"/>
    <w:rsid w:val="00B0771A"/>
    <w:rsid w:val="00B113F5"/>
    <w:rsid w:val="00B168D2"/>
    <w:rsid w:val="00B268D8"/>
    <w:rsid w:val="00B36D63"/>
    <w:rsid w:val="00B4384C"/>
    <w:rsid w:val="00B46B42"/>
    <w:rsid w:val="00B47BB0"/>
    <w:rsid w:val="00B50549"/>
    <w:rsid w:val="00B51988"/>
    <w:rsid w:val="00B51FC6"/>
    <w:rsid w:val="00B5270A"/>
    <w:rsid w:val="00B55873"/>
    <w:rsid w:val="00B57596"/>
    <w:rsid w:val="00B60067"/>
    <w:rsid w:val="00B60351"/>
    <w:rsid w:val="00B6413F"/>
    <w:rsid w:val="00B64AF7"/>
    <w:rsid w:val="00B73EBB"/>
    <w:rsid w:val="00B74899"/>
    <w:rsid w:val="00B75953"/>
    <w:rsid w:val="00B767FC"/>
    <w:rsid w:val="00B81108"/>
    <w:rsid w:val="00B81128"/>
    <w:rsid w:val="00B8203D"/>
    <w:rsid w:val="00B83341"/>
    <w:rsid w:val="00B90F5B"/>
    <w:rsid w:val="00B91F14"/>
    <w:rsid w:val="00B9477A"/>
    <w:rsid w:val="00BA2394"/>
    <w:rsid w:val="00BA3FA4"/>
    <w:rsid w:val="00BA4EFC"/>
    <w:rsid w:val="00BB24C6"/>
    <w:rsid w:val="00BB46DF"/>
    <w:rsid w:val="00BC47DB"/>
    <w:rsid w:val="00BC6844"/>
    <w:rsid w:val="00BE322F"/>
    <w:rsid w:val="00BE46D9"/>
    <w:rsid w:val="00BF1A41"/>
    <w:rsid w:val="00BF416E"/>
    <w:rsid w:val="00C12607"/>
    <w:rsid w:val="00C21143"/>
    <w:rsid w:val="00C34D87"/>
    <w:rsid w:val="00C418BD"/>
    <w:rsid w:val="00C437B4"/>
    <w:rsid w:val="00C46CAB"/>
    <w:rsid w:val="00C578BD"/>
    <w:rsid w:val="00C61F81"/>
    <w:rsid w:val="00C63806"/>
    <w:rsid w:val="00C67B2A"/>
    <w:rsid w:val="00C76DEC"/>
    <w:rsid w:val="00C819BF"/>
    <w:rsid w:val="00C828BE"/>
    <w:rsid w:val="00C831BA"/>
    <w:rsid w:val="00C84426"/>
    <w:rsid w:val="00C919D8"/>
    <w:rsid w:val="00C94DE8"/>
    <w:rsid w:val="00CA149B"/>
    <w:rsid w:val="00CA2FB9"/>
    <w:rsid w:val="00CA524F"/>
    <w:rsid w:val="00CA6A4B"/>
    <w:rsid w:val="00CB2F8B"/>
    <w:rsid w:val="00CB45E5"/>
    <w:rsid w:val="00CB4E22"/>
    <w:rsid w:val="00CB660A"/>
    <w:rsid w:val="00CB7615"/>
    <w:rsid w:val="00CC3A9B"/>
    <w:rsid w:val="00CC42B4"/>
    <w:rsid w:val="00CC42BA"/>
    <w:rsid w:val="00CC593D"/>
    <w:rsid w:val="00CC65C0"/>
    <w:rsid w:val="00CC72ED"/>
    <w:rsid w:val="00CD03FF"/>
    <w:rsid w:val="00CD269E"/>
    <w:rsid w:val="00CD339A"/>
    <w:rsid w:val="00CD6B30"/>
    <w:rsid w:val="00CE339F"/>
    <w:rsid w:val="00CE49C8"/>
    <w:rsid w:val="00CE5116"/>
    <w:rsid w:val="00CE74B4"/>
    <w:rsid w:val="00CF09AF"/>
    <w:rsid w:val="00CF2FF4"/>
    <w:rsid w:val="00D02284"/>
    <w:rsid w:val="00D10174"/>
    <w:rsid w:val="00D1193F"/>
    <w:rsid w:val="00D1680B"/>
    <w:rsid w:val="00D1740D"/>
    <w:rsid w:val="00D224DD"/>
    <w:rsid w:val="00D2506E"/>
    <w:rsid w:val="00D254A2"/>
    <w:rsid w:val="00D3003B"/>
    <w:rsid w:val="00D302E3"/>
    <w:rsid w:val="00D3127C"/>
    <w:rsid w:val="00D360FA"/>
    <w:rsid w:val="00D36C83"/>
    <w:rsid w:val="00D3751D"/>
    <w:rsid w:val="00D4314A"/>
    <w:rsid w:val="00D43EDA"/>
    <w:rsid w:val="00D449D5"/>
    <w:rsid w:val="00D45207"/>
    <w:rsid w:val="00D459FF"/>
    <w:rsid w:val="00D45ABC"/>
    <w:rsid w:val="00D4711A"/>
    <w:rsid w:val="00D47F26"/>
    <w:rsid w:val="00D52FF0"/>
    <w:rsid w:val="00D55196"/>
    <w:rsid w:val="00D56E17"/>
    <w:rsid w:val="00D6739C"/>
    <w:rsid w:val="00D67CAA"/>
    <w:rsid w:val="00D67DD8"/>
    <w:rsid w:val="00D753CE"/>
    <w:rsid w:val="00D75B6B"/>
    <w:rsid w:val="00D75E0D"/>
    <w:rsid w:val="00D77619"/>
    <w:rsid w:val="00D83209"/>
    <w:rsid w:val="00D87203"/>
    <w:rsid w:val="00D87D3D"/>
    <w:rsid w:val="00D94FDE"/>
    <w:rsid w:val="00D95020"/>
    <w:rsid w:val="00D97E04"/>
    <w:rsid w:val="00DA1838"/>
    <w:rsid w:val="00DB042D"/>
    <w:rsid w:val="00DB4DF8"/>
    <w:rsid w:val="00DC3784"/>
    <w:rsid w:val="00DC72DC"/>
    <w:rsid w:val="00DD691C"/>
    <w:rsid w:val="00DD7FBF"/>
    <w:rsid w:val="00DE0C8F"/>
    <w:rsid w:val="00DE0C9B"/>
    <w:rsid w:val="00DE3F9B"/>
    <w:rsid w:val="00DE5C7A"/>
    <w:rsid w:val="00DF11C7"/>
    <w:rsid w:val="00DF2AE2"/>
    <w:rsid w:val="00DF3F0D"/>
    <w:rsid w:val="00DF7420"/>
    <w:rsid w:val="00E009FE"/>
    <w:rsid w:val="00E00AFB"/>
    <w:rsid w:val="00E059FC"/>
    <w:rsid w:val="00E1093E"/>
    <w:rsid w:val="00E11A8D"/>
    <w:rsid w:val="00E24134"/>
    <w:rsid w:val="00E24AFA"/>
    <w:rsid w:val="00E2602E"/>
    <w:rsid w:val="00E30263"/>
    <w:rsid w:val="00E32E81"/>
    <w:rsid w:val="00E33E06"/>
    <w:rsid w:val="00E35BA9"/>
    <w:rsid w:val="00E466CE"/>
    <w:rsid w:val="00E524A1"/>
    <w:rsid w:val="00E54BE4"/>
    <w:rsid w:val="00E5761E"/>
    <w:rsid w:val="00E61391"/>
    <w:rsid w:val="00E63044"/>
    <w:rsid w:val="00E65BED"/>
    <w:rsid w:val="00E734A9"/>
    <w:rsid w:val="00E75ADF"/>
    <w:rsid w:val="00E8231E"/>
    <w:rsid w:val="00E85CD2"/>
    <w:rsid w:val="00E87504"/>
    <w:rsid w:val="00E8787A"/>
    <w:rsid w:val="00E92391"/>
    <w:rsid w:val="00E92A8D"/>
    <w:rsid w:val="00E95E30"/>
    <w:rsid w:val="00EA20B6"/>
    <w:rsid w:val="00EA4DC2"/>
    <w:rsid w:val="00EA5256"/>
    <w:rsid w:val="00EA5CF2"/>
    <w:rsid w:val="00EA73B4"/>
    <w:rsid w:val="00EB1431"/>
    <w:rsid w:val="00EB1D0B"/>
    <w:rsid w:val="00EB2F7F"/>
    <w:rsid w:val="00EC45E4"/>
    <w:rsid w:val="00ED05DC"/>
    <w:rsid w:val="00ED09C6"/>
    <w:rsid w:val="00ED13F6"/>
    <w:rsid w:val="00ED71C8"/>
    <w:rsid w:val="00EE1A8B"/>
    <w:rsid w:val="00EF056F"/>
    <w:rsid w:val="00EF15A6"/>
    <w:rsid w:val="00EF7150"/>
    <w:rsid w:val="00F01D8D"/>
    <w:rsid w:val="00F02B51"/>
    <w:rsid w:val="00F0758A"/>
    <w:rsid w:val="00F102B7"/>
    <w:rsid w:val="00F14FF8"/>
    <w:rsid w:val="00F2241C"/>
    <w:rsid w:val="00F253F0"/>
    <w:rsid w:val="00F332EC"/>
    <w:rsid w:val="00F34C93"/>
    <w:rsid w:val="00F429B2"/>
    <w:rsid w:val="00F43735"/>
    <w:rsid w:val="00F47BB1"/>
    <w:rsid w:val="00F61E26"/>
    <w:rsid w:val="00F67F8B"/>
    <w:rsid w:val="00F7257F"/>
    <w:rsid w:val="00F72A6E"/>
    <w:rsid w:val="00F760C2"/>
    <w:rsid w:val="00F82E6F"/>
    <w:rsid w:val="00F83242"/>
    <w:rsid w:val="00F86215"/>
    <w:rsid w:val="00F877D8"/>
    <w:rsid w:val="00F90885"/>
    <w:rsid w:val="00F910EE"/>
    <w:rsid w:val="00F91489"/>
    <w:rsid w:val="00F9192C"/>
    <w:rsid w:val="00F929C1"/>
    <w:rsid w:val="00F963FE"/>
    <w:rsid w:val="00FA78F9"/>
    <w:rsid w:val="00FB13AD"/>
    <w:rsid w:val="00FB188A"/>
    <w:rsid w:val="00FB7518"/>
    <w:rsid w:val="00FC12A3"/>
    <w:rsid w:val="00FC224E"/>
    <w:rsid w:val="00FC3C4F"/>
    <w:rsid w:val="00FC633E"/>
    <w:rsid w:val="00FC7AC4"/>
    <w:rsid w:val="00FD3D7E"/>
    <w:rsid w:val="00FD5A20"/>
    <w:rsid w:val="00FE299D"/>
    <w:rsid w:val="00FE2ABC"/>
    <w:rsid w:val="00FE2F78"/>
    <w:rsid w:val="00FE3549"/>
    <w:rsid w:val="00FE5029"/>
    <w:rsid w:val="00FE5BCD"/>
    <w:rsid w:val="00FF39AC"/>
    <w:rsid w:val="00FF7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A62FAA"/>
  <w15:chartTrackingRefBased/>
  <w15:docId w15:val="{D743DD11-4087-45C5-81D2-8982B30F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53AD"/>
    <w:rPr>
      <w:sz w:val="24"/>
      <w:szCs w:val="24"/>
    </w:rPr>
  </w:style>
  <w:style w:type="paragraph" w:styleId="Heading1">
    <w:name w:val="heading 1"/>
    <w:basedOn w:val="Normal"/>
    <w:next w:val="Normal"/>
    <w:qFormat/>
    <w:rsid w:val="005453A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453A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5453AD"/>
    <w:rPr>
      <w:i/>
      <w:iCs/>
    </w:rPr>
  </w:style>
  <w:style w:type="paragraph" w:styleId="EndnoteText">
    <w:name w:val="endnote text"/>
    <w:basedOn w:val="Normal"/>
    <w:semiHidden/>
    <w:rsid w:val="005453AD"/>
    <w:rPr>
      <w:sz w:val="20"/>
      <w:szCs w:val="20"/>
    </w:rPr>
  </w:style>
  <w:style w:type="paragraph" w:styleId="TOC1">
    <w:name w:val="toc 1"/>
    <w:basedOn w:val="Normal"/>
    <w:next w:val="Normal"/>
    <w:autoRedefine/>
    <w:uiPriority w:val="39"/>
    <w:rsid w:val="005453AD"/>
  </w:style>
  <w:style w:type="paragraph" w:styleId="TOC2">
    <w:name w:val="toc 2"/>
    <w:basedOn w:val="Normal"/>
    <w:next w:val="Normal"/>
    <w:autoRedefine/>
    <w:uiPriority w:val="39"/>
    <w:rsid w:val="005453AD"/>
    <w:pPr>
      <w:ind w:left="240"/>
    </w:pPr>
  </w:style>
  <w:style w:type="character" w:styleId="Hyperlink">
    <w:name w:val="Hyperlink"/>
    <w:uiPriority w:val="99"/>
    <w:rsid w:val="005453AD"/>
    <w:rPr>
      <w:color w:val="0000FF"/>
      <w:u w:val="single"/>
    </w:rPr>
  </w:style>
  <w:style w:type="paragraph" w:styleId="Footer">
    <w:name w:val="footer"/>
    <w:basedOn w:val="Normal"/>
    <w:rsid w:val="00874B68"/>
    <w:pPr>
      <w:tabs>
        <w:tab w:val="center" w:pos="4320"/>
        <w:tab w:val="right" w:pos="8640"/>
      </w:tabs>
    </w:pPr>
  </w:style>
  <w:style w:type="character" w:styleId="PageNumber">
    <w:name w:val="page number"/>
    <w:basedOn w:val="DefaultParagraphFont"/>
    <w:rsid w:val="00874B68"/>
  </w:style>
  <w:style w:type="character" w:styleId="Strong">
    <w:name w:val="Strong"/>
    <w:qFormat/>
    <w:rsid w:val="006A09B7"/>
    <w:rPr>
      <w:b/>
      <w:bCs/>
    </w:rPr>
  </w:style>
  <w:style w:type="paragraph" w:styleId="BodyText">
    <w:name w:val="Body Text"/>
    <w:basedOn w:val="Normal"/>
    <w:link w:val="BodyTextChar"/>
    <w:rsid w:val="003E0A4D"/>
    <w:rPr>
      <w:szCs w:val="20"/>
    </w:rPr>
  </w:style>
  <w:style w:type="character" w:customStyle="1" w:styleId="BodyTextChar">
    <w:name w:val="Body Text Char"/>
    <w:link w:val="BodyText"/>
    <w:rsid w:val="003E0A4D"/>
    <w:rPr>
      <w:sz w:val="24"/>
    </w:rPr>
  </w:style>
  <w:style w:type="paragraph" w:styleId="TOCHeading">
    <w:name w:val="TOC Heading"/>
    <w:basedOn w:val="Heading1"/>
    <w:next w:val="Normal"/>
    <w:uiPriority w:val="39"/>
    <w:unhideWhenUsed/>
    <w:qFormat/>
    <w:rsid w:val="00D753CE"/>
    <w:pPr>
      <w:keepLines/>
      <w:spacing w:after="0" w:line="259" w:lineRule="auto"/>
      <w:outlineLvl w:val="9"/>
    </w:pPr>
    <w:rPr>
      <w:rFonts w:ascii="Calibri Light" w:hAnsi="Calibri Light" w:cs="Times New Roman"/>
      <w:b w:val="0"/>
      <w:bCs w:val="0"/>
      <w:color w:val="2E74B5"/>
      <w:kern w:val="0"/>
    </w:rPr>
  </w:style>
  <w:style w:type="character" w:styleId="EndnoteReference">
    <w:name w:val="endnote reference"/>
    <w:rsid w:val="007C569D"/>
    <w:rPr>
      <w:vertAlign w:val="superscript"/>
    </w:rPr>
  </w:style>
  <w:style w:type="character" w:styleId="CommentReference">
    <w:name w:val="annotation reference"/>
    <w:rsid w:val="002418FA"/>
    <w:rPr>
      <w:sz w:val="16"/>
      <w:szCs w:val="16"/>
    </w:rPr>
  </w:style>
  <w:style w:type="paragraph" w:styleId="CommentText">
    <w:name w:val="annotation text"/>
    <w:basedOn w:val="Normal"/>
    <w:link w:val="CommentTextChar"/>
    <w:uiPriority w:val="99"/>
    <w:rsid w:val="002418FA"/>
    <w:rPr>
      <w:sz w:val="20"/>
      <w:szCs w:val="20"/>
    </w:rPr>
  </w:style>
  <w:style w:type="character" w:customStyle="1" w:styleId="CommentTextChar">
    <w:name w:val="Comment Text Char"/>
    <w:basedOn w:val="DefaultParagraphFont"/>
    <w:link w:val="CommentText"/>
    <w:uiPriority w:val="99"/>
    <w:rsid w:val="002418FA"/>
  </w:style>
  <w:style w:type="paragraph" w:styleId="CommentSubject">
    <w:name w:val="annotation subject"/>
    <w:basedOn w:val="CommentText"/>
    <w:next w:val="CommentText"/>
    <w:link w:val="CommentSubjectChar"/>
    <w:rsid w:val="002418FA"/>
    <w:rPr>
      <w:b/>
      <w:bCs/>
    </w:rPr>
  </w:style>
  <w:style w:type="character" w:customStyle="1" w:styleId="CommentSubjectChar">
    <w:name w:val="Comment Subject Char"/>
    <w:link w:val="CommentSubject"/>
    <w:rsid w:val="002418FA"/>
    <w:rPr>
      <w:b/>
      <w:bCs/>
    </w:rPr>
  </w:style>
  <w:style w:type="paragraph" w:styleId="BalloonText">
    <w:name w:val="Balloon Text"/>
    <w:basedOn w:val="Normal"/>
    <w:link w:val="BalloonTextChar"/>
    <w:rsid w:val="002418FA"/>
    <w:rPr>
      <w:rFonts w:ascii="Segoe UI" w:hAnsi="Segoe UI" w:cs="Segoe UI"/>
      <w:sz w:val="18"/>
      <w:szCs w:val="18"/>
    </w:rPr>
  </w:style>
  <w:style w:type="character" w:customStyle="1" w:styleId="BalloonTextChar">
    <w:name w:val="Balloon Text Char"/>
    <w:link w:val="BalloonText"/>
    <w:rsid w:val="002418FA"/>
    <w:rPr>
      <w:rFonts w:ascii="Segoe UI" w:hAnsi="Segoe UI" w:cs="Segoe UI"/>
      <w:sz w:val="18"/>
      <w:szCs w:val="18"/>
    </w:rPr>
  </w:style>
  <w:style w:type="character" w:customStyle="1" w:styleId="highlight">
    <w:name w:val="highlight"/>
    <w:rsid w:val="00ED05DC"/>
  </w:style>
  <w:style w:type="character" w:customStyle="1" w:styleId="apple-converted-space">
    <w:name w:val="apple-converted-space"/>
    <w:rsid w:val="00ED05DC"/>
  </w:style>
  <w:style w:type="paragraph" w:styleId="NormalWeb">
    <w:name w:val="Normal (Web)"/>
    <w:basedOn w:val="Normal"/>
    <w:unhideWhenUsed/>
    <w:rsid w:val="00D56E17"/>
    <w:pPr>
      <w:spacing w:before="100" w:beforeAutospacing="1" w:after="100" w:afterAutospacing="1"/>
    </w:pPr>
  </w:style>
  <w:style w:type="paragraph" w:customStyle="1" w:styleId="EndNoteBibliography">
    <w:name w:val="EndNote Bibliography"/>
    <w:basedOn w:val="Normal"/>
    <w:link w:val="EndNoteBibliographyChar"/>
    <w:rsid w:val="0073259F"/>
    <w:rPr>
      <w:rFonts w:ascii="Calibri" w:hAnsi="Calibri"/>
      <w:noProof/>
      <w:sz w:val="22"/>
    </w:rPr>
  </w:style>
  <w:style w:type="character" w:customStyle="1" w:styleId="EndNoteBibliographyChar">
    <w:name w:val="EndNote Bibliography Char"/>
    <w:link w:val="EndNoteBibliography"/>
    <w:rsid w:val="0073259F"/>
    <w:rPr>
      <w:rFonts w:ascii="Calibri" w:hAnsi="Calibri"/>
      <w:noProof/>
      <w:sz w:val="22"/>
      <w:szCs w:val="24"/>
    </w:rPr>
  </w:style>
  <w:style w:type="paragraph" w:styleId="ListParagraph">
    <w:name w:val="List Paragraph"/>
    <w:basedOn w:val="Normal"/>
    <w:uiPriority w:val="34"/>
    <w:qFormat/>
    <w:rsid w:val="00CD6B30"/>
    <w:pPr>
      <w:ind w:left="720"/>
    </w:pPr>
    <w:rPr>
      <w:rFonts w:ascii="Calibri" w:eastAsiaTheme="minorHAnsi" w:hAnsi="Calibri"/>
      <w:sz w:val="22"/>
      <w:szCs w:val="22"/>
    </w:rPr>
  </w:style>
  <w:style w:type="table" w:styleId="TableGrid">
    <w:name w:val="Table Grid"/>
    <w:basedOn w:val="TableNormal"/>
    <w:rsid w:val="001C0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E7CEE"/>
    <w:rPr>
      <w:sz w:val="24"/>
      <w:szCs w:val="24"/>
    </w:rPr>
  </w:style>
  <w:style w:type="paragraph" w:styleId="Header">
    <w:name w:val="header"/>
    <w:basedOn w:val="Normal"/>
    <w:link w:val="HeaderChar"/>
    <w:rsid w:val="003150D5"/>
    <w:pPr>
      <w:tabs>
        <w:tab w:val="center" w:pos="4680"/>
        <w:tab w:val="right" w:pos="9360"/>
      </w:tabs>
    </w:pPr>
  </w:style>
  <w:style w:type="character" w:customStyle="1" w:styleId="HeaderChar">
    <w:name w:val="Header Char"/>
    <w:basedOn w:val="DefaultParagraphFont"/>
    <w:link w:val="Header"/>
    <w:rsid w:val="003150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14313">
      <w:bodyDiv w:val="1"/>
      <w:marLeft w:val="0"/>
      <w:marRight w:val="0"/>
      <w:marTop w:val="0"/>
      <w:marBottom w:val="0"/>
      <w:divBdr>
        <w:top w:val="none" w:sz="0" w:space="0" w:color="auto"/>
        <w:left w:val="none" w:sz="0" w:space="0" w:color="auto"/>
        <w:bottom w:val="none" w:sz="0" w:space="0" w:color="auto"/>
        <w:right w:val="none" w:sz="0" w:space="0" w:color="auto"/>
      </w:divBdr>
    </w:div>
    <w:div w:id="358119547">
      <w:bodyDiv w:val="1"/>
      <w:marLeft w:val="0"/>
      <w:marRight w:val="0"/>
      <w:marTop w:val="0"/>
      <w:marBottom w:val="0"/>
      <w:divBdr>
        <w:top w:val="none" w:sz="0" w:space="0" w:color="auto"/>
        <w:left w:val="none" w:sz="0" w:space="0" w:color="auto"/>
        <w:bottom w:val="none" w:sz="0" w:space="0" w:color="auto"/>
        <w:right w:val="none" w:sz="0" w:space="0" w:color="auto"/>
      </w:divBdr>
    </w:div>
    <w:div w:id="420107754">
      <w:bodyDiv w:val="1"/>
      <w:marLeft w:val="0"/>
      <w:marRight w:val="0"/>
      <w:marTop w:val="0"/>
      <w:marBottom w:val="0"/>
      <w:divBdr>
        <w:top w:val="none" w:sz="0" w:space="0" w:color="auto"/>
        <w:left w:val="none" w:sz="0" w:space="0" w:color="auto"/>
        <w:bottom w:val="none" w:sz="0" w:space="0" w:color="auto"/>
        <w:right w:val="none" w:sz="0" w:space="0" w:color="auto"/>
      </w:divBdr>
      <w:divsChild>
        <w:div w:id="169755170">
          <w:marLeft w:val="0"/>
          <w:marRight w:val="0"/>
          <w:marTop w:val="0"/>
          <w:marBottom w:val="0"/>
          <w:divBdr>
            <w:top w:val="none" w:sz="0" w:space="0" w:color="auto"/>
            <w:left w:val="none" w:sz="0" w:space="0" w:color="auto"/>
            <w:bottom w:val="none" w:sz="0" w:space="0" w:color="auto"/>
            <w:right w:val="none" w:sz="0" w:space="0" w:color="auto"/>
          </w:divBdr>
        </w:div>
        <w:div w:id="986393377">
          <w:marLeft w:val="0"/>
          <w:marRight w:val="0"/>
          <w:marTop w:val="0"/>
          <w:marBottom w:val="0"/>
          <w:divBdr>
            <w:top w:val="none" w:sz="0" w:space="0" w:color="auto"/>
            <w:left w:val="none" w:sz="0" w:space="0" w:color="auto"/>
            <w:bottom w:val="none" w:sz="0" w:space="0" w:color="auto"/>
            <w:right w:val="none" w:sz="0" w:space="0" w:color="auto"/>
          </w:divBdr>
          <w:divsChild>
            <w:div w:id="20898862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505558565">
          <w:marLeft w:val="0"/>
          <w:marRight w:val="0"/>
          <w:marTop w:val="0"/>
          <w:marBottom w:val="0"/>
          <w:divBdr>
            <w:top w:val="none" w:sz="0" w:space="0" w:color="auto"/>
            <w:left w:val="none" w:sz="0" w:space="0" w:color="auto"/>
            <w:bottom w:val="none" w:sz="0" w:space="0" w:color="auto"/>
            <w:right w:val="none" w:sz="0" w:space="0" w:color="auto"/>
          </w:divBdr>
        </w:div>
      </w:divsChild>
    </w:div>
    <w:div w:id="448790803">
      <w:bodyDiv w:val="1"/>
      <w:marLeft w:val="0"/>
      <w:marRight w:val="0"/>
      <w:marTop w:val="0"/>
      <w:marBottom w:val="0"/>
      <w:divBdr>
        <w:top w:val="none" w:sz="0" w:space="0" w:color="auto"/>
        <w:left w:val="none" w:sz="0" w:space="0" w:color="auto"/>
        <w:bottom w:val="none" w:sz="0" w:space="0" w:color="auto"/>
        <w:right w:val="none" w:sz="0" w:space="0" w:color="auto"/>
      </w:divBdr>
    </w:div>
    <w:div w:id="697924508">
      <w:bodyDiv w:val="1"/>
      <w:marLeft w:val="0"/>
      <w:marRight w:val="0"/>
      <w:marTop w:val="0"/>
      <w:marBottom w:val="0"/>
      <w:divBdr>
        <w:top w:val="none" w:sz="0" w:space="0" w:color="auto"/>
        <w:left w:val="none" w:sz="0" w:space="0" w:color="auto"/>
        <w:bottom w:val="none" w:sz="0" w:space="0" w:color="auto"/>
        <w:right w:val="none" w:sz="0" w:space="0" w:color="auto"/>
      </w:divBdr>
    </w:div>
    <w:div w:id="804081004">
      <w:bodyDiv w:val="1"/>
      <w:marLeft w:val="0"/>
      <w:marRight w:val="0"/>
      <w:marTop w:val="0"/>
      <w:marBottom w:val="0"/>
      <w:divBdr>
        <w:top w:val="none" w:sz="0" w:space="0" w:color="auto"/>
        <w:left w:val="none" w:sz="0" w:space="0" w:color="auto"/>
        <w:bottom w:val="none" w:sz="0" w:space="0" w:color="auto"/>
        <w:right w:val="none" w:sz="0" w:space="0" w:color="auto"/>
      </w:divBdr>
    </w:div>
    <w:div w:id="810557641">
      <w:bodyDiv w:val="1"/>
      <w:marLeft w:val="0"/>
      <w:marRight w:val="0"/>
      <w:marTop w:val="0"/>
      <w:marBottom w:val="0"/>
      <w:divBdr>
        <w:top w:val="none" w:sz="0" w:space="0" w:color="auto"/>
        <w:left w:val="none" w:sz="0" w:space="0" w:color="auto"/>
        <w:bottom w:val="none" w:sz="0" w:space="0" w:color="auto"/>
        <w:right w:val="none" w:sz="0" w:space="0" w:color="auto"/>
      </w:divBdr>
    </w:div>
    <w:div w:id="869534082">
      <w:bodyDiv w:val="1"/>
      <w:marLeft w:val="0"/>
      <w:marRight w:val="0"/>
      <w:marTop w:val="0"/>
      <w:marBottom w:val="0"/>
      <w:divBdr>
        <w:top w:val="none" w:sz="0" w:space="0" w:color="auto"/>
        <w:left w:val="none" w:sz="0" w:space="0" w:color="auto"/>
        <w:bottom w:val="none" w:sz="0" w:space="0" w:color="auto"/>
        <w:right w:val="none" w:sz="0" w:space="0" w:color="auto"/>
      </w:divBdr>
    </w:div>
    <w:div w:id="961763838">
      <w:bodyDiv w:val="1"/>
      <w:marLeft w:val="0"/>
      <w:marRight w:val="0"/>
      <w:marTop w:val="0"/>
      <w:marBottom w:val="0"/>
      <w:divBdr>
        <w:top w:val="none" w:sz="0" w:space="0" w:color="auto"/>
        <w:left w:val="none" w:sz="0" w:space="0" w:color="auto"/>
        <w:bottom w:val="none" w:sz="0" w:space="0" w:color="auto"/>
        <w:right w:val="none" w:sz="0" w:space="0" w:color="auto"/>
      </w:divBdr>
    </w:div>
    <w:div w:id="1085810385">
      <w:bodyDiv w:val="1"/>
      <w:marLeft w:val="0"/>
      <w:marRight w:val="0"/>
      <w:marTop w:val="0"/>
      <w:marBottom w:val="0"/>
      <w:divBdr>
        <w:top w:val="none" w:sz="0" w:space="0" w:color="auto"/>
        <w:left w:val="none" w:sz="0" w:space="0" w:color="auto"/>
        <w:bottom w:val="none" w:sz="0" w:space="0" w:color="auto"/>
        <w:right w:val="none" w:sz="0" w:space="0" w:color="auto"/>
      </w:divBdr>
    </w:div>
    <w:div w:id="1107769941">
      <w:bodyDiv w:val="1"/>
      <w:marLeft w:val="0"/>
      <w:marRight w:val="0"/>
      <w:marTop w:val="0"/>
      <w:marBottom w:val="0"/>
      <w:divBdr>
        <w:top w:val="none" w:sz="0" w:space="0" w:color="auto"/>
        <w:left w:val="none" w:sz="0" w:space="0" w:color="auto"/>
        <w:bottom w:val="none" w:sz="0" w:space="0" w:color="auto"/>
        <w:right w:val="none" w:sz="0" w:space="0" w:color="auto"/>
      </w:divBdr>
    </w:div>
    <w:div w:id="1353072853">
      <w:bodyDiv w:val="1"/>
      <w:marLeft w:val="0"/>
      <w:marRight w:val="0"/>
      <w:marTop w:val="0"/>
      <w:marBottom w:val="0"/>
      <w:divBdr>
        <w:top w:val="none" w:sz="0" w:space="0" w:color="auto"/>
        <w:left w:val="none" w:sz="0" w:space="0" w:color="auto"/>
        <w:bottom w:val="none" w:sz="0" w:space="0" w:color="auto"/>
        <w:right w:val="none" w:sz="0" w:space="0" w:color="auto"/>
      </w:divBdr>
    </w:div>
    <w:div w:id="1487670951">
      <w:bodyDiv w:val="1"/>
      <w:marLeft w:val="0"/>
      <w:marRight w:val="0"/>
      <w:marTop w:val="0"/>
      <w:marBottom w:val="0"/>
      <w:divBdr>
        <w:top w:val="none" w:sz="0" w:space="0" w:color="auto"/>
        <w:left w:val="none" w:sz="0" w:space="0" w:color="auto"/>
        <w:bottom w:val="none" w:sz="0" w:space="0" w:color="auto"/>
        <w:right w:val="none" w:sz="0" w:space="0" w:color="auto"/>
      </w:divBdr>
    </w:div>
    <w:div w:id="1496066120">
      <w:bodyDiv w:val="1"/>
      <w:marLeft w:val="0"/>
      <w:marRight w:val="0"/>
      <w:marTop w:val="0"/>
      <w:marBottom w:val="0"/>
      <w:divBdr>
        <w:top w:val="none" w:sz="0" w:space="0" w:color="auto"/>
        <w:left w:val="none" w:sz="0" w:space="0" w:color="auto"/>
        <w:bottom w:val="none" w:sz="0" w:space="0" w:color="auto"/>
        <w:right w:val="none" w:sz="0" w:space="0" w:color="auto"/>
      </w:divBdr>
    </w:div>
    <w:div w:id="1503161623">
      <w:bodyDiv w:val="1"/>
      <w:marLeft w:val="0"/>
      <w:marRight w:val="0"/>
      <w:marTop w:val="0"/>
      <w:marBottom w:val="0"/>
      <w:divBdr>
        <w:top w:val="none" w:sz="0" w:space="0" w:color="auto"/>
        <w:left w:val="none" w:sz="0" w:space="0" w:color="auto"/>
        <w:bottom w:val="none" w:sz="0" w:space="0" w:color="auto"/>
        <w:right w:val="none" w:sz="0" w:space="0" w:color="auto"/>
      </w:divBdr>
    </w:div>
    <w:div w:id="1524856210">
      <w:bodyDiv w:val="1"/>
      <w:marLeft w:val="0"/>
      <w:marRight w:val="0"/>
      <w:marTop w:val="0"/>
      <w:marBottom w:val="0"/>
      <w:divBdr>
        <w:top w:val="none" w:sz="0" w:space="0" w:color="auto"/>
        <w:left w:val="none" w:sz="0" w:space="0" w:color="auto"/>
        <w:bottom w:val="none" w:sz="0" w:space="0" w:color="auto"/>
        <w:right w:val="none" w:sz="0" w:space="0" w:color="auto"/>
      </w:divBdr>
    </w:div>
    <w:div w:id="173547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www.jstor.org/stable/37681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2AD8A-A3CB-4997-BFEC-8893B28FE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2131</Words>
  <Characters>12931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Supporting Statement Part B Template</vt:lpstr>
    </vt:vector>
  </TitlesOfParts>
  <Company>DHHS</Company>
  <LinksUpToDate>false</LinksUpToDate>
  <CharactersWithSpaces>15032</CharactersWithSpaces>
  <SharedDoc>false</SharedDoc>
  <HLinks>
    <vt:vector size="42" baseType="variant">
      <vt:variant>
        <vt:i4>1769520</vt:i4>
      </vt:variant>
      <vt:variant>
        <vt:i4>32</vt:i4>
      </vt:variant>
      <vt:variant>
        <vt:i4>0</vt:i4>
      </vt:variant>
      <vt:variant>
        <vt:i4>5</vt:i4>
      </vt:variant>
      <vt:variant>
        <vt:lpwstr/>
      </vt:variant>
      <vt:variant>
        <vt:lpwstr>_Toc487614261</vt:lpwstr>
      </vt:variant>
      <vt:variant>
        <vt:i4>1769520</vt:i4>
      </vt:variant>
      <vt:variant>
        <vt:i4>26</vt:i4>
      </vt:variant>
      <vt:variant>
        <vt:i4>0</vt:i4>
      </vt:variant>
      <vt:variant>
        <vt:i4>5</vt:i4>
      </vt:variant>
      <vt:variant>
        <vt:lpwstr/>
      </vt:variant>
      <vt:variant>
        <vt:lpwstr>_Toc487614260</vt:lpwstr>
      </vt:variant>
      <vt:variant>
        <vt:i4>1572912</vt:i4>
      </vt:variant>
      <vt:variant>
        <vt:i4>20</vt:i4>
      </vt:variant>
      <vt:variant>
        <vt:i4>0</vt:i4>
      </vt:variant>
      <vt:variant>
        <vt:i4>5</vt:i4>
      </vt:variant>
      <vt:variant>
        <vt:lpwstr/>
      </vt:variant>
      <vt:variant>
        <vt:lpwstr>_Toc487614259</vt:lpwstr>
      </vt:variant>
      <vt:variant>
        <vt:i4>1572912</vt:i4>
      </vt:variant>
      <vt:variant>
        <vt:i4>14</vt:i4>
      </vt:variant>
      <vt:variant>
        <vt:i4>0</vt:i4>
      </vt:variant>
      <vt:variant>
        <vt:i4>5</vt:i4>
      </vt:variant>
      <vt:variant>
        <vt:lpwstr/>
      </vt:variant>
      <vt:variant>
        <vt:lpwstr>_Toc487614258</vt:lpwstr>
      </vt:variant>
      <vt:variant>
        <vt:i4>1572912</vt:i4>
      </vt:variant>
      <vt:variant>
        <vt:i4>8</vt:i4>
      </vt:variant>
      <vt:variant>
        <vt:i4>0</vt:i4>
      </vt:variant>
      <vt:variant>
        <vt:i4>5</vt:i4>
      </vt:variant>
      <vt:variant>
        <vt:lpwstr/>
      </vt:variant>
      <vt:variant>
        <vt:lpwstr>_Toc487614257</vt:lpwstr>
      </vt:variant>
      <vt:variant>
        <vt:i4>1572912</vt:i4>
      </vt:variant>
      <vt:variant>
        <vt:i4>2</vt:i4>
      </vt:variant>
      <vt:variant>
        <vt:i4>0</vt:i4>
      </vt:variant>
      <vt:variant>
        <vt:i4>5</vt:i4>
      </vt:variant>
      <vt:variant>
        <vt:lpwstr/>
      </vt:variant>
      <vt:variant>
        <vt:lpwstr>_Toc487614256</vt:lpwstr>
      </vt:variant>
      <vt:variant>
        <vt:i4>2293880</vt:i4>
      </vt:variant>
      <vt:variant>
        <vt:i4>0</vt:i4>
      </vt:variant>
      <vt:variant>
        <vt:i4>0</vt:i4>
      </vt:variant>
      <vt:variant>
        <vt:i4>5</vt:i4>
      </vt:variant>
      <vt:variant>
        <vt:lpwstr>http://www.jstor.org/stable/3768129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B Template</dc:title>
  <dc:subject>&amp;lt;p&amp;gt;(Supporting Statement Template and Instructions; instructions are in italics)      SUPPORTING STATEMENT    Part B              (Insert project title here)          (Insert date: month and year)                  Agency of Healthcare Research and Quality (AHRQ)       Table of contents     B. Collections of Information Em&amp;lt;/p&amp;gt;</dc:subject>
  <dc:creator>Heather Nalls</dc:creator>
  <cp:keywords/>
  <dc:description>&amp;lt;p&amp;gt;(Supporting Statement Template and Instructions; instructions are in italics)      SUPPORTING STATEMENT    Part B              (Insert project title here)          (Insert date: month and year)                  Agency of Healthcare Research and Quality (AHRQ)       Table of contents     B. Collections of Information Em&amp;lt;/p&amp;gt;</dc:description>
  <cp:lastModifiedBy>Luis Pons Perez</cp:lastModifiedBy>
  <cp:revision>2</cp:revision>
  <cp:lastPrinted>2017-11-17T15:41:00Z</cp:lastPrinted>
  <dcterms:created xsi:type="dcterms:W3CDTF">2021-07-12T12:48:00Z</dcterms:created>
  <dcterms:modified xsi:type="dcterms:W3CDTF">2021-07-12T12:48:00Z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DownloadAsset.aspx?id=15774</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&amp;lt;p&amp;gt;(Supporting Statement Template and Instructions; instructions are in italics)      SUPPORTING STATEMENT    Part B              (Insert project title here)          (Insert date: month and year)                  Agency of Healthcare Research and Q</vt:lpwstr>
  </property>
  <property fmtid="{D5CDD505-2E9C-101B-9397-08002B2CF9AE}" pid="8" name="EktExpiryType">
    <vt:i4>1</vt:i4>
  </property>
  <property fmtid="{D5CDD505-2E9C-101B-9397-08002B2CF9AE}" pid="9" name="EktDateCreated">
    <vt:filetime>2013-09-25T15:43:40Z</vt:filetime>
  </property>
  <property fmtid="{D5CDD505-2E9C-101B-9397-08002B2CF9AE}" pid="10" name="EktDateModified">
    <vt:filetime>2013-09-25T15:43:41Z</vt:filetime>
  </property>
  <property fmtid="{D5CDD505-2E9C-101B-9397-08002B2CF9AE}" pid="11" name="EktTaxCategory">
    <vt:lpwstr/>
  </property>
  <property fmtid="{D5CDD505-2E9C-101B-9397-08002B2CF9AE}" pid="12" name="EktDisabledTaxCategory">
    <vt:lpwstr/>
  </property>
  <property fmtid="{D5CDD505-2E9C-101B-9397-08002B2CF9AE}" pid="13" name="EktCmsSize">
    <vt:i4>39424</vt:i4>
  </property>
  <property fmtid="{D5CDD505-2E9C-101B-9397-08002B2CF9AE}" pid="14" name="EktSearchable">
    <vt:i4>1</vt:i4>
  </property>
  <property fmtid="{D5CDD505-2E9C-101B-9397-08002B2CF9AE}" pid="15" name="EktEDescription">
    <vt:lpwstr>Summary &amp;lt;p&amp;gt;(Supporting Statement Template and Instructions; instructions are in italics)      SUPPORTING STATEMENT    Part B              (Insert project title here)          (Insert date: month and year)                  Agency of Healthcare Resear</vt:lpwstr>
  </property>
  <property fmtid="{D5CDD505-2E9C-101B-9397-08002B2CF9AE}" pid="16" name="_NewReviewCycle">
    <vt:lpwstr/>
  </property>
</Properties>
</file>