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2D4D3A" w:rsidRDefault="00456179" w14:paraId="7795C683" w14:textId="77777777">
      <w:pPr>
        <w:pStyle w:val="Heading1"/>
        <w:jc w:val="center"/>
      </w:pPr>
      <w:bookmarkStart w:name="_Toc68611929" w:id="0"/>
      <w:r w:rsidRPr="00456179">
        <w:t>SUPPORTING STATEMENT</w:t>
      </w:r>
      <w:bookmarkEnd w:id="0"/>
    </w:p>
    <w:p w:rsidRPr="002D4D3A" w:rsidR="009B633D" w:rsidP="008D0099" w:rsidRDefault="00456179" w14:paraId="7EDD7A0F" w14:textId="77777777">
      <w:pPr>
        <w:pStyle w:val="Heading1"/>
        <w:spacing w:after="600"/>
        <w:jc w:val="center"/>
      </w:pPr>
      <w:bookmarkStart w:name="_Toc68611930" w:id="1"/>
      <w:r w:rsidRPr="002D4D3A">
        <w:t>Part A</w:t>
      </w:r>
      <w:bookmarkEnd w:id="1"/>
    </w:p>
    <w:p w:rsidR="0045008B" w:rsidP="0045008B" w:rsidRDefault="00D90589" w14:paraId="587A45C9" w14:textId="77777777">
      <w:pPr>
        <w:jc w:val="center"/>
        <w:rPr>
          <w:sz w:val="28"/>
          <w:szCs w:val="28"/>
        </w:rPr>
      </w:pPr>
      <w:r w:rsidRPr="00D90589">
        <w:rPr>
          <w:sz w:val="28"/>
          <w:szCs w:val="28"/>
        </w:rPr>
        <w:t xml:space="preserve">Medicare Beneficiary Experiences with </w:t>
      </w:r>
    </w:p>
    <w:p w:rsidRPr="00D90589" w:rsidR="009B633D" w:rsidP="008D0099" w:rsidRDefault="00D90589" w14:paraId="5CD424DE" w14:textId="65D41732">
      <w:pPr>
        <w:spacing w:after="3000"/>
        <w:jc w:val="center"/>
        <w:rPr>
          <w:sz w:val="28"/>
          <w:szCs w:val="28"/>
        </w:rPr>
      </w:pPr>
      <w:r w:rsidRPr="00D90589">
        <w:rPr>
          <w:sz w:val="28"/>
          <w:szCs w:val="28"/>
        </w:rPr>
        <w:t>Care Survey</w:t>
      </w:r>
      <w:r w:rsidR="00450F90">
        <w:rPr>
          <w:sz w:val="28"/>
          <w:szCs w:val="28"/>
        </w:rPr>
        <w:t xml:space="preserve"> (MBECS)</w:t>
      </w:r>
      <w:r w:rsidR="00AF750F">
        <w:rPr>
          <w:sz w:val="28"/>
          <w:szCs w:val="28"/>
        </w:rPr>
        <w:t xml:space="preserve"> System</w:t>
      </w:r>
    </w:p>
    <w:p w:rsidR="009B633D" w:rsidP="008D0099" w:rsidRDefault="00E16AC7" w14:paraId="22339721" w14:textId="1406CFC8">
      <w:pPr>
        <w:spacing w:before="100" w:beforeAutospacing="1" w:after="5040"/>
        <w:jc w:val="center"/>
        <w:rPr>
          <w:sz w:val="28"/>
          <w:szCs w:val="28"/>
        </w:rPr>
      </w:pPr>
      <w:r>
        <w:rPr>
          <w:sz w:val="28"/>
          <w:szCs w:val="28"/>
        </w:rPr>
        <w:t>April 5</w:t>
      </w:r>
      <w:r w:rsidR="005D7759">
        <w:rPr>
          <w:sz w:val="28"/>
          <w:szCs w:val="28"/>
        </w:rPr>
        <w:t>, 2021</w:t>
      </w:r>
    </w:p>
    <w:p w:rsidR="009B633D" w:rsidP="009B633D" w:rsidRDefault="00D90589" w14:paraId="39C20DB5" w14:textId="4F4E28AD">
      <w:pPr>
        <w:jc w:val="center"/>
      </w:pPr>
      <w:r>
        <w:t xml:space="preserve">Centers for Medicare &amp; Medicaid Services, </w:t>
      </w:r>
    </w:p>
    <w:p w:rsidR="00D72F05" w:rsidP="009B633D" w:rsidRDefault="00D72F05" w14:paraId="19B4AFB1" w14:textId="727782DD">
      <w:pPr>
        <w:jc w:val="center"/>
      </w:pPr>
      <w:r>
        <w:t>Office of Minority Health</w:t>
      </w:r>
    </w:p>
    <w:p w:rsidR="00D90589" w:rsidP="008C580E" w:rsidRDefault="009B633D" w14:paraId="773D10D7" w14:textId="200E2752">
      <w:pPr>
        <w:rPr>
          <w:b/>
        </w:rPr>
      </w:pPr>
      <w:r>
        <w:br w:type="page"/>
      </w:r>
    </w:p>
    <w:p w:rsidR="00D90589" w:rsidP="0045008B" w:rsidRDefault="00D90589" w14:paraId="7CBBF3B3" w14:textId="77777777">
      <w:pPr>
        <w:pStyle w:val="TOCHeading"/>
        <w:spacing w:after="240"/>
      </w:pPr>
      <w:r>
        <w:lastRenderedPageBreak/>
        <w:t>Contents</w:t>
      </w:r>
    </w:p>
    <w:p w:rsidR="004A0E82" w:rsidRDefault="00D90589" w14:paraId="3D74C64B" w14:textId="7461C40C">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68611931">
        <w:r w:rsidRPr="00DD44C4" w:rsidR="004A0E82">
          <w:rPr>
            <w:rStyle w:val="Hyperlink"/>
            <w:noProof/>
          </w:rPr>
          <w:t>A. Justification</w:t>
        </w:r>
        <w:r w:rsidR="004A0E82">
          <w:rPr>
            <w:noProof/>
            <w:webHidden/>
          </w:rPr>
          <w:tab/>
        </w:r>
        <w:r w:rsidR="004A0E82">
          <w:rPr>
            <w:noProof/>
            <w:webHidden/>
          </w:rPr>
          <w:fldChar w:fldCharType="begin"/>
        </w:r>
        <w:r w:rsidR="004A0E82">
          <w:rPr>
            <w:noProof/>
            <w:webHidden/>
          </w:rPr>
          <w:instrText xml:space="preserve"> PAGEREF _Toc68611931 \h </w:instrText>
        </w:r>
        <w:r w:rsidR="004A0E82">
          <w:rPr>
            <w:noProof/>
            <w:webHidden/>
          </w:rPr>
        </w:r>
        <w:r w:rsidR="004A0E82">
          <w:rPr>
            <w:noProof/>
            <w:webHidden/>
          </w:rPr>
          <w:fldChar w:fldCharType="separate"/>
        </w:r>
        <w:r w:rsidR="004A0E82">
          <w:rPr>
            <w:noProof/>
            <w:webHidden/>
          </w:rPr>
          <w:t>2</w:t>
        </w:r>
        <w:r w:rsidR="004A0E82">
          <w:rPr>
            <w:noProof/>
            <w:webHidden/>
          </w:rPr>
          <w:fldChar w:fldCharType="end"/>
        </w:r>
      </w:hyperlink>
    </w:p>
    <w:p w:rsidR="004A0E82" w:rsidRDefault="00546912" w14:paraId="43E8017D" w14:textId="77777777">
      <w:pPr>
        <w:pStyle w:val="TOC2"/>
        <w:tabs>
          <w:tab w:val="right" w:leader="dot" w:pos="9350"/>
        </w:tabs>
        <w:rPr>
          <w:rFonts w:asciiTheme="minorHAnsi" w:hAnsiTheme="minorHAnsi" w:eastAsiaTheme="minorEastAsia" w:cstheme="minorBidi"/>
          <w:noProof/>
          <w:sz w:val="22"/>
          <w:szCs w:val="22"/>
        </w:rPr>
      </w:pPr>
      <w:hyperlink w:history="1" w:anchor="_Toc68611932">
        <w:r w:rsidRPr="00DD44C4" w:rsidR="004A0E82">
          <w:rPr>
            <w:rStyle w:val="Hyperlink"/>
            <w:noProof/>
          </w:rPr>
          <w:t>1. Circumstances that make the collection of information necessary</w:t>
        </w:r>
        <w:r w:rsidR="004A0E82">
          <w:rPr>
            <w:noProof/>
            <w:webHidden/>
          </w:rPr>
          <w:tab/>
        </w:r>
        <w:r w:rsidR="004A0E82">
          <w:rPr>
            <w:noProof/>
            <w:webHidden/>
          </w:rPr>
          <w:fldChar w:fldCharType="begin"/>
        </w:r>
        <w:r w:rsidR="004A0E82">
          <w:rPr>
            <w:noProof/>
            <w:webHidden/>
          </w:rPr>
          <w:instrText xml:space="preserve"> PAGEREF _Toc68611932 \h </w:instrText>
        </w:r>
        <w:r w:rsidR="004A0E82">
          <w:rPr>
            <w:noProof/>
            <w:webHidden/>
          </w:rPr>
        </w:r>
        <w:r w:rsidR="004A0E82">
          <w:rPr>
            <w:noProof/>
            <w:webHidden/>
          </w:rPr>
          <w:fldChar w:fldCharType="separate"/>
        </w:r>
        <w:r w:rsidR="004A0E82">
          <w:rPr>
            <w:noProof/>
            <w:webHidden/>
          </w:rPr>
          <w:t>2</w:t>
        </w:r>
        <w:r w:rsidR="004A0E82">
          <w:rPr>
            <w:noProof/>
            <w:webHidden/>
          </w:rPr>
          <w:fldChar w:fldCharType="end"/>
        </w:r>
      </w:hyperlink>
    </w:p>
    <w:p w:rsidR="004A0E82" w:rsidRDefault="00546912" w14:paraId="368DF4DF" w14:textId="77777777">
      <w:pPr>
        <w:pStyle w:val="TOC2"/>
        <w:tabs>
          <w:tab w:val="right" w:leader="dot" w:pos="9350"/>
        </w:tabs>
        <w:rPr>
          <w:rFonts w:asciiTheme="minorHAnsi" w:hAnsiTheme="minorHAnsi" w:eastAsiaTheme="minorEastAsia" w:cstheme="minorBidi"/>
          <w:noProof/>
          <w:sz w:val="22"/>
          <w:szCs w:val="22"/>
        </w:rPr>
      </w:pPr>
      <w:hyperlink w:history="1" w:anchor="_Toc68611933">
        <w:r w:rsidRPr="00DD44C4" w:rsidR="004A0E82">
          <w:rPr>
            <w:rStyle w:val="Hyperlink"/>
            <w:noProof/>
          </w:rPr>
          <w:t>2. Purpose and Use of Information</w:t>
        </w:r>
        <w:r w:rsidR="004A0E82">
          <w:rPr>
            <w:noProof/>
            <w:webHidden/>
          </w:rPr>
          <w:tab/>
        </w:r>
        <w:r w:rsidR="004A0E82">
          <w:rPr>
            <w:noProof/>
            <w:webHidden/>
          </w:rPr>
          <w:fldChar w:fldCharType="begin"/>
        </w:r>
        <w:r w:rsidR="004A0E82">
          <w:rPr>
            <w:noProof/>
            <w:webHidden/>
          </w:rPr>
          <w:instrText xml:space="preserve"> PAGEREF _Toc68611933 \h </w:instrText>
        </w:r>
        <w:r w:rsidR="004A0E82">
          <w:rPr>
            <w:noProof/>
            <w:webHidden/>
          </w:rPr>
        </w:r>
        <w:r w:rsidR="004A0E82">
          <w:rPr>
            <w:noProof/>
            <w:webHidden/>
          </w:rPr>
          <w:fldChar w:fldCharType="separate"/>
        </w:r>
        <w:r w:rsidR="004A0E82">
          <w:rPr>
            <w:noProof/>
            <w:webHidden/>
          </w:rPr>
          <w:t>4</w:t>
        </w:r>
        <w:r w:rsidR="004A0E82">
          <w:rPr>
            <w:noProof/>
            <w:webHidden/>
          </w:rPr>
          <w:fldChar w:fldCharType="end"/>
        </w:r>
      </w:hyperlink>
    </w:p>
    <w:p w:rsidR="004A0E82" w:rsidRDefault="00546912" w14:paraId="7EF7EE64" w14:textId="77777777">
      <w:pPr>
        <w:pStyle w:val="TOC2"/>
        <w:tabs>
          <w:tab w:val="right" w:leader="dot" w:pos="9350"/>
        </w:tabs>
        <w:rPr>
          <w:rFonts w:asciiTheme="minorHAnsi" w:hAnsiTheme="minorHAnsi" w:eastAsiaTheme="minorEastAsia" w:cstheme="minorBidi"/>
          <w:noProof/>
          <w:sz w:val="22"/>
          <w:szCs w:val="22"/>
        </w:rPr>
      </w:pPr>
      <w:hyperlink w:history="1" w:anchor="_Toc68611934">
        <w:r w:rsidRPr="00DD44C4" w:rsidR="004A0E82">
          <w:rPr>
            <w:rStyle w:val="Hyperlink"/>
            <w:noProof/>
          </w:rPr>
          <w:t>3. Use of Improved Information Technology</w:t>
        </w:r>
        <w:r w:rsidR="004A0E82">
          <w:rPr>
            <w:noProof/>
            <w:webHidden/>
          </w:rPr>
          <w:tab/>
        </w:r>
        <w:r w:rsidR="004A0E82">
          <w:rPr>
            <w:noProof/>
            <w:webHidden/>
          </w:rPr>
          <w:fldChar w:fldCharType="begin"/>
        </w:r>
        <w:r w:rsidR="004A0E82">
          <w:rPr>
            <w:noProof/>
            <w:webHidden/>
          </w:rPr>
          <w:instrText xml:space="preserve"> PAGEREF _Toc68611934 \h </w:instrText>
        </w:r>
        <w:r w:rsidR="004A0E82">
          <w:rPr>
            <w:noProof/>
            <w:webHidden/>
          </w:rPr>
        </w:r>
        <w:r w:rsidR="004A0E82">
          <w:rPr>
            <w:noProof/>
            <w:webHidden/>
          </w:rPr>
          <w:fldChar w:fldCharType="separate"/>
        </w:r>
        <w:r w:rsidR="004A0E82">
          <w:rPr>
            <w:noProof/>
            <w:webHidden/>
          </w:rPr>
          <w:t>4</w:t>
        </w:r>
        <w:r w:rsidR="004A0E82">
          <w:rPr>
            <w:noProof/>
            <w:webHidden/>
          </w:rPr>
          <w:fldChar w:fldCharType="end"/>
        </w:r>
      </w:hyperlink>
    </w:p>
    <w:p w:rsidR="004A0E82" w:rsidRDefault="00546912" w14:paraId="08817B4D" w14:textId="77777777">
      <w:pPr>
        <w:pStyle w:val="TOC2"/>
        <w:tabs>
          <w:tab w:val="right" w:leader="dot" w:pos="9350"/>
        </w:tabs>
        <w:rPr>
          <w:rFonts w:asciiTheme="minorHAnsi" w:hAnsiTheme="minorHAnsi" w:eastAsiaTheme="minorEastAsia" w:cstheme="minorBidi"/>
          <w:noProof/>
          <w:sz w:val="22"/>
          <w:szCs w:val="22"/>
        </w:rPr>
      </w:pPr>
      <w:hyperlink w:history="1" w:anchor="_Toc68611935">
        <w:r w:rsidRPr="00DD44C4" w:rsidR="004A0E82">
          <w:rPr>
            <w:rStyle w:val="Hyperlink"/>
            <w:noProof/>
          </w:rPr>
          <w:t>4. Efforts to Identify Duplication</w:t>
        </w:r>
        <w:r w:rsidR="004A0E82">
          <w:rPr>
            <w:noProof/>
            <w:webHidden/>
          </w:rPr>
          <w:tab/>
        </w:r>
        <w:r w:rsidR="004A0E82">
          <w:rPr>
            <w:noProof/>
            <w:webHidden/>
          </w:rPr>
          <w:fldChar w:fldCharType="begin"/>
        </w:r>
        <w:r w:rsidR="004A0E82">
          <w:rPr>
            <w:noProof/>
            <w:webHidden/>
          </w:rPr>
          <w:instrText xml:space="preserve"> PAGEREF _Toc68611935 \h </w:instrText>
        </w:r>
        <w:r w:rsidR="004A0E82">
          <w:rPr>
            <w:noProof/>
            <w:webHidden/>
          </w:rPr>
        </w:r>
        <w:r w:rsidR="004A0E82">
          <w:rPr>
            <w:noProof/>
            <w:webHidden/>
          </w:rPr>
          <w:fldChar w:fldCharType="separate"/>
        </w:r>
        <w:r w:rsidR="004A0E82">
          <w:rPr>
            <w:noProof/>
            <w:webHidden/>
          </w:rPr>
          <w:t>5</w:t>
        </w:r>
        <w:r w:rsidR="004A0E82">
          <w:rPr>
            <w:noProof/>
            <w:webHidden/>
          </w:rPr>
          <w:fldChar w:fldCharType="end"/>
        </w:r>
      </w:hyperlink>
    </w:p>
    <w:p w:rsidR="004A0E82" w:rsidRDefault="00546912" w14:paraId="6A63EDF2" w14:textId="77777777">
      <w:pPr>
        <w:pStyle w:val="TOC2"/>
        <w:tabs>
          <w:tab w:val="right" w:leader="dot" w:pos="9350"/>
        </w:tabs>
        <w:rPr>
          <w:rFonts w:asciiTheme="minorHAnsi" w:hAnsiTheme="minorHAnsi" w:eastAsiaTheme="minorEastAsia" w:cstheme="minorBidi"/>
          <w:noProof/>
          <w:sz w:val="22"/>
          <w:szCs w:val="22"/>
        </w:rPr>
      </w:pPr>
      <w:hyperlink w:history="1" w:anchor="_Toc68611936">
        <w:r w:rsidRPr="00DD44C4" w:rsidR="004A0E82">
          <w:rPr>
            <w:rStyle w:val="Hyperlink"/>
            <w:noProof/>
          </w:rPr>
          <w:t>5. Involvement of Small Entities</w:t>
        </w:r>
        <w:r w:rsidR="004A0E82">
          <w:rPr>
            <w:noProof/>
            <w:webHidden/>
          </w:rPr>
          <w:tab/>
        </w:r>
        <w:r w:rsidR="004A0E82">
          <w:rPr>
            <w:noProof/>
            <w:webHidden/>
          </w:rPr>
          <w:fldChar w:fldCharType="begin"/>
        </w:r>
        <w:r w:rsidR="004A0E82">
          <w:rPr>
            <w:noProof/>
            <w:webHidden/>
          </w:rPr>
          <w:instrText xml:space="preserve"> PAGEREF _Toc68611936 \h </w:instrText>
        </w:r>
        <w:r w:rsidR="004A0E82">
          <w:rPr>
            <w:noProof/>
            <w:webHidden/>
          </w:rPr>
        </w:r>
        <w:r w:rsidR="004A0E82">
          <w:rPr>
            <w:noProof/>
            <w:webHidden/>
          </w:rPr>
          <w:fldChar w:fldCharType="separate"/>
        </w:r>
        <w:r w:rsidR="004A0E82">
          <w:rPr>
            <w:noProof/>
            <w:webHidden/>
          </w:rPr>
          <w:t>5</w:t>
        </w:r>
        <w:r w:rsidR="004A0E82">
          <w:rPr>
            <w:noProof/>
            <w:webHidden/>
          </w:rPr>
          <w:fldChar w:fldCharType="end"/>
        </w:r>
      </w:hyperlink>
    </w:p>
    <w:p w:rsidR="004A0E82" w:rsidRDefault="00546912" w14:paraId="16AC46DE" w14:textId="77777777">
      <w:pPr>
        <w:pStyle w:val="TOC2"/>
        <w:tabs>
          <w:tab w:val="right" w:leader="dot" w:pos="9350"/>
        </w:tabs>
        <w:rPr>
          <w:rFonts w:asciiTheme="minorHAnsi" w:hAnsiTheme="minorHAnsi" w:eastAsiaTheme="minorEastAsia" w:cstheme="minorBidi"/>
          <w:noProof/>
          <w:sz w:val="22"/>
          <w:szCs w:val="22"/>
        </w:rPr>
      </w:pPr>
      <w:hyperlink w:history="1" w:anchor="_Toc68611937">
        <w:r w:rsidRPr="00DD44C4" w:rsidR="004A0E82">
          <w:rPr>
            <w:rStyle w:val="Hyperlink"/>
            <w:noProof/>
          </w:rPr>
          <w:t>6. Consequences if Information Collected Less Frequently</w:t>
        </w:r>
        <w:r w:rsidR="004A0E82">
          <w:rPr>
            <w:noProof/>
            <w:webHidden/>
          </w:rPr>
          <w:tab/>
        </w:r>
        <w:r w:rsidR="004A0E82">
          <w:rPr>
            <w:noProof/>
            <w:webHidden/>
          </w:rPr>
          <w:fldChar w:fldCharType="begin"/>
        </w:r>
        <w:r w:rsidR="004A0E82">
          <w:rPr>
            <w:noProof/>
            <w:webHidden/>
          </w:rPr>
          <w:instrText xml:space="preserve"> PAGEREF _Toc68611937 \h </w:instrText>
        </w:r>
        <w:r w:rsidR="004A0E82">
          <w:rPr>
            <w:noProof/>
            <w:webHidden/>
          </w:rPr>
        </w:r>
        <w:r w:rsidR="004A0E82">
          <w:rPr>
            <w:noProof/>
            <w:webHidden/>
          </w:rPr>
          <w:fldChar w:fldCharType="separate"/>
        </w:r>
        <w:r w:rsidR="004A0E82">
          <w:rPr>
            <w:noProof/>
            <w:webHidden/>
          </w:rPr>
          <w:t>5</w:t>
        </w:r>
        <w:r w:rsidR="004A0E82">
          <w:rPr>
            <w:noProof/>
            <w:webHidden/>
          </w:rPr>
          <w:fldChar w:fldCharType="end"/>
        </w:r>
      </w:hyperlink>
    </w:p>
    <w:p w:rsidR="004A0E82" w:rsidRDefault="00546912" w14:paraId="6A275FFA" w14:textId="77777777">
      <w:pPr>
        <w:pStyle w:val="TOC2"/>
        <w:tabs>
          <w:tab w:val="right" w:leader="dot" w:pos="9350"/>
        </w:tabs>
        <w:rPr>
          <w:rFonts w:asciiTheme="minorHAnsi" w:hAnsiTheme="minorHAnsi" w:eastAsiaTheme="minorEastAsia" w:cstheme="minorBidi"/>
          <w:noProof/>
          <w:sz w:val="22"/>
          <w:szCs w:val="22"/>
        </w:rPr>
      </w:pPr>
      <w:hyperlink w:history="1" w:anchor="_Toc68611938">
        <w:r w:rsidRPr="00DD44C4" w:rsidR="004A0E82">
          <w:rPr>
            <w:rStyle w:val="Hyperlink"/>
            <w:noProof/>
          </w:rPr>
          <w:t>7. Special Circumstances</w:t>
        </w:r>
        <w:r w:rsidR="004A0E82">
          <w:rPr>
            <w:noProof/>
            <w:webHidden/>
          </w:rPr>
          <w:tab/>
        </w:r>
        <w:r w:rsidR="004A0E82">
          <w:rPr>
            <w:noProof/>
            <w:webHidden/>
          </w:rPr>
          <w:fldChar w:fldCharType="begin"/>
        </w:r>
        <w:r w:rsidR="004A0E82">
          <w:rPr>
            <w:noProof/>
            <w:webHidden/>
          </w:rPr>
          <w:instrText xml:space="preserve"> PAGEREF _Toc68611938 \h </w:instrText>
        </w:r>
        <w:r w:rsidR="004A0E82">
          <w:rPr>
            <w:noProof/>
            <w:webHidden/>
          </w:rPr>
        </w:r>
        <w:r w:rsidR="004A0E82">
          <w:rPr>
            <w:noProof/>
            <w:webHidden/>
          </w:rPr>
          <w:fldChar w:fldCharType="separate"/>
        </w:r>
        <w:r w:rsidR="004A0E82">
          <w:rPr>
            <w:noProof/>
            <w:webHidden/>
          </w:rPr>
          <w:t>5</w:t>
        </w:r>
        <w:r w:rsidR="004A0E82">
          <w:rPr>
            <w:noProof/>
            <w:webHidden/>
          </w:rPr>
          <w:fldChar w:fldCharType="end"/>
        </w:r>
      </w:hyperlink>
    </w:p>
    <w:p w:rsidR="004A0E82" w:rsidRDefault="00546912" w14:paraId="0399F5E8" w14:textId="77777777">
      <w:pPr>
        <w:pStyle w:val="TOC2"/>
        <w:tabs>
          <w:tab w:val="right" w:leader="dot" w:pos="9350"/>
        </w:tabs>
        <w:rPr>
          <w:rFonts w:asciiTheme="minorHAnsi" w:hAnsiTheme="minorHAnsi" w:eastAsiaTheme="minorEastAsia" w:cstheme="minorBidi"/>
          <w:noProof/>
          <w:sz w:val="22"/>
          <w:szCs w:val="22"/>
        </w:rPr>
      </w:pPr>
      <w:hyperlink w:history="1" w:anchor="_Toc68611939">
        <w:r w:rsidRPr="00DD44C4" w:rsidR="004A0E82">
          <w:rPr>
            <w:rStyle w:val="Hyperlink"/>
            <w:noProof/>
          </w:rPr>
          <w:t>8. Federal Register Notice and Outside Consultations</w:t>
        </w:r>
        <w:r w:rsidR="004A0E82">
          <w:rPr>
            <w:noProof/>
            <w:webHidden/>
          </w:rPr>
          <w:tab/>
        </w:r>
        <w:r w:rsidR="004A0E82">
          <w:rPr>
            <w:noProof/>
            <w:webHidden/>
          </w:rPr>
          <w:fldChar w:fldCharType="begin"/>
        </w:r>
        <w:r w:rsidR="004A0E82">
          <w:rPr>
            <w:noProof/>
            <w:webHidden/>
          </w:rPr>
          <w:instrText xml:space="preserve"> PAGEREF _Toc68611939 \h </w:instrText>
        </w:r>
        <w:r w:rsidR="004A0E82">
          <w:rPr>
            <w:noProof/>
            <w:webHidden/>
          </w:rPr>
        </w:r>
        <w:r w:rsidR="004A0E82">
          <w:rPr>
            <w:noProof/>
            <w:webHidden/>
          </w:rPr>
          <w:fldChar w:fldCharType="separate"/>
        </w:r>
        <w:r w:rsidR="004A0E82">
          <w:rPr>
            <w:noProof/>
            <w:webHidden/>
          </w:rPr>
          <w:t>6</w:t>
        </w:r>
        <w:r w:rsidR="004A0E82">
          <w:rPr>
            <w:noProof/>
            <w:webHidden/>
          </w:rPr>
          <w:fldChar w:fldCharType="end"/>
        </w:r>
      </w:hyperlink>
    </w:p>
    <w:p w:rsidR="004A0E82" w:rsidRDefault="00546912" w14:paraId="447B70F7" w14:textId="77777777">
      <w:pPr>
        <w:pStyle w:val="TOC3"/>
        <w:tabs>
          <w:tab w:val="right" w:leader="dot" w:pos="9350"/>
        </w:tabs>
        <w:rPr>
          <w:rFonts w:asciiTheme="minorHAnsi" w:hAnsiTheme="minorHAnsi" w:eastAsiaTheme="minorEastAsia" w:cstheme="minorBidi"/>
          <w:noProof/>
          <w:sz w:val="22"/>
          <w:szCs w:val="22"/>
        </w:rPr>
      </w:pPr>
      <w:hyperlink w:history="1" w:anchor="_Toc68611940">
        <w:r w:rsidRPr="00DD44C4" w:rsidR="004A0E82">
          <w:rPr>
            <w:rStyle w:val="Hyperlink"/>
            <w:noProof/>
          </w:rPr>
          <w:t>8.a. Federal Register Notice</w:t>
        </w:r>
        <w:r w:rsidR="004A0E82">
          <w:rPr>
            <w:noProof/>
            <w:webHidden/>
          </w:rPr>
          <w:tab/>
        </w:r>
        <w:r w:rsidR="004A0E82">
          <w:rPr>
            <w:noProof/>
            <w:webHidden/>
          </w:rPr>
          <w:fldChar w:fldCharType="begin"/>
        </w:r>
        <w:r w:rsidR="004A0E82">
          <w:rPr>
            <w:noProof/>
            <w:webHidden/>
          </w:rPr>
          <w:instrText xml:space="preserve"> PAGEREF _Toc68611940 \h </w:instrText>
        </w:r>
        <w:r w:rsidR="004A0E82">
          <w:rPr>
            <w:noProof/>
            <w:webHidden/>
          </w:rPr>
        </w:r>
        <w:r w:rsidR="004A0E82">
          <w:rPr>
            <w:noProof/>
            <w:webHidden/>
          </w:rPr>
          <w:fldChar w:fldCharType="separate"/>
        </w:r>
        <w:r w:rsidR="004A0E82">
          <w:rPr>
            <w:noProof/>
            <w:webHidden/>
          </w:rPr>
          <w:t>6</w:t>
        </w:r>
        <w:r w:rsidR="004A0E82">
          <w:rPr>
            <w:noProof/>
            <w:webHidden/>
          </w:rPr>
          <w:fldChar w:fldCharType="end"/>
        </w:r>
      </w:hyperlink>
    </w:p>
    <w:p w:rsidR="004A0E82" w:rsidRDefault="00546912" w14:paraId="4EA98999" w14:textId="77777777">
      <w:pPr>
        <w:pStyle w:val="TOC3"/>
        <w:tabs>
          <w:tab w:val="right" w:leader="dot" w:pos="9350"/>
        </w:tabs>
        <w:rPr>
          <w:rFonts w:asciiTheme="minorHAnsi" w:hAnsiTheme="minorHAnsi" w:eastAsiaTheme="minorEastAsia" w:cstheme="minorBidi"/>
          <w:noProof/>
          <w:sz w:val="22"/>
          <w:szCs w:val="22"/>
        </w:rPr>
      </w:pPr>
      <w:hyperlink w:history="1" w:anchor="_Toc68611941">
        <w:r w:rsidRPr="00DD44C4" w:rsidR="004A0E82">
          <w:rPr>
            <w:rStyle w:val="Hyperlink"/>
            <w:noProof/>
          </w:rPr>
          <w:t>8.b. Outside Consultations</w:t>
        </w:r>
        <w:r w:rsidR="004A0E82">
          <w:rPr>
            <w:noProof/>
            <w:webHidden/>
          </w:rPr>
          <w:tab/>
        </w:r>
        <w:r w:rsidR="004A0E82">
          <w:rPr>
            <w:noProof/>
            <w:webHidden/>
          </w:rPr>
          <w:fldChar w:fldCharType="begin"/>
        </w:r>
        <w:r w:rsidR="004A0E82">
          <w:rPr>
            <w:noProof/>
            <w:webHidden/>
          </w:rPr>
          <w:instrText xml:space="preserve"> PAGEREF _Toc68611941 \h </w:instrText>
        </w:r>
        <w:r w:rsidR="004A0E82">
          <w:rPr>
            <w:noProof/>
            <w:webHidden/>
          </w:rPr>
        </w:r>
        <w:r w:rsidR="004A0E82">
          <w:rPr>
            <w:noProof/>
            <w:webHidden/>
          </w:rPr>
          <w:fldChar w:fldCharType="separate"/>
        </w:r>
        <w:r w:rsidR="004A0E82">
          <w:rPr>
            <w:noProof/>
            <w:webHidden/>
          </w:rPr>
          <w:t>6</w:t>
        </w:r>
        <w:r w:rsidR="004A0E82">
          <w:rPr>
            <w:noProof/>
            <w:webHidden/>
          </w:rPr>
          <w:fldChar w:fldCharType="end"/>
        </w:r>
      </w:hyperlink>
    </w:p>
    <w:p w:rsidR="004A0E82" w:rsidRDefault="00546912" w14:paraId="59109290" w14:textId="77777777">
      <w:pPr>
        <w:pStyle w:val="TOC2"/>
        <w:tabs>
          <w:tab w:val="right" w:leader="dot" w:pos="9350"/>
        </w:tabs>
        <w:rPr>
          <w:rFonts w:asciiTheme="minorHAnsi" w:hAnsiTheme="minorHAnsi" w:eastAsiaTheme="minorEastAsia" w:cstheme="minorBidi"/>
          <w:noProof/>
          <w:sz w:val="22"/>
          <w:szCs w:val="22"/>
        </w:rPr>
      </w:pPr>
      <w:hyperlink w:history="1" w:anchor="_Toc68611942">
        <w:r w:rsidRPr="00DD44C4" w:rsidR="004A0E82">
          <w:rPr>
            <w:rStyle w:val="Hyperlink"/>
            <w:noProof/>
          </w:rPr>
          <w:t>9. Payments/Gifts to Respondents</w:t>
        </w:r>
        <w:r w:rsidR="004A0E82">
          <w:rPr>
            <w:noProof/>
            <w:webHidden/>
          </w:rPr>
          <w:tab/>
        </w:r>
        <w:r w:rsidR="004A0E82">
          <w:rPr>
            <w:noProof/>
            <w:webHidden/>
          </w:rPr>
          <w:fldChar w:fldCharType="begin"/>
        </w:r>
        <w:r w:rsidR="004A0E82">
          <w:rPr>
            <w:noProof/>
            <w:webHidden/>
          </w:rPr>
          <w:instrText xml:space="preserve"> PAGEREF _Toc68611942 \h </w:instrText>
        </w:r>
        <w:r w:rsidR="004A0E82">
          <w:rPr>
            <w:noProof/>
            <w:webHidden/>
          </w:rPr>
        </w:r>
        <w:r w:rsidR="004A0E82">
          <w:rPr>
            <w:noProof/>
            <w:webHidden/>
          </w:rPr>
          <w:fldChar w:fldCharType="separate"/>
        </w:r>
        <w:r w:rsidR="004A0E82">
          <w:rPr>
            <w:noProof/>
            <w:webHidden/>
          </w:rPr>
          <w:t>6</w:t>
        </w:r>
        <w:r w:rsidR="004A0E82">
          <w:rPr>
            <w:noProof/>
            <w:webHidden/>
          </w:rPr>
          <w:fldChar w:fldCharType="end"/>
        </w:r>
      </w:hyperlink>
    </w:p>
    <w:p w:rsidR="004A0E82" w:rsidRDefault="00546912" w14:paraId="6BD3924D" w14:textId="77777777">
      <w:pPr>
        <w:pStyle w:val="TOC2"/>
        <w:tabs>
          <w:tab w:val="right" w:leader="dot" w:pos="9350"/>
        </w:tabs>
        <w:rPr>
          <w:rFonts w:asciiTheme="minorHAnsi" w:hAnsiTheme="minorHAnsi" w:eastAsiaTheme="minorEastAsia" w:cstheme="minorBidi"/>
          <w:noProof/>
          <w:sz w:val="22"/>
          <w:szCs w:val="22"/>
        </w:rPr>
      </w:pPr>
      <w:hyperlink w:history="1" w:anchor="_Toc68611943">
        <w:r w:rsidRPr="00DD44C4" w:rsidR="004A0E82">
          <w:rPr>
            <w:rStyle w:val="Hyperlink"/>
            <w:noProof/>
          </w:rPr>
          <w:t>10. Assurance of Confidentiality</w:t>
        </w:r>
        <w:r w:rsidR="004A0E82">
          <w:rPr>
            <w:noProof/>
            <w:webHidden/>
          </w:rPr>
          <w:tab/>
        </w:r>
        <w:r w:rsidR="004A0E82">
          <w:rPr>
            <w:noProof/>
            <w:webHidden/>
          </w:rPr>
          <w:fldChar w:fldCharType="begin"/>
        </w:r>
        <w:r w:rsidR="004A0E82">
          <w:rPr>
            <w:noProof/>
            <w:webHidden/>
          </w:rPr>
          <w:instrText xml:space="preserve"> PAGEREF _Toc68611943 \h </w:instrText>
        </w:r>
        <w:r w:rsidR="004A0E82">
          <w:rPr>
            <w:noProof/>
            <w:webHidden/>
          </w:rPr>
        </w:r>
        <w:r w:rsidR="004A0E82">
          <w:rPr>
            <w:noProof/>
            <w:webHidden/>
          </w:rPr>
          <w:fldChar w:fldCharType="separate"/>
        </w:r>
        <w:r w:rsidR="004A0E82">
          <w:rPr>
            <w:noProof/>
            <w:webHidden/>
          </w:rPr>
          <w:t>7</w:t>
        </w:r>
        <w:r w:rsidR="004A0E82">
          <w:rPr>
            <w:noProof/>
            <w:webHidden/>
          </w:rPr>
          <w:fldChar w:fldCharType="end"/>
        </w:r>
      </w:hyperlink>
    </w:p>
    <w:p w:rsidR="004A0E82" w:rsidRDefault="00546912" w14:paraId="2EA074B5" w14:textId="77777777">
      <w:pPr>
        <w:pStyle w:val="TOC2"/>
        <w:tabs>
          <w:tab w:val="right" w:leader="dot" w:pos="9350"/>
        </w:tabs>
        <w:rPr>
          <w:rFonts w:asciiTheme="minorHAnsi" w:hAnsiTheme="minorHAnsi" w:eastAsiaTheme="minorEastAsia" w:cstheme="minorBidi"/>
          <w:noProof/>
          <w:sz w:val="22"/>
          <w:szCs w:val="22"/>
        </w:rPr>
      </w:pPr>
      <w:hyperlink w:history="1" w:anchor="_Toc68611944">
        <w:r w:rsidRPr="00DD44C4" w:rsidR="004A0E82">
          <w:rPr>
            <w:rStyle w:val="Hyperlink"/>
            <w:noProof/>
          </w:rPr>
          <w:t>11. Questions of a Sensitive Nature</w:t>
        </w:r>
        <w:r w:rsidR="004A0E82">
          <w:rPr>
            <w:noProof/>
            <w:webHidden/>
          </w:rPr>
          <w:tab/>
        </w:r>
        <w:r w:rsidR="004A0E82">
          <w:rPr>
            <w:noProof/>
            <w:webHidden/>
          </w:rPr>
          <w:fldChar w:fldCharType="begin"/>
        </w:r>
        <w:r w:rsidR="004A0E82">
          <w:rPr>
            <w:noProof/>
            <w:webHidden/>
          </w:rPr>
          <w:instrText xml:space="preserve"> PAGEREF _Toc68611944 \h </w:instrText>
        </w:r>
        <w:r w:rsidR="004A0E82">
          <w:rPr>
            <w:noProof/>
            <w:webHidden/>
          </w:rPr>
        </w:r>
        <w:r w:rsidR="004A0E82">
          <w:rPr>
            <w:noProof/>
            <w:webHidden/>
          </w:rPr>
          <w:fldChar w:fldCharType="separate"/>
        </w:r>
        <w:r w:rsidR="004A0E82">
          <w:rPr>
            <w:noProof/>
            <w:webHidden/>
          </w:rPr>
          <w:t>8</w:t>
        </w:r>
        <w:r w:rsidR="004A0E82">
          <w:rPr>
            <w:noProof/>
            <w:webHidden/>
          </w:rPr>
          <w:fldChar w:fldCharType="end"/>
        </w:r>
      </w:hyperlink>
    </w:p>
    <w:p w:rsidR="004A0E82" w:rsidRDefault="00546912" w14:paraId="5CAA0A69" w14:textId="77777777">
      <w:pPr>
        <w:pStyle w:val="TOC2"/>
        <w:tabs>
          <w:tab w:val="right" w:leader="dot" w:pos="9350"/>
        </w:tabs>
        <w:rPr>
          <w:rFonts w:asciiTheme="minorHAnsi" w:hAnsiTheme="minorHAnsi" w:eastAsiaTheme="minorEastAsia" w:cstheme="minorBidi"/>
          <w:noProof/>
          <w:sz w:val="22"/>
          <w:szCs w:val="22"/>
        </w:rPr>
      </w:pPr>
      <w:hyperlink w:history="1" w:anchor="_Toc68611945">
        <w:r w:rsidRPr="00DD44C4" w:rsidR="004A0E82">
          <w:rPr>
            <w:rStyle w:val="Hyperlink"/>
            <w:noProof/>
          </w:rPr>
          <w:t>12. Estimates of Individual Population of Interest and Total Burden Hours and Costs</w:t>
        </w:r>
        <w:r w:rsidR="004A0E82">
          <w:rPr>
            <w:noProof/>
            <w:webHidden/>
          </w:rPr>
          <w:tab/>
        </w:r>
        <w:r w:rsidR="004A0E82">
          <w:rPr>
            <w:noProof/>
            <w:webHidden/>
          </w:rPr>
          <w:fldChar w:fldCharType="begin"/>
        </w:r>
        <w:r w:rsidR="004A0E82">
          <w:rPr>
            <w:noProof/>
            <w:webHidden/>
          </w:rPr>
          <w:instrText xml:space="preserve"> PAGEREF _Toc68611945 \h </w:instrText>
        </w:r>
        <w:r w:rsidR="004A0E82">
          <w:rPr>
            <w:noProof/>
            <w:webHidden/>
          </w:rPr>
        </w:r>
        <w:r w:rsidR="004A0E82">
          <w:rPr>
            <w:noProof/>
            <w:webHidden/>
          </w:rPr>
          <w:fldChar w:fldCharType="separate"/>
        </w:r>
        <w:r w:rsidR="004A0E82">
          <w:rPr>
            <w:noProof/>
            <w:webHidden/>
          </w:rPr>
          <w:t>8</w:t>
        </w:r>
        <w:r w:rsidR="004A0E82">
          <w:rPr>
            <w:noProof/>
            <w:webHidden/>
          </w:rPr>
          <w:fldChar w:fldCharType="end"/>
        </w:r>
      </w:hyperlink>
    </w:p>
    <w:p w:rsidR="004A0E82" w:rsidRDefault="00546912" w14:paraId="025E4301" w14:textId="77777777">
      <w:pPr>
        <w:pStyle w:val="TOC2"/>
        <w:tabs>
          <w:tab w:val="right" w:leader="dot" w:pos="9350"/>
        </w:tabs>
        <w:rPr>
          <w:rFonts w:asciiTheme="minorHAnsi" w:hAnsiTheme="minorHAnsi" w:eastAsiaTheme="minorEastAsia" w:cstheme="minorBidi"/>
          <w:noProof/>
          <w:sz w:val="22"/>
          <w:szCs w:val="22"/>
        </w:rPr>
      </w:pPr>
      <w:hyperlink w:history="1" w:anchor="_Toc68611946">
        <w:r w:rsidRPr="00DD44C4" w:rsidR="004A0E82">
          <w:rPr>
            <w:rStyle w:val="Hyperlink"/>
            <w:noProof/>
          </w:rPr>
          <w:t>13. Estimates of Annualized Respondent Capital and Maintenance Costs</w:t>
        </w:r>
        <w:r w:rsidR="004A0E82">
          <w:rPr>
            <w:noProof/>
            <w:webHidden/>
          </w:rPr>
          <w:tab/>
        </w:r>
        <w:r w:rsidR="004A0E82">
          <w:rPr>
            <w:noProof/>
            <w:webHidden/>
          </w:rPr>
          <w:fldChar w:fldCharType="begin"/>
        </w:r>
        <w:r w:rsidR="004A0E82">
          <w:rPr>
            <w:noProof/>
            <w:webHidden/>
          </w:rPr>
          <w:instrText xml:space="preserve"> PAGEREF _Toc68611946 \h </w:instrText>
        </w:r>
        <w:r w:rsidR="004A0E82">
          <w:rPr>
            <w:noProof/>
            <w:webHidden/>
          </w:rPr>
        </w:r>
        <w:r w:rsidR="004A0E82">
          <w:rPr>
            <w:noProof/>
            <w:webHidden/>
          </w:rPr>
          <w:fldChar w:fldCharType="separate"/>
        </w:r>
        <w:r w:rsidR="004A0E82">
          <w:rPr>
            <w:noProof/>
            <w:webHidden/>
          </w:rPr>
          <w:t>10</w:t>
        </w:r>
        <w:r w:rsidR="004A0E82">
          <w:rPr>
            <w:noProof/>
            <w:webHidden/>
          </w:rPr>
          <w:fldChar w:fldCharType="end"/>
        </w:r>
      </w:hyperlink>
    </w:p>
    <w:p w:rsidR="004A0E82" w:rsidRDefault="00546912" w14:paraId="753D1D34" w14:textId="77777777">
      <w:pPr>
        <w:pStyle w:val="TOC2"/>
        <w:tabs>
          <w:tab w:val="right" w:leader="dot" w:pos="9350"/>
        </w:tabs>
        <w:rPr>
          <w:rFonts w:asciiTheme="minorHAnsi" w:hAnsiTheme="minorHAnsi" w:eastAsiaTheme="minorEastAsia" w:cstheme="minorBidi"/>
          <w:noProof/>
          <w:sz w:val="22"/>
          <w:szCs w:val="22"/>
        </w:rPr>
      </w:pPr>
      <w:hyperlink w:history="1" w:anchor="_Toc68611947">
        <w:r w:rsidRPr="00DD44C4" w:rsidR="004A0E82">
          <w:rPr>
            <w:rStyle w:val="Hyperlink"/>
            <w:noProof/>
          </w:rPr>
          <w:t>14. Estimates of Total and Annualized Cost to the Government</w:t>
        </w:r>
        <w:r w:rsidR="004A0E82">
          <w:rPr>
            <w:noProof/>
            <w:webHidden/>
          </w:rPr>
          <w:tab/>
        </w:r>
        <w:r w:rsidR="004A0E82">
          <w:rPr>
            <w:noProof/>
            <w:webHidden/>
          </w:rPr>
          <w:fldChar w:fldCharType="begin"/>
        </w:r>
        <w:r w:rsidR="004A0E82">
          <w:rPr>
            <w:noProof/>
            <w:webHidden/>
          </w:rPr>
          <w:instrText xml:space="preserve"> PAGEREF _Toc68611947 \h </w:instrText>
        </w:r>
        <w:r w:rsidR="004A0E82">
          <w:rPr>
            <w:noProof/>
            <w:webHidden/>
          </w:rPr>
        </w:r>
        <w:r w:rsidR="004A0E82">
          <w:rPr>
            <w:noProof/>
            <w:webHidden/>
          </w:rPr>
          <w:fldChar w:fldCharType="separate"/>
        </w:r>
        <w:r w:rsidR="004A0E82">
          <w:rPr>
            <w:noProof/>
            <w:webHidden/>
          </w:rPr>
          <w:t>10</w:t>
        </w:r>
        <w:r w:rsidR="004A0E82">
          <w:rPr>
            <w:noProof/>
            <w:webHidden/>
          </w:rPr>
          <w:fldChar w:fldCharType="end"/>
        </w:r>
      </w:hyperlink>
    </w:p>
    <w:p w:rsidR="004A0E82" w:rsidRDefault="00546912" w14:paraId="44965BAA" w14:textId="77777777">
      <w:pPr>
        <w:pStyle w:val="TOC2"/>
        <w:tabs>
          <w:tab w:val="right" w:leader="dot" w:pos="9350"/>
        </w:tabs>
        <w:rPr>
          <w:rFonts w:asciiTheme="minorHAnsi" w:hAnsiTheme="minorHAnsi" w:eastAsiaTheme="minorEastAsia" w:cstheme="minorBidi"/>
          <w:noProof/>
          <w:sz w:val="22"/>
          <w:szCs w:val="22"/>
        </w:rPr>
      </w:pPr>
      <w:hyperlink w:history="1" w:anchor="_Toc68611948">
        <w:r w:rsidRPr="00DD44C4" w:rsidR="004A0E82">
          <w:rPr>
            <w:rStyle w:val="Hyperlink"/>
            <w:noProof/>
          </w:rPr>
          <w:t>15. Changes in Hour Burden</w:t>
        </w:r>
        <w:r w:rsidR="004A0E82">
          <w:rPr>
            <w:noProof/>
            <w:webHidden/>
          </w:rPr>
          <w:tab/>
        </w:r>
        <w:r w:rsidR="004A0E82">
          <w:rPr>
            <w:noProof/>
            <w:webHidden/>
          </w:rPr>
          <w:fldChar w:fldCharType="begin"/>
        </w:r>
        <w:r w:rsidR="004A0E82">
          <w:rPr>
            <w:noProof/>
            <w:webHidden/>
          </w:rPr>
          <w:instrText xml:space="preserve"> PAGEREF _Toc68611948 \h </w:instrText>
        </w:r>
        <w:r w:rsidR="004A0E82">
          <w:rPr>
            <w:noProof/>
            <w:webHidden/>
          </w:rPr>
        </w:r>
        <w:r w:rsidR="004A0E82">
          <w:rPr>
            <w:noProof/>
            <w:webHidden/>
          </w:rPr>
          <w:fldChar w:fldCharType="separate"/>
        </w:r>
        <w:r w:rsidR="004A0E82">
          <w:rPr>
            <w:noProof/>
            <w:webHidden/>
          </w:rPr>
          <w:t>10</w:t>
        </w:r>
        <w:r w:rsidR="004A0E82">
          <w:rPr>
            <w:noProof/>
            <w:webHidden/>
          </w:rPr>
          <w:fldChar w:fldCharType="end"/>
        </w:r>
      </w:hyperlink>
    </w:p>
    <w:p w:rsidR="004A0E82" w:rsidRDefault="00546912" w14:paraId="57475868" w14:textId="77777777">
      <w:pPr>
        <w:pStyle w:val="TOC2"/>
        <w:tabs>
          <w:tab w:val="right" w:leader="dot" w:pos="9350"/>
        </w:tabs>
        <w:rPr>
          <w:rFonts w:asciiTheme="minorHAnsi" w:hAnsiTheme="minorHAnsi" w:eastAsiaTheme="minorEastAsia" w:cstheme="minorBidi"/>
          <w:noProof/>
          <w:sz w:val="22"/>
          <w:szCs w:val="22"/>
        </w:rPr>
      </w:pPr>
      <w:hyperlink w:history="1" w:anchor="_Toc68611949">
        <w:r w:rsidRPr="00DD44C4" w:rsidR="004A0E82">
          <w:rPr>
            <w:rStyle w:val="Hyperlink"/>
            <w:noProof/>
          </w:rPr>
          <w:t>16. Time Schedule, Publication and Analysis Plans</w:t>
        </w:r>
        <w:r w:rsidR="004A0E82">
          <w:rPr>
            <w:noProof/>
            <w:webHidden/>
          </w:rPr>
          <w:tab/>
        </w:r>
        <w:r w:rsidR="004A0E82">
          <w:rPr>
            <w:noProof/>
            <w:webHidden/>
          </w:rPr>
          <w:fldChar w:fldCharType="begin"/>
        </w:r>
        <w:r w:rsidR="004A0E82">
          <w:rPr>
            <w:noProof/>
            <w:webHidden/>
          </w:rPr>
          <w:instrText xml:space="preserve"> PAGEREF _Toc68611949 \h </w:instrText>
        </w:r>
        <w:r w:rsidR="004A0E82">
          <w:rPr>
            <w:noProof/>
            <w:webHidden/>
          </w:rPr>
        </w:r>
        <w:r w:rsidR="004A0E82">
          <w:rPr>
            <w:noProof/>
            <w:webHidden/>
          </w:rPr>
          <w:fldChar w:fldCharType="separate"/>
        </w:r>
        <w:r w:rsidR="004A0E82">
          <w:rPr>
            <w:noProof/>
            <w:webHidden/>
          </w:rPr>
          <w:t>11</w:t>
        </w:r>
        <w:r w:rsidR="004A0E82">
          <w:rPr>
            <w:noProof/>
            <w:webHidden/>
          </w:rPr>
          <w:fldChar w:fldCharType="end"/>
        </w:r>
      </w:hyperlink>
    </w:p>
    <w:p w:rsidR="004A0E82" w:rsidRDefault="00546912" w14:paraId="67176AD7" w14:textId="77777777">
      <w:pPr>
        <w:pStyle w:val="TOC2"/>
        <w:tabs>
          <w:tab w:val="right" w:leader="dot" w:pos="9350"/>
        </w:tabs>
        <w:rPr>
          <w:rFonts w:asciiTheme="minorHAnsi" w:hAnsiTheme="minorHAnsi" w:eastAsiaTheme="minorEastAsia" w:cstheme="minorBidi"/>
          <w:noProof/>
          <w:sz w:val="22"/>
          <w:szCs w:val="22"/>
        </w:rPr>
      </w:pPr>
      <w:hyperlink w:history="1" w:anchor="_Toc68611950">
        <w:r w:rsidRPr="00DD44C4" w:rsidR="004A0E82">
          <w:rPr>
            <w:rStyle w:val="Hyperlink"/>
            <w:noProof/>
          </w:rPr>
          <w:t>17. Exemption for Display of Expiration Date</w:t>
        </w:r>
        <w:r w:rsidR="004A0E82">
          <w:rPr>
            <w:noProof/>
            <w:webHidden/>
          </w:rPr>
          <w:tab/>
        </w:r>
        <w:r w:rsidR="004A0E82">
          <w:rPr>
            <w:noProof/>
            <w:webHidden/>
          </w:rPr>
          <w:fldChar w:fldCharType="begin"/>
        </w:r>
        <w:r w:rsidR="004A0E82">
          <w:rPr>
            <w:noProof/>
            <w:webHidden/>
          </w:rPr>
          <w:instrText xml:space="preserve"> PAGEREF _Toc68611950 \h </w:instrText>
        </w:r>
        <w:r w:rsidR="004A0E82">
          <w:rPr>
            <w:noProof/>
            <w:webHidden/>
          </w:rPr>
        </w:r>
        <w:r w:rsidR="004A0E82">
          <w:rPr>
            <w:noProof/>
            <w:webHidden/>
          </w:rPr>
          <w:fldChar w:fldCharType="separate"/>
        </w:r>
        <w:r w:rsidR="004A0E82">
          <w:rPr>
            <w:noProof/>
            <w:webHidden/>
          </w:rPr>
          <w:t>11</w:t>
        </w:r>
        <w:r w:rsidR="004A0E82">
          <w:rPr>
            <w:noProof/>
            <w:webHidden/>
          </w:rPr>
          <w:fldChar w:fldCharType="end"/>
        </w:r>
      </w:hyperlink>
    </w:p>
    <w:p w:rsidR="004A0E82" w:rsidRDefault="00546912" w14:paraId="086AAAE0" w14:textId="77777777">
      <w:pPr>
        <w:pStyle w:val="TOC2"/>
        <w:tabs>
          <w:tab w:val="right" w:leader="dot" w:pos="9350"/>
        </w:tabs>
        <w:rPr>
          <w:rFonts w:asciiTheme="minorHAnsi" w:hAnsiTheme="minorHAnsi" w:eastAsiaTheme="minorEastAsia" w:cstheme="minorBidi"/>
          <w:noProof/>
          <w:sz w:val="22"/>
          <w:szCs w:val="22"/>
        </w:rPr>
      </w:pPr>
      <w:hyperlink w:history="1" w:anchor="_Toc68611951">
        <w:r w:rsidRPr="00DD44C4" w:rsidR="004A0E82">
          <w:rPr>
            <w:rStyle w:val="Hyperlink"/>
            <w:noProof/>
          </w:rPr>
          <w:t>18. Exceptions to Certification for Paperwork Reduction Act Submissions</w:t>
        </w:r>
        <w:r w:rsidR="004A0E82">
          <w:rPr>
            <w:noProof/>
            <w:webHidden/>
          </w:rPr>
          <w:tab/>
        </w:r>
        <w:r w:rsidR="004A0E82">
          <w:rPr>
            <w:noProof/>
            <w:webHidden/>
          </w:rPr>
          <w:fldChar w:fldCharType="begin"/>
        </w:r>
        <w:r w:rsidR="004A0E82">
          <w:rPr>
            <w:noProof/>
            <w:webHidden/>
          </w:rPr>
          <w:instrText xml:space="preserve"> PAGEREF _Toc68611951 \h </w:instrText>
        </w:r>
        <w:r w:rsidR="004A0E82">
          <w:rPr>
            <w:noProof/>
            <w:webHidden/>
          </w:rPr>
        </w:r>
        <w:r w:rsidR="004A0E82">
          <w:rPr>
            <w:noProof/>
            <w:webHidden/>
          </w:rPr>
          <w:fldChar w:fldCharType="separate"/>
        </w:r>
        <w:r w:rsidR="004A0E82">
          <w:rPr>
            <w:noProof/>
            <w:webHidden/>
          </w:rPr>
          <w:t>11</w:t>
        </w:r>
        <w:r w:rsidR="004A0E82">
          <w:rPr>
            <w:noProof/>
            <w:webHidden/>
          </w:rPr>
          <w:fldChar w:fldCharType="end"/>
        </w:r>
      </w:hyperlink>
    </w:p>
    <w:p w:rsidR="004A0E82" w:rsidRDefault="00546912" w14:paraId="7F2A1502" w14:textId="6D49DA29">
      <w:pPr>
        <w:pStyle w:val="TOC2"/>
        <w:tabs>
          <w:tab w:val="right" w:leader="dot" w:pos="9350"/>
        </w:tabs>
        <w:rPr>
          <w:rFonts w:asciiTheme="minorHAnsi" w:hAnsiTheme="minorHAnsi" w:eastAsiaTheme="minorEastAsia" w:cstheme="minorBidi"/>
          <w:noProof/>
          <w:sz w:val="22"/>
          <w:szCs w:val="22"/>
        </w:rPr>
      </w:pPr>
      <w:hyperlink w:history="1" w:anchor="_Toc68611952">
        <w:r w:rsidR="004A0E82">
          <w:rPr>
            <w:rStyle w:val="Hyperlink"/>
            <w:noProof/>
          </w:rPr>
          <w:t>List of Attachments</w:t>
        </w:r>
        <w:r w:rsidR="004A0E82">
          <w:rPr>
            <w:noProof/>
            <w:webHidden/>
          </w:rPr>
          <w:tab/>
        </w:r>
        <w:r w:rsidR="004A0E82">
          <w:rPr>
            <w:noProof/>
            <w:webHidden/>
          </w:rPr>
          <w:fldChar w:fldCharType="begin"/>
        </w:r>
        <w:r w:rsidR="004A0E82">
          <w:rPr>
            <w:noProof/>
            <w:webHidden/>
          </w:rPr>
          <w:instrText xml:space="preserve"> PAGEREF _Toc68611952 \h </w:instrText>
        </w:r>
        <w:r w:rsidR="004A0E82">
          <w:rPr>
            <w:noProof/>
            <w:webHidden/>
          </w:rPr>
        </w:r>
        <w:r w:rsidR="004A0E82">
          <w:rPr>
            <w:noProof/>
            <w:webHidden/>
          </w:rPr>
          <w:fldChar w:fldCharType="separate"/>
        </w:r>
        <w:r w:rsidR="004A0E82">
          <w:rPr>
            <w:noProof/>
            <w:webHidden/>
          </w:rPr>
          <w:t>12</w:t>
        </w:r>
        <w:r w:rsidR="004A0E82">
          <w:rPr>
            <w:noProof/>
            <w:webHidden/>
          </w:rPr>
          <w:fldChar w:fldCharType="end"/>
        </w:r>
      </w:hyperlink>
    </w:p>
    <w:p w:rsidR="004A0E82" w:rsidRDefault="00546912" w14:paraId="0C74F26E" w14:textId="77777777">
      <w:pPr>
        <w:pStyle w:val="TOC2"/>
        <w:tabs>
          <w:tab w:val="right" w:leader="dot" w:pos="9350"/>
        </w:tabs>
        <w:rPr>
          <w:rFonts w:asciiTheme="minorHAnsi" w:hAnsiTheme="minorHAnsi" w:eastAsiaTheme="minorEastAsia" w:cstheme="minorBidi"/>
          <w:noProof/>
          <w:sz w:val="22"/>
          <w:szCs w:val="22"/>
        </w:rPr>
      </w:pPr>
      <w:hyperlink w:history="1" w:anchor="_Toc68611953">
        <w:r w:rsidRPr="00DD44C4" w:rsidR="004A0E82">
          <w:rPr>
            <w:rStyle w:val="Hyperlink"/>
            <w:noProof/>
          </w:rPr>
          <w:t>References</w:t>
        </w:r>
        <w:r w:rsidR="004A0E82">
          <w:rPr>
            <w:noProof/>
            <w:webHidden/>
          </w:rPr>
          <w:tab/>
        </w:r>
        <w:r w:rsidR="004A0E82">
          <w:rPr>
            <w:noProof/>
            <w:webHidden/>
          </w:rPr>
          <w:fldChar w:fldCharType="begin"/>
        </w:r>
        <w:r w:rsidR="004A0E82">
          <w:rPr>
            <w:noProof/>
            <w:webHidden/>
          </w:rPr>
          <w:instrText xml:space="preserve"> PAGEREF _Toc68611953 \h </w:instrText>
        </w:r>
        <w:r w:rsidR="004A0E82">
          <w:rPr>
            <w:noProof/>
            <w:webHidden/>
          </w:rPr>
        </w:r>
        <w:r w:rsidR="004A0E82">
          <w:rPr>
            <w:noProof/>
            <w:webHidden/>
          </w:rPr>
          <w:fldChar w:fldCharType="separate"/>
        </w:r>
        <w:r w:rsidR="004A0E82">
          <w:rPr>
            <w:noProof/>
            <w:webHidden/>
          </w:rPr>
          <w:t>12</w:t>
        </w:r>
        <w:r w:rsidR="004A0E82">
          <w:rPr>
            <w:noProof/>
            <w:webHidden/>
          </w:rPr>
          <w:fldChar w:fldCharType="end"/>
        </w:r>
      </w:hyperlink>
    </w:p>
    <w:p w:rsidR="00D90589" w:rsidP="002D4D3A" w:rsidRDefault="00D90589" w14:paraId="6F4BF582" w14:textId="77777777">
      <w:r>
        <w:rPr>
          <w:b/>
          <w:bCs/>
          <w:noProof/>
        </w:rPr>
        <w:fldChar w:fldCharType="end"/>
      </w:r>
    </w:p>
    <w:p w:rsidRPr="001D0454" w:rsidR="009B633D" w:rsidP="009B633D" w:rsidRDefault="009B633D" w14:paraId="74169F55" w14:textId="57B21969">
      <w:pPr>
        <w:jc w:val="center"/>
        <w:rPr>
          <w:b/>
        </w:rPr>
      </w:pPr>
    </w:p>
    <w:p w:rsidRPr="006014DB" w:rsidR="009B633D" w:rsidP="002D4D3A" w:rsidRDefault="009B633D" w14:paraId="22EB6615" w14:textId="77777777">
      <w:pPr>
        <w:pStyle w:val="StyleHeading112pt"/>
      </w:pPr>
      <w:r>
        <w:br w:type="page"/>
      </w:r>
      <w:bookmarkStart w:name="_Toc151782175" w:id="2"/>
      <w:bookmarkStart w:name="_Toc158526215" w:id="3"/>
      <w:bookmarkStart w:name="_Toc68611931" w:id="4"/>
      <w:r w:rsidRPr="006014DB">
        <w:lastRenderedPageBreak/>
        <w:t>A. Justification</w:t>
      </w:r>
      <w:bookmarkEnd w:id="2"/>
      <w:bookmarkEnd w:id="3"/>
      <w:bookmarkEnd w:id="4"/>
    </w:p>
    <w:p w:rsidR="009B633D" w:rsidP="00A21201" w:rsidRDefault="009B633D" w14:paraId="1D85164E" w14:textId="77777777">
      <w:pPr>
        <w:pStyle w:val="Heading2"/>
      </w:pPr>
      <w:bookmarkStart w:name="_Toc151782176" w:id="5"/>
      <w:bookmarkStart w:name="_Toc158526216" w:id="6"/>
      <w:bookmarkStart w:name="_Toc68611932" w:id="7"/>
      <w:r w:rsidRPr="006014DB">
        <w:t xml:space="preserve">1. </w:t>
      </w:r>
      <w:bookmarkEnd w:id="5"/>
      <w:bookmarkEnd w:id="6"/>
      <w:r w:rsidRPr="006014DB" w:rsidR="006014DB">
        <w:t>Circumstances that make the collection of information necessary</w:t>
      </w:r>
      <w:bookmarkEnd w:id="7"/>
    </w:p>
    <w:p w:rsidRPr="006666CE" w:rsidR="006666CE" w:rsidP="002D4D3A" w:rsidRDefault="006666CE" w14:paraId="5D926DD9" w14:textId="6457CB81">
      <w:pPr>
        <w:pStyle w:val="BodyText"/>
      </w:pPr>
      <w:r w:rsidRPr="006666CE">
        <w:t>CMS is the</w:t>
      </w:r>
      <w:r w:rsidR="00450F90">
        <w:t xml:space="preserve"> largest single payer of health</w:t>
      </w:r>
      <w:r w:rsidR="00910788">
        <w:t xml:space="preserve"> </w:t>
      </w:r>
      <w:r w:rsidRPr="006666CE">
        <w:t xml:space="preserve">care in the United States. The agency plays a direct or indirect role in administering health insurance coverage for more than 120 million people across the Medicare, Medicaid, </w:t>
      </w:r>
      <w:r w:rsidR="00F063FD">
        <w:t>Children’s Health Insurance Program (</w:t>
      </w:r>
      <w:r w:rsidRPr="006666CE">
        <w:t>CHIP</w:t>
      </w:r>
      <w:r w:rsidR="00F063FD">
        <w:t>)</w:t>
      </w:r>
      <w:r w:rsidRPr="006666CE">
        <w:t xml:space="preserve">, and Marketplace populations. One of the critical functions of CMS’s Office of Minority Health (CMS OMH) is to advise CMS on the needs of minority populations. As part of this charge, CMS OMH gathers and shares knowledge and data on health care quality, access, and costs related to minority populations. </w:t>
      </w:r>
    </w:p>
    <w:p w:rsidR="004757E3" w:rsidP="002D4D3A" w:rsidRDefault="00E45058" w14:paraId="33FE3FD4" w14:textId="16813FF3">
      <w:pPr>
        <w:pStyle w:val="BodyText"/>
      </w:pPr>
      <w:r w:rsidRPr="00E45058">
        <w:t xml:space="preserve">CMS’s Quality Strategy highlights the agency’s commitment to working towards </w:t>
      </w:r>
      <w:r w:rsidR="005C37B1">
        <w:t xml:space="preserve">Health and Human </w:t>
      </w:r>
      <w:proofErr w:type="spellStart"/>
      <w:r w:rsidR="0076174E">
        <w:t>Service’s</w:t>
      </w:r>
      <w:proofErr w:type="spellEnd"/>
      <w:r w:rsidR="005C37B1">
        <w:t xml:space="preserve"> (</w:t>
      </w:r>
      <w:r w:rsidRPr="00E45058">
        <w:t>HHS</w:t>
      </w:r>
      <w:r w:rsidR="005C37B1">
        <w:t>)</w:t>
      </w:r>
      <w:r w:rsidRPr="00E45058">
        <w:t xml:space="preserve"> goal of eliminating health disparities in the United States. Although defined differently depending on the context, health disparities generally refer to systematic differences in health outcomes and quality of health</w:t>
      </w:r>
      <w:r w:rsidR="00910788">
        <w:t xml:space="preserve"> </w:t>
      </w:r>
      <w:r w:rsidRPr="00E45058">
        <w:t>care experienced by specific minority groups</w:t>
      </w:r>
      <w:r w:rsidR="00245A01">
        <w:t>.</w:t>
      </w:r>
      <w:r w:rsidR="0051153B">
        <w:t xml:space="preserve"> </w:t>
      </w:r>
      <w:r w:rsidR="00245A01">
        <w:t xml:space="preserve">Due </w:t>
      </w:r>
      <w:r w:rsidR="00AF750F">
        <w:t xml:space="preserve">to the relative size </w:t>
      </w:r>
      <w:r w:rsidR="004757E3">
        <w:t xml:space="preserve">and, </w:t>
      </w:r>
      <w:r w:rsidR="00AF750F">
        <w:t>in some cases</w:t>
      </w:r>
      <w:r w:rsidR="004757E3">
        <w:t xml:space="preserve">, </w:t>
      </w:r>
      <w:r w:rsidR="00450F90">
        <w:t xml:space="preserve">the unique characteristics of </w:t>
      </w:r>
      <w:r w:rsidR="005744C2">
        <w:t>minority</w:t>
      </w:r>
      <w:r w:rsidR="00245A01">
        <w:t xml:space="preserve"> population</w:t>
      </w:r>
      <w:r w:rsidR="00AF750F">
        <w:t>s</w:t>
      </w:r>
      <w:r w:rsidR="004757E3">
        <w:t>,</w:t>
      </w:r>
      <w:r w:rsidR="00450F90">
        <w:t xml:space="preserve"> </w:t>
      </w:r>
      <w:r w:rsidR="004757E3">
        <w:t xml:space="preserve">national </w:t>
      </w:r>
      <w:r w:rsidR="00AF750F">
        <w:t xml:space="preserve">general population data collection efforts often do not </w:t>
      </w:r>
      <w:r w:rsidR="004757E3">
        <w:t>include</w:t>
      </w:r>
      <w:r w:rsidR="00AF750F">
        <w:t xml:space="preserve"> adequate representation of </w:t>
      </w:r>
      <w:r w:rsidR="004757E3">
        <w:t xml:space="preserve">minority </w:t>
      </w:r>
      <w:r w:rsidR="00AF750F">
        <w:t>populations</w:t>
      </w:r>
      <w:r w:rsidR="004757E3">
        <w:t xml:space="preserve"> because they do not sufficiently oversample the relevant minority groups; this makes subgroup analyses challenging, if not impossible. In addition, many national surveys of the general population do not collect data points that would enable researchers to </w:t>
      </w:r>
      <w:r w:rsidR="00AF750F">
        <w:t xml:space="preserve">identify these </w:t>
      </w:r>
      <w:r w:rsidR="004757E3">
        <w:t xml:space="preserve">minority </w:t>
      </w:r>
      <w:r w:rsidR="00AF750F">
        <w:t>groups</w:t>
      </w:r>
      <w:r w:rsidR="000E0F27">
        <w:t xml:space="preserve"> for analysis</w:t>
      </w:r>
      <w:r w:rsidR="004757E3">
        <w:t xml:space="preserve"> (for example, </w:t>
      </w:r>
      <w:r w:rsidR="000E0F27">
        <w:t>an indicator of disability or substance abuse that would enable comparison to the general population)</w:t>
      </w:r>
      <w:r w:rsidR="00AF750F">
        <w:t xml:space="preserve">.  </w:t>
      </w:r>
    </w:p>
    <w:p w:rsidR="001D4F7C" w:rsidP="002D4D3A" w:rsidRDefault="00AF750F" w14:paraId="0BFC605A" w14:textId="7C337585">
      <w:pPr>
        <w:pStyle w:val="BodyText"/>
      </w:pPr>
      <w:r>
        <w:t xml:space="preserve">Thus, </w:t>
      </w:r>
      <w:r w:rsidR="005744C2">
        <w:t>a tailored</w:t>
      </w:r>
      <w:r>
        <w:t xml:space="preserve"> data collection</w:t>
      </w:r>
      <w:r w:rsidR="005744C2">
        <w:t xml:space="preserve"> approach </w:t>
      </w:r>
      <w:r w:rsidR="00C606C3">
        <w:t xml:space="preserve">helps </w:t>
      </w:r>
      <w:r>
        <w:t xml:space="preserve">to understand the experiences of </w:t>
      </w:r>
      <w:r w:rsidR="00AF2094">
        <w:t>minority population</w:t>
      </w:r>
      <w:r>
        <w:t>s</w:t>
      </w:r>
      <w:r w:rsidR="00450F90">
        <w:t xml:space="preserve">. </w:t>
      </w:r>
      <w:r w:rsidR="00AF2094">
        <w:t xml:space="preserve">The proposed </w:t>
      </w:r>
      <w:r w:rsidR="005C37B1">
        <w:t xml:space="preserve">umbrella </w:t>
      </w:r>
      <w:r w:rsidR="00AF2094">
        <w:t xml:space="preserve">data collection system, </w:t>
      </w:r>
      <w:r>
        <w:t>t</w:t>
      </w:r>
      <w:r w:rsidRPr="00AF750F">
        <w:t>he Medicare Beneficiary Exper</w:t>
      </w:r>
      <w:r>
        <w:t>iences with Care Survey System (MBECS System)</w:t>
      </w:r>
      <w:r w:rsidR="00AF2094">
        <w:t xml:space="preserve">, </w:t>
      </w:r>
      <w:r>
        <w:t xml:space="preserve">will help address these issues by using </w:t>
      </w:r>
      <w:r w:rsidR="00AF2094">
        <w:t xml:space="preserve">a standardized </w:t>
      </w:r>
      <w:r>
        <w:t>yet flexib</w:t>
      </w:r>
      <w:r w:rsidR="006722F2">
        <w:t>le</w:t>
      </w:r>
      <w:r>
        <w:t xml:space="preserve"> </w:t>
      </w:r>
      <w:r w:rsidR="00AF2094">
        <w:t>methodology that allows for customization</w:t>
      </w:r>
      <w:r>
        <w:t xml:space="preserve"> in approach and content</w:t>
      </w:r>
      <w:r w:rsidR="00AF2094">
        <w:t xml:space="preserve"> based on the particular minority group</w:t>
      </w:r>
      <w:r w:rsidR="00F52FF5">
        <w:t>(s)</w:t>
      </w:r>
      <w:r w:rsidR="00AF2094">
        <w:t xml:space="preserve"> of interest</w:t>
      </w:r>
      <w:r w:rsidR="00450F90">
        <w:t xml:space="preserve">. </w:t>
      </w:r>
      <w:r w:rsidR="00541A96">
        <w:t xml:space="preserve">The flexibility of design for each individual survey will be driven by the data, data sources, and location of the data for the population of interest. </w:t>
      </w:r>
      <w:r w:rsidR="00AF2094">
        <w:t xml:space="preserve">The </w:t>
      </w:r>
      <w:r w:rsidR="005C37B1">
        <w:t xml:space="preserve">umbrella </w:t>
      </w:r>
      <w:r w:rsidR="00AF2094">
        <w:t xml:space="preserve">MBECS system will use an expanded </w:t>
      </w:r>
      <w:r w:rsidRPr="00103642" w:rsidR="00754480">
        <w:t>Consumer Assessment of Healthcare Providers and Systems (CAHPS®)</w:t>
      </w:r>
      <w:r w:rsidR="00AF2094">
        <w:t xml:space="preserve"> methodology as a standardized data collection vehicle</w:t>
      </w:r>
      <w:r w:rsidR="00974716">
        <w:t xml:space="preserve"> for Medicare beneficiaries in minority populations</w:t>
      </w:r>
      <w:r w:rsidR="00AF2094">
        <w:t xml:space="preserve">. </w:t>
      </w:r>
      <w:r w:rsidR="005C37B1">
        <w:t xml:space="preserve">First, CMS OMH will develop a </w:t>
      </w:r>
      <w:r w:rsidR="00C606C3">
        <w:t>survey, which</w:t>
      </w:r>
      <w:r w:rsidR="005C37B1">
        <w:t xml:space="preserve"> </w:t>
      </w:r>
      <w:r w:rsidR="00AF2094">
        <w:t>include</w:t>
      </w:r>
      <w:r w:rsidR="005C37B1">
        <w:t>s</w:t>
      </w:r>
      <w:r w:rsidR="00AF2094">
        <w:t xml:space="preserve"> a “core” set of existing CAHPS </w:t>
      </w:r>
      <w:r w:rsidR="00F52FF5">
        <w:t xml:space="preserve">questionnaire </w:t>
      </w:r>
      <w:r w:rsidR="00AF2094">
        <w:t>items</w:t>
      </w:r>
      <w:r w:rsidR="005C37B1">
        <w:t>. The outreach method, modes of administration, and data collection protocols will be identical across survey populations</w:t>
      </w:r>
      <w:r w:rsidR="00AF2094">
        <w:t>.</w:t>
      </w:r>
      <w:r w:rsidR="005C37B1">
        <w:t xml:space="preserve"> When a specific population of interest is identified, CMS OMH will then submit an individual collections request</w:t>
      </w:r>
      <w:r w:rsidR="00541A96">
        <w:t xml:space="preserve"> to OMB</w:t>
      </w:r>
      <w:r w:rsidR="005C37B1">
        <w:t xml:space="preserve">, including a revised research </w:t>
      </w:r>
      <w:r w:rsidR="00541A96">
        <w:t xml:space="preserve">and sampling </w:t>
      </w:r>
      <w:r w:rsidR="005C37B1">
        <w:t xml:space="preserve">plan with changes relating to the specific population of interest. These individual submissions will include the core CAHPS questionnaire plus a brief population-specific module. </w:t>
      </w:r>
      <w:r w:rsidR="00541A96">
        <w:t xml:space="preserve">The brief module will include population-specific questions pulled from Federal surveys relevant to the minority population, for example: the National Health Interview Survey (NHIS), the Medicare Current Beneficiary Survey (MCBS), or the Current Population Survey (CPS). </w:t>
      </w:r>
      <w:r w:rsidR="005C37B1">
        <w:t xml:space="preserve">CMS OMH will also provide updated respondent materials with wording adjusted for that particular population. </w:t>
      </w:r>
      <w:r w:rsidR="00541A96">
        <w:t xml:space="preserve">Each survey submitted as an individual collections request will focus on one minority group; </w:t>
      </w:r>
      <w:r w:rsidR="00F063FD">
        <w:t xml:space="preserve">different </w:t>
      </w:r>
      <w:r w:rsidR="00541A96">
        <w:t xml:space="preserve">minority groups of interest will not be surveyed at the same time or be administered the same population-specific module. </w:t>
      </w:r>
    </w:p>
    <w:p w:rsidRPr="00E45058" w:rsidR="00BE37E3" w:rsidP="002D4D3A" w:rsidRDefault="00F52FF5" w14:paraId="5EAC24C6" w14:textId="33ECCCC6">
      <w:pPr>
        <w:pStyle w:val="BodyText"/>
      </w:pPr>
      <w:r>
        <w:lastRenderedPageBreak/>
        <w:t xml:space="preserve">Key to the success of collecting data from minority groups is </w:t>
      </w:r>
      <w:r w:rsidR="000E0F27">
        <w:t>a</w:t>
      </w:r>
      <w:r>
        <w:t xml:space="preserve"> sampl</w:t>
      </w:r>
      <w:r w:rsidR="000E0F27">
        <w:t>ing plan that</w:t>
      </w:r>
      <w:r>
        <w:t xml:space="preserve"> ensure</w:t>
      </w:r>
      <w:r w:rsidR="000E0F27">
        <w:t>s</w:t>
      </w:r>
      <w:r>
        <w:t xml:space="preserve"> </w:t>
      </w:r>
      <w:r w:rsidR="000E0F27">
        <w:t xml:space="preserve">adequate </w:t>
      </w:r>
      <w:r>
        <w:t xml:space="preserve">representation </w:t>
      </w:r>
      <w:r w:rsidR="000E0F27">
        <w:t xml:space="preserve">of the target population </w:t>
      </w:r>
      <w:r>
        <w:t xml:space="preserve">in the final </w:t>
      </w:r>
      <w:r w:rsidR="000E0F27">
        <w:t xml:space="preserve">analytic </w:t>
      </w:r>
      <w:r>
        <w:t xml:space="preserve">sample. </w:t>
      </w:r>
      <w:r w:rsidRPr="00E45058" w:rsidR="00BE37E3">
        <w:t xml:space="preserve">CMS OMH </w:t>
      </w:r>
      <w:r w:rsidR="00974716">
        <w:t>propos</w:t>
      </w:r>
      <w:r w:rsidR="000E0F27">
        <w:t>es</w:t>
      </w:r>
      <w:r>
        <w:t xml:space="preserve"> build</w:t>
      </w:r>
      <w:r w:rsidR="000E0F27">
        <w:t>ing</w:t>
      </w:r>
      <w:r>
        <w:t xml:space="preserve"> the</w:t>
      </w:r>
      <w:r w:rsidRPr="00E45058" w:rsidR="00BE37E3">
        <w:t xml:space="preserve"> MBECS </w:t>
      </w:r>
      <w:r w:rsidR="00974716">
        <w:t xml:space="preserve">data collection system </w:t>
      </w:r>
      <w:r>
        <w:t>by</w:t>
      </w:r>
      <w:r w:rsidRPr="00E45058" w:rsidR="00BE37E3">
        <w:t xml:space="preserve"> </w:t>
      </w:r>
      <w:r w:rsidR="00974716">
        <w:t xml:space="preserve">capitalizing on </w:t>
      </w:r>
      <w:r w:rsidR="00F063FD">
        <w:t xml:space="preserve">three main sources. These include: </w:t>
      </w:r>
      <w:r w:rsidR="00974716">
        <w:t xml:space="preserve">existing </w:t>
      </w:r>
      <w:r>
        <w:t xml:space="preserve">beneficiary characteristic </w:t>
      </w:r>
      <w:r w:rsidR="00974716">
        <w:t>flags</w:t>
      </w:r>
      <w:r w:rsidR="003077FD">
        <w:t xml:space="preserve"> within</w:t>
      </w:r>
      <w:r w:rsidR="00974716">
        <w:t xml:space="preserve"> </w:t>
      </w:r>
      <w:r w:rsidR="007011B9">
        <w:t xml:space="preserve">the </w:t>
      </w:r>
      <w:r w:rsidRPr="007011B9" w:rsidR="007011B9">
        <w:t>CMS V</w:t>
      </w:r>
      <w:r w:rsidR="007011B9">
        <w:t xml:space="preserve">irtual </w:t>
      </w:r>
      <w:r w:rsidRPr="007011B9" w:rsidR="007011B9">
        <w:t>R</w:t>
      </w:r>
      <w:r w:rsidR="007011B9">
        <w:t xml:space="preserve">esearch </w:t>
      </w:r>
      <w:r w:rsidRPr="007011B9" w:rsidR="007011B9">
        <w:t>D</w:t>
      </w:r>
      <w:r w:rsidR="007011B9">
        <w:t xml:space="preserve">ata </w:t>
      </w:r>
      <w:r w:rsidRPr="007011B9" w:rsidR="007011B9">
        <w:t>C</w:t>
      </w:r>
      <w:r w:rsidR="007011B9">
        <w:t>enter (also known as the Chronic Conditions Warehouse, or CCW)</w:t>
      </w:r>
      <w:r w:rsidR="00F063FD">
        <w:t>, International Classification of Diseases – Tenth Addition (ICD-10) codes from CMS’ Medicare-Fee-For-Service (FFS) “final action” claims from institutional and non-institutional providers, and algorithms that leverage these data sources to identify beneficiaries who are likely in the population of interest</w:t>
      </w:r>
      <w:r w:rsidR="007011B9">
        <w:t xml:space="preserve">. </w:t>
      </w:r>
      <w:r>
        <w:t xml:space="preserve">The </w:t>
      </w:r>
      <w:r>
        <w:rPr>
          <w:i/>
        </w:rPr>
        <w:t>a priori</w:t>
      </w:r>
      <w:r>
        <w:t xml:space="preserve"> identification of beneficiaries likely to be in the </w:t>
      </w:r>
      <w:r w:rsidR="00C606C3">
        <w:t>population of</w:t>
      </w:r>
      <w:r>
        <w:t xml:space="preserve"> interest will enable CMS OMH to target </w:t>
      </w:r>
      <w:r w:rsidR="00541A96">
        <w:t xml:space="preserve">individual </w:t>
      </w:r>
      <w:r>
        <w:t xml:space="preserve">data collection efforts to the intended </w:t>
      </w:r>
      <w:r w:rsidR="00C606C3">
        <w:t>population and</w:t>
      </w:r>
      <w:r>
        <w:t xml:space="preserve"> thus </w:t>
      </w:r>
      <w:r w:rsidR="000E0F27">
        <w:t xml:space="preserve">ensure </w:t>
      </w:r>
      <w:r>
        <w:t>adequate representation in the sample. The alternative</w:t>
      </w:r>
      <w:r w:rsidR="000E0F27">
        <w:t xml:space="preserve"> approach–screening a</w:t>
      </w:r>
      <w:r>
        <w:t xml:space="preserve"> general population of beneficiaries in order to </w:t>
      </w:r>
      <w:r w:rsidR="00AC4CBD">
        <w:t>identify minority</w:t>
      </w:r>
      <w:r>
        <w:t xml:space="preserve"> population</w:t>
      </w:r>
      <w:r w:rsidR="00AC4CBD">
        <w:t xml:space="preserve">—would </w:t>
      </w:r>
      <w:r>
        <w:t>duplicate some existing data collection effort</w:t>
      </w:r>
      <w:r w:rsidR="00AC4CBD">
        <w:t>s</w:t>
      </w:r>
      <w:r>
        <w:t xml:space="preserve"> and is cost prohibitive.</w:t>
      </w:r>
      <w:r w:rsidR="00940A05">
        <w:t xml:space="preserve"> </w:t>
      </w:r>
    </w:p>
    <w:p w:rsidRPr="00E45058" w:rsidR="00BE37E3" w:rsidP="002D4D3A" w:rsidRDefault="00BE37E3" w14:paraId="2D4DF4B0" w14:textId="1923A6B6">
      <w:pPr>
        <w:pStyle w:val="BodyText"/>
      </w:pPr>
      <w:r w:rsidRPr="00E45058">
        <w:t xml:space="preserve">The goal of this </w:t>
      </w:r>
      <w:r w:rsidR="00541A96">
        <w:t xml:space="preserve">umbrella </w:t>
      </w:r>
      <w:r w:rsidRPr="00E45058">
        <w:t xml:space="preserve">data collection effort </w:t>
      </w:r>
      <w:r w:rsidR="007011B9">
        <w:t>is</w:t>
      </w:r>
      <w:r w:rsidRPr="00E45058" w:rsidR="007011B9">
        <w:t xml:space="preserve"> </w:t>
      </w:r>
      <w:r w:rsidRPr="00E45058">
        <w:t>to</w:t>
      </w:r>
      <w:r w:rsidR="007011B9">
        <w:t xml:space="preserve"> g</w:t>
      </w:r>
      <w:r w:rsidRPr="00E45058">
        <w:t xml:space="preserve">ather data </w:t>
      </w:r>
      <w:r w:rsidR="00541A96">
        <w:t xml:space="preserve">via separate surveys </w:t>
      </w:r>
      <w:r w:rsidRPr="00E45058">
        <w:t>on</w:t>
      </w:r>
      <w:r w:rsidR="00541A96">
        <w:t xml:space="preserve"> a variety of</w:t>
      </w:r>
      <w:r w:rsidRPr="00E45058">
        <w:t xml:space="preserve"> </w:t>
      </w:r>
      <w:r w:rsidR="00AC4CBD">
        <w:t>minority</w:t>
      </w:r>
      <w:r w:rsidRPr="00E45058" w:rsidR="00AC4CBD">
        <w:t xml:space="preserve"> Medicare beneficiaries</w:t>
      </w:r>
      <w:r w:rsidR="00AC4CBD">
        <w:t>’</w:t>
      </w:r>
      <w:r w:rsidR="00541A96">
        <w:t xml:space="preserve"> experiences. Topics and questions of interest may ask about beneficiaries’</w:t>
      </w:r>
      <w:r w:rsidR="00AC4CBD">
        <w:t xml:space="preserve"> </w:t>
      </w:r>
      <w:r w:rsidRPr="00D33285" w:rsidR="00A87AD9">
        <w:t>communication</w:t>
      </w:r>
      <w:r w:rsidR="00A87AD9">
        <w:t xml:space="preserve"> with medical professionals</w:t>
      </w:r>
      <w:r w:rsidRPr="00D33285" w:rsidR="00A87AD9">
        <w:t xml:space="preserve">, coordination of </w:t>
      </w:r>
      <w:r w:rsidR="00A87AD9">
        <w:t xml:space="preserve">health </w:t>
      </w:r>
      <w:r w:rsidRPr="00D33285" w:rsidR="00A87AD9">
        <w:t xml:space="preserve">care, experiences getting needed health care, </w:t>
      </w:r>
      <w:r w:rsidR="00A87AD9">
        <w:t xml:space="preserve">and </w:t>
      </w:r>
      <w:r w:rsidRPr="00D33285" w:rsidR="00A87AD9">
        <w:t xml:space="preserve">experiences with personal </w:t>
      </w:r>
      <w:r w:rsidR="00615CDD">
        <w:t xml:space="preserve">health care providers </w:t>
      </w:r>
      <w:r w:rsidRPr="00D33285" w:rsidR="00A87AD9">
        <w:t>and specialists</w:t>
      </w:r>
      <w:r w:rsidR="00541A96">
        <w:t xml:space="preserve">. CMS OMH will </w:t>
      </w:r>
      <w:r w:rsidR="002847B2">
        <w:t>compare</w:t>
      </w:r>
      <w:r w:rsidR="00541A96">
        <w:t xml:space="preserve"> survey data to</w:t>
      </w:r>
      <w:r w:rsidRPr="00E45058">
        <w:t xml:space="preserve"> benchmarks from the general population of Medicare beneficiaries</w:t>
      </w:r>
      <w:r w:rsidR="005E46C8">
        <w:t xml:space="preserve"> </w:t>
      </w:r>
      <w:r w:rsidR="002847B2">
        <w:t xml:space="preserve">while </w:t>
      </w:r>
      <w:r w:rsidR="005E46C8">
        <w:t xml:space="preserve">controlling for </w:t>
      </w:r>
      <w:r w:rsidR="002847B2">
        <w:t xml:space="preserve">population </w:t>
      </w:r>
      <w:r w:rsidR="005E46C8">
        <w:t>characteristics</w:t>
      </w:r>
      <w:r w:rsidR="002847B2">
        <w:t>,</w:t>
      </w:r>
      <w:r w:rsidR="005E46C8">
        <w:t xml:space="preserve"> </w:t>
      </w:r>
      <w:r w:rsidR="001D4F7C">
        <w:t>as appropriate</w:t>
      </w:r>
      <w:r w:rsidRPr="00E45058">
        <w:t>.</w:t>
      </w:r>
      <w:r w:rsidR="002847B2">
        <w:t xml:space="preserve"> </w:t>
      </w:r>
    </w:p>
    <w:p w:rsidR="00927D3E" w:rsidP="002D4D3A" w:rsidRDefault="00CC197E" w14:paraId="4D4DB1D3" w14:textId="645DE666">
      <w:pPr>
        <w:pStyle w:val="BodyText"/>
      </w:pPr>
      <w:r>
        <w:rPr>
          <w:bCs/>
          <w:iCs/>
        </w:rPr>
        <w:t xml:space="preserve">To achieve the goals of the </w:t>
      </w:r>
      <w:r w:rsidR="00927D3E">
        <w:rPr>
          <w:bCs/>
        </w:rPr>
        <w:t>MBECS</w:t>
      </w:r>
      <w:r w:rsidR="00754480">
        <w:rPr>
          <w:bCs/>
        </w:rPr>
        <w:t xml:space="preserve"> system</w:t>
      </w:r>
      <w:r w:rsidR="00A6105C">
        <w:rPr>
          <w:bCs/>
        </w:rPr>
        <w:t>,</w:t>
      </w:r>
      <w:r w:rsidR="00BE37E3">
        <w:t xml:space="preserve"> CMS OMH will </w:t>
      </w:r>
      <w:r w:rsidR="00754480">
        <w:t xml:space="preserve">identify Medicare beneficiaries in </w:t>
      </w:r>
      <w:r w:rsidR="0076309D">
        <w:t>priority</w:t>
      </w:r>
      <w:r w:rsidR="00754480">
        <w:t xml:space="preserve"> minority populations of interest </w:t>
      </w:r>
      <w:r w:rsidRPr="00E45058" w:rsidR="00754480">
        <w:t xml:space="preserve">through </w:t>
      </w:r>
      <w:r w:rsidR="00754480">
        <w:t xml:space="preserve">review of administrative </w:t>
      </w:r>
      <w:r w:rsidRPr="00E45058" w:rsidR="00754480">
        <w:t>data</w:t>
      </w:r>
      <w:r w:rsidR="00754480">
        <w:t xml:space="preserve"> and </w:t>
      </w:r>
      <w:r>
        <w:t xml:space="preserve">conduct data collection via a </w:t>
      </w:r>
      <w:r w:rsidR="00C235D3">
        <w:t xml:space="preserve">sequential </w:t>
      </w:r>
      <w:r w:rsidR="00BE37E3">
        <w:t>multi-mode (</w:t>
      </w:r>
      <w:r w:rsidR="00097866">
        <w:t xml:space="preserve">web, </w:t>
      </w:r>
      <w:r w:rsidR="005904D1">
        <w:t>mail</w:t>
      </w:r>
      <w:r w:rsidR="00097866">
        <w:t>,</w:t>
      </w:r>
      <w:r w:rsidR="005904D1">
        <w:t xml:space="preserve"> </w:t>
      </w:r>
      <w:r w:rsidR="00BE37E3">
        <w:t xml:space="preserve">and telephone) </w:t>
      </w:r>
      <w:r w:rsidR="008B5D8F">
        <w:t>survey</w:t>
      </w:r>
      <w:r w:rsidR="002847B2">
        <w:t xml:space="preserve"> that includes the module specific to one group of interest</w:t>
      </w:r>
      <w:r w:rsidRPr="00E45058" w:rsidR="00BE37E3">
        <w:t xml:space="preserve">. </w:t>
      </w:r>
      <w:r w:rsidR="00F5774C">
        <w:t xml:space="preserve">CMS OMH will conduct up to </w:t>
      </w:r>
      <w:r w:rsidR="00356D4B">
        <w:t xml:space="preserve">three </w:t>
      </w:r>
      <w:r w:rsidR="002847B2">
        <w:t>separate</w:t>
      </w:r>
      <w:r w:rsidR="00F5774C">
        <w:t xml:space="preserve"> MBECS surveys over the course of this 3-year clearance. </w:t>
      </w:r>
      <w:r w:rsidR="00927D3E">
        <w:t xml:space="preserve">The groups considered to be priority minority populations for CMS OMH </w:t>
      </w:r>
      <w:r w:rsidR="00CD2D6F">
        <w:t xml:space="preserve">are </w:t>
      </w:r>
      <w:r w:rsidRPr="00CD2D6F" w:rsidR="00CD2D6F">
        <w:t>Medicare populations that experience disproportionately high burdens of disease, worse quality of care, and barriers to accessing care. For CMS, these populations include</w:t>
      </w:r>
      <w:r w:rsidR="00B645B1">
        <w:t xml:space="preserve"> but are not limited to, </w:t>
      </w:r>
      <w:r w:rsidRPr="00CD2D6F" w:rsidR="00B645B1">
        <w:t xml:space="preserve">persons with </w:t>
      </w:r>
      <w:r w:rsidR="00B645B1">
        <w:t>intellectual</w:t>
      </w:r>
      <w:r w:rsidR="00E7435F">
        <w:t xml:space="preserve"> or developmental</w:t>
      </w:r>
      <w:r w:rsidR="00B645B1">
        <w:t xml:space="preserve"> </w:t>
      </w:r>
      <w:r w:rsidRPr="00CD2D6F" w:rsidR="00B645B1">
        <w:t>disabilities</w:t>
      </w:r>
      <w:r w:rsidR="00F063FD">
        <w:t>,</w:t>
      </w:r>
      <w:r w:rsidR="00B645B1">
        <w:t xml:space="preserve"> persons with mental illness</w:t>
      </w:r>
      <w:r w:rsidR="00F063FD">
        <w:t>,</w:t>
      </w:r>
      <w:r w:rsidR="00B645B1">
        <w:t xml:space="preserve"> or </w:t>
      </w:r>
      <w:r w:rsidR="00F063FD">
        <w:t xml:space="preserve">persons with </w:t>
      </w:r>
      <w:r w:rsidR="00B645B1">
        <w:t>substance abuse disorders</w:t>
      </w:r>
      <w:r w:rsidR="00F063FD">
        <w:t>.</w:t>
      </w:r>
      <w:r w:rsidR="00CD2D6F">
        <w:t xml:space="preserve"> Th</w:t>
      </w:r>
      <w:r w:rsidR="00927D3E">
        <w:t>us</w:t>
      </w:r>
      <w:r w:rsidR="00CD2D6F">
        <w:t>,</w:t>
      </w:r>
      <w:r w:rsidR="00927D3E">
        <w:t xml:space="preserve"> </w:t>
      </w:r>
      <w:r w:rsidR="00AC4CBD">
        <w:t>candidates for</w:t>
      </w:r>
      <w:r w:rsidR="00927D3E">
        <w:t xml:space="preserve"> </w:t>
      </w:r>
      <w:r w:rsidR="00AC4CBD">
        <w:t>survey through</w:t>
      </w:r>
      <w:r w:rsidR="00927D3E">
        <w:t xml:space="preserve"> the MBECS </w:t>
      </w:r>
      <w:r w:rsidR="002847B2">
        <w:t xml:space="preserve">umbrella </w:t>
      </w:r>
      <w:r w:rsidR="00AC4CBD">
        <w:t>s</w:t>
      </w:r>
      <w:r w:rsidR="00927D3E">
        <w:t>ystem include beneficiaries who</w:t>
      </w:r>
      <w:r w:rsidR="00674CB4">
        <w:t xml:space="preserve"> are</w:t>
      </w:r>
      <w:r w:rsidR="00927D3E">
        <w:t>:</w:t>
      </w:r>
    </w:p>
    <w:p w:rsidRPr="00A21201" w:rsidR="00F063FD" w:rsidP="00A21201" w:rsidRDefault="002847B2" w14:paraId="7A2481E5" w14:textId="5F4A230A">
      <w:pPr>
        <w:pStyle w:val="BulletLevel1"/>
      </w:pPr>
      <w:r>
        <w:t>diagnos</w:t>
      </w:r>
      <w:r w:rsidRPr="00A21201">
        <w:t xml:space="preserve">ed </w:t>
      </w:r>
      <w:r w:rsidRPr="00A21201" w:rsidR="00F063FD">
        <w:t xml:space="preserve">with severe </w:t>
      </w:r>
      <w:r w:rsidRPr="00A21201">
        <w:t xml:space="preserve">mental illness </w:t>
      </w:r>
      <w:r w:rsidRPr="00A21201" w:rsidR="00F063FD">
        <w:t>and/</w:t>
      </w:r>
      <w:r w:rsidRPr="00A21201">
        <w:t xml:space="preserve">or </w:t>
      </w:r>
      <w:r w:rsidRPr="00A21201" w:rsidR="00F063FD">
        <w:t>intellectual</w:t>
      </w:r>
      <w:r w:rsidRPr="00A21201" w:rsidR="00356D4B">
        <w:t xml:space="preserve"> or developmental</w:t>
      </w:r>
      <w:r w:rsidRPr="00A21201" w:rsidR="00F063FD">
        <w:t xml:space="preserve"> disability </w:t>
      </w:r>
    </w:p>
    <w:p w:rsidRPr="002847B2" w:rsidR="002847B2" w:rsidP="00A21201" w:rsidRDefault="00F063FD" w14:paraId="010F4CB1" w14:textId="17C046E5">
      <w:pPr>
        <w:pStyle w:val="BulletLevel1"/>
      </w:pPr>
      <w:r w:rsidRPr="00A21201">
        <w:t>diagnosed wit</w:t>
      </w:r>
      <w:r>
        <w:t xml:space="preserve">h </w:t>
      </w:r>
      <w:r w:rsidR="002847B2">
        <w:t>substance use disorder</w:t>
      </w:r>
    </w:p>
    <w:p w:rsidR="00F063FD" w:rsidP="002D4D3A" w:rsidRDefault="009B1D75" w14:paraId="29D489F9" w14:textId="3C37D360">
      <w:pPr>
        <w:pStyle w:val="BodyText"/>
      </w:pPr>
      <w:r>
        <w:t xml:space="preserve">Subpopulations of interest within these two key groups include Hispanic, Non-Hispanic Black or African American, and </w:t>
      </w:r>
      <w:r w:rsidRPr="00BD52A9">
        <w:t xml:space="preserve">Non-Hispanic Other, including White beneficiaries. </w:t>
      </w:r>
      <w:r w:rsidRPr="00BD52A9" w:rsidR="00F063FD">
        <w:t xml:space="preserve">Additional demographic comparisons </w:t>
      </w:r>
      <w:r w:rsidRPr="00BD52A9" w:rsidR="006628A5">
        <w:t>(e.g., rural vs. urban, age group comparison, race/ethnicity comparisons</w:t>
      </w:r>
      <w:r w:rsidRPr="00BD52A9" w:rsidR="00F063FD">
        <w:t>) can be made to benchmark estimates for the population of interest</w:t>
      </w:r>
      <w:r w:rsidRPr="00BD52A9">
        <w:t>,</w:t>
      </w:r>
      <w:r w:rsidRPr="00BD52A9" w:rsidR="00F063FD">
        <w:t xml:space="preserve"> where possible.</w:t>
      </w:r>
    </w:p>
    <w:p w:rsidR="00BE37E3" w:rsidP="002D4D3A" w:rsidRDefault="00D95D70" w14:paraId="0E93FC58" w14:textId="69295F15">
      <w:pPr>
        <w:pStyle w:val="BodyText"/>
      </w:pPr>
      <w:r w:rsidRPr="00103642">
        <w:t xml:space="preserve">CAHPS surveys ask </w:t>
      </w:r>
      <w:r w:rsidR="00450F90">
        <w:t>health</w:t>
      </w:r>
      <w:r w:rsidR="00910788">
        <w:t xml:space="preserve"> </w:t>
      </w:r>
      <w:r w:rsidR="00450F90">
        <w:t xml:space="preserve">care </w:t>
      </w:r>
      <w:r w:rsidRPr="00103642">
        <w:t>consumers and patients to report on and evaluate their experiences with health care. These surveys</w:t>
      </w:r>
      <w:r w:rsidR="001B27FB">
        <w:t xml:space="preserve">, developed by the Agency for Healthcare Research and </w:t>
      </w:r>
      <w:r w:rsidR="004F1232">
        <w:t xml:space="preserve">Quality </w:t>
      </w:r>
      <w:r w:rsidR="001B27FB">
        <w:t>(AHRQ),</w:t>
      </w:r>
      <w:r w:rsidRPr="00103642">
        <w:t xml:space="preserve"> cover topics that are important to </w:t>
      </w:r>
      <w:r w:rsidR="00450F90">
        <w:t>health</w:t>
      </w:r>
      <w:r w:rsidR="00910788">
        <w:t xml:space="preserve"> </w:t>
      </w:r>
      <w:r w:rsidR="00450F90">
        <w:t xml:space="preserve">care </w:t>
      </w:r>
      <w:r w:rsidRPr="00103642">
        <w:t xml:space="preserve">consumers </w:t>
      </w:r>
      <w:r w:rsidR="00450F90">
        <w:t xml:space="preserve">and patients </w:t>
      </w:r>
      <w:r w:rsidRPr="00103642">
        <w:t xml:space="preserve">and focus on aspects of quality that </w:t>
      </w:r>
      <w:r w:rsidR="00450F90">
        <w:t>they</w:t>
      </w:r>
      <w:r w:rsidRPr="00103642">
        <w:t xml:space="preserve"> are best qualified to assess, such as the communication skills of provide</w:t>
      </w:r>
      <w:r w:rsidR="00450F90">
        <w:t>rs and ease of access to health</w:t>
      </w:r>
      <w:r w:rsidR="00910788">
        <w:t xml:space="preserve"> </w:t>
      </w:r>
      <w:r w:rsidRPr="00103642">
        <w:t xml:space="preserve">care services. </w:t>
      </w:r>
      <w:r>
        <w:t>T</w:t>
      </w:r>
      <w:r w:rsidR="00450F90">
        <w:t xml:space="preserve">he </w:t>
      </w:r>
      <w:r>
        <w:t>M</w:t>
      </w:r>
      <w:r w:rsidRPr="00101FF1">
        <w:t xml:space="preserve">BECS </w:t>
      </w:r>
      <w:r w:rsidR="00754480">
        <w:t xml:space="preserve">core questionnaire </w:t>
      </w:r>
      <w:r w:rsidR="00910788">
        <w:t>(see Attachment A) administered to every group of interest includes</w:t>
      </w:r>
      <w:r w:rsidRPr="00101FF1" w:rsidR="00910788">
        <w:t xml:space="preserve"> </w:t>
      </w:r>
      <w:r>
        <w:t>items from the</w:t>
      </w:r>
      <w:r w:rsidRPr="00101FF1">
        <w:t xml:space="preserve"> </w:t>
      </w:r>
      <w:r>
        <w:t xml:space="preserve">2016 </w:t>
      </w:r>
      <w:r w:rsidR="00927D3E">
        <w:t>(</w:t>
      </w:r>
      <w:r w:rsidR="00C35650">
        <w:t xml:space="preserve">or </w:t>
      </w:r>
      <w:r w:rsidR="00927D3E">
        <w:t xml:space="preserve">most current) </w:t>
      </w:r>
      <w:r w:rsidRPr="00101FF1">
        <w:t xml:space="preserve">CAHPS </w:t>
      </w:r>
      <w:r>
        <w:t xml:space="preserve">survey of the Medicare Fee-for-Service population (FFS CAHPS), the 2016 </w:t>
      </w:r>
      <w:r w:rsidR="00927D3E">
        <w:t xml:space="preserve">(or </w:t>
      </w:r>
      <w:r w:rsidR="00927D3E">
        <w:lastRenderedPageBreak/>
        <w:t xml:space="preserve">most current) </w:t>
      </w:r>
      <w:r>
        <w:t>Medicare Advantage</w:t>
      </w:r>
      <w:r w:rsidR="00F17922">
        <w:t xml:space="preserve"> and Prescription Drug Plan</w:t>
      </w:r>
      <w:r>
        <w:t xml:space="preserve"> CAHPS </w:t>
      </w:r>
      <w:r w:rsidR="00F17922">
        <w:t xml:space="preserve">(MA CAHPS) </w:t>
      </w:r>
      <w:r w:rsidRPr="00101FF1">
        <w:t>questionnaire</w:t>
      </w:r>
      <w:r>
        <w:t xml:space="preserve">, and the </w:t>
      </w:r>
      <w:r w:rsidR="00C35650">
        <w:t>2014</w:t>
      </w:r>
      <w:r w:rsidR="00F17922">
        <w:t>-2015</w:t>
      </w:r>
      <w:r w:rsidR="00C35650">
        <w:t xml:space="preserve"> </w:t>
      </w:r>
      <w:r>
        <w:t>Nation</w:t>
      </w:r>
      <w:r w:rsidR="00097866">
        <w:t>wide</w:t>
      </w:r>
      <w:r>
        <w:t xml:space="preserve"> Adult Medicaid CAHPS </w:t>
      </w:r>
      <w:r w:rsidR="00F17922">
        <w:t xml:space="preserve">(NAM CAHPS) </w:t>
      </w:r>
      <w:r>
        <w:t>questionnaire. S</w:t>
      </w:r>
      <w:r w:rsidR="001B27FB">
        <w:t xml:space="preserve">ome demographic items </w:t>
      </w:r>
      <w:r w:rsidR="00927D3E">
        <w:t>are included in order</w:t>
      </w:r>
      <w:r>
        <w:t xml:space="preserve"> to align with HHS implementation guidance related to </w:t>
      </w:r>
      <w:r w:rsidR="00674CB4">
        <w:t xml:space="preserve">the </w:t>
      </w:r>
      <w:r w:rsidRPr="00674CB4" w:rsidR="00674CB4">
        <w:t xml:space="preserve">Public Health Service Act </w:t>
      </w:r>
      <w:r w:rsidR="00674CB4">
        <w:t>(</w:t>
      </w:r>
      <w:r w:rsidRPr="00674CB4" w:rsidR="00674CB4">
        <w:t xml:space="preserve">42 </w:t>
      </w:r>
      <w:r w:rsidR="00674CB4">
        <w:t>U. S. C.)</w:t>
      </w:r>
      <w:r>
        <w:t xml:space="preserve">. Specifically, the </w:t>
      </w:r>
      <w:r w:rsidR="00C606C3">
        <w:t>demographic</w:t>
      </w:r>
      <w:r>
        <w:t xml:space="preserve"> </w:t>
      </w:r>
      <w:r w:rsidR="00674CB4">
        <w:t xml:space="preserve">items </w:t>
      </w:r>
      <w:r w:rsidR="00927D3E">
        <w:t>were</w:t>
      </w:r>
      <w:r>
        <w:t xml:space="preserve"> expanded to ali</w:t>
      </w:r>
      <w:r w:rsidR="00927D3E">
        <w:t>gn with HHS guidance, and items</w:t>
      </w:r>
      <w:r>
        <w:t xml:space="preserve"> related to disability and </w:t>
      </w:r>
      <w:r w:rsidR="00C75626">
        <w:t xml:space="preserve">limited </w:t>
      </w:r>
      <w:r>
        <w:t xml:space="preserve">English </w:t>
      </w:r>
      <w:r w:rsidR="00C75626">
        <w:t>p</w:t>
      </w:r>
      <w:r>
        <w:t>roficiency</w:t>
      </w:r>
      <w:r w:rsidR="00927D3E">
        <w:t xml:space="preserve"> are included</w:t>
      </w:r>
      <w:r>
        <w:t xml:space="preserve">. </w:t>
      </w:r>
      <w:r w:rsidR="00910788">
        <w:t xml:space="preserve">As the CAHPS questionnaires noted above are updated, CMS OMH will update the MBECS core questions, using CAHPS as a benchmark. </w:t>
      </w:r>
      <w:r w:rsidRPr="00101FF1">
        <w:t xml:space="preserve">The </w:t>
      </w:r>
      <w:r>
        <w:t>data collecti</w:t>
      </w:r>
      <w:r w:rsidR="006A710C">
        <w:t xml:space="preserve">on activities proposed for the </w:t>
      </w:r>
      <w:r>
        <w:t>M</w:t>
      </w:r>
      <w:r w:rsidRPr="00101FF1">
        <w:t xml:space="preserve">BECS </w:t>
      </w:r>
      <w:r w:rsidR="00910788">
        <w:t xml:space="preserve">umbrella </w:t>
      </w:r>
      <w:r w:rsidR="00664DCE">
        <w:t>system</w:t>
      </w:r>
      <w:r w:rsidRPr="00101FF1" w:rsidR="00664DCE">
        <w:t xml:space="preserve"> </w:t>
      </w:r>
      <w:r w:rsidR="00910788">
        <w:t xml:space="preserve">and individual surveys </w:t>
      </w:r>
      <w:r>
        <w:t xml:space="preserve">will align closely with </w:t>
      </w:r>
      <w:r w:rsidR="00C75626">
        <w:t xml:space="preserve">CAHPS </w:t>
      </w:r>
      <w:r>
        <w:t>methodology</w:t>
      </w:r>
      <w:r w:rsidR="00C75626">
        <w:t>,</w:t>
      </w:r>
      <w:r>
        <w:t xml:space="preserve"> using </w:t>
      </w:r>
      <w:r w:rsidRPr="00101FF1">
        <w:t xml:space="preserve">a </w:t>
      </w:r>
      <w:r w:rsidR="00C235D3">
        <w:t xml:space="preserve">sequential </w:t>
      </w:r>
      <w:r w:rsidRPr="00101FF1">
        <w:t>multi-mode (</w:t>
      </w:r>
      <w:r w:rsidR="00450F90">
        <w:t xml:space="preserve">web, </w:t>
      </w:r>
      <w:r w:rsidRPr="00101FF1">
        <w:t>mail</w:t>
      </w:r>
      <w:r w:rsidR="00450F90">
        <w:t>,</w:t>
      </w:r>
      <w:r w:rsidRPr="00101FF1">
        <w:t xml:space="preserve"> and telephone) </w:t>
      </w:r>
      <w:r>
        <w:t xml:space="preserve">approach. </w:t>
      </w:r>
      <w:r w:rsidR="00910788">
        <w:t xml:space="preserve">Data analysis of each individual survey will include comparison of MBECS survey estimates </w:t>
      </w:r>
      <w:r w:rsidR="0080664C">
        <w:t xml:space="preserve">against FFA, MA, and NAM CAHPS </w:t>
      </w:r>
      <w:r w:rsidR="00AE2990">
        <w:t>benchmarks</w:t>
      </w:r>
      <w:r w:rsidR="00910788">
        <w:t xml:space="preserve"> and/or other source surveys for the population-specific module questions. </w:t>
      </w:r>
    </w:p>
    <w:p w:rsidR="005C37B1" w:rsidP="002D4D3A" w:rsidRDefault="005C37B1" w14:paraId="02666774" w14:textId="5EB81062">
      <w:pPr>
        <w:pStyle w:val="BodyText"/>
      </w:pPr>
      <w:r w:rsidRPr="00E45058">
        <w:t xml:space="preserve">Data gathered </w:t>
      </w:r>
      <w:r>
        <w:t>through the MBECS</w:t>
      </w:r>
      <w:r w:rsidRPr="00E45058">
        <w:t xml:space="preserve"> </w:t>
      </w:r>
      <w:r>
        <w:t xml:space="preserve">system </w:t>
      </w:r>
      <w:r w:rsidRPr="00E45058">
        <w:t xml:space="preserve">will allow CMS OMH to understand and measure differences in the experiences of </w:t>
      </w:r>
      <w:r>
        <w:t>minority</w:t>
      </w:r>
      <w:r w:rsidRPr="00E45058">
        <w:t xml:space="preserve"> Medicare beneficiaries compared with those of the general Medicare population</w:t>
      </w:r>
      <w:r>
        <w:t>.</w:t>
      </w:r>
      <w:r w:rsidR="002847B2">
        <w:t xml:space="preserve"> This data will inform CMS OMH policies, priorities, and </w:t>
      </w:r>
      <w:r w:rsidR="00910788">
        <w:t xml:space="preserve">future </w:t>
      </w:r>
      <w:r w:rsidR="00C606C3">
        <w:t>initiatives</w:t>
      </w:r>
      <w:r w:rsidR="002847B2">
        <w:t xml:space="preserve">, </w:t>
      </w:r>
      <w:r w:rsidR="00910788">
        <w:t xml:space="preserve">as the agency strives to reduce health disparities. </w:t>
      </w:r>
    </w:p>
    <w:p w:rsidR="00C62C31" w:rsidP="002D4D3A" w:rsidRDefault="00BE37E3" w14:paraId="0C2EA8B3" w14:textId="019017C8">
      <w:pPr>
        <w:pStyle w:val="BodyText"/>
      </w:pPr>
      <w:r w:rsidRPr="00527BBD">
        <w:t xml:space="preserve">This study is being conducted by </w:t>
      </w:r>
      <w:r>
        <w:t>CMS OMH</w:t>
      </w:r>
      <w:r w:rsidRPr="00527BBD">
        <w:t xml:space="preserve"> through its contractor, </w:t>
      </w:r>
      <w:r>
        <w:t>NORC</w:t>
      </w:r>
      <w:r w:rsidR="00CC197E">
        <w:t xml:space="preserve"> at the University of Chicago</w:t>
      </w:r>
      <w:r w:rsidRPr="00527BBD">
        <w:t xml:space="preserve">, pursuant to </w:t>
      </w:r>
      <w:r>
        <w:t>CMS</w:t>
      </w:r>
      <w:r w:rsidR="00FB5239">
        <w:t>’</w:t>
      </w:r>
      <w:r>
        <w:t xml:space="preserve"> </w:t>
      </w:r>
      <w:r w:rsidR="00C62C31">
        <w:t xml:space="preserve">program authority under Section 3101 of the Public Health Service Act (PHSA) to collect, maintain, and issue defined reports on demographic data as deemed appropriate regarding health disparities. </w:t>
      </w:r>
    </w:p>
    <w:p w:rsidRPr="00146B3B" w:rsidR="00BE37E3" w:rsidP="00A21201" w:rsidRDefault="00BE37E3" w14:paraId="6CF82D76" w14:textId="4C2A0D51">
      <w:pPr>
        <w:pStyle w:val="Heading2"/>
      </w:pPr>
      <w:bookmarkStart w:name="_Toc151782177" w:id="8"/>
      <w:bookmarkStart w:name="_Toc158526217" w:id="9"/>
      <w:bookmarkStart w:name="_Toc68611933" w:id="10"/>
      <w:r w:rsidRPr="00983636">
        <w:t>2. Purpose and Use of Information</w:t>
      </w:r>
      <w:bookmarkEnd w:id="8"/>
      <w:bookmarkEnd w:id="9"/>
      <w:bookmarkEnd w:id="10"/>
    </w:p>
    <w:p w:rsidR="00BE37E3" w:rsidP="002D4D3A" w:rsidRDefault="004F1232" w14:paraId="07F506CD" w14:textId="4F868B43">
      <w:pPr>
        <w:pStyle w:val="BodyText"/>
      </w:pPr>
      <w:r>
        <w:t>The MBECS system is design</w:t>
      </w:r>
      <w:r w:rsidR="00132C6B">
        <w:t>ed</w:t>
      </w:r>
      <w:r>
        <w:t xml:space="preserve"> to conduct </w:t>
      </w:r>
      <w:r w:rsidR="0080664C">
        <w:t xml:space="preserve">population specific surveys that will be administered to the group of interest, fielded one time. This means that over the three-year period, </w:t>
      </w:r>
      <w:r w:rsidR="00356D4B">
        <w:t xml:space="preserve">three </w:t>
      </w:r>
      <w:r w:rsidR="0080664C">
        <w:t>individual surveys will be administered.</w:t>
      </w:r>
      <w:r w:rsidR="005C69E7">
        <w:t xml:space="preserve"> </w:t>
      </w:r>
      <w:r w:rsidR="0080664C">
        <w:t xml:space="preserve">This will allow </w:t>
      </w:r>
      <w:r w:rsidR="005C69E7">
        <w:t>CMS OMH to respond quickly to the data needs of stak</w:t>
      </w:r>
      <w:r w:rsidR="00132C6B">
        <w:t>e</w:t>
      </w:r>
      <w:r w:rsidR="005C69E7">
        <w:t>holders</w:t>
      </w:r>
      <w:r w:rsidR="00132C6B">
        <w:t xml:space="preserve"> with interests in these underrepresented groups.</w:t>
      </w:r>
      <w:r w:rsidR="0074342D">
        <w:t xml:space="preserve"> </w:t>
      </w:r>
      <w:r w:rsidR="00BE37E3">
        <w:t xml:space="preserve">Data collected through the MBECS </w:t>
      </w:r>
      <w:r w:rsidR="00664DCE">
        <w:t xml:space="preserve">system </w:t>
      </w:r>
      <w:r w:rsidR="00BE37E3">
        <w:t>will be used to better understand—and thus serve the needs of—Medicare beneficiaries</w:t>
      </w:r>
      <w:r w:rsidR="00664DCE">
        <w:t xml:space="preserve"> in minority populations</w:t>
      </w:r>
      <w:r w:rsidR="00BE37E3">
        <w:t>.</w:t>
      </w:r>
      <w:r w:rsidR="00940A05">
        <w:t xml:space="preserve"> </w:t>
      </w:r>
      <w:r w:rsidR="00D33285">
        <w:t xml:space="preserve">The </w:t>
      </w:r>
      <w:r w:rsidR="00664DCE">
        <w:t xml:space="preserve">core questionnaire </w:t>
      </w:r>
      <w:r w:rsidR="00D33285">
        <w:t xml:space="preserve">will collect information </w:t>
      </w:r>
      <w:r w:rsidR="00484875">
        <w:t xml:space="preserve">on </w:t>
      </w:r>
      <w:r w:rsidRPr="00D33285" w:rsidR="00D33285">
        <w:t>communication</w:t>
      </w:r>
      <w:r w:rsidR="00D33285">
        <w:t xml:space="preserve"> with medical professionals</w:t>
      </w:r>
      <w:r w:rsidRPr="00D33285" w:rsidR="00D33285">
        <w:t xml:space="preserve">, coordination of </w:t>
      </w:r>
      <w:r w:rsidR="00D33285">
        <w:t xml:space="preserve">health </w:t>
      </w:r>
      <w:r w:rsidRPr="00D33285" w:rsidR="00D33285">
        <w:t xml:space="preserve">care, experiences getting needed health care, experiences with personal </w:t>
      </w:r>
      <w:r w:rsidR="00615CDD">
        <w:t xml:space="preserve">health care </w:t>
      </w:r>
      <w:r w:rsidR="00F3466C">
        <w:t>providers</w:t>
      </w:r>
      <w:r w:rsidR="00615CDD">
        <w:t xml:space="preserve"> </w:t>
      </w:r>
      <w:r w:rsidRPr="00D33285" w:rsidR="00D33285">
        <w:t xml:space="preserve">and specialists, </w:t>
      </w:r>
      <w:r w:rsidR="00D95D70">
        <w:t>and key demographics</w:t>
      </w:r>
      <w:r w:rsidRPr="00D33285" w:rsidR="00D33285">
        <w:t xml:space="preserve">. </w:t>
      </w:r>
      <w:r w:rsidR="00BE37E3">
        <w:t xml:space="preserve">Data will be compared to </w:t>
      </w:r>
      <w:r w:rsidR="00C43B5B">
        <w:t xml:space="preserve">benchmarks from the </w:t>
      </w:r>
      <w:r w:rsidR="00A6105C">
        <w:t>FFS CAHPS</w:t>
      </w:r>
      <w:r w:rsidR="00C43B5B">
        <w:t xml:space="preserve">, </w:t>
      </w:r>
      <w:r w:rsidR="00A6105C">
        <w:t>MA CAHPS</w:t>
      </w:r>
      <w:r w:rsidR="00C43B5B">
        <w:t xml:space="preserve">, and </w:t>
      </w:r>
      <w:r w:rsidR="00A6105C">
        <w:t>NAM</w:t>
      </w:r>
      <w:r w:rsidR="00146B3B">
        <w:t xml:space="preserve"> CAHPS surveys</w:t>
      </w:r>
      <w:r w:rsidR="00484875">
        <w:t xml:space="preserve">. </w:t>
      </w:r>
      <w:r w:rsidR="00664DCE">
        <w:t xml:space="preserve">The population-specific questionnaire module </w:t>
      </w:r>
      <w:r w:rsidR="00AE2990">
        <w:t xml:space="preserve">described and submitted via a specific collection request </w:t>
      </w:r>
      <w:r w:rsidR="00664DCE">
        <w:t xml:space="preserve">will collect information about issues most relevant for </w:t>
      </w:r>
      <w:r w:rsidR="00AE2990">
        <w:t xml:space="preserve">that </w:t>
      </w:r>
      <w:r w:rsidR="00664DCE">
        <w:t>particular group</w:t>
      </w:r>
      <w:r w:rsidR="009B1D75">
        <w:t xml:space="preserve"> of interest.</w:t>
      </w:r>
      <w:r w:rsidR="00664DCE">
        <w:t xml:space="preserve">  </w:t>
      </w:r>
    </w:p>
    <w:p w:rsidRPr="00DE69BF" w:rsidR="00BE37E3" w:rsidP="002D4D3A" w:rsidRDefault="00AE2990" w14:paraId="5E128E8F" w14:textId="58655219">
      <w:pPr>
        <w:pStyle w:val="BodyText"/>
      </w:pPr>
      <w:r>
        <w:t xml:space="preserve">Using CMS administrative data and flags to identify minority populations of interest for each of the three surveys </w:t>
      </w:r>
      <w:r w:rsidR="00BE37E3">
        <w:t xml:space="preserve">will </w:t>
      </w:r>
      <w:r w:rsidR="00664DCE">
        <w:t>also</w:t>
      </w:r>
      <w:r w:rsidR="00BE37E3">
        <w:t xml:space="preserve"> serve as a critical validation step of this method for identifying difficult-to-study population</w:t>
      </w:r>
      <w:r w:rsidR="00664DCE">
        <w:t>s</w:t>
      </w:r>
      <w:r w:rsidR="00BE37E3">
        <w:t>, thus making it easier to study beneficiaries</w:t>
      </w:r>
      <w:r w:rsidR="00664DCE">
        <w:t xml:space="preserve"> in these groups</w:t>
      </w:r>
      <w:r w:rsidR="00BE37E3">
        <w:t xml:space="preserve"> in the future.</w:t>
      </w:r>
    </w:p>
    <w:p w:rsidRPr="00983636" w:rsidR="00BE37E3" w:rsidP="00A21201" w:rsidRDefault="00BE37E3" w14:paraId="08F3E49C" w14:textId="77777777">
      <w:pPr>
        <w:pStyle w:val="Heading2"/>
      </w:pPr>
      <w:bookmarkStart w:name="_Toc151782178" w:id="11"/>
      <w:bookmarkStart w:name="_Toc158526218" w:id="12"/>
      <w:bookmarkStart w:name="_Toc68611934" w:id="13"/>
      <w:r w:rsidRPr="00983636">
        <w:t>3. Use of Improved Information Technology</w:t>
      </w:r>
      <w:bookmarkEnd w:id="11"/>
      <w:bookmarkEnd w:id="12"/>
      <w:bookmarkEnd w:id="13"/>
    </w:p>
    <w:p w:rsidR="00F97FF9" w:rsidP="002D4D3A" w:rsidRDefault="00DD1CDA" w14:paraId="1F2F6D5B" w14:textId="6DD8EEF4">
      <w:pPr>
        <w:pStyle w:val="BodyText"/>
      </w:pPr>
      <w:r>
        <w:t>Survey respondents</w:t>
      </w:r>
      <w:r w:rsidR="00FB5239">
        <w:t xml:space="preserve"> wil</w:t>
      </w:r>
      <w:r w:rsidR="00EE27A1">
        <w:t>l</w:t>
      </w:r>
      <w:r w:rsidR="00FB5239">
        <w:t xml:space="preserve"> have the opportunity to res</w:t>
      </w:r>
      <w:r w:rsidR="00377A1D">
        <w:t>p</w:t>
      </w:r>
      <w:r w:rsidR="00FB5239">
        <w:t xml:space="preserve">ond to </w:t>
      </w:r>
      <w:r w:rsidR="00623085">
        <w:t>an</w:t>
      </w:r>
      <w:r w:rsidR="00FB5239">
        <w:t xml:space="preserve"> MBECS</w:t>
      </w:r>
      <w:r w:rsidR="00623085">
        <w:t xml:space="preserve"> survey</w:t>
      </w:r>
      <w:r w:rsidR="00FB5239">
        <w:t xml:space="preserve"> via </w:t>
      </w:r>
      <w:r w:rsidR="00EE27A1">
        <w:t>a self-administered</w:t>
      </w:r>
      <w:r w:rsidR="00FB5239">
        <w:t xml:space="preserve"> web</w:t>
      </w:r>
      <w:r w:rsidR="00EE27A1">
        <w:t xml:space="preserve">-based survey (also called computer-assisted web interview or CAWI). CAWI </w:t>
      </w:r>
      <w:r w:rsidR="00EE27A1">
        <w:lastRenderedPageBreak/>
        <w:t>technology minimizes respondent burden by 1) automatically providing text fills within questions and handling skip patterns based on responses to each question</w:t>
      </w:r>
      <w:r w:rsidR="0051153B">
        <w:t>;</w:t>
      </w:r>
      <w:r w:rsidR="00EE27A1">
        <w:t xml:space="preserve"> 2) allowing respondents to complete the survey at a convenient time</w:t>
      </w:r>
      <w:r w:rsidR="0051153B">
        <w:t>;</w:t>
      </w:r>
      <w:r w:rsidR="00EE27A1">
        <w:t xml:space="preserve"> 3) allowing respondents to stop and re-enter the survey if needed</w:t>
      </w:r>
      <w:r w:rsidR="0051153B">
        <w:t>;</w:t>
      </w:r>
      <w:r w:rsidR="00EE27A1">
        <w:t xml:space="preserve"> and 4) capturing data in real-time</w:t>
      </w:r>
      <w:r w:rsidR="00A6105C">
        <w:t>, thereby</w:t>
      </w:r>
      <w:r w:rsidR="00EE27A1">
        <w:t xml:space="preserve"> eliminating the need for manual data entry.</w:t>
      </w:r>
      <w:r w:rsidR="00EE27A1">
        <w:br/>
      </w:r>
      <w:r w:rsidR="00EE27A1">
        <w:br/>
      </w:r>
      <w:r w:rsidR="00E95E30">
        <w:t xml:space="preserve">For non-responders to the initial web survey, </w:t>
      </w:r>
      <w:r w:rsidR="00C606C3">
        <w:t>beneficiaries</w:t>
      </w:r>
      <w:r w:rsidR="00E95E30">
        <w:t xml:space="preserve"> will receive a </w:t>
      </w:r>
      <w:r w:rsidR="00F97FF9">
        <w:t>mailed paper self-administered questionnaire (SAQ)</w:t>
      </w:r>
      <w:r w:rsidR="00E95E30">
        <w:t>. Beneficiaries who do not complete either the self-administered web survey or the SAQ</w:t>
      </w:r>
      <w:r w:rsidR="00F97FF9">
        <w:t xml:space="preserve"> will be called to attempt to </w:t>
      </w:r>
      <w:r w:rsidR="004A004D">
        <w:t>complete the questionnaire</w:t>
      </w:r>
      <w:r w:rsidR="00F97FF9">
        <w:t xml:space="preserve"> via telephone</w:t>
      </w:r>
      <w:r w:rsidR="004A004D">
        <w:t xml:space="preserve"> with a trained telephone interviewer</w:t>
      </w:r>
      <w:r w:rsidR="00F97FF9">
        <w:t xml:space="preserve">. </w:t>
      </w:r>
      <w:r w:rsidR="009502EA">
        <w:t xml:space="preserve">Further, if a respondent </w:t>
      </w:r>
      <w:r w:rsidR="009B1D75">
        <w:t>does not wish to complete the survey online or via the</w:t>
      </w:r>
      <w:r w:rsidR="009502EA">
        <w:t xml:space="preserve"> paper SAQ, he/she can call a toll-free line and complete the survey via telephone.</w:t>
      </w:r>
      <w:r w:rsidR="004A004D">
        <w:t xml:space="preserve"> </w:t>
      </w:r>
      <w:r w:rsidR="00EE27A1">
        <w:t>Similar to CAWI technology, c</w:t>
      </w:r>
      <w:r w:rsidR="00F97FF9">
        <w:t>omputer-assi</w:t>
      </w:r>
      <w:r w:rsidR="004A004D">
        <w:t>s</w:t>
      </w:r>
      <w:r w:rsidR="00F97FF9">
        <w:t xml:space="preserve">ted telephone interviewing (CATI) technology </w:t>
      </w:r>
      <w:r w:rsidR="009502EA">
        <w:t xml:space="preserve">helps </w:t>
      </w:r>
      <w:r w:rsidR="00F97FF9">
        <w:t xml:space="preserve">minimize respondent </w:t>
      </w:r>
      <w:r w:rsidR="00910C4B">
        <w:t xml:space="preserve">burden </w:t>
      </w:r>
      <w:r w:rsidR="009502EA">
        <w:t>with</w:t>
      </w:r>
      <w:r w:rsidR="00F97FF9">
        <w:t xml:space="preserve"> built-in functionality </w:t>
      </w:r>
      <w:r w:rsidR="0051153B">
        <w:t xml:space="preserve">that moves </w:t>
      </w:r>
      <w:r w:rsidR="009502EA">
        <w:t xml:space="preserve">through skip patterns </w:t>
      </w:r>
      <w:r w:rsidR="0051153B">
        <w:t>seamlessly</w:t>
      </w:r>
      <w:r w:rsidR="009502EA">
        <w:t xml:space="preserve"> to increase efficiency. CATI tailors the sequence of the questions </w:t>
      </w:r>
      <w:r w:rsidR="00623085">
        <w:t>based on the answers of the respondent</w:t>
      </w:r>
      <w:r w:rsidR="009502EA">
        <w:t>, resulting in few – if any – skip errors, and automatically provid</w:t>
      </w:r>
      <w:r w:rsidR="00146B3B">
        <w:t xml:space="preserve">es text fills within questions </w:t>
      </w:r>
      <w:r w:rsidR="00F97FF9">
        <w:t xml:space="preserve">based on responses to each question. </w:t>
      </w:r>
      <w:r w:rsidR="009502EA">
        <w:t xml:space="preserve">Data collected via CATI are also automatically stored electronically, eliminating the need for manual data entry. </w:t>
      </w:r>
    </w:p>
    <w:p w:rsidRPr="002D4D3A" w:rsidR="00BE37E3" w:rsidP="00A21201" w:rsidRDefault="00BE37E3" w14:paraId="222FDED9" w14:textId="04268560">
      <w:pPr>
        <w:pStyle w:val="Heading2"/>
      </w:pPr>
      <w:bookmarkStart w:name="_Toc151782179" w:id="14"/>
      <w:bookmarkStart w:name="_Toc158526219" w:id="15"/>
      <w:bookmarkStart w:name="_Toc68611935" w:id="16"/>
      <w:r w:rsidRPr="00983636">
        <w:t>4. Efforts to Identify Duplication</w:t>
      </w:r>
      <w:bookmarkEnd w:id="14"/>
      <w:bookmarkEnd w:id="15"/>
      <w:bookmarkEnd w:id="16"/>
      <w:r w:rsidRPr="007E4359">
        <w:t xml:space="preserve"> </w:t>
      </w:r>
    </w:p>
    <w:p w:rsidR="00BE37E3" w:rsidP="002D4D3A" w:rsidRDefault="00C235D3" w14:paraId="2184E0A2" w14:textId="7DEFCDB5">
      <w:pPr>
        <w:pStyle w:val="BodyText"/>
      </w:pPr>
      <w:r>
        <w:t xml:space="preserve">Many of the </w:t>
      </w:r>
      <w:r w:rsidR="00AE2990">
        <w:t xml:space="preserve">minority </w:t>
      </w:r>
      <w:r>
        <w:t xml:space="preserve">populations that CMS OMH serves </w:t>
      </w:r>
      <w:r w:rsidR="00BE37E3">
        <w:t xml:space="preserve">have historically been difficult to identify and study due in part to the difficulty in </w:t>
      </w:r>
      <w:r>
        <w:t>identifying them within larger data collection systems</w:t>
      </w:r>
      <w:r w:rsidR="00BE37E3">
        <w:t xml:space="preserve">. </w:t>
      </w:r>
      <w:r w:rsidR="00AE2990">
        <w:t xml:space="preserve">Via </w:t>
      </w:r>
      <w:r w:rsidR="003D431C">
        <w:t xml:space="preserve">the </w:t>
      </w:r>
      <w:r w:rsidR="00356D4B">
        <w:t xml:space="preserve">three </w:t>
      </w:r>
      <w:r w:rsidR="00AE2990">
        <w:t>surveys, t</w:t>
      </w:r>
      <w:r w:rsidR="00440E6F">
        <w:t xml:space="preserve">he MBECS </w:t>
      </w:r>
      <w:r w:rsidR="00AE2990">
        <w:t xml:space="preserve">umbrella </w:t>
      </w:r>
      <w:r w:rsidR="00440E6F">
        <w:t>system will collect data that are not available elsewhere</w:t>
      </w:r>
      <w:r w:rsidR="00AE2990">
        <w:t>. B</w:t>
      </w:r>
      <w:r w:rsidR="00440E6F">
        <w:t>efore conducting any of the individual surveys under the system, CMS OMH will make every effort to determine that the data are not available from other sources.</w:t>
      </w:r>
    </w:p>
    <w:p w:rsidRPr="00983636" w:rsidR="00BE37E3" w:rsidP="00A21201" w:rsidRDefault="00BE37E3" w14:paraId="01AA6A5E" w14:textId="77777777">
      <w:pPr>
        <w:pStyle w:val="Heading2"/>
      </w:pPr>
      <w:bookmarkStart w:name="_Toc151782180" w:id="17"/>
      <w:bookmarkStart w:name="_Toc158526220" w:id="18"/>
      <w:bookmarkStart w:name="_Toc68611936" w:id="19"/>
      <w:r w:rsidRPr="00983636">
        <w:t>5. Involvement of Small Entities</w:t>
      </w:r>
      <w:bookmarkEnd w:id="17"/>
      <w:bookmarkEnd w:id="18"/>
      <w:bookmarkEnd w:id="19"/>
    </w:p>
    <w:p w:rsidRPr="00463457" w:rsidR="00BE37E3" w:rsidP="002D4D3A" w:rsidRDefault="00BE37E3" w14:paraId="01BF3E84" w14:textId="77777777">
      <w:pPr>
        <w:pStyle w:val="BodyText"/>
      </w:pPr>
      <w:r w:rsidRPr="00463457">
        <w:t xml:space="preserve">This collection of information does not impact small businesses or other small entities. </w:t>
      </w:r>
    </w:p>
    <w:p w:rsidR="00BE37E3" w:rsidP="00A21201" w:rsidRDefault="00BE37E3" w14:paraId="20CE016F" w14:textId="77777777">
      <w:pPr>
        <w:pStyle w:val="Heading2"/>
      </w:pPr>
      <w:bookmarkStart w:name="_Toc151782181" w:id="20"/>
      <w:bookmarkStart w:name="_Toc158526221" w:id="21"/>
      <w:bookmarkStart w:name="_Toc68611937" w:id="22"/>
      <w:r w:rsidRPr="00983636">
        <w:t>6. Consequences if Information Collected Less Frequently</w:t>
      </w:r>
      <w:bookmarkStart w:name="_Toc151782182" w:id="23"/>
      <w:bookmarkStart w:name="_Toc158526222" w:id="24"/>
      <w:bookmarkEnd w:id="20"/>
      <w:bookmarkEnd w:id="21"/>
      <w:bookmarkEnd w:id="22"/>
    </w:p>
    <w:p w:rsidRPr="00B15C92" w:rsidR="00BE37E3" w:rsidP="002D4D3A" w:rsidRDefault="002B4D48" w14:paraId="1A19C1A2" w14:textId="05A3F91A">
      <w:pPr>
        <w:pStyle w:val="BodyText"/>
      </w:pPr>
      <w:r>
        <w:t>CMS OMH is proposing MBECS as a data collection system</w:t>
      </w:r>
      <w:r w:rsidR="00A976BC">
        <w:t xml:space="preserve"> </w:t>
      </w:r>
      <w:r w:rsidR="00440E6F">
        <w:t xml:space="preserve">to give CMS OMH the flexibility to collect data on minority subgroups that </w:t>
      </w:r>
      <w:r w:rsidR="005F701C">
        <w:t xml:space="preserve">are not </w:t>
      </w:r>
      <w:r w:rsidR="00440E6F">
        <w:t xml:space="preserve">being collected elsewhere. This system is being developed in response to data needs that </w:t>
      </w:r>
      <w:r w:rsidR="005F701C">
        <w:t xml:space="preserve">currently are not </w:t>
      </w:r>
      <w:r w:rsidR="00440E6F">
        <w:t xml:space="preserve">being met through other federal surveys. The collected data will help guide CMS </w:t>
      </w:r>
      <w:r w:rsidR="005A6233">
        <w:t xml:space="preserve">OMH </w:t>
      </w:r>
      <w:r w:rsidR="00440E6F">
        <w:t xml:space="preserve">policy and </w:t>
      </w:r>
      <w:r w:rsidR="00A976BC">
        <w:t xml:space="preserve">help </w:t>
      </w:r>
      <w:r w:rsidR="00440E6F">
        <w:t xml:space="preserve">CMS </w:t>
      </w:r>
      <w:r w:rsidR="005A6233">
        <w:t xml:space="preserve">OMH </w:t>
      </w:r>
      <w:r w:rsidR="00440E6F">
        <w:t xml:space="preserve">respond to the needs of minority population groups.  </w:t>
      </w:r>
      <w:r w:rsidRPr="00440E6F" w:rsidR="00440E6F">
        <w:t xml:space="preserve"> </w:t>
      </w:r>
    </w:p>
    <w:p w:rsidR="00BE37E3" w:rsidP="00A21201" w:rsidRDefault="00BE37E3" w14:paraId="69262C88" w14:textId="77777777">
      <w:pPr>
        <w:pStyle w:val="Heading2"/>
      </w:pPr>
      <w:bookmarkStart w:name="_Toc68611938" w:id="25"/>
      <w:r w:rsidRPr="00412C6F">
        <w:t>7. Special Circumstances</w:t>
      </w:r>
      <w:bookmarkEnd w:id="23"/>
      <w:bookmarkEnd w:id="24"/>
      <w:bookmarkEnd w:id="25"/>
    </w:p>
    <w:p w:rsidR="00BE37E3" w:rsidP="002D4D3A" w:rsidRDefault="00BE37E3" w14:paraId="78873E96" w14:textId="2C8DA6CF">
      <w:pPr>
        <w:pStyle w:val="BodyText"/>
      </w:pPr>
      <w:r w:rsidRPr="004F03D2">
        <w:t>This request is consistent with the general information collection guid</w:t>
      </w:r>
      <w:r>
        <w:t>elines of 5 CFR 1320.5(d)(2).</w:t>
      </w:r>
      <w:r w:rsidR="00940A05">
        <w:t xml:space="preserve"> </w:t>
      </w:r>
      <w:r>
        <w:t>No special circumstances apply.</w:t>
      </w:r>
    </w:p>
    <w:p w:rsidR="00BE37E3" w:rsidP="00A21201" w:rsidRDefault="00BE37E3" w14:paraId="7778F0E2" w14:textId="77777777">
      <w:pPr>
        <w:pStyle w:val="Heading2"/>
      </w:pPr>
      <w:bookmarkStart w:name="_Toc151782183" w:id="26"/>
      <w:bookmarkStart w:name="_Toc158526223" w:id="27"/>
      <w:bookmarkStart w:name="_Toc68611939" w:id="28"/>
      <w:r w:rsidRPr="00412C6F">
        <w:lastRenderedPageBreak/>
        <w:t>8.</w:t>
      </w:r>
      <w:r w:rsidRPr="004E3A1B">
        <w:t xml:space="preserve"> </w:t>
      </w:r>
      <w:bookmarkEnd w:id="26"/>
      <w:bookmarkEnd w:id="27"/>
      <w:r w:rsidRPr="004E3A1B">
        <w:t>Federal Register Notice and Outside Consultations</w:t>
      </w:r>
      <w:bookmarkEnd w:id="28"/>
    </w:p>
    <w:p w:rsidRPr="00A21201" w:rsidR="00BE37E3" w:rsidP="00A21201" w:rsidRDefault="00BE37E3" w14:paraId="141E3BC8" w14:textId="77777777">
      <w:pPr>
        <w:pStyle w:val="Heading3"/>
      </w:pPr>
      <w:bookmarkStart w:name="_Toc68611940" w:id="29"/>
      <w:r w:rsidRPr="00A21201">
        <w:t>8.a. Federal Register Notice</w:t>
      </w:r>
      <w:bookmarkEnd w:id="29"/>
    </w:p>
    <w:p w:rsidR="00B57D7A" w:rsidP="002D4D3A" w:rsidRDefault="009A09B4" w14:paraId="033D7320" w14:textId="2492D6EE">
      <w:pPr>
        <w:pStyle w:val="BodyText"/>
      </w:pPr>
      <w:bookmarkStart w:name="OLE_LINK3" w:id="30"/>
      <w:bookmarkStart w:name="OLE_LINK4" w:id="31"/>
      <w:r w:rsidRPr="009A09B4">
        <w:t xml:space="preserve">The 60-day Federal Register Notice was published on </w:t>
      </w:r>
      <w:r w:rsidRPr="001D23FA" w:rsidR="001D23FA">
        <w:t xml:space="preserve">April 9, 2021 (86 FR 18534). </w:t>
      </w:r>
      <w:r w:rsidR="001D23FA">
        <w:t xml:space="preserve"> </w:t>
      </w:r>
    </w:p>
    <w:p w:rsidR="00996CB5" w:rsidP="002D4D3A" w:rsidRDefault="00FF0D82" w14:paraId="6775EA71" w14:textId="777F1641">
      <w:pPr>
        <w:pStyle w:val="BodyText"/>
      </w:pPr>
      <w:r>
        <w:t xml:space="preserve">The </w:t>
      </w:r>
      <w:r w:rsidR="00D85C58">
        <w:t xml:space="preserve">MBECS </w:t>
      </w:r>
      <w:r>
        <w:t xml:space="preserve">submission </w:t>
      </w:r>
      <w:r w:rsidR="00D85C58">
        <w:t>received comments</w:t>
      </w:r>
      <w:r>
        <w:t xml:space="preserve"> from two respondents</w:t>
      </w:r>
      <w:r w:rsidR="00843C6D">
        <w:t>.</w:t>
      </w:r>
      <w:r w:rsidR="00D85C58">
        <w:t xml:space="preserve"> </w:t>
      </w:r>
      <w:r>
        <w:t>CMS OMH’s</w:t>
      </w:r>
      <w:r w:rsidR="00F3466C">
        <w:t xml:space="preserve"> </w:t>
      </w:r>
      <w:r w:rsidR="00D85C58">
        <w:t>response</w:t>
      </w:r>
      <w:r>
        <w:t>s to these comments are</w:t>
      </w:r>
      <w:r w:rsidR="00D85C58">
        <w:t xml:space="preserve"> located in the document “OMH </w:t>
      </w:r>
      <w:r w:rsidR="00F6381E">
        <w:t>R</w:t>
      </w:r>
      <w:r w:rsidR="00D85C58">
        <w:t>esponse and Comment Su</w:t>
      </w:r>
      <w:r w:rsidR="00996CB5">
        <w:t>mmary”</w:t>
      </w:r>
      <w:r w:rsidR="00F6381E">
        <w:t xml:space="preserve">. </w:t>
      </w:r>
      <w:r>
        <w:t>The first c</w:t>
      </w:r>
      <w:r w:rsidR="00F6381E">
        <w:t>omment</w:t>
      </w:r>
      <w:r>
        <w:t xml:space="preserve"> is </w:t>
      </w:r>
      <w:r w:rsidR="00F6381E">
        <w:t xml:space="preserve">concerning </w:t>
      </w:r>
      <w:r w:rsidR="00D764B4">
        <w:t>change</w:t>
      </w:r>
      <w:r w:rsidR="00843C6D">
        <w:t>s</w:t>
      </w:r>
      <w:r w:rsidR="00D764B4">
        <w:t xml:space="preserve"> </w:t>
      </w:r>
      <w:r>
        <w:t>to</w:t>
      </w:r>
      <w:r w:rsidR="00D764B4">
        <w:t xml:space="preserve"> the </w:t>
      </w:r>
      <w:r w:rsidR="00BB521D">
        <w:t>language of</w:t>
      </w:r>
      <w:r>
        <w:t xml:space="preserve"> the core CAHPS Medicare Experience Survey from which each</w:t>
      </w:r>
      <w:r w:rsidR="00BB521D">
        <w:t xml:space="preserve"> MBECS</w:t>
      </w:r>
      <w:r w:rsidR="004E11B0">
        <w:t xml:space="preserve"> </w:t>
      </w:r>
      <w:r>
        <w:t xml:space="preserve">would be developed, changing </w:t>
      </w:r>
      <w:r w:rsidR="004E11B0">
        <w:t>the word “doctor” to “health care provider” and includ</w:t>
      </w:r>
      <w:r>
        <w:t>ing</w:t>
      </w:r>
      <w:r w:rsidR="004E11B0">
        <w:t xml:space="preserve"> </w:t>
      </w:r>
      <w:r>
        <w:t>a</w:t>
      </w:r>
      <w:r w:rsidR="004E11B0">
        <w:t xml:space="preserve"> definition of health care providers </w:t>
      </w:r>
      <w:r>
        <w:t>in the questionnaire, which includes n</w:t>
      </w:r>
      <w:r w:rsidR="004E11B0">
        <w:t xml:space="preserve">urse </w:t>
      </w:r>
      <w:r>
        <w:t>p</w:t>
      </w:r>
      <w:r w:rsidR="004E11B0">
        <w:t>ractitioners</w:t>
      </w:r>
      <w:r>
        <w:t xml:space="preserve"> as a part of the definition. The </w:t>
      </w:r>
      <w:r w:rsidR="00F3466C">
        <w:t>commenter</w:t>
      </w:r>
      <w:r>
        <w:t xml:space="preserve"> also </w:t>
      </w:r>
      <w:r w:rsidR="00F3466C">
        <w:t>suggested revising</w:t>
      </w:r>
      <w:r>
        <w:t xml:space="preserve"> some of the questions in the core set of existing CAHPS </w:t>
      </w:r>
      <w:r w:rsidR="00026291">
        <w:t>questions for consisten</w:t>
      </w:r>
      <w:r>
        <w:t xml:space="preserve">cy and clarity. A second </w:t>
      </w:r>
      <w:r w:rsidR="00F3466C">
        <w:t>commenter</w:t>
      </w:r>
      <w:r>
        <w:t xml:space="preserve"> suggested ensuring the </w:t>
      </w:r>
      <w:r w:rsidR="00BB521D">
        <w:t xml:space="preserve">consistency of </w:t>
      </w:r>
      <w:r w:rsidR="00026291">
        <w:t xml:space="preserve">MBECS </w:t>
      </w:r>
      <w:r w:rsidR="00F3466C">
        <w:t>question language</w:t>
      </w:r>
      <w:r w:rsidR="00BB521D">
        <w:t xml:space="preserve"> </w:t>
      </w:r>
      <w:r w:rsidR="00026291">
        <w:t xml:space="preserve">and </w:t>
      </w:r>
      <w:r w:rsidR="00BB521D">
        <w:t xml:space="preserve">with </w:t>
      </w:r>
      <w:r w:rsidR="00843C6D">
        <w:t xml:space="preserve">the </w:t>
      </w:r>
      <w:r w:rsidR="00BB521D">
        <w:t>OMB requirements</w:t>
      </w:r>
      <w:r>
        <w:t xml:space="preserve"> and categorizations</w:t>
      </w:r>
      <w:r w:rsidR="00BB521D">
        <w:t xml:space="preserve"> for Race and Ethnicity </w:t>
      </w:r>
      <w:r w:rsidR="004E11B0">
        <w:t xml:space="preserve">data </w:t>
      </w:r>
      <w:r w:rsidR="00BB521D">
        <w:t>collection</w:t>
      </w:r>
      <w:r w:rsidR="00026291">
        <w:t xml:space="preserve">. They </w:t>
      </w:r>
      <w:r w:rsidR="00C41C68">
        <w:t>sugges</w:t>
      </w:r>
      <w:r w:rsidR="00026291">
        <w:t xml:space="preserve">ted that de-identified data be available to health plans after data collection, as well as response rates of each survey mode. </w:t>
      </w:r>
      <w:r w:rsidR="00C41C68">
        <w:t xml:space="preserve"> </w:t>
      </w:r>
      <w:r w:rsidR="00BB521D">
        <w:t xml:space="preserve"> </w:t>
      </w:r>
      <w:r w:rsidR="00026291">
        <w:t xml:space="preserve">CMS OMH’s ability to adhere to this request will be dependent on </w:t>
      </w:r>
      <w:r w:rsidR="00F3466C">
        <w:t>the ability to ensure</w:t>
      </w:r>
      <w:r w:rsidR="00026291">
        <w:t xml:space="preserve"> </w:t>
      </w:r>
      <w:r w:rsidR="00BB521D">
        <w:t xml:space="preserve">the </w:t>
      </w:r>
      <w:r w:rsidR="00026291">
        <w:t xml:space="preserve">privacy </w:t>
      </w:r>
      <w:r w:rsidR="00BB521D">
        <w:t xml:space="preserve">protection of the </w:t>
      </w:r>
      <w:r w:rsidR="00843C6D">
        <w:t xml:space="preserve">surveyed </w:t>
      </w:r>
      <w:r w:rsidR="00BB521D">
        <w:t>beneficiaries</w:t>
      </w:r>
      <w:r w:rsidR="00026291">
        <w:t xml:space="preserve">. Finally, the second </w:t>
      </w:r>
      <w:r w:rsidR="00F3466C">
        <w:t>commenter</w:t>
      </w:r>
      <w:r w:rsidR="00026291">
        <w:t xml:space="preserve"> indicated that the MA-PD CAHPS data collection be considered when sending MBECS surveys so as to reduce the burden on beneficiaries that could receive two surveys in the same year. </w:t>
      </w:r>
    </w:p>
    <w:p w:rsidR="001D23FA" w:rsidP="002D4D3A" w:rsidRDefault="00C41C68" w14:paraId="6351597E" w14:textId="0355CBCB">
      <w:pPr>
        <w:pStyle w:val="BodyText"/>
      </w:pPr>
      <w:r>
        <w:t xml:space="preserve">OMH </w:t>
      </w:r>
      <w:r w:rsidR="00CD4C0D">
        <w:t xml:space="preserve">will </w:t>
      </w:r>
      <w:r w:rsidR="001F7A5B">
        <w:t xml:space="preserve">take </w:t>
      </w:r>
      <w:r w:rsidR="00026291">
        <w:t>these</w:t>
      </w:r>
      <w:r w:rsidR="00CD4C0D">
        <w:t xml:space="preserve"> comments and suggestions in</w:t>
      </w:r>
      <w:r w:rsidR="00026291">
        <w:t>to</w:t>
      </w:r>
      <w:r w:rsidR="00CD4C0D">
        <w:t xml:space="preserve"> consideration to ensure </w:t>
      </w:r>
      <w:r w:rsidR="001F7A5B">
        <w:t xml:space="preserve">that clear and consistent </w:t>
      </w:r>
      <w:r w:rsidR="00CD4C0D">
        <w:t xml:space="preserve">language </w:t>
      </w:r>
      <w:r w:rsidR="001F7A5B">
        <w:t>and definitions are used</w:t>
      </w:r>
      <w:r w:rsidR="00CD4C0D">
        <w:t xml:space="preserve">, </w:t>
      </w:r>
      <w:r w:rsidR="001F7A5B">
        <w:t>including</w:t>
      </w:r>
      <w:r w:rsidR="00CD4C0D">
        <w:t xml:space="preserve"> </w:t>
      </w:r>
      <w:r w:rsidR="001F7A5B">
        <w:t>ex</w:t>
      </w:r>
      <w:r w:rsidR="00CD4C0D">
        <w:t>chang</w:t>
      </w:r>
      <w:r w:rsidR="001F7A5B">
        <w:t>ing</w:t>
      </w:r>
      <w:r w:rsidR="00CD4C0D">
        <w:t xml:space="preserve"> the word doctor for health care provider, adding </w:t>
      </w:r>
      <w:r w:rsidR="001F7A5B">
        <w:t>n</w:t>
      </w:r>
      <w:r w:rsidR="00CD4C0D">
        <w:t xml:space="preserve">urse </w:t>
      </w:r>
      <w:r w:rsidR="00F3466C">
        <w:t>p</w:t>
      </w:r>
      <w:r w:rsidR="00CD4C0D">
        <w:t xml:space="preserve">ractioners </w:t>
      </w:r>
      <w:r w:rsidR="001F7A5B">
        <w:t xml:space="preserve">to the health care provider definition, and following OMB race and </w:t>
      </w:r>
      <w:r w:rsidR="0050166F">
        <w:t xml:space="preserve">ethnicity </w:t>
      </w:r>
      <w:r w:rsidR="001F7A5B">
        <w:t xml:space="preserve">categorizations. </w:t>
      </w:r>
      <w:r w:rsidR="00CD4C0D">
        <w:t xml:space="preserve">, </w:t>
      </w:r>
      <w:r w:rsidR="001F7A5B">
        <w:t>CMS OMH will</w:t>
      </w:r>
      <w:r w:rsidR="00CD4C0D">
        <w:t xml:space="preserve"> ensure the privacy of our surveyed </w:t>
      </w:r>
      <w:r w:rsidR="00F3466C">
        <w:t>beneficiaries</w:t>
      </w:r>
      <w:r w:rsidR="00CD4C0D">
        <w:t xml:space="preserve"> is protected in all forms, and will </w:t>
      </w:r>
      <w:r w:rsidR="00F3466C">
        <w:t>evaluate</w:t>
      </w:r>
      <w:r w:rsidR="00CD4C0D">
        <w:t xml:space="preserve"> the interaction of the MA-PD CAHPS survey to reduce burden on </w:t>
      </w:r>
      <w:r w:rsidR="00E55A34">
        <w:t>o</w:t>
      </w:r>
      <w:r w:rsidR="00CD4C0D">
        <w:t>ur beneficiaries</w:t>
      </w:r>
      <w:r w:rsidR="003D7D70">
        <w:t>.</w:t>
      </w:r>
    </w:p>
    <w:p w:rsidR="001D23FA" w:rsidP="002D4D3A" w:rsidRDefault="001D23FA" w14:paraId="5ADA0910" w14:textId="41E2D16F">
      <w:pPr>
        <w:pStyle w:val="BodyText"/>
      </w:pPr>
      <w:r>
        <w:t>The 3</w:t>
      </w:r>
      <w:r w:rsidRPr="009A09B4">
        <w:t xml:space="preserve">0-day Federal Register Notice was published on </w:t>
      </w:r>
      <w:r w:rsidR="002878D4">
        <w:t>July 29, 2021</w:t>
      </w:r>
      <w:r w:rsidRPr="00E35437">
        <w:t xml:space="preserve"> </w:t>
      </w:r>
      <w:r w:rsidR="002878D4">
        <w:t xml:space="preserve">(86 FR </w:t>
      </w:r>
      <w:r w:rsidRPr="002878D4" w:rsidR="002878D4">
        <w:t>40846</w:t>
      </w:r>
      <w:r w:rsidR="002878D4">
        <w:t>)</w:t>
      </w:r>
    </w:p>
    <w:p w:rsidRPr="00412C6F" w:rsidR="00BE37E3" w:rsidP="00E7435F" w:rsidRDefault="00BE37E3" w14:paraId="705D44EB" w14:textId="1E05044E">
      <w:pPr>
        <w:pStyle w:val="Heading3"/>
      </w:pPr>
      <w:bookmarkStart w:name="_Toc68611941" w:id="32"/>
      <w:bookmarkEnd w:id="30"/>
      <w:bookmarkEnd w:id="31"/>
      <w:r>
        <w:t>8.b.</w:t>
      </w:r>
      <w:r w:rsidR="00940A05">
        <w:t xml:space="preserve"> </w:t>
      </w:r>
      <w:r w:rsidRPr="004E3A1B">
        <w:t>Outside Consultations</w:t>
      </w:r>
      <w:bookmarkEnd w:id="32"/>
    </w:p>
    <w:p w:rsidR="00946EA9" w:rsidP="0033641B" w:rsidRDefault="00A65442" w14:paraId="767B1BD2" w14:textId="2CF2E0E4">
      <w:pPr>
        <w:spacing w:after="100" w:afterAutospacing="1"/>
      </w:pPr>
      <w:bookmarkStart w:name="_Toc457285506" w:id="33"/>
      <w:bookmarkStart w:name="_Toc58725294" w:id="34"/>
      <w:bookmarkStart w:name="_Toc151782184" w:id="35"/>
      <w:bookmarkStart w:name="_Toc158526224" w:id="36"/>
      <w:r>
        <w:t>CMS OMH has consulted regularly with the CMS Survey Coor</w:t>
      </w:r>
      <w:r w:rsidR="000B7493">
        <w:t xml:space="preserve">dination Forum on various topics, and will continue to do so as needed. </w:t>
      </w:r>
      <w:r w:rsidRPr="009A09B4" w:rsidR="009A09B4">
        <w:t xml:space="preserve">CMS </w:t>
      </w:r>
      <w:r w:rsidR="009A09B4">
        <w:t xml:space="preserve">OMH also </w:t>
      </w:r>
      <w:r w:rsidRPr="009A09B4" w:rsidR="009A09B4">
        <w:t>participates in interagency working groups as well as research conferences to consult with a wide variety of data users and policy officials interested in data</w:t>
      </w:r>
      <w:r w:rsidR="009A09B4">
        <w:t xml:space="preserve"> on minority health</w:t>
      </w:r>
      <w:r w:rsidRPr="009A09B4" w:rsidR="009A09B4">
        <w:t>.</w:t>
      </w:r>
      <w:r w:rsidR="009A09B4">
        <w:t xml:space="preserve"> </w:t>
      </w:r>
      <w:r w:rsidR="000B7493">
        <w:t>In addition, p</w:t>
      </w:r>
      <w:r w:rsidR="00125BFC">
        <w:t xml:space="preserve">rior to the implementation of any survey </w:t>
      </w:r>
      <w:r w:rsidR="005A6233">
        <w:t>field</w:t>
      </w:r>
      <w:r w:rsidR="009B1D75">
        <w:t>ed</w:t>
      </w:r>
      <w:r w:rsidR="005A6233">
        <w:t xml:space="preserve"> </w:t>
      </w:r>
      <w:r w:rsidR="00125BFC">
        <w:t xml:space="preserve">under the MBECS system, CMS OMH will seek input from stakeholders and experts in minority health for </w:t>
      </w:r>
      <w:r w:rsidR="00A976BC">
        <w:t xml:space="preserve">the </w:t>
      </w:r>
      <w:r w:rsidR="00125BFC">
        <w:t xml:space="preserve">population of interest. </w:t>
      </w:r>
    </w:p>
    <w:p w:rsidRPr="00BD52A9" w:rsidR="00BE37E3" w:rsidP="00A21201" w:rsidRDefault="00BE37E3" w14:paraId="12CC69FB" w14:textId="77777777">
      <w:pPr>
        <w:pStyle w:val="Heading2"/>
      </w:pPr>
      <w:bookmarkStart w:name="_Toc68611942" w:id="37"/>
      <w:r w:rsidRPr="00BD52A9">
        <w:t>9. Payments/Gifts to Respondents</w:t>
      </w:r>
      <w:bookmarkEnd w:id="33"/>
      <w:bookmarkEnd w:id="34"/>
      <w:bookmarkEnd w:id="35"/>
      <w:bookmarkEnd w:id="36"/>
      <w:bookmarkEnd w:id="37"/>
    </w:p>
    <w:p w:rsidR="00375910" w:rsidP="002D4D3A" w:rsidRDefault="00BE37E3" w14:paraId="4E1D0AC3" w14:textId="3BCD8D6D">
      <w:pPr>
        <w:spacing w:after="100" w:afterAutospacing="1"/>
      </w:pPr>
      <w:r>
        <w:t xml:space="preserve">CMS OMH anticipates some difficulties in finding and gaining cooperation from </w:t>
      </w:r>
      <w:r w:rsidR="002B4D48">
        <w:t>some minority</w:t>
      </w:r>
      <w:r>
        <w:t xml:space="preserve"> population</w:t>
      </w:r>
      <w:r w:rsidR="002B4D48">
        <w:t>s</w:t>
      </w:r>
      <w:r>
        <w:t xml:space="preserve"> due to the</w:t>
      </w:r>
      <w:r w:rsidR="00583027">
        <w:t>ir unique</w:t>
      </w:r>
      <w:r>
        <w:t xml:space="preserve"> characteristics.</w:t>
      </w:r>
      <w:r w:rsidR="00940A05">
        <w:t xml:space="preserve"> </w:t>
      </w:r>
      <w:r w:rsidR="00375910">
        <w:t>The evidence on response rates</w:t>
      </w:r>
      <w:r w:rsidR="00162997">
        <w:t xml:space="preserve"> and non</w:t>
      </w:r>
      <w:r w:rsidR="002950B0">
        <w:t>response</w:t>
      </w:r>
      <w:r w:rsidR="00375910">
        <w:t xml:space="preserve"> is more developed for disabled and non-white beneficiari</w:t>
      </w:r>
      <w:r w:rsidR="004C48FB">
        <w:t>es than</w:t>
      </w:r>
      <w:r w:rsidR="00375910">
        <w:t xml:space="preserve"> </w:t>
      </w:r>
      <w:r w:rsidR="005A6233">
        <w:t xml:space="preserve">for </w:t>
      </w:r>
      <w:r w:rsidR="00375910">
        <w:t>beneficiaries with serious mental illness</w:t>
      </w:r>
      <w:r w:rsidR="009A09B4">
        <w:t xml:space="preserve"> (SMI)</w:t>
      </w:r>
      <w:r w:rsidR="00375910">
        <w:t xml:space="preserve"> or substance abuse disorders</w:t>
      </w:r>
      <w:r w:rsidR="009A09B4">
        <w:t xml:space="preserve"> (SUD)</w:t>
      </w:r>
      <w:r w:rsidR="005A6233">
        <w:t>. However</w:t>
      </w:r>
      <w:r w:rsidR="00C606C3">
        <w:t xml:space="preserve">, CMS </w:t>
      </w:r>
      <w:r w:rsidR="00375910">
        <w:t xml:space="preserve">OMH expects </w:t>
      </w:r>
      <w:r w:rsidR="00356D4B">
        <w:t>these</w:t>
      </w:r>
      <w:r w:rsidR="00375910">
        <w:t xml:space="preserve"> populations to be more similar to the disabled population than their non-disabled counterparts</w:t>
      </w:r>
      <w:r w:rsidR="004C48FB">
        <w:t xml:space="preserve"> </w:t>
      </w:r>
      <w:r w:rsidRPr="004C48FB" w:rsidR="004C48FB">
        <w:t xml:space="preserve">in terms of </w:t>
      </w:r>
      <w:r w:rsidR="005A6233">
        <w:t>anticipated</w:t>
      </w:r>
      <w:r w:rsidRPr="004C48FB" w:rsidR="005A6233">
        <w:t xml:space="preserve"> </w:t>
      </w:r>
      <w:r w:rsidRPr="004C48FB" w:rsidR="004C48FB">
        <w:t>response rates</w:t>
      </w:r>
      <w:r w:rsidR="00375910">
        <w:t xml:space="preserve">. </w:t>
      </w:r>
    </w:p>
    <w:p w:rsidR="00583027" w:rsidP="002D4D3A" w:rsidRDefault="002438F4" w14:paraId="10D93DFE" w14:textId="7BB4EA58">
      <w:pPr>
        <w:spacing w:after="100" w:afterAutospacing="1"/>
      </w:pPr>
      <w:r>
        <w:lastRenderedPageBreak/>
        <w:t xml:space="preserve">There is some evidence suggesting that people with </w:t>
      </w:r>
      <w:r w:rsidR="005A6233">
        <w:t>SMIs</w:t>
      </w:r>
      <w:r>
        <w:t xml:space="preserve"> are more likely to be non-responders</w:t>
      </w:r>
      <w:r w:rsidR="004C48FB">
        <w:t xml:space="preserve"> to surveys</w:t>
      </w:r>
      <w:r>
        <w:t>, but these studies were not conducted with the Medicare population so it remains unclear exactly how difficult recruitment will be for this group.</w:t>
      </w:r>
      <w:r>
        <w:rPr>
          <w:rStyle w:val="EndnoteReference"/>
        </w:rPr>
        <w:endnoteReference w:id="2"/>
      </w:r>
      <w:r>
        <w:rPr>
          <w:vertAlign w:val="superscript"/>
        </w:rPr>
        <w:t>,</w:t>
      </w:r>
      <w:r>
        <w:rPr>
          <w:rStyle w:val="EndnoteReference"/>
        </w:rPr>
        <w:endnoteReference w:id="3"/>
      </w:r>
      <w:r>
        <w:t xml:space="preserve"> </w:t>
      </w:r>
      <w:r w:rsidR="00375910">
        <w:t>I</w:t>
      </w:r>
      <w:r w:rsidR="008236FA">
        <w:t>n one study of CAHPS survey response rates, disabled and non-white beneficiaries were found to have significantly lower response rates than their counterparts,</w:t>
      </w:r>
      <w:r w:rsidR="00C541AB">
        <w:rPr>
          <w:rStyle w:val="EndnoteReference"/>
        </w:rPr>
        <w:endnoteReference w:id="4"/>
      </w:r>
      <w:r w:rsidR="008236FA">
        <w:t xml:space="preserve"> and these findings are supported by other</w:t>
      </w:r>
      <w:r w:rsidR="00416F92">
        <w:t>, more general,</w:t>
      </w:r>
      <w:r w:rsidR="008236FA">
        <w:t xml:space="preserve"> research on survey response rates</w:t>
      </w:r>
      <w:r w:rsidR="00162997">
        <w:t xml:space="preserve"> and non</w:t>
      </w:r>
      <w:r w:rsidR="00C541AB">
        <w:t>response</w:t>
      </w:r>
      <w:r w:rsidR="008236FA">
        <w:t>.</w:t>
      </w:r>
      <w:r w:rsidR="00C541AB">
        <w:rPr>
          <w:rStyle w:val="EndnoteReference"/>
        </w:rPr>
        <w:endnoteReference w:id="5"/>
      </w:r>
      <w:r w:rsidRPr="000C0FE1" w:rsidR="00416F92">
        <w:rPr>
          <w:vertAlign w:val="superscript"/>
        </w:rPr>
        <w:t>,</w:t>
      </w:r>
      <w:r w:rsidR="00416F92">
        <w:rPr>
          <w:rStyle w:val="EndnoteReference"/>
        </w:rPr>
        <w:endnoteReference w:id="6"/>
      </w:r>
      <w:r w:rsidR="00416F92">
        <w:rPr>
          <w:vertAlign w:val="superscript"/>
        </w:rPr>
        <w:t>,</w:t>
      </w:r>
      <w:r w:rsidR="00416F92">
        <w:rPr>
          <w:rStyle w:val="EndnoteReference"/>
        </w:rPr>
        <w:endnoteReference w:id="7"/>
      </w:r>
      <w:r w:rsidR="008236FA">
        <w:t xml:space="preserve"> Moreover, </w:t>
      </w:r>
      <w:r w:rsidR="0015218E">
        <w:t xml:space="preserve">since </w:t>
      </w:r>
      <w:r w:rsidR="008236FA">
        <w:t xml:space="preserve">disabled </w:t>
      </w:r>
      <w:r w:rsidR="00BE37E3">
        <w:t xml:space="preserve">Medicare beneficiaries </w:t>
      </w:r>
      <w:r w:rsidR="0015218E">
        <w:t xml:space="preserve">have a high prevalence of chronic illness and higher rates of psychiatric and cognitive conditions than </w:t>
      </w:r>
      <w:r w:rsidR="008236FA">
        <w:t>beneficiaries who are not disabled</w:t>
      </w:r>
      <w:r w:rsidR="00CF3B20">
        <w:t>,</w:t>
      </w:r>
      <w:r w:rsidR="0015218E">
        <w:rPr>
          <w:rStyle w:val="EndnoteReference"/>
        </w:rPr>
        <w:endnoteReference w:id="8"/>
      </w:r>
      <w:r w:rsidR="00BE37E3">
        <w:t xml:space="preserve"> </w:t>
      </w:r>
      <w:r w:rsidR="009B1D75">
        <w:t xml:space="preserve">CMS </w:t>
      </w:r>
      <w:r w:rsidR="008236FA">
        <w:t>OMH anticipates that this group could be particularly difficult to recruit</w:t>
      </w:r>
      <w:r w:rsidR="003E0113">
        <w:t xml:space="preserve">. </w:t>
      </w:r>
    </w:p>
    <w:p w:rsidR="00837A17" w:rsidP="002D4D3A" w:rsidRDefault="00125BFC" w14:paraId="73E3A82A" w14:textId="58412BCC">
      <w:pPr>
        <w:spacing w:after="100" w:afterAutospacing="1"/>
      </w:pPr>
      <w:r>
        <w:t xml:space="preserve">Prior to any individual survey under </w:t>
      </w:r>
      <w:r w:rsidRPr="00162997">
        <w:t xml:space="preserve">MBECS, </w:t>
      </w:r>
      <w:r w:rsidRPr="00162997" w:rsidR="009B1D75">
        <w:t xml:space="preserve">CMS </w:t>
      </w:r>
      <w:r w:rsidRPr="00162997">
        <w:t>OMH will evaluate the population characteristics and consider whether incentives may be necessary to improve response rates</w:t>
      </w:r>
      <w:r>
        <w:t xml:space="preserve"> and reduce </w:t>
      </w:r>
      <w:r w:rsidRPr="00162997">
        <w:t xml:space="preserve">nonresponse. </w:t>
      </w:r>
      <w:r w:rsidRPr="00162997" w:rsidR="00A167C1">
        <w:t>Incentives have</w:t>
      </w:r>
      <w:r w:rsidRPr="00554487" w:rsidR="00A167C1">
        <w:t xml:space="preserve"> been shown to reduce nonresponse, primarily by reducing refusals</w:t>
      </w:r>
      <w:r w:rsidR="00A167C1">
        <w:t xml:space="preserve">. </w:t>
      </w:r>
      <w:r w:rsidR="00A61AAC">
        <w:t xml:space="preserve">The </w:t>
      </w:r>
      <w:r w:rsidR="00A167C1">
        <w:t xml:space="preserve">MBECS </w:t>
      </w:r>
      <w:r w:rsidR="00A61AAC">
        <w:t xml:space="preserve">system </w:t>
      </w:r>
      <w:r w:rsidR="00A167C1">
        <w:t xml:space="preserve">will utilize two incentive models that have been shown to increase response rates. First, respondents </w:t>
      </w:r>
      <w:r w:rsidR="00A61AAC">
        <w:t xml:space="preserve">who complete the web questionnaire within 10 days of receiving the web invitation letter </w:t>
      </w:r>
      <w:r w:rsidR="00A167C1">
        <w:t xml:space="preserve">will be given $10. Research has shown that this “early bird” incentive model positively </w:t>
      </w:r>
      <w:r w:rsidR="00C606C3">
        <w:t>affects</w:t>
      </w:r>
      <w:r w:rsidR="00A167C1">
        <w:t xml:space="preserve"> response rates across subgroups.</w:t>
      </w:r>
      <w:r w:rsidR="00A167C1">
        <w:rPr>
          <w:rStyle w:val="EndnoteReference"/>
        </w:rPr>
        <w:endnoteReference w:id="9"/>
      </w:r>
      <w:r w:rsidR="00A167C1">
        <w:t xml:space="preserve"> Further research on the use of early bird incentives has shown that </w:t>
      </w:r>
      <w:r w:rsidR="0051153B">
        <w:t>they</w:t>
      </w:r>
      <w:r w:rsidR="00A167C1">
        <w:t xml:space="preserve"> do not adversely affect data quality.</w:t>
      </w:r>
      <w:r w:rsidR="00A167C1">
        <w:rPr>
          <w:rStyle w:val="EndnoteReference"/>
        </w:rPr>
        <w:endnoteReference w:id="10"/>
      </w:r>
      <w:r w:rsidR="00A167C1">
        <w:br/>
      </w:r>
      <w:r w:rsidR="005B6C9E">
        <w:t>Second</w:t>
      </w:r>
      <w:r w:rsidR="00A167C1">
        <w:t>,</w:t>
      </w:r>
      <w:r w:rsidR="000B019F">
        <w:t xml:space="preserve"> a</w:t>
      </w:r>
      <w:r w:rsidRPr="000B019F" w:rsidR="000B019F">
        <w:t xml:space="preserve"> number of meta analyses have shown that incentives </w:t>
      </w:r>
      <w:r w:rsidR="00A167C1">
        <w:t xml:space="preserve">that </w:t>
      </w:r>
      <w:r w:rsidRPr="000B019F" w:rsidR="000B019F">
        <w:t>are non-contingent in nature and are provided with the initial survey request in a mail survey</w:t>
      </w:r>
      <w:r w:rsidR="00A167C1">
        <w:t xml:space="preserve"> also increase response rates</w:t>
      </w:r>
      <w:r w:rsidR="00CF3B20">
        <w:t>.</w:t>
      </w:r>
      <w:r w:rsidRPr="00554487" w:rsidR="00BE37E3">
        <w:rPr>
          <w:vertAlign w:val="superscript"/>
        </w:rPr>
        <w:endnoteReference w:id="11"/>
      </w:r>
      <w:r w:rsidRPr="000B019F" w:rsidR="000B019F">
        <w:rPr>
          <w:vertAlign w:val="superscript"/>
        </w:rPr>
        <w:t>,</w:t>
      </w:r>
      <w:r w:rsidR="002C0FA6">
        <w:rPr>
          <w:rStyle w:val="EndnoteReference"/>
        </w:rPr>
        <w:endnoteReference w:id="12"/>
      </w:r>
      <w:r w:rsidR="00DF7CD0">
        <w:t xml:space="preserve"> </w:t>
      </w:r>
      <w:r w:rsidR="00583027">
        <w:t>A $2 pre-paid incentive has been shown to effective</w:t>
      </w:r>
      <w:r w:rsidR="005B6C9E">
        <w:t>ly</w:t>
      </w:r>
      <w:r w:rsidR="00583027">
        <w:t xml:space="preserve"> increase overall response rate as well as the response rate across racial and ethnic strata</w:t>
      </w:r>
      <w:r w:rsidR="00CF3B20">
        <w:t>.</w:t>
      </w:r>
      <w:r w:rsidR="00583027">
        <w:rPr>
          <w:rStyle w:val="EndnoteReference"/>
        </w:rPr>
        <w:endnoteReference w:id="13"/>
      </w:r>
      <w:r w:rsidR="00940A05">
        <w:t xml:space="preserve"> </w:t>
      </w:r>
      <w:r w:rsidR="00583027">
        <w:t>In order to</w:t>
      </w:r>
      <w:r w:rsidRPr="00554487" w:rsidR="00583027">
        <w:t xml:space="preserve"> </w:t>
      </w:r>
      <w:r w:rsidR="00186C6F">
        <w:t xml:space="preserve">minimize nonresponse, </w:t>
      </w:r>
      <w:r w:rsidR="00583027">
        <w:t xml:space="preserve">the </w:t>
      </w:r>
      <w:r w:rsidRPr="00554487" w:rsidR="00583027">
        <w:t>first</w:t>
      </w:r>
      <w:r w:rsidR="005B6C9E">
        <w:t xml:space="preserve"> MBECS SAQ</w:t>
      </w:r>
      <w:r w:rsidRPr="00554487" w:rsidR="00583027">
        <w:t xml:space="preserve"> mailing</w:t>
      </w:r>
      <w:r w:rsidR="00583027">
        <w:t xml:space="preserve"> will include a $2 pre-paid incentive</w:t>
      </w:r>
      <w:r w:rsidRPr="00554487" w:rsidR="00583027">
        <w:t>.</w:t>
      </w:r>
      <w:r w:rsidR="00940A05">
        <w:t xml:space="preserve"> </w:t>
      </w:r>
    </w:p>
    <w:p w:rsidRPr="00412C6F" w:rsidR="009B633D" w:rsidP="00A21201" w:rsidRDefault="009B633D" w14:paraId="39B8D206" w14:textId="77777777">
      <w:pPr>
        <w:pStyle w:val="Heading2"/>
      </w:pPr>
      <w:bookmarkStart w:name="_Toc151782185" w:id="38"/>
      <w:bookmarkStart w:name="_Toc158526225" w:id="39"/>
      <w:bookmarkStart w:name="_Toc68611943" w:id="40"/>
      <w:r w:rsidRPr="00412C6F">
        <w:t>10. Assurance of Confidentiality</w:t>
      </w:r>
      <w:bookmarkEnd w:id="38"/>
      <w:bookmarkEnd w:id="39"/>
      <w:bookmarkEnd w:id="40"/>
    </w:p>
    <w:p w:rsidR="004433A7" w:rsidP="002D4D3A" w:rsidRDefault="004433A7" w14:paraId="025E0CF3" w14:textId="09BCA9F0">
      <w:pPr>
        <w:spacing w:after="100" w:afterAutospacing="1"/>
      </w:pPr>
      <w:r>
        <w:t xml:space="preserve">The </w:t>
      </w:r>
      <w:r w:rsidR="007D62A1">
        <w:t>web invitation letter</w:t>
      </w:r>
      <w:r w:rsidR="001A35F6">
        <w:t>s</w:t>
      </w:r>
      <w:r w:rsidR="007B2403">
        <w:t xml:space="preserve"> </w:t>
      </w:r>
      <w:r w:rsidR="000E020C">
        <w:t xml:space="preserve">for surveys conducted under the MBECS system </w:t>
      </w:r>
      <w:r w:rsidR="001A35F6">
        <w:t>will include the following text</w:t>
      </w:r>
      <w:r>
        <w:t>:</w:t>
      </w:r>
    </w:p>
    <w:p w:rsidR="004433A7" w:rsidP="00A21201" w:rsidRDefault="007B2403" w14:paraId="01F7B5D7" w14:textId="097358E7">
      <w:pPr>
        <w:spacing w:after="240"/>
        <w:ind w:left="720"/>
        <w:rPr>
          <w:b/>
        </w:rPr>
      </w:pPr>
      <w:r>
        <w:t>All information you provide will be held in confidence by CMS and is protected by the Privacy Act</w:t>
      </w:r>
      <w:r w:rsidR="005F701C">
        <w:t xml:space="preserve"> of 1974</w:t>
      </w:r>
      <w:r>
        <w:t xml:space="preserve">. </w:t>
      </w:r>
      <w:r>
        <w:rPr>
          <w:b/>
        </w:rPr>
        <w:t>You do not have to participate in this survey. Your help is voluntary, and your decision to participate or not to participate will have no effect on your Medicare or Medicaid benefits.</w:t>
      </w:r>
    </w:p>
    <w:p w:rsidRPr="007D62A1" w:rsidR="007D62A1" w:rsidP="002D4D3A" w:rsidRDefault="007D62A1" w14:paraId="26A2BDD4" w14:textId="449F4F10">
      <w:pPr>
        <w:spacing w:after="100" w:afterAutospacing="1"/>
      </w:pPr>
      <w:r w:rsidRPr="007D62A1">
        <w:t>This text will also appear on the first screen of the web survey.</w:t>
      </w:r>
    </w:p>
    <w:p w:rsidR="00CF3B20" w:rsidP="002D4D3A" w:rsidRDefault="00AD4335" w14:paraId="1C882855" w14:textId="29A8D92A">
      <w:pPr>
        <w:spacing w:after="100" w:afterAutospacing="1"/>
      </w:pPr>
      <w:r>
        <w:t>Similarly</w:t>
      </w:r>
      <w:r w:rsidR="004433A7">
        <w:t>, the cover letters</w:t>
      </w:r>
      <w:r w:rsidR="00717E76">
        <w:t xml:space="preserve"> </w:t>
      </w:r>
      <w:r w:rsidR="004433A7">
        <w:t>that accompany the self-administered questionnaires (SAQ</w:t>
      </w:r>
      <w:r w:rsidR="00837A17">
        <w:t>s</w:t>
      </w:r>
      <w:r w:rsidR="004433A7">
        <w:t xml:space="preserve">) </w:t>
      </w:r>
      <w:r w:rsidR="001A35F6">
        <w:t xml:space="preserve">will </w:t>
      </w:r>
      <w:r w:rsidR="004433A7">
        <w:t>state:</w:t>
      </w:r>
    </w:p>
    <w:p w:rsidRPr="001B27FB" w:rsidR="004433A7" w:rsidP="00A21201" w:rsidRDefault="001B27FB" w14:paraId="6B1472B3" w14:textId="292655FC">
      <w:pPr>
        <w:spacing w:after="240"/>
        <w:ind w:left="720"/>
        <w:rPr>
          <w:szCs w:val="22"/>
        </w:rPr>
      </w:pPr>
      <w:r>
        <w:t>All information you provide will be held in confidence by CMS and is protected by the Privacy Act</w:t>
      </w:r>
      <w:r w:rsidR="005F701C">
        <w:t xml:space="preserve"> of 1974</w:t>
      </w:r>
      <w:r>
        <w:t xml:space="preserve">. The information you provide will not be shared with anyone other than authorized persons at CMS and NORC at the University of Chicago, the non-profit research organization assisting us in this survey. </w:t>
      </w:r>
      <w:r>
        <w:rPr>
          <w:b/>
        </w:rPr>
        <w:t xml:space="preserve">You do not have to participate in this survey. Your help is voluntary and your decision to participate or not participate will not affect your Medicare or Medicaid benefits in any way. </w:t>
      </w:r>
      <w:r>
        <w:t xml:space="preserve">However, your </w:t>
      </w:r>
      <w:r>
        <w:lastRenderedPageBreak/>
        <w:t>knowledge and experiences will help CMS better serve people like you, so we hope you will choose to help us.</w:t>
      </w:r>
    </w:p>
    <w:p w:rsidR="00591FC8" w:rsidP="002D4D3A" w:rsidRDefault="00591FC8" w14:paraId="77FE8136" w14:textId="5937FEEF">
      <w:pPr>
        <w:spacing w:after="100" w:afterAutospacing="1"/>
      </w:pPr>
      <w:r>
        <w:t>For the web survey portion of the data collection effort, respondents will see the following informed consent statement before beginning the questions:</w:t>
      </w:r>
    </w:p>
    <w:p w:rsidR="00591FC8" w:rsidP="00A21201" w:rsidRDefault="00591FC8" w14:paraId="78E2E7A0" w14:textId="77777777">
      <w:pPr>
        <w:pStyle w:val="BulletLevel1"/>
      </w:pPr>
      <w:r>
        <w:t xml:space="preserve">The </w:t>
      </w:r>
      <w:r w:rsidRPr="00591FC8">
        <w:t>Centers for Medicare and Medicaid Services</w:t>
      </w:r>
      <w:r>
        <w:t xml:space="preserve"> (CMS) is</w:t>
      </w:r>
      <w:r w:rsidRPr="00591FC8">
        <w:t xml:space="preserve"> the federal agency that administers the Medicare and Medicaid programs. </w:t>
      </w:r>
    </w:p>
    <w:p w:rsidR="00591FC8" w:rsidP="00A21201" w:rsidRDefault="00591FC8" w14:paraId="3C8D36E1" w14:textId="5F5FC148">
      <w:pPr>
        <w:pStyle w:val="BulletLevel1"/>
      </w:pPr>
      <w:r w:rsidRPr="00591FC8">
        <w:t>CMS</w:t>
      </w:r>
      <w:r w:rsidR="00C32579">
        <w:t xml:space="preserve"> OMH</w:t>
      </w:r>
      <w:r w:rsidRPr="00591FC8">
        <w:t xml:space="preserve"> is conducting this survey of </w:t>
      </w:r>
      <w:r w:rsidRPr="00591FC8" w:rsidR="005B6C9E">
        <w:t>Medic</w:t>
      </w:r>
      <w:r w:rsidR="005B6C9E">
        <w:t>are</w:t>
      </w:r>
      <w:r w:rsidRPr="00591FC8" w:rsidR="005B6C9E">
        <w:t xml:space="preserve"> </w:t>
      </w:r>
      <w:r w:rsidR="00E95E30">
        <w:t xml:space="preserve">beneficiaries </w:t>
      </w:r>
      <w:r w:rsidRPr="00591FC8">
        <w:t xml:space="preserve">to learn more about the care and services they receive. </w:t>
      </w:r>
    </w:p>
    <w:p w:rsidR="00591FC8" w:rsidP="00A21201" w:rsidRDefault="00591FC8" w14:paraId="7C1A1DDF" w14:textId="0B3E9EEE">
      <w:pPr>
        <w:pStyle w:val="BulletLevel1"/>
      </w:pPr>
      <w:r w:rsidRPr="00591FC8">
        <w:t>Your name was scientifically selected by CMS</w:t>
      </w:r>
      <w:r w:rsidR="00C32579">
        <w:t xml:space="preserve"> OMH</w:t>
      </w:r>
      <w:r w:rsidRPr="00591FC8">
        <w:t xml:space="preserve"> from among enrollees</w:t>
      </w:r>
      <w:r>
        <w:t xml:space="preserve">. </w:t>
      </w:r>
    </w:p>
    <w:p w:rsidR="00591FC8" w:rsidP="00A21201" w:rsidRDefault="00591FC8" w14:paraId="5C41E5FD" w14:textId="249C941F">
      <w:pPr>
        <w:pStyle w:val="BulletLevel1"/>
      </w:pPr>
      <w:r>
        <w:t xml:space="preserve">The results of this survey </w:t>
      </w:r>
      <w:r w:rsidRPr="00D25BD6">
        <w:t xml:space="preserve">will help make health care better for everyone. </w:t>
      </w:r>
      <w:r>
        <w:t xml:space="preserve"> </w:t>
      </w:r>
    </w:p>
    <w:p w:rsidRPr="00591FC8" w:rsidR="00591FC8" w:rsidP="00A21201" w:rsidRDefault="00591FC8" w14:paraId="49A8BA16" w14:textId="628185A7">
      <w:pPr>
        <w:pStyle w:val="BulletLevel1"/>
      </w:pPr>
      <w:r w:rsidRPr="00591FC8">
        <w:t>Your participation in this survey is voluntary. All information you provide will be held in confidence and is protected by the Privacy Act</w:t>
      </w:r>
      <w:r w:rsidR="005F701C">
        <w:t xml:space="preserve"> of 1974</w:t>
      </w:r>
      <w:r w:rsidRPr="00591FC8">
        <w:t xml:space="preserve">. </w:t>
      </w:r>
    </w:p>
    <w:p w:rsidR="00A21201" w:rsidP="008103D7" w:rsidRDefault="00591FC8" w14:paraId="35E663CC" w14:textId="77777777">
      <w:pPr>
        <w:pStyle w:val="BulletLevel1"/>
        <w:spacing w:after="100" w:afterAutospacing="1"/>
      </w:pPr>
      <w:r>
        <w:t>Y</w:t>
      </w:r>
      <w:r w:rsidRPr="00591FC8">
        <w:t xml:space="preserve">our decision to participate or not to participate will not affect your </w:t>
      </w:r>
      <w:r w:rsidR="000B7493">
        <w:t>Medicare</w:t>
      </w:r>
      <w:r w:rsidR="00E95E30">
        <w:t xml:space="preserve"> </w:t>
      </w:r>
      <w:r w:rsidRPr="00591FC8">
        <w:t>benefits in any way. However, your knowledge and experiences will help other people make more informed choices</w:t>
      </w:r>
      <w:r>
        <w:t>.</w:t>
      </w:r>
    </w:p>
    <w:p w:rsidR="008F0B8B" w:rsidP="00A21201" w:rsidRDefault="00AD4335" w14:paraId="1AD79507" w14:textId="628F6A24">
      <w:pPr>
        <w:pStyle w:val="BodyText"/>
      </w:pPr>
      <w:r>
        <w:t>For the telephone portion of the data collection effort, interviewers will read the following informed consent statement to potential respondents</w:t>
      </w:r>
      <w:r w:rsidR="009A09B4">
        <w:t xml:space="preserve">, which will be included in the interviewer </w:t>
      </w:r>
      <w:r w:rsidR="000A35BE">
        <w:t xml:space="preserve">introductory </w:t>
      </w:r>
      <w:r w:rsidR="009A09B4">
        <w:t>script</w:t>
      </w:r>
      <w:r>
        <w:t>:</w:t>
      </w:r>
    </w:p>
    <w:p w:rsidRPr="008A2335" w:rsidR="008A2335" w:rsidP="00A21201" w:rsidRDefault="008A2335" w14:paraId="7D9DE441" w14:textId="6A212EBC">
      <w:pPr>
        <w:autoSpaceDE w:val="0"/>
        <w:autoSpaceDN w:val="0"/>
        <w:adjustRightInd w:val="0"/>
        <w:spacing w:after="240"/>
        <w:ind w:left="720"/>
        <w:rPr>
          <w:color w:val="000000"/>
        </w:rPr>
      </w:pPr>
      <w:r>
        <w:rPr>
          <w:color w:val="000000"/>
        </w:rPr>
        <w:t>“</w:t>
      </w:r>
      <w:r w:rsidRPr="008A2335">
        <w:rPr>
          <w:color w:val="000000"/>
        </w:rPr>
        <w:t xml:space="preserve">The interview is voluntary. Your answers will be kept private, and will not affect your </w:t>
      </w:r>
      <w:r w:rsidR="000B7493">
        <w:rPr>
          <w:color w:val="000000"/>
        </w:rPr>
        <w:t>Medicare</w:t>
      </w:r>
      <w:r w:rsidRPr="008A2335">
        <w:rPr>
          <w:color w:val="000000"/>
        </w:rPr>
        <w:t xml:space="preserve"> benefits in any way.</w:t>
      </w:r>
    </w:p>
    <w:p w:rsidRPr="008A2335" w:rsidR="008A2335" w:rsidP="00A21201" w:rsidRDefault="008A2335" w14:paraId="1E648C4C" w14:textId="182D3936">
      <w:pPr>
        <w:autoSpaceDE w:val="0"/>
        <w:autoSpaceDN w:val="0"/>
        <w:adjustRightInd w:val="0"/>
        <w:spacing w:after="240"/>
        <w:ind w:left="720"/>
        <w:rPr>
          <w:color w:val="000000"/>
        </w:rPr>
      </w:pPr>
      <w:r w:rsidRPr="008A2335">
        <w:rPr>
          <w:color w:val="000000"/>
        </w:rPr>
        <w:t>Your name was selected by CMS</w:t>
      </w:r>
      <w:r w:rsidR="00C32579">
        <w:rPr>
          <w:color w:val="000000"/>
        </w:rPr>
        <w:t xml:space="preserve"> OMH</w:t>
      </w:r>
      <w:r w:rsidRPr="008A2335">
        <w:rPr>
          <w:color w:val="000000"/>
        </w:rPr>
        <w:t xml:space="preserve"> from among people with Medicare. </w:t>
      </w:r>
    </w:p>
    <w:p w:rsidRPr="008A2335" w:rsidR="008A2335" w:rsidP="00A21201" w:rsidRDefault="008A2335" w14:paraId="13DE7547" w14:textId="7F0A0102">
      <w:pPr>
        <w:autoSpaceDE w:val="0"/>
        <w:autoSpaceDN w:val="0"/>
        <w:adjustRightInd w:val="0"/>
        <w:spacing w:after="240"/>
        <w:ind w:left="720"/>
        <w:rPr>
          <w:color w:val="000000"/>
        </w:rPr>
      </w:pPr>
      <w:r w:rsidRPr="008A2335">
        <w:rPr>
          <w:color w:val="000000"/>
        </w:rPr>
        <w:t>[IF THE RESPONDENT WOULD LIKE MORE INFORMATION: This survey is sponsored by the Centers for Medicare and Medicaid Services, CMS, which is the federal agency that administers the Medicare and Medicaid programs. CMS</w:t>
      </w:r>
      <w:r w:rsidR="00C32579">
        <w:rPr>
          <w:color w:val="000000"/>
        </w:rPr>
        <w:t xml:space="preserve"> OMH</w:t>
      </w:r>
      <w:r w:rsidRPr="008A2335">
        <w:rPr>
          <w:color w:val="000000"/>
        </w:rPr>
        <w:t xml:space="preserve"> is conducting this survey of people with Medicare to learn more about the care and services they receive. Your name was scientifically selected by CMS</w:t>
      </w:r>
      <w:r w:rsidR="00C32579">
        <w:rPr>
          <w:color w:val="000000"/>
        </w:rPr>
        <w:t xml:space="preserve"> OMH</w:t>
      </w:r>
      <w:r w:rsidRPr="008A2335">
        <w:rPr>
          <w:color w:val="000000"/>
        </w:rPr>
        <w:t xml:space="preserve"> from among enrollees.] </w:t>
      </w:r>
    </w:p>
    <w:p w:rsidRPr="008A2335" w:rsidR="008A2335" w:rsidP="00A21201" w:rsidRDefault="008A2335" w14:paraId="0BB4732A" w14:textId="77777777">
      <w:pPr>
        <w:autoSpaceDE w:val="0"/>
        <w:autoSpaceDN w:val="0"/>
        <w:adjustRightInd w:val="0"/>
        <w:spacing w:after="240"/>
        <w:ind w:left="720"/>
        <w:rPr>
          <w:color w:val="000000"/>
        </w:rPr>
      </w:pPr>
      <w:r w:rsidRPr="008A2335">
        <w:rPr>
          <w:color w:val="000000"/>
        </w:rPr>
        <w:t>We would greatly appreciate it if you would take the time, about 20 minutes, to participate in this survey.</w:t>
      </w:r>
    </w:p>
    <w:p w:rsidRPr="008A2335" w:rsidR="008A2335" w:rsidP="00A21201" w:rsidRDefault="008A2335" w14:paraId="77AC423C" w14:textId="491452C5">
      <w:pPr>
        <w:autoSpaceDE w:val="0"/>
        <w:autoSpaceDN w:val="0"/>
        <w:adjustRightInd w:val="0"/>
        <w:spacing w:after="240"/>
        <w:ind w:left="720"/>
        <w:rPr>
          <w:color w:val="000000"/>
        </w:rPr>
      </w:pPr>
      <w:r w:rsidRPr="008A2335">
        <w:rPr>
          <w:color w:val="000000"/>
        </w:rPr>
        <w:t>[IF THE RESPONDENT WOULD LIKE MORE INFORMATION: Your participation in this survey is voluntary. All information you provide will be held in confidence and is protected by the Privacy Act</w:t>
      </w:r>
      <w:r w:rsidR="005F701C">
        <w:rPr>
          <w:color w:val="000000"/>
        </w:rPr>
        <w:t xml:space="preserve"> of 1974</w:t>
      </w:r>
      <w:r w:rsidRPr="008A2335">
        <w:rPr>
          <w:color w:val="000000"/>
        </w:rPr>
        <w:t>. You do not have to participate in this survey. Your decision to participate or not to participate will not affect your benefits in any way. However, your knowledge and experiences will help other people make more informed choices, so we hope you will choose to help us.]</w:t>
      </w:r>
    </w:p>
    <w:p w:rsidRPr="00591FC8" w:rsidR="00591FC8" w:rsidP="00A21201" w:rsidRDefault="008A2335" w14:paraId="61C516F7" w14:textId="3C2DEF54">
      <w:pPr>
        <w:autoSpaceDE w:val="0"/>
        <w:autoSpaceDN w:val="0"/>
        <w:adjustRightInd w:val="0"/>
        <w:spacing w:after="240"/>
        <w:ind w:left="720"/>
      </w:pPr>
      <w:r w:rsidRPr="008A2335">
        <w:rPr>
          <w:color w:val="000000"/>
        </w:rPr>
        <w:t>This call may be recorded or monitored</w:t>
      </w:r>
      <w:r w:rsidR="007B6378">
        <w:rPr>
          <w:color w:val="000000"/>
        </w:rPr>
        <w:t xml:space="preserve"> for quality assurance purposes</w:t>
      </w:r>
      <w:r>
        <w:rPr>
          <w:color w:val="000000"/>
        </w:rPr>
        <w:t>.”</w:t>
      </w:r>
    </w:p>
    <w:p w:rsidR="004433A7" w:rsidP="002D4D3A" w:rsidRDefault="001B27FB" w14:paraId="059B1AD6" w14:textId="3861340A">
      <w:pPr>
        <w:pStyle w:val="BodyText"/>
      </w:pPr>
      <w:r>
        <w:lastRenderedPageBreak/>
        <w:t>Finally, a</w:t>
      </w:r>
      <w:r w:rsidR="004433A7">
        <w:t>ny data published</w:t>
      </w:r>
      <w:r w:rsidR="00E95E30">
        <w:t xml:space="preserve"> </w:t>
      </w:r>
      <w:r w:rsidR="004433A7">
        <w:t>will exclude information that might lead to the identification of</w:t>
      </w:r>
      <w:r w:rsidR="004433A7">
        <w:rPr>
          <w:spacing w:val="-22"/>
        </w:rPr>
        <w:t xml:space="preserve"> </w:t>
      </w:r>
      <w:r w:rsidR="004433A7">
        <w:t>specific individuals.</w:t>
      </w:r>
      <w:r w:rsidR="00D90C9E">
        <w:t xml:space="preserve"> Personally identifiable information (PII) (name, address, social security number, phone numbers) will be stored separately from questionnaire response data, and accessible only to the contractor personnel working on data collection activities. PII will be used only to locate and contact respondents; PII will not be included in the final files or reports</w:t>
      </w:r>
      <w:r w:rsidRPr="00F82C92" w:rsidR="00D90C9E">
        <w:t xml:space="preserve"> </w:t>
      </w:r>
      <w:r w:rsidR="00D90C9E">
        <w:t>and will be destroyed within 30 days of the completion of the project.</w:t>
      </w:r>
    </w:p>
    <w:p w:rsidRPr="00412C6F" w:rsidR="009B633D" w:rsidP="00A21201" w:rsidRDefault="009B633D" w14:paraId="24980C02" w14:textId="03400F28">
      <w:pPr>
        <w:pStyle w:val="Heading2"/>
      </w:pPr>
      <w:bookmarkStart w:name="_Toc151782186" w:id="41"/>
      <w:bookmarkStart w:name="_Toc158526226" w:id="42"/>
      <w:bookmarkStart w:name="_Toc68611944" w:id="43"/>
      <w:r w:rsidRPr="00412C6F">
        <w:t>11. Questions of a Sensitive Nature</w:t>
      </w:r>
      <w:bookmarkEnd w:id="41"/>
      <w:bookmarkEnd w:id="42"/>
      <w:bookmarkEnd w:id="43"/>
      <w:r w:rsidR="006A710C">
        <w:t xml:space="preserve"> </w:t>
      </w:r>
    </w:p>
    <w:p w:rsidR="00E0383F" w:rsidP="002D4D3A" w:rsidRDefault="004F7877" w14:paraId="72B68113" w14:textId="62722B9C">
      <w:pPr>
        <w:pStyle w:val="BodyText"/>
      </w:pPr>
      <w:r>
        <w:t xml:space="preserve">The </w:t>
      </w:r>
      <w:r w:rsidR="00466F54">
        <w:t xml:space="preserve">MBECS </w:t>
      </w:r>
      <w:r w:rsidR="00E95E30">
        <w:t xml:space="preserve">core </w:t>
      </w:r>
      <w:r w:rsidR="000B7493">
        <w:t xml:space="preserve">questionnaire </w:t>
      </w:r>
      <w:r w:rsidR="009D7364">
        <w:t xml:space="preserve">asks about </w:t>
      </w:r>
      <w:r w:rsidRPr="009D7364" w:rsidR="009D7364">
        <w:rPr>
          <w:bCs/>
        </w:rPr>
        <w:t xml:space="preserve">minority Medicare beneficiaries’ </w:t>
      </w:r>
      <w:r w:rsidRPr="009D7364" w:rsidR="009D7364">
        <w:t xml:space="preserve">communication with medical professionals, coordination of health care, experiences getting needed health care, and experiences with personal </w:t>
      </w:r>
      <w:r w:rsidR="00615CDD">
        <w:t>health care providers</w:t>
      </w:r>
      <w:r w:rsidRPr="009D7364" w:rsidR="00615CDD">
        <w:t xml:space="preserve"> </w:t>
      </w:r>
      <w:r w:rsidRPr="009D7364" w:rsidR="009D7364">
        <w:t>and specialists</w:t>
      </w:r>
      <w:r w:rsidR="009D7364">
        <w:t>. These topics are not considered sensitive.</w:t>
      </w:r>
      <w:r w:rsidR="0032398B">
        <w:t xml:space="preserve"> </w:t>
      </w:r>
    </w:p>
    <w:p w:rsidR="00D61338" w:rsidP="002D4D3A" w:rsidRDefault="00E0383F" w14:paraId="78117886" w14:textId="61ECAABF">
      <w:pPr>
        <w:pStyle w:val="BodyText"/>
      </w:pPr>
      <w:r>
        <w:t>Depending on the selected population of interest, the research questions to be answered with the population-specific modules, and the data sources from which questions are pulled, questions could be considered sensitive in nature. When submitting specific collection requests for review, we will include any questions for the population-specific module that could be considered sensitive in nature.</w:t>
      </w:r>
    </w:p>
    <w:p w:rsidRPr="00412C6F" w:rsidR="009B633D" w:rsidP="00A21201" w:rsidRDefault="009B633D" w14:paraId="12388C67" w14:textId="0416293F">
      <w:pPr>
        <w:pStyle w:val="Heading2"/>
      </w:pPr>
      <w:bookmarkStart w:name="_Toc151782187" w:id="44"/>
      <w:bookmarkStart w:name="_Toc158526227" w:id="45"/>
      <w:bookmarkStart w:name="_Toc68611945" w:id="46"/>
      <w:r w:rsidRPr="00412C6F">
        <w:t xml:space="preserve">12. Estimates of </w:t>
      </w:r>
      <w:r w:rsidR="003B3D4D">
        <w:t>Individual Population of Interest</w:t>
      </w:r>
      <w:r w:rsidRPr="00412C6F" w:rsidR="003B3D4D">
        <w:t xml:space="preserve"> </w:t>
      </w:r>
      <w:r w:rsidR="00437AF6">
        <w:t xml:space="preserve">and Total </w:t>
      </w:r>
      <w:r w:rsidRPr="00412C6F">
        <w:t>Burden Hours and Costs</w:t>
      </w:r>
      <w:bookmarkEnd w:id="44"/>
      <w:bookmarkEnd w:id="45"/>
      <w:bookmarkEnd w:id="46"/>
    </w:p>
    <w:p w:rsidRPr="002F33CD" w:rsidR="00E16AC7" w:rsidP="002D4D3A" w:rsidRDefault="00356D4B" w14:paraId="2C56A048" w14:textId="3EEC7378">
      <w:pPr>
        <w:pStyle w:val="BodyText"/>
      </w:pPr>
      <w:r>
        <w:t xml:space="preserve">Each </w:t>
      </w:r>
      <w:r w:rsidR="00437AF6">
        <w:t xml:space="preserve">of the proposed </w:t>
      </w:r>
      <w:r w:rsidR="000E020C">
        <w:t>MBECS questionnaire</w:t>
      </w:r>
      <w:r w:rsidR="00437AF6">
        <w:t>s</w:t>
      </w:r>
      <w:r w:rsidR="000E020C">
        <w:t xml:space="preserve"> </w:t>
      </w:r>
      <w:r w:rsidR="00437AF6">
        <w:t xml:space="preserve">are </w:t>
      </w:r>
      <w:r w:rsidR="000E020C">
        <w:t xml:space="preserve">estimated to average 20 minutes </w:t>
      </w:r>
      <w:r w:rsidR="00437AF6">
        <w:t xml:space="preserve">to complete a </w:t>
      </w:r>
      <w:r w:rsidR="000E020C">
        <w:t>survey</w:t>
      </w:r>
      <w:r w:rsidR="00AD06A9">
        <w:t>, across all modes of administration</w:t>
      </w:r>
      <w:r w:rsidR="000E020C">
        <w:t xml:space="preserve">. </w:t>
      </w:r>
      <w:r w:rsidR="00AD06A9">
        <w:t>This estimate is based on the estimated administration time for the 2016 FFS CAHPS questionnaire,</w:t>
      </w:r>
      <w:r w:rsidR="002F263D">
        <w:rPr>
          <w:rStyle w:val="EndnoteReference"/>
        </w:rPr>
        <w:endnoteReference w:id="14"/>
      </w:r>
      <w:r w:rsidR="00AD06A9">
        <w:t xml:space="preserve"> since the MBECS questionnaire is similar in content and </w:t>
      </w:r>
      <w:r w:rsidR="002F263D">
        <w:t>length</w:t>
      </w:r>
      <w:r w:rsidR="00AD06A9">
        <w:t xml:space="preserve">. </w:t>
      </w:r>
      <w:r w:rsidR="0062198E">
        <w:t xml:space="preserve">The number of completed surveys will vary by the sample size requirements of </w:t>
      </w:r>
      <w:r>
        <w:t xml:space="preserve">each </w:t>
      </w:r>
      <w:r w:rsidR="0062198E">
        <w:t>minority population</w:t>
      </w:r>
      <w:r w:rsidR="003D431C">
        <w:t>s</w:t>
      </w:r>
      <w:r w:rsidR="0062198E">
        <w:t xml:space="preserve"> of interest. The estimates included below in based on current data sources and are therefore subject to change. Updated estimates will be provided for each specific population of interest when submitting individual collections requests. CMS OMH es</w:t>
      </w:r>
      <w:r w:rsidR="0074032E">
        <w:t xml:space="preserve">timates that </w:t>
      </w:r>
      <w:r w:rsidRPr="002F33CD" w:rsidR="0074032E">
        <w:t xml:space="preserve">approximately </w:t>
      </w:r>
      <w:r>
        <w:t>13,000</w:t>
      </w:r>
      <w:r w:rsidR="002F33CD">
        <w:t xml:space="preserve"> </w:t>
      </w:r>
      <w:r w:rsidRPr="002F33CD" w:rsidR="0062198E">
        <w:t xml:space="preserve">respondents will complete </w:t>
      </w:r>
      <w:r w:rsidR="002F33CD">
        <w:t xml:space="preserve">the </w:t>
      </w:r>
      <w:r w:rsidRPr="002F33CD" w:rsidR="0062198E">
        <w:t xml:space="preserve">surveys, </w:t>
      </w:r>
      <w:r w:rsidRPr="002F33CD" w:rsidR="00BD52A9">
        <w:t>over the course of a three year period</w:t>
      </w:r>
      <w:r w:rsidRPr="002F33CD" w:rsidR="0062198E">
        <w:t>. For the purposes of calculating</w:t>
      </w:r>
      <w:r w:rsidR="0062198E">
        <w:t xml:space="preserve"> annualized burden, a maximum expected number o</w:t>
      </w:r>
      <w:r w:rsidR="0074032E">
        <w:t xml:space="preserve">f </w:t>
      </w:r>
      <w:r w:rsidR="002F33CD">
        <w:t>one</w:t>
      </w:r>
      <w:r w:rsidR="003D431C">
        <w:t xml:space="preserve"> survey</w:t>
      </w:r>
      <w:r w:rsidR="0062198E">
        <w:t xml:space="preserve"> </w:t>
      </w:r>
      <w:r w:rsidR="002F33CD">
        <w:t xml:space="preserve">per year </w:t>
      </w:r>
      <w:r w:rsidR="00BD52A9">
        <w:t>over the three year period</w:t>
      </w:r>
      <w:r w:rsidR="0062198E">
        <w:t xml:space="preserve"> has been used, </w:t>
      </w:r>
      <w:r w:rsidRPr="002C0FA6" w:rsidR="0062198E">
        <w:t xml:space="preserve">with an average response of </w:t>
      </w:r>
      <w:r w:rsidRPr="001B72E6" w:rsidR="0062198E">
        <w:t>.33 hours (20 minutes)</w:t>
      </w:r>
      <w:r w:rsidR="0062198E">
        <w:t>,</w:t>
      </w:r>
      <w:r w:rsidRPr="002C0FA6" w:rsidR="0062198E">
        <w:t xml:space="preserve"> for </w:t>
      </w:r>
      <w:r w:rsidR="00916581">
        <w:t>a</w:t>
      </w:r>
      <w:r w:rsidR="002F33CD">
        <w:t xml:space="preserve">pproximately </w:t>
      </w:r>
      <w:r>
        <w:t xml:space="preserve">1,430 </w:t>
      </w:r>
      <w:r w:rsidR="002F33CD">
        <w:t>annual</w:t>
      </w:r>
      <w:r w:rsidR="00B84320">
        <w:t>ized</w:t>
      </w:r>
      <w:r w:rsidR="002F33CD">
        <w:t xml:space="preserve"> burden hours </w:t>
      </w:r>
      <w:r>
        <w:t>each year</w:t>
      </w:r>
      <w:r w:rsidR="002F33CD">
        <w:t xml:space="preserve">. </w:t>
      </w:r>
      <w:r w:rsidR="0062198E">
        <w:t xml:space="preserve"> </w:t>
      </w:r>
    </w:p>
    <w:p w:rsidRPr="00916581" w:rsidR="00B675E1" w:rsidP="002D4D3A" w:rsidRDefault="0099335F" w14:paraId="60BCE2DD" w14:textId="752602C2">
      <w:pPr>
        <w:pStyle w:val="BodyText"/>
      </w:pPr>
      <w:r>
        <w:t>Table</w:t>
      </w:r>
      <w:r w:rsidRPr="002C0FA6">
        <w:t xml:space="preserve"> </w:t>
      </w:r>
      <w:r w:rsidR="00105011">
        <w:t>1</w:t>
      </w:r>
      <w:r w:rsidRPr="002C0FA6" w:rsidR="002C0FA6">
        <w:t xml:space="preserve"> below shows the estimate</w:t>
      </w:r>
      <w:r w:rsidR="00192EA6">
        <w:t>d</w:t>
      </w:r>
      <w:r w:rsidRPr="002C0FA6" w:rsidR="002C0FA6">
        <w:t xml:space="preserve"> total burden hours </w:t>
      </w:r>
      <w:r w:rsidR="00437AF6">
        <w:t xml:space="preserve">across the three years of data collection </w:t>
      </w:r>
      <w:r w:rsidRPr="002C0FA6" w:rsidR="002C0FA6">
        <w:t xml:space="preserve">for </w:t>
      </w:r>
      <w:r w:rsidR="00B675E1">
        <w:t xml:space="preserve">the </w:t>
      </w:r>
      <w:r w:rsidR="00437AF6">
        <w:t xml:space="preserve">umbrella </w:t>
      </w:r>
      <w:r w:rsidR="00B675E1">
        <w:t>MBECS data collection system</w:t>
      </w:r>
      <w:r w:rsidR="002F33CD">
        <w:t>, assuming an</w:t>
      </w:r>
      <w:r w:rsidR="00DE2ED0">
        <w:t xml:space="preserve"> average of one survey conducted per year</w:t>
      </w:r>
      <w:r w:rsidR="00B675E1">
        <w:t xml:space="preserve">. </w:t>
      </w:r>
    </w:p>
    <w:p w:rsidR="00414C80" w:rsidP="00A21201" w:rsidRDefault="00BD52A9" w14:paraId="227D7124" w14:textId="4E44C051">
      <w:pPr>
        <w:spacing w:after="120"/>
      </w:pPr>
      <w:bookmarkStart w:name="OLE_LINK1" w:id="47"/>
      <w:bookmarkStart w:name="OLE_LINK2" w:id="48"/>
      <w:r>
        <w:rPr>
          <w:b/>
          <w:bCs/>
          <w:color w:val="000000"/>
        </w:rPr>
        <w:t xml:space="preserve">Table </w:t>
      </w:r>
      <w:r w:rsidR="00105011">
        <w:rPr>
          <w:b/>
          <w:bCs/>
          <w:color w:val="000000"/>
        </w:rPr>
        <w:t>1</w:t>
      </w:r>
      <w:r w:rsidR="00414C80">
        <w:rPr>
          <w:b/>
          <w:bCs/>
          <w:color w:val="000000"/>
        </w:rPr>
        <w:t>.</w:t>
      </w:r>
      <w:r w:rsidR="00940A05">
        <w:rPr>
          <w:b/>
          <w:bCs/>
          <w:color w:val="000000"/>
        </w:rPr>
        <w:t xml:space="preserve"> </w:t>
      </w:r>
      <w:r w:rsidR="00414C80">
        <w:rPr>
          <w:b/>
          <w:bCs/>
          <w:color w:val="000000"/>
        </w:rPr>
        <w:t>Estimate</w:t>
      </w:r>
      <w:r w:rsidR="00037998">
        <w:rPr>
          <w:b/>
          <w:bCs/>
          <w:color w:val="000000"/>
        </w:rPr>
        <w:t xml:space="preserve">d </w:t>
      </w:r>
      <w:r w:rsidR="0062198E">
        <w:rPr>
          <w:b/>
          <w:bCs/>
          <w:color w:val="000000"/>
        </w:rPr>
        <w:t xml:space="preserve">total </w:t>
      </w:r>
      <w:r w:rsidR="00037998">
        <w:rPr>
          <w:b/>
          <w:bCs/>
          <w:color w:val="000000"/>
        </w:rPr>
        <w:t>burden hours</w:t>
      </w:r>
      <w:r w:rsidR="0062198E">
        <w:rPr>
          <w:b/>
          <w:bCs/>
          <w:color w:val="000000"/>
        </w:rPr>
        <w:t xml:space="preserve"> </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842"/>
        <w:gridCol w:w="1423"/>
        <w:gridCol w:w="1423"/>
        <w:gridCol w:w="1423"/>
        <w:gridCol w:w="1424"/>
      </w:tblGrid>
      <w:tr w:rsidR="00E97584" w:rsidTr="00DA2E7E" w14:paraId="7548861C" w14:textId="1621F607">
        <w:tc>
          <w:tcPr>
            <w:tcW w:w="3842" w:type="dxa"/>
            <w:shd w:val="clear" w:color="auto" w:fill="auto"/>
            <w:tcMar>
              <w:top w:w="58" w:type="dxa"/>
              <w:left w:w="58" w:type="dxa"/>
              <w:bottom w:w="58" w:type="dxa"/>
              <w:right w:w="58" w:type="dxa"/>
            </w:tcMar>
            <w:vAlign w:val="center"/>
          </w:tcPr>
          <w:p w:rsidRPr="00A21201" w:rsidR="00E97584" w:rsidP="009C4881" w:rsidRDefault="004C4A74" w14:paraId="416A46AC" w14:textId="3D741CDD">
            <w:pPr>
              <w:jc w:val="center"/>
              <w:rPr>
                <w:b/>
              </w:rPr>
            </w:pPr>
            <w:r w:rsidRPr="00A21201">
              <w:rPr>
                <w:b/>
                <w:color w:val="000000"/>
                <w:sz w:val="20"/>
                <w:szCs w:val="20"/>
              </w:rPr>
              <w:t>Form Name</w:t>
            </w:r>
          </w:p>
        </w:tc>
        <w:tc>
          <w:tcPr>
            <w:tcW w:w="1423" w:type="dxa"/>
            <w:shd w:val="clear" w:color="auto" w:fill="auto"/>
            <w:tcMar>
              <w:top w:w="58" w:type="dxa"/>
              <w:left w:w="58" w:type="dxa"/>
              <w:bottom w:w="58" w:type="dxa"/>
              <w:right w:w="58" w:type="dxa"/>
            </w:tcMar>
            <w:vAlign w:val="center"/>
          </w:tcPr>
          <w:p w:rsidRPr="00A21201" w:rsidR="00E97584" w:rsidP="009C4881" w:rsidRDefault="00015AAF" w14:paraId="25261119" w14:textId="28E0ACE8">
            <w:pPr>
              <w:jc w:val="center"/>
              <w:rPr>
                <w:b/>
              </w:rPr>
            </w:pPr>
            <w:r w:rsidRPr="00A21201">
              <w:rPr>
                <w:b/>
                <w:color w:val="000000"/>
                <w:sz w:val="20"/>
                <w:szCs w:val="20"/>
              </w:rPr>
              <w:t>Number of r</w:t>
            </w:r>
            <w:r w:rsidRPr="00A21201" w:rsidR="00E97584">
              <w:rPr>
                <w:b/>
                <w:color w:val="000000"/>
                <w:sz w:val="20"/>
                <w:szCs w:val="20"/>
              </w:rPr>
              <w:t>espondents</w:t>
            </w:r>
          </w:p>
        </w:tc>
        <w:tc>
          <w:tcPr>
            <w:tcW w:w="1423" w:type="dxa"/>
            <w:shd w:val="clear" w:color="auto" w:fill="auto"/>
            <w:tcMar>
              <w:top w:w="58" w:type="dxa"/>
              <w:left w:w="58" w:type="dxa"/>
              <w:bottom w:w="58" w:type="dxa"/>
              <w:right w:w="58" w:type="dxa"/>
            </w:tcMar>
            <w:vAlign w:val="center"/>
          </w:tcPr>
          <w:p w:rsidRPr="00A21201" w:rsidR="00E97584" w:rsidP="009C4881" w:rsidRDefault="00E97584" w14:paraId="406AB30A" w14:textId="57071683">
            <w:pPr>
              <w:jc w:val="center"/>
              <w:rPr>
                <w:b/>
                <w:sz w:val="20"/>
                <w:szCs w:val="20"/>
              </w:rPr>
            </w:pPr>
            <w:r w:rsidRPr="00A21201">
              <w:rPr>
                <w:b/>
                <w:sz w:val="20"/>
                <w:szCs w:val="20"/>
              </w:rPr>
              <w:t>Number of responses per respondent</w:t>
            </w:r>
          </w:p>
        </w:tc>
        <w:tc>
          <w:tcPr>
            <w:tcW w:w="1423" w:type="dxa"/>
            <w:tcMar>
              <w:top w:w="58" w:type="dxa"/>
              <w:left w:w="58" w:type="dxa"/>
              <w:bottom w:w="58" w:type="dxa"/>
              <w:right w:w="58" w:type="dxa"/>
            </w:tcMar>
            <w:vAlign w:val="center"/>
          </w:tcPr>
          <w:p w:rsidRPr="00A21201" w:rsidR="00E97584" w:rsidP="009C4881" w:rsidRDefault="00B238AD" w14:paraId="586360FF" w14:textId="438410EA">
            <w:pPr>
              <w:jc w:val="center"/>
              <w:rPr>
                <w:b/>
              </w:rPr>
            </w:pPr>
            <w:r w:rsidRPr="00A21201">
              <w:rPr>
                <w:b/>
                <w:color w:val="000000"/>
                <w:sz w:val="20"/>
                <w:szCs w:val="20"/>
              </w:rPr>
              <w:t>Hours per response</w:t>
            </w:r>
          </w:p>
        </w:tc>
        <w:tc>
          <w:tcPr>
            <w:tcW w:w="1424" w:type="dxa"/>
            <w:shd w:val="clear" w:color="auto" w:fill="auto"/>
            <w:tcMar>
              <w:top w:w="58" w:type="dxa"/>
              <w:left w:w="58" w:type="dxa"/>
              <w:bottom w:w="58" w:type="dxa"/>
              <w:right w:w="58" w:type="dxa"/>
            </w:tcMar>
            <w:vAlign w:val="center"/>
          </w:tcPr>
          <w:p w:rsidRPr="00A21201" w:rsidR="00E97584" w:rsidP="009C4881" w:rsidRDefault="00015AAF" w14:paraId="778CF2B8" w14:textId="120CF50F">
            <w:pPr>
              <w:jc w:val="center"/>
              <w:rPr>
                <w:b/>
              </w:rPr>
            </w:pPr>
            <w:r w:rsidRPr="00A21201">
              <w:rPr>
                <w:b/>
                <w:color w:val="000000"/>
                <w:sz w:val="20"/>
                <w:szCs w:val="20"/>
              </w:rPr>
              <w:t>Total b</w:t>
            </w:r>
            <w:r w:rsidRPr="00A21201" w:rsidR="00E97584">
              <w:rPr>
                <w:b/>
                <w:color w:val="000000"/>
                <w:sz w:val="20"/>
                <w:szCs w:val="20"/>
              </w:rPr>
              <w:t>urden hours</w:t>
            </w:r>
          </w:p>
        </w:tc>
      </w:tr>
      <w:tr w:rsidR="00254912" w:rsidTr="00DA2E7E" w14:paraId="437EB86C" w14:textId="4944C07D">
        <w:tc>
          <w:tcPr>
            <w:tcW w:w="3842" w:type="dxa"/>
            <w:shd w:val="clear" w:color="auto" w:fill="auto"/>
            <w:tcMar>
              <w:top w:w="58" w:type="dxa"/>
              <w:left w:w="58" w:type="dxa"/>
              <w:bottom w:w="58" w:type="dxa"/>
              <w:right w:w="58" w:type="dxa"/>
            </w:tcMar>
            <w:vAlign w:val="center"/>
          </w:tcPr>
          <w:p w:rsidRPr="00A21201" w:rsidR="00254912" w:rsidP="003830BB" w:rsidRDefault="002F33CD" w14:paraId="7A4DD761" w14:textId="3E92B65F">
            <w:pPr>
              <w:rPr>
                <w:sz w:val="20"/>
                <w:szCs w:val="20"/>
              </w:rPr>
            </w:pPr>
            <w:r w:rsidRPr="00A21201">
              <w:rPr>
                <w:sz w:val="20"/>
                <w:szCs w:val="20"/>
              </w:rPr>
              <w:t>MBECS survey</w:t>
            </w:r>
            <w:r w:rsidRPr="00A21201" w:rsidR="003830BB">
              <w:rPr>
                <w:sz w:val="20"/>
                <w:szCs w:val="20"/>
              </w:rPr>
              <w:t>s (3)</w:t>
            </w:r>
          </w:p>
        </w:tc>
        <w:tc>
          <w:tcPr>
            <w:tcW w:w="1423" w:type="dxa"/>
            <w:shd w:val="clear" w:color="auto" w:fill="auto"/>
            <w:tcMar>
              <w:top w:w="58" w:type="dxa"/>
              <w:left w:w="58" w:type="dxa"/>
              <w:bottom w:w="58" w:type="dxa"/>
              <w:right w:w="58" w:type="dxa"/>
            </w:tcMar>
          </w:tcPr>
          <w:p w:rsidRPr="00A21201" w:rsidR="00254912" w:rsidP="00254912" w:rsidRDefault="00E16AC7" w14:paraId="174CA425" w14:textId="4AB273BD">
            <w:pPr>
              <w:jc w:val="center"/>
              <w:rPr>
                <w:sz w:val="20"/>
                <w:szCs w:val="20"/>
              </w:rPr>
            </w:pPr>
            <w:r w:rsidRPr="00A21201">
              <w:rPr>
                <w:sz w:val="20"/>
                <w:szCs w:val="20"/>
              </w:rPr>
              <w:t>1</w:t>
            </w:r>
            <w:r w:rsidRPr="00A21201" w:rsidR="00916581">
              <w:rPr>
                <w:sz w:val="20"/>
                <w:szCs w:val="20"/>
              </w:rPr>
              <w:t>3,000</w:t>
            </w:r>
            <w:r w:rsidRPr="00A21201" w:rsidR="00254912">
              <w:rPr>
                <w:sz w:val="20"/>
                <w:szCs w:val="20"/>
              </w:rPr>
              <w:t xml:space="preserve"> </w:t>
            </w:r>
          </w:p>
        </w:tc>
        <w:tc>
          <w:tcPr>
            <w:tcW w:w="1423" w:type="dxa"/>
            <w:shd w:val="clear" w:color="auto" w:fill="auto"/>
            <w:tcMar>
              <w:top w:w="58" w:type="dxa"/>
              <w:left w:w="58" w:type="dxa"/>
              <w:bottom w:w="58" w:type="dxa"/>
              <w:right w:w="58" w:type="dxa"/>
            </w:tcMar>
            <w:vAlign w:val="center"/>
          </w:tcPr>
          <w:p w:rsidRPr="00A21201" w:rsidR="00254912" w:rsidP="00254912" w:rsidRDefault="00254912" w14:paraId="7241D550" w14:textId="77BA6EB6">
            <w:pPr>
              <w:jc w:val="center"/>
              <w:rPr>
                <w:sz w:val="20"/>
                <w:szCs w:val="20"/>
              </w:rPr>
            </w:pPr>
            <w:r w:rsidRPr="00A21201">
              <w:rPr>
                <w:sz w:val="20"/>
                <w:szCs w:val="20"/>
              </w:rPr>
              <w:t>1</w:t>
            </w:r>
          </w:p>
        </w:tc>
        <w:tc>
          <w:tcPr>
            <w:tcW w:w="1423" w:type="dxa"/>
            <w:tcMar>
              <w:top w:w="58" w:type="dxa"/>
              <w:left w:w="58" w:type="dxa"/>
              <w:bottom w:w="58" w:type="dxa"/>
              <w:right w:w="58" w:type="dxa"/>
            </w:tcMar>
            <w:vAlign w:val="center"/>
          </w:tcPr>
          <w:p w:rsidRPr="00A21201" w:rsidR="00254912" w:rsidP="00254912" w:rsidRDefault="00254912" w14:paraId="62A14EE7" w14:textId="29C346D1">
            <w:pPr>
              <w:jc w:val="center"/>
              <w:rPr>
                <w:sz w:val="20"/>
                <w:szCs w:val="20"/>
              </w:rPr>
            </w:pPr>
            <w:r w:rsidRPr="00A21201">
              <w:rPr>
                <w:sz w:val="20"/>
                <w:szCs w:val="20"/>
              </w:rPr>
              <w:t>.33</w:t>
            </w:r>
          </w:p>
        </w:tc>
        <w:tc>
          <w:tcPr>
            <w:tcW w:w="1424" w:type="dxa"/>
            <w:shd w:val="clear" w:color="auto" w:fill="auto"/>
            <w:tcMar>
              <w:top w:w="58" w:type="dxa"/>
              <w:left w:w="58" w:type="dxa"/>
              <w:bottom w:w="58" w:type="dxa"/>
              <w:right w:w="58" w:type="dxa"/>
            </w:tcMar>
            <w:vAlign w:val="center"/>
          </w:tcPr>
          <w:p w:rsidRPr="00A21201" w:rsidR="00254912" w:rsidP="0033641B" w:rsidRDefault="003830BB" w14:paraId="615CE309" w14:textId="1D6B3746">
            <w:pPr>
              <w:jc w:val="center"/>
              <w:rPr>
                <w:sz w:val="20"/>
                <w:szCs w:val="20"/>
              </w:rPr>
            </w:pPr>
            <w:r w:rsidRPr="00A21201">
              <w:rPr>
                <w:sz w:val="20"/>
                <w:szCs w:val="20"/>
              </w:rPr>
              <w:t>4,290</w:t>
            </w:r>
          </w:p>
        </w:tc>
      </w:tr>
      <w:tr w:rsidR="003B3D4D" w:rsidTr="00DA2E7E" w14:paraId="326FC27B" w14:textId="3E5C7589">
        <w:tc>
          <w:tcPr>
            <w:tcW w:w="3842" w:type="dxa"/>
            <w:shd w:val="clear" w:color="auto" w:fill="auto"/>
            <w:tcMar>
              <w:top w:w="58" w:type="dxa"/>
              <w:left w:w="58" w:type="dxa"/>
              <w:bottom w:w="58" w:type="dxa"/>
              <w:right w:w="58" w:type="dxa"/>
            </w:tcMar>
            <w:vAlign w:val="center"/>
          </w:tcPr>
          <w:p w:rsidRPr="00A21201" w:rsidR="003B3D4D" w:rsidP="003B3D4D" w:rsidRDefault="003B3D4D" w14:paraId="6F75CD24" w14:textId="2E234D07">
            <w:pPr>
              <w:rPr>
                <w:b/>
                <w:sz w:val="20"/>
                <w:szCs w:val="20"/>
              </w:rPr>
            </w:pPr>
            <w:r w:rsidRPr="00A21201">
              <w:rPr>
                <w:b/>
                <w:bCs/>
                <w:color w:val="000000"/>
                <w:sz w:val="20"/>
                <w:szCs w:val="20"/>
              </w:rPr>
              <w:t xml:space="preserve">Total </w:t>
            </w:r>
          </w:p>
        </w:tc>
        <w:tc>
          <w:tcPr>
            <w:tcW w:w="1423" w:type="dxa"/>
            <w:shd w:val="clear" w:color="auto" w:fill="auto"/>
            <w:tcMar>
              <w:top w:w="58" w:type="dxa"/>
              <w:left w:w="58" w:type="dxa"/>
              <w:bottom w:w="58" w:type="dxa"/>
              <w:right w:w="58" w:type="dxa"/>
            </w:tcMar>
          </w:tcPr>
          <w:p w:rsidRPr="00A21201" w:rsidR="003B3D4D" w:rsidP="003B3D4D" w:rsidRDefault="003830BB" w14:paraId="154BC9FA" w14:textId="32873B46">
            <w:pPr>
              <w:jc w:val="center"/>
              <w:rPr>
                <w:b/>
                <w:sz w:val="20"/>
                <w:szCs w:val="20"/>
              </w:rPr>
            </w:pPr>
            <w:r w:rsidRPr="00A21201">
              <w:rPr>
                <w:b/>
                <w:sz w:val="20"/>
                <w:szCs w:val="20"/>
              </w:rPr>
              <w:t>13,000</w:t>
            </w:r>
            <w:r w:rsidRPr="00A21201" w:rsidR="003B3D4D">
              <w:rPr>
                <w:b/>
                <w:sz w:val="20"/>
                <w:szCs w:val="20"/>
              </w:rPr>
              <w:t xml:space="preserve"> </w:t>
            </w:r>
          </w:p>
        </w:tc>
        <w:tc>
          <w:tcPr>
            <w:tcW w:w="1423" w:type="dxa"/>
            <w:shd w:val="clear" w:color="auto" w:fill="auto"/>
            <w:tcMar>
              <w:top w:w="58" w:type="dxa"/>
              <w:left w:w="58" w:type="dxa"/>
              <w:bottom w:w="58" w:type="dxa"/>
              <w:right w:w="58" w:type="dxa"/>
            </w:tcMar>
            <w:vAlign w:val="center"/>
          </w:tcPr>
          <w:p w:rsidRPr="00A21201" w:rsidR="003B3D4D" w:rsidP="003B3D4D" w:rsidRDefault="003B3D4D" w14:paraId="179044E1" w14:textId="000E0F9E">
            <w:pPr>
              <w:jc w:val="center"/>
              <w:rPr>
                <w:b/>
                <w:sz w:val="20"/>
                <w:szCs w:val="20"/>
              </w:rPr>
            </w:pPr>
          </w:p>
        </w:tc>
        <w:tc>
          <w:tcPr>
            <w:tcW w:w="1423" w:type="dxa"/>
            <w:tcMar>
              <w:top w:w="58" w:type="dxa"/>
              <w:left w:w="58" w:type="dxa"/>
              <w:bottom w:w="58" w:type="dxa"/>
              <w:right w:w="58" w:type="dxa"/>
            </w:tcMar>
            <w:vAlign w:val="center"/>
          </w:tcPr>
          <w:p w:rsidRPr="00A21201" w:rsidR="003B3D4D" w:rsidP="003B3D4D" w:rsidRDefault="003B3D4D" w14:paraId="14AF230A" w14:textId="10273B51">
            <w:pPr>
              <w:jc w:val="center"/>
              <w:rPr>
                <w:b/>
                <w:sz w:val="20"/>
                <w:szCs w:val="20"/>
              </w:rPr>
            </w:pPr>
            <w:r w:rsidRPr="00A21201">
              <w:rPr>
                <w:b/>
                <w:sz w:val="20"/>
                <w:szCs w:val="20"/>
              </w:rPr>
              <w:t>.33</w:t>
            </w:r>
          </w:p>
        </w:tc>
        <w:tc>
          <w:tcPr>
            <w:tcW w:w="1424" w:type="dxa"/>
            <w:shd w:val="clear" w:color="auto" w:fill="auto"/>
            <w:tcMar>
              <w:top w:w="58" w:type="dxa"/>
              <w:left w:w="58" w:type="dxa"/>
              <w:bottom w:w="58" w:type="dxa"/>
              <w:right w:w="58" w:type="dxa"/>
            </w:tcMar>
            <w:vAlign w:val="center"/>
          </w:tcPr>
          <w:p w:rsidRPr="00A21201" w:rsidR="003B3D4D" w:rsidP="003B3D4D" w:rsidRDefault="003830BB" w14:paraId="1DDFEC0F" w14:textId="08F9C945">
            <w:pPr>
              <w:jc w:val="center"/>
              <w:rPr>
                <w:b/>
                <w:sz w:val="20"/>
                <w:szCs w:val="20"/>
              </w:rPr>
            </w:pPr>
            <w:r w:rsidRPr="00A21201">
              <w:rPr>
                <w:b/>
                <w:sz w:val="20"/>
                <w:szCs w:val="20"/>
              </w:rPr>
              <w:t>4,290</w:t>
            </w:r>
          </w:p>
        </w:tc>
      </w:tr>
    </w:tbl>
    <w:bookmarkEnd w:id="47"/>
    <w:bookmarkEnd w:id="48"/>
    <w:p w:rsidR="00FF6327" w:rsidP="00A21201" w:rsidRDefault="00916581" w14:paraId="10D6A547" w14:textId="58DE85DB">
      <w:pPr>
        <w:pStyle w:val="BodyText"/>
        <w:spacing w:before="240"/>
      </w:pPr>
      <w:r>
        <w:lastRenderedPageBreak/>
        <w:t>Table</w:t>
      </w:r>
      <w:r w:rsidR="00BD52A9">
        <w:t xml:space="preserve"> </w:t>
      </w:r>
      <w:r w:rsidR="00105011">
        <w:t>2</w:t>
      </w:r>
      <w:r w:rsidR="00BD52A9">
        <w:t xml:space="preserve"> </w:t>
      </w:r>
      <w:r w:rsidRPr="002C0FA6" w:rsidR="002C0FA6">
        <w:t>below outline</w:t>
      </w:r>
      <w:r>
        <w:t>s</w:t>
      </w:r>
      <w:r w:rsidRPr="002C0FA6" w:rsidR="002C0FA6">
        <w:t xml:space="preserve"> the cost burden for </w:t>
      </w:r>
      <w:r w:rsidR="0099335F">
        <w:t xml:space="preserve">fielding a survey to </w:t>
      </w:r>
      <w:r>
        <w:t xml:space="preserve">both </w:t>
      </w:r>
      <w:r w:rsidR="0099335F">
        <w:t>population</w:t>
      </w:r>
      <w:r>
        <w:t>s</w:t>
      </w:r>
      <w:r w:rsidR="0099335F">
        <w:t xml:space="preserve"> of interest</w:t>
      </w:r>
      <w:r w:rsidRPr="002C0FA6" w:rsidR="002C0FA6">
        <w:t>.</w:t>
      </w:r>
      <w:r w:rsidR="00940A05">
        <w:t xml:space="preserve"> </w:t>
      </w:r>
      <w:r w:rsidRPr="00582513" w:rsidR="00FF6327">
        <w:t xml:space="preserve">We recommend using the BLS hourly wage rate for </w:t>
      </w:r>
      <w:r w:rsidRPr="00247EAE" w:rsidR="00FF6327">
        <w:rPr>
          <w:i/>
        </w:rPr>
        <w:t>All Occupations</w:t>
      </w:r>
      <w:r w:rsidRPr="00582513" w:rsidR="00FF6327">
        <w:t xml:space="preserve"> </w:t>
      </w:r>
      <w:r w:rsidR="00FF6327">
        <w:t xml:space="preserve">for </w:t>
      </w:r>
      <w:r w:rsidRPr="00582513" w:rsidR="00FF6327">
        <w:t xml:space="preserve">our respondent pool because the </w:t>
      </w:r>
      <w:r w:rsidRPr="00247EAE" w:rsidR="00FF6327">
        <w:t xml:space="preserve">group of individual respondents varies widely </w:t>
      </w:r>
      <w:r w:rsidR="00F43841">
        <w:t>across</w:t>
      </w:r>
      <w:r w:rsidRPr="00247EAE" w:rsidR="00FF6327">
        <w:t xml:space="preserve"> individuals </w:t>
      </w:r>
      <w:r w:rsidR="00F43841">
        <w:t>in terms of occupation,</w:t>
      </w:r>
      <w:r w:rsidRPr="00247EAE" w:rsidR="00FF6327">
        <w:t xml:space="preserve"> respondent age, location, years of employment, and educational attainment, etc. </w:t>
      </w:r>
    </w:p>
    <w:p w:rsidRPr="00B84320" w:rsidR="00FF6327" w:rsidP="002D4D3A" w:rsidRDefault="00FF6327" w14:paraId="2852B331" w14:textId="5A026F73">
      <w:pPr>
        <w:pStyle w:val="BodyText"/>
      </w:pPr>
      <w:r w:rsidRPr="00FF6327">
        <w:t>Based on the most recent Bureau of Labor and Statistics Occupational and Employment Data (May 20</w:t>
      </w:r>
      <w:r w:rsidR="00897ABA">
        <w:t>20</w:t>
      </w:r>
      <w:r w:rsidRPr="00FF6327">
        <w:t xml:space="preserve">) for Category </w:t>
      </w:r>
      <w:r>
        <w:t>00-0000</w:t>
      </w:r>
      <w:r w:rsidRPr="00FF6327">
        <w:t xml:space="preserve"> (</w:t>
      </w:r>
      <w:r>
        <w:t>All Occupations</w:t>
      </w:r>
      <w:r w:rsidRPr="00FF6327">
        <w:t xml:space="preserve">), the mean hourly wage for </w:t>
      </w:r>
      <w:r>
        <w:t>all occupations</w:t>
      </w:r>
      <w:r w:rsidRPr="00FF6327">
        <w:t xml:space="preserve"> is</w:t>
      </w:r>
      <w:r w:rsidR="00697DC2">
        <w:t xml:space="preserve"> </w:t>
      </w:r>
      <w:r w:rsidRPr="002D258B" w:rsidR="00697DC2">
        <w:t>$27.07</w:t>
      </w:r>
      <w:r w:rsidRPr="00FF6327">
        <w:t>.</w:t>
      </w:r>
      <w:bookmarkStart w:name="_ftnref1" w:id="49"/>
      <w:bookmarkEnd w:id="49"/>
      <w:r w:rsidRPr="00FF6327">
        <w:t xml:space="preserve"> We have added 100% of the mean hourly </w:t>
      </w:r>
      <w:r w:rsidRPr="00B84320">
        <w:t>wage to account for fringe and overhead benefits, which calculates to</w:t>
      </w:r>
      <w:r w:rsidR="00697DC2">
        <w:t xml:space="preserve"> $54.14</w:t>
      </w:r>
      <w:r w:rsidRPr="00B84320">
        <w:t xml:space="preserve"> (</w:t>
      </w:r>
      <w:r w:rsidR="00697DC2">
        <w:t>$27.07 +$27.07)</w:t>
      </w:r>
      <w:r w:rsidRPr="00B84320">
        <w:t>. </w:t>
      </w:r>
      <w:r w:rsidRPr="00B84320" w:rsidR="00916581">
        <w:t>A</w:t>
      </w:r>
      <w:r w:rsidRPr="00B84320">
        <w:t xml:space="preserve">ssuming </w:t>
      </w:r>
      <w:r w:rsidR="003830BB">
        <w:t>4,290</w:t>
      </w:r>
      <w:r w:rsidRPr="00B84320" w:rsidR="003830BB">
        <w:t xml:space="preserve"> </w:t>
      </w:r>
      <w:r w:rsidRPr="00B84320">
        <w:t>burden hours and an average hourly wage rate of $</w:t>
      </w:r>
      <w:r w:rsidR="00697DC2">
        <w:t>54.14</w:t>
      </w:r>
      <w:r w:rsidRPr="00B84320">
        <w:t>, we estimate the total cost to be $</w:t>
      </w:r>
      <w:r w:rsidR="00697DC2">
        <w:t>232,260.6</w:t>
      </w:r>
      <w:r w:rsidR="009B53FF">
        <w:t>0</w:t>
      </w:r>
      <w:r w:rsidRPr="00B84320" w:rsidR="00162997">
        <w:t>.</w:t>
      </w:r>
    </w:p>
    <w:p w:rsidRPr="00A21201" w:rsidR="006C52C3" w:rsidP="00A21201" w:rsidRDefault="006C52C3" w14:paraId="3935C80A" w14:textId="0D942417">
      <w:pPr>
        <w:pStyle w:val="BodyText"/>
        <w:rPr>
          <w:i/>
        </w:rPr>
      </w:pPr>
      <w:r w:rsidRPr="00A21201">
        <w:rPr>
          <w:i/>
        </w:rPr>
        <w:t>No</w:t>
      </w:r>
      <w:r w:rsidRPr="00A21201" w:rsidR="003D431C">
        <w:rPr>
          <w:i/>
        </w:rPr>
        <w:t xml:space="preserve">te – for Table </w:t>
      </w:r>
      <w:r w:rsidRPr="00A21201" w:rsidR="00105011">
        <w:rPr>
          <w:i/>
        </w:rPr>
        <w:t>2</w:t>
      </w:r>
      <w:r w:rsidRPr="00A21201">
        <w:rPr>
          <w:i/>
        </w:rPr>
        <w:t>, average hourly wage rate calculated using mean wages for 00-0000 All Occupations from the National Compensation Survey: Occupational wages in the United States May 20</w:t>
      </w:r>
      <w:r w:rsidR="009B53FF">
        <w:rPr>
          <w:i/>
        </w:rPr>
        <w:t>20</w:t>
      </w:r>
      <w:r w:rsidRPr="00A21201">
        <w:rPr>
          <w:i/>
        </w:rPr>
        <w:t xml:space="preserve"> “U.S. Department of Labor, Bureau of Labor Statistics:” </w:t>
      </w:r>
      <w:hyperlink w:history="1" r:id="rId8">
        <w:r w:rsidRPr="00A21201">
          <w:rPr>
            <w:rStyle w:val="Hyperlink"/>
            <w:i/>
          </w:rPr>
          <w:t>https://www.bls.gov/oes/current/oes_nat.htm</w:t>
        </w:r>
      </w:hyperlink>
      <w:r w:rsidRPr="00A21201">
        <w:rPr>
          <w:rStyle w:val="Hyperlink"/>
          <w:i/>
        </w:rPr>
        <w:t xml:space="preserve"> </w:t>
      </w:r>
      <w:r w:rsidRPr="00A21201">
        <w:rPr>
          <w:i/>
        </w:rPr>
        <w:t xml:space="preserve">. </w:t>
      </w:r>
    </w:p>
    <w:p w:rsidRPr="00B84320" w:rsidR="00037998" w:rsidP="00A21201" w:rsidRDefault="0099335F" w14:paraId="39299327" w14:textId="6084AF94">
      <w:pPr>
        <w:spacing w:after="100" w:afterAutospacing="1"/>
        <w:rPr>
          <w:b/>
        </w:rPr>
      </w:pPr>
      <w:r w:rsidRPr="00B84320">
        <w:rPr>
          <w:b/>
        </w:rPr>
        <w:t xml:space="preserve">Table </w:t>
      </w:r>
      <w:r w:rsidR="00105011">
        <w:rPr>
          <w:b/>
        </w:rPr>
        <w:t>2</w:t>
      </w:r>
      <w:r w:rsidRPr="00B84320" w:rsidR="00037998">
        <w:rPr>
          <w:b/>
        </w:rPr>
        <w:t>.</w:t>
      </w:r>
      <w:r w:rsidRPr="00B84320" w:rsidR="00940A05">
        <w:rPr>
          <w:b/>
        </w:rPr>
        <w:t xml:space="preserve"> </w:t>
      </w:r>
      <w:r w:rsidRPr="00B84320" w:rsidR="00037998">
        <w:rPr>
          <w:b/>
        </w:rPr>
        <w:t>Estimated cost burden</w:t>
      </w:r>
      <w:r w:rsidRPr="00B84320">
        <w:rPr>
          <w:b/>
        </w:rPr>
        <w:t xml:space="preserve"> </w:t>
      </w:r>
    </w:p>
    <w:tbl>
      <w:tblPr>
        <w:tblW w:w="9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865"/>
        <w:gridCol w:w="1389"/>
        <w:gridCol w:w="1389"/>
        <w:gridCol w:w="1389"/>
        <w:gridCol w:w="1390"/>
      </w:tblGrid>
      <w:tr w:rsidRPr="00B84320" w:rsidR="003C60BD" w:rsidTr="0045008B" w14:paraId="5F397B26" w14:textId="77777777">
        <w:tc>
          <w:tcPr>
            <w:tcW w:w="3865" w:type="dxa"/>
            <w:shd w:val="clear" w:color="auto" w:fill="auto"/>
            <w:tcMar>
              <w:top w:w="58" w:type="dxa"/>
              <w:left w:w="58" w:type="dxa"/>
              <w:bottom w:w="58" w:type="dxa"/>
              <w:right w:w="58" w:type="dxa"/>
            </w:tcMar>
            <w:vAlign w:val="center"/>
          </w:tcPr>
          <w:p w:rsidRPr="00A21201" w:rsidR="003C60BD" w:rsidP="009C4881" w:rsidRDefault="004C4A74" w14:paraId="0AFF0C93" w14:textId="77777777">
            <w:pPr>
              <w:jc w:val="center"/>
              <w:rPr>
                <w:b/>
              </w:rPr>
            </w:pPr>
            <w:r w:rsidRPr="00A21201">
              <w:rPr>
                <w:b/>
                <w:color w:val="000000"/>
                <w:sz w:val="20"/>
                <w:szCs w:val="20"/>
              </w:rPr>
              <w:t>Form Name</w:t>
            </w:r>
          </w:p>
        </w:tc>
        <w:tc>
          <w:tcPr>
            <w:tcW w:w="1389" w:type="dxa"/>
            <w:shd w:val="clear" w:color="auto" w:fill="auto"/>
            <w:tcMar>
              <w:top w:w="58" w:type="dxa"/>
              <w:left w:w="58" w:type="dxa"/>
              <w:bottom w:w="58" w:type="dxa"/>
              <w:right w:w="58" w:type="dxa"/>
            </w:tcMar>
            <w:vAlign w:val="center"/>
          </w:tcPr>
          <w:p w:rsidRPr="00A21201" w:rsidR="003C60BD" w:rsidP="009C4881" w:rsidRDefault="00015AAF" w14:paraId="759208DD" w14:textId="77777777">
            <w:pPr>
              <w:jc w:val="center"/>
              <w:rPr>
                <w:b/>
              </w:rPr>
            </w:pPr>
            <w:r w:rsidRPr="00A21201">
              <w:rPr>
                <w:b/>
                <w:color w:val="000000"/>
                <w:sz w:val="20"/>
                <w:szCs w:val="20"/>
              </w:rPr>
              <w:t>Number of r</w:t>
            </w:r>
            <w:r w:rsidRPr="00A21201" w:rsidR="003C60BD">
              <w:rPr>
                <w:b/>
                <w:color w:val="000000"/>
                <w:sz w:val="20"/>
                <w:szCs w:val="20"/>
              </w:rPr>
              <w:t>espondents</w:t>
            </w:r>
          </w:p>
        </w:tc>
        <w:tc>
          <w:tcPr>
            <w:tcW w:w="1389" w:type="dxa"/>
            <w:shd w:val="clear" w:color="auto" w:fill="auto"/>
            <w:tcMar>
              <w:top w:w="58" w:type="dxa"/>
              <w:left w:w="58" w:type="dxa"/>
              <w:bottom w:w="58" w:type="dxa"/>
              <w:right w:w="58" w:type="dxa"/>
            </w:tcMar>
            <w:vAlign w:val="center"/>
          </w:tcPr>
          <w:p w:rsidRPr="00A21201" w:rsidR="003C60BD" w:rsidP="009C4881" w:rsidRDefault="00015AAF" w14:paraId="7E6AFF97" w14:textId="77777777">
            <w:pPr>
              <w:jc w:val="center"/>
              <w:rPr>
                <w:b/>
              </w:rPr>
            </w:pPr>
            <w:r w:rsidRPr="00A21201">
              <w:rPr>
                <w:b/>
                <w:color w:val="000000"/>
                <w:sz w:val="20"/>
                <w:szCs w:val="20"/>
              </w:rPr>
              <w:t>Total b</w:t>
            </w:r>
            <w:r w:rsidRPr="00A21201" w:rsidR="003C60BD">
              <w:rPr>
                <w:b/>
                <w:color w:val="000000"/>
                <w:sz w:val="20"/>
                <w:szCs w:val="20"/>
              </w:rPr>
              <w:t>urden hours</w:t>
            </w:r>
          </w:p>
        </w:tc>
        <w:tc>
          <w:tcPr>
            <w:tcW w:w="1389" w:type="dxa"/>
            <w:shd w:val="clear" w:color="auto" w:fill="auto"/>
            <w:tcMar>
              <w:top w:w="58" w:type="dxa"/>
              <w:left w:w="58" w:type="dxa"/>
              <w:bottom w:w="58" w:type="dxa"/>
              <w:right w:w="58" w:type="dxa"/>
            </w:tcMar>
            <w:vAlign w:val="center"/>
          </w:tcPr>
          <w:p w:rsidRPr="00A21201" w:rsidR="003C60BD" w:rsidP="009C4881" w:rsidRDefault="00015AAF" w14:paraId="69DC470D" w14:textId="77777777">
            <w:pPr>
              <w:jc w:val="center"/>
              <w:rPr>
                <w:b/>
              </w:rPr>
            </w:pPr>
            <w:r w:rsidRPr="00A21201">
              <w:rPr>
                <w:b/>
                <w:color w:val="000000"/>
                <w:sz w:val="20"/>
                <w:szCs w:val="20"/>
              </w:rPr>
              <w:t>Average hourly wage r</w:t>
            </w:r>
            <w:r w:rsidRPr="00A21201" w:rsidR="003C60BD">
              <w:rPr>
                <w:b/>
                <w:color w:val="000000"/>
                <w:sz w:val="20"/>
                <w:szCs w:val="20"/>
              </w:rPr>
              <w:t>ate*</w:t>
            </w:r>
          </w:p>
        </w:tc>
        <w:tc>
          <w:tcPr>
            <w:tcW w:w="1390" w:type="dxa"/>
            <w:shd w:val="clear" w:color="auto" w:fill="auto"/>
            <w:tcMar>
              <w:top w:w="58" w:type="dxa"/>
              <w:left w:w="58" w:type="dxa"/>
              <w:bottom w:w="58" w:type="dxa"/>
              <w:right w:w="58" w:type="dxa"/>
            </w:tcMar>
            <w:vAlign w:val="center"/>
          </w:tcPr>
          <w:p w:rsidRPr="00A21201" w:rsidR="003C60BD" w:rsidP="009C4881" w:rsidRDefault="00F3207F" w14:paraId="429EC006" w14:textId="004E610D">
            <w:pPr>
              <w:jc w:val="center"/>
              <w:rPr>
                <w:b/>
              </w:rPr>
            </w:pPr>
            <w:r w:rsidRPr="00A21201">
              <w:rPr>
                <w:b/>
                <w:color w:val="000000"/>
                <w:sz w:val="20"/>
                <w:szCs w:val="20"/>
              </w:rPr>
              <w:t>Total</w:t>
            </w:r>
            <w:r w:rsidRPr="00A21201" w:rsidR="00940A05">
              <w:rPr>
                <w:b/>
                <w:color w:val="000000"/>
                <w:sz w:val="20"/>
                <w:szCs w:val="20"/>
              </w:rPr>
              <w:t xml:space="preserve"> </w:t>
            </w:r>
            <w:r w:rsidRPr="00A21201" w:rsidR="00015AAF">
              <w:rPr>
                <w:b/>
                <w:color w:val="000000"/>
                <w:sz w:val="20"/>
                <w:szCs w:val="20"/>
              </w:rPr>
              <w:t>cost b</w:t>
            </w:r>
            <w:r w:rsidRPr="00A21201" w:rsidR="003C60BD">
              <w:rPr>
                <w:b/>
                <w:color w:val="000000"/>
                <w:sz w:val="20"/>
                <w:szCs w:val="20"/>
              </w:rPr>
              <w:t>urden</w:t>
            </w:r>
          </w:p>
        </w:tc>
      </w:tr>
      <w:tr w:rsidRPr="00B84320" w:rsidR="00916581" w:rsidTr="0045008B" w14:paraId="6EC8CEB1" w14:textId="77777777">
        <w:tc>
          <w:tcPr>
            <w:tcW w:w="3865" w:type="dxa"/>
            <w:shd w:val="clear" w:color="auto" w:fill="auto"/>
            <w:tcMar>
              <w:top w:w="58" w:type="dxa"/>
              <w:left w:w="58" w:type="dxa"/>
              <w:bottom w:w="58" w:type="dxa"/>
              <w:right w:w="58" w:type="dxa"/>
            </w:tcMar>
            <w:vAlign w:val="center"/>
          </w:tcPr>
          <w:p w:rsidRPr="00A21201" w:rsidR="00916581" w:rsidP="003830BB" w:rsidRDefault="00916581" w14:paraId="3B3639E5" w14:textId="5D50BD25">
            <w:pPr>
              <w:rPr>
                <w:sz w:val="20"/>
                <w:szCs w:val="20"/>
              </w:rPr>
            </w:pPr>
            <w:r w:rsidRPr="00A21201">
              <w:rPr>
                <w:sz w:val="20"/>
                <w:szCs w:val="20"/>
              </w:rPr>
              <w:t xml:space="preserve">MBECS survey </w:t>
            </w:r>
            <w:r w:rsidRPr="00A21201" w:rsidR="003830BB">
              <w:rPr>
                <w:sz w:val="20"/>
                <w:szCs w:val="20"/>
              </w:rPr>
              <w:t>(3)</w:t>
            </w:r>
          </w:p>
        </w:tc>
        <w:tc>
          <w:tcPr>
            <w:tcW w:w="1389" w:type="dxa"/>
            <w:shd w:val="clear" w:color="auto" w:fill="auto"/>
            <w:tcMar>
              <w:top w:w="58" w:type="dxa"/>
              <w:left w:w="58" w:type="dxa"/>
              <w:bottom w:w="58" w:type="dxa"/>
              <w:right w:w="58" w:type="dxa"/>
            </w:tcMar>
          </w:tcPr>
          <w:p w:rsidRPr="00A21201" w:rsidR="00916581" w:rsidP="00916581" w:rsidRDefault="003830BB" w14:paraId="2A57DEE8" w14:textId="7ACF0035">
            <w:pPr>
              <w:jc w:val="center"/>
              <w:rPr>
                <w:sz w:val="20"/>
                <w:szCs w:val="20"/>
              </w:rPr>
            </w:pPr>
            <w:r w:rsidRPr="00A21201">
              <w:rPr>
                <w:sz w:val="20"/>
                <w:szCs w:val="20"/>
              </w:rPr>
              <w:t>1</w:t>
            </w:r>
            <w:r w:rsidRPr="00A21201" w:rsidR="00916581">
              <w:rPr>
                <w:sz w:val="20"/>
                <w:szCs w:val="20"/>
              </w:rPr>
              <w:t xml:space="preserve">3,000 </w:t>
            </w:r>
          </w:p>
        </w:tc>
        <w:tc>
          <w:tcPr>
            <w:tcW w:w="1389" w:type="dxa"/>
            <w:shd w:val="clear" w:color="auto" w:fill="auto"/>
            <w:tcMar>
              <w:top w:w="58" w:type="dxa"/>
              <w:left w:w="58" w:type="dxa"/>
              <w:bottom w:w="58" w:type="dxa"/>
              <w:right w:w="58" w:type="dxa"/>
            </w:tcMar>
            <w:vAlign w:val="center"/>
          </w:tcPr>
          <w:p w:rsidRPr="00A21201" w:rsidR="00916581" w:rsidP="00916581" w:rsidRDefault="003830BB" w14:paraId="080F4686" w14:textId="7D75225C">
            <w:pPr>
              <w:jc w:val="center"/>
              <w:rPr>
                <w:sz w:val="20"/>
                <w:szCs w:val="20"/>
              </w:rPr>
            </w:pPr>
            <w:r w:rsidRPr="00A21201">
              <w:rPr>
                <w:sz w:val="20"/>
                <w:szCs w:val="20"/>
              </w:rPr>
              <w:t>4,290</w:t>
            </w:r>
          </w:p>
        </w:tc>
        <w:tc>
          <w:tcPr>
            <w:tcW w:w="1389" w:type="dxa"/>
            <w:shd w:val="clear" w:color="auto" w:fill="auto"/>
            <w:tcMar>
              <w:top w:w="58" w:type="dxa"/>
              <w:left w:w="58" w:type="dxa"/>
              <w:bottom w:w="58" w:type="dxa"/>
              <w:right w:w="58" w:type="dxa"/>
            </w:tcMar>
            <w:vAlign w:val="center"/>
          </w:tcPr>
          <w:p w:rsidRPr="00A21201" w:rsidR="00916581" w:rsidP="00916581" w:rsidRDefault="00916581" w14:paraId="4D1126CB" w14:textId="07394932">
            <w:pPr>
              <w:jc w:val="center"/>
              <w:rPr>
                <w:sz w:val="20"/>
                <w:szCs w:val="20"/>
              </w:rPr>
            </w:pPr>
            <w:r w:rsidRPr="00A21201">
              <w:rPr>
                <w:sz w:val="20"/>
                <w:szCs w:val="20"/>
              </w:rPr>
              <w:t>$</w:t>
            </w:r>
            <w:r w:rsidR="00697DC2">
              <w:rPr>
                <w:sz w:val="20"/>
                <w:szCs w:val="20"/>
              </w:rPr>
              <w:t>54.14</w:t>
            </w:r>
          </w:p>
        </w:tc>
        <w:tc>
          <w:tcPr>
            <w:tcW w:w="1390" w:type="dxa"/>
            <w:shd w:val="clear" w:color="auto" w:fill="auto"/>
            <w:tcMar>
              <w:top w:w="58" w:type="dxa"/>
              <w:left w:w="58" w:type="dxa"/>
              <w:bottom w:w="58" w:type="dxa"/>
              <w:right w:w="58" w:type="dxa"/>
            </w:tcMar>
            <w:vAlign w:val="center"/>
          </w:tcPr>
          <w:p w:rsidRPr="00A21201" w:rsidR="00916581" w:rsidP="003830BB" w:rsidRDefault="00916581" w14:paraId="260A28B8" w14:textId="3BB9B78A">
            <w:pPr>
              <w:jc w:val="center"/>
              <w:rPr>
                <w:sz w:val="20"/>
                <w:szCs w:val="20"/>
              </w:rPr>
            </w:pPr>
            <w:r w:rsidRPr="00A21201">
              <w:rPr>
                <w:sz w:val="20"/>
                <w:szCs w:val="20"/>
              </w:rPr>
              <w:t>$</w:t>
            </w:r>
            <w:r w:rsidR="00697DC2">
              <w:rPr>
                <w:sz w:val="20"/>
                <w:szCs w:val="20"/>
              </w:rPr>
              <w:t>232</w:t>
            </w:r>
            <w:r w:rsidR="009B53FF">
              <w:rPr>
                <w:sz w:val="20"/>
                <w:szCs w:val="20"/>
              </w:rPr>
              <w:t>,</w:t>
            </w:r>
            <w:r w:rsidR="00697DC2">
              <w:rPr>
                <w:sz w:val="20"/>
                <w:szCs w:val="20"/>
              </w:rPr>
              <w:t>260.6</w:t>
            </w:r>
            <w:r w:rsidR="009B53FF">
              <w:rPr>
                <w:sz w:val="20"/>
                <w:szCs w:val="20"/>
              </w:rPr>
              <w:t>0</w:t>
            </w:r>
            <w:r w:rsidR="00697DC2">
              <w:rPr>
                <w:sz w:val="20"/>
                <w:szCs w:val="20"/>
              </w:rPr>
              <w:t xml:space="preserve"> </w:t>
            </w:r>
          </w:p>
        </w:tc>
      </w:tr>
      <w:tr w:rsidR="00254912" w:rsidTr="0045008B" w14:paraId="1BB46666" w14:textId="77777777">
        <w:tc>
          <w:tcPr>
            <w:tcW w:w="3865" w:type="dxa"/>
            <w:shd w:val="clear" w:color="auto" w:fill="auto"/>
            <w:tcMar>
              <w:top w:w="58" w:type="dxa"/>
              <w:left w:w="58" w:type="dxa"/>
              <w:bottom w:w="58" w:type="dxa"/>
              <w:right w:w="58" w:type="dxa"/>
            </w:tcMar>
            <w:vAlign w:val="center"/>
          </w:tcPr>
          <w:p w:rsidRPr="00A21201" w:rsidR="00254912" w:rsidP="00254912" w:rsidRDefault="00254912" w14:paraId="28AE50D1" w14:textId="77777777">
            <w:pPr>
              <w:rPr>
                <w:sz w:val="20"/>
                <w:szCs w:val="20"/>
              </w:rPr>
            </w:pPr>
            <w:r w:rsidRPr="00A21201">
              <w:rPr>
                <w:b/>
                <w:bCs/>
                <w:color w:val="000000"/>
                <w:sz w:val="20"/>
                <w:szCs w:val="20"/>
              </w:rPr>
              <w:t>Total</w:t>
            </w:r>
          </w:p>
        </w:tc>
        <w:tc>
          <w:tcPr>
            <w:tcW w:w="1389" w:type="dxa"/>
            <w:shd w:val="clear" w:color="auto" w:fill="auto"/>
            <w:tcMar>
              <w:top w:w="58" w:type="dxa"/>
              <w:left w:w="58" w:type="dxa"/>
              <w:bottom w:w="58" w:type="dxa"/>
              <w:right w:w="58" w:type="dxa"/>
            </w:tcMar>
          </w:tcPr>
          <w:p w:rsidRPr="00A21201" w:rsidR="00254912" w:rsidP="00254912" w:rsidRDefault="003830BB" w14:paraId="425F26C9" w14:textId="55E07917">
            <w:pPr>
              <w:jc w:val="center"/>
              <w:rPr>
                <w:b/>
                <w:sz w:val="20"/>
                <w:szCs w:val="20"/>
              </w:rPr>
            </w:pPr>
            <w:r w:rsidRPr="00A21201">
              <w:rPr>
                <w:b/>
                <w:sz w:val="20"/>
                <w:szCs w:val="20"/>
              </w:rPr>
              <w:t>13,000</w:t>
            </w:r>
            <w:r w:rsidRPr="00A21201" w:rsidR="00254912">
              <w:rPr>
                <w:b/>
                <w:sz w:val="20"/>
                <w:szCs w:val="20"/>
              </w:rPr>
              <w:t xml:space="preserve"> </w:t>
            </w:r>
          </w:p>
        </w:tc>
        <w:tc>
          <w:tcPr>
            <w:tcW w:w="1389" w:type="dxa"/>
            <w:shd w:val="clear" w:color="auto" w:fill="auto"/>
            <w:tcMar>
              <w:top w:w="58" w:type="dxa"/>
              <w:left w:w="58" w:type="dxa"/>
              <w:bottom w:w="58" w:type="dxa"/>
              <w:right w:w="58" w:type="dxa"/>
            </w:tcMar>
            <w:vAlign w:val="center"/>
          </w:tcPr>
          <w:p w:rsidRPr="00A21201" w:rsidR="00254912" w:rsidP="0033641B" w:rsidRDefault="003830BB" w14:paraId="575FC416" w14:textId="1F923A27">
            <w:pPr>
              <w:jc w:val="center"/>
              <w:rPr>
                <w:b/>
                <w:sz w:val="20"/>
                <w:szCs w:val="20"/>
              </w:rPr>
            </w:pPr>
            <w:r w:rsidRPr="00A21201">
              <w:rPr>
                <w:b/>
                <w:sz w:val="20"/>
                <w:szCs w:val="20"/>
              </w:rPr>
              <w:t>4,290</w:t>
            </w:r>
          </w:p>
        </w:tc>
        <w:tc>
          <w:tcPr>
            <w:tcW w:w="1389" w:type="dxa"/>
            <w:shd w:val="clear" w:color="auto" w:fill="auto"/>
            <w:tcMar>
              <w:top w:w="58" w:type="dxa"/>
              <w:left w:w="58" w:type="dxa"/>
              <w:bottom w:w="58" w:type="dxa"/>
              <w:right w:w="58" w:type="dxa"/>
            </w:tcMar>
            <w:vAlign w:val="center"/>
          </w:tcPr>
          <w:p w:rsidRPr="00A21201" w:rsidR="00254912" w:rsidRDefault="00254912" w14:paraId="0FF25C62" w14:textId="3E208153">
            <w:pPr>
              <w:jc w:val="center"/>
              <w:rPr>
                <w:b/>
                <w:sz w:val="20"/>
                <w:szCs w:val="20"/>
              </w:rPr>
            </w:pPr>
          </w:p>
        </w:tc>
        <w:tc>
          <w:tcPr>
            <w:tcW w:w="1390" w:type="dxa"/>
            <w:shd w:val="clear" w:color="auto" w:fill="auto"/>
            <w:tcMar>
              <w:top w:w="58" w:type="dxa"/>
              <w:left w:w="58" w:type="dxa"/>
              <w:bottom w:w="58" w:type="dxa"/>
              <w:right w:w="58" w:type="dxa"/>
            </w:tcMar>
            <w:vAlign w:val="center"/>
          </w:tcPr>
          <w:p w:rsidRPr="00A21201" w:rsidR="00254912" w:rsidP="00B84320" w:rsidRDefault="00375C3F" w14:paraId="5FCECDA7" w14:textId="7B439433">
            <w:pPr>
              <w:jc w:val="center"/>
              <w:rPr>
                <w:b/>
                <w:sz w:val="20"/>
                <w:szCs w:val="20"/>
              </w:rPr>
            </w:pPr>
            <w:r w:rsidRPr="00A21201">
              <w:rPr>
                <w:b/>
                <w:sz w:val="20"/>
                <w:szCs w:val="20"/>
              </w:rPr>
              <w:t>$</w:t>
            </w:r>
            <w:r w:rsidRPr="00546912" w:rsidR="00546912">
              <w:rPr>
                <w:b/>
                <w:sz w:val="20"/>
                <w:szCs w:val="20"/>
              </w:rPr>
              <w:t>232,260.60</w:t>
            </w:r>
            <w:bookmarkStart w:name="_GoBack" w:id="50"/>
            <w:bookmarkEnd w:id="50"/>
          </w:p>
        </w:tc>
      </w:tr>
    </w:tbl>
    <w:p w:rsidRPr="00412C6F" w:rsidR="009B633D" w:rsidP="00A21201" w:rsidRDefault="00513808" w14:paraId="25D0F324" w14:textId="6BAD6B71">
      <w:pPr>
        <w:pStyle w:val="Heading2"/>
      </w:pPr>
      <w:bookmarkStart w:name="_Toc151782188" w:id="51"/>
      <w:bookmarkStart w:name="_Toc158526228" w:id="52"/>
      <w:bookmarkStart w:name="_Toc68611946" w:id="53"/>
      <w:r>
        <w:t xml:space="preserve">13. </w:t>
      </w:r>
      <w:r w:rsidRPr="00412C6F">
        <w:t xml:space="preserve">Estimates of Annualized Respondent Capital </w:t>
      </w:r>
      <w:r>
        <w:t xml:space="preserve">and </w:t>
      </w:r>
      <w:r w:rsidRPr="00412C6F" w:rsidR="009B633D">
        <w:t>Maintenance Costs</w:t>
      </w:r>
      <w:bookmarkEnd w:id="51"/>
      <w:bookmarkEnd w:id="52"/>
      <w:bookmarkEnd w:id="53"/>
    </w:p>
    <w:p w:rsidR="00E14FC3" w:rsidP="002D4D3A" w:rsidRDefault="00C205C8" w14:paraId="5C0C6E17" w14:textId="22406BC0">
      <w:pPr>
        <w:pStyle w:val="BodyText"/>
      </w:pPr>
      <w:r>
        <w:t>T</w:t>
      </w:r>
      <w:r w:rsidR="0080612B">
        <w:t>here are no direct costs to respondents other than their time to participate in the study.</w:t>
      </w:r>
    </w:p>
    <w:p w:rsidR="009B633D" w:rsidP="00A21201" w:rsidRDefault="009B633D" w14:paraId="6065A827" w14:textId="77777777">
      <w:pPr>
        <w:pStyle w:val="Heading2"/>
      </w:pPr>
      <w:bookmarkStart w:name="_Toc58725299" w:id="54"/>
      <w:bookmarkStart w:name="_Toc151782189" w:id="55"/>
      <w:bookmarkStart w:name="_Toc158526229" w:id="56"/>
      <w:bookmarkStart w:name="_Toc68611947" w:id="57"/>
      <w:r w:rsidRPr="00412C6F">
        <w:t xml:space="preserve">14. Estimates of </w:t>
      </w:r>
      <w:r w:rsidR="00DA79B5">
        <w:t xml:space="preserve">Total and </w:t>
      </w:r>
      <w:r w:rsidRPr="00412C6F">
        <w:t>Annualized Cost to the Government</w:t>
      </w:r>
      <w:bookmarkEnd w:id="54"/>
      <w:bookmarkEnd w:id="55"/>
      <w:bookmarkEnd w:id="56"/>
      <w:bookmarkEnd w:id="57"/>
    </w:p>
    <w:p w:rsidR="0084019A" w:rsidP="002D4D3A" w:rsidRDefault="0084019A" w14:paraId="4D48747B" w14:textId="7FBE1F9A">
      <w:pPr>
        <w:pStyle w:val="BodyText"/>
      </w:pPr>
      <w:r>
        <w:t xml:space="preserve">Table </w:t>
      </w:r>
      <w:r w:rsidR="00A71B1B">
        <w:t>3</w:t>
      </w:r>
      <w:r>
        <w:t xml:space="preserve"> and Table </w:t>
      </w:r>
      <w:r w:rsidR="00A71B1B">
        <w:t>4</w:t>
      </w:r>
      <w:r>
        <w:t xml:space="preserve"> show the estimated annualized cost to the government for the contractors and government personnel</w:t>
      </w:r>
      <w:r w:rsidR="00B43645">
        <w:t>, assuming one survey per year collected under the MBECS system</w:t>
      </w:r>
      <w:r w:rsidR="00BA7023">
        <w:t xml:space="preserve">, </w:t>
      </w:r>
      <w:r w:rsidR="00F22E80">
        <w:t>each of the three</w:t>
      </w:r>
      <w:r w:rsidR="00BA7023">
        <w:t xml:space="preserve"> years of clearance</w:t>
      </w:r>
      <w:r>
        <w:t xml:space="preserve">. Costs to the government will vary by sample size for individual information collection requests submitted under the MBECS System general clearance. Detailed cost estimates will be provided when </w:t>
      </w:r>
      <w:r w:rsidR="00F22E80">
        <w:t xml:space="preserve">the </w:t>
      </w:r>
      <w:r>
        <w:t>individual requests are submitted for OMB clearance.</w:t>
      </w:r>
    </w:p>
    <w:p w:rsidR="0084019A" w:rsidP="002D4D3A" w:rsidRDefault="0084019A" w14:paraId="50A9CE61" w14:textId="46F0C066">
      <w:pPr>
        <w:pStyle w:val="BodyText"/>
      </w:pPr>
      <w:r w:rsidRPr="00B07FB4">
        <w:t xml:space="preserve">The costs associated with the data collection activities for the project include the </w:t>
      </w:r>
      <w:r>
        <w:t xml:space="preserve">survey set up costs in year 1, data collection activities for the </w:t>
      </w:r>
      <w:r w:rsidRPr="00B07FB4">
        <w:t>contractor</w:t>
      </w:r>
      <w:r w:rsidR="006B36BE">
        <w:t xml:space="preserve">, respondent incentives, and data delivery, analysis, and reporting costs. </w:t>
      </w:r>
    </w:p>
    <w:p w:rsidR="001420A3" w:rsidP="002D4D3A" w:rsidRDefault="001420A3" w14:paraId="1D11EB4A" w14:textId="05A9F1FD">
      <w:pPr>
        <w:pStyle w:val="BodyText"/>
      </w:pPr>
    </w:p>
    <w:p w:rsidR="001420A3" w:rsidP="002D4D3A" w:rsidRDefault="001420A3" w14:paraId="63B522AB" w14:textId="78B3CAEF">
      <w:pPr>
        <w:pStyle w:val="BodyText"/>
      </w:pPr>
    </w:p>
    <w:p w:rsidRPr="00B07FB4" w:rsidR="001420A3" w:rsidP="002D4D3A" w:rsidRDefault="001420A3" w14:paraId="247D33DA" w14:textId="77777777">
      <w:pPr>
        <w:pStyle w:val="BodyText"/>
      </w:pPr>
    </w:p>
    <w:p w:rsidR="0084019A" w:rsidP="00DA2E7E" w:rsidRDefault="0084019A" w14:paraId="6900C73B" w14:textId="7000CD42">
      <w:pPr>
        <w:spacing w:after="120"/>
        <w:rPr>
          <w:sz w:val="22"/>
          <w:szCs w:val="22"/>
        </w:rPr>
      </w:pPr>
      <w:r>
        <w:rPr>
          <w:b/>
          <w:bCs/>
          <w:color w:val="000000"/>
        </w:rPr>
        <w:lastRenderedPageBreak/>
        <w:t>T</w:t>
      </w:r>
      <w:r w:rsidR="00A71B1B">
        <w:rPr>
          <w:b/>
          <w:bCs/>
          <w:color w:val="000000"/>
        </w:rPr>
        <w:t>able 3</w:t>
      </w:r>
      <w:r w:rsidR="00407917">
        <w:rPr>
          <w:b/>
          <w:bCs/>
          <w:color w:val="000000"/>
        </w:rPr>
        <w:t>.</w:t>
      </w:r>
      <w:r>
        <w:rPr>
          <w:b/>
          <w:bCs/>
          <w:color w:val="000000"/>
        </w:rPr>
        <w:t xml:space="preserve"> Estimated Total and Annualized Cost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70"/>
        <w:gridCol w:w="2250"/>
        <w:gridCol w:w="2250"/>
      </w:tblGrid>
      <w:tr w:rsidRPr="0084019A" w:rsidR="0084019A" w:rsidTr="00DA2E7E" w14:paraId="0807DF76" w14:textId="77777777">
        <w:tc>
          <w:tcPr>
            <w:tcW w:w="4670" w:type="dxa"/>
            <w:tcMar>
              <w:top w:w="58" w:type="dxa"/>
              <w:left w:w="58" w:type="dxa"/>
              <w:bottom w:w="58" w:type="dxa"/>
              <w:right w:w="58" w:type="dxa"/>
            </w:tcMar>
            <w:vAlign w:val="bottom"/>
            <w:hideMark/>
          </w:tcPr>
          <w:p w:rsidRPr="00DA2E7E" w:rsidR="0084019A" w:rsidP="001B5B5B" w:rsidRDefault="0084019A" w14:paraId="5DE7FEAB" w14:textId="77777777">
            <w:pPr>
              <w:rPr>
                <w:sz w:val="20"/>
                <w:szCs w:val="20"/>
              </w:rPr>
            </w:pPr>
            <w:r w:rsidRPr="00DA2E7E">
              <w:rPr>
                <w:b/>
                <w:bCs/>
                <w:color w:val="000000"/>
                <w:sz w:val="20"/>
                <w:szCs w:val="20"/>
              </w:rPr>
              <w:t xml:space="preserve">Cost Component </w:t>
            </w:r>
          </w:p>
        </w:tc>
        <w:tc>
          <w:tcPr>
            <w:tcW w:w="2250" w:type="dxa"/>
            <w:tcMar>
              <w:top w:w="58" w:type="dxa"/>
              <w:left w:w="58" w:type="dxa"/>
              <w:bottom w:w="58" w:type="dxa"/>
              <w:right w:w="58" w:type="dxa"/>
            </w:tcMar>
            <w:vAlign w:val="center"/>
            <w:hideMark/>
          </w:tcPr>
          <w:p w:rsidRPr="00DA2E7E" w:rsidR="0084019A" w:rsidP="001B5B5B" w:rsidRDefault="0084019A" w14:paraId="2821D6F7" w14:textId="6C586B58">
            <w:pPr>
              <w:jc w:val="center"/>
              <w:rPr>
                <w:sz w:val="20"/>
                <w:szCs w:val="20"/>
              </w:rPr>
            </w:pPr>
            <w:r w:rsidRPr="00DA2E7E">
              <w:rPr>
                <w:b/>
                <w:bCs/>
                <w:sz w:val="20"/>
                <w:szCs w:val="20"/>
              </w:rPr>
              <w:t>Total Cost</w:t>
            </w:r>
            <w:r w:rsidRPr="00DA2E7E" w:rsidR="004A6F69">
              <w:rPr>
                <w:b/>
                <w:bCs/>
                <w:sz w:val="20"/>
                <w:szCs w:val="20"/>
              </w:rPr>
              <w:t>*</w:t>
            </w:r>
          </w:p>
        </w:tc>
        <w:tc>
          <w:tcPr>
            <w:tcW w:w="2250" w:type="dxa"/>
            <w:tcMar>
              <w:top w:w="58" w:type="dxa"/>
              <w:left w:w="58" w:type="dxa"/>
              <w:bottom w:w="58" w:type="dxa"/>
              <w:right w:w="58" w:type="dxa"/>
            </w:tcMar>
            <w:vAlign w:val="center"/>
            <w:hideMark/>
          </w:tcPr>
          <w:p w:rsidRPr="00DA2E7E" w:rsidR="0084019A" w:rsidP="001B5B5B" w:rsidRDefault="0084019A" w14:paraId="35408A56" w14:textId="77777777">
            <w:pPr>
              <w:jc w:val="center"/>
              <w:rPr>
                <w:sz w:val="20"/>
                <w:szCs w:val="20"/>
              </w:rPr>
            </w:pPr>
            <w:r w:rsidRPr="00DA2E7E">
              <w:rPr>
                <w:b/>
                <w:bCs/>
                <w:sz w:val="20"/>
                <w:szCs w:val="20"/>
              </w:rPr>
              <w:t>Annualized Cost</w:t>
            </w:r>
          </w:p>
        </w:tc>
      </w:tr>
      <w:tr w:rsidRPr="0084019A" w:rsidR="0084019A" w:rsidTr="00DA2E7E" w14:paraId="007091BF" w14:textId="77777777">
        <w:tc>
          <w:tcPr>
            <w:tcW w:w="4670" w:type="dxa"/>
            <w:tcMar>
              <w:top w:w="58" w:type="dxa"/>
              <w:left w:w="58" w:type="dxa"/>
              <w:bottom w:w="58" w:type="dxa"/>
              <w:right w:w="58" w:type="dxa"/>
            </w:tcMar>
            <w:vAlign w:val="center"/>
          </w:tcPr>
          <w:p w:rsidRPr="00DA2E7E" w:rsidR="0084019A" w:rsidP="003830BB" w:rsidRDefault="0084019A" w14:paraId="43EE55E9" w14:textId="410AD212">
            <w:pPr>
              <w:rPr>
                <w:sz w:val="20"/>
                <w:szCs w:val="20"/>
              </w:rPr>
            </w:pPr>
            <w:r w:rsidRPr="00DA2E7E">
              <w:rPr>
                <w:sz w:val="20"/>
                <w:szCs w:val="20"/>
              </w:rPr>
              <w:t xml:space="preserve">Survey set up costs (includes web and CATI programming of the MBECS instrument, management costs) – year 1 only </w:t>
            </w:r>
          </w:p>
        </w:tc>
        <w:tc>
          <w:tcPr>
            <w:tcW w:w="2250" w:type="dxa"/>
            <w:tcMar>
              <w:top w:w="58" w:type="dxa"/>
              <w:left w:w="58" w:type="dxa"/>
              <w:bottom w:w="58" w:type="dxa"/>
              <w:right w:w="58" w:type="dxa"/>
            </w:tcMar>
            <w:vAlign w:val="center"/>
          </w:tcPr>
          <w:p w:rsidRPr="00DA2E7E" w:rsidR="0084019A" w:rsidP="003830BB" w:rsidRDefault="00B43645" w14:paraId="29629A2C" w14:textId="74F3A91D">
            <w:pPr>
              <w:jc w:val="center"/>
              <w:rPr>
                <w:sz w:val="20"/>
                <w:szCs w:val="20"/>
              </w:rPr>
            </w:pPr>
            <w:r w:rsidRPr="00DA2E7E">
              <w:rPr>
                <w:sz w:val="20"/>
                <w:szCs w:val="20"/>
              </w:rPr>
              <w:t>$32,333</w:t>
            </w:r>
          </w:p>
        </w:tc>
        <w:tc>
          <w:tcPr>
            <w:tcW w:w="2250" w:type="dxa"/>
            <w:tcMar>
              <w:top w:w="58" w:type="dxa"/>
              <w:left w:w="58" w:type="dxa"/>
              <w:bottom w:w="58" w:type="dxa"/>
              <w:right w:w="58" w:type="dxa"/>
            </w:tcMar>
            <w:vAlign w:val="center"/>
          </w:tcPr>
          <w:p w:rsidRPr="00DA2E7E" w:rsidR="002965B0" w:rsidP="001B5B5B" w:rsidRDefault="00B43645" w14:paraId="127D629E" w14:textId="77777777">
            <w:pPr>
              <w:jc w:val="center"/>
              <w:rPr>
                <w:sz w:val="20"/>
                <w:szCs w:val="20"/>
              </w:rPr>
            </w:pPr>
            <w:r w:rsidRPr="00DA2E7E">
              <w:rPr>
                <w:sz w:val="20"/>
                <w:szCs w:val="20"/>
              </w:rPr>
              <w:t xml:space="preserve">$32,333 </w:t>
            </w:r>
          </w:p>
          <w:p w:rsidRPr="00DA2E7E" w:rsidR="0084019A" w:rsidP="001B5B5B" w:rsidRDefault="00B43645" w14:paraId="46C14B3F" w14:textId="3DFD7F56">
            <w:pPr>
              <w:jc w:val="center"/>
              <w:rPr>
                <w:sz w:val="20"/>
                <w:szCs w:val="20"/>
              </w:rPr>
            </w:pPr>
            <w:r w:rsidRPr="00DA2E7E">
              <w:rPr>
                <w:sz w:val="20"/>
                <w:szCs w:val="20"/>
              </w:rPr>
              <w:t>(year 1 only)</w:t>
            </w:r>
          </w:p>
        </w:tc>
      </w:tr>
      <w:tr w:rsidRPr="0084019A" w:rsidR="0084019A" w:rsidTr="00DA2E7E" w14:paraId="5FC716C3" w14:textId="77777777">
        <w:tc>
          <w:tcPr>
            <w:tcW w:w="4670" w:type="dxa"/>
            <w:tcMar>
              <w:top w:w="58" w:type="dxa"/>
              <w:left w:w="58" w:type="dxa"/>
              <w:bottom w:w="58" w:type="dxa"/>
              <w:right w:w="58" w:type="dxa"/>
            </w:tcMar>
            <w:vAlign w:val="center"/>
            <w:hideMark/>
          </w:tcPr>
          <w:p w:rsidRPr="00DA2E7E" w:rsidR="0084019A" w:rsidP="006B36BE" w:rsidRDefault="0084019A" w14:paraId="311459A8" w14:textId="77FD602E">
            <w:pPr>
              <w:rPr>
                <w:sz w:val="20"/>
                <w:szCs w:val="20"/>
              </w:rPr>
            </w:pPr>
            <w:r w:rsidRPr="00DA2E7E">
              <w:rPr>
                <w:sz w:val="20"/>
                <w:szCs w:val="20"/>
              </w:rPr>
              <w:t xml:space="preserve">Data Collection (includes survey printing and postage, data entry, CATI interviewing, management costs, OMB submissions, NORC IRB review)* </w:t>
            </w:r>
          </w:p>
        </w:tc>
        <w:tc>
          <w:tcPr>
            <w:tcW w:w="2250" w:type="dxa"/>
            <w:tcMar>
              <w:top w:w="58" w:type="dxa"/>
              <w:left w:w="58" w:type="dxa"/>
              <w:bottom w:w="58" w:type="dxa"/>
              <w:right w:w="58" w:type="dxa"/>
            </w:tcMar>
            <w:vAlign w:val="center"/>
          </w:tcPr>
          <w:p w:rsidRPr="00DA2E7E" w:rsidR="0084019A" w:rsidP="003830BB" w:rsidRDefault="00B43645" w14:paraId="74C046D0" w14:textId="3F2791D5">
            <w:pPr>
              <w:jc w:val="center"/>
              <w:rPr>
                <w:sz w:val="20"/>
                <w:szCs w:val="20"/>
              </w:rPr>
            </w:pPr>
            <w:r w:rsidRPr="00DA2E7E">
              <w:rPr>
                <w:sz w:val="20"/>
                <w:szCs w:val="20"/>
              </w:rPr>
              <w:t>$</w:t>
            </w:r>
            <w:r w:rsidRPr="00DA2E7E" w:rsidR="003830BB">
              <w:rPr>
                <w:sz w:val="20"/>
                <w:szCs w:val="20"/>
              </w:rPr>
              <w:t>1,391,832</w:t>
            </w:r>
          </w:p>
        </w:tc>
        <w:tc>
          <w:tcPr>
            <w:tcW w:w="2250" w:type="dxa"/>
            <w:tcMar>
              <w:top w:w="58" w:type="dxa"/>
              <w:left w:w="58" w:type="dxa"/>
              <w:bottom w:w="58" w:type="dxa"/>
              <w:right w:w="58" w:type="dxa"/>
            </w:tcMar>
            <w:vAlign w:val="center"/>
          </w:tcPr>
          <w:p w:rsidRPr="00DA2E7E" w:rsidR="002965B0" w:rsidP="001B5B5B" w:rsidRDefault="00B43645" w14:paraId="195D2F41" w14:textId="77777777">
            <w:pPr>
              <w:jc w:val="center"/>
              <w:rPr>
                <w:sz w:val="20"/>
                <w:szCs w:val="20"/>
              </w:rPr>
            </w:pPr>
            <w:r w:rsidRPr="00DA2E7E">
              <w:rPr>
                <w:sz w:val="20"/>
                <w:szCs w:val="20"/>
              </w:rPr>
              <w:t>$463,944</w:t>
            </w:r>
            <w:r w:rsidRPr="00DA2E7E" w:rsidR="00BA7023">
              <w:rPr>
                <w:sz w:val="20"/>
                <w:szCs w:val="20"/>
              </w:rPr>
              <w:t xml:space="preserve"> </w:t>
            </w:r>
          </w:p>
          <w:p w:rsidRPr="00DA2E7E" w:rsidR="0084019A" w:rsidP="001B5B5B" w:rsidRDefault="0084019A" w14:paraId="0F699007" w14:textId="6C127716">
            <w:pPr>
              <w:jc w:val="center"/>
              <w:rPr>
                <w:sz w:val="20"/>
                <w:szCs w:val="20"/>
              </w:rPr>
            </w:pPr>
          </w:p>
        </w:tc>
      </w:tr>
      <w:tr w:rsidRPr="0084019A" w:rsidR="006D6F8A" w:rsidTr="00DA2E7E" w14:paraId="0761EC23" w14:textId="77777777">
        <w:tc>
          <w:tcPr>
            <w:tcW w:w="4670" w:type="dxa"/>
            <w:tcMar>
              <w:top w:w="58" w:type="dxa"/>
              <w:left w:w="58" w:type="dxa"/>
              <w:bottom w:w="58" w:type="dxa"/>
              <w:right w:w="58" w:type="dxa"/>
            </w:tcMar>
            <w:vAlign w:val="center"/>
          </w:tcPr>
          <w:p w:rsidRPr="00DA2E7E" w:rsidR="006D6F8A" w:rsidP="006D6F8A" w:rsidRDefault="006D6F8A" w14:paraId="0498188F" w14:textId="28A8117E">
            <w:pPr>
              <w:rPr>
                <w:sz w:val="20"/>
                <w:szCs w:val="20"/>
              </w:rPr>
            </w:pPr>
            <w:r w:rsidRPr="00DA2E7E">
              <w:rPr>
                <w:sz w:val="20"/>
                <w:szCs w:val="20"/>
              </w:rPr>
              <w:t xml:space="preserve">Respondent incentives (includes $2 pre-paid incentives and </w:t>
            </w:r>
            <w:r w:rsidRPr="00DA2E7E" w:rsidR="00724079">
              <w:rPr>
                <w:sz w:val="20"/>
                <w:szCs w:val="20"/>
              </w:rPr>
              <w:t>$10 early bird incentives for web surveys completed within first two weeks)</w:t>
            </w:r>
          </w:p>
        </w:tc>
        <w:tc>
          <w:tcPr>
            <w:tcW w:w="2250" w:type="dxa"/>
            <w:tcMar>
              <w:top w:w="58" w:type="dxa"/>
              <w:left w:w="58" w:type="dxa"/>
              <w:bottom w:w="58" w:type="dxa"/>
              <w:right w:w="58" w:type="dxa"/>
            </w:tcMar>
            <w:vAlign w:val="center"/>
          </w:tcPr>
          <w:p w:rsidRPr="00DA2E7E" w:rsidR="006D6F8A" w:rsidP="003830BB" w:rsidRDefault="00B43645" w14:paraId="59F2E33D" w14:textId="1B6F779D">
            <w:pPr>
              <w:jc w:val="center"/>
              <w:rPr>
                <w:sz w:val="20"/>
                <w:szCs w:val="20"/>
              </w:rPr>
            </w:pPr>
            <w:r w:rsidRPr="00DA2E7E">
              <w:rPr>
                <w:sz w:val="20"/>
                <w:szCs w:val="20"/>
              </w:rPr>
              <w:t>$</w:t>
            </w:r>
            <w:r w:rsidRPr="00DA2E7E" w:rsidR="003830BB">
              <w:rPr>
                <w:sz w:val="20"/>
                <w:szCs w:val="20"/>
              </w:rPr>
              <w:t>225,879</w:t>
            </w:r>
          </w:p>
        </w:tc>
        <w:tc>
          <w:tcPr>
            <w:tcW w:w="2250" w:type="dxa"/>
            <w:tcMar>
              <w:top w:w="58" w:type="dxa"/>
              <w:left w:w="58" w:type="dxa"/>
              <w:bottom w:w="58" w:type="dxa"/>
              <w:right w:w="58" w:type="dxa"/>
            </w:tcMar>
            <w:vAlign w:val="center"/>
          </w:tcPr>
          <w:p w:rsidRPr="00DA2E7E" w:rsidR="002965B0" w:rsidP="001B5B5B" w:rsidRDefault="00B43645" w14:paraId="78BD2CC6" w14:textId="77777777">
            <w:pPr>
              <w:jc w:val="center"/>
              <w:rPr>
                <w:sz w:val="20"/>
                <w:szCs w:val="20"/>
              </w:rPr>
            </w:pPr>
            <w:r w:rsidRPr="00DA2E7E">
              <w:rPr>
                <w:sz w:val="20"/>
                <w:szCs w:val="20"/>
              </w:rPr>
              <w:t>$75,293</w:t>
            </w:r>
            <w:r w:rsidRPr="00DA2E7E" w:rsidR="00BA7023">
              <w:rPr>
                <w:sz w:val="20"/>
                <w:szCs w:val="20"/>
              </w:rPr>
              <w:t xml:space="preserve"> </w:t>
            </w:r>
          </w:p>
          <w:p w:rsidRPr="00DA2E7E" w:rsidR="006D6F8A" w:rsidP="001B5B5B" w:rsidRDefault="006D6F8A" w14:paraId="56048B54" w14:textId="765073BE">
            <w:pPr>
              <w:jc w:val="center"/>
              <w:rPr>
                <w:sz w:val="20"/>
                <w:szCs w:val="20"/>
              </w:rPr>
            </w:pPr>
          </w:p>
        </w:tc>
      </w:tr>
      <w:tr w:rsidRPr="0084019A" w:rsidR="0084019A" w:rsidTr="00DA2E7E" w14:paraId="38F8FCDC" w14:textId="77777777">
        <w:tc>
          <w:tcPr>
            <w:tcW w:w="4670" w:type="dxa"/>
            <w:tcMar>
              <w:top w:w="58" w:type="dxa"/>
              <w:left w:w="58" w:type="dxa"/>
              <w:bottom w:w="58" w:type="dxa"/>
              <w:right w:w="58" w:type="dxa"/>
            </w:tcMar>
            <w:vAlign w:val="center"/>
            <w:hideMark/>
          </w:tcPr>
          <w:p w:rsidRPr="00DA2E7E" w:rsidR="0084019A" w:rsidP="00407917" w:rsidRDefault="0084019A" w14:paraId="73C115D9" w14:textId="183C81D2">
            <w:pPr>
              <w:rPr>
                <w:sz w:val="20"/>
                <w:szCs w:val="20"/>
              </w:rPr>
            </w:pPr>
            <w:r w:rsidRPr="00DA2E7E">
              <w:rPr>
                <w:sz w:val="20"/>
                <w:szCs w:val="20"/>
              </w:rPr>
              <w:t xml:space="preserve">Data </w:t>
            </w:r>
            <w:r w:rsidRPr="00DA2E7E" w:rsidR="00407917">
              <w:rPr>
                <w:sz w:val="20"/>
                <w:szCs w:val="20"/>
              </w:rPr>
              <w:t>a</w:t>
            </w:r>
            <w:r w:rsidRPr="00DA2E7E" w:rsidR="006B36BE">
              <w:rPr>
                <w:sz w:val="20"/>
                <w:szCs w:val="20"/>
              </w:rPr>
              <w:t>nalysis,</w:t>
            </w:r>
            <w:r w:rsidRPr="00DA2E7E">
              <w:rPr>
                <w:sz w:val="20"/>
                <w:szCs w:val="20"/>
              </w:rPr>
              <w:t xml:space="preserve"> </w:t>
            </w:r>
            <w:r w:rsidRPr="00DA2E7E" w:rsidR="00407917">
              <w:rPr>
                <w:sz w:val="20"/>
                <w:szCs w:val="20"/>
              </w:rPr>
              <w:t>r</w:t>
            </w:r>
            <w:r w:rsidRPr="00DA2E7E">
              <w:rPr>
                <w:sz w:val="20"/>
                <w:szCs w:val="20"/>
              </w:rPr>
              <w:t>eports</w:t>
            </w:r>
            <w:r w:rsidRPr="00DA2E7E" w:rsidR="00407917">
              <w:rPr>
                <w:sz w:val="20"/>
                <w:szCs w:val="20"/>
              </w:rPr>
              <w:t>, and delivery</w:t>
            </w:r>
          </w:p>
        </w:tc>
        <w:tc>
          <w:tcPr>
            <w:tcW w:w="2250" w:type="dxa"/>
            <w:tcMar>
              <w:top w:w="58" w:type="dxa"/>
              <w:left w:w="58" w:type="dxa"/>
              <w:bottom w:w="58" w:type="dxa"/>
              <w:right w:w="58" w:type="dxa"/>
            </w:tcMar>
            <w:vAlign w:val="center"/>
          </w:tcPr>
          <w:p w:rsidRPr="00DA2E7E" w:rsidR="0084019A" w:rsidP="003830BB" w:rsidRDefault="00BA7023" w14:paraId="51700BF5" w14:textId="07752F4C">
            <w:pPr>
              <w:jc w:val="center"/>
              <w:rPr>
                <w:sz w:val="20"/>
                <w:szCs w:val="20"/>
              </w:rPr>
            </w:pPr>
            <w:r w:rsidRPr="00DA2E7E">
              <w:rPr>
                <w:sz w:val="20"/>
                <w:szCs w:val="20"/>
              </w:rPr>
              <w:t>$</w:t>
            </w:r>
            <w:r w:rsidRPr="00DA2E7E" w:rsidR="003830BB">
              <w:rPr>
                <w:sz w:val="20"/>
                <w:szCs w:val="20"/>
              </w:rPr>
              <w:t>121,173</w:t>
            </w:r>
          </w:p>
        </w:tc>
        <w:tc>
          <w:tcPr>
            <w:tcW w:w="2250" w:type="dxa"/>
            <w:tcMar>
              <w:top w:w="58" w:type="dxa"/>
              <w:left w:w="58" w:type="dxa"/>
              <w:bottom w:w="58" w:type="dxa"/>
              <w:right w:w="58" w:type="dxa"/>
            </w:tcMar>
            <w:vAlign w:val="center"/>
          </w:tcPr>
          <w:p w:rsidRPr="00DA2E7E" w:rsidR="002965B0" w:rsidP="001B5B5B" w:rsidRDefault="00B43645" w14:paraId="1EA756EF" w14:textId="77777777">
            <w:pPr>
              <w:jc w:val="center"/>
              <w:rPr>
                <w:sz w:val="20"/>
                <w:szCs w:val="20"/>
              </w:rPr>
            </w:pPr>
            <w:r w:rsidRPr="00DA2E7E">
              <w:rPr>
                <w:sz w:val="20"/>
                <w:szCs w:val="20"/>
              </w:rPr>
              <w:t>$40,391</w:t>
            </w:r>
            <w:r w:rsidRPr="00DA2E7E" w:rsidR="00BA7023">
              <w:rPr>
                <w:sz w:val="20"/>
                <w:szCs w:val="20"/>
              </w:rPr>
              <w:t xml:space="preserve"> </w:t>
            </w:r>
          </w:p>
          <w:p w:rsidRPr="00DA2E7E" w:rsidR="0084019A" w:rsidP="001B5B5B" w:rsidRDefault="0084019A" w14:paraId="5287A605" w14:textId="35A4200C">
            <w:pPr>
              <w:jc w:val="center"/>
              <w:rPr>
                <w:sz w:val="20"/>
                <w:szCs w:val="20"/>
              </w:rPr>
            </w:pPr>
          </w:p>
        </w:tc>
      </w:tr>
      <w:tr w:rsidRPr="0084019A" w:rsidR="0084019A" w:rsidTr="00DA2E7E" w14:paraId="258C1C48" w14:textId="77777777">
        <w:tc>
          <w:tcPr>
            <w:tcW w:w="4670" w:type="dxa"/>
            <w:tcMar>
              <w:top w:w="58" w:type="dxa"/>
              <w:left w:w="58" w:type="dxa"/>
              <w:bottom w:w="58" w:type="dxa"/>
              <w:right w:w="58" w:type="dxa"/>
            </w:tcMar>
            <w:vAlign w:val="center"/>
            <w:hideMark/>
          </w:tcPr>
          <w:p w:rsidRPr="00DA2E7E" w:rsidR="0084019A" w:rsidP="001B5B5B" w:rsidRDefault="0084019A" w14:paraId="4309651B" w14:textId="77777777">
            <w:pPr>
              <w:rPr>
                <w:sz w:val="20"/>
                <w:szCs w:val="20"/>
              </w:rPr>
            </w:pPr>
            <w:r w:rsidRPr="00DA2E7E">
              <w:rPr>
                <w:b/>
                <w:bCs/>
                <w:color w:val="000000"/>
                <w:sz w:val="20"/>
                <w:szCs w:val="20"/>
              </w:rPr>
              <w:t>Total</w:t>
            </w:r>
          </w:p>
        </w:tc>
        <w:tc>
          <w:tcPr>
            <w:tcW w:w="2250" w:type="dxa"/>
            <w:tcMar>
              <w:top w:w="58" w:type="dxa"/>
              <w:left w:w="58" w:type="dxa"/>
              <w:bottom w:w="58" w:type="dxa"/>
              <w:right w:w="58" w:type="dxa"/>
            </w:tcMar>
            <w:vAlign w:val="center"/>
          </w:tcPr>
          <w:p w:rsidRPr="00DA2E7E" w:rsidR="0084019A" w:rsidP="003830BB" w:rsidRDefault="00B43645" w14:paraId="5A7886D6" w14:textId="746E30FE">
            <w:pPr>
              <w:jc w:val="center"/>
              <w:rPr>
                <w:b/>
                <w:sz w:val="20"/>
                <w:szCs w:val="20"/>
              </w:rPr>
            </w:pPr>
            <w:r w:rsidRPr="00DA2E7E">
              <w:rPr>
                <w:b/>
                <w:sz w:val="20"/>
                <w:szCs w:val="20"/>
              </w:rPr>
              <w:t>$</w:t>
            </w:r>
            <w:r w:rsidRPr="00DA2E7E" w:rsidR="003830BB">
              <w:rPr>
                <w:b/>
                <w:sz w:val="20"/>
                <w:szCs w:val="20"/>
              </w:rPr>
              <w:t>1,771,217</w:t>
            </w:r>
          </w:p>
        </w:tc>
        <w:tc>
          <w:tcPr>
            <w:tcW w:w="2250" w:type="dxa"/>
            <w:tcMar>
              <w:top w:w="58" w:type="dxa"/>
              <w:left w:w="58" w:type="dxa"/>
              <w:bottom w:w="58" w:type="dxa"/>
              <w:right w:w="58" w:type="dxa"/>
            </w:tcMar>
            <w:vAlign w:val="center"/>
          </w:tcPr>
          <w:p w:rsidRPr="00DA2E7E" w:rsidR="002965B0" w:rsidP="002965B0" w:rsidRDefault="00B43645" w14:paraId="5021E908" w14:textId="77777777">
            <w:pPr>
              <w:jc w:val="center"/>
              <w:rPr>
                <w:b/>
                <w:sz w:val="20"/>
                <w:szCs w:val="20"/>
              </w:rPr>
            </w:pPr>
            <w:r w:rsidRPr="00DA2E7E">
              <w:rPr>
                <w:b/>
                <w:sz w:val="20"/>
                <w:szCs w:val="20"/>
              </w:rPr>
              <w:t>$611,961</w:t>
            </w:r>
            <w:r w:rsidRPr="00DA2E7E" w:rsidR="002965B0">
              <w:rPr>
                <w:b/>
                <w:sz w:val="20"/>
                <w:szCs w:val="20"/>
              </w:rPr>
              <w:t xml:space="preserve"> </w:t>
            </w:r>
          </w:p>
          <w:p w:rsidRPr="00DA2E7E" w:rsidR="0084019A" w:rsidP="002965B0" w:rsidRDefault="0084019A" w14:paraId="5CD9AB43" w14:textId="425A68CC">
            <w:pPr>
              <w:jc w:val="center"/>
              <w:rPr>
                <w:sz w:val="20"/>
                <w:szCs w:val="20"/>
              </w:rPr>
            </w:pPr>
          </w:p>
        </w:tc>
      </w:tr>
    </w:tbl>
    <w:p w:rsidRPr="0045008B" w:rsidR="0084019A" w:rsidP="0045008B" w:rsidRDefault="0084019A" w14:paraId="0B25C210" w14:textId="32927666">
      <w:pPr>
        <w:spacing w:before="120"/>
        <w:rPr>
          <w:sz w:val="18"/>
          <w:szCs w:val="18"/>
        </w:rPr>
      </w:pPr>
      <w:r w:rsidRPr="0045008B">
        <w:rPr>
          <w:sz w:val="18"/>
          <w:szCs w:val="18"/>
        </w:rPr>
        <w:t>*</w:t>
      </w:r>
      <w:r w:rsidR="0045008B">
        <w:rPr>
          <w:sz w:val="18"/>
          <w:szCs w:val="18"/>
        </w:rPr>
        <w:t xml:space="preserve"> </w:t>
      </w:r>
      <w:r w:rsidRPr="0045008B" w:rsidR="00BA7023">
        <w:rPr>
          <w:sz w:val="18"/>
          <w:szCs w:val="18"/>
        </w:rPr>
        <w:t>A</w:t>
      </w:r>
      <w:r w:rsidRPr="0045008B">
        <w:rPr>
          <w:sz w:val="18"/>
          <w:szCs w:val="18"/>
        </w:rPr>
        <w:t>ssumes</w:t>
      </w:r>
      <w:r w:rsidRPr="0045008B" w:rsidR="006B36BE">
        <w:rPr>
          <w:sz w:val="18"/>
          <w:szCs w:val="18"/>
        </w:rPr>
        <w:t xml:space="preserve"> an estimated</w:t>
      </w:r>
      <w:r w:rsidRPr="0045008B" w:rsidR="00BA7023">
        <w:rPr>
          <w:sz w:val="18"/>
          <w:szCs w:val="18"/>
        </w:rPr>
        <w:t xml:space="preserve"> total completes of 8</w:t>
      </w:r>
      <w:r w:rsidRPr="0045008B">
        <w:rPr>
          <w:sz w:val="18"/>
          <w:szCs w:val="18"/>
        </w:rPr>
        <w:t xml:space="preserve">,000 </w:t>
      </w:r>
      <w:r w:rsidRPr="0045008B" w:rsidR="004A6F69">
        <w:rPr>
          <w:sz w:val="18"/>
          <w:szCs w:val="18"/>
        </w:rPr>
        <w:t xml:space="preserve">for data collection, </w:t>
      </w:r>
      <w:r w:rsidRPr="0045008B" w:rsidR="00BA7023">
        <w:rPr>
          <w:sz w:val="18"/>
          <w:szCs w:val="18"/>
        </w:rPr>
        <w:t>as described in Table 3</w:t>
      </w:r>
      <w:r w:rsidRPr="0045008B" w:rsidR="00A71B1B">
        <w:rPr>
          <w:sz w:val="18"/>
          <w:szCs w:val="18"/>
        </w:rPr>
        <w:t xml:space="preserve"> </w:t>
      </w:r>
      <w:r w:rsidRPr="0045008B">
        <w:rPr>
          <w:sz w:val="18"/>
          <w:szCs w:val="18"/>
        </w:rPr>
        <w:t xml:space="preserve">above. </w:t>
      </w:r>
      <w:r w:rsidRPr="0045008B" w:rsidR="00620041">
        <w:rPr>
          <w:sz w:val="18"/>
          <w:szCs w:val="18"/>
        </w:rPr>
        <w:t>Annual d</w:t>
      </w:r>
      <w:r w:rsidRPr="0045008B" w:rsidR="006D6F8A">
        <w:rPr>
          <w:sz w:val="18"/>
          <w:szCs w:val="18"/>
        </w:rPr>
        <w:t xml:space="preserve">ata collection </w:t>
      </w:r>
      <w:r w:rsidRPr="0045008B">
        <w:rPr>
          <w:sz w:val="18"/>
          <w:szCs w:val="18"/>
        </w:rPr>
        <w:t>costs will vary depending on sample sizes for individual surveys conducted under the MBECS system.</w:t>
      </w:r>
    </w:p>
    <w:p w:rsidR="00E25B8E" w:rsidP="00DA2E7E" w:rsidRDefault="0084019A" w14:paraId="008DD7D4" w14:textId="69CF4AD2">
      <w:pPr>
        <w:spacing w:before="240" w:after="120"/>
        <w:rPr>
          <w:b/>
        </w:rPr>
      </w:pPr>
      <w:r>
        <w:rPr>
          <w:b/>
        </w:rPr>
        <w:t>Table</w:t>
      </w:r>
      <w:r w:rsidRPr="00DA79B5">
        <w:rPr>
          <w:b/>
        </w:rPr>
        <w:t xml:space="preserve"> </w:t>
      </w:r>
      <w:r w:rsidR="00A71B1B">
        <w:rPr>
          <w:b/>
        </w:rPr>
        <w:t>4</w:t>
      </w:r>
      <w:r w:rsidR="00407917">
        <w:rPr>
          <w:b/>
        </w:rPr>
        <w:t>.</w:t>
      </w:r>
      <w:r w:rsidRPr="00DA79B5">
        <w:rPr>
          <w:b/>
        </w:rPr>
        <w:t xml:space="preserve"> Federal Government Personnel Cost</w:t>
      </w:r>
    </w:p>
    <w:tbl>
      <w:tblPr>
        <w:tblStyle w:val="TableGrid"/>
        <w:tblW w:w="5000" w:type="pct"/>
        <w:tblLook w:val="04A0" w:firstRow="1" w:lastRow="0" w:firstColumn="1" w:lastColumn="0" w:noHBand="0" w:noVBand="1"/>
      </w:tblPr>
      <w:tblGrid>
        <w:gridCol w:w="2825"/>
        <w:gridCol w:w="2175"/>
        <w:gridCol w:w="2175"/>
        <w:gridCol w:w="2175"/>
      </w:tblGrid>
      <w:tr w:rsidRPr="00DA2E7E" w:rsidR="00E25B8E" w:rsidTr="0045008B" w14:paraId="01B66BB7" w14:textId="77777777">
        <w:tc>
          <w:tcPr>
            <w:tcW w:w="2825" w:type="dxa"/>
            <w:tcMar>
              <w:top w:w="58" w:type="dxa"/>
              <w:left w:w="58" w:type="dxa"/>
              <w:bottom w:w="58" w:type="dxa"/>
              <w:right w:w="58" w:type="dxa"/>
            </w:tcMar>
          </w:tcPr>
          <w:p w:rsidRPr="00DA2E7E" w:rsidR="00E25B8E" w:rsidP="0084019A" w:rsidRDefault="00E25B8E" w14:paraId="16549A89" w14:textId="160F795B">
            <w:pPr>
              <w:rPr>
                <w:b/>
                <w:sz w:val="20"/>
                <w:szCs w:val="20"/>
              </w:rPr>
            </w:pPr>
            <w:r w:rsidRPr="00DA2E7E">
              <w:rPr>
                <w:b/>
                <w:sz w:val="20"/>
                <w:szCs w:val="20"/>
              </w:rPr>
              <w:t>Grade</w:t>
            </w:r>
          </w:p>
        </w:tc>
        <w:tc>
          <w:tcPr>
            <w:tcW w:w="2175" w:type="dxa"/>
            <w:tcMar>
              <w:top w:w="58" w:type="dxa"/>
              <w:left w:w="259" w:type="dxa"/>
              <w:bottom w:w="58" w:type="dxa"/>
              <w:right w:w="58" w:type="dxa"/>
            </w:tcMar>
            <w:vAlign w:val="center"/>
          </w:tcPr>
          <w:p w:rsidRPr="00DA2E7E" w:rsidR="00E25B8E" w:rsidP="0045008B" w:rsidRDefault="00E25B8E" w14:paraId="46B92F6B" w14:textId="5E3BF486">
            <w:pPr>
              <w:ind w:right="717"/>
              <w:jc w:val="right"/>
              <w:rPr>
                <w:b/>
                <w:sz w:val="20"/>
                <w:szCs w:val="20"/>
              </w:rPr>
            </w:pPr>
            <w:r w:rsidRPr="00DA2E7E">
              <w:rPr>
                <w:b/>
                <w:sz w:val="20"/>
                <w:szCs w:val="20"/>
              </w:rPr>
              <w:t>Salary</w:t>
            </w:r>
          </w:p>
        </w:tc>
        <w:tc>
          <w:tcPr>
            <w:tcW w:w="2175" w:type="dxa"/>
            <w:tcMar>
              <w:top w:w="58" w:type="dxa"/>
              <w:left w:w="259" w:type="dxa"/>
              <w:bottom w:w="58" w:type="dxa"/>
              <w:right w:w="58" w:type="dxa"/>
            </w:tcMar>
            <w:vAlign w:val="center"/>
          </w:tcPr>
          <w:p w:rsidRPr="00DA2E7E" w:rsidR="00E25B8E" w:rsidP="0045008B" w:rsidRDefault="00E25B8E" w14:paraId="495CF7CF" w14:textId="78152120">
            <w:pPr>
              <w:ind w:right="192"/>
              <w:jc w:val="center"/>
              <w:rPr>
                <w:b/>
                <w:sz w:val="20"/>
                <w:szCs w:val="20"/>
              </w:rPr>
            </w:pPr>
            <w:r w:rsidRPr="00DA2E7E">
              <w:rPr>
                <w:b/>
                <w:sz w:val="20"/>
                <w:szCs w:val="20"/>
              </w:rPr>
              <w:t>% of Time</w:t>
            </w:r>
          </w:p>
        </w:tc>
        <w:tc>
          <w:tcPr>
            <w:tcW w:w="2175" w:type="dxa"/>
            <w:tcMar>
              <w:top w:w="58" w:type="dxa"/>
              <w:left w:w="259" w:type="dxa"/>
              <w:bottom w:w="58" w:type="dxa"/>
              <w:right w:w="58" w:type="dxa"/>
            </w:tcMar>
            <w:vAlign w:val="center"/>
          </w:tcPr>
          <w:p w:rsidRPr="00DA2E7E" w:rsidR="00E25B8E" w:rsidP="0045008B" w:rsidRDefault="00E25B8E" w14:paraId="0E9B952C" w14:textId="1DD6B0F1">
            <w:pPr>
              <w:ind w:right="717"/>
              <w:jc w:val="right"/>
              <w:rPr>
                <w:b/>
                <w:sz w:val="20"/>
                <w:szCs w:val="20"/>
              </w:rPr>
            </w:pPr>
            <w:r w:rsidRPr="00DA2E7E">
              <w:rPr>
                <w:b/>
                <w:sz w:val="20"/>
                <w:szCs w:val="20"/>
              </w:rPr>
              <w:t>Total</w:t>
            </w:r>
          </w:p>
        </w:tc>
      </w:tr>
      <w:tr w:rsidRPr="00DA2E7E" w:rsidR="00E25B8E" w:rsidTr="0045008B" w14:paraId="038B659F" w14:textId="77777777">
        <w:tc>
          <w:tcPr>
            <w:tcW w:w="2825" w:type="dxa"/>
            <w:tcMar>
              <w:top w:w="58" w:type="dxa"/>
              <w:left w:w="58" w:type="dxa"/>
              <w:bottom w:w="58" w:type="dxa"/>
              <w:right w:w="58" w:type="dxa"/>
            </w:tcMar>
          </w:tcPr>
          <w:p w:rsidRPr="00DA2E7E" w:rsidR="00E25B8E" w:rsidP="0084019A" w:rsidRDefault="00E25B8E" w14:paraId="4E4EFDD5" w14:textId="2D62ADE2">
            <w:pPr>
              <w:rPr>
                <w:sz w:val="20"/>
                <w:szCs w:val="20"/>
              </w:rPr>
            </w:pPr>
            <w:r w:rsidRPr="00DA2E7E">
              <w:rPr>
                <w:sz w:val="20"/>
                <w:szCs w:val="20"/>
              </w:rPr>
              <w:t>GS 12, Step 3</w:t>
            </w:r>
          </w:p>
        </w:tc>
        <w:tc>
          <w:tcPr>
            <w:tcW w:w="2175" w:type="dxa"/>
            <w:tcMar>
              <w:top w:w="58" w:type="dxa"/>
              <w:left w:w="259" w:type="dxa"/>
              <w:bottom w:w="58" w:type="dxa"/>
              <w:right w:w="58" w:type="dxa"/>
            </w:tcMar>
            <w:vAlign w:val="center"/>
          </w:tcPr>
          <w:p w:rsidRPr="00DA2E7E" w:rsidR="00E25B8E" w:rsidP="0045008B" w:rsidRDefault="00E25B8E" w14:paraId="476CB09E" w14:textId="16EA692A">
            <w:pPr>
              <w:ind w:right="717"/>
              <w:jc w:val="right"/>
              <w:rPr>
                <w:sz w:val="20"/>
                <w:szCs w:val="20"/>
              </w:rPr>
            </w:pPr>
            <w:r w:rsidRPr="00DA2E7E">
              <w:rPr>
                <w:sz w:val="20"/>
                <w:szCs w:val="20"/>
              </w:rPr>
              <w:t>$86,984</w:t>
            </w:r>
          </w:p>
        </w:tc>
        <w:tc>
          <w:tcPr>
            <w:tcW w:w="2175" w:type="dxa"/>
            <w:tcMar>
              <w:top w:w="58" w:type="dxa"/>
              <w:left w:w="259" w:type="dxa"/>
              <w:bottom w:w="58" w:type="dxa"/>
              <w:right w:w="58" w:type="dxa"/>
            </w:tcMar>
            <w:vAlign w:val="center"/>
          </w:tcPr>
          <w:p w:rsidRPr="00DA2E7E" w:rsidR="00E25B8E" w:rsidP="0045008B" w:rsidRDefault="00E25B8E" w14:paraId="2FC07EE2" w14:textId="615617B6">
            <w:pPr>
              <w:ind w:right="192"/>
              <w:jc w:val="center"/>
              <w:rPr>
                <w:sz w:val="20"/>
                <w:szCs w:val="20"/>
              </w:rPr>
            </w:pPr>
            <w:r w:rsidRPr="00DA2E7E">
              <w:rPr>
                <w:sz w:val="20"/>
                <w:szCs w:val="20"/>
              </w:rPr>
              <w:t>5</w:t>
            </w:r>
          </w:p>
        </w:tc>
        <w:tc>
          <w:tcPr>
            <w:tcW w:w="2175" w:type="dxa"/>
            <w:tcMar>
              <w:top w:w="58" w:type="dxa"/>
              <w:left w:w="259" w:type="dxa"/>
              <w:bottom w:w="58" w:type="dxa"/>
              <w:right w:w="58" w:type="dxa"/>
            </w:tcMar>
            <w:vAlign w:val="center"/>
          </w:tcPr>
          <w:p w:rsidRPr="00DA2E7E" w:rsidR="00E25B8E" w:rsidP="0045008B" w:rsidRDefault="00E25B8E" w14:paraId="06D063A5" w14:textId="59B3DA95">
            <w:pPr>
              <w:ind w:right="717"/>
              <w:jc w:val="right"/>
              <w:rPr>
                <w:sz w:val="20"/>
                <w:szCs w:val="20"/>
              </w:rPr>
            </w:pPr>
            <w:r w:rsidRPr="00DA2E7E">
              <w:rPr>
                <w:sz w:val="20"/>
                <w:szCs w:val="20"/>
              </w:rPr>
              <w:t>$4,349.20</w:t>
            </w:r>
          </w:p>
        </w:tc>
      </w:tr>
      <w:tr w:rsidRPr="00DA2E7E" w:rsidR="00E25B8E" w:rsidTr="0045008B" w14:paraId="7544AE90" w14:textId="77777777">
        <w:tc>
          <w:tcPr>
            <w:tcW w:w="2825" w:type="dxa"/>
            <w:tcMar>
              <w:top w:w="58" w:type="dxa"/>
              <w:left w:w="58" w:type="dxa"/>
              <w:bottom w:w="58" w:type="dxa"/>
              <w:right w:w="58" w:type="dxa"/>
            </w:tcMar>
          </w:tcPr>
          <w:p w:rsidRPr="00DA2E7E" w:rsidR="00E25B8E" w:rsidP="0084019A" w:rsidRDefault="00E25B8E" w14:paraId="15C62C7A" w14:textId="7728F7F4">
            <w:pPr>
              <w:rPr>
                <w:sz w:val="20"/>
                <w:szCs w:val="20"/>
              </w:rPr>
            </w:pPr>
            <w:r w:rsidRPr="00DA2E7E">
              <w:rPr>
                <w:sz w:val="20"/>
                <w:szCs w:val="20"/>
              </w:rPr>
              <w:t>GS 13, Step 7</w:t>
            </w:r>
          </w:p>
        </w:tc>
        <w:tc>
          <w:tcPr>
            <w:tcW w:w="2175" w:type="dxa"/>
            <w:tcMar>
              <w:top w:w="58" w:type="dxa"/>
              <w:left w:w="259" w:type="dxa"/>
              <w:bottom w:w="58" w:type="dxa"/>
              <w:right w:w="58" w:type="dxa"/>
            </w:tcMar>
            <w:vAlign w:val="center"/>
          </w:tcPr>
          <w:p w:rsidRPr="00DA2E7E" w:rsidR="00E25B8E" w:rsidP="0045008B" w:rsidRDefault="00E25B8E" w14:paraId="6EA50222" w14:textId="29E48251">
            <w:pPr>
              <w:ind w:right="717"/>
              <w:jc w:val="right"/>
              <w:rPr>
                <w:sz w:val="20"/>
                <w:szCs w:val="20"/>
              </w:rPr>
            </w:pPr>
            <w:r w:rsidRPr="00DA2E7E">
              <w:rPr>
                <w:sz w:val="20"/>
                <w:szCs w:val="20"/>
              </w:rPr>
              <w:t>$115,684</w:t>
            </w:r>
          </w:p>
        </w:tc>
        <w:tc>
          <w:tcPr>
            <w:tcW w:w="2175" w:type="dxa"/>
            <w:tcMar>
              <w:top w:w="58" w:type="dxa"/>
              <w:left w:w="259" w:type="dxa"/>
              <w:bottom w:w="58" w:type="dxa"/>
              <w:right w:w="58" w:type="dxa"/>
            </w:tcMar>
            <w:vAlign w:val="center"/>
          </w:tcPr>
          <w:p w:rsidRPr="00DA2E7E" w:rsidR="00E25B8E" w:rsidP="0045008B" w:rsidRDefault="00E25B8E" w14:paraId="4B4FCCEF" w14:textId="0DC11B32">
            <w:pPr>
              <w:ind w:right="192"/>
              <w:jc w:val="center"/>
              <w:rPr>
                <w:sz w:val="20"/>
                <w:szCs w:val="20"/>
              </w:rPr>
            </w:pPr>
            <w:r w:rsidRPr="00DA2E7E">
              <w:rPr>
                <w:sz w:val="20"/>
                <w:szCs w:val="20"/>
              </w:rPr>
              <w:t>5</w:t>
            </w:r>
          </w:p>
        </w:tc>
        <w:tc>
          <w:tcPr>
            <w:tcW w:w="2175" w:type="dxa"/>
            <w:tcMar>
              <w:top w:w="58" w:type="dxa"/>
              <w:left w:w="259" w:type="dxa"/>
              <w:bottom w:w="58" w:type="dxa"/>
              <w:right w:w="58" w:type="dxa"/>
            </w:tcMar>
            <w:vAlign w:val="center"/>
          </w:tcPr>
          <w:p w:rsidRPr="00DA2E7E" w:rsidR="00E25B8E" w:rsidP="0045008B" w:rsidRDefault="00E25B8E" w14:paraId="4F75CCF5" w14:textId="4EF6AE8D">
            <w:pPr>
              <w:ind w:right="717"/>
              <w:jc w:val="right"/>
              <w:rPr>
                <w:sz w:val="20"/>
                <w:szCs w:val="20"/>
              </w:rPr>
            </w:pPr>
            <w:r w:rsidRPr="00DA2E7E">
              <w:rPr>
                <w:sz w:val="20"/>
                <w:szCs w:val="20"/>
              </w:rPr>
              <w:t>$5,784.20</w:t>
            </w:r>
          </w:p>
        </w:tc>
      </w:tr>
      <w:tr w:rsidRPr="00DA2E7E" w:rsidR="00E25B8E" w:rsidTr="0045008B" w14:paraId="6FA38023" w14:textId="77777777">
        <w:tc>
          <w:tcPr>
            <w:tcW w:w="2825" w:type="dxa"/>
            <w:tcMar>
              <w:top w:w="58" w:type="dxa"/>
              <w:left w:w="58" w:type="dxa"/>
              <w:bottom w:w="58" w:type="dxa"/>
              <w:right w:w="58" w:type="dxa"/>
            </w:tcMar>
          </w:tcPr>
          <w:p w:rsidRPr="00DA2E7E" w:rsidR="00E25B8E" w:rsidP="0084019A" w:rsidRDefault="00E25B8E" w14:paraId="48161675" w14:textId="000532A1">
            <w:pPr>
              <w:rPr>
                <w:b/>
                <w:sz w:val="20"/>
                <w:szCs w:val="20"/>
              </w:rPr>
            </w:pPr>
            <w:r w:rsidRPr="00DA2E7E">
              <w:rPr>
                <w:b/>
                <w:sz w:val="20"/>
                <w:szCs w:val="20"/>
              </w:rPr>
              <w:t>Total</w:t>
            </w:r>
          </w:p>
        </w:tc>
        <w:tc>
          <w:tcPr>
            <w:tcW w:w="2175" w:type="dxa"/>
            <w:tcMar>
              <w:top w:w="58" w:type="dxa"/>
              <w:left w:w="259" w:type="dxa"/>
              <w:bottom w:w="58" w:type="dxa"/>
              <w:right w:w="58" w:type="dxa"/>
            </w:tcMar>
            <w:vAlign w:val="center"/>
          </w:tcPr>
          <w:p w:rsidRPr="00DA2E7E" w:rsidR="00E25B8E" w:rsidP="0045008B" w:rsidRDefault="00E25B8E" w14:paraId="12685B7A" w14:textId="77777777">
            <w:pPr>
              <w:ind w:right="717"/>
              <w:jc w:val="right"/>
              <w:rPr>
                <w:sz w:val="20"/>
                <w:szCs w:val="20"/>
              </w:rPr>
            </w:pPr>
          </w:p>
        </w:tc>
        <w:tc>
          <w:tcPr>
            <w:tcW w:w="2175" w:type="dxa"/>
            <w:tcMar>
              <w:top w:w="58" w:type="dxa"/>
              <w:left w:w="259" w:type="dxa"/>
              <w:bottom w:w="58" w:type="dxa"/>
              <w:right w:w="58" w:type="dxa"/>
            </w:tcMar>
            <w:vAlign w:val="center"/>
          </w:tcPr>
          <w:p w:rsidRPr="00DA2E7E" w:rsidR="00E25B8E" w:rsidP="0045008B" w:rsidRDefault="00E25B8E" w14:paraId="488A0A0C" w14:textId="77777777">
            <w:pPr>
              <w:ind w:right="717"/>
              <w:jc w:val="right"/>
              <w:rPr>
                <w:sz w:val="20"/>
                <w:szCs w:val="20"/>
              </w:rPr>
            </w:pPr>
          </w:p>
        </w:tc>
        <w:tc>
          <w:tcPr>
            <w:tcW w:w="2175" w:type="dxa"/>
            <w:tcMar>
              <w:top w:w="58" w:type="dxa"/>
              <w:left w:w="259" w:type="dxa"/>
              <w:bottom w:w="58" w:type="dxa"/>
              <w:right w:w="58" w:type="dxa"/>
            </w:tcMar>
            <w:vAlign w:val="center"/>
          </w:tcPr>
          <w:p w:rsidRPr="00DA2E7E" w:rsidR="00E25B8E" w:rsidP="0045008B" w:rsidRDefault="00E25B8E" w14:paraId="72B04712" w14:textId="2DFE4A43">
            <w:pPr>
              <w:ind w:right="717"/>
              <w:jc w:val="right"/>
              <w:rPr>
                <w:b/>
                <w:sz w:val="20"/>
                <w:szCs w:val="20"/>
              </w:rPr>
            </w:pPr>
            <w:r w:rsidRPr="00DA2E7E">
              <w:rPr>
                <w:b/>
                <w:sz w:val="20"/>
                <w:szCs w:val="20"/>
              </w:rPr>
              <w:t>$10,133.40</w:t>
            </w:r>
          </w:p>
        </w:tc>
      </w:tr>
    </w:tbl>
    <w:p w:rsidRPr="00412C6F" w:rsidR="009B633D" w:rsidP="00A21201" w:rsidRDefault="009B633D" w14:paraId="53FFB940" w14:textId="77777777">
      <w:pPr>
        <w:pStyle w:val="Heading2"/>
      </w:pPr>
      <w:bookmarkStart w:name="_Toc151782190" w:id="58"/>
      <w:bookmarkStart w:name="_Toc158526230" w:id="59"/>
      <w:bookmarkStart w:name="_Toc68611948" w:id="60"/>
      <w:r w:rsidRPr="00412C6F">
        <w:t>15. Changes in Hour Burden</w:t>
      </w:r>
      <w:bookmarkEnd w:id="58"/>
      <w:bookmarkEnd w:id="59"/>
      <w:bookmarkEnd w:id="60"/>
    </w:p>
    <w:p w:rsidRPr="004B7B91" w:rsidR="00B52533" w:rsidP="002D4D3A" w:rsidRDefault="004B7B91" w14:paraId="1472A50B" w14:textId="77777777">
      <w:pPr>
        <w:pStyle w:val="BodyText"/>
      </w:pPr>
      <w:bookmarkStart w:name="_Toc151782191" w:id="61"/>
      <w:bookmarkStart w:name="_Toc158526231" w:id="62"/>
      <w:r w:rsidRPr="00BD52A9">
        <w:t>This is a new collection of information.</w:t>
      </w:r>
      <w:r w:rsidRPr="004B7B91" w:rsidR="00673643">
        <w:t xml:space="preserve"> </w:t>
      </w:r>
    </w:p>
    <w:p w:rsidRPr="00412C6F" w:rsidR="009B633D" w:rsidP="00A21201" w:rsidRDefault="009B633D" w14:paraId="0D3253D7" w14:textId="77777777">
      <w:pPr>
        <w:pStyle w:val="Heading2"/>
      </w:pPr>
      <w:bookmarkStart w:name="_Toc68611949" w:id="63"/>
      <w:r w:rsidRPr="00412C6F">
        <w:t>16. Time Schedule, Publication and Analysis Plans</w:t>
      </w:r>
      <w:bookmarkEnd w:id="61"/>
      <w:bookmarkEnd w:id="62"/>
      <w:bookmarkEnd w:id="63"/>
    </w:p>
    <w:p w:rsidR="007B2403" w:rsidP="002D4D3A" w:rsidRDefault="00A6458C" w14:paraId="0604503F" w14:textId="60B351D8">
      <w:pPr>
        <w:pStyle w:val="BodyText"/>
      </w:pPr>
      <w:bookmarkStart w:name="_Toc151782192" w:id="64"/>
      <w:r>
        <w:t xml:space="preserve">Data collection is planned to begin </w:t>
      </w:r>
      <w:r w:rsidR="00513808">
        <w:t>following OMB clearance</w:t>
      </w:r>
      <w:r w:rsidR="007F3D69">
        <w:t xml:space="preserve"> </w:t>
      </w:r>
      <w:r w:rsidR="00F37C26">
        <w:t xml:space="preserve">of the individual collection requests </w:t>
      </w:r>
      <w:r w:rsidR="007F3D69">
        <w:t xml:space="preserve">and last for </w:t>
      </w:r>
      <w:r w:rsidR="00F37C26">
        <w:t xml:space="preserve">approximately </w:t>
      </w:r>
      <w:r w:rsidR="007F3D69">
        <w:t>5 months</w:t>
      </w:r>
      <w:r w:rsidR="00513808">
        <w:t xml:space="preserve">. </w:t>
      </w:r>
      <w:r w:rsidR="007B2403">
        <w:t>Analyses will include:</w:t>
      </w:r>
    </w:p>
    <w:p w:rsidR="0027118E" w:rsidP="00A21201" w:rsidRDefault="007B2403" w14:paraId="68206A25" w14:textId="77777777">
      <w:pPr>
        <w:pStyle w:val="BulletLevel1"/>
        <w:numPr>
          <w:ilvl w:val="0"/>
          <w:numId w:val="12"/>
        </w:numPr>
      </w:pPr>
      <w:r w:rsidRPr="007B2403">
        <w:t>Descriptive analysis of the distribution of composite measures, global rating items, and other individual items on the survey</w:t>
      </w:r>
      <w:r w:rsidR="001B27FB">
        <w:t>.</w:t>
      </w:r>
    </w:p>
    <w:p w:rsidRPr="007B2403" w:rsidR="007B2403" w:rsidP="00A21201" w:rsidRDefault="007B2403" w14:paraId="06CE556C" w14:textId="5E0F7DED">
      <w:pPr>
        <w:pStyle w:val="BulletLevel1"/>
        <w:numPr>
          <w:ilvl w:val="0"/>
          <w:numId w:val="12"/>
        </w:numPr>
      </w:pPr>
      <w:r>
        <w:t>A</w:t>
      </w:r>
      <w:r w:rsidRPr="007B2403">
        <w:t>nalys</w:t>
      </w:r>
      <w:r w:rsidR="00107250">
        <w:t>e</w:t>
      </w:r>
      <w:r w:rsidRPr="007B2403">
        <w:t xml:space="preserve">s stratifying on </w:t>
      </w:r>
      <w:r w:rsidR="00107250">
        <w:t xml:space="preserve">demographic characteristics, such as </w:t>
      </w:r>
      <w:r w:rsidR="000B1480">
        <w:t>gender,</w:t>
      </w:r>
      <w:r w:rsidR="0076470D">
        <w:t xml:space="preserve"> rural or urban location, SMI or SUD status,</w:t>
      </w:r>
      <w:r w:rsidR="000B1480">
        <w:t xml:space="preserve"> </w:t>
      </w:r>
      <w:r w:rsidRPr="007B2403">
        <w:t>race</w:t>
      </w:r>
      <w:r w:rsidR="005B198A">
        <w:t xml:space="preserve">, </w:t>
      </w:r>
      <w:r w:rsidRPr="007B2403">
        <w:t>ethnicity</w:t>
      </w:r>
      <w:r w:rsidR="005B198A">
        <w:t>, limited English proficiency,</w:t>
      </w:r>
      <w:r w:rsidRPr="007B2403">
        <w:t xml:space="preserve"> and disability status</w:t>
      </w:r>
      <w:r>
        <w:t>.</w:t>
      </w:r>
      <w:r w:rsidR="00107250">
        <w:t xml:space="preserve"> These analyses will vary based on the target minority population</w:t>
      </w:r>
      <w:r w:rsidR="0027118E">
        <w:t xml:space="preserve"> and sub-groups included in the sample</w:t>
      </w:r>
      <w:r w:rsidR="00107250">
        <w:t>.</w:t>
      </w:r>
    </w:p>
    <w:p w:rsidR="007B2403" w:rsidP="00A21201" w:rsidRDefault="007B2403" w14:paraId="34AFB46D" w14:textId="70882B08">
      <w:pPr>
        <w:pStyle w:val="BulletLevel1"/>
        <w:numPr>
          <w:ilvl w:val="0"/>
          <w:numId w:val="12"/>
        </w:numPr>
      </w:pPr>
      <w:r w:rsidRPr="007B2403">
        <w:t xml:space="preserve">Comparison between </w:t>
      </w:r>
      <w:r w:rsidR="00107250">
        <w:t xml:space="preserve">minority populations </w:t>
      </w:r>
      <w:r>
        <w:t>(from</w:t>
      </w:r>
      <w:r w:rsidR="006A710C">
        <w:t xml:space="preserve"> </w:t>
      </w:r>
      <w:r>
        <w:t>MBECS)</w:t>
      </w:r>
      <w:r w:rsidRPr="007B2403">
        <w:t xml:space="preserve"> and </w:t>
      </w:r>
      <w:r w:rsidR="0027118E">
        <w:t>general-population</w:t>
      </w:r>
      <w:r w:rsidRPr="007B2403" w:rsidR="00107250">
        <w:t xml:space="preserve"> </w:t>
      </w:r>
      <w:r w:rsidR="0027118E">
        <w:t>beneficiary benchmarks</w:t>
      </w:r>
      <w:r>
        <w:t xml:space="preserve"> (from FFS, MA, and NAM CAHPS</w:t>
      </w:r>
      <w:r w:rsidR="00107250">
        <w:t>, or from other source surveys for population-specific measures</w:t>
      </w:r>
      <w:r>
        <w:t>)</w:t>
      </w:r>
      <w:r w:rsidRPr="007B2403">
        <w:t xml:space="preserve"> on patient experience measures. </w:t>
      </w:r>
    </w:p>
    <w:p w:rsidRPr="00A6458C" w:rsidR="00A6458C" w:rsidP="002D4D3A" w:rsidRDefault="00A6458C" w14:paraId="5EC72576" w14:textId="384DAFF2">
      <w:pPr>
        <w:pStyle w:val="BodyText"/>
      </w:pPr>
      <w:r w:rsidRPr="00BD00CB">
        <w:lastRenderedPageBreak/>
        <w:t>CMS OMH will</w:t>
      </w:r>
      <w:r w:rsidRPr="00BD00CB" w:rsidR="007B2403">
        <w:t xml:space="preserve"> </w:t>
      </w:r>
      <w:r w:rsidR="0027118E">
        <w:t xml:space="preserve">1) produce </w:t>
      </w:r>
      <w:r w:rsidRPr="00BD00CB" w:rsidR="007F3D69">
        <w:t xml:space="preserve">a methodology report </w:t>
      </w:r>
      <w:r w:rsidRPr="00BD00CB" w:rsidR="007B2403">
        <w:t xml:space="preserve">within three months of the end of </w:t>
      </w:r>
      <w:r w:rsidR="00A976BC">
        <w:t xml:space="preserve">any </w:t>
      </w:r>
      <w:r w:rsidRPr="00BD00CB" w:rsidR="007B2403">
        <w:t>data collection</w:t>
      </w:r>
      <w:r w:rsidR="0027118E">
        <w:t xml:space="preserve">; 2) </w:t>
      </w:r>
      <w:r w:rsidRPr="00BD00CB" w:rsidR="007B2403">
        <w:t>plan</w:t>
      </w:r>
      <w:r w:rsidR="000B1480">
        <w:t>s</w:t>
      </w:r>
      <w:r w:rsidRPr="00BD00CB">
        <w:t xml:space="preserve"> </w:t>
      </w:r>
      <w:r w:rsidR="000B1480">
        <w:t xml:space="preserve">to </w:t>
      </w:r>
      <w:r w:rsidRPr="00BD00CB">
        <w:t>write up</w:t>
      </w:r>
      <w:r w:rsidRPr="00BD00CB" w:rsidR="007B2403">
        <w:t xml:space="preserve"> findings for publication </w:t>
      </w:r>
      <w:r w:rsidR="005B198A">
        <w:t>on the CMS OMH website and in peer-reviewed journals</w:t>
      </w:r>
      <w:r w:rsidR="0033641B">
        <w:t xml:space="preserve"> (e.g., Medical Care, Medical Care Research and Review)</w:t>
      </w:r>
      <w:r w:rsidR="000B1480">
        <w:t>; and 3)</w:t>
      </w:r>
      <w:r w:rsidR="005B198A">
        <w:t xml:space="preserve"> </w:t>
      </w:r>
      <w:r w:rsidRPr="0027118E" w:rsidR="00BC31FE">
        <w:t>plans to develop a restricted use data set for use by resea</w:t>
      </w:r>
      <w:r w:rsidR="000B1480">
        <w:t>r</w:t>
      </w:r>
      <w:r w:rsidRPr="0027118E" w:rsidR="00BC31FE">
        <w:t>chers.</w:t>
      </w:r>
    </w:p>
    <w:p w:rsidRPr="00BD157B" w:rsidR="009B633D" w:rsidP="00A21201" w:rsidRDefault="009B633D" w14:paraId="4282F39C" w14:textId="77777777">
      <w:pPr>
        <w:pStyle w:val="Heading2"/>
      </w:pPr>
      <w:bookmarkStart w:name="_Toc151782196" w:id="65"/>
      <w:bookmarkStart w:name="_Toc158526232" w:id="66"/>
      <w:bookmarkStart w:name="_Toc68611950" w:id="67"/>
      <w:bookmarkEnd w:id="64"/>
      <w:r w:rsidRPr="00BD157B">
        <w:t>17. Exemption for Display of Expiration Date</w:t>
      </w:r>
      <w:bookmarkEnd w:id="65"/>
      <w:bookmarkEnd w:id="66"/>
      <w:bookmarkEnd w:id="67"/>
    </w:p>
    <w:p w:rsidR="00226A3F" w:rsidP="002D4D3A" w:rsidRDefault="00A452F4" w14:paraId="556CB9DE" w14:textId="77777777">
      <w:pPr>
        <w:pStyle w:val="BodyText"/>
      </w:pPr>
      <w:r>
        <w:t>CMS OMH</w:t>
      </w:r>
      <w:r w:rsidRPr="004F03D2" w:rsidR="009B633D">
        <w:t xml:space="preserve"> does not seek this exemption</w:t>
      </w:r>
      <w:r w:rsidR="009B633D">
        <w:t>.</w:t>
      </w:r>
    </w:p>
    <w:p w:rsidR="009B633D" w:rsidP="002D4D3A" w:rsidRDefault="00226A3F" w14:paraId="34C86E55" w14:textId="73092308">
      <w:pPr>
        <w:pStyle w:val="BodyText"/>
      </w:pPr>
      <w:r>
        <w:t xml:space="preserve">The OMB expiration date is displayed on </w:t>
      </w:r>
      <w:r w:rsidR="00600E78">
        <w:t>all</w:t>
      </w:r>
      <w:r>
        <w:t xml:space="preserve"> hardcopy respondent materials, including</w:t>
      </w:r>
      <w:r>
        <w:rPr>
          <w:spacing w:val="-19"/>
        </w:rPr>
        <w:t xml:space="preserve"> </w:t>
      </w:r>
      <w:r>
        <w:t>the Web invitation letter</w:t>
      </w:r>
      <w:r w:rsidR="00600E78">
        <w:t>,</w:t>
      </w:r>
      <w:r>
        <w:t xml:space="preserve"> </w:t>
      </w:r>
      <w:r w:rsidR="003C73C4">
        <w:t xml:space="preserve">cover </w:t>
      </w:r>
      <w:r w:rsidR="00600E78">
        <w:t>letters accompanying the self-administered questionnaire, thank you letters</w:t>
      </w:r>
      <w:r w:rsidR="00B57D7A">
        <w:t xml:space="preserve"> (delivered with the incentive after the questionnaire is completed)</w:t>
      </w:r>
      <w:r w:rsidR="00600E78">
        <w:t xml:space="preserve">, and the </w:t>
      </w:r>
      <w:r w:rsidR="003C73C4">
        <w:t xml:space="preserve">hardcopy </w:t>
      </w:r>
      <w:r>
        <w:t>self-administered questionnaire. It will also be displayed on</w:t>
      </w:r>
      <w:r>
        <w:rPr>
          <w:spacing w:val="-24"/>
        </w:rPr>
        <w:t xml:space="preserve"> </w:t>
      </w:r>
      <w:r w:rsidR="00EF6F28">
        <w:t>each screen of the</w:t>
      </w:r>
      <w:r>
        <w:t xml:space="preserve"> MBECS </w:t>
      </w:r>
      <w:r w:rsidR="006D5A9E">
        <w:t>web survey</w:t>
      </w:r>
      <w:r>
        <w:t xml:space="preserve">. </w:t>
      </w:r>
    </w:p>
    <w:p w:rsidR="00BD157B" w:rsidP="00A21201" w:rsidRDefault="00BD157B" w14:paraId="55464922" w14:textId="77777777">
      <w:pPr>
        <w:pStyle w:val="Heading2"/>
      </w:pPr>
      <w:bookmarkStart w:name="_Toc68611951" w:id="68"/>
      <w:r w:rsidRPr="001C1B52">
        <w:t>18.</w:t>
      </w:r>
      <w:r>
        <w:t xml:space="preserve"> </w:t>
      </w:r>
      <w:r w:rsidRPr="001C1B52">
        <w:t>Exceptions to Certification for Paperwork Reduction Act Submissions</w:t>
      </w:r>
      <w:bookmarkEnd w:id="68"/>
      <w:r w:rsidRPr="001C1B52">
        <w:t xml:space="preserve"> </w:t>
      </w:r>
    </w:p>
    <w:p w:rsidR="00BD157B" w:rsidP="002D4D3A" w:rsidRDefault="00BD157B" w14:paraId="368375BC" w14:textId="6EA79A7E">
      <w:pPr>
        <w:pStyle w:val="BodyText"/>
      </w:pPr>
      <w:r w:rsidRPr="00BD157B">
        <w:t>CMS OMH</w:t>
      </w:r>
      <w:r>
        <w:t xml:space="preserve"> does not seek this exc</w:t>
      </w:r>
      <w:r w:rsidRPr="00BD157B">
        <w:t>eption.</w:t>
      </w:r>
    </w:p>
    <w:p w:rsidR="002D4D3A" w:rsidRDefault="002D4D3A" w14:paraId="19EEE741" w14:textId="6478297A">
      <w:r>
        <w:br w:type="page"/>
      </w:r>
    </w:p>
    <w:p w:rsidRPr="00016560" w:rsidR="002D4D3A" w:rsidP="00A21201" w:rsidRDefault="002D4D3A" w14:paraId="37DA83F7" w14:textId="77777777">
      <w:pPr>
        <w:pStyle w:val="Heading2"/>
      </w:pPr>
      <w:bookmarkStart w:name="_Toc68611952" w:id="69"/>
      <w:r>
        <w:lastRenderedPageBreak/>
        <w:t xml:space="preserve">List of </w:t>
      </w:r>
      <w:r w:rsidRPr="00016560">
        <w:t>Attachments:</w:t>
      </w:r>
      <w:bookmarkEnd w:id="69"/>
    </w:p>
    <w:p w:rsidR="002D4D3A" w:rsidP="002D4D3A" w:rsidRDefault="002D4D3A" w14:paraId="55056356" w14:textId="77777777">
      <w:pPr>
        <w:pStyle w:val="BodyText"/>
      </w:pPr>
      <w:r>
        <w:t>Attachment A – MBECS Core Questionnaire</w:t>
      </w:r>
    </w:p>
    <w:p w:rsidRPr="00535B56" w:rsidR="001B27FB" w:rsidP="002D4D3A" w:rsidRDefault="002D4D3A" w14:paraId="5982EAD6" w14:textId="05B5C155">
      <w:pPr>
        <w:pStyle w:val="Heading2"/>
      </w:pPr>
      <w:bookmarkStart w:name="_Toc68611953" w:id="70"/>
      <w:r>
        <w:t>References</w:t>
      </w:r>
      <w:bookmarkEnd w:id="70"/>
    </w:p>
    <w:sectPr w:rsidRPr="00535B56" w:rsidR="001B27FB" w:rsidSect="004A0E82">
      <w:footerReference w:type="even" r:id="rId9"/>
      <w:footerReference w:type="default" r:id="rId10"/>
      <w:endnotePr>
        <w:numFmt w:val="decimal"/>
      </w:end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0952" w14:textId="77777777" w:rsidR="00356D4B" w:rsidRDefault="00356D4B">
      <w:r>
        <w:separator/>
      </w:r>
    </w:p>
  </w:endnote>
  <w:endnote w:type="continuationSeparator" w:id="0">
    <w:p w14:paraId="22586851" w14:textId="77777777" w:rsidR="00356D4B" w:rsidRDefault="00356D4B">
      <w:r>
        <w:continuationSeparator/>
      </w:r>
    </w:p>
  </w:endnote>
  <w:endnote w:type="continuationNotice" w:id="1">
    <w:p w14:paraId="781C4AB9" w14:textId="77777777" w:rsidR="00356D4B" w:rsidRDefault="00356D4B"/>
  </w:endnote>
  <w:endnote w:id="2">
    <w:p w14:paraId="7D3A27D6" w14:textId="1B851630" w:rsidR="00356D4B" w:rsidRPr="002438F4" w:rsidRDefault="00356D4B" w:rsidP="002438F4">
      <w:pPr>
        <w:pStyle w:val="EndnoteText"/>
      </w:pPr>
      <w:r>
        <w:rPr>
          <w:rStyle w:val="EndnoteReference"/>
        </w:rPr>
        <w:endnoteRef/>
      </w:r>
      <w:r>
        <w:t xml:space="preserve"> </w:t>
      </w:r>
      <w:r>
        <w:rPr>
          <w:sz w:val="22"/>
        </w:rPr>
        <w:t>See non</w:t>
      </w:r>
      <w:r w:rsidRPr="0080661C">
        <w:rPr>
          <w:sz w:val="22"/>
        </w:rPr>
        <w:t xml:space="preserve">response reporting from the National Survey on Drug Use and Health (NSDUH) at </w:t>
      </w:r>
      <w:hyperlink r:id="rId1" w:history="1">
        <w:r w:rsidRPr="0080661C">
          <w:rPr>
            <w:rStyle w:val="Hyperlink"/>
            <w:sz w:val="22"/>
          </w:rPr>
          <w:t>https://www.nimh.nih.gov/health/statistics/prevalence/serious-mental-illness-smi-among-us-adults.shtml</w:t>
        </w:r>
      </w:hyperlink>
    </w:p>
    <w:p w14:paraId="67C8BE07" w14:textId="73E4299D" w:rsidR="00356D4B" w:rsidRDefault="00356D4B">
      <w:pPr>
        <w:pStyle w:val="EndnoteText"/>
      </w:pPr>
    </w:p>
  </w:endnote>
  <w:endnote w:id="3">
    <w:p w14:paraId="4D1E9573" w14:textId="34D06587" w:rsidR="00356D4B" w:rsidRDefault="00356D4B">
      <w:pPr>
        <w:pStyle w:val="EndnoteText"/>
      </w:pPr>
      <w:r>
        <w:rPr>
          <w:rStyle w:val="EndnoteReference"/>
        </w:rPr>
        <w:endnoteRef/>
      </w:r>
      <w:r>
        <w:t xml:space="preserve"> </w:t>
      </w:r>
      <w:r w:rsidRPr="0080661C">
        <w:rPr>
          <w:sz w:val="22"/>
        </w:rPr>
        <w:t>Bjertness, E., Sagatun, Å., Green, K., Lien, L., Søgaard, A. J., &amp; Selmer, R. (2010). Response rates and selection problems, with emphasis on mental health variables and DNA sampling, in large population-based, cross-sectional and longitudinal studies of adolescents in Norway. </w:t>
      </w:r>
      <w:r w:rsidRPr="0080661C">
        <w:rPr>
          <w:i/>
          <w:iCs/>
          <w:sz w:val="22"/>
        </w:rPr>
        <w:t>BMC Public Health</w:t>
      </w:r>
      <w:r w:rsidRPr="0080661C">
        <w:rPr>
          <w:sz w:val="22"/>
        </w:rPr>
        <w:t>, </w:t>
      </w:r>
      <w:r w:rsidRPr="0080661C">
        <w:rPr>
          <w:i/>
          <w:iCs/>
          <w:sz w:val="22"/>
        </w:rPr>
        <w:t>10</w:t>
      </w:r>
      <w:r w:rsidRPr="0080661C">
        <w:rPr>
          <w:sz w:val="22"/>
        </w:rPr>
        <w:t xml:space="preserve">, 602. </w:t>
      </w:r>
      <w:hyperlink r:id="rId2" w:history="1">
        <w:r w:rsidRPr="0080661C">
          <w:rPr>
            <w:rStyle w:val="Hyperlink"/>
            <w:sz w:val="22"/>
          </w:rPr>
          <w:t>http://doi.org/10.1186/1471-2458-10-602</w:t>
        </w:r>
      </w:hyperlink>
    </w:p>
    <w:p w14:paraId="68758628" w14:textId="77777777" w:rsidR="00356D4B" w:rsidRDefault="00356D4B">
      <w:pPr>
        <w:pStyle w:val="EndnoteText"/>
      </w:pPr>
    </w:p>
  </w:endnote>
  <w:endnote w:id="4">
    <w:p w14:paraId="2F0B7279" w14:textId="115A6109" w:rsidR="00356D4B" w:rsidRDefault="00356D4B">
      <w:pPr>
        <w:pStyle w:val="EndnoteText"/>
        <w:rPr>
          <w:sz w:val="24"/>
          <w:szCs w:val="24"/>
        </w:rPr>
      </w:pPr>
      <w:r>
        <w:rPr>
          <w:rStyle w:val="EndnoteReference"/>
        </w:rPr>
        <w:endnoteRef/>
      </w:r>
      <w:r>
        <w:t xml:space="preserve"> </w:t>
      </w:r>
      <w:r w:rsidRPr="00C541AB">
        <w:rPr>
          <w:sz w:val="22"/>
          <w:szCs w:val="22"/>
        </w:rPr>
        <w:t>Zaslavsky, A., Zaborski, L., &amp; Cleary, P. (2002). Factors Affecting Response Rates to the Consumer Assessment of Health Plans Study Survey. </w:t>
      </w:r>
      <w:r w:rsidRPr="00C541AB">
        <w:rPr>
          <w:i/>
          <w:iCs/>
          <w:sz w:val="22"/>
          <w:szCs w:val="22"/>
        </w:rPr>
        <w:t>Medical Care,</w:t>
      </w:r>
      <w:r w:rsidRPr="00C541AB">
        <w:rPr>
          <w:sz w:val="22"/>
          <w:szCs w:val="22"/>
        </w:rPr>
        <w:t> </w:t>
      </w:r>
      <w:r w:rsidRPr="00C541AB">
        <w:rPr>
          <w:i/>
          <w:iCs/>
          <w:sz w:val="22"/>
          <w:szCs w:val="22"/>
        </w:rPr>
        <w:t>40</w:t>
      </w:r>
      <w:r w:rsidRPr="00C541AB">
        <w:rPr>
          <w:sz w:val="22"/>
          <w:szCs w:val="22"/>
        </w:rPr>
        <w:t xml:space="preserve">(6), 485-499. Retrieved from </w:t>
      </w:r>
      <w:hyperlink r:id="rId3" w:history="1">
        <w:r w:rsidRPr="00C541AB">
          <w:rPr>
            <w:color w:val="0000FF"/>
            <w:sz w:val="22"/>
            <w:szCs w:val="22"/>
            <w:u w:val="single"/>
          </w:rPr>
          <w:t>http://www.jstor.org/stable/3768129</w:t>
        </w:r>
      </w:hyperlink>
    </w:p>
    <w:p w14:paraId="53494FE3" w14:textId="77777777" w:rsidR="00356D4B" w:rsidRDefault="00356D4B">
      <w:pPr>
        <w:pStyle w:val="EndnoteText"/>
      </w:pPr>
    </w:p>
  </w:endnote>
  <w:endnote w:id="5">
    <w:p w14:paraId="3ABA58E4" w14:textId="2FD7F052" w:rsidR="00356D4B" w:rsidRDefault="00356D4B">
      <w:pPr>
        <w:pStyle w:val="EndnoteText"/>
      </w:pPr>
      <w:r>
        <w:rPr>
          <w:rStyle w:val="EndnoteReference"/>
        </w:rPr>
        <w:endnoteRef/>
      </w:r>
      <w:r>
        <w:t xml:space="preserve"> </w:t>
      </w:r>
      <w:r w:rsidRPr="0015218E">
        <w:rPr>
          <w:sz w:val="22"/>
        </w:rPr>
        <w:t>Tan, J., Li, N., Cui, B., Wang, L., Zhao, Y., Zhang, B., &amp; ... Zhang, Y. (2016). Characteristics of participants’ a</w:t>
      </w:r>
      <w:r>
        <w:rPr>
          <w:sz w:val="22"/>
        </w:rPr>
        <w:t>nd caregivers’ influence on non</w:t>
      </w:r>
      <w:r w:rsidRPr="0015218E">
        <w:rPr>
          <w:sz w:val="22"/>
        </w:rPr>
        <w:t>response in a cross-sectional study of dementia in an older population. </w:t>
      </w:r>
      <w:r w:rsidRPr="0015218E">
        <w:rPr>
          <w:i/>
          <w:iCs/>
          <w:sz w:val="22"/>
        </w:rPr>
        <w:t>Archives Of Gerontology And Geriatrics</w:t>
      </w:r>
      <w:r w:rsidRPr="0015218E">
        <w:rPr>
          <w:sz w:val="22"/>
        </w:rPr>
        <w:t>, </w:t>
      </w:r>
      <w:r w:rsidRPr="0015218E">
        <w:rPr>
          <w:i/>
          <w:iCs/>
          <w:sz w:val="22"/>
        </w:rPr>
        <w:t>62</w:t>
      </w:r>
      <w:r w:rsidRPr="0015218E">
        <w:rPr>
          <w:sz w:val="22"/>
        </w:rPr>
        <w:t>143-151. doi:10.1016/j.archger.2015.08.018</w:t>
      </w:r>
    </w:p>
    <w:p w14:paraId="717BFED6" w14:textId="77777777" w:rsidR="00356D4B" w:rsidRDefault="00356D4B">
      <w:pPr>
        <w:pStyle w:val="EndnoteText"/>
      </w:pPr>
    </w:p>
  </w:endnote>
  <w:endnote w:id="6">
    <w:p w14:paraId="37CCC653" w14:textId="5A8C85BB" w:rsidR="00356D4B" w:rsidRDefault="00356D4B">
      <w:pPr>
        <w:pStyle w:val="EndnoteText"/>
      </w:pPr>
      <w:r>
        <w:rPr>
          <w:rStyle w:val="EndnoteReference"/>
        </w:rPr>
        <w:endnoteRef/>
      </w:r>
      <w:r>
        <w:t xml:space="preserve"> </w:t>
      </w:r>
      <w:r w:rsidRPr="0015218E">
        <w:rPr>
          <w:sz w:val="22"/>
        </w:rPr>
        <w:t>Binkley, T., Beare, T., Minett, M., Koepp, K., Wey, H., &amp; Specker, B. (2017). Response to an Online Version of a PRAMS-like Survey in South Dakota. </w:t>
      </w:r>
      <w:r w:rsidRPr="0015218E">
        <w:rPr>
          <w:i/>
          <w:iCs/>
          <w:sz w:val="22"/>
        </w:rPr>
        <w:t>Maternal &amp; Child Health Journal</w:t>
      </w:r>
      <w:r w:rsidRPr="0015218E">
        <w:rPr>
          <w:sz w:val="22"/>
        </w:rPr>
        <w:t>, </w:t>
      </w:r>
      <w:r w:rsidRPr="0015218E">
        <w:rPr>
          <w:i/>
          <w:iCs/>
          <w:sz w:val="22"/>
        </w:rPr>
        <w:t>21</w:t>
      </w:r>
      <w:r w:rsidRPr="0015218E">
        <w:rPr>
          <w:sz w:val="22"/>
        </w:rPr>
        <w:t>(2), 335-342. doi:10.1007/s10995-016-2118-6</w:t>
      </w:r>
    </w:p>
    <w:p w14:paraId="5056E6E3" w14:textId="77777777" w:rsidR="00356D4B" w:rsidRDefault="00356D4B">
      <w:pPr>
        <w:pStyle w:val="EndnoteText"/>
      </w:pPr>
    </w:p>
  </w:endnote>
  <w:endnote w:id="7">
    <w:p w14:paraId="169BEA16" w14:textId="59DF1A8F" w:rsidR="00356D4B" w:rsidRPr="0015218E" w:rsidRDefault="00356D4B">
      <w:pPr>
        <w:pStyle w:val="EndnoteText"/>
        <w:rPr>
          <w:sz w:val="22"/>
        </w:rPr>
      </w:pPr>
      <w:r>
        <w:rPr>
          <w:rStyle w:val="EndnoteReference"/>
        </w:rPr>
        <w:endnoteRef/>
      </w:r>
      <w:r>
        <w:t xml:space="preserve"> </w:t>
      </w:r>
      <w:r w:rsidRPr="0015218E">
        <w:rPr>
          <w:sz w:val="22"/>
        </w:rPr>
        <w:t xml:space="preserve">Care Quality Commission. (January 2016). NHS Patient Surveys: Response rates for the community mental health survey. Retrieved from </w:t>
      </w:r>
      <w:hyperlink r:id="rId4" w:history="1">
        <w:r w:rsidRPr="0015218E">
          <w:rPr>
            <w:rStyle w:val="Hyperlink"/>
            <w:sz w:val="22"/>
          </w:rPr>
          <w:t>http://www.nhssurveys.org/Filestore/Community_mental_health_response_rates.pdf</w:t>
        </w:r>
      </w:hyperlink>
    </w:p>
    <w:p w14:paraId="5F0ACB3F" w14:textId="77777777" w:rsidR="00356D4B" w:rsidRDefault="00356D4B">
      <w:pPr>
        <w:pStyle w:val="EndnoteText"/>
      </w:pPr>
    </w:p>
  </w:endnote>
  <w:endnote w:id="8">
    <w:p w14:paraId="2994FD41" w14:textId="73430F29" w:rsidR="00356D4B" w:rsidRDefault="00356D4B">
      <w:pPr>
        <w:pStyle w:val="EndnoteText"/>
        <w:rPr>
          <w:sz w:val="22"/>
        </w:rPr>
      </w:pPr>
      <w:r>
        <w:rPr>
          <w:rStyle w:val="EndnoteReference"/>
        </w:rPr>
        <w:endnoteRef/>
      </w:r>
      <w:r w:rsidRPr="001B72E6">
        <w:rPr>
          <w:lang w:val="es-MX"/>
        </w:rPr>
        <w:t xml:space="preserve"> </w:t>
      </w:r>
      <w:r w:rsidRPr="001B72E6">
        <w:rPr>
          <w:sz w:val="22"/>
          <w:lang w:val="es-MX"/>
        </w:rPr>
        <w:t xml:space="preserve">Jae, K., &amp; Iulia Balbach, T. (2007). </w:t>
      </w:r>
      <w:r w:rsidRPr="0015218E">
        <w:rPr>
          <w:sz w:val="22"/>
        </w:rPr>
        <w:t>Working age medicare beneficiaries with disabilities: population characteristics and policy considerations. </w:t>
      </w:r>
      <w:r w:rsidRPr="0015218E">
        <w:rPr>
          <w:i/>
          <w:iCs/>
          <w:sz w:val="22"/>
        </w:rPr>
        <w:t>Journal Of Health And Human Services Administration</w:t>
      </w:r>
      <w:r w:rsidRPr="0015218E">
        <w:rPr>
          <w:sz w:val="22"/>
        </w:rPr>
        <w:t>, (3), 268.</w:t>
      </w:r>
    </w:p>
    <w:p w14:paraId="62302BFF" w14:textId="77777777" w:rsidR="00356D4B" w:rsidRPr="0015218E" w:rsidRDefault="00356D4B">
      <w:pPr>
        <w:pStyle w:val="EndnoteText"/>
        <w:rPr>
          <w:sz w:val="22"/>
        </w:rPr>
      </w:pPr>
    </w:p>
  </w:endnote>
  <w:endnote w:id="9">
    <w:p w14:paraId="57C5EDE5" w14:textId="77777777" w:rsidR="00356D4B" w:rsidRPr="00C47AD0" w:rsidRDefault="00356D4B" w:rsidP="00A167C1">
      <w:pPr>
        <w:pStyle w:val="EndnoteText"/>
        <w:rPr>
          <w:sz w:val="22"/>
          <w:szCs w:val="22"/>
        </w:rPr>
      </w:pPr>
      <w:r w:rsidRPr="00C47AD0">
        <w:rPr>
          <w:rStyle w:val="EndnoteReference"/>
          <w:sz w:val="22"/>
          <w:szCs w:val="22"/>
        </w:rPr>
        <w:endnoteRef/>
      </w:r>
      <w:r w:rsidRPr="00C47AD0">
        <w:rPr>
          <w:sz w:val="22"/>
          <w:szCs w:val="22"/>
        </w:rPr>
        <w:t xml:space="preserve"> LeClere, F., Plummer, S., Vanicek, J., Amaya, A., &amp; Carris, K. (2012). Household early bird incentives: leveraging family influence to improve household response rates. In </w:t>
      </w:r>
      <w:r w:rsidRPr="00C47AD0">
        <w:rPr>
          <w:i/>
          <w:iCs/>
          <w:sz w:val="22"/>
          <w:szCs w:val="22"/>
        </w:rPr>
        <w:t>American Statistical Association Joint Statistical Meetings, Section on Survey Research</w:t>
      </w:r>
      <w:r w:rsidRPr="00C47AD0">
        <w:rPr>
          <w:sz w:val="22"/>
          <w:szCs w:val="22"/>
        </w:rPr>
        <w:t>.</w:t>
      </w:r>
      <w:r w:rsidRPr="00C47AD0">
        <w:rPr>
          <w:sz w:val="22"/>
          <w:szCs w:val="22"/>
        </w:rPr>
        <w:br/>
      </w:r>
    </w:p>
  </w:endnote>
  <w:endnote w:id="10">
    <w:p w14:paraId="5F444D9F" w14:textId="77777777" w:rsidR="00356D4B" w:rsidRPr="00C47AD0" w:rsidRDefault="00356D4B" w:rsidP="00A167C1">
      <w:pPr>
        <w:pStyle w:val="EndnoteText"/>
        <w:rPr>
          <w:sz w:val="22"/>
          <w:szCs w:val="22"/>
        </w:rPr>
      </w:pPr>
      <w:r w:rsidRPr="00C47AD0">
        <w:rPr>
          <w:rStyle w:val="EndnoteReference"/>
          <w:sz w:val="22"/>
          <w:szCs w:val="22"/>
        </w:rPr>
        <w:endnoteRef/>
      </w:r>
      <w:r w:rsidRPr="00C47AD0">
        <w:rPr>
          <w:sz w:val="22"/>
          <w:szCs w:val="22"/>
        </w:rPr>
        <w:t xml:space="preserve"> Fordyce, E., Dekker, K., Volberg, R., Williams, R. (2015, November).  </w:t>
      </w:r>
      <w:r w:rsidRPr="00C47AD0">
        <w:rPr>
          <w:i/>
          <w:sz w:val="22"/>
          <w:szCs w:val="22"/>
        </w:rPr>
        <w:t>Validity of Data for Early Bird Responders in a Statewide Gambling Study</w:t>
      </w:r>
      <w:r w:rsidRPr="00C47AD0">
        <w:rPr>
          <w:sz w:val="22"/>
          <w:szCs w:val="22"/>
        </w:rPr>
        <w:t>.  Presented at the annual Midwest Association for Public Opinion Research (MAPOR) Conference, Chicago, IL.</w:t>
      </w:r>
      <w:r w:rsidRPr="00C47AD0">
        <w:rPr>
          <w:sz w:val="22"/>
          <w:szCs w:val="22"/>
        </w:rPr>
        <w:br/>
      </w:r>
    </w:p>
  </w:endnote>
  <w:endnote w:id="11">
    <w:p w14:paraId="6CC348F9" w14:textId="75B9A23E" w:rsidR="00356D4B" w:rsidRPr="00C47AD0" w:rsidRDefault="00356D4B" w:rsidP="00554487">
      <w:pPr>
        <w:pStyle w:val="EndnoteText"/>
        <w:rPr>
          <w:sz w:val="22"/>
          <w:szCs w:val="22"/>
        </w:rPr>
      </w:pPr>
      <w:r w:rsidRPr="00C47AD0">
        <w:rPr>
          <w:rStyle w:val="EndnoteReference"/>
          <w:sz w:val="22"/>
          <w:szCs w:val="22"/>
        </w:rPr>
        <w:endnoteRef/>
      </w:r>
      <w:r w:rsidRPr="00C47AD0">
        <w:rPr>
          <w:sz w:val="22"/>
          <w:szCs w:val="22"/>
        </w:rPr>
        <w:t xml:space="preserve"> Singer, Eleanor, and C. Ye. 2013. "The Use and Effects of Incentives in Surveys." </w:t>
      </w:r>
      <w:r w:rsidRPr="00C47AD0">
        <w:rPr>
          <w:i/>
          <w:iCs/>
          <w:sz w:val="22"/>
          <w:szCs w:val="22"/>
        </w:rPr>
        <w:t>Annals of the American Academy of Political and Social Science</w:t>
      </w:r>
      <w:r w:rsidRPr="00C47AD0">
        <w:rPr>
          <w:sz w:val="22"/>
          <w:szCs w:val="22"/>
        </w:rPr>
        <w:t>, 645(1): 112-141.</w:t>
      </w:r>
      <w:r w:rsidRPr="00C47AD0">
        <w:rPr>
          <w:sz w:val="22"/>
          <w:szCs w:val="22"/>
        </w:rPr>
        <w:br/>
      </w:r>
    </w:p>
  </w:endnote>
  <w:endnote w:id="12">
    <w:p w14:paraId="7147BC80" w14:textId="340A64A5" w:rsidR="00356D4B" w:rsidRPr="00C47AD0" w:rsidRDefault="00356D4B">
      <w:pPr>
        <w:pStyle w:val="EndnoteText"/>
        <w:rPr>
          <w:sz w:val="22"/>
          <w:szCs w:val="22"/>
        </w:rPr>
      </w:pPr>
      <w:r w:rsidRPr="00C47AD0">
        <w:rPr>
          <w:rStyle w:val="EndnoteReference"/>
          <w:sz w:val="22"/>
          <w:szCs w:val="22"/>
        </w:rPr>
        <w:endnoteRef/>
      </w:r>
      <w:r w:rsidRPr="00C47AD0">
        <w:rPr>
          <w:sz w:val="22"/>
          <w:szCs w:val="22"/>
        </w:rPr>
        <w:t xml:space="preserve"> Dutwin, D., Loft, J. D., Darling, J. E., Holbrook, A. L., Johnson, T. P., Langley, R. E., ... &amp; Triplett, T. (2015). Current Knowledge and Considerations Regarding Survey Refusals Executive Summary of the AAPOR Task Force Report on Survey Refusals. Public Opinion Quarterly, 79(2), 411-419.</w:t>
      </w:r>
      <w:r w:rsidRPr="00C47AD0">
        <w:rPr>
          <w:sz w:val="22"/>
          <w:szCs w:val="22"/>
        </w:rPr>
        <w:br/>
      </w:r>
    </w:p>
  </w:endnote>
  <w:endnote w:id="13">
    <w:p w14:paraId="2E99C7F7" w14:textId="6FA42C78" w:rsidR="00356D4B" w:rsidRDefault="00356D4B">
      <w:pPr>
        <w:pStyle w:val="EndnoteText"/>
        <w:rPr>
          <w:sz w:val="22"/>
          <w:szCs w:val="22"/>
        </w:rPr>
      </w:pPr>
      <w:r w:rsidRPr="00C47AD0">
        <w:rPr>
          <w:rStyle w:val="EndnoteReference"/>
          <w:sz w:val="22"/>
          <w:szCs w:val="22"/>
        </w:rPr>
        <w:endnoteRef/>
      </w:r>
      <w:r w:rsidRPr="00C47AD0">
        <w:rPr>
          <w:sz w:val="22"/>
          <w:szCs w:val="22"/>
        </w:rPr>
        <w:t xml:space="preserve"> Beebe, T. J., Davern, M. E., McAlpine, D. D., Call, K. T., &amp; Rockwood, T. H. (2005). Increasing Response Rates in a Survey of Medicaid Enrollees: The Effect of a Prepaid Monetary incentive and Mixed Modes (Mail and Telephone). </w:t>
      </w:r>
      <w:r w:rsidRPr="00C47AD0">
        <w:rPr>
          <w:i/>
          <w:sz w:val="22"/>
          <w:szCs w:val="22"/>
        </w:rPr>
        <w:t xml:space="preserve">Medical Care, 43(4), </w:t>
      </w:r>
      <w:r w:rsidRPr="00C47AD0">
        <w:rPr>
          <w:sz w:val="22"/>
          <w:szCs w:val="22"/>
        </w:rPr>
        <w:t xml:space="preserve">411-414. </w:t>
      </w:r>
    </w:p>
    <w:p w14:paraId="015EE4BB" w14:textId="77777777" w:rsidR="00356D4B" w:rsidRPr="00C47AD0" w:rsidRDefault="00356D4B">
      <w:pPr>
        <w:pStyle w:val="EndnoteText"/>
        <w:rPr>
          <w:i/>
          <w:sz w:val="22"/>
          <w:szCs w:val="22"/>
        </w:rPr>
      </w:pPr>
    </w:p>
  </w:endnote>
  <w:endnote w:id="14">
    <w:p w14:paraId="64627448" w14:textId="77777777" w:rsidR="00356D4B" w:rsidRDefault="00356D4B" w:rsidP="002F263D">
      <w:pPr>
        <w:pStyle w:val="EndnoteText"/>
      </w:pPr>
      <w:r>
        <w:rPr>
          <w:rStyle w:val="EndnoteReference"/>
        </w:rPr>
        <w:endnoteRef/>
      </w:r>
      <w:r>
        <w:t xml:space="preserve"> </w:t>
      </w:r>
      <w:r w:rsidRPr="00E27C10">
        <w:rPr>
          <w:sz w:val="22"/>
        </w:rPr>
        <w:t xml:space="preserve">Impaq International LLC. (2016). </w:t>
      </w:r>
      <w:r w:rsidRPr="00E27C10">
        <w:rPr>
          <w:i/>
          <w:sz w:val="22"/>
        </w:rPr>
        <w:t>National Implementation Of The Original Medicare Fee-For-Service Cahps Survey Data Collection And Data File Preparation: Annual Report For The 2016 Survey.</w:t>
      </w:r>
      <w:r w:rsidRPr="00E27C10">
        <w:rPr>
          <w:sz w:val="22"/>
        </w:rPr>
        <w:t xml:space="preserve"> Washington, DC: The Center for the Study of Services.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8CDD" w14:textId="77777777" w:rsidR="00356D4B" w:rsidRDefault="00356D4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DAC2F" w14:textId="77777777" w:rsidR="00356D4B" w:rsidRDefault="00356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4406" w14:textId="7B20B90E" w:rsidR="00356D4B" w:rsidRPr="004A0E82" w:rsidRDefault="004A0E82" w:rsidP="004A0E82">
    <w:pPr>
      <w:pStyle w:val="Footer"/>
      <w:jc w:val="center"/>
    </w:pPr>
    <w:r>
      <w:fldChar w:fldCharType="begin"/>
    </w:r>
    <w:r>
      <w:instrText xml:space="preserve"> PAGE   \* MERGEFORMAT </w:instrText>
    </w:r>
    <w:r>
      <w:fldChar w:fldCharType="separate"/>
    </w:r>
    <w:r w:rsidR="00546912">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F1B41" w14:textId="77777777" w:rsidR="00356D4B" w:rsidRDefault="00356D4B">
      <w:r>
        <w:separator/>
      </w:r>
    </w:p>
  </w:footnote>
  <w:footnote w:type="continuationSeparator" w:id="0">
    <w:p w14:paraId="1DAA9F28" w14:textId="77777777" w:rsidR="00356D4B" w:rsidRDefault="00356D4B">
      <w:r>
        <w:continuationSeparator/>
      </w:r>
    </w:p>
  </w:footnote>
  <w:footnote w:type="continuationNotice" w:id="1">
    <w:p w14:paraId="1BC2D236" w14:textId="77777777" w:rsidR="00356D4B" w:rsidRDefault="00356D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5440"/>
    <w:multiLevelType w:val="multilevel"/>
    <w:tmpl w:val="E5940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2066D4"/>
    <w:multiLevelType w:val="hybridMultilevel"/>
    <w:tmpl w:val="2D5C8BE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41A937C2"/>
    <w:multiLevelType w:val="hybridMultilevel"/>
    <w:tmpl w:val="790C6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F1501F"/>
    <w:multiLevelType w:val="hybridMultilevel"/>
    <w:tmpl w:val="F9189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153FC7"/>
    <w:multiLevelType w:val="hybridMultilevel"/>
    <w:tmpl w:val="D3725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15:restartNumberingAfterBreak="0">
    <w:nsid w:val="5AC21712"/>
    <w:multiLevelType w:val="hybridMultilevel"/>
    <w:tmpl w:val="B9FA3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AD6ADF"/>
    <w:multiLevelType w:val="hybridMultilevel"/>
    <w:tmpl w:val="7564F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8"/>
  </w:num>
  <w:num w:numId="2">
    <w:abstractNumId w:val="5"/>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7199"/>
    <w:rsid w:val="00011E85"/>
    <w:rsid w:val="0001276B"/>
    <w:rsid w:val="00012921"/>
    <w:rsid w:val="00012FB9"/>
    <w:rsid w:val="00015AAF"/>
    <w:rsid w:val="00016560"/>
    <w:rsid w:val="00021B3C"/>
    <w:rsid w:val="00024FEE"/>
    <w:rsid w:val="00026291"/>
    <w:rsid w:val="00033301"/>
    <w:rsid w:val="00037998"/>
    <w:rsid w:val="00043473"/>
    <w:rsid w:val="00045959"/>
    <w:rsid w:val="00046359"/>
    <w:rsid w:val="000554E6"/>
    <w:rsid w:val="0006207D"/>
    <w:rsid w:val="000623C2"/>
    <w:rsid w:val="000703A8"/>
    <w:rsid w:val="00074B31"/>
    <w:rsid w:val="000769F7"/>
    <w:rsid w:val="000779A9"/>
    <w:rsid w:val="00082047"/>
    <w:rsid w:val="00084B9F"/>
    <w:rsid w:val="00092401"/>
    <w:rsid w:val="00094648"/>
    <w:rsid w:val="000956DF"/>
    <w:rsid w:val="00097866"/>
    <w:rsid w:val="000A016A"/>
    <w:rsid w:val="000A140E"/>
    <w:rsid w:val="000A3475"/>
    <w:rsid w:val="000A35BE"/>
    <w:rsid w:val="000A3BD0"/>
    <w:rsid w:val="000B019F"/>
    <w:rsid w:val="000B1480"/>
    <w:rsid w:val="000B7493"/>
    <w:rsid w:val="000B78CB"/>
    <w:rsid w:val="000C0FE1"/>
    <w:rsid w:val="000D27C6"/>
    <w:rsid w:val="000D429E"/>
    <w:rsid w:val="000E01D1"/>
    <w:rsid w:val="000E020C"/>
    <w:rsid w:val="000E0F27"/>
    <w:rsid w:val="000E4300"/>
    <w:rsid w:val="000E65BF"/>
    <w:rsid w:val="000F1328"/>
    <w:rsid w:val="000F2B59"/>
    <w:rsid w:val="00101D8B"/>
    <w:rsid w:val="00101FBF"/>
    <w:rsid w:val="00103E59"/>
    <w:rsid w:val="00105011"/>
    <w:rsid w:val="001057C6"/>
    <w:rsid w:val="00106AA9"/>
    <w:rsid w:val="00107250"/>
    <w:rsid w:val="00112DF2"/>
    <w:rsid w:val="0011336E"/>
    <w:rsid w:val="00120A0C"/>
    <w:rsid w:val="00124917"/>
    <w:rsid w:val="00125BFC"/>
    <w:rsid w:val="001301AA"/>
    <w:rsid w:val="00131443"/>
    <w:rsid w:val="00132C6B"/>
    <w:rsid w:val="001420A3"/>
    <w:rsid w:val="00146B3B"/>
    <w:rsid w:val="0015218E"/>
    <w:rsid w:val="00162997"/>
    <w:rsid w:val="00165AE2"/>
    <w:rsid w:val="00165D5F"/>
    <w:rsid w:val="00166A69"/>
    <w:rsid w:val="00173B81"/>
    <w:rsid w:val="001868E0"/>
    <w:rsid w:val="00186C6F"/>
    <w:rsid w:val="00187A50"/>
    <w:rsid w:val="001914AA"/>
    <w:rsid w:val="00192850"/>
    <w:rsid w:val="00192EA6"/>
    <w:rsid w:val="001A28C0"/>
    <w:rsid w:val="001A35F6"/>
    <w:rsid w:val="001B1189"/>
    <w:rsid w:val="001B1C61"/>
    <w:rsid w:val="001B27FB"/>
    <w:rsid w:val="001B5B5B"/>
    <w:rsid w:val="001B626D"/>
    <w:rsid w:val="001B72E6"/>
    <w:rsid w:val="001C1B52"/>
    <w:rsid w:val="001C2552"/>
    <w:rsid w:val="001C59E4"/>
    <w:rsid w:val="001D238A"/>
    <w:rsid w:val="001D23FA"/>
    <w:rsid w:val="001D4903"/>
    <w:rsid w:val="001D4F7C"/>
    <w:rsid w:val="001E63C6"/>
    <w:rsid w:val="001F7A5B"/>
    <w:rsid w:val="00200523"/>
    <w:rsid w:val="00211E70"/>
    <w:rsid w:val="00213D01"/>
    <w:rsid w:val="00223384"/>
    <w:rsid w:val="0022366A"/>
    <w:rsid w:val="00226A3F"/>
    <w:rsid w:val="00241AF2"/>
    <w:rsid w:val="002438F4"/>
    <w:rsid w:val="00243FE7"/>
    <w:rsid w:val="00245A01"/>
    <w:rsid w:val="00254912"/>
    <w:rsid w:val="0026424E"/>
    <w:rsid w:val="0027118E"/>
    <w:rsid w:val="00272E29"/>
    <w:rsid w:val="002749E8"/>
    <w:rsid w:val="002815DB"/>
    <w:rsid w:val="002816EE"/>
    <w:rsid w:val="002847B2"/>
    <w:rsid w:val="002878D4"/>
    <w:rsid w:val="00291B73"/>
    <w:rsid w:val="002950B0"/>
    <w:rsid w:val="002965B0"/>
    <w:rsid w:val="0029734C"/>
    <w:rsid w:val="0029795C"/>
    <w:rsid w:val="002A2EB3"/>
    <w:rsid w:val="002B27F2"/>
    <w:rsid w:val="002B382B"/>
    <w:rsid w:val="002B4D48"/>
    <w:rsid w:val="002B55DB"/>
    <w:rsid w:val="002B5F59"/>
    <w:rsid w:val="002B7635"/>
    <w:rsid w:val="002C0434"/>
    <w:rsid w:val="002C0FA6"/>
    <w:rsid w:val="002C294E"/>
    <w:rsid w:val="002D258B"/>
    <w:rsid w:val="002D46D1"/>
    <w:rsid w:val="002D4D3A"/>
    <w:rsid w:val="002D64D9"/>
    <w:rsid w:val="002E27FB"/>
    <w:rsid w:val="002E54EF"/>
    <w:rsid w:val="002F263D"/>
    <w:rsid w:val="002F33CD"/>
    <w:rsid w:val="002F4DE8"/>
    <w:rsid w:val="00301BBD"/>
    <w:rsid w:val="003077FD"/>
    <w:rsid w:val="0032398B"/>
    <w:rsid w:val="00325B9C"/>
    <w:rsid w:val="003270FA"/>
    <w:rsid w:val="0033641B"/>
    <w:rsid w:val="00340D97"/>
    <w:rsid w:val="0034325D"/>
    <w:rsid w:val="00350E4E"/>
    <w:rsid w:val="00356D4B"/>
    <w:rsid w:val="00361F52"/>
    <w:rsid w:val="00365B7B"/>
    <w:rsid w:val="0037254D"/>
    <w:rsid w:val="0037427A"/>
    <w:rsid w:val="00375910"/>
    <w:rsid w:val="00375C3F"/>
    <w:rsid w:val="00377301"/>
    <w:rsid w:val="0037771B"/>
    <w:rsid w:val="00377A1D"/>
    <w:rsid w:val="00377D80"/>
    <w:rsid w:val="0038217D"/>
    <w:rsid w:val="003830BB"/>
    <w:rsid w:val="00390F62"/>
    <w:rsid w:val="00392770"/>
    <w:rsid w:val="00394FB8"/>
    <w:rsid w:val="0039732A"/>
    <w:rsid w:val="003A0672"/>
    <w:rsid w:val="003A1300"/>
    <w:rsid w:val="003A13EE"/>
    <w:rsid w:val="003A784A"/>
    <w:rsid w:val="003B2951"/>
    <w:rsid w:val="003B3D4D"/>
    <w:rsid w:val="003B5859"/>
    <w:rsid w:val="003B6B41"/>
    <w:rsid w:val="003C0F0B"/>
    <w:rsid w:val="003C60BD"/>
    <w:rsid w:val="003C73C4"/>
    <w:rsid w:val="003D21A7"/>
    <w:rsid w:val="003D3937"/>
    <w:rsid w:val="003D431C"/>
    <w:rsid w:val="003D73D8"/>
    <w:rsid w:val="003D7D70"/>
    <w:rsid w:val="003E0113"/>
    <w:rsid w:val="003E2801"/>
    <w:rsid w:val="003F5921"/>
    <w:rsid w:val="00407837"/>
    <w:rsid w:val="00407917"/>
    <w:rsid w:val="004131BC"/>
    <w:rsid w:val="00414C80"/>
    <w:rsid w:val="004155E1"/>
    <w:rsid w:val="00416F92"/>
    <w:rsid w:val="00423E8F"/>
    <w:rsid w:val="00425853"/>
    <w:rsid w:val="00425974"/>
    <w:rsid w:val="0043596B"/>
    <w:rsid w:val="00437AF6"/>
    <w:rsid w:val="00440E6F"/>
    <w:rsid w:val="004433A7"/>
    <w:rsid w:val="00444AB6"/>
    <w:rsid w:val="0044769A"/>
    <w:rsid w:val="0045008B"/>
    <w:rsid w:val="00450538"/>
    <w:rsid w:val="00450F90"/>
    <w:rsid w:val="00452268"/>
    <w:rsid w:val="00456179"/>
    <w:rsid w:val="00463457"/>
    <w:rsid w:val="00466F54"/>
    <w:rsid w:val="004670C2"/>
    <w:rsid w:val="00467163"/>
    <w:rsid w:val="0047504D"/>
    <w:rsid w:val="004757E3"/>
    <w:rsid w:val="00480523"/>
    <w:rsid w:val="004811AD"/>
    <w:rsid w:val="00482C44"/>
    <w:rsid w:val="00484875"/>
    <w:rsid w:val="00484E84"/>
    <w:rsid w:val="004904E8"/>
    <w:rsid w:val="00492F5F"/>
    <w:rsid w:val="004A004D"/>
    <w:rsid w:val="004A0E82"/>
    <w:rsid w:val="004A624D"/>
    <w:rsid w:val="004A6F69"/>
    <w:rsid w:val="004B7B91"/>
    <w:rsid w:val="004C3BA7"/>
    <w:rsid w:val="004C48FB"/>
    <w:rsid w:val="004C4A74"/>
    <w:rsid w:val="004D2F8D"/>
    <w:rsid w:val="004D5714"/>
    <w:rsid w:val="004E0CE1"/>
    <w:rsid w:val="004E11B0"/>
    <w:rsid w:val="004E16F6"/>
    <w:rsid w:val="004E3A1B"/>
    <w:rsid w:val="004F0D83"/>
    <w:rsid w:val="004F1232"/>
    <w:rsid w:val="004F38E4"/>
    <w:rsid w:val="004F7877"/>
    <w:rsid w:val="00501308"/>
    <w:rsid w:val="0050166F"/>
    <w:rsid w:val="00510909"/>
    <w:rsid w:val="0051153B"/>
    <w:rsid w:val="00513808"/>
    <w:rsid w:val="005143C0"/>
    <w:rsid w:val="00520CE0"/>
    <w:rsid w:val="00527BBD"/>
    <w:rsid w:val="00531857"/>
    <w:rsid w:val="00532A5C"/>
    <w:rsid w:val="00535B56"/>
    <w:rsid w:val="00537712"/>
    <w:rsid w:val="00541A96"/>
    <w:rsid w:val="00546912"/>
    <w:rsid w:val="00552E8D"/>
    <w:rsid w:val="00554487"/>
    <w:rsid w:val="00556066"/>
    <w:rsid w:val="0055625C"/>
    <w:rsid w:val="0056238F"/>
    <w:rsid w:val="00565B0D"/>
    <w:rsid w:val="005744C2"/>
    <w:rsid w:val="005813D5"/>
    <w:rsid w:val="00581FD2"/>
    <w:rsid w:val="00582513"/>
    <w:rsid w:val="00583027"/>
    <w:rsid w:val="005904D1"/>
    <w:rsid w:val="0059189B"/>
    <w:rsid w:val="00591FC8"/>
    <w:rsid w:val="00593E67"/>
    <w:rsid w:val="005A11C1"/>
    <w:rsid w:val="005A2ADB"/>
    <w:rsid w:val="005A3969"/>
    <w:rsid w:val="005A4058"/>
    <w:rsid w:val="005A6233"/>
    <w:rsid w:val="005A6ADA"/>
    <w:rsid w:val="005B198A"/>
    <w:rsid w:val="005B2955"/>
    <w:rsid w:val="005B3C01"/>
    <w:rsid w:val="005B62CF"/>
    <w:rsid w:val="005B6C9E"/>
    <w:rsid w:val="005B6FAA"/>
    <w:rsid w:val="005B715B"/>
    <w:rsid w:val="005C37B1"/>
    <w:rsid w:val="005C4043"/>
    <w:rsid w:val="005C69E7"/>
    <w:rsid w:val="005D12EC"/>
    <w:rsid w:val="005D5E79"/>
    <w:rsid w:val="005D74F6"/>
    <w:rsid w:val="005D7759"/>
    <w:rsid w:val="005D794A"/>
    <w:rsid w:val="005E46C8"/>
    <w:rsid w:val="005E49B8"/>
    <w:rsid w:val="005F4B12"/>
    <w:rsid w:val="005F701C"/>
    <w:rsid w:val="0060047D"/>
    <w:rsid w:val="00600E78"/>
    <w:rsid w:val="006014DB"/>
    <w:rsid w:val="00604437"/>
    <w:rsid w:val="00604C45"/>
    <w:rsid w:val="00606400"/>
    <w:rsid w:val="00613C05"/>
    <w:rsid w:val="00614EB0"/>
    <w:rsid w:val="00615CDD"/>
    <w:rsid w:val="00617684"/>
    <w:rsid w:val="00620041"/>
    <w:rsid w:val="00620B93"/>
    <w:rsid w:val="0062198E"/>
    <w:rsid w:val="00623085"/>
    <w:rsid w:val="00625683"/>
    <w:rsid w:val="00625C1B"/>
    <w:rsid w:val="00626D1D"/>
    <w:rsid w:val="00631B63"/>
    <w:rsid w:val="00631C81"/>
    <w:rsid w:val="00635119"/>
    <w:rsid w:val="00636A0C"/>
    <w:rsid w:val="00652DA2"/>
    <w:rsid w:val="00655A17"/>
    <w:rsid w:val="006628A5"/>
    <w:rsid w:val="00664DCE"/>
    <w:rsid w:val="00665A2E"/>
    <w:rsid w:val="006666CE"/>
    <w:rsid w:val="006722F2"/>
    <w:rsid w:val="00673146"/>
    <w:rsid w:val="00673643"/>
    <w:rsid w:val="00674BE0"/>
    <w:rsid w:val="00674CB4"/>
    <w:rsid w:val="00674F09"/>
    <w:rsid w:val="00676ABD"/>
    <w:rsid w:val="00697DC2"/>
    <w:rsid w:val="00697F0B"/>
    <w:rsid w:val="006A28E1"/>
    <w:rsid w:val="006A4D4E"/>
    <w:rsid w:val="006A51E3"/>
    <w:rsid w:val="006A6698"/>
    <w:rsid w:val="006A710C"/>
    <w:rsid w:val="006B0148"/>
    <w:rsid w:val="006B030C"/>
    <w:rsid w:val="006B23E0"/>
    <w:rsid w:val="006B36BE"/>
    <w:rsid w:val="006C2510"/>
    <w:rsid w:val="006C43FF"/>
    <w:rsid w:val="006C45D0"/>
    <w:rsid w:val="006C52C3"/>
    <w:rsid w:val="006D1C5E"/>
    <w:rsid w:val="006D5A9E"/>
    <w:rsid w:val="006D6F8A"/>
    <w:rsid w:val="006F532D"/>
    <w:rsid w:val="0070072D"/>
    <w:rsid w:val="007011B9"/>
    <w:rsid w:val="00703573"/>
    <w:rsid w:val="00704032"/>
    <w:rsid w:val="007046BB"/>
    <w:rsid w:val="0070784B"/>
    <w:rsid w:val="007109B1"/>
    <w:rsid w:val="00710C91"/>
    <w:rsid w:val="00717E76"/>
    <w:rsid w:val="007208E0"/>
    <w:rsid w:val="00723075"/>
    <w:rsid w:val="00724079"/>
    <w:rsid w:val="00733323"/>
    <w:rsid w:val="0074032E"/>
    <w:rsid w:val="0074342D"/>
    <w:rsid w:val="00744D19"/>
    <w:rsid w:val="00745632"/>
    <w:rsid w:val="00747A7E"/>
    <w:rsid w:val="00747D2F"/>
    <w:rsid w:val="00751C2B"/>
    <w:rsid w:val="00752EA8"/>
    <w:rsid w:val="00754480"/>
    <w:rsid w:val="00754AE0"/>
    <w:rsid w:val="00754F64"/>
    <w:rsid w:val="0076174E"/>
    <w:rsid w:val="0076309D"/>
    <w:rsid w:val="0076470D"/>
    <w:rsid w:val="00764C3F"/>
    <w:rsid w:val="00765D1A"/>
    <w:rsid w:val="007677FF"/>
    <w:rsid w:val="007700A7"/>
    <w:rsid w:val="00771870"/>
    <w:rsid w:val="007721F3"/>
    <w:rsid w:val="00776654"/>
    <w:rsid w:val="0079281B"/>
    <w:rsid w:val="007A08F8"/>
    <w:rsid w:val="007A265C"/>
    <w:rsid w:val="007A32C7"/>
    <w:rsid w:val="007B0CF3"/>
    <w:rsid w:val="007B2403"/>
    <w:rsid w:val="007B3A8E"/>
    <w:rsid w:val="007B6378"/>
    <w:rsid w:val="007C1ECB"/>
    <w:rsid w:val="007D1A16"/>
    <w:rsid w:val="007D4F9F"/>
    <w:rsid w:val="007D62A1"/>
    <w:rsid w:val="007E4359"/>
    <w:rsid w:val="007E5AF9"/>
    <w:rsid w:val="007F3D69"/>
    <w:rsid w:val="0080612B"/>
    <w:rsid w:val="0080661C"/>
    <w:rsid w:val="0080664C"/>
    <w:rsid w:val="00811735"/>
    <w:rsid w:val="00817DA0"/>
    <w:rsid w:val="00823205"/>
    <w:rsid w:val="008236FA"/>
    <w:rsid w:val="00825DA9"/>
    <w:rsid w:val="0083145C"/>
    <w:rsid w:val="008370F8"/>
    <w:rsid w:val="00837A17"/>
    <w:rsid w:val="0084019A"/>
    <w:rsid w:val="00841047"/>
    <w:rsid w:val="00843C6D"/>
    <w:rsid w:val="008450C0"/>
    <w:rsid w:val="008459A0"/>
    <w:rsid w:val="008467F9"/>
    <w:rsid w:val="00853545"/>
    <w:rsid w:val="00854F30"/>
    <w:rsid w:val="0085698A"/>
    <w:rsid w:val="008573ED"/>
    <w:rsid w:val="00861E61"/>
    <w:rsid w:val="008645D2"/>
    <w:rsid w:val="00873F74"/>
    <w:rsid w:val="00877468"/>
    <w:rsid w:val="0088092B"/>
    <w:rsid w:val="00880DFE"/>
    <w:rsid w:val="00887F65"/>
    <w:rsid w:val="00892655"/>
    <w:rsid w:val="00895330"/>
    <w:rsid w:val="00895A96"/>
    <w:rsid w:val="00897ABA"/>
    <w:rsid w:val="008A2335"/>
    <w:rsid w:val="008A30B9"/>
    <w:rsid w:val="008B593F"/>
    <w:rsid w:val="008B5D8F"/>
    <w:rsid w:val="008C4690"/>
    <w:rsid w:val="008C4715"/>
    <w:rsid w:val="008C580E"/>
    <w:rsid w:val="008C5F58"/>
    <w:rsid w:val="008D0099"/>
    <w:rsid w:val="008D028E"/>
    <w:rsid w:val="008D5F0D"/>
    <w:rsid w:val="008E4945"/>
    <w:rsid w:val="008E4FC9"/>
    <w:rsid w:val="008E567E"/>
    <w:rsid w:val="008F0B8B"/>
    <w:rsid w:val="008F35D0"/>
    <w:rsid w:val="008F685A"/>
    <w:rsid w:val="00904CC3"/>
    <w:rsid w:val="00905D57"/>
    <w:rsid w:val="00910788"/>
    <w:rsid w:val="00910C4B"/>
    <w:rsid w:val="0091380E"/>
    <w:rsid w:val="00916581"/>
    <w:rsid w:val="0092168C"/>
    <w:rsid w:val="00922984"/>
    <w:rsid w:val="00927D3E"/>
    <w:rsid w:val="009374DF"/>
    <w:rsid w:val="00940A05"/>
    <w:rsid w:val="00946EA9"/>
    <w:rsid w:val="009502EA"/>
    <w:rsid w:val="00951784"/>
    <w:rsid w:val="00955553"/>
    <w:rsid w:val="00966279"/>
    <w:rsid w:val="00970DCB"/>
    <w:rsid w:val="009746A1"/>
    <w:rsid w:val="00974716"/>
    <w:rsid w:val="009826F5"/>
    <w:rsid w:val="0099335F"/>
    <w:rsid w:val="0099372F"/>
    <w:rsid w:val="009943E2"/>
    <w:rsid w:val="009943E4"/>
    <w:rsid w:val="00994C16"/>
    <w:rsid w:val="0099646C"/>
    <w:rsid w:val="00996CB5"/>
    <w:rsid w:val="009A09B4"/>
    <w:rsid w:val="009A237A"/>
    <w:rsid w:val="009A49A7"/>
    <w:rsid w:val="009B1D75"/>
    <w:rsid w:val="009B3622"/>
    <w:rsid w:val="009B53FF"/>
    <w:rsid w:val="009B633D"/>
    <w:rsid w:val="009B67F7"/>
    <w:rsid w:val="009C108C"/>
    <w:rsid w:val="009C4881"/>
    <w:rsid w:val="009D3857"/>
    <w:rsid w:val="009D3DBB"/>
    <w:rsid w:val="009D7364"/>
    <w:rsid w:val="009D74C4"/>
    <w:rsid w:val="009D787E"/>
    <w:rsid w:val="009E2222"/>
    <w:rsid w:val="009E5788"/>
    <w:rsid w:val="009F299E"/>
    <w:rsid w:val="009F43EA"/>
    <w:rsid w:val="009F4C1F"/>
    <w:rsid w:val="009F4DC7"/>
    <w:rsid w:val="009F597D"/>
    <w:rsid w:val="00A022A1"/>
    <w:rsid w:val="00A13D8D"/>
    <w:rsid w:val="00A15D49"/>
    <w:rsid w:val="00A167C1"/>
    <w:rsid w:val="00A21201"/>
    <w:rsid w:val="00A25344"/>
    <w:rsid w:val="00A30D9A"/>
    <w:rsid w:val="00A44855"/>
    <w:rsid w:val="00A452F4"/>
    <w:rsid w:val="00A4694A"/>
    <w:rsid w:val="00A6105C"/>
    <w:rsid w:val="00A61AAC"/>
    <w:rsid w:val="00A63EAE"/>
    <w:rsid w:val="00A6458C"/>
    <w:rsid w:val="00A64E80"/>
    <w:rsid w:val="00A65442"/>
    <w:rsid w:val="00A65884"/>
    <w:rsid w:val="00A71B1B"/>
    <w:rsid w:val="00A74E0A"/>
    <w:rsid w:val="00A777E1"/>
    <w:rsid w:val="00A835E4"/>
    <w:rsid w:val="00A87AD9"/>
    <w:rsid w:val="00A905D8"/>
    <w:rsid w:val="00A94219"/>
    <w:rsid w:val="00A976BC"/>
    <w:rsid w:val="00AA0B6B"/>
    <w:rsid w:val="00AA1DDC"/>
    <w:rsid w:val="00AA22D4"/>
    <w:rsid w:val="00AA3F0B"/>
    <w:rsid w:val="00AA5014"/>
    <w:rsid w:val="00AA6550"/>
    <w:rsid w:val="00AA788A"/>
    <w:rsid w:val="00AB1EB8"/>
    <w:rsid w:val="00AB61C9"/>
    <w:rsid w:val="00AC40CE"/>
    <w:rsid w:val="00AC4CBD"/>
    <w:rsid w:val="00AC4ED6"/>
    <w:rsid w:val="00AD06A9"/>
    <w:rsid w:val="00AD4335"/>
    <w:rsid w:val="00AD6516"/>
    <w:rsid w:val="00AE2990"/>
    <w:rsid w:val="00AE4702"/>
    <w:rsid w:val="00AE6F4E"/>
    <w:rsid w:val="00AF2094"/>
    <w:rsid w:val="00AF33A0"/>
    <w:rsid w:val="00AF4E84"/>
    <w:rsid w:val="00AF750F"/>
    <w:rsid w:val="00B15C92"/>
    <w:rsid w:val="00B238AD"/>
    <w:rsid w:val="00B2400F"/>
    <w:rsid w:val="00B2457B"/>
    <w:rsid w:val="00B257FE"/>
    <w:rsid w:val="00B315CF"/>
    <w:rsid w:val="00B43645"/>
    <w:rsid w:val="00B52533"/>
    <w:rsid w:val="00B57D7A"/>
    <w:rsid w:val="00B61FEB"/>
    <w:rsid w:val="00B645B1"/>
    <w:rsid w:val="00B645ED"/>
    <w:rsid w:val="00B64FA3"/>
    <w:rsid w:val="00B675E1"/>
    <w:rsid w:val="00B720EC"/>
    <w:rsid w:val="00B72D64"/>
    <w:rsid w:val="00B72E59"/>
    <w:rsid w:val="00B762E0"/>
    <w:rsid w:val="00B76A12"/>
    <w:rsid w:val="00B812D8"/>
    <w:rsid w:val="00B825D0"/>
    <w:rsid w:val="00B83929"/>
    <w:rsid w:val="00B84320"/>
    <w:rsid w:val="00B915F1"/>
    <w:rsid w:val="00B9794F"/>
    <w:rsid w:val="00BA7023"/>
    <w:rsid w:val="00BA7DEC"/>
    <w:rsid w:val="00BB1A7C"/>
    <w:rsid w:val="00BB1C2F"/>
    <w:rsid w:val="00BB2479"/>
    <w:rsid w:val="00BB4EE0"/>
    <w:rsid w:val="00BB521D"/>
    <w:rsid w:val="00BB7136"/>
    <w:rsid w:val="00BB7A9C"/>
    <w:rsid w:val="00BC2E2E"/>
    <w:rsid w:val="00BC31FE"/>
    <w:rsid w:val="00BC6340"/>
    <w:rsid w:val="00BD00CB"/>
    <w:rsid w:val="00BD157B"/>
    <w:rsid w:val="00BD2532"/>
    <w:rsid w:val="00BD357C"/>
    <w:rsid w:val="00BD52A9"/>
    <w:rsid w:val="00BE0430"/>
    <w:rsid w:val="00BE37E3"/>
    <w:rsid w:val="00BE7AF0"/>
    <w:rsid w:val="00BF735E"/>
    <w:rsid w:val="00C014BF"/>
    <w:rsid w:val="00C0644C"/>
    <w:rsid w:val="00C163C6"/>
    <w:rsid w:val="00C16AB6"/>
    <w:rsid w:val="00C205C8"/>
    <w:rsid w:val="00C235D3"/>
    <w:rsid w:val="00C27A69"/>
    <w:rsid w:val="00C31D1A"/>
    <w:rsid w:val="00C32579"/>
    <w:rsid w:val="00C35650"/>
    <w:rsid w:val="00C3684E"/>
    <w:rsid w:val="00C4006D"/>
    <w:rsid w:val="00C41C68"/>
    <w:rsid w:val="00C43B5B"/>
    <w:rsid w:val="00C45D2E"/>
    <w:rsid w:val="00C46919"/>
    <w:rsid w:val="00C47AD0"/>
    <w:rsid w:val="00C47E1C"/>
    <w:rsid w:val="00C5237E"/>
    <w:rsid w:val="00C541AB"/>
    <w:rsid w:val="00C606C3"/>
    <w:rsid w:val="00C62C31"/>
    <w:rsid w:val="00C65B05"/>
    <w:rsid w:val="00C7081B"/>
    <w:rsid w:val="00C70BF3"/>
    <w:rsid w:val="00C73F08"/>
    <w:rsid w:val="00C740BF"/>
    <w:rsid w:val="00C75626"/>
    <w:rsid w:val="00C77433"/>
    <w:rsid w:val="00C82384"/>
    <w:rsid w:val="00C83EF6"/>
    <w:rsid w:val="00C84911"/>
    <w:rsid w:val="00C929D4"/>
    <w:rsid w:val="00C933ED"/>
    <w:rsid w:val="00C95A35"/>
    <w:rsid w:val="00CA136B"/>
    <w:rsid w:val="00CA7470"/>
    <w:rsid w:val="00CB7D4C"/>
    <w:rsid w:val="00CC197E"/>
    <w:rsid w:val="00CC2FEA"/>
    <w:rsid w:val="00CD2D6F"/>
    <w:rsid w:val="00CD4C0D"/>
    <w:rsid w:val="00CD526C"/>
    <w:rsid w:val="00CD655B"/>
    <w:rsid w:val="00CF3861"/>
    <w:rsid w:val="00CF3B20"/>
    <w:rsid w:val="00CF3C5A"/>
    <w:rsid w:val="00CF7583"/>
    <w:rsid w:val="00D0660C"/>
    <w:rsid w:val="00D11271"/>
    <w:rsid w:val="00D12FCD"/>
    <w:rsid w:val="00D150A9"/>
    <w:rsid w:val="00D17FE9"/>
    <w:rsid w:val="00D20C47"/>
    <w:rsid w:val="00D211EF"/>
    <w:rsid w:val="00D24779"/>
    <w:rsid w:val="00D2521F"/>
    <w:rsid w:val="00D26DDC"/>
    <w:rsid w:val="00D27D52"/>
    <w:rsid w:val="00D33285"/>
    <w:rsid w:val="00D37A8C"/>
    <w:rsid w:val="00D44D4E"/>
    <w:rsid w:val="00D474B5"/>
    <w:rsid w:val="00D507F7"/>
    <w:rsid w:val="00D51C29"/>
    <w:rsid w:val="00D543D5"/>
    <w:rsid w:val="00D54C31"/>
    <w:rsid w:val="00D60A16"/>
    <w:rsid w:val="00D61338"/>
    <w:rsid w:val="00D66E74"/>
    <w:rsid w:val="00D71264"/>
    <w:rsid w:val="00D72F05"/>
    <w:rsid w:val="00D764B4"/>
    <w:rsid w:val="00D849A4"/>
    <w:rsid w:val="00D85C58"/>
    <w:rsid w:val="00D90589"/>
    <w:rsid w:val="00D90C9E"/>
    <w:rsid w:val="00D95D70"/>
    <w:rsid w:val="00DA097F"/>
    <w:rsid w:val="00DA2E7E"/>
    <w:rsid w:val="00DA35B4"/>
    <w:rsid w:val="00DA3E7C"/>
    <w:rsid w:val="00DA73A3"/>
    <w:rsid w:val="00DA77BD"/>
    <w:rsid w:val="00DA79B5"/>
    <w:rsid w:val="00DA7D01"/>
    <w:rsid w:val="00DB0D27"/>
    <w:rsid w:val="00DB3948"/>
    <w:rsid w:val="00DB49A0"/>
    <w:rsid w:val="00DC40C8"/>
    <w:rsid w:val="00DC5AA7"/>
    <w:rsid w:val="00DD040C"/>
    <w:rsid w:val="00DD0A49"/>
    <w:rsid w:val="00DD1CDA"/>
    <w:rsid w:val="00DD72B3"/>
    <w:rsid w:val="00DE2E04"/>
    <w:rsid w:val="00DE2ED0"/>
    <w:rsid w:val="00DE69BF"/>
    <w:rsid w:val="00DF3049"/>
    <w:rsid w:val="00DF4F3C"/>
    <w:rsid w:val="00DF4F6F"/>
    <w:rsid w:val="00DF580D"/>
    <w:rsid w:val="00DF7CD0"/>
    <w:rsid w:val="00E0383F"/>
    <w:rsid w:val="00E0434E"/>
    <w:rsid w:val="00E076A3"/>
    <w:rsid w:val="00E14FC3"/>
    <w:rsid w:val="00E16AC7"/>
    <w:rsid w:val="00E17CA7"/>
    <w:rsid w:val="00E2592B"/>
    <w:rsid w:val="00E25B8E"/>
    <w:rsid w:val="00E263D5"/>
    <w:rsid w:val="00E32234"/>
    <w:rsid w:val="00E329EE"/>
    <w:rsid w:val="00E35437"/>
    <w:rsid w:val="00E3705A"/>
    <w:rsid w:val="00E43EBB"/>
    <w:rsid w:val="00E45058"/>
    <w:rsid w:val="00E47851"/>
    <w:rsid w:val="00E5045E"/>
    <w:rsid w:val="00E52235"/>
    <w:rsid w:val="00E55A34"/>
    <w:rsid w:val="00E55CC4"/>
    <w:rsid w:val="00E56716"/>
    <w:rsid w:val="00E706B3"/>
    <w:rsid w:val="00E7422B"/>
    <w:rsid w:val="00E7435F"/>
    <w:rsid w:val="00E771C3"/>
    <w:rsid w:val="00E90A94"/>
    <w:rsid w:val="00E9166E"/>
    <w:rsid w:val="00E94785"/>
    <w:rsid w:val="00E95E30"/>
    <w:rsid w:val="00E97584"/>
    <w:rsid w:val="00EA10AD"/>
    <w:rsid w:val="00EA466C"/>
    <w:rsid w:val="00EA608F"/>
    <w:rsid w:val="00EA711E"/>
    <w:rsid w:val="00EB58F3"/>
    <w:rsid w:val="00EB7A97"/>
    <w:rsid w:val="00EC2A50"/>
    <w:rsid w:val="00ED0EBB"/>
    <w:rsid w:val="00ED2EA4"/>
    <w:rsid w:val="00ED6DCE"/>
    <w:rsid w:val="00EE27A1"/>
    <w:rsid w:val="00EE4455"/>
    <w:rsid w:val="00EF1A24"/>
    <w:rsid w:val="00EF6F28"/>
    <w:rsid w:val="00F00EF3"/>
    <w:rsid w:val="00F04055"/>
    <w:rsid w:val="00F054F3"/>
    <w:rsid w:val="00F063FD"/>
    <w:rsid w:val="00F07775"/>
    <w:rsid w:val="00F122B9"/>
    <w:rsid w:val="00F143F3"/>
    <w:rsid w:val="00F17922"/>
    <w:rsid w:val="00F21CD9"/>
    <w:rsid w:val="00F22750"/>
    <w:rsid w:val="00F22E80"/>
    <w:rsid w:val="00F30951"/>
    <w:rsid w:val="00F31B10"/>
    <w:rsid w:val="00F3207F"/>
    <w:rsid w:val="00F3466C"/>
    <w:rsid w:val="00F3541A"/>
    <w:rsid w:val="00F37C26"/>
    <w:rsid w:val="00F43841"/>
    <w:rsid w:val="00F43C9D"/>
    <w:rsid w:val="00F46275"/>
    <w:rsid w:val="00F50EDE"/>
    <w:rsid w:val="00F52FF5"/>
    <w:rsid w:val="00F5665F"/>
    <w:rsid w:val="00F5774C"/>
    <w:rsid w:val="00F60488"/>
    <w:rsid w:val="00F631B6"/>
    <w:rsid w:val="00F6381E"/>
    <w:rsid w:val="00F63BC0"/>
    <w:rsid w:val="00F640FB"/>
    <w:rsid w:val="00F70715"/>
    <w:rsid w:val="00F719B8"/>
    <w:rsid w:val="00F74EA4"/>
    <w:rsid w:val="00F82C92"/>
    <w:rsid w:val="00F85E7E"/>
    <w:rsid w:val="00F94B00"/>
    <w:rsid w:val="00F97BD2"/>
    <w:rsid w:val="00F97FF9"/>
    <w:rsid w:val="00FA03AD"/>
    <w:rsid w:val="00FA2E89"/>
    <w:rsid w:val="00FB0826"/>
    <w:rsid w:val="00FB4BFF"/>
    <w:rsid w:val="00FB5239"/>
    <w:rsid w:val="00FB6500"/>
    <w:rsid w:val="00FB6AE0"/>
    <w:rsid w:val="00FC430C"/>
    <w:rsid w:val="00FC5D7F"/>
    <w:rsid w:val="00FC7332"/>
    <w:rsid w:val="00FD0597"/>
    <w:rsid w:val="00FD1D9C"/>
    <w:rsid w:val="00FE0D9B"/>
    <w:rsid w:val="00FE4B54"/>
    <w:rsid w:val="00FF0D82"/>
    <w:rsid w:val="00FF39EC"/>
    <w:rsid w:val="00FF42BD"/>
    <w:rsid w:val="00FF6327"/>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2396"/>
  <w15:docId w15:val="{FA0E334E-8389-463E-A943-DA1A1584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21201"/>
    <w:pPr>
      <w:keepNext/>
      <w:spacing w:before="360" w:after="240"/>
      <w:outlineLvl w:val="1"/>
    </w:pPr>
    <w:rPr>
      <w:rFonts w:ascii="Arial" w:hAnsi="Arial" w:cs="Arial"/>
      <w:b/>
      <w:bCs/>
      <w:i/>
      <w:iCs/>
      <w:szCs w:val="28"/>
    </w:rPr>
  </w:style>
  <w:style w:type="paragraph" w:styleId="Heading3">
    <w:name w:val="heading 3"/>
    <w:basedOn w:val="Heading2"/>
    <w:next w:val="Normal"/>
    <w:qFormat/>
    <w:rsid w:val="00A21201"/>
    <w:pPr>
      <w:spacing w:before="240" w:after="120"/>
      <w:outlineLvl w:val="2"/>
    </w:pPr>
    <w:rPr>
      <w:b w:val="0"/>
      <w:bCs w:val="0"/>
      <w:sz w:val="22"/>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3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2D4D3A"/>
    <w:pPr>
      <w:keepLines/>
      <w:spacing w:after="0" w:line="259" w:lineRule="auto"/>
      <w:outlineLvl w:val="9"/>
    </w:pPr>
    <w:rPr>
      <w:rFonts w:cs="Times New Roman"/>
      <w:b w:val="0"/>
      <w:bCs w:val="0"/>
      <w:kern w:val="0"/>
    </w:rPr>
  </w:style>
  <w:style w:type="paragraph" w:styleId="BodyText">
    <w:name w:val="Body Text"/>
    <w:basedOn w:val="Normal"/>
    <w:link w:val="BodyTextChar"/>
    <w:rsid w:val="002D4D3A"/>
    <w:pPr>
      <w:spacing w:after="240"/>
    </w:pPr>
  </w:style>
  <w:style w:type="character" w:customStyle="1" w:styleId="BodyTextChar">
    <w:name w:val="Body Text Char"/>
    <w:link w:val="BodyText"/>
    <w:rsid w:val="002D4D3A"/>
    <w:rPr>
      <w:sz w:val="24"/>
      <w:szCs w:val="24"/>
    </w:rPr>
  </w:style>
  <w:style w:type="paragraph" w:customStyle="1" w:styleId="Default">
    <w:name w:val="Default"/>
    <w:rsid w:val="00200523"/>
    <w:pPr>
      <w:autoSpaceDE w:val="0"/>
      <w:autoSpaceDN w:val="0"/>
      <w:adjustRightInd w:val="0"/>
    </w:pPr>
    <w:rPr>
      <w:color w:val="000000"/>
      <w:sz w:val="24"/>
      <w:szCs w:val="24"/>
    </w:rPr>
  </w:style>
  <w:style w:type="paragraph" w:customStyle="1" w:styleId="EndNoteBibliography">
    <w:name w:val="EndNote Bibliography"/>
    <w:basedOn w:val="Normal"/>
    <w:link w:val="EndNoteBibliographyChar"/>
    <w:rsid w:val="00F054F3"/>
    <w:rPr>
      <w:rFonts w:ascii="Calibri" w:hAnsi="Calibri"/>
      <w:noProof/>
      <w:sz w:val="22"/>
    </w:rPr>
  </w:style>
  <w:style w:type="character" w:customStyle="1" w:styleId="EndNoteBibliographyChar">
    <w:name w:val="EndNote Bibliography Char"/>
    <w:link w:val="EndNoteBibliography"/>
    <w:rsid w:val="00F054F3"/>
    <w:rPr>
      <w:rFonts w:ascii="Calibri" w:hAnsi="Calibri"/>
      <w:noProof/>
      <w:sz w:val="22"/>
      <w:szCs w:val="24"/>
    </w:rPr>
  </w:style>
  <w:style w:type="character" w:styleId="PlaceholderText">
    <w:name w:val="Placeholder Text"/>
    <w:basedOn w:val="DefaultParagraphFont"/>
    <w:uiPriority w:val="99"/>
    <w:semiHidden/>
    <w:rsid w:val="005E46C8"/>
    <w:rPr>
      <w:color w:val="808080"/>
    </w:rPr>
  </w:style>
  <w:style w:type="paragraph" w:styleId="ListParagraph">
    <w:name w:val="List Paragraph"/>
    <w:basedOn w:val="Normal"/>
    <w:uiPriority w:val="34"/>
    <w:qFormat/>
    <w:rsid w:val="00895A96"/>
    <w:pPr>
      <w:ind w:left="720"/>
      <w:contextualSpacing/>
    </w:pPr>
  </w:style>
  <w:style w:type="paragraph" w:customStyle="1" w:styleId="TableSignificanceCaption">
    <w:name w:val="Table Significance_Caption"/>
    <w:basedOn w:val="Normal"/>
    <w:qFormat/>
    <w:rsid w:val="002C0FA6"/>
    <w:pPr>
      <w:jc w:val="both"/>
    </w:pPr>
    <w:rPr>
      <w:rFonts w:ascii="Arial" w:hAnsi="Arial"/>
      <w:sz w:val="18"/>
    </w:rPr>
  </w:style>
  <w:style w:type="paragraph" w:styleId="Revision">
    <w:name w:val="Revision"/>
    <w:hidden/>
    <w:uiPriority w:val="99"/>
    <w:semiHidden/>
    <w:rsid w:val="00CD2D6F"/>
    <w:rPr>
      <w:sz w:val="24"/>
      <w:szCs w:val="24"/>
    </w:rPr>
  </w:style>
  <w:style w:type="paragraph" w:customStyle="1" w:styleId="xmsonormal">
    <w:name w:val="x_msonormal"/>
    <w:basedOn w:val="Normal"/>
    <w:rsid w:val="00910C4B"/>
    <w:rPr>
      <w:rFonts w:eastAsiaTheme="minorHAnsi"/>
    </w:rPr>
  </w:style>
  <w:style w:type="paragraph" w:customStyle="1" w:styleId="StyleHeading112pt">
    <w:name w:val="Style Heading 1 + 12 pt"/>
    <w:basedOn w:val="Heading1"/>
    <w:rsid w:val="002D4D3A"/>
    <w:pPr>
      <w:spacing w:after="240"/>
    </w:pPr>
    <w:rPr>
      <w:sz w:val="24"/>
    </w:rPr>
  </w:style>
  <w:style w:type="paragraph" w:customStyle="1" w:styleId="StyleHeading212ptBefore0ptAfter0pt">
    <w:name w:val="Style Heading 2 + 12 pt Before:  0 pt After:  0 pt"/>
    <w:basedOn w:val="Heading2"/>
    <w:rsid w:val="002D4D3A"/>
    <w:pPr>
      <w:spacing w:before="0"/>
    </w:pPr>
    <w:rPr>
      <w:rFonts w:cs="Times New Roman"/>
      <w:szCs w:val="20"/>
    </w:rPr>
  </w:style>
  <w:style w:type="paragraph" w:customStyle="1" w:styleId="StyleHeading212pt">
    <w:name w:val="Style Heading 2 + 12 pt"/>
    <w:basedOn w:val="Heading2"/>
    <w:rsid w:val="002D4D3A"/>
    <w:pPr>
      <w:spacing w:after="120"/>
    </w:pPr>
  </w:style>
  <w:style w:type="paragraph" w:customStyle="1" w:styleId="StyleLeft05">
    <w:name w:val="Style Left:  0.5&quot;"/>
    <w:basedOn w:val="Normal"/>
    <w:rsid w:val="00A21201"/>
    <w:pPr>
      <w:spacing w:after="240"/>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60003534">
      <w:bodyDiv w:val="1"/>
      <w:marLeft w:val="0"/>
      <w:marRight w:val="0"/>
      <w:marTop w:val="0"/>
      <w:marBottom w:val="0"/>
      <w:divBdr>
        <w:top w:val="none" w:sz="0" w:space="0" w:color="auto"/>
        <w:left w:val="none" w:sz="0" w:space="0" w:color="auto"/>
        <w:bottom w:val="none" w:sz="0" w:space="0" w:color="auto"/>
        <w:right w:val="none" w:sz="0" w:space="0" w:color="auto"/>
      </w:divBdr>
    </w:div>
    <w:div w:id="264853326">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31764773">
      <w:bodyDiv w:val="1"/>
      <w:marLeft w:val="0"/>
      <w:marRight w:val="0"/>
      <w:marTop w:val="0"/>
      <w:marBottom w:val="0"/>
      <w:divBdr>
        <w:top w:val="none" w:sz="0" w:space="0" w:color="auto"/>
        <w:left w:val="none" w:sz="0" w:space="0" w:color="auto"/>
        <w:bottom w:val="none" w:sz="0" w:space="0" w:color="auto"/>
        <w:right w:val="none" w:sz="0" w:space="0" w:color="auto"/>
      </w:divBdr>
    </w:div>
    <w:div w:id="369110307">
      <w:bodyDiv w:val="1"/>
      <w:marLeft w:val="0"/>
      <w:marRight w:val="0"/>
      <w:marTop w:val="0"/>
      <w:marBottom w:val="0"/>
      <w:divBdr>
        <w:top w:val="none" w:sz="0" w:space="0" w:color="auto"/>
        <w:left w:val="none" w:sz="0" w:space="0" w:color="auto"/>
        <w:bottom w:val="none" w:sz="0" w:space="0" w:color="auto"/>
        <w:right w:val="none" w:sz="0" w:space="0" w:color="auto"/>
      </w:divBdr>
    </w:div>
    <w:div w:id="404232462">
      <w:bodyDiv w:val="1"/>
      <w:marLeft w:val="0"/>
      <w:marRight w:val="0"/>
      <w:marTop w:val="0"/>
      <w:marBottom w:val="0"/>
      <w:divBdr>
        <w:top w:val="none" w:sz="0" w:space="0" w:color="auto"/>
        <w:left w:val="none" w:sz="0" w:space="0" w:color="auto"/>
        <w:bottom w:val="none" w:sz="0" w:space="0" w:color="auto"/>
        <w:right w:val="none" w:sz="0" w:space="0" w:color="auto"/>
      </w:divBdr>
    </w:div>
    <w:div w:id="552425417">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15816798">
      <w:bodyDiv w:val="1"/>
      <w:marLeft w:val="0"/>
      <w:marRight w:val="0"/>
      <w:marTop w:val="0"/>
      <w:marBottom w:val="0"/>
      <w:divBdr>
        <w:top w:val="none" w:sz="0" w:space="0" w:color="auto"/>
        <w:left w:val="none" w:sz="0" w:space="0" w:color="auto"/>
        <w:bottom w:val="none" w:sz="0" w:space="0" w:color="auto"/>
        <w:right w:val="none" w:sz="0" w:space="0" w:color="auto"/>
      </w:divBdr>
    </w:div>
    <w:div w:id="729184284">
      <w:bodyDiv w:val="1"/>
      <w:marLeft w:val="0"/>
      <w:marRight w:val="0"/>
      <w:marTop w:val="0"/>
      <w:marBottom w:val="0"/>
      <w:divBdr>
        <w:top w:val="none" w:sz="0" w:space="0" w:color="auto"/>
        <w:left w:val="none" w:sz="0" w:space="0" w:color="auto"/>
        <w:bottom w:val="none" w:sz="0" w:space="0" w:color="auto"/>
        <w:right w:val="none" w:sz="0" w:space="0" w:color="auto"/>
      </w:divBdr>
    </w:div>
    <w:div w:id="794906930">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59864275">
      <w:bodyDiv w:val="1"/>
      <w:marLeft w:val="0"/>
      <w:marRight w:val="0"/>
      <w:marTop w:val="0"/>
      <w:marBottom w:val="0"/>
      <w:divBdr>
        <w:top w:val="none" w:sz="0" w:space="0" w:color="auto"/>
        <w:left w:val="none" w:sz="0" w:space="0" w:color="auto"/>
        <w:bottom w:val="none" w:sz="0" w:space="0" w:color="auto"/>
        <w:right w:val="none" w:sz="0" w:space="0" w:color="auto"/>
      </w:divBdr>
    </w:div>
    <w:div w:id="1105618735">
      <w:bodyDiv w:val="1"/>
      <w:marLeft w:val="0"/>
      <w:marRight w:val="0"/>
      <w:marTop w:val="0"/>
      <w:marBottom w:val="0"/>
      <w:divBdr>
        <w:top w:val="none" w:sz="0" w:space="0" w:color="auto"/>
        <w:left w:val="none" w:sz="0" w:space="0" w:color="auto"/>
        <w:bottom w:val="none" w:sz="0" w:space="0" w:color="auto"/>
        <w:right w:val="none" w:sz="0" w:space="0" w:color="auto"/>
      </w:divBdr>
    </w:div>
    <w:div w:id="115907484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62303881">
      <w:bodyDiv w:val="1"/>
      <w:marLeft w:val="0"/>
      <w:marRight w:val="0"/>
      <w:marTop w:val="0"/>
      <w:marBottom w:val="0"/>
      <w:divBdr>
        <w:top w:val="none" w:sz="0" w:space="0" w:color="auto"/>
        <w:left w:val="none" w:sz="0" w:space="0" w:color="auto"/>
        <w:bottom w:val="none" w:sz="0" w:space="0" w:color="auto"/>
        <w:right w:val="none" w:sz="0" w:space="0" w:color="auto"/>
      </w:divBdr>
    </w:div>
    <w:div w:id="1339767707">
      <w:bodyDiv w:val="1"/>
      <w:marLeft w:val="0"/>
      <w:marRight w:val="0"/>
      <w:marTop w:val="0"/>
      <w:marBottom w:val="0"/>
      <w:divBdr>
        <w:top w:val="none" w:sz="0" w:space="0" w:color="auto"/>
        <w:left w:val="none" w:sz="0" w:space="0" w:color="auto"/>
        <w:bottom w:val="none" w:sz="0" w:space="0" w:color="auto"/>
        <w:right w:val="none" w:sz="0" w:space="0" w:color="auto"/>
      </w:divBdr>
    </w:div>
    <w:div w:id="1453523842">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82831103">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40275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jstor.org/stable/3768129" TargetMode="External"/><Relationship Id="rId2" Type="http://schemas.openxmlformats.org/officeDocument/2006/relationships/hyperlink" Target="http://doi.org/10.1186/1471-2458-10-602" TargetMode="External"/><Relationship Id="rId1" Type="http://schemas.openxmlformats.org/officeDocument/2006/relationships/hyperlink" Target="https://www.nimh.nih.gov/health/statistics/prevalence/serious-mental-illness-smi-among-us-adults.shtml" TargetMode="External"/><Relationship Id="rId4" Type="http://schemas.openxmlformats.org/officeDocument/2006/relationships/hyperlink" Target="http://www.nhssurveys.org/Filestore/Community_mental_health_response_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9217-ECEF-4246-8616-949C1EAC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4657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32505</CharactersWithSpaces>
  <SharedDoc>false</SharedDoc>
  <HLinks>
    <vt:vector size="144" baseType="variant">
      <vt:variant>
        <vt:i4>4522096</vt:i4>
      </vt:variant>
      <vt:variant>
        <vt:i4>138</vt:i4>
      </vt:variant>
      <vt:variant>
        <vt:i4>0</vt:i4>
      </vt:variant>
      <vt:variant>
        <vt:i4>5</vt:i4>
      </vt:variant>
      <vt:variant>
        <vt:lpwstr>https://www.opm.gov/policy-data-oversight/pay-leave/salaries-wages/salary-tables/pdf/2014/DCB_h.pdf</vt:lpwstr>
      </vt:variant>
      <vt:variant>
        <vt:lpwstr/>
      </vt:variant>
      <vt:variant>
        <vt:i4>1310722</vt:i4>
      </vt:variant>
      <vt:variant>
        <vt:i4>135</vt:i4>
      </vt:variant>
      <vt:variant>
        <vt:i4>0</vt:i4>
      </vt:variant>
      <vt:variant>
        <vt:i4>5</vt:i4>
      </vt:variant>
      <vt:variant>
        <vt:lpwstr>http://www.opm.gov/policy-data-oversight/pay-leave/salaries-wages/salary-tables/pdf/2015/DCB.pdf</vt:lpwstr>
      </vt:variant>
      <vt:variant>
        <vt:lpwstr/>
      </vt:variant>
      <vt:variant>
        <vt:i4>7340045</vt:i4>
      </vt:variant>
      <vt:variant>
        <vt:i4>132</vt:i4>
      </vt:variant>
      <vt:variant>
        <vt:i4>0</vt:i4>
      </vt:variant>
      <vt:variant>
        <vt:i4>5</vt:i4>
      </vt:variant>
      <vt:variant>
        <vt:lpwstr>http://www.bls.gov/oes/current/oes_stru.htm</vt:lpwstr>
      </vt:variant>
      <vt:variant>
        <vt:lpwstr/>
      </vt:variant>
      <vt:variant>
        <vt:i4>1769526</vt:i4>
      </vt:variant>
      <vt:variant>
        <vt:i4>122</vt:i4>
      </vt:variant>
      <vt:variant>
        <vt:i4>0</vt:i4>
      </vt:variant>
      <vt:variant>
        <vt:i4>5</vt:i4>
      </vt:variant>
      <vt:variant>
        <vt:lpwstr/>
      </vt:variant>
      <vt:variant>
        <vt:lpwstr>_Toc480979547</vt:lpwstr>
      </vt:variant>
      <vt:variant>
        <vt:i4>1769526</vt:i4>
      </vt:variant>
      <vt:variant>
        <vt:i4>116</vt:i4>
      </vt:variant>
      <vt:variant>
        <vt:i4>0</vt:i4>
      </vt:variant>
      <vt:variant>
        <vt:i4>5</vt:i4>
      </vt:variant>
      <vt:variant>
        <vt:lpwstr/>
      </vt:variant>
      <vt:variant>
        <vt:lpwstr>_Toc480979546</vt:lpwstr>
      </vt:variant>
      <vt:variant>
        <vt:i4>1769526</vt:i4>
      </vt:variant>
      <vt:variant>
        <vt:i4>110</vt:i4>
      </vt:variant>
      <vt:variant>
        <vt:i4>0</vt:i4>
      </vt:variant>
      <vt:variant>
        <vt:i4>5</vt:i4>
      </vt:variant>
      <vt:variant>
        <vt:lpwstr/>
      </vt:variant>
      <vt:variant>
        <vt:lpwstr>_Toc480979545</vt:lpwstr>
      </vt:variant>
      <vt:variant>
        <vt:i4>1769526</vt:i4>
      </vt:variant>
      <vt:variant>
        <vt:i4>104</vt:i4>
      </vt:variant>
      <vt:variant>
        <vt:i4>0</vt:i4>
      </vt:variant>
      <vt:variant>
        <vt:i4>5</vt:i4>
      </vt:variant>
      <vt:variant>
        <vt:lpwstr/>
      </vt:variant>
      <vt:variant>
        <vt:lpwstr>_Toc480979544</vt:lpwstr>
      </vt:variant>
      <vt:variant>
        <vt:i4>1769526</vt:i4>
      </vt:variant>
      <vt:variant>
        <vt:i4>98</vt:i4>
      </vt:variant>
      <vt:variant>
        <vt:i4>0</vt:i4>
      </vt:variant>
      <vt:variant>
        <vt:i4>5</vt:i4>
      </vt:variant>
      <vt:variant>
        <vt:lpwstr/>
      </vt:variant>
      <vt:variant>
        <vt:lpwstr>_Toc480979543</vt:lpwstr>
      </vt:variant>
      <vt:variant>
        <vt:i4>1769526</vt:i4>
      </vt:variant>
      <vt:variant>
        <vt:i4>92</vt:i4>
      </vt:variant>
      <vt:variant>
        <vt:i4>0</vt:i4>
      </vt:variant>
      <vt:variant>
        <vt:i4>5</vt:i4>
      </vt:variant>
      <vt:variant>
        <vt:lpwstr/>
      </vt:variant>
      <vt:variant>
        <vt:lpwstr>_Toc480979542</vt:lpwstr>
      </vt:variant>
      <vt:variant>
        <vt:i4>1769526</vt:i4>
      </vt:variant>
      <vt:variant>
        <vt:i4>86</vt:i4>
      </vt:variant>
      <vt:variant>
        <vt:i4>0</vt:i4>
      </vt:variant>
      <vt:variant>
        <vt:i4>5</vt:i4>
      </vt:variant>
      <vt:variant>
        <vt:lpwstr/>
      </vt:variant>
      <vt:variant>
        <vt:lpwstr>_Toc480979541</vt:lpwstr>
      </vt:variant>
      <vt:variant>
        <vt:i4>1769526</vt:i4>
      </vt:variant>
      <vt:variant>
        <vt:i4>80</vt:i4>
      </vt:variant>
      <vt:variant>
        <vt:i4>0</vt:i4>
      </vt:variant>
      <vt:variant>
        <vt:i4>5</vt:i4>
      </vt:variant>
      <vt:variant>
        <vt:lpwstr/>
      </vt:variant>
      <vt:variant>
        <vt:lpwstr>_Toc480979540</vt:lpwstr>
      </vt:variant>
      <vt:variant>
        <vt:i4>1835062</vt:i4>
      </vt:variant>
      <vt:variant>
        <vt:i4>74</vt:i4>
      </vt:variant>
      <vt:variant>
        <vt:i4>0</vt:i4>
      </vt:variant>
      <vt:variant>
        <vt:i4>5</vt:i4>
      </vt:variant>
      <vt:variant>
        <vt:lpwstr/>
      </vt:variant>
      <vt:variant>
        <vt:lpwstr>_Toc480979539</vt:lpwstr>
      </vt:variant>
      <vt:variant>
        <vt:i4>1835062</vt:i4>
      </vt:variant>
      <vt:variant>
        <vt:i4>68</vt:i4>
      </vt:variant>
      <vt:variant>
        <vt:i4>0</vt:i4>
      </vt:variant>
      <vt:variant>
        <vt:i4>5</vt:i4>
      </vt:variant>
      <vt:variant>
        <vt:lpwstr/>
      </vt:variant>
      <vt:variant>
        <vt:lpwstr>_Toc480979538</vt:lpwstr>
      </vt:variant>
      <vt:variant>
        <vt:i4>1835062</vt:i4>
      </vt:variant>
      <vt:variant>
        <vt:i4>62</vt:i4>
      </vt:variant>
      <vt:variant>
        <vt:i4>0</vt:i4>
      </vt:variant>
      <vt:variant>
        <vt:i4>5</vt:i4>
      </vt:variant>
      <vt:variant>
        <vt:lpwstr/>
      </vt:variant>
      <vt:variant>
        <vt:lpwstr>_Toc480979537</vt:lpwstr>
      </vt:variant>
      <vt:variant>
        <vt:i4>1835062</vt:i4>
      </vt:variant>
      <vt:variant>
        <vt:i4>56</vt:i4>
      </vt:variant>
      <vt:variant>
        <vt:i4>0</vt:i4>
      </vt:variant>
      <vt:variant>
        <vt:i4>5</vt:i4>
      </vt:variant>
      <vt:variant>
        <vt:lpwstr/>
      </vt:variant>
      <vt:variant>
        <vt:lpwstr>_Toc480979536</vt:lpwstr>
      </vt:variant>
      <vt:variant>
        <vt:i4>1835062</vt:i4>
      </vt:variant>
      <vt:variant>
        <vt:i4>50</vt:i4>
      </vt:variant>
      <vt:variant>
        <vt:i4>0</vt:i4>
      </vt:variant>
      <vt:variant>
        <vt:i4>5</vt:i4>
      </vt:variant>
      <vt:variant>
        <vt:lpwstr/>
      </vt:variant>
      <vt:variant>
        <vt:lpwstr>_Toc480979535</vt:lpwstr>
      </vt:variant>
      <vt:variant>
        <vt:i4>1835062</vt:i4>
      </vt:variant>
      <vt:variant>
        <vt:i4>44</vt:i4>
      </vt:variant>
      <vt:variant>
        <vt:i4>0</vt:i4>
      </vt:variant>
      <vt:variant>
        <vt:i4>5</vt:i4>
      </vt:variant>
      <vt:variant>
        <vt:lpwstr/>
      </vt:variant>
      <vt:variant>
        <vt:lpwstr>_Toc480979534</vt:lpwstr>
      </vt:variant>
      <vt:variant>
        <vt:i4>1835062</vt:i4>
      </vt:variant>
      <vt:variant>
        <vt:i4>38</vt:i4>
      </vt:variant>
      <vt:variant>
        <vt:i4>0</vt:i4>
      </vt:variant>
      <vt:variant>
        <vt:i4>5</vt:i4>
      </vt:variant>
      <vt:variant>
        <vt:lpwstr/>
      </vt:variant>
      <vt:variant>
        <vt:lpwstr>_Toc480979533</vt:lpwstr>
      </vt:variant>
      <vt:variant>
        <vt:i4>1835062</vt:i4>
      </vt:variant>
      <vt:variant>
        <vt:i4>32</vt:i4>
      </vt:variant>
      <vt:variant>
        <vt:i4>0</vt:i4>
      </vt:variant>
      <vt:variant>
        <vt:i4>5</vt:i4>
      </vt:variant>
      <vt:variant>
        <vt:lpwstr/>
      </vt:variant>
      <vt:variant>
        <vt:lpwstr>_Toc480979532</vt:lpwstr>
      </vt:variant>
      <vt:variant>
        <vt:i4>1835062</vt:i4>
      </vt:variant>
      <vt:variant>
        <vt:i4>26</vt:i4>
      </vt:variant>
      <vt:variant>
        <vt:i4>0</vt:i4>
      </vt:variant>
      <vt:variant>
        <vt:i4>5</vt:i4>
      </vt:variant>
      <vt:variant>
        <vt:lpwstr/>
      </vt:variant>
      <vt:variant>
        <vt:lpwstr>_Toc480979531</vt:lpwstr>
      </vt:variant>
      <vt:variant>
        <vt:i4>1835062</vt:i4>
      </vt:variant>
      <vt:variant>
        <vt:i4>20</vt:i4>
      </vt:variant>
      <vt:variant>
        <vt:i4>0</vt:i4>
      </vt:variant>
      <vt:variant>
        <vt:i4>5</vt:i4>
      </vt:variant>
      <vt:variant>
        <vt:lpwstr/>
      </vt:variant>
      <vt:variant>
        <vt:lpwstr>_Toc480979530</vt:lpwstr>
      </vt:variant>
      <vt:variant>
        <vt:i4>1900598</vt:i4>
      </vt:variant>
      <vt:variant>
        <vt:i4>14</vt:i4>
      </vt:variant>
      <vt:variant>
        <vt:i4>0</vt:i4>
      </vt:variant>
      <vt:variant>
        <vt:i4>5</vt:i4>
      </vt:variant>
      <vt:variant>
        <vt:lpwstr/>
      </vt:variant>
      <vt:variant>
        <vt:lpwstr>_Toc480979529</vt:lpwstr>
      </vt:variant>
      <vt:variant>
        <vt:i4>1900598</vt:i4>
      </vt:variant>
      <vt:variant>
        <vt:i4>8</vt:i4>
      </vt:variant>
      <vt:variant>
        <vt:i4>0</vt:i4>
      </vt:variant>
      <vt:variant>
        <vt:i4>5</vt:i4>
      </vt:variant>
      <vt:variant>
        <vt:lpwstr/>
      </vt:variant>
      <vt:variant>
        <vt:lpwstr>_Toc480979528</vt:lpwstr>
      </vt:variant>
      <vt:variant>
        <vt:i4>1900598</vt:i4>
      </vt:variant>
      <vt:variant>
        <vt:i4>2</vt:i4>
      </vt:variant>
      <vt:variant>
        <vt:i4>0</vt:i4>
      </vt:variant>
      <vt:variant>
        <vt:i4>5</vt:i4>
      </vt:variant>
      <vt:variant>
        <vt:lpwstr/>
      </vt:variant>
      <vt:variant>
        <vt:lpwstr>_Toc480979527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Stephan McKenzie</cp:lastModifiedBy>
  <cp:revision>5</cp:revision>
  <cp:lastPrinted>2011-07-06T19:06:00Z</cp:lastPrinted>
  <dcterms:created xsi:type="dcterms:W3CDTF">2021-07-19T13:11:00Z</dcterms:created>
  <dcterms:modified xsi:type="dcterms:W3CDTF">2021-07-29T20:13:00Z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