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3F00B3" w:rsidP="003F00B3" w:rsidRDefault="00F107B7" w14:paraId="38A12E6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E340E5">
        <w:rPr>
          <w:rFonts w:ascii="Times New Roman" w:hAnsi="Times New Roman" w:cs="Times New Roman"/>
        </w:rPr>
        <w:t xml:space="preserve">SSA-157 </w:t>
      </w:r>
    </w:p>
    <w:p w:rsidRPr="00BC7F42" w:rsidR="00146275" w:rsidP="00F107B7" w:rsidRDefault="00E340E5" w14:paraId="1A7D1E4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Data Exchange Request Form</w:t>
      </w:r>
    </w:p>
    <w:p w:rsidRPr="00BC7F42" w:rsidR="00A45D82" w:rsidP="00A45D82" w:rsidRDefault="008B6774" w14:paraId="4CFE3D0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E340E5">
        <w:rPr>
          <w:rFonts w:ascii="Times New Roman" w:hAnsi="Times New Roman" w:cs="Times New Roman"/>
        </w:rPr>
        <w:t xml:space="preserve">0802  </w:t>
      </w:r>
    </w:p>
    <w:p w:rsidRPr="00BC7F42" w:rsidR="00A45D82" w:rsidP="00A45D82" w:rsidRDefault="00A45D82" w14:paraId="50778C08" w14:textId="77777777">
      <w:pPr>
        <w:pStyle w:val="Header"/>
        <w:tabs>
          <w:tab w:val="clear" w:pos="4320"/>
          <w:tab w:val="clear" w:pos="8640"/>
        </w:tabs>
        <w:rPr>
          <w:rFonts w:ascii="Times New Roman" w:hAnsi="Times New Roman"/>
        </w:rPr>
      </w:pPr>
    </w:p>
    <w:p w:rsidRPr="002321B0" w:rsidR="00A45D82" w:rsidP="00A45D82" w:rsidRDefault="00A45D82" w14:paraId="1543F6F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6B66E07C" w14:textId="77777777">
      <w:pPr>
        <w:pStyle w:val="Header"/>
        <w:tabs>
          <w:tab w:val="clear" w:pos="4320"/>
          <w:tab w:val="clear" w:pos="8640"/>
        </w:tabs>
        <w:rPr>
          <w:rFonts w:ascii="Times New Roman" w:hAnsi="Times New Roman"/>
        </w:rPr>
      </w:pPr>
    </w:p>
    <w:p w:rsidR="002321B0" w:rsidP="009E5850" w:rsidRDefault="002E18CF" w14:paraId="64BEE510" w14:textId="77777777">
      <w:pPr>
        <w:numPr>
          <w:ilvl w:val="0"/>
          <w:numId w:val="34"/>
        </w:numPr>
        <w:tabs>
          <w:tab w:val="clear" w:pos="1440"/>
        </w:tabs>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6013A3" w:rsidP="009E5850" w:rsidRDefault="00F0058F" w14:paraId="0A6685EF" w14:textId="77777777">
      <w:pPr>
        <w:ind w:left="1440"/>
        <w:rPr>
          <w:rFonts w:ascii="Times New Roman" w:hAnsi="Times New Roman"/>
          <w:lang w:val="en"/>
        </w:rPr>
      </w:pPr>
      <w:r w:rsidRPr="00F0058F">
        <w:rPr>
          <w:rFonts w:ascii="Times New Roman" w:hAnsi="Times New Roman"/>
        </w:rPr>
        <w:t xml:space="preserve">The Social Security Administration (SSA) maintains approximately 3,000 data exchange agreements and regularly receives new requests from Federal, State, local, and tribal agencies; foreign governments; research entities; as well as private organizations, to share data electronically.  </w:t>
      </w:r>
      <w:r w:rsidRPr="00F0058F">
        <w:rPr>
          <w:rFonts w:ascii="Times New Roman" w:hAnsi="Times New Roman"/>
          <w:lang w:val="en"/>
        </w:rPr>
        <w:t xml:space="preserve">SSA engages in various forms of data exchanges from Social Security number verifications to computer matches for benefit eligibility, depending on the requestor’s business needs.  Section </w:t>
      </w:r>
      <w:r w:rsidRPr="00F0058F">
        <w:rPr>
          <w:rFonts w:ascii="Times New Roman" w:hAnsi="Times New Roman"/>
          <w:i/>
          <w:lang w:val="en"/>
        </w:rPr>
        <w:t>1106(b)</w:t>
      </w:r>
      <w:r w:rsidRPr="00F0058F">
        <w:rPr>
          <w:rFonts w:ascii="Times New Roman" w:hAnsi="Times New Roman"/>
          <w:lang w:val="en"/>
        </w:rPr>
        <w:t xml:space="preserve"> of the </w:t>
      </w:r>
      <w:r w:rsidRPr="00F0058F">
        <w:rPr>
          <w:rFonts w:ascii="Times New Roman" w:hAnsi="Times New Roman"/>
          <w:i/>
          <w:lang w:val="en"/>
        </w:rPr>
        <w:t>Social Security Act</w:t>
      </w:r>
      <w:r w:rsidRPr="00F0058F">
        <w:rPr>
          <w:rFonts w:ascii="Times New Roman" w:hAnsi="Times New Roman"/>
          <w:lang w:val="en"/>
        </w:rPr>
        <w:t xml:space="preserve"> </w:t>
      </w:r>
      <w:r w:rsidRPr="00F0058F">
        <w:rPr>
          <w:rFonts w:ascii="Times New Roman" w:hAnsi="Times New Roman"/>
        </w:rPr>
        <w:t>authorizes SSA to provide information to a requester when the disclosure is authorized by SSA’s privacy regulations and the requester reimburses SSA for the information</w:t>
      </w:r>
      <w:r w:rsidRPr="00F0058F">
        <w:rPr>
          <w:rFonts w:ascii="Times New Roman" w:hAnsi="Times New Roman"/>
          <w:lang w:val="en"/>
        </w:rPr>
        <w:t>.</w:t>
      </w:r>
    </w:p>
    <w:p w:rsidRPr="00F57AD9" w:rsidR="00F57AD9" w:rsidP="00F57AD9" w:rsidRDefault="00F57AD9" w14:paraId="1A2CE39D" w14:textId="77777777">
      <w:pPr>
        <w:rPr>
          <w:rFonts w:ascii="Times New Roman" w:hAnsi="Times New Roman"/>
        </w:rPr>
      </w:pPr>
    </w:p>
    <w:p w:rsidRPr="002E18CF" w:rsidR="002E18CF" w:rsidP="009E5850" w:rsidRDefault="00F56A74" w14:paraId="4724C3F1"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202C06" w:rsidP="009E5850" w:rsidRDefault="005D62B3" w14:paraId="687DE072" w14:textId="5737CD0D">
      <w:pPr>
        <w:ind w:left="1440"/>
        <w:rPr>
          <w:rFonts w:ascii="Times New Roman" w:hAnsi="Times New Roman"/>
        </w:rPr>
      </w:pPr>
      <w:r>
        <w:rPr>
          <w:rFonts w:ascii="Times New Roman" w:hAnsi="Times New Roman"/>
        </w:rPr>
        <w:t>SSA requires</w:t>
      </w:r>
      <w:r w:rsidR="0036696D">
        <w:rPr>
          <w:rFonts w:ascii="Times New Roman" w:hAnsi="Times New Roman"/>
        </w:rPr>
        <w:t xml:space="preserve"> </w:t>
      </w:r>
      <w:r w:rsidRPr="005D62B3">
        <w:rPr>
          <w:rFonts w:ascii="Times New Roman" w:hAnsi="Times New Roman"/>
        </w:rPr>
        <w:t>an instrument that requestors can use to facilitate their request for data from SSA.  We use Form SSA-157, Data Exchange Request Form, for this purpose.  Every new request for data, or modification to the purpose of an existing data exchange, requires the respondents to complete a new Form SSA</w:t>
      </w:r>
      <w:r w:rsidRPr="005D62B3">
        <w:rPr>
          <w:rFonts w:ascii="Times New Roman" w:hAnsi="Times New Roman"/>
        </w:rPr>
        <w:noBreakHyphen/>
        <w:t xml:space="preserve">157.  Requestors access information about requesting a data exchange with SSA and the Form SSA-157 on the agency Data Exchange website; </w:t>
      </w:r>
      <w:hyperlink w:history="1" r:id="rId8">
        <w:r w:rsidRPr="005D62B3">
          <w:rPr>
            <w:rStyle w:val="Hyperlink"/>
            <w:rFonts w:ascii="Times New Roman" w:hAnsi="Times New Roman"/>
          </w:rPr>
          <w:t>www.ssa.gov/dataexchange</w:t>
        </w:r>
      </w:hyperlink>
      <w:r w:rsidRPr="005D62B3">
        <w:rPr>
          <w:rFonts w:ascii="Times New Roman" w:hAnsi="Times New Roman"/>
        </w:rPr>
        <w:t>.</w:t>
      </w:r>
      <w:r w:rsidR="00E214FA">
        <w:rPr>
          <w:rFonts w:ascii="Times New Roman" w:hAnsi="Times New Roman"/>
        </w:rPr>
        <w:t xml:space="preserve">  </w:t>
      </w:r>
      <w:r w:rsidRPr="005D62B3">
        <w:rPr>
          <w:rFonts w:ascii="Times New Roman" w:hAnsi="Times New Roman"/>
          <w:lang w:val="en"/>
        </w:rPr>
        <w:t>There are several factors SSA considers in decision</w:t>
      </w:r>
      <w:r w:rsidR="006E0CDE">
        <w:rPr>
          <w:rFonts w:ascii="Times New Roman" w:hAnsi="Times New Roman"/>
          <w:lang w:val="en"/>
        </w:rPr>
        <w:noBreakHyphen/>
      </w:r>
      <w:r w:rsidR="0044417A">
        <w:rPr>
          <w:rFonts w:ascii="Times New Roman" w:hAnsi="Times New Roman"/>
          <w:lang w:val="en"/>
        </w:rPr>
        <w:t>m</w:t>
      </w:r>
      <w:r w:rsidRPr="005D62B3">
        <w:rPr>
          <w:rFonts w:ascii="Times New Roman" w:hAnsi="Times New Roman"/>
          <w:lang w:val="en"/>
        </w:rPr>
        <w:t>aking policy on whether to engage in a data exchange.  We must consider the requestor’s legal authority to receive the data; our disclosure policies; systems’ feasibility; systems’ security; and costs to the agency for developing and maintaining the data exchange.  When a requestor asks SSA for data, we ask them several questions to determine whether to pursue a data exchange with them.  We enumerate those questions in Form SSA-157.  The respondents are Federal agencies; State, local, or tribal agencies; foreign governments; research entities; or private organizations that are voluntarily initiating a request for data from SSA and own the information necessary to complete the Form SSA-157.</w:t>
      </w:r>
      <w:r w:rsidRPr="005D62B3">
        <w:rPr>
          <w:rFonts w:ascii="Times New Roman" w:hAnsi="Times New Roman"/>
        </w:rPr>
        <w:t xml:space="preserve">  </w:t>
      </w:r>
      <w:r>
        <w:rPr>
          <w:rFonts w:ascii="Times New Roman" w:hAnsi="Times New Roman"/>
        </w:rPr>
        <w:t xml:space="preserve"> </w:t>
      </w:r>
    </w:p>
    <w:p w:rsidRPr="00BC7F42" w:rsidR="00A45D82" w:rsidP="00A45D82" w:rsidRDefault="00A45D82" w14:paraId="401864D5" w14:textId="77777777">
      <w:pPr>
        <w:rPr>
          <w:rFonts w:ascii="Times New Roman" w:hAnsi="Times New Roman"/>
        </w:rPr>
      </w:pPr>
    </w:p>
    <w:p w:rsidRPr="0036696D" w:rsidR="0036696D" w:rsidP="009E5850" w:rsidRDefault="00A45D82" w14:paraId="02E11D0B"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D82926" w:rsidP="00D82926" w:rsidRDefault="00A26833" w14:paraId="3DDA58A8" w14:textId="51EBAE6A">
      <w:pPr>
        <w:ind w:left="1440"/>
        <w:rPr>
          <w:rFonts w:ascii="Times New Roman" w:hAnsi="Times New Roman"/>
          <w:color w:val="FF0000"/>
        </w:rPr>
      </w:pPr>
      <w:r w:rsidRPr="00B019BE">
        <w:rPr>
          <w:rFonts w:ascii="Times New Roman" w:hAnsi="Times New Roman"/>
        </w:rPr>
        <w:t>Form SSA-1</w:t>
      </w:r>
      <w:r>
        <w:rPr>
          <w:rFonts w:ascii="Times New Roman" w:hAnsi="Times New Roman"/>
        </w:rPr>
        <w:t>57</w:t>
      </w:r>
      <w:r w:rsidRPr="00B019BE">
        <w:rPr>
          <w:rFonts w:ascii="Times New Roman" w:hAnsi="Times New Roman"/>
        </w:rPr>
        <w:t xml:space="preserve"> is available as a fillable PDF on SSA’s website, which </w:t>
      </w:r>
      <w:r w:rsidR="006E0CDE">
        <w:rPr>
          <w:rFonts w:ascii="Times New Roman" w:hAnsi="Times New Roman"/>
        </w:rPr>
        <w:t>respondents submit</w:t>
      </w:r>
      <w:r w:rsidR="00D82926">
        <w:rPr>
          <w:rFonts w:ascii="Times New Roman" w:hAnsi="Times New Roman"/>
        </w:rPr>
        <w:t xml:space="preserve"> to SSA via email.</w:t>
      </w:r>
    </w:p>
    <w:p w:rsidRPr="008041B4" w:rsidR="00A26833" w:rsidP="00A26833" w:rsidRDefault="00A26833" w14:paraId="1123E46C" w14:textId="3DECBB4D">
      <w:pPr>
        <w:ind w:left="1440"/>
        <w:rPr>
          <w:rFonts w:ascii="Times New Roman" w:hAnsi="Times New Roman"/>
          <w:color w:val="000000"/>
        </w:rPr>
      </w:pPr>
      <w:r w:rsidRPr="008041B4">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8041B4">
        <w:rPr>
          <w:rFonts w:ascii="Times New Roman" w:hAnsi="Times New Roman"/>
          <w:color w:val="000000"/>
        </w:rPr>
        <w:t>particular ICR</w:t>
      </w:r>
      <w:proofErr w:type="gramEnd"/>
      <w:r w:rsidRPr="008041B4">
        <w:rPr>
          <w:rFonts w:ascii="Times New Roman" w:hAnsi="Times New Roman"/>
          <w:color w:val="000000"/>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A26833" w:rsidP="00A26833" w:rsidRDefault="00A26833" w14:paraId="28FECA45" w14:textId="77777777">
      <w:pPr>
        <w:ind w:left="1440"/>
        <w:rPr>
          <w:rFonts w:ascii="Times New Roman" w:hAnsi="Times New Roman"/>
        </w:rPr>
      </w:pPr>
      <w:r w:rsidRPr="008041B4">
        <w:rPr>
          <w:rFonts w:ascii="Times New Roman" w:hAnsi="Times New Roman"/>
          <w:color w:val="000000"/>
        </w:rPr>
        <w:t xml:space="preserve">In the interim, we evaluated this collection for conversion to a submittable </w:t>
      </w:r>
      <w:r w:rsidRPr="008041B4">
        <w:rPr>
          <w:rFonts w:ascii="Times New Roman" w:hAnsi="Times New Roman"/>
          <w:color w:val="000000"/>
        </w:rPr>
        <w:lastRenderedPageBreak/>
        <w:t xml:space="preserve">PDF.  Given the high volume of conversions we are coordinating and the more urgent nature of some of the other conversions, we ultimately decided not to prioritize this ICR for conversion to fully submittable PDF at this time.  When we </w:t>
      </w:r>
      <w:proofErr w:type="gramStart"/>
      <w:r w:rsidRPr="008041B4">
        <w:rPr>
          <w:rFonts w:ascii="Times New Roman" w:hAnsi="Times New Roman"/>
          <w:color w:val="000000"/>
        </w:rPr>
        <w:t>are able to</w:t>
      </w:r>
      <w:proofErr w:type="gramEnd"/>
      <w:r w:rsidRPr="008041B4">
        <w:rPr>
          <w:rFonts w:ascii="Times New Roman" w:hAnsi="Times New Roman"/>
          <w:color w:val="000000"/>
        </w:rPr>
        <w:t xml:space="preserve"> schedule this form for conversion to a submittable PDF, we will submit a Change Request to OMB to request prior approval.</w:t>
      </w:r>
    </w:p>
    <w:p w:rsidRPr="00BC7F42" w:rsidR="00A45D82" w:rsidP="00A45D82" w:rsidRDefault="00A45D82" w14:paraId="51A28B0A" w14:textId="77777777">
      <w:pPr>
        <w:rPr>
          <w:rFonts w:ascii="Times New Roman" w:hAnsi="Times New Roman"/>
        </w:rPr>
      </w:pPr>
    </w:p>
    <w:p w:rsidR="000C1D18" w:rsidP="009E5850" w:rsidRDefault="00A45D82" w14:paraId="63BCCD88"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146C05" w:rsidR="00A45D82" w:rsidP="009E5850" w:rsidRDefault="00A45D82" w14:paraId="5D25BE82" w14:textId="77777777">
      <w:pPr>
        <w:ind w:left="1440"/>
        <w:rPr>
          <w:rFonts w:ascii="Times New Roman" w:hAnsi="Times New Roman"/>
        </w:rPr>
      </w:pPr>
      <w:r w:rsidRPr="00146C05">
        <w:rPr>
          <w:rFonts w:ascii="Times New Roman" w:hAnsi="Times New Roman"/>
        </w:rPr>
        <w:t>The nature of the information</w:t>
      </w:r>
      <w:r w:rsidRPr="00146C05" w:rsidR="0071437B">
        <w:rPr>
          <w:rFonts w:ascii="Times New Roman" w:hAnsi="Times New Roman"/>
        </w:rPr>
        <w:t xml:space="preserve"> we collect and the </w:t>
      </w:r>
      <w:proofErr w:type="gramStart"/>
      <w:r w:rsidRPr="00146C05" w:rsidR="0071437B">
        <w:rPr>
          <w:rFonts w:ascii="Times New Roman" w:hAnsi="Times New Roman"/>
        </w:rPr>
        <w:t>manner in which</w:t>
      </w:r>
      <w:proofErr w:type="gramEnd"/>
      <w:r w:rsidRPr="00146C05" w:rsidR="0071437B">
        <w:rPr>
          <w:rFonts w:ascii="Times New Roman" w:hAnsi="Times New Roman"/>
        </w:rPr>
        <w:t xml:space="preserve"> we collect</w:t>
      </w:r>
      <w:r w:rsidRPr="00146C05" w:rsidR="00077E0E">
        <w:rPr>
          <w:rFonts w:ascii="Times New Roman" w:hAnsi="Times New Roman"/>
        </w:rPr>
        <w:t xml:space="preserve"> it preclude</w:t>
      </w:r>
      <w:r w:rsidRPr="00146C05" w:rsidR="003176E1">
        <w:rPr>
          <w:rFonts w:ascii="Times New Roman" w:hAnsi="Times New Roman"/>
        </w:rPr>
        <w:t>s</w:t>
      </w:r>
      <w:r w:rsidRPr="00146C05" w:rsidR="00077E0E">
        <w:rPr>
          <w:rFonts w:ascii="Times New Roman" w:hAnsi="Times New Roman"/>
        </w:rPr>
        <w:t xml:space="preserve"> duplication.  SSA does not use another collection instrument to obtain similar data.  </w:t>
      </w:r>
    </w:p>
    <w:p w:rsidRPr="00BC7F42" w:rsidR="00A45D82" w:rsidP="00A45D82" w:rsidRDefault="00A45D82" w14:paraId="0C0A74D8" w14:textId="77777777">
      <w:pPr>
        <w:pStyle w:val="Header"/>
        <w:tabs>
          <w:tab w:val="clear" w:pos="4320"/>
          <w:tab w:val="clear" w:pos="8640"/>
        </w:tabs>
        <w:ind w:left="720"/>
        <w:rPr>
          <w:rFonts w:ascii="Times New Roman" w:hAnsi="Times New Roman"/>
        </w:rPr>
      </w:pPr>
    </w:p>
    <w:p w:rsidRPr="00077E0E" w:rsidR="00077E0E" w:rsidP="009E5850" w:rsidRDefault="00077E0E" w14:paraId="0831405D" w14:textId="77777777">
      <w:pPr>
        <w:numPr>
          <w:ilvl w:val="0"/>
          <w:numId w:val="28"/>
        </w:numPr>
        <w:tabs>
          <w:tab w:val="clear" w:pos="360"/>
        </w:tabs>
        <w:ind w:left="1440" w:hanging="720"/>
        <w:rPr>
          <w:rFonts w:ascii="Times New Roman" w:hAnsi="Times New Roman"/>
        </w:rPr>
      </w:pPr>
      <w:r>
        <w:rPr>
          <w:rFonts w:ascii="Times New Roman" w:hAnsi="Times New Roman"/>
          <w:b/>
        </w:rPr>
        <w:t>Minimizing Burden on Small Respondents</w:t>
      </w:r>
    </w:p>
    <w:p w:rsidRPr="009D267C" w:rsidR="00077E0E" w:rsidP="009E5850" w:rsidRDefault="00077E0E" w14:paraId="647EE49C" w14:textId="77777777">
      <w:pPr>
        <w:ind w:left="720" w:firstLine="720"/>
        <w:rPr>
          <w:rFonts w:ascii="Times New Roman" w:hAnsi="Times New Roman"/>
        </w:rPr>
      </w:pPr>
      <w:r w:rsidRPr="009D267C">
        <w:rPr>
          <w:rFonts w:ascii="Times New Roman" w:hAnsi="Times New Roman"/>
        </w:rPr>
        <w:t xml:space="preserve">This collection does not affect small businesses or other small entities. </w:t>
      </w:r>
    </w:p>
    <w:p w:rsidR="00077E0E" w:rsidP="00077E0E" w:rsidRDefault="00077E0E" w14:paraId="731510AE" w14:textId="77777777">
      <w:pPr>
        <w:ind w:left="720"/>
        <w:rPr>
          <w:rFonts w:ascii="Times New Roman" w:hAnsi="Times New Roman"/>
          <w:i/>
        </w:rPr>
      </w:pPr>
    </w:p>
    <w:p w:rsidRPr="00BC7F42" w:rsidR="00A45D82" w:rsidP="009E5850" w:rsidRDefault="00A45D82" w14:paraId="0A2DE584" w14:textId="77777777">
      <w:pPr>
        <w:ind w:left="720"/>
        <w:rPr>
          <w:rFonts w:ascii="Times New Roman" w:hAnsi="Times New Roman"/>
        </w:rPr>
      </w:pPr>
      <w:r w:rsidRPr="009E5850">
        <w:rPr>
          <w:rFonts w:ascii="Times New Roman" w:hAnsi="Times New Roman"/>
          <w:bCs/>
        </w:rPr>
        <w:t>6</w:t>
      </w:r>
      <w:r w:rsidRPr="005C2C39">
        <w:rPr>
          <w:rFonts w:ascii="Times New Roman" w:hAnsi="Times New Roman"/>
          <w:b/>
        </w:rPr>
        <w:t>.</w:t>
      </w:r>
      <w:r w:rsidR="009E5850">
        <w:rPr>
          <w:rFonts w:ascii="Times New Roman" w:hAnsi="Times New Roman"/>
          <w:b/>
        </w:rPr>
        <w:tab/>
      </w:r>
      <w:r w:rsidRPr="00BC7F42">
        <w:rPr>
          <w:rFonts w:ascii="Times New Roman" w:hAnsi="Times New Roman"/>
          <w:b/>
        </w:rPr>
        <w:t xml:space="preserve">Consequence of Not Collecting Information or Collecting it Less Frequently </w:t>
      </w:r>
    </w:p>
    <w:p w:rsidRPr="00CB6DD6" w:rsidR="00A45D82" w:rsidP="009E5850" w:rsidRDefault="00CB6DD6" w14:paraId="1DCAA7A3" w14:textId="77777777">
      <w:pPr>
        <w:ind w:left="1440"/>
        <w:rPr>
          <w:rFonts w:ascii="Times New Roman" w:hAnsi="Times New Roman"/>
        </w:rPr>
      </w:pPr>
      <w:r w:rsidRPr="00CB6DD6">
        <w:rPr>
          <w:rFonts w:ascii="Times New Roman" w:hAnsi="Times New Roman"/>
        </w:rPr>
        <w:t xml:space="preserve">If we did not use Form SSA-157, respondents would have no way to request a data exchange from SSA.  Because we collect the information on an as needed basis, we cannot collect it less frequently.  </w:t>
      </w:r>
      <w:r>
        <w:rPr>
          <w:rFonts w:ascii="Times New Roman" w:hAnsi="Times New Roman"/>
        </w:rPr>
        <w:t xml:space="preserve">There </w:t>
      </w:r>
      <w:r w:rsidRPr="00CB6DD6" w:rsidR="00A45D82">
        <w:rPr>
          <w:rFonts w:ascii="Times New Roman" w:hAnsi="Times New Roman"/>
        </w:rPr>
        <w:t xml:space="preserve">are no technical or legal obstacles </w:t>
      </w:r>
      <w:r w:rsidRPr="00CB6DD6" w:rsidR="00127980">
        <w:rPr>
          <w:rFonts w:ascii="Times New Roman" w:hAnsi="Times New Roman"/>
        </w:rPr>
        <w:t>to</w:t>
      </w:r>
      <w:r w:rsidRPr="00CB6DD6" w:rsidR="00A45D82">
        <w:rPr>
          <w:rFonts w:ascii="Times New Roman" w:hAnsi="Times New Roman"/>
        </w:rPr>
        <w:t xml:space="preserve"> burden reduction.</w:t>
      </w:r>
    </w:p>
    <w:p w:rsidRPr="00BC7F42" w:rsidR="00A45D82" w:rsidP="00A45D82" w:rsidRDefault="00A45D82" w14:paraId="028DD1EA" w14:textId="77777777">
      <w:pPr>
        <w:rPr>
          <w:rFonts w:ascii="Times New Roman" w:hAnsi="Times New Roman"/>
        </w:rPr>
      </w:pPr>
    </w:p>
    <w:p w:rsidR="00127980" w:rsidP="009E5850" w:rsidRDefault="00A45D82" w14:paraId="15BAAC3E" w14:textId="77777777">
      <w:pPr>
        <w:ind w:left="720"/>
        <w:rPr>
          <w:rFonts w:ascii="Times New Roman" w:hAnsi="Times New Roman"/>
          <w:b/>
        </w:rPr>
      </w:pPr>
      <w:r w:rsidRPr="00127980">
        <w:rPr>
          <w:rFonts w:ascii="Times New Roman" w:hAnsi="Times New Roman"/>
          <w:b/>
        </w:rPr>
        <w:t>7.</w:t>
      </w:r>
      <w:r w:rsidR="009E5850">
        <w:rPr>
          <w:rFonts w:ascii="Times New Roman" w:hAnsi="Times New Roman"/>
          <w:b/>
        </w:rPr>
        <w:tab/>
      </w:r>
      <w:r w:rsidRPr="00BC7F42">
        <w:rPr>
          <w:rFonts w:ascii="Times New Roman" w:hAnsi="Times New Roman"/>
          <w:b/>
        </w:rPr>
        <w:t xml:space="preserve">Special Circumstances </w:t>
      </w:r>
    </w:p>
    <w:p w:rsidRPr="00A3001D" w:rsidR="00A45D82" w:rsidP="009E5850" w:rsidRDefault="00A45D82" w14:paraId="356E7CC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3001D">
        <w:rPr>
          <w:rFonts w:ascii="Times New Roman" w:hAnsi="Times New Roman"/>
          <w:b w:val="0"/>
          <w:i w:val="0"/>
        </w:rPr>
        <w:t xml:space="preserve">There are no special circumstances that would cause </w:t>
      </w:r>
      <w:r w:rsidRPr="00A3001D" w:rsidR="002A4C30">
        <w:rPr>
          <w:rFonts w:ascii="Times New Roman" w:hAnsi="Times New Roman"/>
          <w:b w:val="0"/>
          <w:i w:val="0"/>
        </w:rPr>
        <w:t xml:space="preserve">SSA to conduct this information collection in a manner inconsistent with </w:t>
      </w:r>
      <w:r w:rsidRPr="009E5850">
        <w:rPr>
          <w:rFonts w:ascii="Times New Roman" w:hAnsi="Times New Roman"/>
          <w:b w:val="0"/>
          <w:iCs w:val="0"/>
        </w:rPr>
        <w:t>5 CFR 1320.5</w:t>
      </w:r>
      <w:r w:rsidRPr="00A3001D">
        <w:rPr>
          <w:rFonts w:ascii="Times New Roman" w:hAnsi="Times New Roman"/>
          <w:b w:val="0"/>
          <w:i w:val="0"/>
        </w:rPr>
        <w:t>.</w:t>
      </w:r>
    </w:p>
    <w:p w:rsidRPr="00BC7F42" w:rsidR="00A45D82" w:rsidP="00A45D82" w:rsidRDefault="00A45D82" w14:paraId="6AB595E3" w14:textId="77777777">
      <w:pPr>
        <w:rPr>
          <w:rFonts w:ascii="Times New Roman" w:hAnsi="Times New Roman"/>
          <w:b/>
          <w:i/>
        </w:rPr>
      </w:pPr>
    </w:p>
    <w:p w:rsidR="00A81795" w:rsidP="009E5850" w:rsidRDefault="00A45D82" w14:paraId="53441D20" w14:textId="77777777">
      <w:pPr>
        <w:numPr>
          <w:ilvl w:val="0"/>
          <w:numId w:val="14"/>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A26833" w:rsidP="009E5850" w:rsidRDefault="00E43C4E" w14:paraId="771E3188" w14:textId="77777777">
      <w:pPr>
        <w:ind w:left="1440"/>
        <w:rPr>
          <w:rFonts w:ascii="Times New Roman" w:hAnsi="Times New Roman"/>
        </w:rPr>
      </w:pPr>
      <w:r w:rsidRPr="00E43C4E">
        <w:rPr>
          <w:rFonts w:ascii="Times New Roman" w:hAnsi="Times New Roman"/>
        </w:rPr>
        <w:t>The 60-day advance Federal Register Notice published o</w:t>
      </w:r>
      <w:r w:rsidR="00A26833">
        <w:rPr>
          <w:rFonts w:ascii="Times New Roman" w:hAnsi="Times New Roman"/>
        </w:rPr>
        <w:t xml:space="preserve">n August 23, 2021, </w:t>
      </w:r>
      <w:r w:rsidRPr="00E43C4E">
        <w:rPr>
          <w:rFonts w:ascii="Times New Roman" w:hAnsi="Times New Roman"/>
        </w:rPr>
        <w:t xml:space="preserve">at </w:t>
      </w:r>
    </w:p>
    <w:p w:rsidRPr="00A81795" w:rsidR="00FD549D" w:rsidP="009E5850" w:rsidRDefault="00E43C4E" w14:paraId="5C5F3799" w14:textId="567265D7">
      <w:pPr>
        <w:ind w:left="1440"/>
        <w:rPr>
          <w:rFonts w:ascii="Times New Roman" w:hAnsi="Times New Roman"/>
        </w:rPr>
      </w:pPr>
      <w:r>
        <w:rPr>
          <w:rFonts w:ascii="Times New Roman" w:hAnsi="Times New Roman"/>
        </w:rPr>
        <w:t>86</w:t>
      </w:r>
      <w:r w:rsidRPr="00E43C4E">
        <w:rPr>
          <w:rFonts w:ascii="Times New Roman" w:hAnsi="Times New Roman"/>
        </w:rPr>
        <w:t xml:space="preserve"> FR </w:t>
      </w:r>
      <w:r w:rsidR="00A26833">
        <w:rPr>
          <w:rFonts w:ascii="Times New Roman" w:hAnsi="Times New Roman"/>
        </w:rPr>
        <w:t>47190</w:t>
      </w:r>
      <w:r w:rsidRPr="00E43C4E">
        <w:rPr>
          <w:rFonts w:ascii="Times New Roman" w:hAnsi="Times New Roman"/>
        </w:rPr>
        <w:t xml:space="preserve">, and we received no public comments.  The 30-day FRN published on </w:t>
      </w:r>
      <w:r w:rsidR="00276796">
        <w:rPr>
          <w:rFonts w:ascii="Times New Roman" w:hAnsi="Times New Roman"/>
        </w:rPr>
        <w:t>November 18, 2021</w:t>
      </w:r>
      <w:r w:rsidRPr="00E43C4E">
        <w:rPr>
          <w:rFonts w:ascii="Times New Roman" w:hAnsi="Times New Roman"/>
        </w:rPr>
        <w:t xml:space="preserve"> at</w:t>
      </w:r>
      <w:r w:rsidR="00276796">
        <w:rPr>
          <w:rFonts w:ascii="Times New Roman" w:hAnsi="Times New Roman"/>
        </w:rPr>
        <w:t xml:space="preserve"> 86 FR 64585.</w:t>
      </w:r>
      <w:r w:rsidRPr="00E43C4E">
        <w:rPr>
          <w:rFonts w:ascii="Times New Roman" w:hAnsi="Times New Roman"/>
        </w:rPr>
        <w:t xml:space="preserve">  If we receive any comments in response to this Notice, we will forward them to OMB.  </w:t>
      </w:r>
      <w:r w:rsidRPr="00A81795" w:rsidR="00A81795">
        <w:rPr>
          <w:rFonts w:ascii="Times New Roman" w:hAnsi="Times New Roman"/>
        </w:rPr>
        <w:t>We did not consult with the public in the revision this form</w:t>
      </w:r>
      <w:r w:rsidR="00A81795">
        <w:rPr>
          <w:rFonts w:ascii="Times New Roman" w:hAnsi="Times New Roman"/>
        </w:rPr>
        <w:t xml:space="preserve">.  </w:t>
      </w:r>
      <w:r w:rsidRPr="00A81795" w:rsidR="00A81795">
        <w:rPr>
          <w:rFonts w:ascii="Times New Roman" w:hAnsi="Times New Roman"/>
        </w:rPr>
        <w:t xml:space="preserve"> </w:t>
      </w:r>
    </w:p>
    <w:p w:rsidRPr="00BC7F42" w:rsidR="00A45D82" w:rsidP="00A45D82" w:rsidRDefault="00A45D82" w14:paraId="4BE4D8E6" w14:textId="77777777">
      <w:pPr>
        <w:rPr>
          <w:rFonts w:ascii="Times New Roman" w:hAnsi="Times New Roman"/>
        </w:rPr>
      </w:pPr>
    </w:p>
    <w:p w:rsidR="00640A26" w:rsidP="009E5850" w:rsidRDefault="00A45D82" w14:paraId="2561D41C"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A81795" w:rsidR="00A45D82" w:rsidP="009E5850" w:rsidRDefault="00795BAB" w14:paraId="351306DF" w14:textId="77777777">
      <w:pPr>
        <w:ind w:left="720" w:firstLine="720"/>
        <w:rPr>
          <w:rFonts w:ascii="Times New Roman" w:hAnsi="Times New Roman"/>
        </w:rPr>
      </w:pPr>
      <w:r w:rsidRPr="00A81795">
        <w:rPr>
          <w:rFonts w:ascii="Times New Roman" w:hAnsi="Times New Roman"/>
        </w:rPr>
        <w:t>SSA does not provide payments or gifts</w:t>
      </w:r>
      <w:r w:rsidRPr="00A81795" w:rsidR="00A45D82">
        <w:rPr>
          <w:rFonts w:ascii="Times New Roman" w:hAnsi="Times New Roman"/>
        </w:rPr>
        <w:t xml:space="preserve"> to the respondents. </w:t>
      </w:r>
    </w:p>
    <w:p w:rsidRPr="00BC7F42" w:rsidR="00A45D82" w:rsidP="00A45D82" w:rsidRDefault="00A45D82" w14:paraId="35FB648A" w14:textId="77777777">
      <w:pPr>
        <w:rPr>
          <w:rFonts w:ascii="Times New Roman" w:hAnsi="Times New Roman"/>
        </w:rPr>
      </w:pPr>
    </w:p>
    <w:p w:rsidR="00795BAB" w:rsidP="009E5850" w:rsidRDefault="00A45D82" w14:paraId="084CDF92"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3320F1" w:rsidP="003320F1" w:rsidRDefault="003320F1" w14:paraId="0829AAED" w14:textId="77777777">
      <w:pPr>
        <w:pStyle w:val="ListParagraph"/>
        <w:suppressAutoHyphens/>
        <w:ind w:firstLine="720"/>
        <w:rPr>
          <w:rFonts w:ascii="Times New Roman" w:hAnsi="Times New Roman"/>
        </w:rPr>
      </w:pPr>
      <w:r w:rsidRPr="003E443A">
        <w:rPr>
          <w:rFonts w:ascii="Times New Roman" w:hAnsi="Times New Roman"/>
        </w:rPr>
        <w:t>SSA protects and holds confidential the information it collects in accordance with</w:t>
      </w:r>
    </w:p>
    <w:p w:rsidR="003320F1" w:rsidP="003320F1" w:rsidRDefault="003320F1" w14:paraId="418EF321" w14:textId="77777777">
      <w:pPr>
        <w:pStyle w:val="ListParagraph"/>
        <w:suppressAutoHyphens/>
        <w:ind w:left="1440"/>
        <w:rPr>
          <w:rFonts w:ascii="Times New Roman" w:hAnsi="Times New Roman"/>
        </w:rPr>
      </w:pPr>
      <w:r w:rsidRPr="00BC7F42">
        <w:rPr>
          <w:rFonts w:ascii="Times New Roman" w:hAnsi="Times New Roman"/>
          <w:i/>
        </w:rPr>
        <w:t xml:space="preserve">42 U.S.C. 1306, 20 CFR 401 </w:t>
      </w:r>
      <w:r w:rsidRPr="003E443A">
        <w:rPr>
          <w:rFonts w:ascii="Times New Roman" w:hAnsi="Times New Roman"/>
        </w:rPr>
        <w:t xml:space="preserve">and </w:t>
      </w:r>
      <w:r w:rsidRPr="00BC7F42">
        <w:rPr>
          <w:rFonts w:ascii="Times New Roman" w:hAnsi="Times New Roman"/>
          <w:i/>
        </w:rPr>
        <w:t xml:space="preserve">402, 5 U.S.C. 552 </w:t>
      </w:r>
      <w:r w:rsidRPr="003E443A">
        <w:rPr>
          <w:rFonts w:ascii="Times New Roman" w:hAnsi="Times New Roman"/>
        </w:rPr>
        <w:t>(Freedom of Information Act),</w:t>
      </w:r>
      <w:r>
        <w:rPr>
          <w:rFonts w:ascii="Times New Roman" w:hAnsi="Times New Roman"/>
        </w:rPr>
        <w:t xml:space="preserve"> </w:t>
      </w:r>
      <w:r w:rsidRPr="00BC7F42">
        <w:rPr>
          <w:rFonts w:ascii="Times New Roman" w:hAnsi="Times New Roman"/>
          <w:i/>
        </w:rPr>
        <w:t xml:space="preserve">5 U.S.C. 552a </w:t>
      </w:r>
      <w:r w:rsidRPr="003E443A">
        <w:rPr>
          <w:rFonts w:ascii="Times New Roman" w:hAnsi="Times New Roman"/>
        </w:rPr>
        <w:t>(Privacy Act of 1974), and OMB Circular No. A-130</w:t>
      </w:r>
      <w:r w:rsidRPr="005D1BD8">
        <w:rPr>
          <w:rFonts w:ascii="Times New Roman" w:hAnsi="Times New Roman"/>
        </w:rPr>
        <w:t xml:space="preserve">. </w:t>
      </w:r>
    </w:p>
    <w:p w:rsidR="003320F1" w:rsidP="003320F1" w:rsidRDefault="003320F1" w14:paraId="24121933" w14:textId="77777777">
      <w:pPr>
        <w:pStyle w:val="ListParagraph"/>
        <w:suppressAutoHyphens/>
        <w:rPr>
          <w:rFonts w:ascii="Times New Roman" w:hAnsi="Times New Roman"/>
        </w:rPr>
      </w:pPr>
    </w:p>
    <w:p w:rsidR="00D0011E" w:rsidP="009E5850" w:rsidRDefault="00A45D82" w14:paraId="655D75B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7814DD" w:rsidR="00A45D82" w:rsidP="009E5850" w:rsidRDefault="00A45D82" w14:paraId="4D79020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7814DD">
        <w:rPr>
          <w:rFonts w:ascii="Times New Roman" w:hAnsi="Times New Roman"/>
          <w:b w:val="0"/>
          <w:i w:val="0"/>
        </w:rPr>
        <w:t>The information collection does not contain any questions of a sensitive nature.</w:t>
      </w:r>
    </w:p>
    <w:p w:rsidR="00A45D82" w:rsidP="00A45D82" w:rsidRDefault="00A45D82" w14:paraId="364FDAFA" w14:textId="77777777">
      <w:pPr>
        <w:rPr>
          <w:rFonts w:ascii="Times New Roman" w:hAnsi="Times New Roman"/>
        </w:rPr>
      </w:pPr>
    </w:p>
    <w:p w:rsidR="003320F1" w:rsidP="00A45D82" w:rsidRDefault="003320F1" w14:paraId="30907C24" w14:textId="77777777">
      <w:pPr>
        <w:rPr>
          <w:rFonts w:ascii="Times New Roman" w:hAnsi="Times New Roman"/>
        </w:rPr>
      </w:pPr>
    </w:p>
    <w:p w:rsidR="003320F1" w:rsidP="00A45D82" w:rsidRDefault="003320F1" w14:paraId="31F74A52" w14:textId="77777777">
      <w:pPr>
        <w:rPr>
          <w:rFonts w:ascii="Times New Roman" w:hAnsi="Times New Roman"/>
        </w:rPr>
      </w:pPr>
    </w:p>
    <w:p w:rsidR="003320F1" w:rsidP="00A45D82" w:rsidRDefault="003320F1" w14:paraId="76EAEC13" w14:textId="77777777">
      <w:pPr>
        <w:rPr>
          <w:rFonts w:ascii="Times New Roman" w:hAnsi="Times New Roman"/>
        </w:rPr>
      </w:pPr>
    </w:p>
    <w:p w:rsidRPr="00BC7F42" w:rsidR="003320F1" w:rsidP="00A45D82" w:rsidRDefault="003320F1" w14:paraId="2D6F8F43" w14:textId="77777777">
      <w:pPr>
        <w:rPr>
          <w:rFonts w:ascii="Times New Roman" w:hAnsi="Times New Roman"/>
        </w:rPr>
      </w:pPr>
    </w:p>
    <w:p w:rsidR="003E145C" w:rsidP="009E5850" w:rsidRDefault="00A45D82" w14:paraId="2BD7C8A5"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lastRenderedPageBreak/>
        <w:t>Estimates of Public Reporting Burden</w:t>
      </w:r>
    </w:p>
    <w:p w:rsidR="00F85CF1" w:rsidP="00F85CF1" w:rsidRDefault="00F85CF1" w14:paraId="10392A7A" w14:textId="77777777">
      <w:pPr>
        <w:ind w:left="1440"/>
        <w:rPr>
          <w:rFonts w:ascii="Times New Roman" w:hAnsi="Times New Roman"/>
          <w:b/>
        </w:rPr>
      </w:pPr>
    </w:p>
    <w:tbl>
      <w:tblPr>
        <w:tblW w:w="10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9"/>
        <w:gridCol w:w="1523"/>
        <w:gridCol w:w="1310"/>
        <w:gridCol w:w="1190"/>
        <w:gridCol w:w="1256"/>
        <w:gridCol w:w="1562"/>
        <w:gridCol w:w="1980"/>
      </w:tblGrid>
      <w:tr w:rsidRPr="00F85CF1" w:rsidR="00F85CF1" w:rsidTr="00F85CF1" w14:paraId="01FB47B9" w14:textId="77777777">
        <w:tc>
          <w:tcPr>
            <w:tcW w:w="1709" w:type="dxa"/>
            <w:shd w:val="clear" w:color="auto" w:fill="auto"/>
          </w:tcPr>
          <w:p w:rsidRPr="00F85CF1" w:rsidR="00F85CF1" w:rsidP="00F85CF1" w:rsidRDefault="00F85CF1" w14:paraId="7C1F3733" w14:textId="77777777">
            <w:pPr>
              <w:widowControl/>
              <w:suppressAutoHyphens/>
              <w:rPr>
                <w:rFonts w:ascii="Times New Roman" w:hAnsi="Times New Roman" w:eastAsia="SimSun"/>
                <w:b/>
                <w:snapToGrid/>
                <w:lang w:eastAsia="ar-SA"/>
              </w:rPr>
            </w:pPr>
            <w:r w:rsidRPr="00F85CF1">
              <w:rPr>
                <w:rFonts w:ascii="Times New Roman" w:hAnsi="Times New Roman" w:eastAsia="SimSun"/>
                <w:b/>
                <w:snapToGrid/>
                <w:color w:val="000000"/>
                <w:lang w:eastAsia="ar-SA"/>
              </w:rPr>
              <w:t>Modality of Completion</w:t>
            </w:r>
          </w:p>
        </w:tc>
        <w:tc>
          <w:tcPr>
            <w:tcW w:w="1523" w:type="dxa"/>
            <w:shd w:val="clear" w:color="auto" w:fill="auto"/>
          </w:tcPr>
          <w:p w:rsidRPr="00F85CF1" w:rsidR="00F85CF1" w:rsidP="00F85CF1" w:rsidRDefault="00F85CF1" w14:paraId="54959829" w14:textId="77777777">
            <w:pPr>
              <w:widowControl/>
              <w:suppressAutoHyphens/>
              <w:rPr>
                <w:rFonts w:ascii="Times New Roman" w:hAnsi="Times New Roman" w:eastAsia="SimSun"/>
                <w:b/>
                <w:snapToGrid/>
                <w:lang w:eastAsia="ar-SA"/>
              </w:rPr>
            </w:pPr>
            <w:r w:rsidRPr="00F85CF1">
              <w:rPr>
                <w:rFonts w:ascii="Times New Roman" w:hAnsi="Times New Roman" w:eastAsia="SimSun"/>
                <w:b/>
                <w:snapToGrid/>
                <w:color w:val="000000"/>
                <w:lang w:eastAsia="ar-SA"/>
              </w:rPr>
              <w:t>Number of Respondents</w:t>
            </w:r>
          </w:p>
        </w:tc>
        <w:tc>
          <w:tcPr>
            <w:tcW w:w="1310" w:type="dxa"/>
            <w:shd w:val="clear" w:color="auto" w:fill="auto"/>
          </w:tcPr>
          <w:p w:rsidRPr="00F85CF1" w:rsidR="00F85CF1" w:rsidP="00F85CF1" w:rsidRDefault="00F85CF1" w14:paraId="09FB47D2" w14:textId="77777777">
            <w:pPr>
              <w:widowControl/>
              <w:suppressAutoHyphens/>
              <w:rPr>
                <w:rFonts w:ascii="Times New Roman" w:hAnsi="Times New Roman" w:eastAsia="SimSun"/>
                <w:b/>
                <w:snapToGrid/>
                <w:lang w:eastAsia="ar-SA"/>
              </w:rPr>
            </w:pPr>
            <w:r w:rsidRPr="00F85CF1">
              <w:rPr>
                <w:rFonts w:ascii="Times New Roman" w:hAnsi="Times New Roman" w:eastAsia="SimSun"/>
                <w:b/>
                <w:snapToGrid/>
                <w:color w:val="000000"/>
                <w:lang w:eastAsia="ar-SA"/>
              </w:rPr>
              <w:t>Frequency of Response</w:t>
            </w:r>
          </w:p>
        </w:tc>
        <w:tc>
          <w:tcPr>
            <w:tcW w:w="1190" w:type="dxa"/>
            <w:shd w:val="clear" w:color="auto" w:fill="auto"/>
          </w:tcPr>
          <w:p w:rsidRPr="00F85CF1" w:rsidR="00F85CF1" w:rsidP="00F85CF1" w:rsidRDefault="00F85CF1" w14:paraId="07FEFE7C" w14:textId="77777777">
            <w:pPr>
              <w:widowControl/>
              <w:suppressAutoHyphens/>
              <w:rPr>
                <w:rFonts w:ascii="Times New Roman" w:hAnsi="Times New Roman" w:eastAsia="SimSun"/>
                <w:b/>
                <w:snapToGrid/>
                <w:lang w:eastAsia="ar-SA"/>
              </w:rPr>
            </w:pPr>
            <w:r w:rsidRPr="00F85CF1">
              <w:rPr>
                <w:rFonts w:ascii="Times New Roman" w:hAnsi="Times New Roman" w:eastAsia="SimSun"/>
                <w:b/>
                <w:snapToGrid/>
                <w:lang w:eastAsia="ar-SA"/>
              </w:rPr>
              <w:t>Average Burden Per Response (minutes)</w:t>
            </w:r>
          </w:p>
        </w:tc>
        <w:tc>
          <w:tcPr>
            <w:tcW w:w="1256" w:type="dxa"/>
            <w:shd w:val="clear" w:color="auto" w:fill="auto"/>
          </w:tcPr>
          <w:p w:rsidRPr="00F85CF1" w:rsidR="00F85CF1" w:rsidP="00F85CF1" w:rsidRDefault="00F85CF1" w14:paraId="5C75A18E" w14:textId="77777777">
            <w:pPr>
              <w:widowControl/>
              <w:suppressAutoHyphens/>
              <w:rPr>
                <w:rFonts w:ascii="Times New Roman" w:hAnsi="Times New Roman" w:eastAsia="SimSun"/>
                <w:b/>
                <w:snapToGrid/>
                <w:lang w:eastAsia="ar-SA"/>
              </w:rPr>
            </w:pPr>
            <w:r w:rsidRPr="00F85CF1">
              <w:rPr>
                <w:rFonts w:ascii="Times New Roman" w:hAnsi="Times New Roman" w:eastAsia="SimSun"/>
                <w:b/>
                <w:snapToGrid/>
                <w:color w:val="000000"/>
                <w:lang w:eastAsia="ar-SA"/>
              </w:rPr>
              <w:t>Estimated Total Annual Burden (hours)</w:t>
            </w:r>
          </w:p>
        </w:tc>
        <w:tc>
          <w:tcPr>
            <w:tcW w:w="1562" w:type="dxa"/>
            <w:shd w:val="clear" w:color="auto" w:fill="auto"/>
          </w:tcPr>
          <w:p w:rsidRPr="00F85CF1" w:rsidR="00F85CF1" w:rsidP="00F85CF1" w:rsidRDefault="00F85CF1" w14:paraId="27C39B81" w14:textId="77777777">
            <w:pPr>
              <w:widowControl/>
              <w:suppressAutoHyphens/>
              <w:rPr>
                <w:rFonts w:ascii="Times New Roman" w:hAnsi="Times New Roman" w:eastAsia="SimSun"/>
                <w:b/>
                <w:snapToGrid/>
                <w:lang w:eastAsia="ar-SA"/>
              </w:rPr>
            </w:pPr>
            <w:r w:rsidRPr="00F85CF1">
              <w:rPr>
                <w:rFonts w:ascii="Times New Roman" w:hAnsi="Times New Roman" w:eastAsia="SimSun"/>
                <w:b/>
                <w:snapToGrid/>
                <w:lang w:eastAsia="ar-SA"/>
              </w:rPr>
              <w:t>Average Theoretical Hourly Cost Amount (dollars)*</w:t>
            </w:r>
          </w:p>
        </w:tc>
        <w:tc>
          <w:tcPr>
            <w:tcW w:w="1980" w:type="dxa"/>
            <w:shd w:val="clear" w:color="auto" w:fill="auto"/>
          </w:tcPr>
          <w:p w:rsidRPr="00F85CF1" w:rsidR="00F85CF1" w:rsidP="00F85CF1" w:rsidRDefault="00F85CF1" w14:paraId="16317251" w14:textId="77777777">
            <w:pPr>
              <w:suppressAutoHyphens/>
              <w:contextualSpacing/>
              <w:rPr>
                <w:rFonts w:ascii="Times New Roman" w:hAnsi="Times New Roman" w:eastAsia="Calibri"/>
                <w:b/>
              </w:rPr>
            </w:pPr>
            <w:r w:rsidRPr="00F85CF1">
              <w:rPr>
                <w:rFonts w:ascii="Times New Roman" w:hAnsi="Times New Roman"/>
                <w:b/>
                <w:lang w:eastAsia="ar-SA"/>
              </w:rPr>
              <w:t>Total Annual Opportunity Cost (dollars)**</w:t>
            </w:r>
          </w:p>
        </w:tc>
      </w:tr>
      <w:tr w:rsidRPr="00F85CF1" w:rsidR="00F85CF1" w:rsidTr="00F85CF1" w14:paraId="30CB4975" w14:textId="77777777">
        <w:tc>
          <w:tcPr>
            <w:tcW w:w="1709" w:type="dxa"/>
          </w:tcPr>
          <w:p w:rsidRPr="00F85CF1" w:rsidR="00F85CF1" w:rsidP="00F85CF1" w:rsidRDefault="00F85CF1" w14:paraId="1FFB43D3" w14:textId="77777777">
            <w:pPr>
              <w:widowControl/>
              <w:suppressAutoHyphens/>
              <w:rPr>
                <w:rFonts w:ascii="Times New Roman" w:hAnsi="Times New Roman" w:eastAsia="SimSun"/>
                <w:snapToGrid/>
                <w:lang w:eastAsia="ar-SA"/>
              </w:rPr>
            </w:pPr>
            <w:r w:rsidRPr="00F85CF1">
              <w:rPr>
                <w:rFonts w:ascii="Times New Roman" w:hAnsi="Times New Roman" w:eastAsia="SimSun"/>
                <w:snapToGrid/>
                <w:lang w:eastAsia="ar-SA"/>
              </w:rPr>
              <w:t>State, local, and tribal governments</w:t>
            </w:r>
          </w:p>
        </w:tc>
        <w:tc>
          <w:tcPr>
            <w:tcW w:w="1523" w:type="dxa"/>
          </w:tcPr>
          <w:p w:rsidRPr="00F85CF1" w:rsidR="00F85CF1" w:rsidP="00F85CF1" w:rsidRDefault="00F85CF1" w14:paraId="0565B14D"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139</w:t>
            </w:r>
          </w:p>
        </w:tc>
        <w:tc>
          <w:tcPr>
            <w:tcW w:w="1310" w:type="dxa"/>
          </w:tcPr>
          <w:p w:rsidRPr="00F85CF1" w:rsidR="00F85CF1" w:rsidP="00F85CF1" w:rsidRDefault="00F85CF1" w14:paraId="294F9191"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1</w:t>
            </w:r>
          </w:p>
        </w:tc>
        <w:tc>
          <w:tcPr>
            <w:tcW w:w="1190" w:type="dxa"/>
          </w:tcPr>
          <w:p w:rsidRPr="00F85CF1" w:rsidR="00F85CF1" w:rsidP="00F85CF1" w:rsidRDefault="00F85CF1" w14:paraId="6C904329"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45</w:t>
            </w:r>
          </w:p>
        </w:tc>
        <w:tc>
          <w:tcPr>
            <w:tcW w:w="1256" w:type="dxa"/>
          </w:tcPr>
          <w:p w:rsidRPr="00F85CF1" w:rsidR="00F85CF1" w:rsidP="00F85CF1" w:rsidRDefault="00F85CF1" w14:paraId="756D73C7"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104</w:t>
            </w:r>
          </w:p>
        </w:tc>
        <w:tc>
          <w:tcPr>
            <w:tcW w:w="1562" w:type="dxa"/>
          </w:tcPr>
          <w:p w:rsidRPr="00F85CF1" w:rsidR="00F85CF1" w:rsidP="00F85CF1" w:rsidRDefault="00F85CF1" w14:paraId="02FF8B1D"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$42.85*</w:t>
            </w:r>
          </w:p>
        </w:tc>
        <w:tc>
          <w:tcPr>
            <w:tcW w:w="1980" w:type="dxa"/>
          </w:tcPr>
          <w:p w:rsidRPr="00F85CF1" w:rsidR="00F85CF1" w:rsidP="00F85CF1" w:rsidRDefault="00F85CF1" w14:paraId="208887B7" w14:textId="77777777">
            <w:pPr>
              <w:suppressAutoHyphens/>
              <w:contextualSpacing/>
              <w:jc w:val="right"/>
              <w:rPr>
                <w:rFonts w:ascii="Times New Roman" w:hAnsi="Times New Roman" w:eastAsia="Calibri"/>
              </w:rPr>
            </w:pPr>
            <w:r w:rsidRPr="00F85CF1">
              <w:rPr>
                <w:rFonts w:ascii="Times New Roman" w:hAnsi="Times New Roman" w:eastAsia="SimSun"/>
                <w:snapToGrid/>
                <w:lang w:eastAsia="ar-SA"/>
              </w:rPr>
              <w:t>$4,456**</w:t>
            </w:r>
          </w:p>
        </w:tc>
      </w:tr>
      <w:tr w:rsidRPr="00F85CF1" w:rsidR="00F85CF1" w:rsidTr="00F85CF1" w14:paraId="569C7DE5" w14:textId="77777777">
        <w:tc>
          <w:tcPr>
            <w:tcW w:w="1709" w:type="dxa"/>
          </w:tcPr>
          <w:p w:rsidRPr="00F85CF1" w:rsidR="00F85CF1" w:rsidP="00F85CF1" w:rsidRDefault="00F85CF1" w14:paraId="01CDCD0C" w14:textId="77777777">
            <w:pPr>
              <w:widowControl/>
              <w:suppressAutoHyphens/>
              <w:rPr>
                <w:rFonts w:ascii="Times New Roman" w:hAnsi="Times New Roman" w:eastAsia="SimSun"/>
                <w:snapToGrid/>
                <w:lang w:eastAsia="ar-SA"/>
              </w:rPr>
            </w:pPr>
            <w:r w:rsidRPr="00F85CF1">
              <w:rPr>
                <w:rFonts w:ascii="Times New Roman" w:hAnsi="Times New Roman" w:eastAsia="SimSun"/>
                <w:snapToGrid/>
                <w:lang w:eastAsia="ar-SA"/>
              </w:rPr>
              <w:t>Private sector organizations</w:t>
            </w:r>
          </w:p>
        </w:tc>
        <w:tc>
          <w:tcPr>
            <w:tcW w:w="1523" w:type="dxa"/>
          </w:tcPr>
          <w:p w:rsidRPr="00F85CF1" w:rsidR="00F85CF1" w:rsidP="00F85CF1" w:rsidRDefault="00F85CF1" w14:paraId="4F3FFA09"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74</w:t>
            </w:r>
          </w:p>
        </w:tc>
        <w:tc>
          <w:tcPr>
            <w:tcW w:w="1310" w:type="dxa"/>
          </w:tcPr>
          <w:p w:rsidRPr="00F85CF1" w:rsidR="00F85CF1" w:rsidP="00F85CF1" w:rsidRDefault="00F85CF1" w14:paraId="6467F958"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1</w:t>
            </w:r>
          </w:p>
        </w:tc>
        <w:tc>
          <w:tcPr>
            <w:tcW w:w="1190" w:type="dxa"/>
          </w:tcPr>
          <w:p w:rsidRPr="00F85CF1" w:rsidR="00F85CF1" w:rsidP="00F85CF1" w:rsidRDefault="00F85CF1" w14:paraId="03D5A028"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45</w:t>
            </w:r>
          </w:p>
        </w:tc>
        <w:tc>
          <w:tcPr>
            <w:tcW w:w="1256" w:type="dxa"/>
          </w:tcPr>
          <w:p w:rsidRPr="00F85CF1" w:rsidR="00F85CF1" w:rsidP="00F85CF1" w:rsidRDefault="00F85CF1" w14:paraId="356DC352"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56</w:t>
            </w:r>
          </w:p>
        </w:tc>
        <w:tc>
          <w:tcPr>
            <w:tcW w:w="1562" w:type="dxa"/>
          </w:tcPr>
          <w:p w:rsidRPr="00F85CF1" w:rsidR="00F85CF1" w:rsidP="00F85CF1" w:rsidRDefault="00F85CF1" w14:paraId="4EEB01BF"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snapToGrid/>
                <w:lang w:eastAsia="ar-SA"/>
              </w:rPr>
              <w:t>$42.85*</w:t>
            </w:r>
          </w:p>
        </w:tc>
        <w:tc>
          <w:tcPr>
            <w:tcW w:w="1980" w:type="dxa"/>
          </w:tcPr>
          <w:p w:rsidRPr="00F85CF1" w:rsidR="00F85CF1" w:rsidP="00F85CF1" w:rsidRDefault="00F85CF1" w14:paraId="28AED7E0" w14:textId="77777777">
            <w:pPr>
              <w:suppressAutoHyphens/>
              <w:contextualSpacing/>
              <w:jc w:val="right"/>
              <w:rPr>
                <w:rFonts w:ascii="Times New Roman" w:hAnsi="Times New Roman" w:eastAsia="SimSun"/>
                <w:snapToGrid/>
                <w:lang w:eastAsia="ar-SA"/>
              </w:rPr>
            </w:pPr>
            <w:r w:rsidRPr="00F85CF1">
              <w:rPr>
                <w:rFonts w:ascii="Times New Roman" w:hAnsi="Times New Roman" w:eastAsia="SimSun"/>
                <w:snapToGrid/>
                <w:lang w:eastAsia="ar-SA"/>
              </w:rPr>
              <w:t>$2,400**</w:t>
            </w:r>
          </w:p>
        </w:tc>
      </w:tr>
      <w:tr w:rsidRPr="00F85CF1" w:rsidR="00F85CF1" w:rsidTr="00F85CF1" w14:paraId="27D75B7F" w14:textId="77777777">
        <w:tc>
          <w:tcPr>
            <w:tcW w:w="1709" w:type="dxa"/>
          </w:tcPr>
          <w:p w:rsidRPr="00F85CF1" w:rsidR="00F85CF1" w:rsidP="00F85CF1" w:rsidRDefault="00F85CF1" w14:paraId="4C96AC02" w14:textId="77777777">
            <w:pPr>
              <w:widowControl/>
              <w:suppressAutoHyphens/>
              <w:rPr>
                <w:rFonts w:ascii="Times New Roman" w:hAnsi="Times New Roman" w:eastAsia="SimSun"/>
                <w:snapToGrid/>
                <w:lang w:eastAsia="ar-SA"/>
              </w:rPr>
            </w:pPr>
            <w:r w:rsidRPr="00F85CF1">
              <w:rPr>
                <w:rFonts w:ascii="Times New Roman" w:hAnsi="Times New Roman" w:eastAsia="SimSun"/>
                <w:b/>
                <w:snapToGrid/>
                <w:lang w:eastAsia="ar-SA"/>
              </w:rPr>
              <w:t>Totals</w:t>
            </w:r>
          </w:p>
        </w:tc>
        <w:tc>
          <w:tcPr>
            <w:tcW w:w="1523" w:type="dxa"/>
          </w:tcPr>
          <w:p w:rsidRPr="00F85CF1" w:rsidR="00F85CF1" w:rsidP="00F85CF1" w:rsidRDefault="00F85CF1" w14:paraId="4B519F32"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b/>
                <w:snapToGrid/>
                <w:lang w:eastAsia="ar-SA"/>
              </w:rPr>
              <w:t>213</w:t>
            </w:r>
          </w:p>
        </w:tc>
        <w:tc>
          <w:tcPr>
            <w:tcW w:w="1310" w:type="dxa"/>
          </w:tcPr>
          <w:p w:rsidRPr="00F85CF1" w:rsidR="00F85CF1" w:rsidP="00F85CF1" w:rsidRDefault="00F85CF1" w14:paraId="15550C2C" w14:textId="77777777">
            <w:pPr>
              <w:widowControl/>
              <w:suppressAutoHyphens/>
              <w:jc w:val="right"/>
              <w:rPr>
                <w:rFonts w:ascii="Times New Roman" w:hAnsi="Times New Roman" w:eastAsia="SimSun"/>
                <w:snapToGrid/>
                <w:lang w:eastAsia="ar-SA"/>
              </w:rPr>
            </w:pPr>
          </w:p>
        </w:tc>
        <w:tc>
          <w:tcPr>
            <w:tcW w:w="1190" w:type="dxa"/>
          </w:tcPr>
          <w:p w:rsidRPr="00F85CF1" w:rsidR="00F85CF1" w:rsidP="00F85CF1" w:rsidRDefault="00F85CF1" w14:paraId="7AC0A0A3" w14:textId="77777777">
            <w:pPr>
              <w:widowControl/>
              <w:suppressAutoHyphens/>
              <w:jc w:val="right"/>
              <w:rPr>
                <w:rFonts w:ascii="Times New Roman" w:hAnsi="Times New Roman" w:eastAsia="SimSun"/>
                <w:snapToGrid/>
                <w:lang w:eastAsia="ar-SA"/>
              </w:rPr>
            </w:pPr>
          </w:p>
        </w:tc>
        <w:tc>
          <w:tcPr>
            <w:tcW w:w="1256" w:type="dxa"/>
          </w:tcPr>
          <w:p w:rsidRPr="00F85CF1" w:rsidR="00F85CF1" w:rsidP="00F85CF1" w:rsidRDefault="00F85CF1" w14:paraId="4ADF974F" w14:textId="77777777">
            <w:pPr>
              <w:widowControl/>
              <w:suppressAutoHyphens/>
              <w:jc w:val="right"/>
              <w:rPr>
                <w:rFonts w:ascii="Times New Roman" w:hAnsi="Times New Roman" w:eastAsia="SimSun"/>
                <w:snapToGrid/>
                <w:lang w:eastAsia="ar-SA"/>
              </w:rPr>
            </w:pPr>
            <w:r w:rsidRPr="00F85CF1">
              <w:rPr>
                <w:rFonts w:ascii="Times New Roman" w:hAnsi="Times New Roman" w:eastAsia="SimSun"/>
                <w:b/>
                <w:snapToGrid/>
                <w:lang w:eastAsia="ar-SA"/>
              </w:rPr>
              <w:t>160</w:t>
            </w:r>
          </w:p>
        </w:tc>
        <w:tc>
          <w:tcPr>
            <w:tcW w:w="1562" w:type="dxa"/>
          </w:tcPr>
          <w:p w:rsidRPr="00F85CF1" w:rsidR="00F85CF1" w:rsidP="00F85CF1" w:rsidRDefault="00F85CF1" w14:paraId="7EBC828B" w14:textId="77777777">
            <w:pPr>
              <w:widowControl/>
              <w:suppressAutoHyphens/>
              <w:jc w:val="right"/>
              <w:rPr>
                <w:rFonts w:ascii="Times New Roman" w:hAnsi="Times New Roman" w:eastAsia="SimSun"/>
                <w:snapToGrid/>
                <w:lang w:eastAsia="ar-SA"/>
              </w:rPr>
            </w:pPr>
          </w:p>
        </w:tc>
        <w:tc>
          <w:tcPr>
            <w:tcW w:w="1980" w:type="dxa"/>
          </w:tcPr>
          <w:p w:rsidRPr="00F85CF1" w:rsidR="00F85CF1" w:rsidP="00F85CF1" w:rsidRDefault="00F85CF1" w14:paraId="20E90E53" w14:textId="77777777">
            <w:pPr>
              <w:suppressAutoHyphens/>
              <w:contextualSpacing/>
              <w:jc w:val="right"/>
              <w:rPr>
                <w:rFonts w:ascii="Times New Roman" w:hAnsi="Times New Roman" w:eastAsia="SimSun"/>
                <w:snapToGrid/>
                <w:lang w:eastAsia="ar-SA"/>
              </w:rPr>
            </w:pPr>
            <w:r w:rsidRPr="00F85CF1">
              <w:rPr>
                <w:rFonts w:ascii="Times New Roman" w:hAnsi="Times New Roman" w:eastAsia="SimSun"/>
                <w:b/>
                <w:snapToGrid/>
                <w:lang w:eastAsia="ar-SA"/>
              </w:rPr>
              <w:t>$6,856**</w:t>
            </w:r>
          </w:p>
        </w:tc>
      </w:tr>
    </w:tbl>
    <w:p w:rsidR="0049640F" w:rsidP="0049640F" w:rsidRDefault="00A26833" w14:paraId="0BDDECB5" w14:textId="77777777">
      <w:pPr>
        <w:widowControl/>
        <w:tabs>
          <w:tab w:val="left" w:pos="1080"/>
          <w:tab w:val="left" w:pos="1440"/>
        </w:tabs>
        <w:suppressAutoHyphens/>
        <w:ind w:left="1800" w:hanging="360"/>
        <w:rPr>
          <w:rFonts w:ascii="Times New Roman" w:hAnsi="Times New Roman" w:eastAsia="SimSun"/>
          <w:snapToGrid/>
          <w:color w:val="000000"/>
          <w:lang w:eastAsia="zh-CN"/>
        </w:rPr>
      </w:pPr>
      <w:r>
        <w:rPr>
          <w:rFonts w:ascii="Times New Roman" w:hAnsi="Times New Roman" w:eastAsia="SimSun"/>
          <w:snapToGrid/>
          <w:lang w:eastAsia="zh-CN"/>
        </w:rPr>
        <w:t>*</w:t>
      </w:r>
      <w:r w:rsidRPr="0049640F" w:rsidR="0049640F">
        <w:rPr>
          <w:rFonts w:ascii="Times New Roman" w:hAnsi="Times New Roman" w:eastAsia="SimSun"/>
          <w:snapToGrid/>
          <w:lang w:eastAsia="zh-CN"/>
        </w:rPr>
        <w:t xml:space="preserve">We based this figure on the average Management Analyst hourly </w:t>
      </w:r>
      <w:r w:rsidRPr="0049640F" w:rsidR="0049640F">
        <w:rPr>
          <w:rFonts w:ascii="Times New Roman" w:hAnsi="Times New Roman" w:eastAsia="SimSun"/>
          <w:snapToGrid/>
          <w:color w:val="000000"/>
          <w:lang w:eastAsia="zh-CN"/>
        </w:rPr>
        <w:t>salary, as</w:t>
      </w:r>
    </w:p>
    <w:p w:rsidR="0049640F" w:rsidP="0049640F" w:rsidRDefault="0049640F" w14:paraId="5BCE9FDD" w14:textId="77777777">
      <w:pPr>
        <w:widowControl/>
        <w:tabs>
          <w:tab w:val="left" w:pos="1080"/>
          <w:tab w:val="left" w:pos="1440"/>
        </w:tabs>
        <w:suppressAutoHyphens/>
        <w:ind w:left="1440" w:hanging="360"/>
        <w:rPr>
          <w:rFonts w:ascii="Times New Roman" w:hAnsi="Times New Roman" w:eastAsia="SimSun"/>
          <w:snapToGrid/>
          <w:color w:val="000000"/>
          <w:lang w:eastAsia="zh-CN"/>
        </w:rPr>
      </w:pPr>
      <w:r>
        <w:rPr>
          <w:rFonts w:ascii="Times New Roman" w:hAnsi="Times New Roman" w:eastAsia="SimSun"/>
          <w:snapToGrid/>
          <w:color w:val="000000"/>
          <w:lang w:eastAsia="zh-CN"/>
        </w:rPr>
        <w:tab/>
      </w:r>
      <w:r w:rsidRPr="0049640F">
        <w:rPr>
          <w:rFonts w:ascii="Times New Roman" w:hAnsi="Times New Roman" w:eastAsia="SimSun"/>
          <w:snapToGrid/>
          <w:color w:val="000000"/>
          <w:lang w:eastAsia="zh-CN"/>
        </w:rPr>
        <w:t>reported by Bureau of Labor Statistics data (</w:t>
      </w:r>
      <w:hyperlink w:history="1" r:id="rId9">
        <w:r w:rsidRPr="0049640F">
          <w:rPr>
            <w:rFonts w:ascii="Times New Roman" w:hAnsi="Times New Roman" w:eastAsia="SimSun"/>
            <w:snapToGrid/>
            <w:color w:val="0000FF"/>
            <w:u w:val="single"/>
            <w:lang w:eastAsia="zh-CN"/>
          </w:rPr>
          <w:t>www.bls.gov/oes/current/oes131111.htm</w:t>
        </w:r>
      </w:hyperlink>
      <w:r w:rsidRPr="0049640F">
        <w:rPr>
          <w:rFonts w:ascii="Times New Roman" w:hAnsi="Times New Roman" w:eastAsia="SimSun"/>
          <w:snapToGrid/>
          <w:color w:val="000000"/>
          <w:lang w:eastAsia="zh-CN"/>
        </w:rPr>
        <w:t>); the average Business and Financial Operations hourly salary (</w:t>
      </w:r>
      <w:hyperlink w:history="1" r:id="rId10">
        <w:r w:rsidRPr="0049640F">
          <w:rPr>
            <w:rFonts w:ascii="Times New Roman" w:hAnsi="Times New Roman" w:eastAsia="SimSun"/>
            <w:snapToGrid/>
            <w:color w:val="0000FF"/>
            <w:u w:val="single"/>
            <w:lang w:eastAsia="zh-CN"/>
          </w:rPr>
          <w:t>www.bls.gov/oes/current/oes130000.htm</w:t>
        </w:r>
      </w:hyperlink>
      <w:r w:rsidRPr="0049640F">
        <w:rPr>
          <w:rFonts w:ascii="Times New Roman" w:hAnsi="Times New Roman" w:eastAsia="SimSun"/>
          <w:snapToGrid/>
          <w:color w:val="000000"/>
          <w:lang w:eastAsia="zh-CN"/>
        </w:rPr>
        <w:t>); and the average Epidemiologist hourly salary (</w:t>
      </w:r>
      <w:hyperlink w:history="1" r:id="rId11">
        <w:r w:rsidRPr="0049640F">
          <w:rPr>
            <w:rFonts w:ascii="Times New Roman" w:hAnsi="Times New Roman" w:eastAsia="SimSun"/>
            <w:snapToGrid/>
            <w:color w:val="0000FF"/>
            <w:u w:val="single"/>
            <w:lang w:eastAsia="zh-CN"/>
          </w:rPr>
          <w:t>www.bls.gov/oes/current/oes191041.htm</w:t>
        </w:r>
      </w:hyperlink>
      <w:r w:rsidRPr="0049640F">
        <w:rPr>
          <w:rFonts w:ascii="Times New Roman" w:hAnsi="Times New Roman" w:eastAsia="SimSun"/>
          <w:snapToGrid/>
          <w:color w:val="000000"/>
          <w:lang w:eastAsia="zh-CN"/>
        </w:rPr>
        <w:t>)</w:t>
      </w:r>
      <w:r>
        <w:rPr>
          <w:rFonts w:ascii="Times New Roman" w:hAnsi="Times New Roman" w:eastAsia="SimSun"/>
          <w:snapToGrid/>
          <w:color w:val="000000"/>
          <w:lang w:eastAsia="zh-CN"/>
        </w:rPr>
        <w:t>.</w:t>
      </w:r>
    </w:p>
    <w:p w:rsidRPr="0049640F" w:rsidR="0049640F" w:rsidP="0049640F" w:rsidRDefault="0049640F" w14:paraId="20D7BF66" w14:textId="77777777">
      <w:pPr>
        <w:widowControl/>
        <w:tabs>
          <w:tab w:val="left" w:pos="1080"/>
          <w:tab w:val="left" w:pos="1440"/>
        </w:tabs>
        <w:suppressAutoHyphens/>
        <w:ind w:left="1440" w:hanging="360"/>
        <w:rPr>
          <w:rFonts w:ascii="Times New Roman" w:hAnsi="Times New Roman" w:eastAsia="SimSun"/>
          <w:snapToGrid/>
          <w:color w:val="000000"/>
          <w:lang w:eastAsia="zh-CN"/>
        </w:rPr>
      </w:pPr>
    </w:p>
    <w:p w:rsidRPr="0049640F" w:rsidR="0049640F" w:rsidP="0049640F" w:rsidRDefault="0049640F" w14:paraId="0FD664EE" w14:textId="77777777">
      <w:pPr>
        <w:widowControl/>
        <w:tabs>
          <w:tab w:val="left" w:pos="1080"/>
          <w:tab w:val="left" w:pos="1800"/>
        </w:tabs>
        <w:suppressAutoHyphens/>
        <w:ind w:left="1440"/>
        <w:rPr>
          <w:rFonts w:ascii="Times New Roman" w:hAnsi="Times New Roman" w:eastAsia="SimSun"/>
          <w:snapToGrid/>
          <w:lang w:eastAsia="zh-CN"/>
        </w:rPr>
      </w:pPr>
      <w:r w:rsidRPr="0049640F">
        <w:rPr>
          <w:rFonts w:ascii="Times New Roman" w:hAnsi="Times New Roman" w:eastAsia="SimSu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9640F">
        <w:rPr>
          <w:rFonts w:ascii="Times New Roman" w:hAnsi="Times New Roman" w:eastAsia="SimSun"/>
          <w:b/>
          <w:snapToGrid/>
          <w:u w:val="single"/>
          <w:lang w:eastAsia="zh-CN"/>
        </w:rPr>
        <w:t>There is no actual charge to respondents to complete the application</w:t>
      </w:r>
      <w:r w:rsidRPr="0049640F">
        <w:rPr>
          <w:rFonts w:ascii="Times New Roman" w:hAnsi="Times New Roman" w:eastAsia="SimSun"/>
          <w:snapToGrid/>
          <w:lang w:eastAsia="zh-CN"/>
        </w:rPr>
        <w:t>.</w:t>
      </w:r>
    </w:p>
    <w:p w:rsidR="007D38B3" w:rsidP="009E5850" w:rsidRDefault="007D38B3" w14:paraId="2EEAACC5" w14:textId="77777777">
      <w:pPr>
        <w:ind w:left="1440"/>
        <w:rPr>
          <w:rFonts w:ascii="Times New Roman" w:hAnsi="Times New Roman"/>
        </w:rPr>
      </w:pPr>
    </w:p>
    <w:p w:rsidR="00E43C4E" w:rsidP="0049640F" w:rsidRDefault="009E5850" w14:paraId="7BF2BEC8" w14:textId="486309D7">
      <w:pPr>
        <w:pStyle w:val="ListParagraph"/>
        <w:tabs>
          <w:tab w:val="left" w:pos="720"/>
        </w:tabs>
        <w:ind w:left="1440" w:hanging="360"/>
        <w:rPr>
          <w:rFonts w:ascii="Times New Roman" w:hAnsi="Times New Roman"/>
        </w:rPr>
      </w:pPr>
      <w:bookmarkStart w:name="_Hlk75507070" w:id="0"/>
      <w:r>
        <w:rPr>
          <w:rFonts w:ascii="Times New Roman" w:hAnsi="Times New Roman" w:eastAsia="Calibri"/>
          <w:color w:val="000000"/>
        </w:rPr>
        <w:tab/>
      </w:r>
      <w:r w:rsidRPr="00455EE0" w:rsidR="00E43C4E">
        <w:rPr>
          <w:rFonts w:ascii="Times New Roman" w:hAnsi="Times New Roman" w:eastAsia="Calibri"/>
          <w:color w:val="000000"/>
        </w:rPr>
        <w:t>We base our burden estimates on current management information data, which</w:t>
      </w:r>
      <w:r w:rsidR="00E43C4E">
        <w:rPr>
          <w:rFonts w:ascii="Times New Roman" w:hAnsi="Times New Roman" w:eastAsia="Calibri"/>
          <w:color w:val="000000"/>
        </w:rPr>
        <w:t xml:space="preserve"> </w:t>
      </w:r>
      <w:r w:rsidRPr="00455EE0" w:rsidR="00E43C4E">
        <w:rPr>
          <w:rFonts w:ascii="Times New Roman" w:hAnsi="Times New Roman" w:eastAsia="Calibri"/>
          <w:color w:val="000000"/>
        </w:rPr>
        <w:t xml:space="preserve">includes data from actual interviews, as well as from years of conducting this information collection.  Per our management information data, we believe that </w:t>
      </w:r>
      <w:r w:rsidR="00E43C4E">
        <w:rPr>
          <w:rFonts w:ascii="Times New Roman" w:hAnsi="Times New Roman" w:eastAsia="Calibri"/>
          <w:color w:val="000000"/>
        </w:rPr>
        <w:t>the average time in minutes listed in the chart above</w:t>
      </w:r>
      <w:r w:rsidRPr="00455EE0" w:rsidR="00E43C4E">
        <w:rPr>
          <w:rFonts w:ascii="Times New Roman" w:hAnsi="Times New Roman" w:eastAsia="Calibri"/>
          <w:color w:val="000000"/>
        </w:rPr>
        <w:t xml:space="preserve"> accurately show</w:t>
      </w:r>
      <w:r w:rsidR="00E43C4E">
        <w:rPr>
          <w:rFonts w:ascii="Times New Roman" w:hAnsi="Times New Roman" w:eastAsia="Calibri"/>
          <w:color w:val="000000"/>
        </w:rPr>
        <w:t xml:space="preserve">s </w:t>
      </w:r>
      <w:r w:rsidRPr="00455EE0" w:rsidR="00E43C4E">
        <w:rPr>
          <w:rFonts w:ascii="Times New Roman" w:hAnsi="Times New Roman" w:eastAsia="Calibri"/>
          <w:color w:val="000000"/>
        </w:rPr>
        <w:t xml:space="preserve">the average burden per response for reading the </w:t>
      </w:r>
      <w:r w:rsidRPr="00455EE0" w:rsidR="00E43C4E">
        <w:rPr>
          <w:rFonts w:ascii="Times New Roman" w:hAnsi="Times New Roman" w:eastAsia="Calibri"/>
        </w:rPr>
        <w:t>instructions, gathering the facts, and answering the questions</w:t>
      </w:r>
      <w:r w:rsidR="0015127E">
        <w:rPr>
          <w:rFonts w:ascii="Times New Roman" w:hAnsi="Times New Roman" w:eastAsia="Calibri"/>
          <w:color w:val="000000"/>
        </w:rPr>
        <w:t xml:space="preserve">.  </w:t>
      </w:r>
      <w:r w:rsidRPr="00455EE0" w:rsidR="00E43C4E">
        <w:rPr>
          <w:rFonts w:ascii="Times New Roman" w:hAnsi="Times New Roman" w:eastAsia="Calibri"/>
          <w:color w:val="000000"/>
        </w:rPr>
        <w:t>Based on our current management information data, the current burden information we provided is accurate</w:t>
      </w:r>
      <w:bookmarkEnd w:id="0"/>
      <w:r w:rsidRPr="00455EE0" w:rsidR="00E43C4E">
        <w:rPr>
          <w:rFonts w:ascii="Times New Roman" w:hAnsi="Times New Roman" w:eastAsia="Calibri"/>
          <w:color w:val="000000"/>
        </w:rPr>
        <w:t xml:space="preserve">.  </w:t>
      </w:r>
      <w:r w:rsidRPr="00455EE0" w:rsidR="00E43C4E">
        <w:rPr>
          <w:rFonts w:ascii="Times New Roman" w:hAnsi="Times New Roman"/>
        </w:rPr>
        <w:t>The</w:t>
      </w:r>
      <w:r w:rsidRPr="002F73DF" w:rsidR="00E43C4E">
        <w:rPr>
          <w:rFonts w:ascii="Times New Roman" w:hAnsi="Times New Roman"/>
        </w:rPr>
        <w:t xml:space="preserve"> total burden for this ICR is </w:t>
      </w:r>
      <w:r w:rsidR="006E0CDE">
        <w:rPr>
          <w:rFonts w:ascii="Times New Roman" w:hAnsi="Times New Roman"/>
          <w:b/>
          <w:bCs/>
        </w:rPr>
        <w:t xml:space="preserve">106 </w:t>
      </w:r>
      <w:r w:rsidRPr="00F32977" w:rsidR="00E43C4E">
        <w:rPr>
          <w:rFonts w:ascii="Times New Roman" w:hAnsi="Times New Roman"/>
        </w:rPr>
        <w:t xml:space="preserve">burden hours (reflecting SSA management information data), which results in an associated theoretical (not actual) opportunity cost financial burden of </w:t>
      </w:r>
      <w:r w:rsidRPr="00F32977" w:rsidR="00E43C4E">
        <w:rPr>
          <w:rFonts w:ascii="Times New Roman" w:hAnsi="Times New Roman"/>
          <w:b/>
        </w:rPr>
        <w:t>$</w:t>
      </w:r>
      <w:r w:rsidR="006E0CDE">
        <w:rPr>
          <w:rFonts w:ascii="Times New Roman" w:hAnsi="Times New Roman"/>
          <w:b/>
        </w:rPr>
        <w:t>6,856</w:t>
      </w:r>
      <w:r w:rsidRPr="00F32977" w:rsidR="00E43C4E">
        <w:rPr>
          <w:rFonts w:ascii="Times New Roman" w:hAnsi="Times New Roman"/>
        </w:rPr>
        <w:t xml:space="preserve">.  SSA does not charge respondents to complete our applications. </w:t>
      </w:r>
    </w:p>
    <w:p w:rsidRPr="003B15EC" w:rsidR="003B15EC" w:rsidP="0049640F" w:rsidRDefault="00DF3A5E" w14:paraId="2A8DE7DB" w14:textId="77777777">
      <w:pPr>
        <w:pStyle w:val="ListParagraph"/>
        <w:ind w:left="1440"/>
        <w:rPr>
          <w:rFonts w:ascii="Times New Roman" w:hAnsi="Times New Roman"/>
          <w:b/>
          <w:u w:val="single"/>
        </w:rPr>
      </w:pPr>
      <w:r>
        <w:rPr>
          <w:rFonts w:ascii="Times New Roman" w:hAnsi="Times New Roman"/>
        </w:rPr>
        <w:t xml:space="preserve"> </w:t>
      </w:r>
    </w:p>
    <w:p w:rsidRPr="00BC7F42" w:rsidR="00A45D82" w:rsidP="009E5850" w:rsidRDefault="00A45D82" w14:paraId="2104974D" w14:textId="77777777">
      <w:pPr>
        <w:ind w:left="720"/>
        <w:rPr>
          <w:rFonts w:ascii="Times New Roman" w:hAnsi="Times New Roman"/>
        </w:rPr>
      </w:pPr>
      <w:r w:rsidRPr="009E5850">
        <w:rPr>
          <w:rFonts w:ascii="Times New Roman" w:hAnsi="Times New Roman"/>
          <w:bCs/>
        </w:rPr>
        <w:t>13</w:t>
      </w:r>
      <w:r w:rsidR="009E5850">
        <w:rPr>
          <w:rFonts w:ascii="Times New Roman" w:hAnsi="Times New Roman"/>
          <w:bCs/>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001E46" w:rsidR="00A45D82" w:rsidP="009E5850" w:rsidRDefault="00121032" w14:paraId="482D172D" w14:textId="77777777">
      <w:pPr>
        <w:ind w:left="720" w:firstLine="720"/>
        <w:rPr>
          <w:rFonts w:ascii="Times New Roman" w:hAnsi="Times New Roman"/>
        </w:rPr>
      </w:pPr>
      <w:r w:rsidRPr="00001E46">
        <w:rPr>
          <w:rFonts w:ascii="Times New Roman" w:hAnsi="Times New Roman"/>
        </w:rPr>
        <w:t xml:space="preserve">This collection does not impose a known cost burden </w:t>
      </w:r>
      <w:r w:rsidRPr="00001E46" w:rsidR="00AC39FD">
        <w:rPr>
          <w:rFonts w:ascii="Times New Roman" w:hAnsi="Times New Roman"/>
        </w:rPr>
        <w:t>on</w:t>
      </w:r>
      <w:r w:rsidRPr="00001E46">
        <w:rPr>
          <w:rFonts w:ascii="Times New Roman" w:hAnsi="Times New Roman"/>
        </w:rPr>
        <w:t xml:space="preserve"> the respondents. </w:t>
      </w:r>
      <w:r w:rsidRPr="00001E46" w:rsidR="00A45D82">
        <w:rPr>
          <w:rFonts w:ascii="Times New Roman" w:hAnsi="Times New Roman"/>
        </w:rPr>
        <w:t xml:space="preserve">  </w:t>
      </w:r>
    </w:p>
    <w:p w:rsidRPr="00BC7F42" w:rsidR="00A45D82" w:rsidP="00A45D82" w:rsidRDefault="00A45D82" w14:paraId="04DEE7A7" w14:textId="77777777">
      <w:pPr>
        <w:rPr>
          <w:rFonts w:ascii="Times New Roman" w:hAnsi="Times New Roman"/>
        </w:rPr>
      </w:pPr>
    </w:p>
    <w:p w:rsidRPr="00121032" w:rsidR="00121032" w:rsidP="009E5850" w:rsidRDefault="00A45D82" w14:paraId="76699E06"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proofErr w:type="gramStart"/>
      <w:r w:rsidRPr="00BC7F42">
        <w:rPr>
          <w:rFonts w:ascii="Times New Roman" w:hAnsi="Times New Roman"/>
          <w:b/>
        </w:rPr>
        <w:t>To</w:t>
      </w:r>
      <w:proofErr w:type="gramEnd"/>
      <w:r w:rsidRPr="00BC7F42">
        <w:rPr>
          <w:rFonts w:ascii="Times New Roman" w:hAnsi="Times New Roman"/>
          <w:b/>
        </w:rPr>
        <w:t xml:space="preserve"> Federal Government</w:t>
      </w:r>
    </w:p>
    <w:p w:rsidR="00E0439D" w:rsidP="009E5850" w:rsidRDefault="00E0439D" w14:paraId="4CE03A66" w14:textId="77777777">
      <w:pPr>
        <w:ind w:left="1440"/>
        <w:rPr>
          <w:rFonts w:ascii="Times New Roman" w:hAnsi="Times New Roman"/>
          <w:color w:val="000000"/>
        </w:rPr>
      </w:pPr>
      <w:r w:rsidRPr="0047588F">
        <w:rPr>
          <w:rFonts w:ascii="Times New Roman" w:hAnsi="Times New Roman"/>
          <w:color w:val="000000"/>
        </w:rPr>
        <w:t>The annual cost to the Federal Government is approximately $</w:t>
      </w:r>
      <w:r w:rsidR="00A26833">
        <w:rPr>
          <w:rFonts w:ascii="Times New Roman" w:hAnsi="Times New Roman"/>
          <w:b/>
          <w:bCs/>
          <w:color w:val="000000"/>
        </w:rPr>
        <w:t>213,323</w:t>
      </w:r>
      <w:r w:rsidRPr="0047588F">
        <w:rPr>
          <w:rFonts w:ascii="Times New Roman" w:hAnsi="Times New Roman"/>
          <w:color w:val="000000"/>
        </w:rPr>
        <w:t>.  This estimate accounts for costs from the following areas:</w:t>
      </w:r>
    </w:p>
    <w:tbl>
      <w:tblPr>
        <w:tblW w:w="8118" w:type="dxa"/>
        <w:tblInd w:w="1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9"/>
        <w:gridCol w:w="2968"/>
        <w:gridCol w:w="2921"/>
      </w:tblGrid>
      <w:tr w:rsidR="00E0439D" w:rsidTr="009E5850" w14:paraId="5BF08059" w14:textId="77777777">
        <w:tc>
          <w:tcPr>
            <w:tcW w:w="2229" w:type="dxa"/>
            <w:shd w:val="clear" w:color="auto" w:fill="auto"/>
          </w:tcPr>
          <w:p w:rsidRPr="00B201D9" w:rsidR="00E0439D" w:rsidP="00B201D9" w:rsidRDefault="00E0439D" w14:paraId="512D3C63" w14:textId="77777777">
            <w:pPr>
              <w:pStyle w:val="ListParagraph"/>
              <w:ind w:left="0"/>
              <w:rPr>
                <w:rFonts w:ascii="Times New Roman" w:hAnsi="Times New Roman"/>
                <w:b/>
                <w:bCs/>
                <w:color w:val="000000"/>
              </w:rPr>
            </w:pPr>
            <w:r w:rsidRPr="00B201D9">
              <w:rPr>
                <w:rFonts w:ascii="Times New Roman" w:hAnsi="Times New Roman"/>
                <w:b/>
                <w:bCs/>
                <w:color w:val="000000"/>
              </w:rPr>
              <w:t>Description of Cost Factor</w:t>
            </w:r>
          </w:p>
        </w:tc>
        <w:tc>
          <w:tcPr>
            <w:tcW w:w="2968" w:type="dxa"/>
            <w:shd w:val="clear" w:color="auto" w:fill="auto"/>
          </w:tcPr>
          <w:p w:rsidRPr="00B201D9" w:rsidR="00E0439D" w:rsidP="00B201D9" w:rsidRDefault="00E0439D" w14:paraId="4F7279EE" w14:textId="77777777">
            <w:pPr>
              <w:pStyle w:val="ListParagraph"/>
              <w:ind w:left="0"/>
              <w:rPr>
                <w:rFonts w:ascii="Times New Roman" w:hAnsi="Times New Roman"/>
                <w:b/>
                <w:bCs/>
                <w:color w:val="000000"/>
              </w:rPr>
            </w:pPr>
            <w:r w:rsidRPr="00B201D9">
              <w:rPr>
                <w:rFonts w:ascii="Times New Roman" w:hAnsi="Times New Roman"/>
                <w:b/>
                <w:bCs/>
                <w:color w:val="000000"/>
              </w:rPr>
              <w:t>Methodology for Estimating Cost</w:t>
            </w:r>
          </w:p>
        </w:tc>
        <w:tc>
          <w:tcPr>
            <w:tcW w:w="2921" w:type="dxa"/>
            <w:shd w:val="clear" w:color="auto" w:fill="auto"/>
          </w:tcPr>
          <w:p w:rsidRPr="00B201D9" w:rsidR="00E0439D" w:rsidP="00B201D9" w:rsidRDefault="00E0439D" w14:paraId="75BC82BD" w14:textId="77777777">
            <w:pPr>
              <w:pStyle w:val="ListParagraph"/>
              <w:ind w:left="0"/>
              <w:rPr>
                <w:rFonts w:ascii="Times New Roman" w:hAnsi="Times New Roman"/>
                <w:b/>
                <w:bCs/>
                <w:color w:val="000000"/>
              </w:rPr>
            </w:pPr>
            <w:r w:rsidRPr="00B201D9">
              <w:rPr>
                <w:rFonts w:ascii="Times New Roman" w:hAnsi="Times New Roman"/>
                <w:b/>
                <w:bCs/>
                <w:color w:val="000000"/>
              </w:rPr>
              <w:t>Cost in Dollars*</w:t>
            </w:r>
          </w:p>
        </w:tc>
      </w:tr>
      <w:tr w:rsidR="00E0439D" w:rsidTr="009E5850" w14:paraId="6797BB80" w14:textId="77777777">
        <w:tc>
          <w:tcPr>
            <w:tcW w:w="2229" w:type="dxa"/>
            <w:shd w:val="clear" w:color="auto" w:fill="auto"/>
          </w:tcPr>
          <w:p w:rsidRPr="00B201D9" w:rsidR="00E0439D" w:rsidP="00B201D9" w:rsidRDefault="00E0439D" w14:paraId="3478C18E" w14:textId="77777777">
            <w:pPr>
              <w:pStyle w:val="ListParagraph"/>
              <w:ind w:left="0"/>
              <w:rPr>
                <w:rFonts w:ascii="Times New Roman" w:hAnsi="Times New Roman"/>
                <w:color w:val="000000"/>
              </w:rPr>
            </w:pPr>
            <w:r w:rsidRPr="00B201D9">
              <w:rPr>
                <w:rFonts w:ascii="Times New Roman" w:hAnsi="Times New Roman"/>
                <w:color w:val="000000"/>
              </w:rPr>
              <w:t>Designing and Printing the Form</w:t>
            </w:r>
          </w:p>
        </w:tc>
        <w:tc>
          <w:tcPr>
            <w:tcW w:w="2968" w:type="dxa"/>
            <w:shd w:val="clear" w:color="auto" w:fill="auto"/>
          </w:tcPr>
          <w:p w:rsidRPr="00B201D9" w:rsidR="00E0439D" w:rsidP="00B201D9" w:rsidRDefault="00E0439D" w14:paraId="17A63BA8" w14:textId="77777777">
            <w:pPr>
              <w:pStyle w:val="ListParagraph"/>
              <w:ind w:left="0"/>
              <w:rPr>
                <w:rFonts w:ascii="Times New Roman" w:hAnsi="Times New Roman"/>
                <w:color w:val="000000"/>
              </w:rPr>
            </w:pPr>
            <w:r w:rsidRPr="00430538">
              <w:rPr>
                <w:rFonts w:ascii="Times New Roman" w:hAnsi="Times New Roman"/>
                <w:color w:val="000000"/>
              </w:rPr>
              <w:t>Design</w:t>
            </w:r>
            <w:r w:rsidRPr="00B201D9">
              <w:rPr>
                <w:rFonts w:ascii="Times New Roman" w:hAnsi="Times New Roman"/>
                <w:color w:val="000000"/>
              </w:rPr>
              <w:t xml:space="preserve"> Cost + Printing Cost</w:t>
            </w:r>
          </w:p>
        </w:tc>
        <w:tc>
          <w:tcPr>
            <w:tcW w:w="2921" w:type="dxa"/>
            <w:shd w:val="clear" w:color="auto" w:fill="auto"/>
          </w:tcPr>
          <w:p w:rsidRPr="00B201D9" w:rsidR="00BB3DE2" w:rsidP="009E5850" w:rsidRDefault="004522EA" w14:paraId="5F4B520E" w14:textId="77777777">
            <w:pPr>
              <w:pStyle w:val="ListParagraph"/>
              <w:ind w:left="0"/>
              <w:jc w:val="right"/>
              <w:rPr>
                <w:rFonts w:ascii="Times New Roman" w:hAnsi="Times New Roman"/>
                <w:color w:val="000000"/>
              </w:rPr>
            </w:pPr>
            <w:r>
              <w:rPr>
                <w:rFonts w:ascii="Times New Roman" w:hAnsi="Times New Roman"/>
                <w:color w:val="000000"/>
              </w:rPr>
              <w:t>$375</w:t>
            </w:r>
          </w:p>
        </w:tc>
      </w:tr>
      <w:tr w:rsidR="00E0439D" w:rsidTr="009E5850" w14:paraId="0E68EB2E" w14:textId="77777777">
        <w:tc>
          <w:tcPr>
            <w:tcW w:w="2229" w:type="dxa"/>
            <w:shd w:val="clear" w:color="auto" w:fill="auto"/>
          </w:tcPr>
          <w:p w:rsidRPr="00B201D9" w:rsidR="00E0439D" w:rsidP="00B201D9" w:rsidRDefault="00E0439D" w14:paraId="4301043A" w14:textId="77777777">
            <w:pPr>
              <w:pStyle w:val="ListParagraph"/>
              <w:ind w:left="0"/>
              <w:rPr>
                <w:rFonts w:ascii="Times New Roman" w:hAnsi="Times New Roman"/>
                <w:color w:val="000000"/>
              </w:rPr>
            </w:pPr>
            <w:r w:rsidRPr="00B201D9">
              <w:rPr>
                <w:rFonts w:ascii="Times New Roman" w:hAnsi="Times New Roman"/>
                <w:color w:val="000000"/>
              </w:rPr>
              <w:lastRenderedPageBreak/>
              <w:t>Distributing, Shipping, and Material Costs for the Form</w:t>
            </w:r>
          </w:p>
        </w:tc>
        <w:tc>
          <w:tcPr>
            <w:tcW w:w="2968" w:type="dxa"/>
            <w:shd w:val="clear" w:color="auto" w:fill="auto"/>
          </w:tcPr>
          <w:p w:rsidRPr="00B201D9" w:rsidR="00E0439D" w:rsidP="00B201D9" w:rsidRDefault="00E0439D" w14:paraId="190C0009" w14:textId="77777777">
            <w:pPr>
              <w:pStyle w:val="ListParagraph"/>
              <w:ind w:left="0"/>
              <w:rPr>
                <w:rFonts w:ascii="Times New Roman" w:hAnsi="Times New Roman"/>
                <w:color w:val="000000"/>
              </w:rPr>
            </w:pPr>
            <w:r w:rsidRPr="00B201D9">
              <w:rPr>
                <w:rFonts w:ascii="Times New Roman" w:hAnsi="Times New Roman"/>
                <w:color w:val="000000"/>
              </w:rPr>
              <w:t>Distribution + Shipping + Material Cost</w:t>
            </w:r>
          </w:p>
        </w:tc>
        <w:tc>
          <w:tcPr>
            <w:tcW w:w="2921" w:type="dxa"/>
            <w:shd w:val="clear" w:color="auto" w:fill="auto"/>
          </w:tcPr>
          <w:p w:rsidRPr="00B201D9" w:rsidR="00E0439D" w:rsidP="009E5850" w:rsidRDefault="009740C8" w14:paraId="7C6A2060" w14:textId="4221F4B1">
            <w:pPr>
              <w:pStyle w:val="ListParagraph"/>
              <w:ind w:left="0"/>
              <w:jc w:val="right"/>
              <w:rPr>
                <w:rFonts w:ascii="Times New Roman" w:hAnsi="Times New Roman"/>
                <w:color w:val="000000"/>
              </w:rPr>
            </w:pPr>
            <w:r>
              <w:rPr>
                <w:rFonts w:ascii="Times New Roman" w:hAnsi="Times New Roman"/>
                <w:color w:val="000000"/>
              </w:rPr>
              <w:t>$0</w:t>
            </w:r>
            <w:r w:rsidR="006E0CDE">
              <w:rPr>
                <w:rFonts w:ascii="Times New Roman" w:hAnsi="Times New Roman"/>
                <w:color w:val="000000"/>
              </w:rPr>
              <w:t>*</w:t>
            </w:r>
          </w:p>
        </w:tc>
      </w:tr>
      <w:tr w:rsidR="00E0439D" w:rsidTr="009E5850" w14:paraId="2E607F65" w14:textId="77777777">
        <w:tc>
          <w:tcPr>
            <w:tcW w:w="2229" w:type="dxa"/>
            <w:shd w:val="clear" w:color="auto" w:fill="auto"/>
          </w:tcPr>
          <w:p w:rsidRPr="00B201D9" w:rsidR="00E0439D" w:rsidP="002F7127" w:rsidRDefault="00E0439D" w14:paraId="6A12F131" w14:textId="77777777">
            <w:pPr>
              <w:pStyle w:val="ListParagraph"/>
              <w:ind w:left="0"/>
              <w:rPr>
                <w:rFonts w:ascii="Times New Roman" w:hAnsi="Times New Roman"/>
                <w:color w:val="000000"/>
              </w:rPr>
            </w:pPr>
            <w:r w:rsidRPr="00B201D9">
              <w:rPr>
                <w:rFonts w:ascii="Times New Roman" w:hAnsi="Times New Roman"/>
                <w:color w:val="000000"/>
              </w:rPr>
              <w:t xml:space="preserve">SSA Employee (e.g., </w:t>
            </w:r>
            <w:r w:rsidR="002F7127">
              <w:rPr>
                <w:rFonts w:ascii="Times New Roman" w:hAnsi="Times New Roman"/>
                <w:color w:val="000000"/>
              </w:rPr>
              <w:t>data exchange liaison, OGC staff DCS staff) I</w:t>
            </w:r>
            <w:r w:rsidRPr="00B201D9">
              <w:rPr>
                <w:rFonts w:ascii="Times New Roman" w:hAnsi="Times New Roman"/>
                <w:color w:val="000000"/>
              </w:rPr>
              <w:t>nformation Collection and Processing Time</w:t>
            </w:r>
          </w:p>
        </w:tc>
        <w:tc>
          <w:tcPr>
            <w:tcW w:w="2968" w:type="dxa"/>
            <w:shd w:val="clear" w:color="auto" w:fill="auto"/>
          </w:tcPr>
          <w:p w:rsidRPr="00B201D9" w:rsidR="00E0439D" w:rsidP="009740C8" w:rsidRDefault="0049640F" w14:paraId="73BBC874"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921" w:type="dxa"/>
            <w:shd w:val="clear" w:color="auto" w:fill="auto"/>
          </w:tcPr>
          <w:p w:rsidRPr="00B201D9" w:rsidR="00E0439D" w:rsidP="009E5850" w:rsidRDefault="009740C8" w14:paraId="0605FA50" w14:textId="77777777">
            <w:pPr>
              <w:pStyle w:val="ListParagraph"/>
              <w:ind w:left="0"/>
              <w:jc w:val="right"/>
              <w:rPr>
                <w:rFonts w:ascii="Times New Roman" w:hAnsi="Times New Roman"/>
                <w:color w:val="000000"/>
              </w:rPr>
            </w:pPr>
            <w:r>
              <w:rPr>
                <w:rFonts w:ascii="Times New Roman" w:hAnsi="Times New Roman"/>
                <w:color w:val="000000"/>
              </w:rPr>
              <w:t>$</w:t>
            </w:r>
            <w:r w:rsidR="0049640F">
              <w:rPr>
                <w:rFonts w:ascii="Times New Roman" w:hAnsi="Times New Roman"/>
                <w:color w:val="000000"/>
              </w:rPr>
              <w:t>209,528</w:t>
            </w:r>
          </w:p>
        </w:tc>
      </w:tr>
      <w:tr w:rsidR="00E0439D" w:rsidTr="009E5850" w14:paraId="41811204" w14:textId="77777777">
        <w:tc>
          <w:tcPr>
            <w:tcW w:w="2229" w:type="dxa"/>
            <w:shd w:val="clear" w:color="auto" w:fill="auto"/>
          </w:tcPr>
          <w:p w:rsidRPr="00B201D9" w:rsidR="00E0439D" w:rsidP="00B201D9" w:rsidRDefault="00E0439D" w14:paraId="4703FF3C" w14:textId="77777777">
            <w:pPr>
              <w:pStyle w:val="ListParagraph"/>
              <w:ind w:left="0"/>
              <w:rPr>
                <w:rFonts w:ascii="Times New Roman" w:hAnsi="Times New Roman"/>
                <w:color w:val="000000"/>
              </w:rPr>
            </w:pPr>
            <w:r w:rsidRPr="00B201D9">
              <w:rPr>
                <w:rFonts w:ascii="Times New Roman" w:hAnsi="Times New Roman"/>
                <w:color w:val="000000"/>
              </w:rPr>
              <w:t>Full-Time Equivalent Costs</w:t>
            </w:r>
          </w:p>
        </w:tc>
        <w:tc>
          <w:tcPr>
            <w:tcW w:w="2968" w:type="dxa"/>
            <w:shd w:val="clear" w:color="auto" w:fill="auto"/>
          </w:tcPr>
          <w:p w:rsidRPr="00B201D9" w:rsidR="00E0439D" w:rsidP="00B201D9" w:rsidRDefault="00E0439D" w14:paraId="7F638DD0" w14:textId="77777777">
            <w:pPr>
              <w:pStyle w:val="ListParagraph"/>
              <w:ind w:left="0"/>
              <w:rPr>
                <w:rFonts w:ascii="Times New Roman" w:hAnsi="Times New Roman"/>
                <w:color w:val="000000"/>
              </w:rPr>
            </w:pPr>
            <w:r w:rsidRPr="00B201D9">
              <w:rPr>
                <w:rFonts w:ascii="Times New Roman" w:hAnsi="Times New Roman"/>
                <w:color w:val="000000"/>
              </w:rPr>
              <w:t>Out of pocket costs + Other expenses for providing this service</w:t>
            </w:r>
          </w:p>
        </w:tc>
        <w:tc>
          <w:tcPr>
            <w:tcW w:w="2921" w:type="dxa"/>
            <w:shd w:val="clear" w:color="auto" w:fill="auto"/>
          </w:tcPr>
          <w:p w:rsidRPr="00B201D9" w:rsidR="00E0439D" w:rsidP="009E5850" w:rsidRDefault="009740C8" w14:paraId="29446FC8" w14:textId="2BB51108">
            <w:pPr>
              <w:pStyle w:val="ListParagraph"/>
              <w:ind w:left="0"/>
              <w:jc w:val="right"/>
              <w:rPr>
                <w:rFonts w:ascii="Times New Roman" w:hAnsi="Times New Roman"/>
                <w:color w:val="000000"/>
              </w:rPr>
            </w:pPr>
            <w:r>
              <w:rPr>
                <w:rFonts w:ascii="Times New Roman" w:hAnsi="Times New Roman"/>
                <w:color w:val="000000"/>
              </w:rPr>
              <w:t>$0</w:t>
            </w:r>
            <w:r w:rsidR="006E0CDE">
              <w:rPr>
                <w:rFonts w:ascii="Times New Roman" w:hAnsi="Times New Roman"/>
                <w:color w:val="000000"/>
              </w:rPr>
              <w:t>*</w:t>
            </w:r>
          </w:p>
        </w:tc>
      </w:tr>
      <w:tr w:rsidR="00E0439D" w:rsidTr="009E5850" w14:paraId="2CDF4872" w14:textId="77777777">
        <w:tc>
          <w:tcPr>
            <w:tcW w:w="2229" w:type="dxa"/>
            <w:shd w:val="clear" w:color="auto" w:fill="auto"/>
          </w:tcPr>
          <w:p w:rsidRPr="00B201D9" w:rsidR="00E0439D" w:rsidP="00B201D9" w:rsidRDefault="00E0439D" w14:paraId="0F9CEC70" w14:textId="77777777">
            <w:pPr>
              <w:pStyle w:val="ListParagraph"/>
              <w:ind w:left="0"/>
              <w:rPr>
                <w:rFonts w:ascii="Times New Roman" w:hAnsi="Times New Roman"/>
                <w:color w:val="000000"/>
              </w:rPr>
            </w:pPr>
            <w:r w:rsidRPr="00B201D9">
              <w:rPr>
                <w:rFonts w:ascii="Times New Roman" w:hAnsi="Times New Roman"/>
                <w:color w:val="000000"/>
              </w:rPr>
              <w:t>Systems Development, Updating, and Maintenance</w:t>
            </w:r>
          </w:p>
        </w:tc>
        <w:tc>
          <w:tcPr>
            <w:tcW w:w="2968" w:type="dxa"/>
            <w:shd w:val="clear" w:color="auto" w:fill="auto"/>
          </w:tcPr>
          <w:p w:rsidRPr="00B201D9" w:rsidR="00E0439D" w:rsidP="00B201D9" w:rsidRDefault="00E0439D" w14:paraId="12273505" w14:textId="77777777">
            <w:pPr>
              <w:pStyle w:val="ListParagraph"/>
              <w:ind w:left="0"/>
              <w:rPr>
                <w:rFonts w:ascii="Times New Roman" w:hAnsi="Times New Roman"/>
                <w:color w:val="000000"/>
              </w:rPr>
            </w:pPr>
            <w:r w:rsidRPr="00B201D9">
              <w:rPr>
                <w:rFonts w:ascii="Times New Roman" w:hAnsi="Times New Roman"/>
                <w:color w:val="000000"/>
              </w:rPr>
              <w:t>GS-9 employee x man hours for development, updating, maintenance</w:t>
            </w:r>
          </w:p>
        </w:tc>
        <w:tc>
          <w:tcPr>
            <w:tcW w:w="2921" w:type="dxa"/>
            <w:shd w:val="clear" w:color="auto" w:fill="auto"/>
          </w:tcPr>
          <w:p w:rsidRPr="00B201D9" w:rsidR="00E0439D" w:rsidP="009E5850" w:rsidRDefault="009740C8" w14:paraId="0529BA5E" w14:textId="77777777">
            <w:pPr>
              <w:pStyle w:val="ListParagraph"/>
              <w:ind w:left="0"/>
              <w:jc w:val="right"/>
              <w:rPr>
                <w:rFonts w:ascii="Times New Roman" w:hAnsi="Times New Roman"/>
                <w:color w:val="000000"/>
              </w:rPr>
            </w:pPr>
            <w:r>
              <w:rPr>
                <w:rFonts w:ascii="Times New Roman" w:hAnsi="Times New Roman"/>
                <w:color w:val="000000"/>
              </w:rPr>
              <w:t>$</w:t>
            </w:r>
            <w:r w:rsidR="002F5AE2">
              <w:rPr>
                <w:rFonts w:ascii="Times New Roman" w:hAnsi="Times New Roman"/>
                <w:color w:val="000000"/>
              </w:rPr>
              <w:t>3</w:t>
            </w:r>
            <w:r w:rsidR="0049640F">
              <w:rPr>
                <w:rFonts w:ascii="Times New Roman" w:hAnsi="Times New Roman"/>
                <w:color w:val="000000"/>
              </w:rPr>
              <w:t>,</w:t>
            </w:r>
            <w:r w:rsidR="002F5AE2">
              <w:rPr>
                <w:rFonts w:ascii="Times New Roman" w:hAnsi="Times New Roman"/>
                <w:color w:val="000000"/>
              </w:rPr>
              <w:t>420</w:t>
            </w:r>
          </w:p>
        </w:tc>
      </w:tr>
      <w:tr w:rsidR="00E0439D" w:rsidTr="009E5850" w14:paraId="43B41DDC" w14:textId="77777777">
        <w:tc>
          <w:tcPr>
            <w:tcW w:w="2229" w:type="dxa"/>
            <w:shd w:val="clear" w:color="auto" w:fill="auto"/>
          </w:tcPr>
          <w:p w:rsidRPr="00B201D9" w:rsidR="00E0439D" w:rsidP="00B201D9" w:rsidRDefault="00E0439D" w14:paraId="0CEAFBE8" w14:textId="77777777">
            <w:pPr>
              <w:pStyle w:val="ListParagraph"/>
              <w:ind w:left="0"/>
              <w:rPr>
                <w:rFonts w:ascii="Times New Roman" w:hAnsi="Times New Roman"/>
                <w:color w:val="000000"/>
              </w:rPr>
            </w:pPr>
            <w:r w:rsidRPr="00B201D9">
              <w:rPr>
                <w:rFonts w:ascii="Times New Roman" w:hAnsi="Times New Roman"/>
                <w:color w:val="000000"/>
              </w:rPr>
              <w:t>Quantifiable IT Costs</w:t>
            </w:r>
          </w:p>
        </w:tc>
        <w:tc>
          <w:tcPr>
            <w:tcW w:w="2968" w:type="dxa"/>
            <w:shd w:val="clear" w:color="auto" w:fill="auto"/>
          </w:tcPr>
          <w:p w:rsidRPr="00B201D9" w:rsidR="00E0439D" w:rsidP="00B201D9" w:rsidRDefault="00E0439D" w14:paraId="2DCEB97E" w14:textId="77777777">
            <w:pPr>
              <w:pStyle w:val="ListParagraph"/>
              <w:ind w:left="0"/>
              <w:rPr>
                <w:rFonts w:ascii="Times New Roman" w:hAnsi="Times New Roman"/>
                <w:color w:val="000000"/>
              </w:rPr>
            </w:pPr>
            <w:r w:rsidRPr="00B201D9">
              <w:rPr>
                <w:rFonts w:ascii="Times New Roman" w:hAnsi="Times New Roman"/>
                <w:color w:val="000000"/>
              </w:rPr>
              <w:t>Any additional IT costs</w:t>
            </w:r>
          </w:p>
        </w:tc>
        <w:tc>
          <w:tcPr>
            <w:tcW w:w="2921" w:type="dxa"/>
            <w:shd w:val="clear" w:color="auto" w:fill="auto"/>
          </w:tcPr>
          <w:p w:rsidRPr="00B201D9" w:rsidR="00E0439D" w:rsidP="009E5850" w:rsidRDefault="009E5850" w14:paraId="6EAED1D0" w14:textId="1DC6D8F4">
            <w:pPr>
              <w:pStyle w:val="ListParagraph"/>
              <w:ind w:left="0"/>
              <w:jc w:val="right"/>
              <w:rPr>
                <w:rFonts w:ascii="Times New Roman" w:hAnsi="Times New Roman"/>
                <w:color w:val="000000"/>
              </w:rPr>
            </w:pPr>
            <w:r>
              <w:rPr>
                <w:rFonts w:ascii="Times New Roman" w:hAnsi="Times New Roman"/>
                <w:color w:val="000000"/>
              </w:rPr>
              <w:t>$0</w:t>
            </w:r>
            <w:r w:rsidR="006E0CDE">
              <w:rPr>
                <w:rFonts w:ascii="Times New Roman" w:hAnsi="Times New Roman"/>
                <w:color w:val="000000"/>
              </w:rPr>
              <w:t>*</w:t>
            </w:r>
          </w:p>
        </w:tc>
      </w:tr>
      <w:tr w:rsidR="00E0439D" w:rsidTr="009E5850" w14:paraId="7CDEA7BF" w14:textId="77777777">
        <w:tc>
          <w:tcPr>
            <w:tcW w:w="2229" w:type="dxa"/>
            <w:shd w:val="clear" w:color="auto" w:fill="auto"/>
          </w:tcPr>
          <w:p w:rsidRPr="00B201D9" w:rsidR="00E0439D" w:rsidP="00B201D9" w:rsidRDefault="00E0439D" w14:paraId="6FEA6027" w14:textId="77777777">
            <w:pPr>
              <w:pStyle w:val="ListParagraph"/>
              <w:ind w:left="0"/>
              <w:rPr>
                <w:rFonts w:ascii="Times New Roman" w:hAnsi="Times New Roman"/>
                <w:b/>
                <w:bCs/>
                <w:color w:val="000000"/>
              </w:rPr>
            </w:pPr>
            <w:r w:rsidRPr="00B201D9">
              <w:rPr>
                <w:rFonts w:ascii="Times New Roman" w:hAnsi="Times New Roman"/>
                <w:b/>
                <w:bCs/>
                <w:color w:val="000000"/>
              </w:rPr>
              <w:t>Total</w:t>
            </w:r>
          </w:p>
        </w:tc>
        <w:tc>
          <w:tcPr>
            <w:tcW w:w="2968" w:type="dxa"/>
            <w:shd w:val="clear" w:color="auto" w:fill="auto"/>
          </w:tcPr>
          <w:p w:rsidRPr="00B201D9" w:rsidR="00E0439D" w:rsidP="00B201D9" w:rsidRDefault="00E0439D" w14:paraId="0D77B334" w14:textId="77777777">
            <w:pPr>
              <w:pStyle w:val="ListParagraph"/>
              <w:ind w:left="0"/>
              <w:rPr>
                <w:rFonts w:ascii="Times New Roman" w:hAnsi="Times New Roman"/>
                <w:b/>
                <w:bCs/>
                <w:color w:val="000000"/>
              </w:rPr>
            </w:pPr>
          </w:p>
        </w:tc>
        <w:tc>
          <w:tcPr>
            <w:tcW w:w="2921" w:type="dxa"/>
            <w:shd w:val="clear" w:color="auto" w:fill="auto"/>
          </w:tcPr>
          <w:p w:rsidRPr="00B201D9" w:rsidR="00E0439D" w:rsidP="009E5850" w:rsidRDefault="00F82B54" w14:paraId="44228F42" w14:textId="77777777">
            <w:pPr>
              <w:pStyle w:val="ListParagraph"/>
              <w:ind w:left="0"/>
              <w:jc w:val="right"/>
              <w:rPr>
                <w:rFonts w:ascii="Times New Roman" w:hAnsi="Times New Roman"/>
                <w:b/>
                <w:bCs/>
                <w:color w:val="000000"/>
              </w:rPr>
            </w:pPr>
            <w:r>
              <w:rPr>
                <w:rFonts w:ascii="Times New Roman" w:hAnsi="Times New Roman"/>
                <w:b/>
                <w:bCs/>
                <w:color w:val="000000"/>
              </w:rPr>
              <w:t>$</w:t>
            </w:r>
            <w:r w:rsidR="0049640F">
              <w:rPr>
                <w:rFonts w:ascii="Times New Roman" w:hAnsi="Times New Roman"/>
                <w:b/>
                <w:bCs/>
                <w:color w:val="000000"/>
              </w:rPr>
              <w:t>213,323</w:t>
            </w:r>
          </w:p>
        </w:tc>
      </w:tr>
    </w:tbl>
    <w:p w:rsidR="00E0439D" w:rsidP="009E5850" w:rsidRDefault="00E0439D" w14:paraId="04D64340"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44417A" w:rsidP="009E5850" w:rsidRDefault="0044417A" w14:paraId="76F8808C" w14:textId="77777777">
      <w:pPr>
        <w:ind w:left="1440"/>
        <w:rPr>
          <w:rFonts w:ascii="Times New Roman" w:hAnsi="Times New Roman"/>
          <w:color w:val="000000"/>
        </w:rPr>
      </w:pPr>
    </w:p>
    <w:p w:rsidR="00E0439D" w:rsidP="009E5850" w:rsidRDefault="00E0439D" w14:paraId="2ADEA147" w14:textId="219ADD69">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In addition, it is difficult for us to break down the cost for processing a single form, as the time it takes to do so can vary greatly per respondent.  As well, because so many employees have a hand in each aspect of our forms, we use an estimated average hourly wage, based on the wage of our average </w:t>
      </w:r>
      <w:r w:rsidR="002F7127">
        <w:rPr>
          <w:rFonts w:ascii="Times New Roman" w:hAnsi="Times New Roman"/>
          <w:color w:val="000000"/>
        </w:rPr>
        <w:t>GS-13 management analyst</w:t>
      </w:r>
      <w:r>
        <w:rPr>
          <w:rFonts w:ascii="Times New Roman" w:hAnsi="Times New Roman"/>
          <w:color w:val="000000"/>
        </w:rPr>
        <w:t xml:space="preserve"> for these calculations.</w:t>
      </w:r>
      <w:r w:rsidR="00877AC5">
        <w:rPr>
          <w:rFonts w:ascii="Times New Roman" w:hAnsi="Times New Roman"/>
          <w:color w:val="000000"/>
        </w:rPr>
        <w:t xml:space="preserve">  </w:t>
      </w:r>
      <w:r>
        <w:rPr>
          <w:rFonts w:ascii="Times New Roman" w:hAnsi="Times New Roman"/>
          <w:color w:val="000000"/>
        </w:rPr>
        <w:t>However, we have calculated these costs as accurately as possible based on the information we collect for creating, updating, and maintaining these information collections.</w:t>
      </w:r>
    </w:p>
    <w:p w:rsidRPr="00BC7F42" w:rsidR="00A45D82" w:rsidP="00BF4955" w:rsidRDefault="00A45D82" w14:paraId="39DDEF05" w14:textId="77777777">
      <w:pPr>
        <w:rPr>
          <w:rFonts w:ascii="Times New Roman" w:hAnsi="Times New Roman"/>
          <w:i/>
        </w:rPr>
      </w:pPr>
    </w:p>
    <w:p w:rsidR="00063A05" w:rsidP="009E5850" w:rsidRDefault="00A45D82" w14:paraId="12275E92" w14:textId="77777777">
      <w:pPr>
        <w:ind w:left="720" w:firstLine="90"/>
        <w:rPr>
          <w:rFonts w:ascii="Times New Roman" w:hAnsi="Times New Roman"/>
          <w:b/>
        </w:rPr>
      </w:pPr>
      <w:r w:rsidRPr="009E5850">
        <w:rPr>
          <w:rFonts w:ascii="Times New Roman" w:hAnsi="Times New Roman"/>
          <w:bCs/>
        </w:rPr>
        <w:t>15.</w:t>
      </w:r>
      <w:r w:rsidRPr="009E5850" w:rsidR="009E5850">
        <w:rPr>
          <w:rFonts w:ascii="Times New Roman" w:hAnsi="Times New Roman"/>
          <w:bCs/>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F73328" w:rsidP="00E214FA" w:rsidRDefault="00B1614B" w14:paraId="0B63D305" w14:textId="77777777">
      <w:pPr>
        <w:ind w:left="1440"/>
        <w:rPr>
          <w:rFonts w:ascii="Times New Roman" w:hAnsi="Times New Roman"/>
        </w:rPr>
      </w:pPr>
      <w:r w:rsidRPr="00C76064">
        <w:rPr>
          <w:rFonts w:ascii="Times New Roman" w:hAnsi="Times New Roman"/>
        </w:rPr>
        <w:t>When</w:t>
      </w:r>
      <w:r w:rsidRPr="00C76064" w:rsidR="00B83B2D">
        <w:rPr>
          <w:rFonts w:ascii="Times New Roman" w:hAnsi="Times New Roman"/>
        </w:rPr>
        <w:t xml:space="preserve"> we last cleared this IC in 2018</w:t>
      </w:r>
      <w:r w:rsidRPr="00C76064">
        <w:rPr>
          <w:rFonts w:ascii="Times New Roman" w:hAnsi="Times New Roman"/>
        </w:rPr>
        <w:t xml:space="preserve">, the burden was </w:t>
      </w:r>
      <w:r w:rsidRPr="00C76064" w:rsidR="00B83B2D">
        <w:rPr>
          <w:rFonts w:ascii="Times New Roman" w:hAnsi="Times New Roman"/>
        </w:rPr>
        <w:t>73</w:t>
      </w:r>
      <w:r w:rsidRPr="00C76064">
        <w:rPr>
          <w:rFonts w:ascii="Times New Roman" w:hAnsi="Times New Roman"/>
        </w:rPr>
        <w:t xml:space="preserve"> hours.  However, we are currently reporting a burden of </w:t>
      </w:r>
      <w:r w:rsidR="00191870">
        <w:rPr>
          <w:rFonts w:ascii="Times New Roman" w:hAnsi="Times New Roman"/>
        </w:rPr>
        <w:t>160</w:t>
      </w:r>
      <w:r w:rsidRPr="00C76064">
        <w:rPr>
          <w:rFonts w:ascii="Times New Roman" w:hAnsi="Times New Roman"/>
        </w:rPr>
        <w:t xml:space="preserve"> hours.  </w:t>
      </w:r>
      <w:r w:rsidR="00F73328">
        <w:rPr>
          <w:rFonts w:ascii="Times New Roman" w:hAnsi="Times New Roman"/>
        </w:rPr>
        <w:t>This change stems from</w:t>
      </w:r>
      <w:r w:rsidR="00191870">
        <w:rPr>
          <w:rFonts w:ascii="Times New Roman" w:hAnsi="Times New Roman"/>
        </w:rPr>
        <w:t xml:space="preserve"> an increase in respondents requ</w:t>
      </w:r>
      <w:r w:rsidR="00F73328">
        <w:rPr>
          <w:rFonts w:ascii="Times New Roman" w:hAnsi="Times New Roman"/>
        </w:rPr>
        <w:t>esting to use</w:t>
      </w:r>
      <w:r w:rsidR="00191870">
        <w:rPr>
          <w:rFonts w:ascii="Times New Roman" w:hAnsi="Times New Roman"/>
        </w:rPr>
        <w:t xml:space="preserve"> Form</w:t>
      </w:r>
      <w:r w:rsidR="00F73328">
        <w:rPr>
          <w:rFonts w:ascii="Times New Roman" w:hAnsi="Times New Roman"/>
        </w:rPr>
        <w:t xml:space="preserve"> SSA-157.  In addition, there has been an increase in the burden time per response by 15 minutes to allow for respond corrections after SSA initial review</w:t>
      </w:r>
      <w:r w:rsidR="006A0669">
        <w:rPr>
          <w:rFonts w:ascii="Times New Roman" w:hAnsi="Times New Roman"/>
        </w:rPr>
        <w:t>.</w:t>
      </w:r>
    </w:p>
    <w:p w:rsidRPr="00605D67" w:rsidR="00F73328" w:rsidP="00F73328" w:rsidRDefault="00F73328" w14:paraId="0FA32157" w14:textId="77777777">
      <w:pPr>
        <w:pStyle w:val="NoSpacing"/>
        <w:ind w:left="720"/>
        <w:rPr>
          <w:i/>
        </w:rPr>
      </w:pPr>
    </w:p>
    <w:p w:rsidRPr="00106537" w:rsidR="003B30B4" w:rsidP="00E214FA" w:rsidRDefault="00A45D82" w14:paraId="0042B4C4" w14:textId="77777777">
      <w:pPr>
        <w:ind w:left="720"/>
        <w:rPr>
          <w:rFonts w:ascii="Times New Roman" w:hAnsi="Times New Roman"/>
        </w:rPr>
      </w:pPr>
      <w:r w:rsidRPr="00E214FA">
        <w:rPr>
          <w:rFonts w:ascii="Times New Roman" w:hAnsi="Times New Roman"/>
          <w:bCs/>
        </w:rPr>
        <w:t>16</w:t>
      </w:r>
      <w:r w:rsidRPr="003B30B4">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r w:rsidR="003B30B4">
        <w:t xml:space="preserve"> </w:t>
      </w:r>
    </w:p>
    <w:p w:rsidRPr="00106537" w:rsidR="003B30B4" w:rsidP="00E214FA" w:rsidRDefault="003B30B4" w14:paraId="1A1D727C" w14:textId="77777777">
      <w:pPr>
        <w:pStyle w:val="NoSpacing"/>
        <w:ind w:left="720" w:firstLine="720"/>
        <w:rPr>
          <w:bCs/>
          <w:iCs/>
        </w:rPr>
      </w:pPr>
      <w:r w:rsidRPr="00106537">
        <w:rPr>
          <w:bCs/>
          <w:iCs/>
        </w:rPr>
        <w:t>SSA will not publish the results of the information collection.</w:t>
      </w:r>
    </w:p>
    <w:p w:rsidRPr="00BC7F42" w:rsidR="00A45D82" w:rsidP="00A45D82" w:rsidRDefault="00A45D82" w14:paraId="76BDCA20" w14:textId="77777777">
      <w:pPr>
        <w:pStyle w:val="Header"/>
        <w:tabs>
          <w:tab w:val="clear" w:pos="4320"/>
          <w:tab w:val="clear" w:pos="8640"/>
        </w:tabs>
        <w:rPr>
          <w:rFonts w:ascii="Times New Roman" w:hAnsi="Times New Roman"/>
        </w:rPr>
      </w:pPr>
    </w:p>
    <w:p w:rsidR="003B30B4" w:rsidP="00E214FA" w:rsidRDefault="00A45D82" w14:paraId="6A0015FB" w14:textId="77777777">
      <w:pPr>
        <w:ind w:left="720"/>
        <w:rPr>
          <w:rFonts w:ascii="Times New Roman" w:hAnsi="Times New Roman"/>
        </w:rPr>
      </w:pPr>
      <w:r w:rsidRPr="00E214FA">
        <w:rPr>
          <w:rFonts w:ascii="Times New Roman" w:hAnsi="Times New Roman"/>
          <w:bCs/>
        </w:rPr>
        <w:t>17.</w:t>
      </w:r>
      <w:r w:rsidR="00E214FA">
        <w:rPr>
          <w:rFonts w:ascii="Times New Roman" w:hAnsi="Times New Roman"/>
        </w:rPr>
        <w:tab/>
      </w:r>
      <w:r w:rsidR="003B30B4">
        <w:rPr>
          <w:rFonts w:ascii="Times New Roman" w:hAnsi="Times New Roman"/>
          <w:b/>
        </w:rPr>
        <w:t>Displaying the OMB Approval Expiration Date</w:t>
      </w:r>
    </w:p>
    <w:p w:rsidRPr="00353072" w:rsidR="003B30B4" w:rsidP="00E214FA" w:rsidRDefault="003B30B4" w14:paraId="205820DE" w14:textId="77777777">
      <w:pPr>
        <w:pStyle w:val="NoSpacing"/>
        <w:ind w:left="1440"/>
        <w:rPr>
          <w:bCs/>
          <w:iCs/>
        </w:rPr>
      </w:pPr>
      <w:r w:rsidRPr="00353072">
        <w:rPr>
          <w:bCs/>
          <w:iCs/>
        </w:rPr>
        <w:t>OMB granted SSA an exemption from the requirement to print the OMB expiration date on its program forms</w:t>
      </w:r>
      <w:r w:rsidRPr="00353072" w:rsidR="00FA0FE2">
        <w:rPr>
          <w:bCs/>
          <w:iCs/>
        </w:rPr>
        <w:t xml:space="preserve">.  </w:t>
      </w:r>
      <w:r w:rsidRPr="00353072">
        <w:rPr>
          <w:bCs/>
          <w:iCs/>
        </w:rPr>
        <w:t xml:space="preserve">SSA produces millions of public-use forms </w:t>
      </w:r>
      <w:r w:rsidRPr="00353072">
        <w:rPr>
          <w:bCs/>
          <w:iCs/>
        </w:rPr>
        <w:lastRenderedPageBreak/>
        <w:t xml:space="preserve">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C7F42" w:rsidR="00A45D82" w:rsidP="00A45D82" w:rsidRDefault="00A45D82" w14:paraId="6FF1A09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3B30B4" w:rsidRDefault="00A45D82" w14:paraId="23AAA6AF" w14:textId="77777777">
      <w:pPr>
        <w:numPr>
          <w:ilvl w:val="0"/>
          <w:numId w:val="43"/>
        </w:numPr>
        <w:rPr>
          <w:rFonts w:ascii="Times New Roman" w:hAnsi="Times New Roman"/>
          <w:b/>
        </w:rPr>
      </w:pPr>
      <w:r w:rsidRPr="00BC7F42">
        <w:rPr>
          <w:rFonts w:ascii="Times New Roman" w:hAnsi="Times New Roman"/>
          <w:b/>
        </w:rPr>
        <w:t>Exceptions to Certification Statement</w:t>
      </w:r>
    </w:p>
    <w:p w:rsidR="00E214FA" w:rsidP="00E214FA" w:rsidRDefault="0041131C" w14:paraId="64C95BB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53072">
        <w:rPr>
          <w:rFonts w:ascii="Times New Roman" w:hAnsi="Times New Roman"/>
          <w:b w:val="0"/>
          <w:i w:val="0"/>
        </w:rPr>
        <w:t xml:space="preserve">SSA is not requesting an exception to the certification requirements at </w:t>
      </w:r>
    </w:p>
    <w:p w:rsidRPr="00353072" w:rsidR="0041131C" w:rsidP="00E214FA" w:rsidRDefault="0041131C" w14:paraId="1BD07B0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i w:val="0"/>
        </w:rPr>
      </w:pPr>
      <w:r w:rsidRPr="00E214FA">
        <w:rPr>
          <w:rFonts w:ascii="Times New Roman" w:hAnsi="Times New Roman"/>
          <w:b w:val="0"/>
          <w:iCs w:val="0"/>
        </w:rPr>
        <w:t>5 CFR 1320.9</w:t>
      </w:r>
      <w:r w:rsidRPr="00353072">
        <w:rPr>
          <w:rFonts w:ascii="Times New Roman" w:hAnsi="Times New Roman"/>
          <w:b w:val="0"/>
          <w:i w:val="0"/>
        </w:rPr>
        <w:t xml:space="preserve"> and related provisions at </w:t>
      </w:r>
      <w:r w:rsidRPr="00E214FA">
        <w:rPr>
          <w:rFonts w:ascii="Times New Roman" w:hAnsi="Times New Roman"/>
          <w:b w:val="0"/>
          <w:iCs w:val="0"/>
        </w:rPr>
        <w:t>5 CFR 1320.8(b)(3).</w:t>
      </w:r>
      <w:r w:rsidRPr="00353072">
        <w:rPr>
          <w:rFonts w:ascii="Times New Roman" w:hAnsi="Times New Roman"/>
          <w:b w:val="0"/>
          <w:i w:val="0"/>
        </w:rPr>
        <w:t xml:space="preserve"> </w:t>
      </w:r>
    </w:p>
    <w:p w:rsidRPr="00BC7F42" w:rsidR="00A45D82" w:rsidP="00A45D82" w:rsidRDefault="00A45D82" w14:paraId="280BDB69" w14:textId="77777777">
      <w:pPr>
        <w:rPr>
          <w:rFonts w:ascii="Times New Roman" w:hAnsi="Times New Roman"/>
        </w:rPr>
      </w:pPr>
    </w:p>
    <w:p w:rsidRPr="00353072" w:rsidR="0041131C" w:rsidP="006F0CD0" w:rsidRDefault="00A45D82" w14:paraId="69ED2342" w14:textId="77777777">
      <w:pPr>
        <w:rPr>
          <w:rFonts w:ascii="Times New Roman" w:hAnsi="Times New Roman"/>
          <w:b/>
          <w:u w:val="single"/>
        </w:rPr>
      </w:pPr>
      <w:r w:rsidRPr="0041131C">
        <w:rPr>
          <w:rFonts w:ascii="Times New Roman" w:hAnsi="Times New Roman"/>
          <w:b/>
        </w:rPr>
        <w:t xml:space="preserve">B. </w:t>
      </w:r>
      <w:r w:rsidR="00353072">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353072" w:rsidR="0041131C" w:rsidP="00E214FA" w:rsidRDefault="0041131C" w14:paraId="496E8C3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353072">
        <w:rPr>
          <w:rFonts w:ascii="Times New Roman" w:hAnsi="Times New Roman"/>
          <w:b w:val="0"/>
          <w:i w:val="0"/>
        </w:rPr>
        <w:t xml:space="preserve">SSA does not use statistical methods for this information collection. </w:t>
      </w:r>
    </w:p>
    <w:sectPr w:rsidRPr="00353072" w:rsidR="0041131C" w:rsidSect="009E585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7018F" w14:textId="77777777" w:rsidR="007B3E6D" w:rsidRDefault="007B3E6D">
      <w:r>
        <w:separator/>
      </w:r>
    </w:p>
  </w:endnote>
  <w:endnote w:type="continuationSeparator" w:id="0">
    <w:p w14:paraId="7D05AB0D" w14:textId="77777777" w:rsidR="007B3E6D" w:rsidRDefault="007B3E6D">
      <w:r>
        <w:continuationSeparator/>
      </w:r>
    </w:p>
  </w:endnote>
  <w:endnote w:type="continuationNotice" w:id="1">
    <w:p w14:paraId="1531035D" w14:textId="77777777" w:rsidR="007B3E6D" w:rsidRDefault="007B3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E64E" w14:textId="77777777" w:rsidR="00E214FA" w:rsidRDefault="00E214FA">
    <w:pPr>
      <w:pStyle w:val="Footer"/>
      <w:jc w:val="center"/>
    </w:pPr>
    <w:r>
      <w:fldChar w:fldCharType="begin"/>
    </w:r>
    <w:r>
      <w:instrText xml:space="preserve"> PAGE   \* MERGEFORMAT </w:instrText>
    </w:r>
    <w:r>
      <w:fldChar w:fldCharType="separate"/>
    </w:r>
    <w:r>
      <w:rPr>
        <w:noProof/>
      </w:rPr>
      <w:t>2</w:t>
    </w:r>
    <w:r>
      <w:rPr>
        <w:noProof/>
      </w:rPr>
      <w:fldChar w:fldCharType="end"/>
    </w:r>
  </w:p>
  <w:p w14:paraId="52023EE9" w14:textId="77777777" w:rsidR="00E214FA" w:rsidRDefault="00E21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51F40" w14:textId="77777777" w:rsidR="007B3E6D" w:rsidRDefault="007B3E6D">
      <w:r>
        <w:separator/>
      </w:r>
    </w:p>
  </w:footnote>
  <w:footnote w:type="continuationSeparator" w:id="0">
    <w:p w14:paraId="29DD8AF2" w14:textId="77777777" w:rsidR="007B3E6D" w:rsidRDefault="007B3E6D">
      <w:r>
        <w:continuationSeparator/>
      </w:r>
    </w:p>
  </w:footnote>
  <w:footnote w:type="continuationNotice" w:id="1">
    <w:p w14:paraId="2A17214E" w14:textId="77777777" w:rsidR="007B3E6D" w:rsidRDefault="007B3E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2840968C"/>
    <w:lvl w:ilvl="0" w:tplc="159A1AD6">
      <w:start w:val="18"/>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9AE4B474"/>
    <w:lvl w:ilvl="0">
      <w:start w:val="5"/>
      <w:numFmt w:val="decimal"/>
      <w:lvlText w:val="%1."/>
      <w:lvlJc w:val="left"/>
      <w:pPr>
        <w:tabs>
          <w:tab w:val="num" w:pos="360"/>
        </w:tabs>
        <w:ind w:left="360" w:hanging="360"/>
      </w:pPr>
      <w:rPr>
        <w:rFonts w:hint="default"/>
        <w:b w:val="0"/>
        <w:bCs w:val="0"/>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02C0C1B6"/>
    <w:lvl w:ilvl="0" w:tplc="E0EC4F0A">
      <w:start w:val="1"/>
      <w:numFmt w:val="decimal"/>
      <w:lvlText w:val="%1."/>
      <w:lvlJc w:val="left"/>
      <w:pPr>
        <w:tabs>
          <w:tab w:val="num" w:pos="1440"/>
        </w:tabs>
        <w:ind w:left="1440" w:hanging="720"/>
      </w:pPr>
      <w:rPr>
        <w:rFonts w:hint="default"/>
        <w:b w:val="0"/>
        <w:bCs/>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AF025AD0"/>
    <w:lvl w:ilvl="0">
      <w:start w:val="14"/>
      <w:numFmt w:val="decimal"/>
      <w:lvlText w:val="%1."/>
      <w:lvlJc w:val="left"/>
      <w:pPr>
        <w:tabs>
          <w:tab w:val="num" w:pos="360"/>
        </w:tabs>
        <w:ind w:left="360" w:hanging="360"/>
      </w:pPr>
      <w:rPr>
        <w:rFonts w:hint="default"/>
        <w:b w:val="0"/>
        <w:bCs w:val="0"/>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F68041AE"/>
    <w:lvl w:ilvl="0">
      <w:start w:val="2"/>
      <w:numFmt w:val="decimal"/>
      <w:lvlText w:val="%1."/>
      <w:lvlJc w:val="left"/>
      <w:pPr>
        <w:tabs>
          <w:tab w:val="num" w:pos="720"/>
        </w:tabs>
        <w:ind w:left="720" w:hanging="720"/>
      </w:pPr>
      <w:rPr>
        <w:rFonts w:hint="default"/>
        <w:b w:val="0"/>
        <w:bCs/>
      </w:rPr>
    </w:lvl>
  </w:abstractNum>
  <w:abstractNum w:abstractNumId="46" w15:restartNumberingAfterBreak="0">
    <w:nsid w:val="7A9B5E7D"/>
    <w:multiLevelType w:val="singleLevel"/>
    <w:tmpl w:val="559CC5A4"/>
    <w:lvl w:ilvl="0">
      <w:start w:val="8"/>
      <w:numFmt w:val="decimal"/>
      <w:lvlText w:val="%1."/>
      <w:lvlJc w:val="left"/>
      <w:pPr>
        <w:tabs>
          <w:tab w:val="num" w:pos="720"/>
        </w:tabs>
        <w:ind w:left="720" w:hanging="720"/>
      </w:pPr>
      <w:rPr>
        <w:rFonts w:hint="default"/>
        <w:b w:val="0"/>
        <w:bCs/>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1E46"/>
    <w:rsid w:val="00011DDF"/>
    <w:rsid w:val="00012B04"/>
    <w:rsid w:val="000222A7"/>
    <w:rsid w:val="00025216"/>
    <w:rsid w:val="00025D75"/>
    <w:rsid w:val="0002677F"/>
    <w:rsid w:val="00037657"/>
    <w:rsid w:val="00063A05"/>
    <w:rsid w:val="00064229"/>
    <w:rsid w:val="0006715D"/>
    <w:rsid w:val="0007189E"/>
    <w:rsid w:val="00077720"/>
    <w:rsid w:val="00077E0E"/>
    <w:rsid w:val="00086E84"/>
    <w:rsid w:val="000958AA"/>
    <w:rsid w:val="000A6AE3"/>
    <w:rsid w:val="000B2B68"/>
    <w:rsid w:val="000B3B12"/>
    <w:rsid w:val="000C151C"/>
    <w:rsid w:val="000C1D18"/>
    <w:rsid w:val="000D5F5C"/>
    <w:rsid w:val="000F57EF"/>
    <w:rsid w:val="0010311B"/>
    <w:rsid w:val="00106537"/>
    <w:rsid w:val="001110B1"/>
    <w:rsid w:val="00121032"/>
    <w:rsid w:val="00122EE2"/>
    <w:rsid w:val="00127980"/>
    <w:rsid w:val="00145796"/>
    <w:rsid w:val="00146275"/>
    <w:rsid w:val="00146C05"/>
    <w:rsid w:val="0015127E"/>
    <w:rsid w:val="0015576E"/>
    <w:rsid w:val="00157AD6"/>
    <w:rsid w:val="00161A18"/>
    <w:rsid w:val="001779F3"/>
    <w:rsid w:val="00186C90"/>
    <w:rsid w:val="00191870"/>
    <w:rsid w:val="00192897"/>
    <w:rsid w:val="001A3317"/>
    <w:rsid w:val="001A65F9"/>
    <w:rsid w:val="001B7CF4"/>
    <w:rsid w:val="001C16B7"/>
    <w:rsid w:val="001C6D3A"/>
    <w:rsid w:val="001D0B21"/>
    <w:rsid w:val="001E1076"/>
    <w:rsid w:val="001F00F2"/>
    <w:rsid w:val="00202C06"/>
    <w:rsid w:val="002219D6"/>
    <w:rsid w:val="002321B0"/>
    <w:rsid w:val="00242B95"/>
    <w:rsid w:val="00246836"/>
    <w:rsid w:val="0025358A"/>
    <w:rsid w:val="0026052B"/>
    <w:rsid w:val="00276796"/>
    <w:rsid w:val="00276AAF"/>
    <w:rsid w:val="002801F8"/>
    <w:rsid w:val="002813C8"/>
    <w:rsid w:val="00296AF0"/>
    <w:rsid w:val="002A2134"/>
    <w:rsid w:val="002A2441"/>
    <w:rsid w:val="002A4C30"/>
    <w:rsid w:val="002B0820"/>
    <w:rsid w:val="002B5578"/>
    <w:rsid w:val="002E18CF"/>
    <w:rsid w:val="002E335E"/>
    <w:rsid w:val="002F1C11"/>
    <w:rsid w:val="002F5AE2"/>
    <w:rsid w:val="002F7127"/>
    <w:rsid w:val="00302545"/>
    <w:rsid w:val="00305FB4"/>
    <w:rsid w:val="003176E1"/>
    <w:rsid w:val="00331821"/>
    <w:rsid w:val="003320F1"/>
    <w:rsid w:val="00333D3D"/>
    <w:rsid w:val="00340D7D"/>
    <w:rsid w:val="00346510"/>
    <w:rsid w:val="003465DC"/>
    <w:rsid w:val="003469CA"/>
    <w:rsid w:val="0034737D"/>
    <w:rsid w:val="00353072"/>
    <w:rsid w:val="00364B33"/>
    <w:rsid w:val="0036696D"/>
    <w:rsid w:val="00377BFE"/>
    <w:rsid w:val="0038050B"/>
    <w:rsid w:val="003A6E57"/>
    <w:rsid w:val="003A71A9"/>
    <w:rsid w:val="003B15EC"/>
    <w:rsid w:val="003B30B4"/>
    <w:rsid w:val="003C10BD"/>
    <w:rsid w:val="003C5E25"/>
    <w:rsid w:val="003D4907"/>
    <w:rsid w:val="003D4EBB"/>
    <w:rsid w:val="003E145C"/>
    <w:rsid w:val="003F00B3"/>
    <w:rsid w:val="00401DE1"/>
    <w:rsid w:val="00405548"/>
    <w:rsid w:val="0041131C"/>
    <w:rsid w:val="004145D2"/>
    <w:rsid w:val="004238CA"/>
    <w:rsid w:val="00430538"/>
    <w:rsid w:val="004317CB"/>
    <w:rsid w:val="00433DF5"/>
    <w:rsid w:val="0044417A"/>
    <w:rsid w:val="00447EE9"/>
    <w:rsid w:val="0045065A"/>
    <w:rsid w:val="004509AD"/>
    <w:rsid w:val="004522EA"/>
    <w:rsid w:val="00475350"/>
    <w:rsid w:val="00481B44"/>
    <w:rsid w:val="00484662"/>
    <w:rsid w:val="004915B5"/>
    <w:rsid w:val="00496143"/>
    <w:rsid w:val="0049640F"/>
    <w:rsid w:val="004B2155"/>
    <w:rsid w:val="004E146D"/>
    <w:rsid w:val="004E3443"/>
    <w:rsid w:val="0050197F"/>
    <w:rsid w:val="005040EC"/>
    <w:rsid w:val="00506486"/>
    <w:rsid w:val="00542F36"/>
    <w:rsid w:val="0056163C"/>
    <w:rsid w:val="005721D4"/>
    <w:rsid w:val="00580A52"/>
    <w:rsid w:val="0059019A"/>
    <w:rsid w:val="00593A36"/>
    <w:rsid w:val="00594CB3"/>
    <w:rsid w:val="005A1198"/>
    <w:rsid w:val="005B15E5"/>
    <w:rsid w:val="005C2C39"/>
    <w:rsid w:val="005D4107"/>
    <w:rsid w:val="005D5B33"/>
    <w:rsid w:val="005D62B3"/>
    <w:rsid w:val="005F208A"/>
    <w:rsid w:val="006002DD"/>
    <w:rsid w:val="006013A3"/>
    <w:rsid w:val="00611CEB"/>
    <w:rsid w:val="006160ED"/>
    <w:rsid w:val="00623625"/>
    <w:rsid w:val="00626C22"/>
    <w:rsid w:val="00631F1B"/>
    <w:rsid w:val="0063304D"/>
    <w:rsid w:val="00637AF5"/>
    <w:rsid w:val="00640A26"/>
    <w:rsid w:val="00663881"/>
    <w:rsid w:val="00664553"/>
    <w:rsid w:val="006806E1"/>
    <w:rsid w:val="00694B54"/>
    <w:rsid w:val="0069547C"/>
    <w:rsid w:val="0069667B"/>
    <w:rsid w:val="006A0669"/>
    <w:rsid w:val="006B173F"/>
    <w:rsid w:val="006B17EF"/>
    <w:rsid w:val="006B297F"/>
    <w:rsid w:val="006C5B2E"/>
    <w:rsid w:val="006E0CDE"/>
    <w:rsid w:val="006E2FB4"/>
    <w:rsid w:val="006E59B6"/>
    <w:rsid w:val="006F0CD0"/>
    <w:rsid w:val="006F1159"/>
    <w:rsid w:val="006F2B8B"/>
    <w:rsid w:val="006F4D0F"/>
    <w:rsid w:val="00700665"/>
    <w:rsid w:val="0070479A"/>
    <w:rsid w:val="00712F1B"/>
    <w:rsid w:val="0071437B"/>
    <w:rsid w:val="007245C9"/>
    <w:rsid w:val="007256B3"/>
    <w:rsid w:val="00742B56"/>
    <w:rsid w:val="00745462"/>
    <w:rsid w:val="007561EA"/>
    <w:rsid w:val="0076647E"/>
    <w:rsid w:val="007814DD"/>
    <w:rsid w:val="00795BAB"/>
    <w:rsid w:val="007A08D1"/>
    <w:rsid w:val="007A2DEE"/>
    <w:rsid w:val="007B007C"/>
    <w:rsid w:val="007B3E6D"/>
    <w:rsid w:val="007C0384"/>
    <w:rsid w:val="007D061D"/>
    <w:rsid w:val="007D22EB"/>
    <w:rsid w:val="007D38B3"/>
    <w:rsid w:val="007E17BD"/>
    <w:rsid w:val="007F2D98"/>
    <w:rsid w:val="00806984"/>
    <w:rsid w:val="00810485"/>
    <w:rsid w:val="00814772"/>
    <w:rsid w:val="00816AFA"/>
    <w:rsid w:val="00824D72"/>
    <w:rsid w:val="00825B97"/>
    <w:rsid w:val="00831CCD"/>
    <w:rsid w:val="0083515C"/>
    <w:rsid w:val="0084775D"/>
    <w:rsid w:val="0086463A"/>
    <w:rsid w:val="008754ED"/>
    <w:rsid w:val="00876482"/>
    <w:rsid w:val="00877AC5"/>
    <w:rsid w:val="00891CA8"/>
    <w:rsid w:val="00892E12"/>
    <w:rsid w:val="008B6774"/>
    <w:rsid w:val="008D158E"/>
    <w:rsid w:val="008E3A3A"/>
    <w:rsid w:val="008E73E3"/>
    <w:rsid w:val="00906892"/>
    <w:rsid w:val="00924C26"/>
    <w:rsid w:val="009252AB"/>
    <w:rsid w:val="00951258"/>
    <w:rsid w:val="00952C5B"/>
    <w:rsid w:val="00955B7F"/>
    <w:rsid w:val="00955EC4"/>
    <w:rsid w:val="009740C8"/>
    <w:rsid w:val="009748B6"/>
    <w:rsid w:val="00975C66"/>
    <w:rsid w:val="00975DD8"/>
    <w:rsid w:val="009A0B16"/>
    <w:rsid w:val="009D267C"/>
    <w:rsid w:val="009E3C50"/>
    <w:rsid w:val="009E5850"/>
    <w:rsid w:val="009F23D6"/>
    <w:rsid w:val="009F7BB3"/>
    <w:rsid w:val="00A04651"/>
    <w:rsid w:val="00A06BE2"/>
    <w:rsid w:val="00A11B8D"/>
    <w:rsid w:val="00A1276B"/>
    <w:rsid w:val="00A26833"/>
    <w:rsid w:val="00A3001D"/>
    <w:rsid w:val="00A32C8F"/>
    <w:rsid w:val="00A337E4"/>
    <w:rsid w:val="00A33C65"/>
    <w:rsid w:val="00A34222"/>
    <w:rsid w:val="00A45D82"/>
    <w:rsid w:val="00A651A7"/>
    <w:rsid w:val="00A67D76"/>
    <w:rsid w:val="00A706B8"/>
    <w:rsid w:val="00A805BA"/>
    <w:rsid w:val="00A81795"/>
    <w:rsid w:val="00AA06A4"/>
    <w:rsid w:val="00AA0858"/>
    <w:rsid w:val="00AA0C27"/>
    <w:rsid w:val="00AA6250"/>
    <w:rsid w:val="00AB0CA7"/>
    <w:rsid w:val="00AC2E93"/>
    <w:rsid w:val="00AC39FD"/>
    <w:rsid w:val="00AD0977"/>
    <w:rsid w:val="00AD10C1"/>
    <w:rsid w:val="00AD72EE"/>
    <w:rsid w:val="00AE0527"/>
    <w:rsid w:val="00AF3BEA"/>
    <w:rsid w:val="00AF7234"/>
    <w:rsid w:val="00B007C5"/>
    <w:rsid w:val="00B014E5"/>
    <w:rsid w:val="00B01D57"/>
    <w:rsid w:val="00B1614B"/>
    <w:rsid w:val="00B201D9"/>
    <w:rsid w:val="00B35B3D"/>
    <w:rsid w:val="00B41313"/>
    <w:rsid w:val="00B51EF0"/>
    <w:rsid w:val="00B525CA"/>
    <w:rsid w:val="00B741F6"/>
    <w:rsid w:val="00B77737"/>
    <w:rsid w:val="00B83B2D"/>
    <w:rsid w:val="00B92550"/>
    <w:rsid w:val="00BA1653"/>
    <w:rsid w:val="00BA401A"/>
    <w:rsid w:val="00BB3DE2"/>
    <w:rsid w:val="00BB764B"/>
    <w:rsid w:val="00BC5531"/>
    <w:rsid w:val="00BC7F42"/>
    <w:rsid w:val="00BD74FC"/>
    <w:rsid w:val="00BE1F2D"/>
    <w:rsid w:val="00BF026F"/>
    <w:rsid w:val="00BF4955"/>
    <w:rsid w:val="00C00102"/>
    <w:rsid w:val="00C0290B"/>
    <w:rsid w:val="00C22097"/>
    <w:rsid w:val="00C25FDC"/>
    <w:rsid w:val="00C34553"/>
    <w:rsid w:val="00C34A91"/>
    <w:rsid w:val="00C377BC"/>
    <w:rsid w:val="00C5104E"/>
    <w:rsid w:val="00C60E61"/>
    <w:rsid w:val="00C67A34"/>
    <w:rsid w:val="00C67C8A"/>
    <w:rsid w:val="00C67F83"/>
    <w:rsid w:val="00C74A43"/>
    <w:rsid w:val="00C76064"/>
    <w:rsid w:val="00C93220"/>
    <w:rsid w:val="00C941E2"/>
    <w:rsid w:val="00CA0B15"/>
    <w:rsid w:val="00CA5F75"/>
    <w:rsid w:val="00CA6CAE"/>
    <w:rsid w:val="00CB6DD6"/>
    <w:rsid w:val="00CB7253"/>
    <w:rsid w:val="00CB7557"/>
    <w:rsid w:val="00CD07B4"/>
    <w:rsid w:val="00CD667A"/>
    <w:rsid w:val="00CE23C1"/>
    <w:rsid w:val="00CE2982"/>
    <w:rsid w:val="00CF0595"/>
    <w:rsid w:val="00D0011E"/>
    <w:rsid w:val="00D03E8A"/>
    <w:rsid w:val="00D05A62"/>
    <w:rsid w:val="00D42EFE"/>
    <w:rsid w:val="00D44900"/>
    <w:rsid w:val="00D5531A"/>
    <w:rsid w:val="00D678F8"/>
    <w:rsid w:val="00D82926"/>
    <w:rsid w:val="00D9593D"/>
    <w:rsid w:val="00DB1DB4"/>
    <w:rsid w:val="00DD494D"/>
    <w:rsid w:val="00DE156B"/>
    <w:rsid w:val="00DE5557"/>
    <w:rsid w:val="00DE6186"/>
    <w:rsid w:val="00DF3A5E"/>
    <w:rsid w:val="00E0137B"/>
    <w:rsid w:val="00E0439D"/>
    <w:rsid w:val="00E065DA"/>
    <w:rsid w:val="00E214FA"/>
    <w:rsid w:val="00E3164F"/>
    <w:rsid w:val="00E340E5"/>
    <w:rsid w:val="00E429A4"/>
    <w:rsid w:val="00E437C5"/>
    <w:rsid w:val="00E43C4E"/>
    <w:rsid w:val="00E74ACF"/>
    <w:rsid w:val="00E75DB0"/>
    <w:rsid w:val="00E80456"/>
    <w:rsid w:val="00E809BA"/>
    <w:rsid w:val="00E956F3"/>
    <w:rsid w:val="00EA6845"/>
    <w:rsid w:val="00EC574E"/>
    <w:rsid w:val="00EC7EFD"/>
    <w:rsid w:val="00ED36D8"/>
    <w:rsid w:val="00EE5052"/>
    <w:rsid w:val="00EE6086"/>
    <w:rsid w:val="00EF4071"/>
    <w:rsid w:val="00EF765F"/>
    <w:rsid w:val="00F0058F"/>
    <w:rsid w:val="00F028DE"/>
    <w:rsid w:val="00F0585C"/>
    <w:rsid w:val="00F107B7"/>
    <w:rsid w:val="00F11F57"/>
    <w:rsid w:val="00F14BA8"/>
    <w:rsid w:val="00F15EF8"/>
    <w:rsid w:val="00F2154D"/>
    <w:rsid w:val="00F25F1F"/>
    <w:rsid w:val="00F36E53"/>
    <w:rsid w:val="00F4316C"/>
    <w:rsid w:val="00F46176"/>
    <w:rsid w:val="00F5149E"/>
    <w:rsid w:val="00F52394"/>
    <w:rsid w:val="00F56A74"/>
    <w:rsid w:val="00F57AD9"/>
    <w:rsid w:val="00F73328"/>
    <w:rsid w:val="00F82B54"/>
    <w:rsid w:val="00F832E5"/>
    <w:rsid w:val="00F85CF1"/>
    <w:rsid w:val="00F870A3"/>
    <w:rsid w:val="00F91762"/>
    <w:rsid w:val="00F9405B"/>
    <w:rsid w:val="00FA0FE2"/>
    <w:rsid w:val="00FA34E8"/>
    <w:rsid w:val="00FA7D4E"/>
    <w:rsid w:val="00FD549D"/>
    <w:rsid w:val="00FD6374"/>
    <w:rsid w:val="00FE71FE"/>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71835"/>
  <w15:chartTrackingRefBased/>
  <w15:docId w15:val="{862D2FE1-4AAB-4608-A3F5-6E76691F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E214FA"/>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45944675">
      <w:bodyDiv w:val="1"/>
      <w:marLeft w:val="0"/>
      <w:marRight w:val="0"/>
      <w:marTop w:val="0"/>
      <w:marBottom w:val="0"/>
      <w:divBdr>
        <w:top w:val="none" w:sz="0" w:space="0" w:color="auto"/>
        <w:left w:val="none" w:sz="0" w:space="0" w:color="auto"/>
        <w:bottom w:val="none" w:sz="0" w:space="0" w:color="auto"/>
        <w:right w:val="none" w:sz="0" w:space="0" w:color="auto"/>
      </w:divBdr>
    </w:div>
    <w:div w:id="60118467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dataexchan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191041.htm" TargetMode="External"/><Relationship Id="rId5" Type="http://schemas.openxmlformats.org/officeDocument/2006/relationships/webSettings" Target="webSettings.xml"/><Relationship Id="rId10" Type="http://schemas.openxmlformats.org/officeDocument/2006/relationships/hyperlink" Target="http://www.bls.gov/oes/current/oes130000.htm" TargetMode="External"/><Relationship Id="rId4" Type="http://schemas.openxmlformats.org/officeDocument/2006/relationships/settings" Target="settings.xml"/><Relationship Id="rId9" Type="http://schemas.openxmlformats.org/officeDocument/2006/relationships/hyperlink" Target="http://www.bls.gov/oes/current/oes13111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EBEB-26C7-441B-BBC5-3FEA7FEC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8638</Characters>
  <Application>Microsoft Office Word</Application>
  <DocSecurity>0</DocSecurity>
  <Lines>392</Lines>
  <Paragraphs>241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9906</CharactersWithSpaces>
  <SharedDoc>false</SharedDoc>
  <HLinks>
    <vt:vector size="24" baseType="variant">
      <vt:variant>
        <vt:i4>1441877</vt:i4>
      </vt:variant>
      <vt:variant>
        <vt:i4>9</vt:i4>
      </vt:variant>
      <vt:variant>
        <vt:i4>0</vt:i4>
      </vt:variant>
      <vt:variant>
        <vt:i4>5</vt:i4>
      </vt:variant>
      <vt:variant>
        <vt:lpwstr>http://www.bls.gov/oes/current/oes191041.htm</vt:lpwstr>
      </vt:variant>
      <vt:variant>
        <vt:lpwstr/>
      </vt:variant>
      <vt:variant>
        <vt:i4>1900624</vt:i4>
      </vt:variant>
      <vt:variant>
        <vt:i4>6</vt:i4>
      </vt:variant>
      <vt:variant>
        <vt:i4>0</vt:i4>
      </vt:variant>
      <vt:variant>
        <vt:i4>5</vt:i4>
      </vt:variant>
      <vt:variant>
        <vt:lpwstr>http://www.bls.gov/oes/current/oes130000.htm</vt:lpwstr>
      </vt:variant>
      <vt:variant>
        <vt:lpwstr/>
      </vt:variant>
      <vt:variant>
        <vt:i4>1900624</vt:i4>
      </vt:variant>
      <vt:variant>
        <vt:i4>3</vt:i4>
      </vt:variant>
      <vt:variant>
        <vt:i4>0</vt:i4>
      </vt:variant>
      <vt:variant>
        <vt:i4>5</vt:i4>
      </vt:variant>
      <vt:variant>
        <vt:lpwstr>http://www.bls.gov/oes/current/oes131111.htm</vt:lpwstr>
      </vt:variant>
      <vt:variant>
        <vt:lpwstr/>
      </vt:variant>
      <vt:variant>
        <vt:i4>3670067</vt:i4>
      </vt:variant>
      <vt:variant>
        <vt:i4>0</vt:i4>
      </vt:variant>
      <vt:variant>
        <vt:i4>0</vt:i4>
      </vt:variant>
      <vt:variant>
        <vt:i4>5</vt:i4>
      </vt:variant>
      <vt:variant>
        <vt:lpwstr>http://www.ssa.gov/dataexchange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2021-11-19T19:22:00Z</dcterms:created>
  <dcterms:modified xsi:type="dcterms:W3CDTF">2021-11-19T19:22:00Z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112696169</vt:i4>
  </property>
  <property fmtid="{D5CDD505-2E9C-101B-9397-08002B2CF9AE}" pid="4" name="_EmailSubject">
    <vt:lpwstr>0960-0732</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1538816477</vt:i4>
  </property>
  <property fmtid="{D5CDD505-2E9C-101B-9397-08002B2CF9AE}" pid="8" name="_ReviewingToolsShownOnce">
    <vt:lpwstr/>
  </property>
</Properties>
</file>