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149EA" w:rsidR="008F0E70" w:rsidP="008F0E70" w:rsidRDefault="008F0E70">
      <w:pPr>
        <w:rPr>
          <w:sz w:val="36"/>
          <w:szCs w:val="36"/>
        </w:rPr>
      </w:pPr>
      <w:r w:rsidRPr="007149EA">
        <w:rPr>
          <w:sz w:val="36"/>
          <w:szCs w:val="36"/>
        </w:rPr>
        <w:t>PRS Home Observation</w:t>
      </w:r>
    </w:p>
    <w:tbl>
      <w:tblPr>
        <w:tblStyle w:val="TableGrid"/>
        <w:tblW w:w="14310" w:type="dxa"/>
        <w:tblInd w:w="-635" w:type="dxa"/>
        <w:tblLook w:val="04A0" w:firstRow="1" w:lastRow="0" w:firstColumn="1" w:lastColumn="0" w:noHBand="0" w:noVBand="1"/>
      </w:tblPr>
      <w:tblGrid>
        <w:gridCol w:w="4230"/>
        <w:gridCol w:w="10080"/>
      </w:tblGrid>
      <w:tr w:rsidR="008F0E70" w:rsidTr="008F0E70">
        <w:trPr>
          <w:trHeight w:val="170"/>
        </w:trPr>
        <w:tc>
          <w:tcPr>
            <w:tcW w:w="4230" w:type="dxa"/>
          </w:tcPr>
          <w:p w:rsidR="008F0E70" w:rsidP="000017C3" w:rsidRDefault="008F0E70"/>
        </w:tc>
        <w:tc>
          <w:tcPr>
            <w:tcW w:w="10080" w:type="dxa"/>
          </w:tcPr>
          <w:p w:rsidR="008F0E70" w:rsidP="000017C3" w:rsidRDefault="008F0E70">
            <w:r>
              <w:t>Observation Notes</w:t>
            </w:r>
          </w:p>
        </w:tc>
      </w:tr>
      <w:tr w:rsidR="008F0E70" w:rsidTr="008F0E70">
        <w:tc>
          <w:tcPr>
            <w:tcW w:w="4230" w:type="dxa"/>
          </w:tcPr>
          <w:p w:rsidR="008F0E70" w:rsidP="000017C3" w:rsidRDefault="008F0E70">
            <w:r>
              <w:t xml:space="preserve">Before observing PRS visit: what needs are included in case worker notes </w:t>
            </w:r>
          </w:p>
        </w:tc>
        <w:tc>
          <w:tcPr>
            <w:tcW w:w="10080" w:type="dxa"/>
          </w:tcPr>
          <w:p w:rsidR="008F0E70" w:rsidP="000017C3" w:rsidRDefault="008F0E70"/>
        </w:tc>
      </w:tr>
      <w:tr w:rsidR="008F0E70" w:rsidTr="008F0E70">
        <w:tc>
          <w:tcPr>
            <w:tcW w:w="4230" w:type="dxa"/>
          </w:tcPr>
          <w:p w:rsidR="008F0E70" w:rsidP="000017C3" w:rsidRDefault="008F0E70">
            <w:r>
              <w:t xml:space="preserve">During visit: </w:t>
            </w:r>
          </w:p>
          <w:p w:rsidRPr="007B773D" w:rsidR="008F0E70" w:rsidP="000017C3" w:rsidRDefault="008F0E70">
            <w:pPr>
              <w:rPr>
                <w:color w:val="FF0000"/>
              </w:rPr>
            </w:pPr>
            <w:r w:rsidRPr="007B773D">
              <w:rPr>
                <w:color w:val="FF0000"/>
              </w:rPr>
              <w:t>Are PRS providers being culturally and linguistically appropriate when connecting the child and sponsor to resources within their local community</w:t>
            </w:r>
          </w:p>
          <w:p w:rsidRPr="007B773D" w:rsidR="008F0E70" w:rsidP="000017C3" w:rsidRDefault="008F0E70">
            <w:pPr>
              <w:rPr>
                <w:color w:val="FF0000"/>
              </w:rPr>
            </w:pPr>
            <w:r w:rsidRPr="007B773D">
              <w:rPr>
                <w:color w:val="FF0000"/>
              </w:rPr>
              <w:t>Are PRS providers being sensitive to the individual needs of the UAC?</w:t>
            </w:r>
          </w:p>
          <w:p w:rsidR="008F0E70" w:rsidP="000017C3" w:rsidRDefault="008F0E70"/>
        </w:tc>
        <w:tc>
          <w:tcPr>
            <w:tcW w:w="10080" w:type="dxa"/>
          </w:tcPr>
          <w:p w:rsidR="008F0E70" w:rsidP="000017C3" w:rsidRDefault="008F0E70"/>
        </w:tc>
      </w:tr>
      <w:tr w:rsidR="008F0E70" w:rsidTr="008F0E70">
        <w:tc>
          <w:tcPr>
            <w:tcW w:w="4230" w:type="dxa"/>
          </w:tcPr>
          <w:p w:rsidR="008F0E70" w:rsidP="000017C3" w:rsidRDefault="008F0E70">
            <w:r>
              <w:t xml:space="preserve">What needs are discussed for the minor? </w:t>
            </w:r>
          </w:p>
          <w:p w:rsidRPr="00CC4FB7" w:rsidR="008F0E70" w:rsidP="000017C3" w:rsidRDefault="008F0E70">
            <w:pPr>
              <w:rPr>
                <w:color w:val="FF0000"/>
              </w:rPr>
            </w:pPr>
            <w:r w:rsidRPr="00CC4FB7">
              <w:rPr>
                <w:color w:val="FF0000"/>
              </w:rPr>
              <w:t>Are the needs indicated in policy – are caseworkers addressing the needs based upon instruction in policy?</w:t>
            </w:r>
          </w:p>
          <w:p w:rsidR="008F0E70" w:rsidP="000017C3" w:rsidRDefault="008F0E70">
            <w:r>
              <w:t>(For example: does the minor have problems with substance abuse? If so, is the PRS provider assisting the youth with locating resources to help address the substance abuse problem?)</w:t>
            </w:r>
          </w:p>
          <w:p w:rsidR="008F0E70" w:rsidP="000017C3" w:rsidRDefault="008F0E70"/>
        </w:tc>
        <w:tc>
          <w:tcPr>
            <w:tcW w:w="10080" w:type="dxa"/>
          </w:tcPr>
          <w:p w:rsidR="008F0E70" w:rsidP="000017C3" w:rsidRDefault="008F0E70"/>
        </w:tc>
      </w:tr>
      <w:tr w:rsidR="008F0E70" w:rsidTr="008F0E70">
        <w:tc>
          <w:tcPr>
            <w:tcW w:w="4230" w:type="dxa"/>
          </w:tcPr>
          <w:p w:rsidR="008F0E70" w:rsidP="000017C3" w:rsidRDefault="008F0E70">
            <w:r>
              <w:t>What needs are discussed with the sponsor?</w:t>
            </w:r>
          </w:p>
          <w:p w:rsidR="008F0E70" w:rsidP="000017C3" w:rsidRDefault="008F0E70"/>
        </w:tc>
        <w:tc>
          <w:tcPr>
            <w:tcW w:w="10080" w:type="dxa"/>
          </w:tcPr>
          <w:p w:rsidR="008F0E70" w:rsidP="000017C3" w:rsidRDefault="008F0E70"/>
        </w:tc>
      </w:tr>
      <w:tr w:rsidR="008F0E70" w:rsidTr="008F0E70">
        <w:tc>
          <w:tcPr>
            <w:tcW w:w="4230" w:type="dxa"/>
          </w:tcPr>
          <w:p w:rsidR="008F0E70" w:rsidP="000017C3" w:rsidRDefault="008F0E70">
            <w:r>
              <w:t>How are resources disseminated?</w:t>
            </w:r>
          </w:p>
          <w:p w:rsidR="008F0E70" w:rsidP="000017C3" w:rsidRDefault="008F0E70"/>
        </w:tc>
        <w:tc>
          <w:tcPr>
            <w:tcW w:w="10080" w:type="dxa"/>
          </w:tcPr>
          <w:p w:rsidR="008F0E70" w:rsidP="000017C3" w:rsidRDefault="008F0E70"/>
        </w:tc>
      </w:tr>
      <w:tr w:rsidR="008F0E70" w:rsidTr="008F0E70">
        <w:tc>
          <w:tcPr>
            <w:tcW w:w="4230" w:type="dxa"/>
          </w:tcPr>
          <w:p w:rsidR="008F0E70" w:rsidP="000017C3" w:rsidRDefault="008F0E70">
            <w:r>
              <w:t>Does the caseworker do a safety check with the UAC? (</w:t>
            </w:r>
            <w:proofErr w:type="gramStart"/>
            <w:r>
              <w:t>i.e</w:t>
            </w:r>
            <w:proofErr w:type="gramEnd"/>
            <w:r>
              <w:t>. is abuse occurring? Does the UAC feel safe?) How and where is it conducted?</w:t>
            </w:r>
          </w:p>
          <w:p w:rsidR="008F0E70" w:rsidP="000017C3" w:rsidRDefault="008F0E70"/>
        </w:tc>
        <w:tc>
          <w:tcPr>
            <w:tcW w:w="10080" w:type="dxa"/>
          </w:tcPr>
          <w:p w:rsidR="008F0E70" w:rsidP="000017C3" w:rsidRDefault="008F0E70"/>
        </w:tc>
      </w:tr>
      <w:tr w:rsidR="008F0E70" w:rsidTr="008F0E70">
        <w:tc>
          <w:tcPr>
            <w:tcW w:w="4230" w:type="dxa"/>
          </w:tcPr>
          <w:p w:rsidR="008F0E70" w:rsidP="000017C3" w:rsidRDefault="008F0E70">
            <w:r>
              <w:t>Does sponsor or minor indicate a change in needs?</w:t>
            </w:r>
          </w:p>
        </w:tc>
        <w:tc>
          <w:tcPr>
            <w:tcW w:w="10080" w:type="dxa"/>
          </w:tcPr>
          <w:p w:rsidR="008F0E70" w:rsidP="000017C3" w:rsidRDefault="008F0E70"/>
        </w:tc>
      </w:tr>
      <w:tr w:rsidR="008F0E70" w:rsidTr="008F0E70">
        <w:tc>
          <w:tcPr>
            <w:tcW w:w="4230" w:type="dxa"/>
          </w:tcPr>
          <w:p w:rsidR="008F0E70" w:rsidP="000017C3" w:rsidRDefault="008F0E70">
            <w:r>
              <w:lastRenderedPageBreak/>
              <w:t>Following the Visit:</w:t>
            </w:r>
          </w:p>
        </w:tc>
        <w:tc>
          <w:tcPr>
            <w:tcW w:w="10080" w:type="dxa"/>
          </w:tcPr>
          <w:p w:rsidR="008F0E70" w:rsidP="000017C3" w:rsidRDefault="008F0E70"/>
        </w:tc>
      </w:tr>
      <w:tr w:rsidR="008F0E70" w:rsidTr="008F0E70">
        <w:tc>
          <w:tcPr>
            <w:tcW w:w="4230" w:type="dxa"/>
          </w:tcPr>
          <w:p w:rsidR="008F0E70" w:rsidP="000017C3" w:rsidRDefault="008F0E70">
            <w:r>
              <w:t>Following the PRS visit</w:t>
            </w:r>
          </w:p>
          <w:p w:rsidR="008F0E70" w:rsidP="000017C3" w:rsidRDefault="008F0E70">
            <w:r>
              <w:t>How is progress/resources noted included in caseworker notes/the report?</w:t>
            </w:r>
          </w:p>
          <w:p w:rsidR="008F0E70" w:rsidP="000017C3" w:rsidRDefault="008F0E70"/>
          <w:p w:rsidR="008F0E70" w:rsidP="000017C3" w:rsidRDefault="008F0E70">
            <w:r>
              <w:t>Is information about new and/or changing needs notated in the caseworker notes and the PRS report?</w:t>
            </w:r>
          </w:p>
        </w:tc>
        <w:tc>
          <w:tcPr>
            <w:tcW w:w="10080" w:type="dxa"/>
          </w:tcPr>
          <w:p w:rsidR="008F0E70" w:rsidP="000017C3" w:rsidRDefault="008F0E70"/>
        </w:tc>
      </w:tr>
    </w:tbl>
    <w:p w:rsidR="008F0E70" w:rsidP="008F0E70" w:rsidRDefault="008F0E70"/>
    <w:p w:rsidR="008F0E70" w:rsidP="008F0E70" w:rsidRDefault="008F0E70"/>
    <w:p w:rsidR="008F0E70" w:rsidP="008F0E70" w:rsidRDefault="008F0E70"/>
    <w:p w:rsidR="00685838" w:rsidRDefault="00685838"/>
    <w:sectPr w:rsidR="00685838" w:rsidSect="002A76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50D" w:rsidRDefault="00AB050D" w:rsidP="008D7C6C">
      <w:pPr>
        <w:spacing w:after="0" w:line="240" w:lineRule="auto"/>
      </w:pPr>
      <w:r>
        <w:separator/>
      </w:r>
    </w:p>
  </w:endnote>
  <w:endnote w:type="continuationSeparator" w:id="0">
    <w:p w:rsidR="00AB050D" w:rsidRDefault="00AB050D" w:rsidP="008D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632" w:rsidRDefault="002A7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632" w:rsidRDefault="002A7632">
    <w:pPr>
      <w:pStyle w:val="Footer"/>
    </w:pPr>
  </w:p>
  <w:p w:rsidR="002A7632" w:rsidRDefault="002A76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632" w:rsidRDefault="002A7632">
    <w:pPr>
      <w:pStyle w:val="Footer"/>
    </w:pPr>
  </w:p>
  <w:p w:rsidR="002A7632" w:rsidRDefault="002A7632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2CBF225F" wp14:editId="3B965095">
              <wp:extent cx="8229600" cy="892810"/>
              <wp:effectExtent l="0" t="0" r="19050" b="2159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0" cy="892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7632" w:rsidRPr="00972E1B" w:rsidRDefault="002A7632" w:rsidP="002A7632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document their findings during the walkthrough portion of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0.5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hours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CBF22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9in;height:7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">
              <v:textbox>
                <w:txbxContent>
                  <w:p w:rsidR="002A7632" w:rsidRPr="00972E1B" w:rsidRDefault="002A7632" w:rsidP="002A7632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document their findings during the walkthrough portion of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0.5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hours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50D" w:rsidRDefault="00AB050D" w:rsidP="008D7C6C">
      <w:pPr>
        <w:spacing w:after="0" w:line="240" w:lineRule="auto"/>
      </w:pPr>
      <w:r>
        <w:separator/>
      </w:r>
    </w:p>
  </w:footnote>
  <w:footnote w:type="continuationSeparator" w:id="0">
    <w:p w:rsidR="00AB050D" w:rsidRDefault="00AB050D" w:rsidP="008D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632" w:rsidRDefault="002A76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C6C" w:rsidRPr="002A7632" w:rsidRDefault="008D7C6C" w:rsidP="002A76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632" w:rsidRDefault="002A7632">
    <w:pPr>
      <w:pStyle w:val="Header"/>
    </w:pPr>
    <w:r>
      <w:t>Updated April 2020</w:t>
    </w:r>
    <w:r>
      <w:tab/>
    </w:r>
    <w:r>
      <w:tab/>
      <w:t xml:space="preserve">                                                                                      </w:t>
    </w: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70"/>
    <w:rsid w:val="002A7632"/>
    <w:rsid w:val="00353588"/>
    <w:rsid w:val="004720DD"/>
    <w:rsid w:val="00685838"/>
    <w:rsid w:val="007856ED"/>
    <w:rsid w:val="008D7C6C"/>
    <w:rsid w:val="008F0E70"/>
    <w:rsid w:val="00A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DC6C0"/>
  <w15:chartTrackingRefBased/>
  <w15:docId w15:val="{AB00A618-3805-41F2-9371-DECF4933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0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C6C"/>
  </w:style>
  <w:style w:type="paragraph" w:styleId="Footer">
    <w:name w:val="footer"/>
    <w:basedOn w:val="Normal"/>
    <w:link w:val="FooterChar"/>
    <w:uiPriority w:val="99"/>
    <w:unhideWhenUsed/>
    <w:rsid w:val="008D7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C6C"/>
  </w:style>
  <w:style w:type="character" w:styleId="Hyperlink">
    <w:name w:val="Hyperlink"/>
    <w:basedOn w:val="DefaultParagraphFont"/>
    <w:rsid w:val="002A7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Persad, Amanda (ACF) (CTR)</dc:creator>
  <cp:keywords/>
  <dc:description/>
  <cp:lastModifiedBy>DPP-SH</cp:lastModifiedBy>
  <cp:revision>3</cp:revision>
  <dcterms:created xsi:type="dcterms:W3CDTF">2020-12-02T22:04:00Z</dcterms:created>
  <dcterms:modified xsi:type="dcterms:W3CDTF">2020-12-02T22:06:00Z</dcterms:modified>
</cp:coreProperties>
</file>