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051D2" w:rsidR="00253306" w:rsidP="0033457E" w:rsidRDefault="00253306" w14:paraId="470AC4A5" w14:textId="77777777">
      <w:pPr>
        <w:jc w:val="center"/>
        <w:rPr>
          <w:rFonts w:ascii="Times New Roman" w:hAnsi="Times New Roman"/>
          <w:b/>
          <w:noProof w:val="0"/>
          <w:sz w:val="24"/>
        </w:rPr>
      </w:pPr>
      <w:r w:rsidRPr="00B051D2">
        <w:rPr>
          <w:rFonts w:ascii="Times New Roman" w:hAnsi="Times New Roman"/>
          <w:b/>
          <w:noProof w:val="0"/>
          <w:sz w:val="24"/>
        </w:rPr>
        <w:t>Supporting Statement for Paperwork Reduction Act Submissions</w:t>
      </w:r>
    </w:p>
    <w:p w:rsidRPr="00B051D2" w:rsidR="00253306" w:rsidRDefault="00253306" w14:paraId="0326BB59" w14:textId="08CDA2D3">
      <w:pPr>
        <w:contextualSpacing/>
        <w:jc w:val="center"/>
        <w:rPr>
          <w:rFonts w:ascii="Times New Roman" w:hAnsi="Times New Roman"/>
          <w:b/>
          <w:noProof w:val="0"/>
          <w:sz w:val="24"/>
        </w:rPr>
      </w:pPr>
      <w:r>
        <w:rPr>
          <w:rFonts w:ascii="Times New Roman" w:hAnsi="Times New Roman"/>
          <w:b/>
          <w:noProof w:val="0"/>
          <w:sz w:val="24"/>
        </w:rPr>
        <w:t>Exempt Chemical Preparations under the Controlled Substance Act</w:t>
      </w:r>
    </w:p>
    <w:p w:rsidR="00253306" w:rsidRDefault="00253306" w14:paraId="7FEDEACB" w14:textId="467BBE38">
      <w:pPr>
        <w:contextualSpacing/>
        <w:jc w:val="center"/>
        <w:rPr>
          <w:rFonts w:ascii="Times New Roman" w:hAnsi="Times New Roman"/>
          <w:b/>
          <w:noProof w:val="0"/>
          <w:sz w:val="24"/>
        </w:rPr>
      </w:pPr>
      <w:r w:rsidRPr="00B051D2">
        <w:rPr>
          <w:rFonts w:ascii="Times New Roman" w:hAnsi="Times New Roman"/>
          <w:b/>
          <w:noProof w:val="0"/>
          <w:sz w:val="24"/>
        </w:rPr>
        <w:t xml:space="preserve">OMB Approval </w:t>
      </w:r>
      <w:r>
        <w:rPr>
          <w:rFonts w:ascii="Times New Roman" w:hAnsi="Times New Roman"/>
          <w:b/>
          <w:noProof w:val="0"/>
          <w:sz w:val="24"/>
        </w:rPr>
        <w:t>#1117-NEW</w:t>
      </w:r>
    </w:p>
    <w:p w:rsidR="00253306" w:rsidRDefault="00253306" w14:paraId="6555670E" w14:textId="77777777">
      <w:pPr>
        <w:contextualSpacing/>
        <w:jc w:val="center"/>
        <w:rPr>
          <w:rFonts w:ascii="Times New Roman" w:hAnsi="Times New Roman"/>
          <w:b/>
          <w:noProof w:val="0"/>
          <w:sz w:val="24"/>
        </w:rPr>
      </w:pPr>
    </w:p>
    <w:p w:rsidR="00253306" w:rsidRDefault="00253306" w14:paraId="33F194F5" w14:textId="2C13A5ED">
      <w:pPr>
        <w:contextualSpacing/>
        <w:rPr>
          <w:rFonts w:ascii="Times New Roman" w:hAnsi="Times New Roman"/>
          <w:noProof w:val="0"/>
          <w:sz w:val="24"/>
        </w:rPr>
      </w:pPr>
      <w:r>
        <w:rPr>
          <w:rFonts w:ascii="Times New Roman" w:hAnsi="Times New Roman"/>
          <w:noProof w:val="0"/>
          <w:sz w:val="24"/>
        </w:rPr>
        <w:t>The Drug Enforcement Administration (DEA) seeks approval by the Office of Management and Budget (OMB) for a</w:t>
      </w:r>
      <w:r>
        <w:rPr>
          <w:rFonts w:ascii="Times New Roman" w:hAnsi="Times New Roman"/>
          <w:b/>
          <w:noProof w:val="0"/>
          <w:sz w:val="24"/>
        </w:rPr>
        <w:t xml:space="preserve"> </w:t>
      </w:r>
      <w:r>
        <w:rPr>
          <w:rFonts w:ascii="Times New Roman" w:hAnsi="Times New Roman"/>
          <w:noProof w:val="0"/>
          <w:sz w:val="24"/>
        </w:rPr>
        <w:t xml:space="preserve">new collection of information, Exempt Chemical Preparations under the Controlled Substance Act.  </w:t>
      </w:r>
    </w:p>
    <w:p w:rsidR="00253306" w:rsidRDefault="00253306" w14:paraId="5BFF067D" w14:textId="77777777">
      <w:pPr>
        <w:contextualSpacing/>
        <w:rPr>
          <w:rFonts w:ascii="Times New Roman" w:hAnsi="Times New Roman"/>
          <w:noProof w:val="0"/>
          <w:sz w:val="24"/>
        </w:rPr>
      </w:pPr>
    </w:p>
    <w:p w:rsidRPr="00B051D2" w:rsidR="00253306" w:rsidRDefault="00253306" w14:paraId="185F77DA" w14:textId="4B2DA59C">
      <w:pPr>
        <w:contextualSpacing/>
        <w:rPr>
          <w:rFonts w:ascii="Times New Roman" w:hAnsi="Times New Roman"/>
          <w:noProof w:val="0"/>
          <w:sz w:val="24"/>
        </w:rPr>
      </w:pPr>
      <w:r>
        <w:rPr>
          <w:rFonts w:ascii="Times New Roman" w:hAnsi="Times New Roman"/>
          <w:noProof w:val="0"/>
          <w:sz w:val="24"/>
        </w:rPr>
        <w:t xml:space="preserve">This information collection would require </w:t>
      </w:r>
      <w:r w:rsidR="005E52ED">
        <w:rPr>
          <w:rFonts w:ascii="Times New Roman" w:hAnsi="Times New Roman"/>
          <w:noProof w:val="0"/>
          <w:sz w:val="24"/>
        </w:rPr>
        <w:t>any person</w:t>
      </w:r>
      <w:r>
        <w:rPr>
          <w:rFonts w:ascii="Times New Roman" w:hAnsi="Times New Roman"/>
          <w:noProof w:val="0"/>
          <w:sz w:val="24"/>
        </w:rPr>
        <w:t>, wishing to exempt</w:t>
      </w:r>
      <w:r w:rsidR="005E52ED">
        <w:rPr>
          <w:rFonts w:ascii="Times New Roman" w:hAnsi="Times New Roman"/>
          <w:noProof w:val="0"/>
          <w:sz w:val="24"/>
        </w:rPr>
        <w:t xml:space="preserve"> a chemical preparation</w:t>
      </w:r>
      <w:r>
        <w:rPr>
          <w:rFonts w:ascii="Times New Roman" w:hAnsi="Times New Roman"/>
          <w:noProof w:val="0"/>
          <w:sz w:val="24"/>
        </w:rPr>
        <w:t xml:space="preserve">, to submit an application.  </w:t>
      </w:r>
    </w:p>
    <w:p w:rsidRPr="00B051D2" w:rsidR="00253306" w:rsidRDefault="00253306" w14:paraId="2185B206" w14:textId="77777777">
      <w:pPr>
        <w:contextualSpacing/>
        <w:rPr>
          <w:rFonts w:ascii="Times New Roman" w:hAnsi="Times New Roman"/>
          <w:b/>
          <w:noProof w:val="0"/>
          <w:sz w:val="24"/>
        </w:rPr>
      </w:pPr>
    </w:p>
    <w:p w:rsidRPr="00B051D2" w:rsidR="00253306" w:rsidRDefault="00253306" w14:paraId="210B6321" w14:textId="77777777">
      <w:pPr>
        <w:contextualSpacing/>
        <w:rPr>
          <w:rFonts w:ascii="Times New Roman" w:hAnsi="Times New Roman"/>
          <w:b/>
          <w:noProof w:val="0"/>
          <w:sz w:val="24"/>
        </w:rPr>
      </w:pPr>
      <w:r w:rsidRPr="00B051D2">
        <w:rPr>
          <w:rFonts w:ascii="Times New Roman" w:hAnsi="Times New Roman"/>
          <w:b/>
          <w:noProof w:val="0"/>
          <w:sz w:val="24"/>
        </w:rPr>
        <w:t xml:space="preserve">Part A. </w:t>
      </w:r>
      <w:r>
        <w:rPr>
          <w:rFonts w:ascii="Times New Roman" w:hAnsi="Times New Roman"/>
          <w:b/>
          <w:noProof w:val="0"/>
          <w:sz w:val="24"/>
        </w:rPr>
        <w:t>Justification</w:t>
      </w:r>
      <w:r w:rsidRPr="00B051D2">
        <w:rPr>
          <w:rFonts w:ascii="Times New Roman" w:hAnsi="Times New Roman"/>
          <w:b/>
          <w:noProof w:val="0"/>
          <w:sz w:val="24"/>
        </w:rPr>
        <w:t xml:space="preserve"> </w:t>
      </w:r>
    </w:p>
    <w:p w:rsidR="00253306" w:rsidRDefault="00253306" w14:paraId="4CE69F63" w14:textId="77777777">
      <w:pPr>
        <w:contextualSpacing/>
        <w:rPr>
          <w:rFonts w:ascii="Times New Roman" w:hAnsi="Times New Roman"/>
          <w:noProof w:val="0"/>
          <w:sz w:val="24"/>
        </w:rPr>
      </w:pPr>
    </w:p>
    <w:p w:rsidR="00575315" w:rsidP="0033457E" w:rsidRDefault="000C1537" w14:paraId="18E0DE9D" w14:textId="626D9FA2">
      <w:pPr>
        <w:tabs>
          <w:tab w:val="left" w:pos="720"/>
          <w:tab w:val="left" w:pos="1440"/>
          <w:tab w:val="left" w:pos="2160"/>
        </w:tabs>
        <w:contextualSpacing/>
        <w:rPr>
          <w:rFonts w:ascii="Times New Roman" w:hAnsi="Times New Roman"/>
          <w:noProof w:val="0"/>
          <w:sz w:val="24"/>
          <w:szCs w:val="24"/>
        </w:rPr>
      </w:pPr>
      <w:r w:rsidRPr="00C906CA">
        <w:rPr>
          <w:rFonts w:ascii="Times New Roman" w:hAnsi="Times New Roman"/>
          <w:noProof w:val="0"/>
          <w:sz w:val="24"/>
          <w:szCs w:val="24"/>
        </w:rPr>
        <w:t xml:space="preserve">1. </w:t>
      </w:r>
      <w:r w:rsidRPr="00C906CA" w:rsidR="00090C0E">
        <w:rPr>
          <w:rFonts w:ascii="Times New Roman" w:hAnsi="Times New Roman"/>
          <w:noProof w:val="0"/>
          <w:sz w:val="24"/>
          <w:szCs w:val="24"/>
        </w:rPr>
        <w:t xml:space="preserve"> </w:t>
      </w:r>
      <w:r w:rsidRPr="002C638C" w:rsidR="00575315">
        <w:rPr>
          <w:rFonts w:ascii="Times New Roman" w:hAnsi="Times New Roman"/>
          <w:noProof w:val="0"/>
          <w:sz w:val="24"/>
          <w:szCs w:val="24"/>
          <w:u w:val="single"/>
        </w:rPr>
        <w:t>Necessity of Information</w:t>
      </w:r>
    </w:p>
    <w:p w:rsidR="00575315" w:rsidP="0033457E" w:rsidRDefault="00575315" w14:paraId="5E5C09EF" w14:textId="77777777">
      <w:pPr>
        <w:tabs>
          <w:tab w:val="left" w:pos="720"/>
          <w:tab w:val="left" w:pos="1440"/>
          <w:tab w:val="left" w:pos="2160"/>
        </w:tabs>
        <w:contextualSpacing/>
        <w:rPr>
          <w:rFonts w:ascii="Times New Roman" w:hAnsi="Times New Roman"/>
          <w:noProof w:val="0"/>
          <w:sz w:val="24"/>
          <w:szCs w:val="24"/>
        </w:rPr>
      </w:pPr>
    </w:p>
    <w:p w:rsidRPr="002C638C" w:rsidR="001A64B0" w:rsidP="0033457E" w:rsidRDefault="00575315" w14:paraId="0BA079D6" w14:textId="6028B59F">
      <w:pPr>
        <w:tabs>
          <w:tab w:val="left" w:pos="720"/>
          <w:tab w:val="left" w:pos="1440"/>
          <w:tab w:val="left" w:pos="2160"/>
        </w:tabs>
        <w:contextualSpacing/>
        <w:rPr>
          <w:rFonts w:ascii="Times New Roman" w:hAnsi="Times New Roman"/>
          <w:noProof w:val="0"/>
          <w:sz w:val="24"/>
          <w:szCs w:val="24"/>
        </w:rPr>
      </w:pPr>
      <w:r>
        <w:rPr>
          <w:rFonts w:ascii="Times New Roman" w:hAnsi="Times New Roman"/>
          <w:noProof w:val="0"/>
          <w:sz w:val="24"/>
          <w:szCs w:val="24"/>
        </w:rPr>
        <w:t xml:space="preserve">In accordance </w:t>
      </w:r>
      <w:r w:rsidRPr="00575315">
        <w:rPr>
          <w:rFonts w:ascii="Times New Roman" w:hAnsi="Times New Roman"/>
          <w:noProof w:val="0"/>
          <w:sz w:val="24"/>
          <w:szCs w:val="24"/>
        </w:rPr>
        <w:t>with</w:t>
      </w:r>
      <w:r w:rsidR="000815D9">
        <w:rPr>
          <w:rFonts w:ascii="Times New Roman" w:hAnsi="Times New Roman"/>
          <w:noProof w:val="0"/>
          <w:sz w:val="24"/>
          <w:szCs w:val="24"/>
        </w:rPr>
        <w:t xml:space="preserve"> the Controlled Substances Act (CSA),</w:t>
      </w:r>
      <w:r w:rsidRPr="00575315">
        <w:rPr>
          <w:rFonts w:ascii="Times New Roman" w:hAnsi="Times New Roman"/>
          <w:noProof w:val="0"/>
          <w:sz w:val="24"/>
          <w:szCs w:val="24"/>
        </w:rPr>
        <w:t xml:space="preserve"> </w:t>
      </w:r>
      <w:r w:rsidRPr="002C638C">
        <w:rPr>
          <w:rFonts w:ascii="Times New Roman" w:hAnsi="Times New Roman"/>
          <w:sz w:val="24"/>
          <w:szCs w:val="24"/>
        </w:rPr>
        <w:t xml:space="preserve">21 U.S.C. 811(g)(3)(B), </w:t>
      </w:r>
      <w:r w:rsidR="000815D9">
        <w:rPr>
          <w:rFonts w:ascii="Times New Roman" w:hAnsi="Times New Roman"/>
          <w:sz w:val="24"/>
          <w:szCs w:val="24"/>
        </w:rPr>
        <w:t>DEA may</w:t>
      </w:r>
      <w:r w:rsidRPr="002C638C">
        <w:rPr>
          <w:rFonts w:ascii="Times New Roman" w:hAnsi="Times New Roman"/>
          <w:sz w:val="24"/>
          <w:szCs w:val="24"/>
        </w:rPr>
        <w:t xml:space="preserve"> exempt from specific provisions of the CSA</w:t>
      </w:r>
      <w:r w:rsidR="000815D9">
        <w:rPr>
          <w:rFonts w:ascii="Times New Roman" w:hAnsi="Times New Roman"/>
          <w:sz w:val="24"/>
          <w:szCs w:val="24"/>
        </w:rPr>
        <w:t>,</w:t>
      </w:r>
      <w:r w:rsidRPr="002C638C">
        <w:rPr>
          <w:rFonts w:ascii="Times New Roman" w:hAnsi="Times New Roman"/>
          <w:sz w:val="24"/>
          <w:szCs w:val="24"/>
        </w:rPr>
        <w:t xml:space="preserve"> any compound, mixture, or preparation containing any controlled substance, which is not for administration to a human being or animal, and which is packaged in a certain manner, so that as packaged it does not present any significant potential for abuse.</w:t>
      </w:r>
      <w:r w:rsidR="000815D9">
        <w:rPr>
          <w:rFonts w:ascii="Times New Roman" w:hAnsi="Times New Roman"/>
          <w:sz w:val="24"/>
          <w:szCs w:val="24"/>
        </w:rPr>
        <w:t xml:space="preserve">  </w:t>
      </w:r>
      <w:r w:rsidRPr="0095448E" w:rsidR="000815D9">
        <w:rPr>
          <w:rFonts w:ascii="Times New Roman" w:hAnsi="Times New Roman"/>
          <w:sz w:val="24"/>
          <w:szCs w:val="24"/>
        </w:rPr>
        <w:t>21 U.S.C. 811(g)(3)(B)</w:t>
      </w:r>
      <w:r w:rsidR="000815D9">
        <w:rPr>
          <w:rFonts w:ascii="Times New Roman" w:hAnsi="Times New Roman"/>
          <w:sz w:val="24"/>
          <w:szCs w:val="24"/>
        </w:rPr>
        <w:t xml:space="preserve">.  </w:t>
      </w:r>
      <w:r w:rsidRPr="00EB5B58">
        <w:t xml:space="preserve">  </w:t>
      </w:r>
      <w:r w:rsidRPr="0033457E" w:rsidR="00721E41">
        <w:rPr>
          <w:rFonts w:ascii="Times New Roman" w:hAnsi="Times New Roman"/>
          <w:noProof w:val="0"/>
          <w:sz w:val="24"/>
          <w:szCs w:val="24"/>
        </w:rPr>
        <w:t>DEA</w:t>
      </w:r>
      <w:r w:rsidR="00F01E40">
        <w:rPr>
          <w:rFonts w:ascii="Times New Roman" w:hAnsi="Times New Roman"/>
          <w:noProof w:val="0"/>
          <w:sz w:val="24"/>
          <w:szCs w:val="24"/>
        </w:rPr>
        <w:t xml:space="preserve"> </w:t>
      </w:r>
      <w:r w:rsidR="000815D9">
        <w:rPr>
          <w:rFonts w:ascii="Times New Roman" w:hAnsi="Times New Roman"/>
          <w:noProof w:val="0"/>
          <w:sz w:val="24"/>
          <w:szCs w:val="24"/>
        </w:rPr>
        <w:t xml:space="preserve">must </w:t>
      </w:r>
      <w:r w:rsidR="005759EF">
        <w:rPr>
          <w:rFonts w:ascii="Times New Roman" w:hAnsi="Times New Roman"/>
          <w:noProof w:val="0"/>
          <w:sz w:val="24"/>
          <w:szCs w:val="24"/>
        </w:rPr>
        <w:t>conduct</w:t>
      </w:r>
      <w:r w:rsidR="000815D9">
        <w:rPr>
          <w:rFonts w:ascii="Times New Roman" w:hAnsi="Times New Roman"/>
          <w:noProof w:val="0"/>
          <w:sz w:val="24"/>
          <w:szCs w:val="24"/>
        </w:rPr>
        <w:t xml:space="preserve"> a </w:t>
      </w:r>
      <w:r w:rsidRPr="0033457E" w:rsidR="004E2280">
        <w:rPr>
          <w:rFonts w:ascii="Times New Roman" w:hAnsi="Times New Roman"/>
          <w:noProof w:val="0"/>
          <w:sz w:val="24"/>
          <w:szCs w:val="24"/>
        </w:rPr>
        <w:t xml:space="preserve">case-by-case </w:t>
      </w:r>
      <w:r w:rsidR="005759EF">
        <w:rPr>
          <w:rFonts w:ascii="Times New Roman" w:hAnsi="Times New Roman"/>
          <w:noProof w:val="0"/>
          <w:sz w:val="24"/>
          <w:szCs w:val="24"/>
        </w:rPr>
        <w:t>analysis of</w:t>
      </w:r>
      <w:r w:rsidRPr="0033457E" w:rsidR="005759EF">
        <w:rPr>
          <w:rFonts w:ascii="Times New Roman" w:hAnsi="Times New Roman"/>
          <w:noProof w:val="0"/>
          <w:sz w:val="24"/>
          <w:szCs w:val="24"/>
        </w:rPr>
        <w:t xml:space="preserve"> </w:t>
      </w:r>
      <w:r w:rsidRPr="0033457E" w:rsidR="004E2280">
        <w:rPr>
          <w:rFonts w:ascii="Times New Roman" w:hAnsi="Times New Roman"/>
          <w:noProof w:val="0"/>
          <w:sz w:val="24"/>
          <w:szCs w:val="24"/>
        </w:rPr>
        <w:t xml:space="preserve">each application under 21 CFR 1308.23 to ensure that exempt chemical preparations </w:t>
      </w:r>
      <w:r w:rsidR="005E52ED">
        <w:rPr>
          <w:rFonts w:ascii="Times New Roman" w:hAnsi="Times New Roman"/>
          <w:noProof w:val="0"/>
          <w:sz w:val="24"/>
          <w:szCs w:val="24"/>
        </w:rPr>
        <w:t>are</w:t>
      </w:r>
      <w:r w:rsidRPr="0033457E" w:rsidR="005E52ED">
        <w:rPr>
          <w:rFonts w:ascii="Times New Roman" w:hAnsi="Times New Roman"/>
          <w:noProof w:val="0"/>
          <w:sz w:val="24"/>
          <w:szCs w:val="24"/>
        </w:rPr>
        <w:t xml:space="preserve"> </w:t>
      </w:r>
      <w:r w:rsidRPr="0033457E" w:rsidR="004E2280">
        <w:rPr>
          <w:rFonts w:ascii="Times New Roman" w:hAnsi="Times New Roman"/>
          <w:noProof w:val="0"/>
          <w:sz w:val="24"/>
          <w:szCs w:val="24"/>
        </w:rPr>
        <w:t xml:space="preserve">compliant with current statutory and regulatory requirements.  </w:t>
      </w:r>
      <w:r w:rsidRPr="0033457E" w:rsidR="00892D52">
        <w:rPr>
          <w:rFonts w:ascii="Times New Roman" w:hAnsi="Times New Roman"/>
          <w:noProof w:val="0"/>
          <w:sz w:val="24"/>
          <w:szCs w:val="24"/>
        </w:rPr>
        <w:t xml:space="preserve">  </w:t>
      </w:r>
      <w:r w:rsidR="00B84EAB">
        <w:rPr>
          <w:rFonts w:ascii="Times New Roman" w:hAnsi="Times New Roman"/>
          <w:noProof w:val="0"/>
          <w:sz w:val="24"/>
          <w:szCs w:val="24"/>
        </w:rPr>
        <w:t xml:space="preserve">To best serve the public interest, </w:t>
      </w:r>
      <w:r w:rsidRPr="0033457E" w:rsidR="00892D52">
        <w:rPr>
          <w:rFonts w:ascii="Times New Roman" w:hAnsi="Times New Roman"/>
          <w:noProof w:val="0"/>
          <w:sz w:val="24"/>
          <w:szCs w:val="24"/>
        </w:rPr>
        <w:t>DEA must remain vigilant to ensure that e</w:t>
      </w:r>
      <w:r w:rsidRPr="0033457E" w:rsidR="00CC527F">
        <w:rPr>
          <w:rFonts w:ascii="Times New Roman" w:hAnsi="Times New Roman"/>
          <w:noProof w:val="0"/>
          <w:sz w:val="24"/>
          <w:szCs w:val="24"/>
        </w:rPr>
        <w:t xml:space="preserve">xempt chemical preparations </w:t>
      </w:r>
      <w:r w:rsidR="00B84EAB">
        <w:rPr>
          <w:rFonts w:ascii="Times New Roman" w:hAnsi="Times New Roman"/>
          <w:noProof w:val="0"/>
          <w:sz w:val="24"/>
          <w:szCs w:val="24"/>
        </w:rPr>
        <w:t>are</w:t>
      </w:r>
      <w:r w:rsidRPr="0033457E" w:rsidR="00B84EAB">
        <w:rPr>
          <w:rFonts w:ascii="Times New Roman" w:hAnsi="Times New Roman"/>
          <w:noProof w:val="0"/>
          <w:sz w:val="24"/>
          <w:szCs w:val="24"/>
        </w:rPr>
        <w:t xml:space="preserve"> </w:t>
      </w:r>
      <w:r w:rsidRPr="0033457E" w:rsidR="00892D52">
        <w:rPr>
          <w:rFonts w:ascii="Times New Roman" w:hAnsi="Times New Roman"/>
          <w:noProof w:val="0"/>
          <w:sz w:val="24"/>
          <w:szCs w:val="24"/>
        </w:rPr>
        <w:t>consistent with the standards set forth in the CSA and implementing regulations</w:t>
      </w:r>
      <w:r w:rsidRPr="002C638C" w:rsidR="00892D52">
        <w:rPr>
          <w:rFonts w:ascii="Times New Roman" w:hAnsi="Times New Roman"/>
          <w:noProof w:val="0"/>
          <w:sz w:val="24"/>
          <w:szCs w:val="24"/>
        </w:rPr>
        <w:t xml:space="preserve">.  </w:t>
      </w:r>
      <w:r w:rsidR="00472026">
        <w:rPr>
          <w:rFonts w:ascii="Times New Roman" w:hAnsi="Times New Roman"/>
          <w:noProof w:val="0"/>
          <w:sz w:val="24"/>
          <w:szCs w:val="24"/>
        </w:rPr>
        <w:t>In addition</w:t>
      </w:r>
      <w:r w:rsidR="00E0584C">
        <w:rPr>
          <w:rFonts w:ascii="Times New Roman" w:hAnsi="Times New Roman"/>
          <w:noProof w:val="0"/>
          <w:sz w:val="24"/>
          <w:szCs w:val="24"/>
        </w:rPr>
        <w:t xml:space="preserve">, DEA </w:t>
      </w:r>
      <w:r w:rsidR="000F7B3A">
        <w:rPr>
          <w:rFonts w:ascii="Times New Roman" w:hAnsi="Times New Roman"/>
          <w:noProof w:val="0"/>
          <w:sz w:val="24"/>
          <w:szCs w:val="24"/>
        </w:rPr>
        <w:t xml:space="preserve">must </w:t>
      </w:r>
      <w:r w:rsidR="00E0584C">
        <w:rPr>
          <w:rFonts w:ascii="Times New Roman" w:hAnsi="Times New Roman"/>
          <w:noProof w:val="0"/>
          <w:sz w:val="24"/>
          <w:szCs w:val="24"/>
        </w:rPr>
        <w:t xml:space="preserve">routinely evaluate requests from applicants </w:t>
      </w:r>
      <w:r w:rsidR="000F7B3A">
        <w:rPr>
          <w:rFonts w:ascii="Times New Roman" w:hAnsi="Times New Roman"/>
          <w:noProof w:val="0"/>
          <w:sz w:val="24"/>
          <w:szCs w:val="24"/>
        </w:rPr>
        <w:t xml:space="preserve">industry, </w:t>
      </w:r>
      <w:r w:rsidR="00E0584C">
        <w:rPr>
          <w:rFonts w:ascii="Times New Roman" w:hAnsi="Times New Roman"/>
          <w:noProof w:val="0"/>
          <w:sz w:val="24"/>
          <w:szCs w:val="24"/>
        </w:rPr>
        <w:t xml:space="preserve">and the public related to exempt chemical preparations. </w:t>
      </w:r>
      <w:r w:rsidR="00472026">
        <w:rPr>
          <w:rFonts w:ascii="Times New Roman" w:hAnsi="Times New Roman"/>
          <w:noProof w:val="0"/>
          <w:sz w:val="24"/>
          <w:szCs w:val="24"/>
        </w:rPr>
        <w:t xml:space="preserve">The review and response to these requests provides the requestor with the necessary information to apply, </w:t>
      </w:r>
      <w:r w:rsidR="000F7B3A">
        <w:rPr>
          <w:rFonts w:ascii="Times New Roman" w:hAnsi="Times New Roman"/>
          <w:noProof w:val="0"/>
          <w:sz w:val="24"/>
          <w:szCs w:val="24"/>
        </w:rPr>
        <w:t>make requests</w:t>
      </w:r>
      <w:r w:rsidR="00472026">
        <w:rPr>
          <w:rFonts w:ascii="Times New Roman" w:hAnsi="Times New Roman"/>
          <w:noProof w:val="0"/>
          <w:sz w:val="24"/>
          <w:szCs w:val="24"/>
        </w:rPr>
        <w:t xml:space="preserve"> </w:t>
      </w:r>
      <w:r w:rsidR="000F7B3A">
        <w:rPr>
          <w:rFonts w:ascii="Times New Roman" w:hAnsi="Times New Roman"/>
          <w:noProof w:val="0"/>
          <w:sz w:val="24"/>
          <w:szCs w:val="24"/>
        </w:rPr>
        <w:t xml:space="preserve">related to </w:t>
      </w:r>
      <w:r w:rsidR="00472026">
        <w:rPr>
          <w:rFonts w:ascii="Times New Roman" w:hAnsi="Times New Roman"/>
          <w:noProof w:val="0"/>
          <w:sz w:val="24"/>
          <w:szCs w:val="24"/>
        </w:rPr>
        <w:t>their current exemptions, or gain clarification about the exemptio</w:t>
      </w:r>
      <w:r w:rsidR="000F7B3A">
        <w:rPr>
          <w:rFonts w:ascii="Times New Roman" w:hAnsi="Times New Roman"/>
          <w:noProof w:val="0"/>
          <w:sz w:val="24"/>
          <w:szCs w:val="24"/>
        </w:rPr>
        <w:t xml:space="preserve">n process.  </w:t>
      </w:r>
    </w:p>
    <w:p w:rsidRPr="00C906CA" w:rsidR="00695627" w:rsidP="00575315" w:rsidRDefault="00695627" w14:paraId="266EBC3E" w14:textId="77777777">
      <w:pPr>
        <w:tabs>
          <w:tab w:val="left" w:pos="720"/>
          <w:tab w:val="left" w:pos="1440"/>
          <w:tab w:val="left" w:pos="2160"/>
        </w:tabs>
        <w:contextualSpacing/>
        <w:rPr>
          <w:rFonts w:ascii="Times New Roman" w:hAnsi="Times New Roman"/>
          <w:noProof w:val="0"/>
          <w:sz w:val="24"/>
          <w:szCs w:val="24"/>
        </w:rPr>
      </w:pPr>
    </w:p>
    <w:p w:rsidR="00575315" w:rsidP="002C638C" w:rsidRDefault="000C1537" w14:paraId="5295F19D" w14:textId="5C165A3B">
      <w:pPr>
        <w:spacing w:before="100"/>
        <w:ind w:right="720"/>
        <w:contextualSpacing/>
        <w:rPr>
          <w:rFonts w:ascii="Times New Roman" w:hAnsi="Times New Roman"/>
          <w:noProof w:val="0"/>
          <w:sz w:val="24"/>
          <w:szCs w:val="24"/>
          <w:u w:val="single"/>
        </w:rPr>
      </w:pPr>
      <w:r w:rsidRPr="004E0BF9">
        <w:rPr>
          <w:rFonts w:ascii="Times New Roman" w:hAnsi="Times New Roman"/>
          <w:noProof w:val="0"/>
          <w:sz w:val="24"/>
          <w:szCs w:val="24"/>
        </w:rPr>
        <w:t xml:space="preserve">2. </w:t>
      </w:r>
      <w:r w:rsidRPr="004E0BF9" w:rsidR="00090C0E">
        <w:rPr>
          <w:rFonts w:ascii="Times New Roman" w:hAnsi="Times New Roman"/>
          <w:noProof w:val="0"/>
          <w:sz w:val="24"/>
          <w:szCs w:val="24"/>
        </w:rPr>
        <w:t xml:space="preserve"> </w:t>
      </w:r>
      <w:r w:rsidRPr="004E0BF9" w:rsidR="004202AA">
        <w:rPr>
          <w:rFonts w:ascii="Times New Roman" w:hAnsi="Times New Roman"/>
          <w:noProof w:val="0"/>
          <w:sz w:val="24"/>
          <w:szCs w:val="24"/>
          <w:u w:val="single"/>
        </w:rPr>
        <w:t>Needs and Uses</w:t>
      </w:r>
      <w:r w:rsidR="00CC527F">
        <w:rPr>
          <w:rFonts w:ascii="Times New Roman" w:hAnsi="Times New Roman"/>
          <w:noProof w:val="0"/>
          <w:sz w:val="24"/>
          <w:szCs w:val="24"/>
          <w:u w:val="single"/>
        </w:rPr>
        <w:t xml:space="preserve">  </w:t>
      </w:r>
    </w:p>
    <w:p w:rsidR="00575315" w:rsidP="002C638C" w:rsidRDefault="00575315" w14:paraId="6090788D" w14:textId="77777777">
      <w:pPr>
        <w:spacing w:before="100"/>
        <w:ind w:right="720"/>
        <w:contextualSpacing/>
        <w:rPr>
          <w:rFonts w:ascii="Times New Roman" w:hAnsi="Times New Roman"/>
          <w:noProof w:val="0"/>
          <w:sz w:val="24"/>
          <w:szCs w:val="24"/>
          <w:u w:val="single"/>
        </w:rPr>
      </w:pPr>
    </w:p>
    <w:p w:rsidR="00E0584C" w:rsidP="002C638C" w:rsidRDefault="000815D9" w14:paraId="3F06C296" w14:textId="77777777">
      <w:pPr>
        <w:spacing w:before="100"/>
        <w:ind w:right="720"/>
        <w:contextualSpacing/>
        <w:rPr>
          <w:rFonts w:ascii="Times New Roman" w:hAnsi="Times New Roman"/>
          <w:sz w:val="24"/>
          <w:szCs w:val="24"/>
        </w:rPr>
      </w:pPr>
      <w:r>
        <w:rPr>
          <w:rFonts w:ascii="Times New Roman" w:hAnsi="Times New Roman"/>
          <w:sz w:val="24"/>
          <w:szCs w:val="24"/>
        </w:rPr>
        <w:t xml:space="preserve">DEA’s regulations require </w:t>
      </w:r>
      <w:r w:rsidRPr="00575315" w:rsidR="00707D42">
        <w:rPr>
          <w:rFonts w:ascii="Times New Roman" w:hAnsi="Times New Roman"/>
          <w:sz w:val="24"/>
          <w:szCs w:val="24"/>
        </w:rPr>
        <w:t>any person wishing to have any preparation of mixture containing a controlled substance and one or more noncontrolled substances exempted from any part of the CSA</w:t>
      </w:r>
      <w:r>
        <w:rPr>
          <w:rFonts w:ascii="Times New Roman" w:hAnsi="Times New Roman"/>
          <w:sz w:val="24"/>
          <w:szCs w:val="24"/>
        </w:rPr>
        <w:t xml:space="preserve"> to apply to the Drug and Chemical Evaluation Section within the Diversion Control Division of DEA</w:t>
      </w:r>
      <w:r w:rsidRPr="00575315" w:rsidR="00707D42">
        <w:rPr>
          <w:rFonts w:ascii="Times New Roman" w:hAnsi="Times New Roman"/>
          <w:sz w:val="24"/>
          <w:szCs w:val="24"/>
        </w:rPr>
        <w:t>.</w:t>
      </w:r>
      <w:r>
        <w:rPr>
          <w:rFonts w:ascii="Times New Roman" w:hAnsi="Times New Roman"/>
          <w:sz w:val="24"/>
          <w:szCs w:val="24"/>
        </w:rPr>
        <w:t xml:space="preserve">  21 CFR 1308.23(b).  This application would provide a uniform method of applying for an exemption.  The application would help DEA determine whether the exemption should be granted.</w:t>
      </w:r>
      <w:r w:rsidRPr="00575315" w:rsidR="00707D42">
        <w:rPr>
          <w:rFonts w:ascii="Times New Roman" w:hAnsi="Times New Roman"/>
          <w:sz w:val="24"/>
          <w:szCs w:val="24"/>
        </w:rPr>
        <w:t xml:space="preserve">  The application </w:t>
      </w:r>
      <w:r w:rsidRPr="00575315" w:rsidR="00167471">
        <w:rPr>
          <w:rFonts w:ascii="Times New Roman" w:hAnsi="Times New Roman"/>
          <w:sz w:val="24"/>
          <w:szCs w:val="24"/>
        </w:rPr>
        <w:t xml:space="preserve">for an exemption </w:t>
      </w:r>
      <w:r w:rsidRPr="00575315" w:rsidR="00707D42">
        <w:rPr>
          <w:rFonts w:ascii="Times New Roman" w:hAnsi="Times New Roman"/>
          <w:sz w:val="24"/>
          <w:szCs w:val="24"/>
        </w:rPr>
        <w:t>will include</w:t>
      </w:r>
      <w:r w:rsidRPr="00575315" w:rsidR="00167471">
        <w:rPr>
          <w:rFonts w:ascii="Times New Roman" w:hAnsi="Times New Roman"/>
          <w:sz w:val="24"/>
          <w:szCs w:val="24"/>
        </w:rPr>
        <w:t>:</w:t>
      </w:r>
      <w:r w:rsidRPr="00575315" w:rsidR="00707D42">
        <w:rPr>
          <w:rFonts w:ascii="Times New Roman" w:hAnsi="Times New Roman"/>
          <w:sz w:val="24"/>
          <w:szCs w:val="24"/>
        </w:rPr>
        <w:t xml:space="preserve"> </w:t>
      </w:r>
      <w:r w:rsidRPr="00575315" w:rsidR="00167471">
        <w:rPr>
          <w:rFonts w:ascii="Times New Roman" w:hAnsi="Times New Roman"/>
          <w:sz w:val="24"/>
          <w:szCs w:val="24"/>
        </w:rPr>
        <w:t xml:space="preserve"> (1) the name, address, and registration number, if any, of the applicant; (2) the name, address, and registration number, if any, of the manufacturer or importer of the preparation or mixture, if not the applicant; (3) the exact trade name or other designation of the preparation or mixture; (4) the complete qualitative and quantitative composition of the preparation or mixture (including all active and inactive ingredients and all controlled </w:t>
      </w:r>
      <w:r w:rsidRPr="00575315" w:rsidR="00167471">
        <w:rPr>
          <w:rFonts w:ascii="Times New Roman" w:hAnsi="Times New Roman"/>
          <w:sz w:val="24"/>
          <w:szCs w:val="24"/>
        </w:rPr>
        <w:lastRenderedPageBreak/>
        <w:t xml:space="preserve">and non-controlled substances); </w:t>
      </w:r>
      <w:r w:rsidR="00575315">
        <w:rPr>
          <w:rFonts w:ascii="Times New Roman" w:hAnsi="Times New Roman"/>
          <w:sz w:val="24"/>
          <w:szCs w:val="24"/>
        </w:rPr>
        <w:t>(</w:t>
      </w:r>
      <w:r w:rsidRPr="00575315" w:rsidR="00167471">
        <w:rPr>
          <w:rFonts w:ascii="Times New Roman" w:hAnsi="Times New Roman"/>
          <w:sz w:val="24"/>
          <w:szCs w:val="24"/>
        </w:rPr>
        <w:t>5) the form of the immediate container in which the preparation or mixture will be distributed with sufficient descriptive detail to identify the preparation or mixture (e.g., bottle, packet, vial, soft plastic pillow, agar gel plate, etc.); (6) the dimensions or capacity of the immediate container of the preparation or mixture;</w:t>
      </w:r>
      <w:r w:rsidRPr="00575315" w:rsidR="00575315">
        <w:rPr>
          <w:rFonts w:ascii="Times New Roman" w:hAnsi="Times New Roman"/>
          <w:sz w:val="24"/>
          <w:szCs w:val="24"/>
        </w:rPr>
        <w:t xml:space="preserve"> </w:t>
      </w:r>
      <w:r w:rsidRPr="00575315" w:rsidR="00167471">
        <w:rPr>
          <w:rFonts w:ascii="Times New Roman" w:hAnsi="Times New Roman"/>
          <w:sz w:val="24"/>
          <w:szCs w:val="24"/>
        </w:rPr>
        <w:t>(7) the label and labeling of the immediate container and the commercial containers, if any</w:t>
      </w:r>
      <w:r w:rsidRPr="00575315" w:rsidR="00575315">
        <w:rPr>
          <w:rFonts w:ascii="Times New Roman" w:hAnsi="Times New Roman"/>
          <w:sz w:val="24"/>
          <w:szCs w:val="24"/>
        </w:rPr>
        <w:t>, of the preparation or mixture</w:t>
      </w:r>
      <w:r w:rsidR="00575315">
        <w:rPr>
          <w:rFonts w:ascii="Times New Roman" w:hAnsi="Times New Roman"/>
          <w:sz w:val="24"/>
          <w:szCs w:val="24"/>
        </w:rPr>
        <w:t xml:space="preserve"> such as a L</w:t>
      </w:r>
      <w:r w:rsidRPr="00575315" w:rsidR="00167471">
        <w:rPr>
          <w:rFonts w:ascii="Times New Roman" w:hAnsi="Times New Roman"/>
          <w:sz w:val="24"/>
          <w:szCs w:val="24"/>
        </w:rPr>
        <w:t>aboratory Use Only statement</w:t>
      </w:r>
      <w:r w:rsidR="00575315">
        <w:rPr>
          <w:rFonts w:ascii="Times New Roman" w:hAnsi="Times New Roman"/>
          <w:sz w:val="24"/>
          <w:szCs w:val="24"/>
        </w:rPr>
        <w:t xml:space="preserve">;  </w:t>
      </w:r>
      <w:r w:rsidRPr="00575315" w:rsidR="00167471">
        <w:rPr>
          <w:rFonts w:ascii="Times New Roman" w:hAnsi="Times New Roman"/>
          <w:sz w:val="24"/>
          <w:szCs w:val="24"/>
        </w:rPr>
        <w:t xml:space="preserve">(8) </w:t>
      </w:r>
      <w:r w:rsidR="00575315">
        <w:rPr>
          <w:rFonts w:ascii="Times New Roman" w:hAnsi="Times New Roman"/>
          <w:sz w:val="24"/>
          <w:szCs w:val="24"/>
        </w:rPr>
        <w:t xml:space="preserve">a </w:t>
      </w:r>
      <w:r w:rsidRPr="00575315" w:rsidR="00167471">
        <w:rPr>
          <w:rFonts w:ascii="Times New Roman" w:hAnsi="Times New Roman"/>
          <w:sz w:val="24"/>
          <w:szCs w:val="24"/>
        </w:rPr>
        <w:t xml:space="preserve">brief statement of the facts which the applicant believes justify the granting of an exemption under this paragraph, including information on the use to which the preparation or mixture will be put; (9) </w:t>
      </w:r>
      <w:r w:rsidR="00575315">
        <w:rPr>
          <w:rFonts w:ascii="Times New Roman" w:hAnsi="Times New Roman"/>
          <w:sz w:val="24"/>
          <w:szCs w:val="24"/>
        </w:rPr>
        <w:t>t</w:t>
      </w:r>
      <w:r w:rsidRPr="00575315" w:rsidR="00167471">
        <w:rPr>
          <w:rFonts w:ascii="Times New Roman" w:hAnsi="Times New Roman"/>
          <w:sz w:val="24"/>
          <w:szCs w:val="24"/>
        </w:rPr>
        <w:t xml:space="preserve">he date of the application; and (10) which of the information submitted on the application, if any, is deemed by the applicant to be a trade secret or otherwise confidential and entitled to protection under subsection 402(a)(8) of </w:t>
      </w:r>
      <w:r w:rsidR="00575315">
        <w:rPr>
          <w:rFonts w:ascii="Times New Roman" w:hAnsi="Times New Roman"/>
          <w:sz w:val="24"/>
          <w:szCs w:val="24"/>
        </w:rPr>
        <w:t>the CSA</w:t>
      </w:r>
      <w:r w:rsidRPr="00575315" w:rsidR="00167471">
        <w:rPr>
          <w:rFonts w:ascii="Times New Roman" w:hAnsi="Times New Roman"/>
          <w:sz w:val="24"/>
          <w:szCs w:val="24"/>
        </w:rPr>
        <w:t xml:space="preserve"> (</w:t>
      </w:r>
      <w:hyperlink w:history="1" w:anchor="a8" r:id="rId11">
        <w:r w:rsidRPr="00575315" w:rsidR="00167471">
          <w:rPr>
            <w:rStyle w:val="Hyperlink"/>
            <w:rFonts w:ascii="Times New Roman" w:hAnsi="Times New Roman"/>
            <w:sz w:val="24"/>
            <w:szCs w:val="24"/>
          </w:rPr>
          <w:t>21 U.S.C. 842(a) (8)</w:t>
        </w:r>
      </w:hyperlink>
      <w:r w:rsidRPr="00575315" w:rsidR="00167471">
        <w:rPr>
          <w:rFonts w:ascii="Times New Roman" w:hAnsi="Times New Roman"/>
          <w:sz w:val="24"/>
          <w:szCs w:val="24"/>
        </w:rPr>
        <w:t>) or any other law restricting public disclosure of information</w:t>
      </w:r>
      <w:r w:rsidR="00A47614">
        <w:rPr>
          <w:rFonts w:ascii="Times New Roman" w:hAnsi="Times New Roman"/>
          <w:sz w:val="24"/>
          <w:szCs w:val="24"/>
        </w:rPr>
        <w:t xml:space="preserve">.  </w:t>
      </w:r>
    </w:p>
    <w:p w:rsidR="00E0584C" w:rsidP="002C638C" w:rsidRDefault="00E0584C" w14:paraId="118220F2" w14:textId="77777777">
      <w:pPr>
        <w:spacing w:before="100"/>
        <w:ind w:right="720"/>
        <w:contextualSpacing/>
        <w:rPr>
          <w:rFonts w:ascii="Times New Roman" w:hAnsi="Times New Roman"/>
          <w:sz w:val="24"/>
          <w:szCs w:val="24"/>
        </w:rPr>
      </w:pPr>
    </w:p>
    <w:p w:rsidR="00167471" w:rsidP="002C638C" w:rsidRDefault="00A47614" w14:paraId="0F6D672C" w14:textId="310A96F0">
      <w:pPr>
        <w:spacing w:before="100"/>
        <w:ind w:right="720"/>
        <w:contextualSpacing/>
        <w:rPr>
          <w:rFonts w:ascii="Times New Roman" w:hAnsi="Times New Roman"/>
          <w:sz w:val="24"/>
          <w:szCs w:val="24"/>
        </w:rPr>
      </w:pPr>
      <w:r>
        <w:rPr>
          <w:rFonts w:ascii="Times New Roman" w:hAnsi="Times New Roman"/>
          <w:sz w:val="24"/>
          <w:szCs w:val="24"/>
        </w:rPr>
        <w:t xml:space="preserve">Additionally, </w:t>
      </w:r>
      <w:r w:rsidR="00936E66">
        <w:rPr>
          <w:rFonts w:ascii="Times New Roman" w:hAnsi="Times New Roman"/>
          <w:sz w:val="24"/>
          <w:szCs w:val="24"/>
        </w:rPr>
        <w:t xml:space="preserve">to streamline the process of submitting requests related to exempt chemcial preparations, </w:t>
      </w:r>
      <w:r>
        <w:rPr>
          <w:rFonts w:ascii="Times New Roman" w:hAnsi="Times New Roman"/>
          <w:sz w:val="24"/>
          <w:szCs w:val="24"/>
        </w:rPr>
        <w:t xml:space="preserve">the application will allow applicants to: (11) </w:t>
      </w:r>
      <w:r w:rsidR="009D67EE">
        <w:rPr>
          <w:rFonts w:ascii="Times New Roman" w:hAnsi="Times New Roman"/>
          <w:sz w:val="24"/>
          <w:szCs w:val="24"/>
        </w:rPr>
        <w:t>create a web user account; (1</w:t>
      </w:r>
      <w:r w:rsidR="00B84EAB">
        <w:rPr>
          <w:rFonts w:ascii="Times New Roman" w:hAnsi="Times New Roman"/>
          <w:sz w:val="24"/>
          <w:szCs w:val="24"/>
        </w:rPr>
        <w:t>2</w:t>
      </w:r>
      <w:r w:rsidR="009D67EE">
        <w:rPr>
          <w:rFonts w:ascii="Times New Roman" w:hAnsi="Times New Roman"/>
          <w:sz w:val="24"/>
          <w:szCs w:val="24"/>
        </w:rPr>
        <w:t xml:space="preserve">) </w:t>
      </w:r>
      <w:r w:rsidRPr="009D67EE" w:rsidR="009D67EE">
        <w:rPr>
          <w:rFonts w:ascii="Times New Roman" w:hAnsi="Times New Roman"/>
          <w:sz w:val="24"/>
          <w:szCs w:val="24"/>
        </w:rPr>
        <w:t xml:space="preserve">submit </w:t>
      </w:r>
      <w:r>
        <w:rPr>
          <w:rFonts w:ascii="Times New Roman" w:hAnsi="Times New Roman"/>
          <w:sz w:val="24"/>
          <w:szCs w:val="24"/>
        </w:rPr>
        <w:t>i</w:t>
      </w:r>
      <w:r w:rsidR="00936E66">
        <w:rPr>
          <w:rFonts w:ascii="Times New Roman" w:hAnsi="Times New Roman"/>
          <w:sz w:val="24"/>
          <w:szCs w:val="24"/>
        </w:rPr>
        <w:t>mporter or exporter</w:t>
      </w:r>
      <w:r>
        <w:rPr>
          <w:rFonts w:ascii="Times New Roman" w:hAnsi="Times New Roman"/>
          <w:sz w:val="24"/>
          <w:szCs w:val="24"/>
        </w:rPr>
        <w:t xml:space="preserve"> </w:t>
      </w:r>
      <w:r w:rsidR="005E52ED">
        <w:rPr>
          <w:rFonts w:ascii="Times New Roman" w:hAnsi="Times New Roman"/>
          <w:sz w:val="24"/>
          <w:szCs w:val="24"/>
        </w:rPr>
        <w:t>semi-annual report</w:t>
      </w:r>
      <w:r>
        <w:rPr>
          <w:rFonts w:ascii="Times New Roman" w:hAnsi="Times New Roman"/>
          <w:sz w:val="24"/>
          <w:szCs w:val="24"/>
        </w:rPr>
        <w:t>s</w:t>
      </w:r>
      <w:r w:rsidR="005E52ED">
        <w:rPr>
          <w:rFonts w:ascii="Times New Roman" w:hAnsi="Times New Roman"/>
          <w:sz w:val="24"/>
          <w:szCs w:val="24"/>
        </w:rPr>
        <w:t xml:space="preserve"> of narcotic exempt chemical preparations</w:t>
      </w:r>
      <w:r>
        <w:rPr>
          <w:rFonts w:ascii="Times New Roman" w:hAnsi="Times New Roman"/>
          <w:sz w:val="24"/>
          <w:szCs w:val="24"/>
        </w:rPr>
        <w:t xml:space="preserve"> as required by 21 CFR 1308.24(d); (1</w:t>
      </w:r>
      <w:r w:rsidR="00B84EAB">
        <w:rPr>
          <w:rFonts w:ascii="Times New Roman" w:hAnsi="Times New Roman"/>
          <w:sz w:val="24"/>
          <w:szCs w:val="24"/>
        </w:rPr>
        <w:t>3</w:t>
      </w:r>
      <w:r>
        <w:rPr>
          <w:rFonts w:ascii="Times New Roman" w:hAnsi="Times New Roman"/>
          <w:sz w:val="24"/>
          <w:szCs w:val="24"/>
        </w:rPr>
        <w:t xml:space="preserve">) </w:t>
      </w:r>
      <w:r w:rsidR="009D67EE">
        <w:rPr>
          <w:rFonts w:ascii="Times New Roman" w:hAnsi="Times New Roman"/>
          <w:sz w:val="24"/>
          <w:szCs w:val="24"/>
        </w:rPr>
        <w:t xml:space="preserve">submit </w:t>
      </w:r>
      <w:r w:rsidR="00936E66">
        <w:rPr>
          <w:rFonts w:ascii="Times New Roman" w:hAnsi="Times New Roman"/>
          <w:sz w:val="24"/>
          <w:szCs w:val="24"/>
        </w:rPr>
        <w:t>requests to remove previously approved exempt chemical preparations from the approval listing</w:t>
      </w:r>
      <w:r>
        <w:rPr>
          <w:rFonts w:ascii="Times New Roman" w:hAnsi="Times New Roman"/>
          <w:sz w:val="24"/>
          <w:szCs w:val="24"/>
        </w:rPr>
        <w:t xml:space="preserve">; </w:t>
      </w:r>
      <w:r w:rsidR="002808ED">
        <w:rPr>
          <w:rFonts w:ascii="Times New Roman" w:hAnsi="Times New Roman"/>
          <w:sz w:val="24"/>
          <w:szCs w:val="24"/>
        </w:rPr>
        <w:t>(1</w:t>
      </w:r>
      <w:r w:rsidR="00B84EAB">
        <w:rPr>
          <w:rFonts w:ascii="Times New Roman" w:hAnsi="Times New Roman"/>
          <w:sz w:val="24"/>
          <w:szCs w:val="24"/>
        </w:rPr>
        <w:t>4</w:t>
      </w:r>
      <w:r w:rsidR="002808ED">
        <w:rPr>
          <w:rFonts w:ascii="Times New Roman" w:hAnsi="Times New Roman"/>
          <w:sz w:val="24"/>
          <w:szCs w:val="24"/>
        </w:rPr>
        <w:t xml:space="preserve">) </w:t>
      </w:r>
      <w:r w:rsidR="009D67EE">
        <w:rPr>
          <w:rFonts w:ascii="Times New Roman" w:hAnsi="Times New Roman"/>
          <w:sz w:val="24"/>
          <w:szCs w:val="24"/>
        </w:rPr>
        <w:t xml:space="preserve">submit </w:t>
      </w:r>
      <w:r w:rsidR="0040110C">
        <w:rPr>
          <w:rFonts w:ascii="Times New Roman" w:hAnsi="Times New Roman"/>
          <w:sz w:val="24"/>
          <w:szCs w:val="24"/>
        </w:rPr>
        <w:t>requests for a letter showing currently approved exempt chemical preparations; (1</w:t>
      </w:r>
      <w:r w:rsidR="00B84EAB">
        <w:rPr>
          <w:rFonts w:ascii="Times New Roman" w:hAnsi="Times New Roman"/>
          <w:sz w:val="24"/>
          <w:szCs w:val="24"/>
        </w:rPr>
        <w:t>5</w:t>
      </w:r>
      <w:r w:rsidR="0040110C">
        <w:rPr>
          <w:rFonts w:ascii="Times New Roman" w:hAnsi="Times New Roman"/>
          <w:sz w:val="24"/>
          <w:szCs w:val="24"/>
        </w:rPr>
        <w:t xml:space="preserve">) </w:t>
      </w:r>
      <w:r w:rsidR="009D67EE">
        <w:rPr>
          <w:rFonts w:ascii="Times New Roman" w:hAnsi="Times New Roman"/>
          <w:sz w:val="24"/>
          <w:szCs w:val="24"/>
        </w:rPr>
        <w:t xml:space="preserve">identify </w:t>
      </w:r>
      <w:r w:rsidR="002808ED">
        <w:rPr>
          <w:rFonts w:ascii="Times New Roman" w:hAnsi="Times New Roman"/>
          <w:sz w:val="24"/>
          <w:szCs w:val="24"/>
        </w:rPr>
        <w:t xml:space="preserve">which exempt chemical preparations they </w:t>
      </w:r>
      <w:r w:rsidR="0040110C">
        <w:rPr>
          <w:rFonts w:ascii="Times New Roman" w:hAnsi="Times New Roman"/>
          <w:sz w:val="24"/>
          <w:szCs w:val="24"/>
        </w:rPr>
        <w:t>may</w:t>
      </w:r>
      <w:r w:rsidR="002808ED">
        <w:rPr>
          <w:rFonts w:ascii="Times New Roman" w:hAnsi="Times New Roman"/>
          <w:sz w:val="24"/>
          <w:szCs w:val="24"/>
        </w:rPr>
        <w:t xml:space="preserve"> be reapplying for; </w:t>
      </w:r>
      <w:r w:rsidR="0040110C">
        <w:rPr>
          <w:rFonts w:ascii="Times New Roman" w:hAnsi="Times New Roman"/>
          <w:sz w:val="24"/>
          <w:szCs w:val="24"/>
        </w:rPr>
        <w:t>(1</w:t>
      </w:r>
      <w:r w:rsidR="00B84EAB">
        <w:rPr>
          <w:rFonts w:ascii="Times New Roman" w:hAnsi="Times New Roman"/>
          <w:sz w:val="24"/>
          <w:szCs w:val="24"/>
        </w:rPr>
        <w:t>6</w:t>
      </w:r>
      <w:r w:rsidR="002808ED">
        <w:rPr>
          <w:rFonts w:ascii="Times New Roman" w:hAnsi="Times New Roman"/>
          <w:sz w:val="24"/>
          <w:szCs w:val="24"/>
        </w:rPr>
        <w:t xml:space="preserve">) </w:t>
      </w:r>
      <w:r w:rsidR="009D67EE">
        <w:rPr>
          <w:rFonts w:ascii="Times New Roman" w:hAnsi="Times New Roman"/>
          <w:sz w:val="24"/>
          <w:szCs w:val="24"/>
        </w:rPr>
        <w:t xml:space="preserve">submit </w:t>
      </w:r>
      <w:r w:rsidR="002808ED">
        <w:rPr>
          <w:rFonts w:ascii="Times New Roman" w:hAnsi="Times New Roman"/>
          <w:sz w:val="24"/>
          <w:szCs w:val="24"/>
        </w:rPr>
        <w:t xml:space="preserve">requests for changes to previously approved solvents; and </w:t>
      </w:r>
      <w:r w:rsidR="0040110C">
        <w:rPr>
          <w:rFonts w:ascii="Times New Roman" w:hAnsi="Times New Roman"/>
          <w:sz w:val="24"/>
          <w:szCs w:val="24"/>
        </w:rPr>
        <w:t>(1</w:t>
      </w:r>
      <w:r w:rsidR="00B84EAB">
        <w:rPr>
          <w:rFonts w:ascii="Times New Roman" w:hAnsi="Times New Roman"/>
          <w:sz w:val="24"/>
          <w:szCs w:val="24"/>
        </w:rPr>
        <w:t>7</w:t>
      </w:r>
      <w:r>
        <w:rPr>
          <w:rFonts w:ascii="Times New Roman" w:hAnsi="Times New Roman"/>
          <w:sz w:val="24"/>
          <w:szCs w:val="24"/>
        </w:rPr>
        <w:t xml:space="preserve">) </w:t>
      </w:r>
      <w:r w:rsidR="009D67EE">
        <w:rPr>
          <w:rFonts w:ascii="Times New Roman" w:hAnsi="Times New Roman"/>
          <w:sz w:val="24"/>
          <w:szCs w:val="24"/>
        </w:rPr>
        <w:t xml:space="preserve">submit </w:t>
      </w:r>
      <w:r w:rsidRPr="002808ED" w:rsidR="002808ED">
        <w:rPr>
          <w:rFonts w:ascii="Times New Roman" w:hAnsi="Times New Roman"/>
          <w:sz w:val="24"/>
          <w:szCs w:val="24"/>
        </w:rPr>
        <w:t xml:space="preserve">questions related to submitted </w:t>
      </w:r>
      <w:r>
        <w:rPr>
          <w:rFonts w:ascii="Times New Roman" w:hAnsi="Times New Roman"/>
          <w:sz w:val="24"/>
          <w:szCs w:val="24"/>
        </w:rPr>
        <w:t>exempt chemical preparation</w:t>
      </w:r>
      <w:r w:rsidR="009D67EE">
        <w:rPr>
          <w:rFonts w:ascii="Times New Roman" w:hAnsi="Times New Roman"/>
          <w:sz w:val="24"/>
          <w:szCs w:val="24"/>
        </w:rPr>
        <w:t xml:space="preserve"> request</w:t>
      </w:r>
      <w:r w:rsidR="00B84EAB">
        <w:rPr>
          <w:rFonts w:ascii="Times New Roman" w:hAnsi="Times New Roman"/>
          <w:sz w:val="24"/>
          <w:szCs w:val="24"/>
        </w:rPr>
        <w:t>s</w:t>
      </w:r>
      <w:r w:rsidR="00936E66">
        <w:rPr>
          <w:rFonts w:ascii="Times New Roman" w:hAnsi="Times New Roman"/>
          <w:sz w:val="24"/>
          <w:szCs w:val="24"/>
        </w:rPr>
        <w:t>.</w:t>
      </w:r>
      <w:r w:rsidRPr="00575315" w:rsidR="00167471">
        <w:rPr>
          <w:rFonts w:ascii="Times New Roman" w:hAnsi="Times New Roman"/>
          <w:sz w:val="24"/>
          <w:szCs w:val="24"/>
        </w:rPr>
        <w:t xml:space="preserve"> </w:t>
      </w:r>
    </w:p>
    <w:p w:rsidRPr="00575315" w:rsidR="00482164" w:rsidP="002C638C" w:rsidRDefault="00482164" w14:paraId="24961BDC" w14:textId="77777777">
      <w:pPr>
        <w:spacing w:before="100"/>
        <w:ind w:right="720"/>
        <w:contextualSpacing/>
        <w:rPr>
          <w:rFonts w:ascii="Times New Roman" w:hAnsi="Times New Roman"/>
          <w:sz w:val="24"/>
          <w:szCs w:val="24"/>
        </w:rPr>
      </w:pPr>
    </w:p>
    <w:p w:rsidRPr="0033457E" w:rsidR="00412512" w:rsidP="0033457E" w:rsidRDefault="00421F52" w14:paraId="1D9F204E" w14:textId="74DF7656">
      <w:pPr>
        <w:tabs>
          <w:tab w:val="left" w:pos="720"/>
          <w:tab w:val="left" w:pos="1440"/>
          <w:tab w:val="left" w:pos="2160"/>
        </w:tabs>
        <w:contextualSpacing/>
        <w:rPr>
          <w:rFonts w:ascii="Times New Roman" w:hAnsi="Times New Roman"/>
          <w:noProof w:val="0"/>
          <w:sz w:val="24"/>
          <w:szCs w:val="24"/>
        </w:rPr>
      </w:pPr>
      <w:bookmarkStart w:name="_GoBack" w:id="0"/>
      <w:bookmarkEnd w:id="0"/>
      <w:r>
        <w:rPr>
          <w:rFonts w:ascii="Times New Roman" w:hAnsi="Times New Roman"/>
          <w:noProof w:val="0"/>
          <w:sz w:val="24"/>
          <w:szCs w:val="24"/>
        </w:rPr>
        <w:t>DEA will maintain a current list of exem</w:t>
      </w:r>
      <w:r w:rsidR="006A01CA">
        <w:rPr>
          <w:rFonts w:ascii="Times New Roman" w:hAnsi="Times New Roman"/>
          <w:noProof w:val="0"/>
          <w:sz w:val="24"/>
          <w:szCs w:val="24"/>
        </w:rPr>
        <w:t>p</w:t>
      </w:r>
      <w:r>
        <w:rPr>
          <w:rFonts w:ascii="Times New Roman" w:hAnsi="Times New Roman"/>
          <w:noProof w:val="0"/>
          <w:sz w:val="24"/>
          <w:szCs w:val="24"/>
        </w:rPr>
        <w:t xml:space="preserve">t chemical preparations on its Web site as, </w:t>
      </w:r>
      <w:hyperlink w:history="1" r:id="rId12">
        <w:r w:rsidRPr="00583871">
          <w:rPr>
            <w:rStyle w:val="Hyperlink"/>
            <w:rFonts w:ascii="Times New Roman" w:hAnsi="Times New Roman"/>
            <w:noProof w:val="0"/>
            <w:sz w:val="24"/>
            <w:szCs w:val="24"/>
          </w:rPr>
          <w:t>http://www.deadiversion.usdoj.gov/schedules/exempt/exempt_chemlist.pdf</w:t>
        </w:r>
      </w:hyperlink>
      <w:r>
        <w:rPr>
          <w:rFonts w:ascii="Times New Roman" w:hAnsi="Times New Roman"/>
          <w:noProof w:val="0"/>
          <w:sz w:val="24"/>
          <w:szCs w:val="24"/>
        </w:rPr>
        <w:t xml:space="preserve">, which will include the revocation date of each exempt chemical preparation.  </w:t>
      </w:r>
    </w:p>
    <w:p w:rsidRPr="00C906CA" w:rsidR="00412512" w:rsidP="0033457E" w:rsidRDefault="00412512" w14:paraId="4AB60A9A" w14:textId="77777777">
      <w:pPr>
        <w:contextualSpacing/>
        <w:rPr>
          <w:rFonts w:ascii="Times New Roman" w:hAnsi="Times New Roman"/>
          <w:noProof w:val="0"/>
          <w:sz w:val="24"/>
          <w:szCs w:val="24"/>
        </w:rPr>
      </w:pPr>
    </w:p>
    <w:p w:rsidR="00AA4A98" w:rsidP="0033457E" w:rsidRDefault="000C1537" w14:paraId="77834294" w14:textId="1F1D32C8">
      <w:pPr>
        <w:contextualSpacing/>
        <w:rPr>
          <w:rFonts w:ascii="Times New Roman" w:hAnsi="Times New Roman"/>
          <w:noProof w:val="0"/>
          <w:sz w:val="24"/>
          <w:szCs w:val="24"/>
        </w:rPr>
      </w:pPr>
      <w:r w:rsidRPr="004E0BF9">
        <w:rPr>
          <w:rFonts w:ascii="Times New Roman" w:hAnsi="Times New Roman"/>
          <w:noProof w:val="0"/>
          <w:sz w:val="24"/>
          <w:szCs w:val="24"/>
        </w:rPr>
        <w:t xml:space="preserve">3. </w:t>
      </w:r>
      <w:r w:rsidRPr="004E0BF9" w:rsidR="00090C0E">
        <w:rPr>
          <w:rFonts w:ascii="Times New Roman" w:hAnsi="Times New Roman"/>
          <w:noProof w:val="0"/>
          <w:sz w:val="24"/>
          <w:szCs w:val="24"/>
        </w:rPr>
        <w:t xml:space="preserve"> </w:t>
      </w:r>
      <w:r w:rsidRPr="004E0BF9" w:rsidR="00F304A0">
        <w:rPr>
          <w:rFonts w:ascii="Times New Roman" w:hAnsi="Times New Roman"/>
          <w:noProof w:val="0"/>
          <w:sz w:val="24"/>
          <w:szCs w:val="24"/>
          <w:u w:val="single"/>
        </w:rPr>
        <w:t xml:space="preserve">Use of Information </w:t>
      </w:r>
      <w:r w:rsidRPr="004E0BF9" w:rsidR="004202AA">
        <w:rPr>
          <w:rFonts w:ascii="Times New Roman" w:hAnsi="Times New Roman"/>
          <w:noProof w:val="0"/>
          <w:sz w:val="24"/>
          <w:szCs w:val="24"/>
          <w:u w:val="single"/>
        </w:rPr>
        <w:t>Technology:</w:t>
      </w:r>
    </w:p>
    <w:p w:rsidRPr="00C906CA" w:rsidR="00AA4A98" w:rsidP="0033457E" w:rsidRDefault="00AA4A98" w14:paraId="45A08C9C" w14:textId="77777777">
      <w:pPr>
        <w:contextualSpacing/>
        <w:rPr>
          <w:rFonts w:ascii="Times New Roman" w:hAnsi="Times New Roman"/>
          <w:noProof w:val="0"/>
          <w:sz w:val="24"/>
          <w:szCs w:val="24"/>
          <w:u w:val="single"/>
        </w:rPr>
      </w:pPr>
    </w:p>
    <w:p w:rsidRPr="00813A52" w:rsidR="00AA4A98" w:rsidP="00AA4A98" w:rsidRDefault="00482164" w14:paraId="039547B8" w14:textId="00E0A9E4">
      <w:pPr>
        <w:contextualSpacing/>
        <w:jc w:val="both"/>
        <w:rPr>
          <w:rFonts w:ascii="Times New Roman" w:hAnsi="Times New Roman"/>
          <w:noProof w:val="0"/>
          <w:sz w:val="24"/>
          <w:szCs w:val="24"/>
        </w:rPr>
      </w:pPr>
      <w:r>
        <w:rPr>
          <w:rFonts w:ascii="Times New Roman" w:hAnsi="Times New Roman"/>
          <w:noProof w:val="0"/>
          <w:sz w:val="24"/>
          <w:szCs w:val="24"/>
        </w:rPr>
        <w:t>The Exempt Chemicals Application will be available electronically on the DEA Diversion Control D</w:t>
      </w:r>
      <w:r w:rsidR="00A71BC5">
        <w:rPr>
          <w:rFonts w:ascii="Times New Roman" w:hAnsi="Times New Roman"/>
          <w:noProof w:val="0"/>
          <w:sz w:val="24"/>
          <w:szCs w:val="24"/>
        </w:rPr>
        <w:t>i</w:t>
      </w:r>
      <w:r>
        <w:rPr>
          <w:rFonts w:ascii="Times New Roman" w:hAnsi="Times New Roman"/>
          <w:noProof w:val="0"/>
          <w:sz w:val="24"/>
          <w:szCs w:val="24"/>
        </w:rPr>
        <w:t xml:space="preserve">vision’s website at </w:t>
      </w:r>
      <w:hyperlink w:history="1" r:id="rId13">
        <w:r w:rsidRPr="00511FBF">
          <w:rPr>
            <w:rStyle w:val="Hyperlink"/>
            <w:rFonts w:ascii="Times New Roman" w:hAnsi="Times New Roman"/>
            <w:noProof w:val="0"/>
            <w:sz w:val="24"/>
            <w:szCs w:val="24"/>
          </w:rPr>
          <w:t>https://www.deadiversion.usdoj.gov</w:t>
        </w:r>
      </w:hyperlink>
      <w:r>
        <w:rPr>
          <w:rFonts w:ascii="Times New Roman" w:hAnsi="Times New Roman"/>
          <w:noProof w:val="0"/>
          <w:sz w:val="24"/>
          <w:szCs w:val="24"/>
        </w:rPr>
        <w:t>, as well as by paper.  DEA estimates that 80% of the application will be submitted online and 20% by paper.</w:t>
      </w:r>
      <w:r w:rsidR="0081027F">
        <w:rPr>
          <w:rFonts w:ascii="Times New Roman" w:hAnsi="Times New Roman"/>
          <w:noProof w:val="0"/>
          <w:sz w:val="24"/>
          <w:szCs w:val="24"/>
        </w:rPr>
        <w:t xml:space="preserve">  </w:t>
      </w:r>
    </w:p>
    <w:p w:rsidRPr="004E0BF9" w:rsidR="00AA4A98" w:rsidP="0033457E" w:rsidRDefault="00AA4A98" w14:paraId="6DEC4EA2" w14:textId="77777777">
      <w:pPr>
        <w:contextualSpacing/>
        <w:rPr>
          <w:rFonts w:ascii="Times New Roman" w:hAnsi="Times New Roman"/>
          <w:noProof w:val="0"/>
          <w:sz w:val="24"/>
          <w:szCs w:val="24"/>
        </w:rPr>
      </w:pPr>
    </w:p>
    <w:p w:rsidRPr="006A30A4" w:rsidR="004202AA" w:rsidP="0033457E" w:rsidRDefault="000C1537" w14:paraId="2A58885B" w14:textId="77777777">
      <w:pPr>
        <w:tabs>
          <w:tab w:val="left" w:pos="720"/>
          <w:tab w:val="left" w:pos="1440"/>
          <w:tab w:val="left" w:pos="2160"/>
        </w:tabs>
        <w:contextualSpacing/>
        <w:rPr>
          <w:rFonts w:ascii="Times New Roman" w:hAnsi="Times New Roman"/>
          <w:noProof w:val="0"/>
          <w:sz w:val="24"/>
          <w:szCs w:val="24"/>
        </w:rPr>
      </w:pPr>
      <w:r w:rsidRPr="007F031C">
        <w:rPr>
          <w:rFonts w:ascii="Times New Roman" w:hAnsi="Times New Roman"/>
          <w:noProof w:val="0"/>
          <w:sz w:val="24"/>
          <w:szCs w:val="24"/>
        </w:rPr>
        <w:t xml:space="preserve">4. </w:t>
      </w:r>
      <w:r w:rsidRPr="007F031C" w:rsidR="00090C0E">
        <w:rPr>
          <w:rFonts w:ascii="Times New Roman" w:hAnsi="Times New Roman"/>
          <w:noProof w:val="0"/>
          <w:sz w:val="24"/>
          <w:szCs w:val="24"/>
        </w:rPr>
        <w:t xml:space="preserve"> </w:t>
      </w:r>
      <w:r w:rsidRPr="006A30A4" w:rsidR="004202AA">
        <w:rPr>
          <w:rFonts w:ascii="Times New Roman" w:hAnsi="Times New Roman"/>
          <w:noProof w:val="0"/>
          <w:sz w:val="24"/>
          <w:szCs w:val="24"/>
          <w:u w:val="single"/>
        </w:rPr>
        <w:t>Efforts to Identify Duplication:</w:t>
      </w:r>
    </w:p>
    <w:p w:rsidRPr="00482164" w:rsidR="00482164" w:rsidP="0033457E" w:rsidRDefault="00482164" w14:paraId="4FF8A164" w14:textId="6AAA5DBC">
      <w:pPr>
        <w:contextualSpacing/>
        <w:jc w:val="both"/>
        <w:rPr>
          <w:rFonts w:ascii="Times New Roman" w:hAnsi="Times New Roman"/>
          <w:noProof w:val="0"/>
          <w:sz w:val="24"/>
          <w:szCs w:val="24"/>
        </w:rPr>
      </w:pPr>
    </w:p>
    <w:p w:rsidRPr="002C638C" w:rsidR="00482164" w:rsidP="00482164" w:rsidRDefault="00482164" w14:paraId="1D4F0E08" w14:textId="43CC68F7">
      <w:pPr>
        <w:tabs>
          <w:tab w:val="left" w:pos="450"/>
          <w:tab w:val="left" w:pos="720"/>
        </w:tabs>
        <w:rPr>
          <w:rFonts w:ascii="Times New Roman" w:hAnsi="Times New Roman"/>
          <w:sz w:val="24"/>
          <w:szCs w:val="24"/>
        </w:rPr>
      </w:pPr>
      <w:r w:rsidRPr="002C638C">
        <w:rPr>
          <w:rFonts w:ascii="Times New Roman" w:hAnsi="Times New Roman"/>
          <w:sz w:val="24"/>
          <w:szCs w:val="24"/>
        </w:rPr>
        <w:t xml:space="preserve">DEA has made efforts to identify and prevent duplication of the collection of information. DEA does not believe </w:t>
      </w:r>
      <w:r w:rsidRPr="009A57AF" w:rsidR="009A57AF">
        <w:rPr>
          <w:rFonts w:ascii="Times New Roman" w:hAnsi="Times New Roman"/>
          <w:sz w:val="24"/>
          <w:szCs w:val="24"/>
        </w:rPr>
        <w:t>th</w:t>
      </w:r>
      <w:r w:rsidR="009A57AF">
        <w:rPr>
          <w:rFonts w:ascii="Times New Roman" w:hAnsi="Times New Roman"/>
          <w:sz w:val="24"/>
          <w:szCs w:val="24"/>
        </w:rPr>
        <w:t>is</w:t>
      </w:r>
      <w:r w:rsidRPr="002C638C">
        <w:rPr>
          <w:rFonts w:ascii="Times New Roman" w:hAnsi="Times New Roman"/>
          <w:sz w:val="24"/>
          <w:szCs w:val="24"/>
        </w:rPr>
        <w:t xml:space="preserve"> is </w:t>
      </w:r>
      <w:r w:rsidR="009A57AF">
        <w:rPr>
          <w:rFonts w:ascii="Times New Roman" w:hAnsi="Times New Roman"/>
          <w:sz w:val="24"/>
          <w:szCs w:val="24"/>
        </w:rPr>
        <w:t xml:space="preserve">a </w:t>
      </w:r>
      <w:r w:rsidRPr="002C638C">
        <w:rPr>
          <w:rFonts w:ascii="Times New Roman" w:hAnsi="Times New Roman"/>
          <w:sz w:val="24"/>
          <w:szCs w:val="24"/>
        </w:rPr>
        <w:t xml:space="preserve">duplication of an existing collection of information.   </w:t>
      </w:r>
    </w:p>
    <w:p w:rsidRPr="002C638C" w:rsidR="00482164" w:rsidP="00482164" w:rsidRDefault="00482164" w14:paraId="7CDA0273" w14:textId="77777777">
      <w:pPr>
        <w:tabs>
          <w:tab w:val="left" w:pos="450"/>
          <w:tab w:val="left" w:pos="720"/>
        </w:tabs>
        <w:ind w:left="720"/>
        <w:rPr>
          <w:rFonts w:ascii="Times New Roman" w:hAnsi="Times New Roman"/>
          <w:sz w:val="24"/>
          <w:szCs w:val="24"/>
        </w:rPr>
      </w:pPr>
    </w:p>
    <w:p w:rsidRPr="004E0BF9" w:rsidR="004202AA" w:rsidP="0033457E" w:rsidRDefault="004F3126" w14:paraId="20E768AD" w14:textId="5244F0D7">
      <w:pPr>
        <w:tabs>
          <w:tab w:val="left" w:pos="720"/>
          <w:tab w:val="left" w:pos="1440"/>
          <w:tab w:val="left" w:pos="2160"/>
        </w:tabs>
        <w:contextualSpacing/>
        <w:rPr>
          <w:rFonts w:ascii="Times New Roman" w:hAnsi="Times New Roman"/>
          <w:noProof w:val="0"/>
          <w:sz w:val="24"/>
          <w:szCs w:val="24"/>
        </w:rPr>
      </w:pPr>
      <w:r w:rsidRPr="00482164">
        <w:rPr>
          <w:rFonts w:ascii="Times New Roman" w:hAnsi="Times New Roman"/>
          <w:noProof w:val="0"/>
          <w:sz w:val="24"/>
          <w:szCs w:val="24"/>
        </w:rPr>
        <w:t xml:space="preserve">  </w:t>
      </w:r>
      <w:r w:rsidRPr="004E0BF9" w:rsidR="000C1537">
        <w:rPr>
          <w:rFonts w:ascii="Times New Roman" w:hAnsi="Times New Roman"/>
          <w:noProof w:val="0"/>
          <w:sz w:val="24"/>
          <w:szCs w:val="24"/>
        </w:rPr>
        <w:t xml:space="preserve">5. </w:t>
      </w:r>
      <w:r w:rsidRPr="004E0BF9" w:rsidR="00090C0E">
        <w:rPr>
          <w:rFonts w:ascii="Times New Roman" w:hAnsi="Times New Roman"/>
          <w:noProof w:val="0"/>
          <w:sz w:val="24"/>
          <w:szCs w:val="24"/>
        </w:rPr>
        <w:t xml:space="preserve"> </w:t>
      </w:r>
      <w:r w:rsidRPr="004E0BF9" w:rsidR="00B051D2">
        <w:rPr>
          <w:rFonts w:ascii="Times New Roman" w:hAnsi="Times New Roman"/>
          <w:noProof w:val="0"/>
          <w:sz w:val="24"/>
          <w:szCs w:val="24"/>
          <w:u w:val="single"/>
        </w:rPr>
        <w:t>Impact on Small Businesses or Entities</w:t>
      </w:r>
      <w:r w:rsidRPr="004E0BF9" w:rsidR="004202AA">
        <w:rPr>
          <w:rFonts w:ascii="Times New Roman" w:hAnsi="Times New Roman"/>
          <w:noProof w:val="0"/>
          <w:sz w:val="24"/>
          <w:szCs w:val="24"/>
          <w:u w:val="single"/>
        </w:rPr>
        <w:t>:</w:t>
      </w:r>
    </w:p>
    <w:p w:rsidRPr="007F031C" w:rsidR="001A64B0" w:rsidP="0033457E" w:rsidRDefault="001A64B0" w14:paraId="68A78864" w14:textId="77777777">
      <w:pPr>
        <w:contextualSpacing/>
        <w:rPr>
          <w:rFonts w:ascii="Times New Roman" w:hAnsi="Times New Roman"/>
          <w:noProof w:val="0"/>
          <w:sz w:val="24"/>
          <w:szCs w:val="24"/>
        </w:rPr>
      </w:pPr>
    </w:p>
    <w:p w:rsidRPr="0033457E" w:rsidR="00CE207E" w:rsidP="0033457E" w:rsidRDefault="00683458" w14:paraId="7E285278" w14:textId="7A2B130B">
      <w:pPr>
        <w:contextualSpacing/>
        <w:jc w:val="both"/>
        <w:rPr>
          <w:rFonts w:ascii="Times New Roman" w:hAnsi="Times New Roman"/>
          <w:caps/>
          <w:noProof w:val="0"/>
          <w:sz w:val="24"/>
          <w:szCs w:val="24"/>
        </w:rPr>
      </w:pPr>
      <w:r>
        <w:rPr>
          <w:rFonts w:ascii="Times New Roman" w:hAnsi="Times New Roman"/>
          <w:noProof w:val="0"/>
          <w:sz w:val="24"/>
          <w:szCs w:val="24"/>
        </w:rPr>
        <w:t>In ac</w:t>
      </w:r>
      <w:r w:rsidR="009F6CC6">
        <w:rPr>
          <w:rFonts w:ascii="Times New Roman" w:hAnsi="Times New Roman"/>
          <w:noProof w:val="0"/>
          <w:sz w:val="24"/>
          <w:szCs w:val="24"/>
        </w:rPr>
        <w:t>cordance with the Regulatory F</w:t>
      </w:r>
      <w:r w:rsidR="000646EA">
        <w:rPr>
          <w:rFonts w:ascii="Times New Roman" w:hAnsi="Times New Roman"/>
          <w:noProof w:val="0"/>
          <w:sz w:val="24"/>
          <w:szCs w:val="24"/>
        </w:rPr>
        <w:t xml:space="preserve">lexibility Act (RFA), DEA evaluated the impact of this proposed rule on small entities.  DEA’s evaluation of economic impact by size category indicated that </w:t>
      </w:r>
      <w:r w:rsidR="002C638C">
        <w:rPr>
          <w:rFonts w:ascii="Times New Roman" w:hAnsi="Times New Roman"/>
          <w:noProof w:val="0"/>
          <w:sz w:val="24"/>
          <w:szCs w:val="24"/>
        </w:rPr>
        <w:t>this collection</w:t>
      </w:r>
      <w:r w:rsidR="000646EA">
        <w:rPr>
          <w:rFonts w:ascii="Times New Roman" w:hAnsi="Times New Roman"/>
          <w:noProof w:val="0"/>
          <w:sz w:val="24"/>
          <w:szCs w:val="24"/>
        </w:rPr>
        <w:t xml:space="preserve"> will not</w:t>
      </w:r>
      <w:r w:rsidR="002C638C">
        <w:rPr>
          <w:rFonts w:ascii="Times New Roman" w:hAnsi="Times New Roman"/>
          <w:noProof w:val="0"/>
          <w:sz w:val="24"/>
          <w:szCs w:val="24"/>
        </w:rPr>
        <w:t xml:space="preserve"> </w:t>
      </w:r>
      <w:r w:rsidR="000646EA">
        <w:rPr>
          <w:rFonts w:ascii="Times New Roman" w:hAnsi="Times New Roman"/>
          <w:noProof w:val="0"/>
          <w:sz w:val="24"/>
          <w:szCs w:val="24"/>
        </w:rPr>
        <w:t xml:space="preserve">have a significant economic impact on a substantial number </w:t>
      </w:r>
      <w:r w:rsidR="0057017B">
        <w:rPr>
          <w:rFonts w:ascii="Times New Roman" w:hAnsi="Times New Roman"/>
          <w:noProof w:val="0"/>
          <w:sz w:val="24"/>
          <w:szCs w:val="24"/>
        </w:rPr>
        <w:t>o</w:t>
      </w:r>
      <w:r w:rsidR="000646EA">
        <w:rPr>
          <w:rFonts w:ascii="Times New Roman" w:hAnsi="Times New Roman"/>
          <w:noProof w:val="0"/>
          <w:sz w:val="24"/>
          <w:szCs w:val="24"/>
        </w:rPr>
        <w:t xml:space="preserve">f these small entities.  </w:t>
      </w:r>
    </w:p>
    <w:p w:rsidRPr="00C906CA" w:rsidR="00E975C5" w:rsidP="0033457E" w:rsidRDefault="00E975C5" w14:paraId="6BF0C63E" w14:textId="77777777">
      <w:pPr>
        <w:contextualSpacing/>
        <w:rPr>
          <w:rFonts w:ascii="Times New Roman" w:hAnsi="Times New Roman"/>
          <w:noProof w:val="0"/>
          <w:sz w:val="24"/>
          <w:szCs w:val="24"/>
        </w:rPr>
      </w:pPr>
    </w:p>
    <w:p w:rsidRPr="004E0BF9" w:rsidR="004202AA" w:rsidP="0033457E" w:rsidRDefault="000C1537" w14:paraId="0EF23415" w14:textId="77777777">
      <w:pPr>
        <w:contextualSpacing/>
        <w:rPr>
          <w:rFonts w:ascii="Times New Roman" w:hAnsi="Times New Roman"/>
          <w:noProof w:val="0"/>
          <w:sz w:val="24"/>
          <w:szCs w:val="24"/>
        </w:rPr>
      </w:pPr>
      <w:r w:rsidRPr="004E0BF9">
        <w:rPr>
          <w:rFonts w:ascii="Times New Roman" w:hAnsi="Times New Roman"/>
          <w:noProof w:val="0"/>
          <w:sz w:val="24"/>
          <w:szCs w:val="24"/>
        </w:rPr>
        <w:t xml:space="preserve">6. </w:t>
      </w:r>
      <w:r w:rsidRPr="004E0BF9" w:rsidR="00090C0E">
        <w:rPr>
          <w:rFonts w:ascii="Times New Roman" w:hAnsi="Times New Roman"/>
          <w:noProof w:val="0"/>
          <w:sz w:val="24"/>
          <w:szCs w:val="24"/>
        </w:rPr>
        <w:t xml:space="preserve"> </w:t>
      </w:r>
      <w:r w:rsidRPr="004E0BF9" w:rsidR="004202AA">
        <w:rPr>
          <w:rFonts w:ascii="Times New Roman" w:hAnsi="Times New Roman"/>
          <w:noProof w:val="0"/>
          <w:sz w:val="24"/>
          <w:szCs w:val="24"/>
          <w:u w:val="single"/>
        </w:rPr>
        <w:t>Consequences of Less Frequent Collection:</w:t>
      </w:r>
    </w:p>
    <w:p w:rsidRPr="007F031C" w:rsidR="001A64B0" w:rsidP="0033457E" w:rsidRDefault="001A64B0" w14:paraId="7CC4D155" w14:textId="1E9654DD">
      <w:pPr>
        <w:contextualSpacing/>
        <w:rPr>
          <w:rFonts w:ascii="Times New Roman" w:hAnsi="Times New Roman"/>
          <w:noProof w:val="0"/>
          <w:sz w:val="24"/>
          <w:szCs w:val="24"/>
        </w:rPr>
      </w:pPr>
    </w:p>
    <w:p w:rsidRPr="002C638C" w:rsidR="00AD6D9C" w:rsidP="002C638C" w:rsidRDefault="002C638C" w14:paraId="08426EA4" w14:textId="3AF61055">
      <w:pPr>
        <w:tabs>
          <w:tab w:val="left" w:pos="720"/>
          <w:tab w:val="left" w:pos="1440"/>
          <w:tab w:val="left" w:pos="2160"/>
        </w:tabs>
        <w:contextualSpacing/>
        <w:rPr>
          <w:rFonts w:ascii="Times New Roman" w:hAnsi="Times New Roman"/>
          <w:noProof w:val="0"/>
          <w:sz w:val="24"/>
          <w:szCs w:val="24"/>
        </w:rPr>
      </w:pPr>
      <w:r>
        <w:rPr>
          <w:rFonts w:ascii="Times New Roman" w:hAnsi="Times New Roman"/>
          <w:noProof w:val="0"/>
          <w:sz w:val="24"/>
          <w:szCs w:val="24"/>
        </w:rPr>
        <w:t>The</w:t>
      </w:r>
      <w:r w:rsidR="00A5706A">
        <w:rPr>
          <w:rFonts w:ascii="Times New Roman" w:hAnsi="Times New Roman"/>
          <w:noProof w:val="0"/>
          <w:sz w:val="24"/>
          <w:szCs w:val="24"/>
        </w:rPr>
        <w:t xml:space="preserve"> collection</w:t>
      </w:r>
      <w:r>
        <w:rPr>
          <w:rFonts w:ascii="Times New Roman" w:hAnsi="Times New Roman"/>
          <w:noProof w:val="0"/>
          <w:sz w:val="24"/>
          <w:szCs w:val="24"/>
        </w:rPr>
        <w:t xml:space="preserve"> of information must take place to allow registrants to apply for an exemption from the CSA.  This information must be collected every five years to ensure that </w:t>
      </w:r>
      <w:r w:rsidRPr="0033457E">
        <w:rPr>
          <w:rFonts w:ascii="Times New Roman" w:hAnsi="Times New Roman"/>
          <w:noProof w:val="0"/>
          <w:sz w:val="24"/>
          <w:szCs w:val="24"/>
        </w:rPr>
        <w:t xml:space="preserve">exempt chemical preparations remain consistent with the standards set forth in the CSA and </w:t>
      </w:r>
      <w:r>
        <w:rPr>
          <w:rFonts w:ascii="Times New Roman" w:hAnsi="Times New Roman"/>
          <w:noProof w:val="0"/>
          <w:sz w:val="24"/>
          <w:szCs w:val="24"/>
        </w:rPr>
        <w:t xml:space="preserve">DEA’s </w:t>
      </w:r>
      <w:r w:rsidRPr="0033457E">
        <w:rPr>
          <w:rFonts w:ascii="Times New Roman" w:hAnsi="Times New Roman"/>
          <w:noProof w:val="0"/>
          <w:sz w:val="24"/>
          <w:szCs w:val="24"/>
        </w:rPr>
        <w:t>implementing regulations</w:t>
      </w:r>
      <w:r w:rsidRPr="002C638C">
        <w:rPr>
          <w:rFonts w:ascii="Times New Roman" w:hAnsi="Times New Roman"/>
          <w:noProof w:val="0"/>
          <w:sz w:val="24"/>
          <w:szCs w:val="24"/>
        </w:rPr>
        <w:t>.  If the collection is conducted less frequently, there may be an increased risk of diversion.</w:t>
      </w:r>
    </w:p>
    <w:p w:rsidRPr="004E0BF9" w:rsidR="008964A5" w:rsidP="0033457E" w:rsidRDefault="008964A5" w14:paraId="259FA390" w14:textId="77777777">
      <w:pPr>
        <w:contextualSpacing/>
        <w:rPr>
          <w:rFonts w:ascii="Times New Roman" w:hAnsi="Times New Roman"/>
          <w:noProof w:val="0"/>
          <w:sz w:val="24"/>
          <w:szCs w:val="24"/>
        </w:rPr>
      </w:pPr>
    </w:p>
    <w:p w:rsidRPr="006A30A4" w:rsidR="004202AA" w:rsidP="0033457E" w:rsidRDefault="000C1537" w14:paraId="7852A48D" w14:textId="77777777">
      <w:pPr>
        <w:tabs>
          <w:tab w:val="left" w:pos="720"/>
          <w:tab w:val="left" w:pos="1440"/>
          <w:tab w:val="left" w:pos="2160"/>
        </w:tabs>
        <w:contextualSpacing/>
        <w:rPr>
          <w:rFonts w:ascii="Times New Roman" w:hAnsi="Times New Roman"/>
          <w:noProof w:val="0"/>
          <w:sz w:val="24"/>
          <w:szCs w:val="24"/>
        </w:rPr>
      </w:pPr>
      <w:r w:rsidRPr="007F031C">
        <w:rPr>
          <w:rFonts w:ascii="Times New Roman" w:hAnsi="Times New Roman"/>
          <w:noProof w:val="0"/>
          <w:sz w:val="24"/>
          <w:szCs w:val="24"/>
        </w:rPr>
        <w:t xml:space="preserve">7. </w:t>
      </w:r>
      <w:r w:rsidRPr="007F031C" w:rsidR="00090C0E">
        <w:rPr>
          <w:rFonts w:ascii="Times New Roman" w:hAnsi="Times New Roman"/>
          <w:noProof w:val="0"/>
          <w:sz w:val="24"/>
          <w:szCs w:val="24"/>
        </w:rPr>
        <w:t xml:space="preserve"> </w:t>
      </w:r>
      <w:r w:rsidRPr="006A30A4" w:rsidR="004202AA">
        <w:rPr>
          <w:rFonts w:ascii="Times New Roman" w:hAnsi="Times New Roman"/>
          <w:noProof w:val="0"/>
          <w:sz w:val="24"/>
          <w:szCs w:val="24"/>
          <w:u w:val="single"/>
        </w:rPr>
        <w:t>Special Circumstances Influencing Collection:</w:t>
      </w:r>
    </w:p>
    <w:p w:rsidRPr="006A30A4" w:rsidR="001A64B0" w:rsidP="0033457E" w:rsidRDefault="001A64B0" w14:paraId="157F9BE1" w14:textId="77777777">
      <w:pPr>
        <w:contextualSpacing/>
        <w:rPr>
          <w:rFonts w:ascii="Times New Roman" w:hAnsi="Times New Roman"/>
          <w:noProof w:val="0"/>
          <w:sz w:val="24"/>
          <w:szCs w:val="24"/>
        </w:rPr>
      </w:pPr>
    </w:p>
    <w:p w:rsidRPr="00C906CA" w:rsidR="00CE207E" w:rsidP="0033457E" w:rsidRDefault="00AD6D9C" w14:paraId="19992B7C" w14:textId="70EAFAE7">
      <w:pPr>
        <w:contextualSpacing/>
        <w:jc w:val="both"/>
        <w:rPr>
          <w:rFonts w:ascii="Times New Roman" w:hAnsi="Times New Roman"/>
          <w:noProof w:val="0"/>
          <w:sz w:val="24"/>
          <w:szCs w:val="24"/>
        </w:rPr>
      </w:pPr>
      <w:r w:rsidRPr="00AA4A98">
        <w:rPr>
          <w:rFonts w:ascii="Times New Roman" w:hAnsi="Times New Roman"/>
          <w:noProof w:val="0"/>
          <w:sz w:val="24"/>
          <w:szCs w:val="24"/>
        </w:rPr>
        <w:t>There are no special circumstances applicable to this information collection.</w:t>
      </w:r>
    </w:p>
    <w:p w:rsidRPr="00C906CA" w:rsidR="00695627" w:rsidP="0033457E" w:rsidRDefault="00695627" w14:paraId="2425ED5E" w14:textId="77777777">
      <w:pPr>
        <w:contextualSpacing/>
        <w:rPr>
          <w:rFonts w:ascii="Times New Roman" w:hAnsi="Times New Roman"/>
          <w:noProof w:val="0"/>
          <w:sz w:val="24"/>
          <w:szCs w:val="24"/>
        </w:rPr>
      </w:pPr>
    </w:p>
    <w:p w:rsidRPr="004E0BF9" w:rsidR="008E7B3E" w:rsidP="0033457E" w:rsidRDefault="000C1537" w14:paraId="5E100743" w14:textId="77777777">
      <w:pPr>
        <w:tabs>
          <w:tab w:val="left" w:pos="720"/>
          <w:tab w:val="left" w:pos="1440"/>
          <w:tab w:val="left" w:pos="2160"/>
        </w:tabs>
        <w:contextualSpacing/>
        <w:rPr>
          <w:rFonts w:ascii="Times New Roman" w:hAnsi="Times New Roman"/>
          <w:noProof w:val="0"/>
          <w:sz w:val="24"/>
          <w:szCs w:val="24"/>
        </w:rPr>
      </w:pPr>
      <w:r w:rsidRPr="004E0BF9">
        <w:rPr>
          <w:rFonts w:ascii="Times New Roman" w:hAnsi="Times New Roman"/>
          <w:noProof w:val="0"/>
          <w:sz w:val="24"/>
          <w:szCs w:val="24"/>
        </w:rPr>
        <w:t xml:space="preserve">8. </w:t>
      </w:r>
      <w:r w:rsidRPr="004E0BF9" w:rsidR="00090C0E">
        <w:rPr>
          <w:rFonts w:ascii="Times New Roman" w:hAnsi="Times New Roman"/>
          <w:noProof w:val="0"/>
          <w:sz w:val="24"/>
          <w:szCs w:val="24"/>
        </w:rPr>
        <w:t xml:space="preserve"> </w:t>
      </w:r>
      <w:r w:rsidRPr="004E0BF9" w:rsidR="00B051D2">
        <w:rPr>
          <w:rFonts w:ascii="Times New Roman" w:hAnsi="Times New Roman"/>
          <w:noProof w:val="0"/>
          <w:sz w:val="24"/>
          <w:szCs w:val="24"/>
          <w:u w:val="single"/>
        </w:rPr>
        <w:t>Consultation with persons outside the Agency</w:t>
      </w:r>
      <w:r w:rsidRPr="004E0BF9" w:rsidR="008E7B3E">
        <w:rPr>
          <w:rFonts w:ascii="Times New Roman" w:hAnsi="Times New Roman"/>
          <w:noProof w:val="0"/>
          <w:sz w:val="24"/>
          <w:szCs w:val="24"/>
          <w:u w:val="single"/>
        </w:rPr>
        <w:t>:</w:t>
      </w:r>
    </w:p>
    <w:p w:rsidRPr="007F031C" w:rsidR="001A64B0" w:rsidP="0033457E" w:rsidRDefault="001A64B0" w14:paraId="27F3868F" w14:textId="77777777">
      <w:pPr>
        <w:contextualSpacing/>
        <w:rPr>
          <w:rFonts w:ascii="Times New Roman" w:hAnsi="Times New Roman"/>
          <w:noProof w:val="0"/>
          <w:sz w:val="24"/>
          <w:szCs w:val="24"/>
        </w:rPr>
      </w:pPr>
    </w:p>
    <w:p w:rsidR="00AA4A98" w:rsidP="0033457E" w:rsidRDefault="00834E3F" w14:paraId="4A315D90" w14:textId="1C4DA45B">
      <w:pPr>
        <w:contextualSpacing/>
        <w:rPr>
          <w:rFonts w:ascii="Times New Roman" w:hAnsi="Times New Roman"/>
          <w:sz w:val="24"/>
          <w:szCs w:val="24"/>
        </w:rPr>
      </w:pPr>
      <w:r w:rsidRPr="006933D2">
        <w:rPr>
          <w:rFonts w:ascii="Times New Roman" w:hAnsi="Times New Roman"/>
          <w:sz w:val="24"/>
          <w:szCs w:val="24"/>
        </w:rPr>
        <w:t xml:space="preserve">Public comment </w:t>
      </w:r>
      <w:r w:rsidRPr="0033457E">
        <w:rPr>
          <w:rFonts w:ascii="Times New Roman" w:hAnsi="Times New Roman"/>
          <w:sz w:val="24"/>
          <w:szCs w:val="24"/>
        </w:rPr>
        <w:t>has been</w:t>
      </w:r>
      <w:r w:rsidRPr="006933D2">
        <w:rPr>
          <w:rFonts w:ascii="Times New Roman" w:hAnsi="Times New Roman"/>
          <w:sz w:val="24"/>
          <w:szCs w:val="24"/>
        </w:rPr>
        <w:t xml:space="preserve"> solicited in the</w:t>
      </w:r>
      <w:r w:rsidR="00E433DB">
        <w:rPr>
          <w:rFonts w:ascii="Times New Roman" w:hAnsi="Times New Roman"/>
          <w:sz w:val="24"/>
          <w:szCs w:val="24"/>
        </w:rPr>
        <w:t xml:space="preserve"> 60 Day Notice of Information Collection published in the</w:t>
      </w:r>
      <w:r w:rsidR="004409C3">
        <w:rPr>
          <w:rFonts w:ascii="Times New Roman" w:hAnsi="Times New Roman"/>
          <w:sz w:val="24"/>
          <w:szCs w:val="24"/>
        </w:rPr>
        <w:t xml:space="preserve"> </w:t>
      </w:r>
      <w:r w:rsidRPr="002C638C" w:rsidR="004409C3">
        <w:rPr>
          <w:rFonts w:ascii="Times New Roman" w:hAnsi="Times New Roman"/>
          <w:i/>
          <w:sz w:val="24"/>
          <w:szCs w:val="24"/>
        </w:rPr>
        <w:t>Federal Register</w:t>
      </w:r>
      <w:r w:rsidR="004409C3">
        <w:rPr>
          <w:rFonts w:ascii="Times New Roman" w:hAnsi="Times New Roman"/>
          <w:sz w:val="24"/>
          <w:szCs w:val="24"/>
        </w:rPr>
        <w:t xml:space="preserve"> </w:t>
      </w:r>
      <w:r w:rsidRPr="006933D2">
        <w:rPr>
          <w:rFonts w:ascii="Times New Roman" w:hAnsi="Times New Roman"/>
          <w:sz w:val="24"/>
          <w:szCs w:val="24"/>
        </w:rPr>
        <w:t xml:space="preserve"> </w:t>
      </w:r>
      <w:r w:rsidR="00E433DB">
        <w:rPr>
          <w:rFonts w:ascii="Times New Roman" w:hAnsi="Times New Roman"/>
          <w:sz w:val="24"/>
          <w:szCs w:val="24"/>
        </w:rPr>
        <w:t xml:space="preserve">at 86 FR 22070, on April 26, 2021.  </w:t>
      </w:r>
      <w:r w:rsidR="004409C3">
        <w:rPr>
          <w:rFonts w:ascii="Times New Roman" w:hAnsi="Times New Roman"/>
          <w:sz w:val="24"/>
          <w:szCs w:val="24"/>
        </w:rPr>
        <w:t xml:space="preserve">No comments were received.  </w:t>
      </w:r>
      <w:r w:rsidRPr="006933D2" w:rsidR="00E433DB">
        <w:rPr>
          <w:rFonts w:ascii="Times New Roman" w:hAnsi="Times New Roman"/>
          <w:sz w:val="24"/>
          <w:szCs w:val="24"/>
        </w:rPr>
        <w:t xml:space="preserve">Public comment </w:t>
      </w:r>
      <w:r w:rsidR="00E433DB">
        <w:rPr>
          <w:rFonts w:ascii="Times New Roman" w:hAnsi="Times New Roman"/>
          <w:sz w:val="24"/>
          <w:szCs w:val="24"/>
        </w:rPr>
        <w:t>was again</w:t>
      </w:r>
      <w:r w:rsidRPr="006933D2" w:rsidR="00E433DB">
        <w:rPr>
          <w:rFonts w:ascii="Times New Roman" w:hAnsi="Times New Roman"/>
          <w:sz w:val="24"/>
          <w:szCs w:val="24"/>
        </w:rPr>
        <w:t xml:space="preserve"> solicited in the</w:t>
      </w:r>
      <w:r w:rsidR="00E433DB">
        <w:rPr>
          <w:rFonts w:ascii="Times New Roman" w:hAnsi="Times New Roman"/>
          <w:sz w:val="24"/>
          <w:szCs w:val="24"/>
        </w:rPr>
        <w:t xml:space="preserve"> 30 Day Notice of Information Collection published in the </w:t>
      </w:r>
      <w:r w:rsidRPr="00947CEB" w:rsidR="00E433DB">
        <w:rPr>
          <w:rFonts w:ascii="Times New Roman" w:hAnsi="Times New Roman"/>
          <w:i/>
          <w:sz w:val="24"/>
          <w:szCs w:val="24"/>
        </w:rPr>
        <w:t>Federal Register</w:t>
      </w:r>
      <w:r w:rsidR="00E433DB">
        <w:rPr>
          <w:rFonts w:ascii="Times New Roman" w:hAnsi="Times New Roman"/>
          <w:sz w:val="24"/>
          <w:szCs w:val="24"/>
        </w:rPr>
        <w:t xml:space="preserve"> </w:t>
      </w:r>
      <w:r w:rsidRPr="006933D2" w:rsidR="00E433DB">
        <w:rPr>
          <w:rFonts w:ascii="Times New Roman" w:hAnsi="Times New Roman"/>
          <w:sz w:val="24"/>
          <w:szCs w:val="24"/>
        </w:rPr>
        <w:t xml:space="preserve"> </w:t>
      </w:r>
      <w:r w:rsidR="00E433DB">
        <w:rPr>
          <w:rFonts w:ascii="Times New Roman" w:hAnsi="Times New Roman"/>
          <w:sz w:val="24"/>
          <w:szCs w:val="24"/>
        </w:rPr>
        <w:t xml:space="preserve">at 86 FR </w:t>
      </w:r>
      <w:r w:rsidR="00167471">
        <w:rPr>
          <w:rFonts w:ascii="Times New Roman" w:hAnsi="Times New Roman"/>
          <w:sz w:val="24"/>
          <w:szCs w:val="24"/>
        </w:rPr>
        <w:t>35535</w:t>
      </w:r>
      <w:r w:rsidR="00E433DB">
        <w:rPr>
          <w:rFonts w:ascii="Times New Roman" w:hAnsi="Times New Roman"/>
          <w:sz w:val="24"/>
          <w:szCs w:val="24"/>
        </w:rPr>
        <w:t xml:space="preserve">, on July </w:t>
      </w:r>
      <w:r w:rsidR="00167471">
        <w:rPr>
          <w:rFonts w:ascii="Times New Roman" w:hAnsi="Times New Roman"/>
          <w:sz w:val="24"/>
          <w:szCs w:val="24"/>
        </w:rPr>
        <w:t>6</w:t>
      </w:r>
      <w:r w:rsidR="00E433DB">
        <w:rPr>
          <w:rFonts w:ascii="Times New Roman" w:hAnsi="Times New Roman"/>
          <w:sz w:val="24"/>
          <w:szCs w:val="24"/>
        </w:rPr>
        <w:t>, 2021.</w:t>
      </w:r>
    </w:p>
    <w:p w:rsidR="004409C3" w:rsidP="0033457E" w:rsidRDefault="004409C3" w14:paraId="5BEA1D82" w14:textId="77777777">
      <w:pPr>
        <w:contextualSpacing/>
        <w:rPr>
          <w:rFonts w:ascii="Times New Roman" w:hAnsi="Times New Roman"/>
          <w:sz w:val="24"/>
          <w:szCs w:val="24"/>
        </w:rPr>
      </w:pPr>
    </w:p>
    <w:p w:rsidRPr="00AA4A98" w:rsidR="00695627" w:rsidP="0033457E" w:rsidRDefault="009151B2" w14:paraId="1CB616C4" w14:textId="75DA7D35">
      <w:pPr>
        <w:contextualSpacing/>
        <w:rPr>
          <w:rFonts w:ascii="Times New Roman" w:hAnsi="Times New Roman"/>
          <w:sz w:val="24"/>
          <w:szCs w:val="24"/>
        </w:rPr>
      </w:pPr>
      <w:r w:rsidRPr="00AA4A98">
        <w:rPr>
          <w:rFonts w:ascii="Times New Roman" w:hAnsi="Times New Roman"/>
          <w:sz w:val="24"/>
          <w:szCs w:val="24"/>
        </w:rPr>
        <w:t>DEA meets regularly with the affected industry to discuss policies, programs, and regulations.  These meetings provide an open forum to discuss matters of mutual concern with representatives of those entities from whom the information is obtained.</w:t>
      </w:r>
    </w:p>
    <w:p w:rsidRPr="00AA4A98" w:rsidR="003E411E" w:rsidP="0033457E" w:rsidRDefault="003E411E" w14:paraId="10941062" w14:textId="77777777">
      <w:pPr>
        <w:contextualSpacing/>
        <w:rPr>
          <w:rFonts w:ascii="Times New Roman" w:hAnsi="Times New Roman"/>
          <w:sz w:val="24"/>
          <w:szCs w:val="24"/>
        </w:rPr>
      </w:pPr>
    </w:p>
    <w:p w:rsidRPr="00C906CA" w:rsidR="008E7B3E" w:rsidP="0033457E" w:rsidRDefault="000C1537" w14:paraId="1B453567" w14:textId="77777777">
      <w:pPr>
        <w:tabs>
          <w:tab w:val="left" w:pos="720"/>
          <w:tab w:val="left" w:pos="1440"/>
          <w:tab w:val="left" w:pos="2160"/>
        </w:tabs>
        <w:contextualSpacing/>
        <w:rPr>
          <w:rFonts w:ascii="Times New Roman" w:hAnsi="Times New Roman"/>
          <w:noProof w:val="0"/>
          <w:sz w:val="24"/>
          <w:szCs w:val="24"/>
        </w:rPr>
      </w:pPr>
      <w:r w:rsidRPr="00C906CA">
        <w:rPr>
          <w:rFonts w:ascii="Times New Roman" w:hAnsi="Times New Roman"/>
          <w:noProof w:val="0"/>
          <w:sz w:val="24"/>
          <w:szCs w:val="24"/>
        </w:rPr>
        <w:t xml:space="preserve">9. </w:t>
      </w:r>
      <w:r w:rsidRPr="00C906CA" w:rsidR="00090C0E">
        <w:rPr>
          <w:rFonts w:ascii="Times New Roman" w:hAnsi="Times New Roman"/>
          <w:noProof w:val="0"/>
          <w:sz w:val="24"/>
          <w:szCs w:val="24"/>
        </w:rPr>
        <w:t xml:space="preserve"> </w:t>
      </w:r>
      <w:r w:rsidRPr="00C906CA" w:rsidR="008E7B3E">
        <w:rPr>
          <w:rFonts w:ascii="Times New Roman" w:hAnsi="Times New Roman"/>
          <w:noProof w:val="0"/>
          <w:sz w:val="24"/>
          <w:szCs w:val="24"/>
          <w:u w:val="single"/>
        </w:rPr>
        <w:t>Payment or Gift to Claimants:</w:t>
      </w:r>
    </w:p>
    <w:p w:rsidRPr="004E0BF9" w:rsidR="001A64B0" w:rsidP="0033457E" w:rsidRDefault="001A64B0" w14:paraId="491E73EE" w14:textId="77777777">
      <w:pPr>
        <w:contextualSpacing/>
        <w:rPr>
          <w:rFonts w:ascii="Times New Roman" w:hAnsi="Times New Roman"/>
          <w:noProof w:val="0"/>
          <w:sz w:val="24"/>
          <w:szCs w:val="24"/>
        </w:rPr>
      </w:pPr>
    </w:p>
    <w:p w:rsidRPr="007F031C" w:rsidR="00072531" w:rsidP="0033457E" w:rsidRDefault="00A52C58" w14:paraId="30523E30" w14:textId="77777777">
      <w:pPr>
        <w:contextualSpacing/>
        <w:rPr>
          <w:rFonts w:ascii="Times New Roman" w:hAnsi="Times New Roman"/>
          <w:noProof w:val="0"/>
          <w:sz w:val="24"/>
          <w:szCs w:val="24"/>
        </w:rPr>
      </w:pPr>
      <w:r w:rsidRPr="007F031C">
        <w:rPr>
          <w:rFonts w:ascii="Times New Roman" w:hAnsi="Times New Roman"/>
          <w:noProof w:val="0"/>
          <w:sz w:val="24"/>
          <w:szCs w:val="24"/>
        </w:rPr>
        <w:t>This collection of information does not propose to provide any payment or gift to respondents.</w:t>
      </w:r>
    </w:p>
    <w:p w:rsidRPr="006A30A4" w:rsidR="00A52C58" w:rsidP="0033457E" w:rsidRDefault="00A52C58" w14:paraId="5E289146" w14:textId="77777777">
      <w:pPr>
        <w:contextualSpacing/>
        <w:rPr>
          <w:rFonts w:ascii="Times New Roman" w:hAnsi="Times New Roman"/>
          <w:noProof w:val="0"/>
          <w:sz w:val="24"/>
          <w:szCs w:val="24"/>
        </w:rPr>
      </w:pPr>
    </w:p>
    <w:p w:rsidRPr="006A30A4" w:rsidR="008E7B3E" w:rsidP="0033457E" w:rsidRDefault="000C1537" w14:paraId="555A2277" w14:textId="77777777">
      <w:pPr>
        <w:tabs>
          <w:tab w:val="left" w:pos="720"/>
          <w:tab w:val="left" w:pos="1440"/>
          <w:tab w:val="left" w:pos="2160"/>
        </w:tabs>
        <w:contextualSpacing/>
        <w:rPr>
          <w:rFonts w:ascii="Times New Roman" w:hAnsi="Times New Roman"/>
          <w:noProof w:val="0"/>
          <w:sz w:val="24"/>
          <w:szCs w:val="24"/>
        </w:rPr>
      </w:pPr>
      <w:r w:rsidRPr="006A30A4">
        <w:rPr>
          <w:rFonts w:ascii="Times New Roman" w:hAnsi="Times New Roman"/>
          <w:noProof w:val="0"/>
          <w:sz w:val="24"/>
          <w:szCs w:val="24"/>
        </w:rPr>
        <w:t xml:space="preserve">10. </w:t>
      </w:r>
      <w:r w:rsidRPr="006A30A4" w:rsidR="00090C0E">
        <w:rPr>
          <w:rFonts w:ascii="Times New Roman" w:hAnsi="Times New Roman"/>
          <w:noProof w:val="0"/>
          <w:sz w:val="24"/>
          <w:szCs w:val="24"/>
        </w:rPr>
        <w:t xml:space="preserve"> </w:t>
      </w:r>
      <w:r w:rsidRPr="006A30A4" w:rsidR="008E7B3E">
        <w:rPr>
          <w:rFonts w:ascii="Times New Roman" w:hAnsi="Times New Roman"/>
          <w:noProof w:val="0"/>
          <w:sz w:val="24"/>
          <w:szCs w:val="24"/>
          <w:u w:val="single"/>
        </w:rPr>
        <w:t>Assurance of Confidentiality:</w:t>
      </w:r>
    </w:p>
    <w:p w:rsidRPr="006A30A4" w:rsidR="001A64B0" w:rsidP="0033457E" w:rsidRDefault="001A64B0" w14:paraId="7DE9089E" w14:textId="77777777">
      <w:pPr>
        <w:contextualSpacing/>
        <w:rPr>
          <w:rFonts w:ascii="Times New Roman" w:hAnsi="Times New Roman"/>
          <w:noProof w:val="0"/>
          <w:sz w:val="24"/>
          <w:szCs w:val="24"/>
        </w:rPr>
      </w:pPr>
    </w:p>
    <w:p w:rsidRPr="00AA4A98" w:rsidR="001A64B0" w:rsidP="0033457E" w:rsidRDefault="009151B2" w14:paraId="6FFC89FC" w14:textId="27DC2640">
      <w:pPr>
        <w:contextualSpacing/>
        <w:rPr>
          <w:rFonts w:ascii="Times New Roman" w:hAnsi="Times New Roman"/>
          <w:sz w:val="24"/>
          <w:szCs w:val="24"/>
        </w:rPr>
      </w:pPr>
      <w:r w:rsidRPr="00AA4A98">
        <w:rPr>
          <w:rFonts w:ascii="Times New Roman" w:hAnsi="Times New Roman"/>
          <w:sz w:val="24"/>
          <w:szCs w:val="24"/>
        </w:rPr>
        <w:t xml:space="preserve">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 as confidential business information per </w:t>
      </w:r>
      <w:r w:rsidRPr="00AA4A98">
        <w:rPr>
          <w:rFonts w:ascii="Times New Roman" w:hAnsi="Times New Roman"/>
          <w:sz w:val="24"/>
          <w:szCs w:val="24"/>
        </w:rPr>
        <w:lastRenderedPageBreak/>
        <w:t>28 CFR 16.8(c) and Exemption 4 of FOIA, the DEA will give written notice to the submitter to allow an opportunity to object within a reasonable time prior to any disclosure by DEA.</w:t>
      </w:r>
    </w:p>
    <w:p w:rsidRPr="00C906CA" w:rsidR="009151B2" w:rsidP="0033457E" w:rsidRDefault="009151B2" w14:paraId="46467AAA" w14:textId="77777777">
      <w:pPr>
        <w:contextualSpacing/>
        <w:rPr>
          <w:rFonts w:ascii="Times New Roman" w:hAnsi="Times New Roman"/>
          <w:noProof w:val="0"/>
          <w:sz w:val="24"/>
          <w:szCs w:val="24"/>
        </w:rPr>
      </w:pPr>
    </w:p>
    <w:p w:rsidRPr="004E0BF9" w:rsidR="008E7B3E" w:rsidP="0033457E" w:rsidRDefault="000C1537" w14:paraId="18DC97D0" w14:textId="77777777">
      <w:pPr>
        <w:tabs>
          <w:tab w:val="left" w:pos="720"/>
          <w:tab w:val="left" w:pos="1440"/>
          <w:tab w:val="left" w:pos="2160"/>
        </w:tabs>
        <w:contextualSpacing/>
        <w:rPr>
          <w:rFonts w:ascii="Times New Roman" w:hAnsi="Times New Roman"/>
          <w:noProof w:val="0"/>
          <w:sz w:val="24"/>
          <w:szCs w:val="24"/>
        </w:rPr>
      </w:pPr>
      <w:r w:rsidRPr="004E0BF9">
        <w:rPr>
          <w:rFonts w:ascii="Times New Roman" w:hAnsi="Times New Roman"/>
          <w:noProof w:val="0"/>
          <w:sz w:val="24"/>
          <w:szCs w:val="24"/>
        </w:rPr>
        <w:t xml:space="preserve">11. </w:t>
      </w:r>
      <w:r w:rsidRPr="004E0BF9" w:rsidR="00090C0E">
        <w:rPr>
          <w:rFonts w:ascii="Times New Roman" w:hAnsi="Times New Roman"/>
          <w:noProof w:val="0"/>
          <w:sz w:val="24"/>
          <w:szCs w:val="24"/>
        </w:rPr>
        <w:t xml:space="preserve"> </w:t>
      </w:r>
      <w:r w:rsidRPr="004E0BF9" w:rsidR="008E7B3E">
        <w:rPr>
          <w:rFonts w:ascii="Times New Roman" w:hAnsi="Times New Roman"/>
          <w:noProof w:val="0"/>
          <w:sz w:val="24"/>
          <w:szCs w:val="24"/>
          <w:u w:val="single"/>
        </w:rPr>
        <w:t>Justification for Sensitive Questions:</w:t>
      </w:r>
    </w:p>
    <w:p w:rsidRPr="007F031C" w:rsidR="001A64B0" w:rsidP="0033457E" w:rsidRDefault="001A64B0" w14:paraId="61B8C80C" w14:textId="77777777">
      <w:pPr>
        <w:tabs>
          <w:tab w:val="left" w:pos="720"/>
          <w:tab w:val="left" w:pos="1440"/>
          <w:tab w:val="left" w:pos="2160"/>
        </w:tabs>
        <w:contextualSpacing/>
        <w:rPr>
          <w:rFonts w:ascii="Times New Roman" w:hAnsi="Times New Roman"/>
          <w:noProof w:val="0"/>
          <w:sz w:val="24"/>
          <w:szCs w:val="24"/>
        </w:rPr>
      </w:pPr>
    </w:p>
    <w:p w:rsidRPr="00C906CA" w:rsidR="00072531" w:rsidP="0033457E" w:rsidRDefault="00B051D2" w14:paraId="08DF6B20" w14:textId="748596A9">
      <w:pPr>
        <w:tabs>
          <w:tab w:val="left" w:pos="720"/>
          <w:tab w:val="left" w:pos="1440"/>
          <w:tab w:val="left" w:pos="2160"/>
        </w:tabs>
        <w:contextualSpacing/>
        <w:rPr>
          <w:rFonts w:ascii="Times New Roman" w:hAnsi="Times New Roman"/>
          <w:noProof w:val="0"/>
          <w:sz w:val="24"/>
          <w:szCs w:val="24"/>
        </w:rPr>
      </w:pPr>
      <w:r w:rsidRPr="006A30A4">
        <w:rPr>
          <w:rFonts w:ascii="Times New Roman" w:hAnsi="Times New Roman"/>
          <w:noProof w:val="0"/>
          <w:sz w:val="24"/>
          <w:szCs w:val="24"/>
        </w:rPr>
        <w:t xml:space="preserve">This collection of information does </w:t>
      </w:r>
      <w:r w:rsidR="00D17CE0">
        <w:rPr>
          <w:rFonts w:ascii="Times New Roman" w:hAnsi="Times New Roman"/>
          <w:noProof w:val="0"/>
          <w:sz w:val="24"/>
          <w:szCs w:val="24"/>
        </w:rPr>
        <w:t xml:space="preserve">not </w:t>
      </w:r>
      <w:r w:rsidRPr="00C906CA">
        <w:rPr>
          <w:rFonts w:ascii="Times New Roman" w:hAnsi="Times New Roman"/>
          <w:noProof w:val="0"/>
          <w:sz w:val="24"/>
          <w:szCs w:val="24"/>
        </w:rPr>
        <w:t>ask any questions of a sensitive nature.</w:t>
      </w:r>
    </w:p>
    <w:p w:rsidRPr="004E0BF9" w:rsidR="00B051D2" w:rsidP="0033457E" w:rsidRDefault="00B051D2" w14:paraId="7E1D5A47" w14:textId="77777777">
      <w:pPr>
        <w:tabs>
          <w:tab w:val="left" w:pos="720"/>
          <w:tab w:val="left" w:pos="1440"/>
          <w:tab w:val="left" w:pos="2160"/>
        </w:tabs>
        <w:contextualSpacing/>
        <w:rPr>
          <w:rFonts w:ascii="Times New Roman" w:hAnsi="Times New Roman"/>
          <w:noProof w:val="0"/>
          <w:sz w:val="24"/>
          <w:szCs w:val="24"/>
        </w:rPr>
      </w:pPr>
    </w:p>
    <w:p w:rsidRPr="007F031C" w:rsidR="008E7B3E" w:rsidP="0033457E" w:rsidRDefault="000C1537" w14:paraId="471D43B6" w14:textId="77777777">
      <w:pPr>
        <w:pStyle w:val="BodyText2"/>
        <w:spacing w:line="240" w:lineRule="auto"/>
        <w:contextualSpacing/>
        <w:rPr>
          <w:szCs w:val="24"/>
        </w:rPr>
      </w:pPr>
      <w:r w:rsidRPr="007F031C">
        <w:rPr>
          <w:szCs w:val="24"/>
        </w:rPr>
        <w:t>12.</w:t>
      </w:r>
      <w:r w:rsidRPr="007F031C" w:rsidR="00090C0E">
        <w:rPr>
          <w:szCs w:val="24"/>
        </w:rPr>
        <w:t xml:space="preserve"> </w:t>
      </w:r>
      <w:r w:rsidRPr="007F031C">
        <w:rPr>
          <w:szCs w:val="24"/>
        </w:rPr>
        <w:t xml:space="preserve"> </w:t>
      </w:r>
      <w:r w:rsidRPr="007F031C" w:rsidR="008E7B3E">
        <w:rPr>
          <w:szCs w:val="24"/>
          <w:u w:val="single"/>
        </w:rPr>
        <w:t>Estimate of Hour Burden:</w:t>
      </w:r>
    </w:p>
    <w:p w:rsidRPr="006A30A4" w:rsidR="00C42F38" w:rsidP="0033457E" w:rsidRDefault="00C42F38" w14:paraId="48BB88F0" w14:textId="77777777">
      <w:pPr>
        <w:contextualSpacing/>
        <w:rPr>
          <w:rFonts w:ascii="Times New Roman" w:hAnsi="Times New Roman"/>
          <w:noProof w:val="0"/>
          <w:sz w:val="24"/>
          <w:szCs w:val="24"/>
        </w:rPr>
      </w:pPr>
    </w:p>
    <w:p w:rsidRPr="007F031C" w:rsidR="00827435" w:rsidP="0033457E" w:rsidRDefault="00827435" w14:paraId="5D8147A3" w14:textId="77777777">
      <w:pPr>
        <w:contextualSpacing/>
        <w:rPr>
          <w:rFonts w:ascii="Times New Roman" w:hAnsi="Times New Roman"/>
          <w:sz w:val="24"/>
          <w:szCs w:val="24"/>
        </w:rPr>
      </w:pPr>
    </w:p>
    <w:p w:rsidRPr="00AA4A98" w:rsidR="00572EEB" w:rsidP="004E0BF9" w:rsidRDefault="00572EEB" w14:paraId="43A619FF" w14:textId="3050EAF4">
      <w:pPr>
        <w:contextualSpacing/>
        <w:rPr>
          <w:rFonts w:ascii="Times New Roman" w:hAnsi="Times New Roman"/>
          <w:sz w:val="24"/>
          <w:szCs w:val="24"/>
        </w:rPr>
      </w:pPr>
      <w:r w:rsidRPr="00AA4A98">
        <w:rPr>
          <w:rFonts w:ascii="Times New Roman" w:hAnsi="Times New Roman"/>
          <w:sz w:val="24"/>
          <w:szCs w:val="24"/>
        </w:rPr>
        <w:t xml:space="preserve">Total number of respondents:  </w:t>
      </w:r>
      <w:r w:rsidR="004E0BF9">
        <w:rPr>
          <w:rFonts w:ascii="Times New Roman" w:hAnsi="Times New Roman"/>
          <w:sz w:val="24"/>
          <w:szCs w:val="24"/>
        </w:rPr>
        <w:t>131</w:t>
      </w:r>
    </w:p>
    <w:p w:rsidRPr="00AA4A98" w:rsidR="00572EEB" w:rsidP="004E0BF9" w:rsidRDefault="00572EEB" w14:paraId="5640270C" w14:textId="22ABEF7D">
      <w:pPr>
        <w:contextualSpacing/>
        <w:rPr>
          <w:rFonts w:ascii="Times New Roman" w:hAnsi="Times New Roman"/>
          <w:sz w:val="24"/>
          <w:szCs w:val="24"/>
        </w:rPr>
      </w:pPr>
      <w:r w:rsidRPr="00AA4A98">
        <w:rPr>
          <w:rFonts w:ascii="Times New Roman" w:hAnsi="Times New Roman"/>
          <w:sz w:val="24"/>
          <w:szCs w:val="24"/>
        </w:rPr>
        <w:t xml:space="preserve">Number of responses per respondent per year:  </w:t>
      </w:r>
      <w:r w:rsidR="004E0BF9">
        <w:rPr>
          <w:rFonts w:ascii="Times New Roman" w:hAnsi="Times New Roman"/>
          <w:sz w:val="24"/>
          <w:szCs w:val="24"/>
        </w:rPr>
        <w:t>15.98 (calculated average)</w:t>
      </w:r>
    </w:p>
    <w:p w:rsidRPr="00AA4A98" w:rsidR="00572EEB" w:rsidP="004E0BF9" w:rsidRDefault="00572EEB" w14:paraId="7626E846" w14:textId="749E295A">
      <w:pPr>
        <w:contextualSpacing/>
        <w:rPr>
          <w:rFonts w:ascii="Times New Roman" w:hAnsi="Times New Roman"/>
          <w:sz w:val="24"/>
          <w:szCs w:val="24"/>
        </w:rPr>
      </w:pPr>
      <w:r w:rsidRPr="00AA4A98">
        <w:rPr>
          <w:rFonts w:ascii="Times New Roman" w:hAnsi="Times New Roman"/>
          <w:sz w:val="24"/>
          <w:szCs w:val="24"/>
        </w:rPr>
        <w:t xml:space="preserve">Total annual responses:  </w:t>
      </w:r>
      <w:r w:rsidR="004E0BF9">
        <w:rPr>
          <w:rFonts w:ascii="Times New Roman" w:hAnsi="Times New Roman"/>
          <w:sz w:val="24"/>
          <w:szCs w:val="24"/>
        </w:rPr>
        <w:t>2,093</w:t>
      </w:r>
    </w:p>
    <w:p w:rsidRPr="00AA4A98" w:rsidR="00572EEB" w:rsidP="004E0BF9" w:rsidRDefault="00572EEB" w14:paraId="4DA9BB5E" w14:textId="3718251B">
      <w:pPr>
        <w:contextualSpacing/>
        <w:rPr>
          <w:rFonts w:ascii="Times New Roman" w:hAnsi="Times New Roman"/>
          <w:sz w:val="24"/>
          <w:szCs w:val="24"/>
        </w:rPr>
      </w:pPr>
      <w:r w:rsidRPr="00AA4A98">
        <w:rPr>
          <w:rFonts w:ascii="Times New Roman" w:hAnsi="Times New Roman"/>
          <w:sz w:val="24"/>
          <w:szCs w:val="24"/>
        </w:rPr>
        <w:t xml:space="preserve">Total annual hour burden:  </w:t>
      </w:r>
      <w:r w:rsidR="004E0BF9">
        <w:rPr>
          <w:rFonts w:ascii="Times New Roman" w:hAnsi="Times New Roman"/>
          <w:sz w:val="24"/>
          <w:szCs w:val="24"/>
        </w:rPr>
        <w:t>2,093</w:t>
      </w:r>
    </w:p>
    <w:p w:rsidRPr="00AA4A98" w:rsidR="00572EEB" w:rsidP="004E0BF9" w:rsidRDefault="00572EEB" w14:paraId="0385DB65" w14:textId="77777777">
      <w:pPr>
        <w:contextualSpacing/>
        <w:rPr>
          <w:rFonts w:ascii="Times New Roman" w:hAnsi="Times New Roman"/>
          <w:sz w:val="24"/>
          <w:szCs w:val="24"/>
        </w:rPr>
      </w:pPr>
    </w:p>
    <w:p w:rsidRPr="00AA4A98" w:rsidR="00572EEB" w:rsidP="004E0BF9" w:rsidRDefault="00572EEB" w14:paraId="413E67CA" w14:textId="28B2B0AB">
      <w:pPr>
        <w:contextualSpacing/>
        <w:rPr>
          <w:rFonts w:ascii="Times New Roman" w:hAnsi="Times New Roman"/>
          <w:sz w:val="24"/>
          <w:szCs w:val="24"/>
        </w:rPr>
      </w:pPr>
      <w:r w:rsidRPr="00AA4A98">
        <w:rPr>
          <w:rFonts w:ascii="Times New Roman" w:hAnsi="Times New Roman"/>
          <w:sz w:val="24"/>
          <w:szCs w:val="24"/>
        </w:rPr>
        <w:t>Average Burden:</w:t>
      </w:r>
      <w:r w:rsidRPr="00AA4A98">
        <w:rPr>
          <w:rFonts w:ascii="Times New Roman" w:hAnsi="Times New Roman"/>
          <w:sz w:val="24"/>
          <w:szCs w:val="24"/>
        </w:rPr>
        <w:tab/>
        <w:t xml:space="preserve">Per Collection:  </w:t>
      </w:r>
      <w:r w:rsidR="004E0BF9">
        <w:rPr>
          <w:rFonts w:ascii="Times New Roman" w:hAnsi="Times New Roman"/>
          <w:sz w:val="24"/>
          <w:szCs w:val="24"/>
        </w:rPr>
        <w:t>1 hour</w:t>
      </w:r>
    </w:p>
    <w:p w:rsidRPr="00AA4A98" w:rsidR="00572EEB" w:rsidP="004E0BF9" w:rsidRDefault="00572EEB" w14:paraId="12208FC5" w14:textId="1C66AD54">
      <w:pPr>
        <w:contextualSpacing/>
        <w:rPr>
          <w:rFonts w:ascii="Times New Roman" w:hAnsi="Times New Roman"/>
          <w:sz w:val="24"/>
          <w:szCs w:val="24"/>
        </w:rPr>
      </w:pPr>
      <w:r w:rsidRPr="00AA4A98">
        <w:rPr>
          <w:rFonts w:ascii="Times New Roman" w:hAnsi="Times New Roman"/>
          <w:sz w:val="24"/>
          <w:szCs w:val="24"/>
        </w:rPr>
        <w:tab/>
      </w:r>
      <w:r w:rsidRPr="00AA4A98">
        <w:rPr>
          <w:rFonts w:ascii="Times New Roman" w:hAnsi="Times New Roman"/>
          <w:sz w:val="24"/>
          <w:szCs w:val="24"/>
        </w:rPr>
        <w:tab/>
      </w:r>
      <w:r w:rsidRPr="00AA4A98">
        <w:rPr>
          <w:rFonts w:ascii="Times New Roman" w:hAnsi="Times New Roman"/>
          <w:sz w:val="24"/>
          <w:szCs w:val="24"/>
        </w:rPr>
        <w:tab/>
        <w:t xml:space="preserve">Per Respondent:  </w:t>
      </w:r>
      <w:r w:rsidR="004E0BF9">
        <w:rPr>
          <w:rFonts w:ascii="Times New Roman" w:hAnsi="Times New Roman"/>
          <w:sz w:val="24"/>
          <w:szCs w:val="24"/>
        </w:rPr>
        <w:t>15.98 hours</w:t>
      </w:r>
    </w:p>
    <w:p w:rsidRPr="00AA4A98" w:rsidR="00572EEB" w:rsidP="004E0BF9" w:rsidRDefault="00572EEB" w14:paraId="063834D0" w14:textId="77777777">
      <w:pPr>
        <w:contextualSpacing/>
        <w:rPr>
          <w:rFonts w:ascii="Times New Roman" w:hAnsi="Times New Roman"/>
          <w:sz w:val="24"/>
          <w:szCs w:val="24"/>
        </w:rPr>
      </w:pPr>
    </w:p>
    <w:p w:rsidRPr="00AA4A98" w:rsidR="00572EEB" w:rsidP="004E0BF9" w:rsidRDefault="00572EEB" w14:paraId="354EC48A" w14:textId="08315443">
      <w:pPr>
        <w:contextualSpacing/>
        <w:rPr>
          <w:rFonts w:ascii="Times New Roman" w:hAnsi="Times New Roman"/>
          <w:sz w:val="24"/>
          <w:szCs w:val="24"/>
        </w:rPr>
      </w:pPr>
      <w:r w:rsidRPr="00AA4A98">
        <w:rPr>
          <w:rFonts w:ascii="Times New Roman" w:hAnsi="Times New Roman"/>
          <w:sz w:val="24"/>
          <w:szCs w:val="24"/>
        </w:rPr>
        <w:t xml:space="preserve">Total responses received on paper:  </w:t>
      </w:r>
      <w:r w:rsidR="004E0BF9">
        <w:rPr>
          <w:rFonts w:ascii="Times New Roman" w:hAnsi="Times New Roman"/>
          <w:sz w:val="24"/>
          <w:szCs w:val="24"/>
        </w:rPr>
        <w:t>2,093</w:t>
      </w:r>
    </w:p>
    <w:p w:rsidRPr="00AA4A98" w:rsidR="00572EEB" w:rsidP="004E0BF9" w:rsidRDefault="00572EEB" w14:paraId="29D6A5B8" w14:textId="5A9C2D65">
      <w:pPr>
        <w:contextualSpacing/>
        <w:rPr>
          <w:rFonts w:ascii="Times New Roman" w:hAnsi="Times New Roman"/>
          <w:sz w:val="24"/>
          <w:szCs w:val="24"/>
        </w:rPr>
      </w:pPr>
      <w:r w:rsidRPr="00AA4A98">
        <w:rPr>
          <w:rFonts w:ascii="Times New Roman" w:hAnsi="Times New Roman"/>
          <w:sz w:val="24"/>
          <w:szCs w:val="24"/>
        </w:rPr>
        <w:t xml:space="preserve">Total responses received electronically:   </w:t>
      </w:r>
      <w:r w:rsidR="004E0BF9">
        <w:rPr>
          <w:rFonts w:ascii="Times New Roman" w:hAnsi="Times New Roman"/>
          <w:sz w:val="24"/>
          <w:szCs w:val="24"/>
        </w:rPr>
        <w:t>0</w:t>
      </w:r>
    </w:p>
    <w:p w:rsidRPr="00AA4A98" w:rsidR="00572EEB" w:rsidP="004E0BF9" w:rsidRDefault="00572EEB" w14:paraId="2AA0578A" w14:textId="39FFC284">
      <w:pPr>
        <w:contextualSpacing/>
        <w:rPr>
          <w:rFonts w:ascii="Times New Roman" w:hAnsi="Times New Roman"/>
          <w:sz w:val="24"/>
          <w:szCs w:val="24"/>
        </w:rPr>
      </w:pPr>
      <w:r w:rsidRPr="00AA4A98">
        <w:rPr>
          <w:rFonts w:ascii="Times New Roman" w:hAnsi="Times New Roman"/>
          <w:sz w:val="24"/>
          <w:szCs w:val="24"/>
        </w:rPr>
        <w:t xml:space="preserve">Percentage of responses received electronically:  </w:t>
      </w:r>
      <w:r w:rsidR="004E0BF9">
        <w:rPr>
          <w:rFonts w:ascii="Times New Roman" w:hAnsi="Times New Roman"/>
          <w:sz w:val="24"/>
          <w:szCs w:val="24"/>
        </w:rPr>
        <w:t>0%</w:t>
      </w:r>
    </w:p>
    <w:p w:rsidRPr="00AA4A98" w:rsidR="00572EEB" w:rsidP="004E0BF9" w:rsidRDefault="00572EEB" w14:paraId="644B1ED9" w14:textId="77777777">
      <w:pPr>
        <w:contextualSpacing/>
        <w:rPr>
          <w:rFonts w:ascii="Times New Roman" w:hAnsi="Times New Roman"/>
          <w:sz w:val="24"/>
          <w:szCs w:val="24"/>
        </w:rPr>
      </w:pPr>
    </w:p>
    <w:p w:rsidRPr="00AA4A98" w:rsidR="00040C64" w:rsidP="004E0BF9" w:rsidRDefault="00040C64" w14:paraId="30EB633E" w14:textId="77777777">
      <w:pPr>
        <w:contextualSpacing/>
        <w:rPr>
          <w:rFonts w:ascii="Times New Roman" w:hAnsi="Times New Roman"/>
          <w:sz w:val="24"/>
          <w:szCs w:val="24"/>
        </w:rPr>
      </w:pPr>
      <w:r w:rsidRPr="00AA4A98">
        <w:rPr>
          <w:rFonts w:ascii="Times New Roman" w:hAnsi="Times New Roman"/>
          <w:sz w:val="24"/>
          <w:szCs w:val="24"/>
        </w:rPr>
        <w:t>Burden dollars:</w:t>
      </w:r>
    </w:p>
    <w:p w:rsidRPr="00AA4A98" w:rsidR="00040C64" w:rsidP="004E0BF9" w:rsidRDefault="00040C64" w14:paraId="514B1764" w14:textId="77777777">
      <w:pPr>
        <w:contextualSpacing/>
        <w:rPr>
          <w:rFonts w:ascii="Times New Roman" w:hAnsi="Times New Roman"/>
          <w:sz w:val="24"/>
          <w:szCs w:val="24"/>
        </w:rPr>
      </w:pPr>
    </w:p>
    <w:tbl>
      <w:tblPr>
        <w:tblW w:w="0" w:type="auto"/>
        <w:tblInd w:w="720" w:type="dxa"/>
        <w:tblLook w:val="04A0" w:firstRow="1" w:lastRow="0" w:firstColumn="1" w:lastColumn="0" w:noHBand="0" w:noVBand="1"/>
      </w:tblPr>
      <w:tblGrid>
        <w:gridCol w:w="4295"/>
        <w:gridCol w:w="1956"/>
      </w:tblGrid>
      <w:tr w:rsidRPr="00AA4A98" w:rsidR="00040C64" w:rsidTr="00040C64" w14:paraId="54DFD1AB" w14:textId="77777777">
        <w:tc>
          <w:tcPr>
            <w:tcW w:w="4295" w:type="dxa"/>
          </w:tcPr>
          <w:p w:rsidRPr="00AA4A98" w:rsidR="00040C64" w:rsidP="004E0BF9" w:rsidRDefault="00040C64" w14:paraId="48CD3750" w14:textId="77777777">
            <w:pPr>
              <w:contextualSpacing/>
              <w:rPr>
                <w:rFonts w:ascii="Times New Roman" w:hAnsi="Times New Roman" w:eastAsia="SimSun"/>
                <w:sz w:val="24"/>
                <w:szCs w:val="24"/>
              </w:rPr>
            </w:pPr>
            <w:r w:rsidRPr="00AA4A98">
              <w:rPr>
                <w:rFonts w:ascii="Times New Roman" w:hAnsi="Times New Roman" w:eastAsia="SimSun"/>
                <w:sz w:val="24"/>
                <w:szCs w:val="24"/>
              </w:rPr>
              <w:t>Estimate hourly wage ($/hour):</w:t>
            </w:r>
            <w:r w:rsidRPr="00AA4A98">
              <w:rPr>
                <w:rStyle w:val="FootnoteReference"/>
                <w:rFonts w:ascii="Times New Roman" w:hAnsi="Times New Roman" w:eastAsia="SimSun"/>
                <w:sz w:val="24"/>
                <w:szCs w:val="24"/>
                <w:vertAlign w:val="superscript"/>
              </w:rPr>
              <w:footnoteReference w:id="1"/>
            </w:r>
          </w:p>
        </w:tc>
        <w:tc>
          <w:tcPr>
            <w:tcW w:w="1956" w:type="dxa"/>
          </w:tcPr>
          <w:p w:rsidRPr="00AA4A98" w:rsidR="00040C64" w:rsidP="004E0BF9" w:rsidRDefault="004E0BF9" w14:paraId="03CFC5B1" w14:textId="0DDFF33B">
            <w:pPr>
              <w:contextualSpacing/>
              <w:jc w:val="right"/>
              <w:rPr>
                <w:rFonts w:ascii="Times New Roman" w:hAnsi="Times New Roman" w:eastAsia="SimSun"/>
                <w:sz w:val="24"/>
                <w:szCs w:val="24"/>
              </w:rPr>
            </w:pPr>
            <w:r>
              <w:rPr>
                <w:rFonts w:ascii="Times New Roman" w:hAnsi="Times New Roman" w:eastAsia="SimSun"/>
                <w:sz w:val="24"/>
                <w:szCs w:val="24"/>
              </w:rPr>
              <w:t>$37.95</w:t>
            </w:r>
          </w:p>
        </w:tc>
      </w:tr>
      <w:tr w:rsidRPr="00AA4A98" w:rsidR="00040C64" w:rsidTr="00040C64" w14:paraId="7A697C23" w14:textId="77777777">
        <w:tc>
          <w:tcPr>
            <w:tcW w:w="4295" w:type="dxa"/>
          </w:tcPr>
          <w:p w:rsidRPr="00AA4A98" w:rsidR="00040C64" w:rsidP="004E0BF9" w:rsidRDefault="00040C64" w14:paraId="297B7A12" w14:textId="77777777">
            <w:pPr>
              <w:contextualSpacing/>
              <w:rPr>
                <w:rFonts w:ascii="Times New Roman" w:hAnsi="Times New Roman" w:eastAsia="SimSun"/>
                <w:sz w:val="24"/>
                <w:szCs w:val="24"/>
              </w:rPr>
            </w:pPr>
            <w:r w:rsidRPr="00AA4A98">
              <w:rPr>
                <w:rFonts w:ascii="Times New Roman" w:hAnsi="Times New Roman" w:eastAsia="SimSun"/>
                <w:sz w:val="24"/>
                <w:szCs w:val="24"/>
              </w:rPr>
              <w:t>Load for benefits (percent of labor rate):</w:t>
            </w:r>
            <w:r w:rsidRPr="00AA4A98">
              <w:rPr>
                <w:rStyle w:val="FootnoteReference"/>
                <w:rFonts w:ascii="Times New Roman" w:hAnsi="Times New Roman" w:eastAsia="SimSun"/>
                <w:sz w:val="24"/>
                <w:szCs w:val="24"/>
                <w:vertAlign w:val="superscript"/>
              </w:rPr>
              <w:footnoteReference w:id="2"/>
            </w:r>
          </w:p>
        </w:tc>
        <w:tc>
          <w:tcPr>
            <w:tcW w:w="1956" w:type="dxa"/>
          </w:tcPr>
          <w:p w:rsidRPr="00AA4A98" w:rsidR="00040C64" w:rsidP="004E0BF9" w:rsidRDefault="004E0BF9" w14:paraId="0106BC11" w14:textId="4A5BFA66">
            <w:pPr>
              <w:contextualSpacing/>
              <w:jc w:val="right"/>
              <w:rPr>
                <w:rFonts w:ascii="Times New Roman" w:hAnsi="Times New Roman" w:eastAsia="SimSun"/>
                <w:sz w:val="24"/>
                <w:szCs w:val="24"/>
              </w:rPr>
            </w:pPr>
            <w:r>
              <w:rPr>
                <w:rFonts w:ascii="Times New Roman" w:hAnsi="Times New Roman" w:eastAsia="SimSun"/>
                <w:sz w:val="24"/>
                <w:szCs w:val="24"/>
              </w:rPr>
              <w:t>0.425</w:t>
            </w:r>
          </w:p>
        </w:tc>
      </w:tr>
      <w:tr w:rsidRPr="00AA4A98" w:rsidR="00040C64" w:rsidTr="00040C64" w14:paraId="75051FD7" w14:textId="77777777">
        <w:tc>
          <w:tcPr>
            <w:tcW w:w="4295" w:type="dxa"/>
          </w:tcPr>
          <w:p w:rsidRPr="00AA4A98" w:rsidR="00040C64" w:rsidP="004E0BF9" w:rsidRDefault="00040C64" w14:paraId="3BCC521D" w14:textId="77777777">
            <w:pPr>
              <w:contextualSpacing/>
              <w:rPr>
                <w:rFonts w:ascii="Times New Roman" w:hAnsi="Times New Roman" w:eastAsia="SimSun"/>
                <w:sz w:val="24"/>
                <w:szCs w:val="24"/>
              </w:rPr>
            </w:pPr>
            <w:r w:rsidRPr="00AA4A98">
              <w:rPr>
                <w:rFonts w:ascii="Times New Roman" w:hAnsi="Times New Roman" w:eastAsia="SimSun"/>
                <w:sz w:val="24"/>
                <w:szCs w:val="24"/>
              </w:rPr>
              <w:t>Loaded labor rate ($/hour):</w:t>
            </w:r>
            <w:r w:rsidRPr="00AA4A98">
              <w:rPr>
                <w:rStyle w:val="FootnoteReference"/>
                <w:rFonts w:ascii="Times New Roman" w:hAnsi="Times New Roman" w:eastAsia="SimSun"/>
                <w:sz w:val="24"/>
                <w:szCs w:val="24"/>
                <w:vertAlign w:val="superscript"/>
              </w:rPr>
              <w:footnoteReference w:id="3"/>
            </w:r>
          </w:p>
        </w:tc>
        <w:tc>
          <w:tcPr>
            <w:tcW w:w="1956" w:type="dxa"/>
          </w:tcPr>
          <w:p w:rsidRPr="00AA4A98" w:rsidR="00040C64" w:rsidP="004E0BF9" w:rsidRDefault="004E0BF9" w14:paraId="2876EA3E" w14:textId="330564FC">
            <w:pPr>
              <w:contextualSpacing/>
              <w:jc w:val="right"/>
              <w:rPr>
                <w:rFonts w:ascii="Times New Roman" w:hAnsi="Times New Roman" w:eastAsia="SimSun"/>
                <w:sz w:val="24"/>
                <w:szCs w:val="24"/>
              </w:rPr>
            </w:pPr>
            <w:r>
              <w:rPr>
                <w:rFonts w:ascii="Times New Roman" w:hAnsi="Times New Roman" w:eastAsia="SimSun"/>
                <w:sz w:val="24"/>
                <w:szCs w:val="24"/>
              </w:rPr>
              <w:t>$54.07</w:t>
            </w:r>
          </w:p>
        </w:tc>
      </w:tr>
      <w:tr w:rsidRPr="00AA4A98" w:rsidR="00040C64" w:rsidTr="00040C64" w14:paraId="00FA41A7" w14:textId="77777777">
        <w:tc>
          <w:tcPr>
            <w:tcW w:w="4295" w:type="dxa"/>
            <w:vAlign w:val="bottom"/>
          </w:tcPr>
          <w:p w:rsidRPr="00AA4A98" w:rsidR="00040C64" w:rsidP="004E0BF9" w:rsidRDefault="00040C64" w14:paraId="60A37AB5" w14:textId="77777777">
            <w:pPr>
              <w:contextualSpacing/>
              <w:rPr>
                <w:rFonts w:ascii="Times New Roman" w:hAnsi="Times New Roman"/>
                <w:b/>
                <w:bCs/>
                <w:color w:val="000000"/>
                <w:sz w:val="24"/>
                <w:szCs w:val="24"/>
              </w:rPr>
            </w:pPr>
          </w:p>
        </w:tc>
        <w:tc>
          <w:tcPr>
            <w:tcW w:w="1956" w:type="dxa"/>
            <w:vAlign w:val="bottom"/>
          </w:tcPr>
          <w:p w:rsidRPr="00AA4A98" w:rsidR="00040C64" w:rsidP="004E0BF9" w:rsidRDefault="00040C64" w14:paraId="7AA7587A" w14:textId="77777777">
            <w:pPr>
              <w:contextualSpacing/>
              <w:jc w:val="center"/>
              <w:rPr>
                <w:rFonts w:ascii="Times New Roman" w:hAnsi="Times New Roman"/>
                <w:bCs/>
                <w:color w:val="000000"/>
                <w:sz w:val="24"/>
                <w:szCs w:val="24"/>
                <w:u w:val="single"/>
              </w:rPr>
            </w:pPr>
          </w:p>
        </w:tc>
      </w:tr>
      <w:tr w:rsidRPr="00AA4A98" w:rsidR="00040C64" w:rsidTr="00040C64" w14:paraId="61F0C08A" w14:textId="77777777">
        <w:tc>
          <w:tcPr>
            <w:tcW w:w="4295" w:type="dxa"/>
            <w:vAlign w:val="center"/>
          </w:tcPr>
          <w:p w:rsidRPr="00AA4A98" w:rsidR="00040C64" w:rsidP="004E0BF9" w:rsidRDefault="00040C64" w14:paraId="1BB54490" w14:textId="77777777">
            <w:pPr>
              <w:contextualSpacing/>
              <w:rPr>
                <w:rFonts w:ascii="Times New Roman" w:hAnsi="Times New Roman"/>
                <w:color w:val="000000"/>
                <w:sz w:val="24"/>
                <w:szCs w:val="24"/>
              </w:rPr>
            </w:pPr>
            <w:r w:rsidRPr="00AA4A98">
              <w:rPr>
                <w:rFonts w:ascii="Times New Roman" w:hAnsi="Times New Roman"/>
                <w:color w:val="000000"/>
                <w:sz w:val="24"/>
                <w:szCs w:val="24"/>
              </w:rPr>
              <w:t>Number of responses</w:t>
            </w:r>
          </w:p>
        </w:tc>
        <w:tc>
          <w:tcPr>
            <w:tcW w:w="1956" w:type="dxa"/>
            <w:vAlign w:val="bottom"/>
          </w:tcPr>
          <w:p w:rsidRPr="00AA4A98" w:rsidR="00040C64" w:rsidP="004E0BF9" w:rsidRDefault="004E0BF9" w14:paraId="14141831" w14:textId="2C22853F">
            <w:pPr>
              <w:contextualSpacing/>
              <w:jc w:val="right"/>
              <w:rPr>
                <w:rFonts w:ascii="Times New Roman" w:hAnsi="Times New Roman"/>
                <w:color w:val="000000"/>
                <w:sz w:val="24"/>
                <w:szCs w:val="24"/>
              </w:rPr>
            </w:pPr>
            <w:r>
              <w:rPr>
                <w:rFonts w:ascii="Times New Roman" w:hAnsi="Times New Roman"/>
                <w:color w:val="000000"/>
                <w:sz w:val="24"/>
                <w:szCs w:val="24"/>
              </w:rPr>
              <w:t>2,093</w:t>
            </w:r>
            <w:r w:rsidRPr="00AA4A98" w:rsidR="00040C64">
              <w:rPr>
                <w:rFonts w:ascii="Times New Roman" w:hAnsi="Times New Roman"/>
                <w:color w:val="000000"/>
                <w:sz w:val="24"/>
                <w:szCs w:val="24"/>
              </w:rPr>
              <w:t xml:space="preserve">          </w:t>
            </w:r>
          </w:p>
        </w:tc>
      </w:tr>
      <w:tr w:rsidRPr="00AA4A98" w:rsidR="00040C64" w:rsidTr="00040C64" w14:paraId="6792A4A6" w14:textId="77777777">
        <w:tc>
          <w:tcPr>
            <w:tcW w:w="4295" w:type="dxa"/>
            <w:vAlign w:val="center"/>
          </w:tcPr>
          <w:p w:rsidRPr="00AA4A98" w:rsidR="00040C64" w:rsidP="004E0BF9" w:rsidRDefault="00040C64" w14:paraId="6C17612F" w14:textId="77777777">
            <w:pPr>
              <w:contextualSpacing/>
              <w:rPr>
                <w:rFonts w:ascii="Times New Roman" w:hAnsi="Times New Roman"/>
                <w:color w:val="000000"/>
                <w:sz w:val="24"/>
                <w:szCs w:val="24"/>
              </w:rPr>
            </w:pPr>
            <w:r w:rsidRPr="00AA4A98">
              <w:rPr>
                <w:rFonts w:ascii="Times New Roman" w:hAnsi="Times New Roman"/>
                <w:color w:val="000000"/>
                <w:sz w:val="24"/>
                <w:szCs w:val="24"/>
              </w:rPr>
              <w:t>Total annual hours</w:t>
            </w:r>
          </w:p>
        </w:tc>
        <w:tc>
          <w:tcPr>
            <w:tcW w:w="1956" w:type="dxa"/>
            <w:vAlign w:val="bottom"/>
          </w:tcPr>
          <w:p w:rsidRPr="00AA4A98" w:rsidR="00040C64" w:rsidP="004E0BF9" w:rsidRDefault="004E0BF9" w14:paraId="57F83192" w14:textId="024CEEE9">
            <w:pPr>
              <w:contextualSpacing/>
              <w:jc w:val="right"/>
              <w:rPr>
                <w:rFonts w:ascii="Times New Roman" w:hAnsi="Times New Roman"/>
                <w:color w:val="000000"/>
                <w:sz w:val="24"/>
                <w:szCs w:val="24"/>
              </w:rPr>
            </w:pPr>
            <w:r>
              <w:rPr>
                <w:rFonts w:ascii="Times New Roman" w:hAnsi="Times New Roman"/>
                <w:color w:val="000000"/>
                <w:sz w:val="24"/>
                <w:szCs w:val="24"/>
              </w:rPr>
              <w:t>2,093</w:t>
            </w:r>
            <w:r w:rsidRPr="00AA4A98" w:rsidR="00040C64">
              <w:rPr>
                <w:rFonts w:ascii="Times New Roman" w:hAnsi="Times New Roman"/>
                <w:color w:val="000000"/>
                <w:sz w:val="24"/>
                <w:szCs w:val="24"/>
              </w:rPr>
              <w:t xml:space="preserve">              </w:t>
            </w:r>
          </w:p>
        </w:tc>
      </w:tr>
      <w:tr w:rsidRPr="00AA4A98" w:rsidR="00040C64" w:rsidTr="00040C64" w14:paraId="531CF8EE" w14:textId="77777777">
        <w:tc>
          <w:tcPr>
            <w:tcW w:w="4295" w:type="dxa"/>
            <w:vAlign w:val="center"/>
          </w:tcPr>
          <w:p w:rsidRPr="00AA4A98" w:rsidR="00040C64" w:rsidP="004E0BF9" w:rsidRDefault="00040C64" w14:paraId="7FC362BF" w14:textId="77777777">
            <w:pPr>
              <w:contextualSpacing/>
              <w:rPr>
                <w:rFonts w:ascii="Times New Roman" w:hAnsi="Times New Roman"/>
                <w:color w:val="000000"/>
                <w:sz w:val="24"/>
                <w:szCs w:val="24"/>
              </w:rPr>
            </w:pPr>
            <w:r w:rsidRPr="00AA4A98">
              <w:rPr>
                <w:rFonts w:ascii="Times New Roman" w:hAnsi="Times New Roman"/>
                <w:color w:val="000000"/>
                <w:sz w:val="24"/>
                <w:szCs w:val="24"/>
              </w:rPr>
              <w:t>Average burden per response (hour)</w:t>
            </w:r>
          </w:p>
        </w:tc>
        <w:tc>
          <w:tcPr>
            <w:tcW w:w="1956" w:type="dxa"/>
            <w:vAlign w:val="bottom"/>
          </w:tcPr>
          <w:p w:rsidRPr="00AA4A98" w:rsidR="00040C64" w:rsidP="004E0BF9" w:rsidRDefault="004E0BF9" w14:paraId="05B02F8D" w14:textId="75DBD52C">
            <w:pPr>
              <w:contextualSpacing/>
              <w:jc w:val="right"/>
              <w:rPr>
                <w:rFonts w:ascii="Times New Roman" w:hAnsi="Times New Roman"/>
                <w:color w:val="000000"/>
                <w:sz w:val="24"/>
                <w:szCs w:val="24"/>
              </w:rPr>
            </w:pPr>
            <w:r>
              <w:rPr>
                <w:rFonts w:ascii="Times New Roman" w:hAnsi="Times New Roman"/>
                <w:color w:val="000000"/>
                <w:sz w:val="24"/>
                <w:szCs w:val="24"/>
              </w:rPr>
              <w:t>1</w:t>
            </w:r>
            <w:r w:rsidRPr="00AA4A98" w:rsidR="00040C64">
              <w:rPr>
                <w:rFonts w:ascii="Times New Roman" w:hAnsi="Times New Roman"/>
                <w:color w:val="000000"/>
                <w:sz w:val="24"/>
                <w:szCs w:val="24"/>
              </w:rPr>
              <w:t xml:space="preserve">                </w:t>
            </w:r>
          </w:p>
        </w:tc>
      </w:tr>
      <w:tr w:rsidRPr="00AA4A98" w:rsidR="00040C64" w:rsidTr="00040C64" w14:paraId="5DDAA8BB" w14:textId="77777777">
        <w:tc>
          <w:tcPr>
            <w:tcW w:w="4295" w:type="dxa"/>
            <w:vAlign w:val="center"/>
          </w:tcPr>
          <w:p w:rsidRPr="00AA4A98" w:rsidR="00040C64" w:rsidP="004E0BF9" w:rsidRDefault="00040C64" w14:paraId="1986B1F5" w14:textId="77777777">
            <w:pPr>
              <w:contextualSpacing/>
              <w:rPr>
                <w:rFonts w:ascii="Times New Roman" w:hAnsi="Times New Roman"/>
                <w:color w:val="000000"/>
                <w:sz w:val="24"/>
                <w:szCs w:val="24"/>
              </w:rPr>
            </w:pPr>
            <w:r w:rsidRPr="00AA4A98">
              <w:rPr>
                <w:rFonts w:ascii="Times New Roman" w:hAnsi="Times New Roman"/>
                <w:color w:val="000000"/>
                <w:sz w:val="24"/>
                <w:szCs w:val="24"/>
              </w:rPr>
              <w:t>Burden dollars per response ($)</w:t>
            </w:r>
          </w:p>
        </w:tc>
        <w:tc>
          <w:tcPr>
            <w:tcW w:w="1956" w:type="dxa"/>
            <w:vAlign w:val="bottom"/>
          </w:tcPr>
          <w:p w:rsidRPr="00AA4A98" w:rsidR="00040C64" w:rsidP="004E0BF9" w:rsidRDefault="00040C64" w14:paraId="5F65C245" w14:textId="50A6931F">
            <w:pPr>
              <w:contextualSpacing/>
              <w:jc w:val="right"/>
              <w:rPr>
                <w:rFonts w:ascii="Times New Roman" w:hAnsi="Times New Roman"/>
                <w:color w:val="000000"/>
                <w:sz w:val="24"/>
                <w:szCs w:val="24"/>
                <w:u w:val="single"/>
              </w:rPr>
            </w:pPr>
            <w:r w:rsidRPr="00AA4A98">
              <w:rPr>
                <w:rFonts w:ascii="Times New Roman" w:hAnsi="Times New Roman"/>
                <w:color w:val="000000"/>
                <w:sz w:val="24"/>
                <w:szCs w:val="24"/>
                <w:u w:val="single"/>
              </w:rPr>
              <w:t xml:space="preserve"> $</w:t>
            </w:r>
            <w:r w:rsidR="004E0BF9">
              <w:rPr>
                <w:rFonts w:ascii="Times New Roman" w:hAnsi="Times New Roman"/>
                <w:color w:val="000000"/>
                <w:sz w:val="24"/>
                <w:szCs w:val="24"/>
                <w:u w:val="single"/>
              </w:rPr>
              <w:t>54.07</w:t>
            </w:r>
            <w:r w:rsidRPr="00AA4A98">
              <w:rPr>
                <w:rFonts w:ascii="Times New Roman" w:hAnsi="Times New Roman"/>
                <w:color w:val="000000"/>
                <w:sz w:val="24"/>
                <w:szCs w:val="24"/>
                <w:u w:val="single"/>
              </w:rPr>
              <w:t xml:space="preserve">          </w:t>
            </w:r>
          </w:p>
        </w:tc>
      </w:tr>
      <w:tr w:rsidRPr="00AA4A98" w:rsidR="00040C64" w:rsidTr="00040C64" w14:paraId="5E8ABC40" w14:textId="77777777">
        <w:tc>
          <w:tcPr>
            <w:tcW w:w="4295" w:type="dxa"/>
            <w:vAlign w:val="center"/>
          </w:tcPr>
          <w:p w:rsidRPr="00AA4A98" w:rsidR="00040C64" w:rsidP="004E0BF9" w:rsidRDefault="00040C64" w14:paraId="2887FBB5" w14:textId="77777777">
            <w:pPr>
              <w:contextualSpacing/>
              <w:rPr>
                <w:rFonts w:ascii="Times New Roman" w:hAnsi="Times New Roman"/>
                <w:b/>
                <w:bCs/>
                <w:color w:val="000000"/>
                <w:sz w:val="24"/>
                <w:szCs w:val="24"/>
              </w:rPr>
            </w:pPr>
            <w:r w:rsidRPr="00AA4A98">
              <w:rPr>
                <w:rFonts w:ascii="Times New Roman" w:hAnsi="Times New Roman"/>
                <w:b/>
                <w:bCs/>
                <w:color w:val="000000"/>
                <w:sz w:val="24"/>
                <w:szCs w:val="24"/>
              </w:rPr>
              <w:t>Total burden dollars</w:t>
            </w:r>
          </w:p>
        </w:tc>
        <w:tc>
          <w:tcPr>
            <w:tcW w:w="1956" w:type="dxa"/>
            <w:vAlign w:val="bottom"/>
          </w:tcPr>
          <w:p w:rsidRPr="00AA4A98" w:rsidR="00040C64" w:rsidP="004E0BF9" w:rsidRDefault="00040C64" w14:paraId="03D00634" w14:textId="7707D674">
            <w:pPr>
              <w:contextualSpacing/>
              <w:jc w:val="right"/>
              <w:rPr>
                <w:rFonts w:ascii="Times New Roman" w:hAnsi="Times New Roman"/>
                <w:bCs/>
                <w:color w:val="000000"/>
                <w:sz w:val="24"/>
                <w:szCs w:val="24"/>
              </w:rPr>
            </w:pPr>
            <w:r w:rsidRPr="00AA4A98">
              <w:rPr>
                <w:rFonts w:ascii="Times New Roman" w:hAnsi="Times New Roman"/>
                <w:b/>
                <w:bCs/>
                <w:color w:val="000000"/>
                <w:sz w:val="24"/>
                <w:szCs w:val="24"/>
              </w:rPr>
              <w:t xml:space="preserve"> $</w:t>
            </w:r>
            <w:r w:rsidR="004E0BF9">
              <w:rPr>
                <w:rFonts w:ascii="Times New Roman" w:hAnsi="Times New Roman"/>
                <w:b/>
                <w:bCs/>
                <w:color w:val="000000"/>
                <w:sz w:val="24"/>
                <w:szCs w:val="24"/>
              </w:rPr>
              <w:t>113,169</w:t>
            </w:r>
            <w:r w:rsidRPr="00AA4A98">
              <w:rPr>
                <w:rFonts w:ascii="Times New Roman" w:hAnsi="Times New Roman"/>
                <w:b/>
                <w:bCs/>
                <w:color w:val="000000"/>
                <w:sz w:val="24"/>
                <w:szCs w:val="24"/>
              </w:rPr>
              <w:t xml:space="preserve">    </w:t>
            </w:r>
          </w:p>
        </w:tc>
      </w:tr>
    </w:tbl>
    <w:p w:rsidRPr="00AA4A98" w:rsidR="00572EEB" w:rsidP="004E0BF9" w:rsidRDefault="00572EEB" w14:paraId="0B64C868" w14:textId="77777777">
      <w:pPr>
        <w:contextualSpacing/>
        <w:rPr>
          <w:rFonts w:ascii="Times New Roman" w:hAnsi="Times New Roman"/>
          <w:sz w:val="24"/>
          <w:szCs w:val="24"/>
        </w:rPr>
      </w:pPr>
    </w:p>
    <w:p w:rsidRPr="00AA4A98" w:rsidR="005A1D74" w:rsidP="004E0BF9" w:rsidRDefault="005A1D74" w14:paraId="3468F980" w14:textId="77777777">
      <w:pPr>
        <w:contextualSpacing/>
        <w:rPr>
          <w:rFonts w:ascii="Times New Roman" w:hAnsi="Times New Roman"/>
          <w:sz w:val="24"/>
          <w:szCs w:val="24"/>
        </w:rPr>
      </w:pPr>
      <w:r w:rsidRPr="00AA4A98">
        <w:rPr>
          <w:rFonts w:ascii="Times New Roman" w:hAnsi="Times New Roman"/>
          <w:sz w:val="24"/>
          <w:szCs w:val="24"/>
        </w:rPr>
        <w:t xml:space="preserve">13.  </w:t>
      </w:r>
      <w:r w:rsidRPr="00AA4A98">
        <w:rPr>
          <w:rFonts w:ascii="Times New Roman" w:hAnsi="Times New Roman"/>
          <w:sz w:val="24"/>
          <w:szCs w:val="24"/>
          <w:u w:val="single"/>
        </w:rPr>
        <w:t>Estimate of Cost Burden:</w:t>
      </w:r>
    </w:p>
    <w:p w:rsidRPr="00AA4A98" w:rsidR="005A1D74" w:rsidP="004E0BF9" w:rsidRDefault="005A1D74" w14:paraId="3A38746C" w14:textId="77777777">
      <w:pPr>
        <w:contextualSpacing/>
        <w:rPr>
          <w:rFonts w:ascii="Times New Roman" w:hAnsi="Times New Roman"/>
          <w:sz w:val="24"/>
          <w:szCs w:val="24"/>
        </w:rPr>
      </w:pPr>
    </w:p>
    <w:p w:rsidR="00E75B77" w:rsidP="004E0BF9" w:rsidRDefault="00895214" w14:paraId="34E5F832" w14:textId="1A04A9FD">
      <w:pPr>
        <w:contextualSpacing/>
        <w:rPr>
          <w:rFonts w:ascii="Times New Roman" w:hAnsi="Times New Roman"/>
          <w:sz w:val="24"/>
          <w:szCs w:val="24"/>
        </w:rPr>
      </w:pPr>
      <w:r>
        <w:rPr>
          <w:rFonts w:ascii="Times New Roman" w:hAnsi="Times New Roman"/>
          <w:sz w:val="24"/>
          <w:szCs w:val="24"/>
        </w:rPr>
        <w:t xml:space="preserve">DEA initially estimates 80% of responses will be online applications, not incurring shipping expenses, while 20% of responses will be paper application, incurring </w:t>
      </w:r>
      <w:r>
        <w:rPr>
          <w:rFonts w:ascii="Times New Roman" w:hAnsi="Times New Roman"/>
          <w:sz w:val="24"/>
          <w:szCs w:val="24"/>
        </w:rPr>
        <w:lastRenderedPageBreak/>
        <w:t xml:space="preserve">shipping expenses.  </w:t>
      </w:r>
      <w:r w:rsidR="004E0BF9">
        <w:rPr>
          <w:rFonts w:ascii="Times New Roman" w:hAnsi="Times New Roman"/>
          <w:sz w:val="24"/>
          <w:szCs w:val="24"/>
        </w:rPr>
        <w:t>The estimated shipping cost is $7.75 per application.</w:t>
      </w:r>
      <w:r w:rsidRPr="004E0BF9" w:rsidR="004E0BF9">
        <w:rPr>
          <w:rStyle w:val="FootnoteReference"/>
          <w:rFonts w:ascii="Times New Roman" w:hAnsi="Times New Roman"/>
          <w:sz w:val="24"/>
          <w:szCs w:val="24"/>
          <w:vertAlign w:val="superscript"/>
        </w:rPr>
        <w:footnoteReference w:id="4"/>
      </w:r>
      <w:r w:rsidR="004E0BF9">
        <w:rPr>
          <w:rFonts w:ascii="Times New Roman" w:hAnsi="Times New Roman"/>
          <w:sz w:val="24"/>
          <w:szCs w:val="24"/>
        </w:rPr>
        <w:t xml:space="preserve">  The estimated total cost burden is $</w:t>
      </w:r>
      <w:r>
        <w:rPr>
          <w:rFonts w:ascii="Times New Roman" w:hAnsi="Times New Roman"/>
          <w:sz w:val="24"/>
          <w:szCs w:val="24"/>
        </w:rPr>
        <w:t>3,244</w:t>
      </w:r>
      <w:r w:rsidR="004E0BF9">
        <w:rPr>
          <w:rFonts w:ascii="Times New Roman" w:hAnsi="Times New Roman"/>
          <w:sz w:val="24"/>
          <w:szCs w:val="24"/>
        </w:rPr>
        <w:t>.</w:t>
      </w:r>
      <w:r w:rsidRPr="004E0BF9" w:rsidR="004E0BF9">
        <w:rPr>
          <w:rStyle w:val="FootnoteReference"/>
          <w:rFonts w:ascii="Times New Roman" w:hAnsi="Times New Roman"/>
          <w:sz w:val="24"/>
          <w:szCs w:val="24"/>
          <w:vertAlign w:val="superscript"/>
        </w:rPr>
        <w:footnoteReference w:id="5"/>
      </w:r>
    </w:p>
    <w:p w:rsidRPr="00AA4A98" w:rsidR="004E0BF9" w:rsidP="004E0BF9" w:rsidRDefault="004E0BF9" w14:paraId="1453CA9D" w14:textId="77777777">
      <w:pPr>
        <w:contextualSpacing/>
        <w:rPr>
          <w:rFonts w:ascii="Times New Roman" w:hAnsi="Times New Roman"/>
          <w:sz w:val="24"/>
          <w:szCs w:val="24"/>
        </w:rPr>
      </w:pPr>
    </w:p>
    <w:p w:rsidRPr="00AA4A98" w:rsidR="005A1D74" w:rsidP="004E0BF9" w:rsidRDefault="005A1D74" w14:paraId="756F5E2B" w14:textId="77777777">
      <w:pPr>
        <w:contextualSpacing/>
        <w:rPr>
          <w:rFonts w:ascii="Times New Roman" w:hAnsi="Times New Roman"/>
          <w:sz w:val="24"/>
          <w:szCs w:val="24"/>
        </w:rPr>
      </w:pPr>
      <w:r w:rsidRPr="00AA4A98">
        <w:rPr>
          <w:rFonts w:ascii="Times New Roman" w:hAnsi="Times New Roman"/>
          <w:sz w:val="24"/>
          <w:szCs w:val="24"/>
        </w:rPr>
        <w:t xml:space="preserve">14.  </w:t>
      </w:r>
      <w:r w:rsidRPr="00AA4A98">
        <w:rPr>
          <w:rFonts w:ascii="Times New Roman" w:hAnsi="Times New Roman"/>
          <w:sz w:val="24"/>
          <w:szCs w:val="24"/>
          <w:u w:val="single"/>
        </w:rPr>
        <w:t>Estimated Annualized Cost</w:t>
      </w:r>
      <w:r w:rsidRPr="00AA4A98" w:rsidR="00E75B77">
        <w:rPr>
          <w:rFonts w:ascii="Times New Roman" w:hAnsi="Times New Roman"/>
          <w:sz w:val="24"/>
          <w:szCs w:val="24"/>
          <w:u w:val="single"/>
        </w:rPr>
        <w:t>s</w:t>
      </w:r>
      <w:r w:rsidRPr="00AA4A98">
        <w:rPr>
          <w:rFonts w:ascii="Times New Roman" w:hAnsi="Times New Roman"/>
          <w:sz w:val="24"/>
          <w:szCs w:val="24"/>
          <w:u w:val="single"/>
        </w:rPr>
        <w:t xml:space="preserve"> to Federal Government:</w:t>
      </w:r>
    </w:p>
    <w:p w:rsidR="005A1D74" w:rsidP="004E0BF9" w:rsidRDefault="005A1D74" w14:paraId="4C7C86D0" w14:textId="388FB88B">
      <w:pPr>
        <w:contextualSpacing/>
        <w:rPr>
          <w:rFonts w:ascii="Times New Roman" w:hAnsi="Times New Roman"/>
          <w:sz w:val="24"/>
          <w:szCs w:val="24"/>
        </w:rPr>
      </w:pPr>
    </w:p>
    <w:p w:rsidRPr="006A30A4" w:rsidR="006A30A4" w:rsidP="006A30A4" w:rsidRDefault="006A30A4" w14:paraId="4AB21A47" w14:textId="77777777">
      <w:pPr>
        <w:contextualSpacing/>
        <w:rPr>
          <w:rFonts w:ascii="Times New Roman" w:hAnsi="Times New Roman"/>
          <w:sz w:val="24"/>
          <w:szCs w:val="24"/>
        </w:rPr>
      </w:pPr>
      <w:r w:rsidRPr="006A30A4">
        <w:rPr>
          <w:rFonts w:ascii="Times New Roman" w:hAnsi="Times New Roman"/>
          <w:sz w:val="24"/>
          <w:szCs w:val="24"/>
        </w:rPr>
        <w:t>Estimated Annual Labor Cost to Government:</w:t>
      </w:r>
    </w:p>
    <w:p w:rsidRPr="006A30A4" w:rsidR="006A30A4" w:rsidP="006A30A4" w:rsidRDefault="006A30A4" w14:paraId="187C4E89" w14:textId="77777777">
      <w:pPr>
        <w:contextualSpacing/>
        <w:rPr>
          <w:rFonts w:ascii="Times New Roman" w:hAnsi="Times New Roman"/>
          <w:sz w:val="24"/>
          <w:szCs w:val="24"/>
        </w:rPr>
      </w:pPr>
    </w:p>
    <w:tbl>
      <w:tblPr>
        <w:tblW w:w="5935" w:type="dxa"/>
        <w:tblLook w:val="04A0" w:firstRow="1" w:lastRow="0" w:firstColumn="1" w:lastColumn="0" w:noHBand="0" w:noVBand="1"/>
      </w:tblPr>
      <w:tblGrid>
        <w:gridCol w:w="2515"/>
        <w:gridCol w:w="928"/>
        <w:gridCol w:w="1142"/>
        <w:gridCol w:w="1350"/>
      </w:tblGrid>
      <w:tr w:rsidRPr="00C206E8" w:rsidR="00C206E8" w:rsidTr="00C206E8" w14:paraId="19803DC0" w14:textId="77777777">
        <w:trPr>
          <w:trHeight w:val="300"/>
        </w:trPr>
        <w:tc>
          <w:tcPr>
            <w:tcW w:w="2515" w:type="dxa"/>
            <w:tcBorders>
              <w:top w:val="single" w:color="auto" w:sz="4" w:space="0"/>
              <w:left w:val="single" w:color="auto" w:sz="4" w:space="0"/>
              <w:bottom w:val="single" w:color="auto" w:sz="4" w:space="0"/>
              <w:right w:val="single" w:color="auto" w:sz="4" w:space="0"/>
            </w:tcBorders>
            <w:shd w:val="clear" w:color="000000" w:fill="DCE6F1"/>
            <w:noWrap/>
            <w:vAlign w:val="bottom"/>
            <w:hideMark/>
          </w:tcPr>
          <w:p w:rsidRPr="00C206E8" w:rsidR="00C206E8" w:rsidP="00C206E8" w:rsidRDefault="00C206E8" w14:paraId="5152DCA3" w14:textId="77777777">
            <w:pPr>
              <w:rPr>
                <w:rFonts w:ascii="Times New Roman" w:hAnsi="Times New Roman"/>
                <w:b/>
                <w:bCs/>
                <w:noProof w:val="0"/>
                <w:color w:val="000000"/>
              </w:rPr>
            </w:pPr>
            <w:r w:rsidRPr="00C206E8">
              <w:rPr>
                <w:rFonts w:ascii="Times New Roman" w:hAnsi="Times New Roman"/>
                <w:b/>
                <w:bCs/>
                <w:noProof w:val="0"/>
                <w:color w:val="000000"/>
              </w:rPr>
              <w:t xml:space="preserve">Labor Category </w:t>
            </w:r>
          </w:p>
        </w:tc>
        <w:tc>
          <w:tcPr>
            <w:tcW w:w="928" w:type="dxa"/>
            <w:tcBorders>
              <w:top w:val="single" w:color="auto" w:sz="4" w:space="0"/>
              <w:left w:val="nil"/>
              <w:bottom w:val="single" w:color="auto" w:sz="4" w:space="0"/>
              <w:right w:val="single" w:color="auto" w:sz="4" w:space="0"/>
            </w:tcBorders>
            <w:shd w:val="clear" w:color="000000" w:fill="DCE6F1"/>
            <w:noWrap/>
            <w:vAlign w:val="bottom"/>
            <w:hideMark/>
          </w:tcPr>
          <w:p w:rsidRPr="00C206E8" w:rsidR="00C206E8" w:rsidP="00C206E8" w:rsidRDefault="00C206E8" w14:paraId="72E72856" w14:textId="77777777">
            <w:pPr>
              <w:jc w:val="center"/>
              <w:rPr>
                <w:rFonts w:ascii="Times New Roman" w:hAnsi="Times New Roman"/>
                <w:b/>
                <w:bCs/>
                <w:noProof w:val="0"/>
                <w:color w:val="000000"/>
              </w:rPr>
            </w:pPr>
            <w:r w:rsidRPr="00C206E8">
              <w:rPr>
                <w:rFonts w:ascii="Times New Roman" w:hAnsi="Times New Roman"/>
                <w:b/>
                <w:bCs/>
                <w:noProof w:val="0"/>
                <w:color w:val="000000"/>
              </w:rPr>
              <w:t>Number</w:t>
            </w:r>
          </w:p>
        </w:tc>
        <w:tc>
          <w:tcPr>
            <w:tcW w:w="1142" w:type="dxa"/>
            <w:tcBorders>
              <w:top w:val="single" w:color="auto" w:sz="4" w:space="0"/>
              <w:left w:val="nil"/>
              <w:bottom w:val="single" w:color="auto" w:sz="4" w:space="0"/>
              <w:right w:val="single" w:color="auto" w:sz="4" w:space="0"/>
            </w:tcBorders>
            <w:shd w:val="clear" w:color="000000" w:fill="DCE6F1"/>
            <w:noWrap/>
            <w:vAlign w:val="bottom"/>
            <w:hideMark/>
          </w:tcPr>
          <w:p w:rsidRPr="00C206E8" w:rsidR="00C206E8" w:rsidP="00C206E8" w:rsidRDefault="00C206E8" w14:paraId="29036441" w14:textId="77777777">
            <w:pPr>
              <w:jc w:val="center"/>
              <w:rPr>
                <w:rFonts w:ascii="Times New Roman" w:hAnsi="Times New Roman"/>
                <w:b/>
                <w:bCs/>
                <w:noProof w:val="0"/>
                <w:color w:val="000000"/>
              </w:rPr>
            </w:pPr>
            <w:r w:rsidRPr="00C206E8">
              <w:rPr>
                <w:rFonts w:ascii="Times New Roman" w:hAnsi="Times New Roman"/>
                <w:b/>
                <w:bCs/>
                <w:noProof w:val="0"/>
                <w:color w:val="000000"/>
              </w:rPr>
              <w:t>% of time</w:t>
            </w:r>
          </w:p>
        </w:tc>
        <w:tc>
          <w:tcPr>
            <w:tcW w:w="1350" w:type="dxa"/>
            <w:tcBorders>
              <w:top w:val="single" w:color="auto" w:sz="4" w:space="0"/>
              <w:left w:val="nil"/>
              <w:bottom w:val="single" w:color="auto" w:sz="4" w:space="0"/>
              <w:right w:val="single" w:color="auto" w:sz="4" w:space="0"/>
            </w:tcBorders>
            <w:shd w:val="clear" w:color="000000" w:fill="DCE6F1"/>
            <w:noWrap/>
            <w:vAlign w:val="bottom"/>
            <w:hideMark/>
          </w:tcPr>
          <w:p w:rsidRPr="00C206E8" w:rsidR="00C206E8" w:rsidP="00C206E8" w:rsidRDefault="00C206E8" w14:paraId="0229D295" w14:textId="77777777">
            <w:pPr>
              <w:jc w:val="center"/>
              <w:rPr>
                <w:rFonts w:ascii="Times New Roman" w:hAnsi="Times New Roman"/>
                <w:b/>
                <w:bCs/>
                <w:noProof w:val="0"/>
                <w:color w:val="000000"/>
              </w:rPr>
            </w:pPr>
            <w:r w:rsidRPr="00C206E8">
              <w:rPr>
                <w:rFonts w:ascii="Times New Roman" w:hAnsi="Times New Roman"/>
                <w:b/>
                <w:bCs/>
                <w:noProof w:val="0"/>
                <w:color w:val="000000"/>
              </w:rPr>
              <w:t>Cost</w:t>
            </w:r>
          </w:p>
        </w:tc>
      </w:tr>
      <w:tr w:rsidRPr="00C206E8" w:rsidR="00C206E8" w:rsidTr="00C206E8" w14:paraId="0A18418C" w14:textId="77777777">
        <w:trPr>
          <w:trHeight w:val="300"/>
        </w:trPr>
        <w:tc>
          <w:tcPr>
            <w:tcW w:w="2515" w:type="dxa"/>
            <w:tcBorders>
              <w:top w:val="nil"/>
              <w:left w:val="single" w:color="auto" w:sz="4" w:space="0"/>
              <w:bottom w:val="single" w:color="auto" w:sz="4" w:space="0"/>
              <w:right w:val="single" w:color="auto" w:sz="4" w:space="0"/>
            </w:tcBorders>
            <w:shd w:val="clear" w:color="auto" w:fill="auto"/>
            <w:noWrap/>
            <w:vAlign w:val="bottom"/>
            <w:hideMark/>
          </w:tcPr>
          <w:p w:rsidRPr="00C206E8" w:rsidR="00C206E8" w:rsidP="00C206E8" w:rsidRDefault="00C206E8" w14:paraId="67CDBB41" w14:textId="77777777">
            <w:pPr>
              <w:rPr>
                <w:rFonts w:ascii="Times New Roman" w:hAnsi="Times New Roman"/>
                <w:noProof w:val="0"/>
                <w:color w:val="000000"/>
              </w:rPr>
            </w:pPr>
            <w:r w:rsidRPr="00C206E8">
              <w:rPr>
                <w:rFonts w:ascii="Times New Roman" w:hAnsi="Times New Roman"/>
                <w:noProof w:val="0"/>
                <w:color w:val="000000"/>
              </w:rPr>
              <w:t>Chemist, GS-14, step 5</w:t>
            </w:r>
          </w:p>
        </w:tc>
        <w:tc>
          <w:tcPr>
            <w:tcW w:w="928" w:type="dxa"/>
            <w:tcBorders>
              <w:top w:val="nil"/>
              <w:left w:val="nil"/>
              <w:bottom w:val="single" w:color="auto" w:sz="4" w:space="0"/>
              <w:right w:val="single" w:color="auto" w:sz="4" w:space="0"/>
            </w:tcBorders>
            <w:shd w:val="clear" w:color="auto" w:fill="auto"/>
            <w:noWrap/>
            <w:vAlign w:val="bottom"/>
            <w:hideMark/>
          </w:tcPr>
          <w:p w:rsidRPr="00C206E8" w:rsidR="00C206E8" w:rsidP="00C206E8" w:rsidRDefault="00C206E8" w14:paraId="5A95888D" w14:textId="77777777">
            <w:pPr>
              <w:jc w:val="right"/>
              <w:rPr>
                <w:rFonts w:ascii="Times New Roman" w:hAnsi="Times New Roman"/>
                <w:noProof w:val="0"/>
                <w:color w:val="000000"/>
              </w:rPr>
            </w:pPr>
            <w:r w:rsidRPr="00C206E8">
              <w:rPr>
                <w:rFonts w:ascii="Times New Roman" w:hAnsi="Times New Roman"/>
                <w:noProof w:val="0"/>
                <w:color w:val="000000"/>
              </w:rPr>
              <w:t>3</w:t>
            </w:r>
          </w:p>
        </w:tc>
        <w:tc>
          <w:tcPr>
            <w:tcW w:w="1142" w:type="dxa"/>
            <w:tcBorders>
              <w:top w:val="nil"/>
              <w:left w:val="nil"/>
              <w:bottom w:val="single" w:color="auto" w:sz="4" w:space="0"/>
              <w:right w:val="single" w:color="auto" w:sz="4" w:space="0"/>
            </w:tcBorders>
            <w:shd w:val="clear" w:color="auto" w:fill="auto"/>
            <w:noWrap/>
            <w:vAlign w:val="bottom"/>
            <w:hideMark/>
          </w:tcPr>
          <w:p w:rsidRPr="00C206E8" w:rsidR="00C206E8" w:rsidP="00C206E8" w:rsidRDefault="00C206E8" w14:paraId="35A45E31" w14:textId="77777777">
            <w:pPr>
              <w:jc w:val="right"/>
              <w:rPr>
                <w:rFonts w:ascii="Times New Roman" w:hAnsi="Times New Roman"/>
                <w:noProof w:val="0"/>
                <w:color w:val="000000"/>
              </w:rPr>
            </w:pPr>
            <w:r w:rsidRPr="00C206E8">
              <w:rPr>
                <w:rFonts w:ascii="Times New Roman" w:hAnsi="Times New Roman"/>
                <w:noProof w:val="0"/>
                <w:color w:val="000000"/>
              </w:rPr>
              <w:t>30%</w:t>
            </w:r>
          </w:p>
        </w:tc>
        <w:tc>
          <w:tcPr>
            <w:tcW w:w="1350" w:type="dxa"/>
            <w:tcBorders>
              <w:top w:val="nil"/>
              <w:left w:val="nil"/>
              <w:bottom w:val="single" w:color="auto" w:sz="4" w:space="0"/>
              <w:right w:val="single" w:color="auto" w:sz="4" w:space="0"/>
            </w:tcBorders>
            <w:shd w:val="clear" w:color="auto" w:fill="auto"/>
            <w:noWrap/>
            <w:vAlign w:val="bottom"/>
            <w:hideMark/>
          </w:tcPr>
          <w:p w:rsidRPr="00C206E8" w:rsidR="00C206E8" w:rsidP="00C206E8" w:rsidRDefault="00C206E8" w14:paraId="7DBE56E3" w14:textId="77777777">
            <w:pPr>
              <w:rPr>
                <w:rFonts w:ascii="Times New Roman" w:hAnsi="Times New Roman"/>
                <w:noProof w:val="0"/>
                <w:color w:val="000000"/>
              </w:rPr>
            </w:pPr>
            <w:r w:rsidRPr="00C206E8">
              <w:rPr>
                <w:rFonts w:ascii="Times New Roman" w:hAnsi="Times New Roman"/>
                <w:noProof w:val="0"/>
                <w:color w:val="000000"/>
              </w:rPr>
              <w:t xml:space="preserve"> $      200,967 </w:t>
            </w:r>
          </w:p>
        </w:tc>
      </w:tr>
      <w:tr w:rsidRPr="00C206E8" w:rsidR="00C206E8" w:rsidTr="00C206E8" w14:paraId="040355B8" w14:textId="77777777">
        <w:trPr>
          <w:trHeight w:val="300"/>
        </w:trPr>
        <w:tc>
          <w:tcPr>
            <w:tcW w:w="2515" w:type="dxa"/>
            <w:tcBorders>
              <w:top w:val="nil"/>
              <w:left w:val="single" w:color="auto" w:sz="4" w:space="0"/>
              <w:bottom w:val="single" w:color="auto" w:sz="4" w:space="0"/>
              <w:right w:val="single" w:color="auto" w:sz="4" w:space="0"/>
            </w:tcBorders>
            <w:shd w:val="clear" w:color="auto" w:fill="auto"/>
            <w:noWrap/>
            <w:vAlign w:val="bottom"/>
            <w:hideMark/>
          </w:tcPr>
          <w:p w:rsidRPr="00C206E8" w:rsidR="00C206E8" w:rsidP="00C206E8" w:rsidRDefault="00C206E8" w14:paraId="5F974DBB" w14:textId="77777777">
            <w:pPr>
              <w:rPr>
                <w:rFonts w:ascii="Times New Roman" w:hAnsi="Times New Roman"/>
                <w:noProof w:val="0"/>
                <w:color w:val="000000"/>
              </w:rPr>
            </w:pPr>
            <w:r w:rsidRPr="00C206E8">
              <w:rPr>
                <w:rFonts w:ascii="Times New Roman" w:hAnsi="Times New Roman"/>
                <w:noProof w:val="0"/>
                <w:color w:val="000000"/>
              </w:rPr>
              <w:t>Unit Chief, GS-14, step 5</w:t>
            </w:r>
          </w:p>
        </w:tc>
        <w:tc>
          <w:tcPr>
            <w:tcW w:w="928" w:type="dxa"/>
            <w:tcBorders>
              <w:top w:val="nil"/>
              <w:left w:val="nil"/>
              <w:bottom w:val="single" w:color="auto" w:sz="4" w:space="0"/>
              <w:right w:val="single" w:color="auto" w:sz="4" w:space="0"/>
            </w:tcBorders>
            <w:shd w:val="clear" w:color="auto" w:fill="auto"/>
            <w:noWrap/>
            <w:vAlign w:val="bottom"/>
            <w:hideMark/>
          </w:tcPr>
          <w:p w:rsidRPr="00C206E8" w:rsidR="00C206E8" w:rsidP="00C206E8" w:rsidRDefault="00C206E8" w14:paraId="4A8DEFC6" w14:textId="77777777">
            <w:pPr>
              <w:jc w:val="right"/>
              <w:rPr>
                <w:rFonts w:ascii="Times New Roman" w:hAnsi="Times New Roman"/>
                <w:noProof w:val="0"/>
                <w:color w:val="000000"/>
              </w:rPr>
            </w:pPr>
            <w:r w:rsidRPr="00C206E8">
              <w:rPr>
                <w:rFonts w:ascii="Times New Roman" w:hAnsi="Times New Roman"/>
                <w:noProof w:val="0"/>
                <w:color w:val="000000"/>
              </w:rPr>
              <w:t>1</w:t>
            </w:r>
          </w:p>
        </w:tc>
        <w:tc>
          <w:tcPr>
            <w:tcW w:w="1142" w:type="dxa"/>
            <w:tcBorders>
              <w:top w:val="nil"/>
              <w:left w:val="nil"/>
              <w:bottom w:val="single" w:color="auto" w:sz="4" w:space="0"/>
              <w:right w:val="single" w:color="auto" w:sz="4" w:space="0"/>
            </w:tcBorders>
            <w:shd w:val="clear" w:color="auto" w:fill="auto"/>
            <w:noWrap/>
            <w:vAlign w:val="bottom"/>
            <w:hideMark/>
          </w:tcPr>
          <w:p w:rsidRPr="00C206E8" w:rsidR="00C206E8" w:rsidP="00C206E8" w:rsidRDefault="00C206E8" w14:paraId="42346DE6" w14:textId="77777777">
            <w:pPr>
              <w:jc w:val="right"/>
              <w:rPr>
                <w:rFonts w:ascii="Times New Roman" w:hAnsi="Times New Roman"/>
                <w:noProof w:val="0"/>
                <w:color w:val="000000"/>
              </w:rPr>
            </w:pPr>
            <w:r w:rsidRPr="00C206E8">
              <w:rPr>
                <w:rFonts w:ascii="Times New Roman" w:hAnsi="Times New Roman"/>
                <w:noProof w:val="0"/>
                <w:color w:val="000000"/>
              </w:rPr>
              <w:t>5%</w:t>
            </w:r>
          </w:p>
        </w:tc>
        <w:tc>
          <w:tcPr>
            <w:tcW w:w="1350" w:type="dxa"/>
            <w:tcBorders>
              <w:top w:val="nil"/>
              <w:left w:val="nil"/>
              <w:bottom w:val="single" w:color="auto" w:sz="4" w:space="0"/>
              <w:right w:val="single" w:color="auto" w:sz="4" w:space="0"/>
            </w:tcBorders>
            <w:shd w:val="clear" w:color="auto" w:fill="auto"/>
            <w:noWrap/>
            <w:vAlign w:val="bottom"/>
            <w:hideMark/>
          </w:tcPr>
          <w:p w:rsidRPr="00C206E8" w:rsidR="00C206E8" w:rsidP="00C206E8" w:rsidRDefault="00C206E8" w14:paraId="7068EAC4" w14:textId="77777777">
            <w:pPr>
              <w:rPr>
                <w:rFonts w:ascii="Times New Roman" w:hAnsi="Times New Roman"/>
                <w:noProof w:val="0"/>
                <w:color w:val="000000"/>
              </w:rPr>
            </w:pPr>
            <w:r w:rsidRPr="00C206E8">
              <w:rPr>
                <w:rFonts w:ascii="Times New Roman" w:hAnsi="Times New Roman"/>
                <w:noProof w:val="0"/>
                <w:color w:val="000000"/>
              </w:rPr>
              <w:t xml:space="preserve"> $        11,165 </w:t>
            </w:r>
          </w:p>
        </w:tc>
      </w:tr>
      <w:tr w:rsidRPr="00C206E8" w:rsidR="00C206E8" w:rsidTr="00C206E8" w14:paraId="15087420" w14:textId="77777777">
        <w:trPr>
          <w:trHeight w:val="300"/>
        </w:trPr>
        <w:tc>
          <w:tcPr>
            <w:tcW w:w="2515" w:type="dxa"/>
            <w:tcBorders>
              <w:top w:val="nil"/>
              <w:left w:val="single" w:color="auto" w:sz="4" w:space="0"/>
              <w:bottom w:val="single" w:color="auto" w:sz="4" w:space="0"/>
              <w:right w:val="single" w:color="auto" w:sz="4" w:space="0"/>
            </w:tcBorders>
            <w:shd w:val="clear" w:color="auto" w:fill="auto"/>
            <w:noWrap/>
            <w:vAlign w:val="bottom"/>
            <w:hideMark/>
          </w:tcPr>
          <w:p w:rsidRPr="00C206E8" w:rsidR="00C206E8" w:rsidP="00C206E8" w:rsidRDefault="00C206E8" w14:paraId="0EFC38B5" w14:textId="77777777">
            <w:pPr>
              <w:rPr>
                <w:rFonts w:ascii="Times New Roman" w:hAnsi="Times New Roman"/>
                <w:noProof w:val="0"/>
                <w:color w:val="000000"/>
              </w:rPr>
            </w:pPr>
            <w:r w:rsidRPr="00C206E8">
              <w:rPr>
                <w:rFonts w:ascii="Times New Roman" w:hAnsi="Times New Roman"/>
                <w:noProof w:val="0"/>
                <w:color w:val="000000"/>
              </w:rPr>
              <w:t>Section Chief, GS-15, step 5</w:t>
            </w:r>
          </w:p>
        </w:tc>
        <w:tc>
          <w:tcPr>
            <w:tcW w:w="928" w:type="dxa"/>
            <w:tcBorders>
              <w:top w:val="nil"/>
              <w:left w:val="nil"/>
              <w:bottom w:val="single" w:color="auto" w:sz="4" w:space="0"/>
              <w:right w:val="single" w:color="auto" w:sz="4" w:space="0"/>
            </w:tcBorders>
            <w:shd w:val="clear" w:color="auto" w:fill="auto"/>
            <w:noWrap/>
            <w:vAlign w:val="bottom"/>
            <w:hideMark/>
          </w:tcPr>
          <w:p w:rsidRPr="00C206E8" w:rsidR="00C206E8" w:rsidP="00C206E8" w:rsidRDefault="00C206E8" w14:paraId="7D182874" w14:textId="77777777">
            <w:pPr>
              <w:jc w:val="right"/>
              <w:rPr>
                <w:rFonts w:ascii="Times New Roman" w:hAnsi="Times New Roman"/>
                <w:noProof w:val="0"/>
                <w:color w:val="000000"/>
              </w:rPr>
            </w:pPr>
            <w:r w:rsidRPr="00C206E8">
              <w:rPr>
                <w:rFonts w:ascii="Times New Roman" w:hAnsi="Times New Roman"/>
                <w:noProof w:val="0"/>
                <w:color w:val="000000"/>
              </w:rPr>
              <w:t>1</w:t>
            </w:r>
          </w:p>
        </w:tc>
        <w:tc>
          <w:tcPr>
            <w:tcW w:w="1142" w:type="dxa"/>
            <w:tcBorders>
              <w:top w:val="nil"/>
              <w:left w:val="nil"/>
              <w:bottom w:val="single" w:color="auto" w:sz="4" w:space="0"/>
              <w:right w:val="single" w:color="auto" w:sz="4" w:space="0"/>
            </w:tcBorders>
            <w:shd w:val="clear" w:color="auto" w:fill="auto"/>
            <w:noWrap/>
            <w:vAlign w:val="bottom"/>
            <w:hideMark/>
          </w:tcPr>
          <w:p w:rsidRPr="00C206E8" w:rsidR="00C206E8" w:rsidP="00C206E8" w:rsidRDefault="00C206E8" w14:paraId="22D4ECE5" w14:textId="77777777">
            <w:pPr>
              <w:jc w:val="right"/>
              <w:rPr>
                <w:rFonts w:ascii="Times New Roman" w:hAnsi="Times New Roman"/>
                <w:noProof w:val="0"/>
                <w:color w:val="000000"/>
              </w:rPr>
            </w:pPr>
            <w:r w:rsidRPr="00C206E8">
              <w:rPr>
                <w:rFonts w:ascii="Times New Roman" w:hAnsi="Times New Roman"/>
                <w:noProof w:val="0"/>
                <w:color w:val="000000"/>
              </w:rPr>
              <w:t>1%</w:t>
            </w:r>
          </w:p>
        </w:tc>
        <w:tc>
          <w:tcPr>
            <w:tcW w:w="1350" w:type="dxa"/>
            <w:tcBorders>
              <w:top w:val="nil"/>
              <w:left w:val="nil"/>
              <w:bottom w:val="single" w:color="auto" w:sz="4" w:space="0"/>
              <w:right w:val="single" w:color="auto" w:sz="4" w:space="0"/>
            </w:tcBorders>
            <w:shd w:val="clear" w:color="auto" w:fill="auto"/>
            <w:noWrap/>
            <w:vAlign w:val="bottom"/>
            <w:hideMark/>
          </w:tcPr>
          <w:p w:rsidRPr="00C206E8" w:rsidR="00C206E8" w:rsidP="00C206E8" w:rsidRDefault="00C206E8" w14:paraId="5D90BF51" w14:textId="77777777">
            <w:pPr>
              <w:rPr>
                <w:rFonts w:ascii="Times New Roman" w:hAnsi="Times New Roman"/>
                <w:noProof w:val="0"/>
                <w:color w:val="000000"/>
              </w:rPr>
            </w:pPr>
            <w:r w:rsidRPr="00C206E8">
              <w:rPr>
                <w:rFonts w:ascii="Times New Roman" w:hAnsi="Times New Roman"/>
                <w:noProof w:val="0"/>
                <w:color w:val="000000"/>
              </w:rPr>
              <w:t xml:space="preserve"> $          2,627 </w:t>
            </w:r>
          </w:p>
        </w:tc>
      </w:tr>
      <w:tr w:rsidRPr="00C206E8" w:rsidR="00C206E8" w:rsidTr="00C206E8" w14:paraId="230A2D56" w14:textId="77777777">
        <w:trPr>
          <w:trHeight w:val="300"/>
        </w:trPr>
        <w:tc>
          <w:tcPr>
            <w:tcW w:w="2515" w:type="dxa"/>
            <w:tcBorders>
              <w:top w:val="nil"/>
              <w:left w:val="single" w:color="auto" w:sz="4" w:space="0"/>
              <w:bottom w:val="single" w:color="auto" w:sz="4" w:space="0"/>
              <w:right w:val="single" w:color="auto" w:sz="4" w:space="0"/>
            </w:tcBorders>
            <w:shd w:val="clear" w:color="000000" w:fill="DCE6F1"/>
            <w:noWrap/>
            <w:vAlign w:val="bottom"/>
            <w:hideMark/>
          </w:tcPr>
          <w:p w:rsidRPr="00C206E8" w:rsidR="00C206E8" w:rsidP="00C206E8" w:rsidRDefault="00C206E8" w14:paraId="005BA01C" w14:textId="77777777">
            <w:pPr>
              <w:rPr>
                <w:rFonts w:ascii="Times New Roman" w:hAnsi="Times New Roman"/>
                <w:b/>
                <w:bCs/>
                <w:noProof w:val="0"/>
                <w:color w:val="000000"/>
              </w:rPr>
            </w:pPr>
            <w:r w:rsidRPr="00C206E8">
              <w:rPr>
                <w:rFonts w:ascii="Times New Roman" w:hAnsi="Times New Roman"/>
                <w:b/>
                <w:bCs/>
                <w:noProof w:val="0"/>
                <w:color w:val="000000"/>
              </w:rPr>
              <w:t>Total</w:t>
            </w:r>
          </w:p>
        </w:tc>
        <w:tc>
          <w:tcPr>
            <w:tcW w:w="928" w:type="dxa"/>
            <w:tcBorders>
              <w:top w:val="nil"/>
              <w:left w:val="nil"/>
              <w:bottom w:val="single" w:color="auto" w:sz="4" w:space="0"/>
              <w:right w:val="single" w:color="auto" w:sz="4" w:space="0"/>
            </w:tcBorders>
            <w:shd w:val="clear" w:color="000000" w:fill="DCE6F1"/>
            <w:noWrap/>
            <w:vAlign w:val="bottom"/>
            <w:hideMark/>
          </w:tcPr>
          <w:p w:rsidRPr="00C206E8" w:rsidR="00C206E8" w:rsidP="00C206E8" w:rsidRDefault="00C206E8" w14:paraId="5619F34A" w14:textId="77777777">
            <w:pPr>
              <w:rPr>
                <w:rFonts w:ascii="Times New Roman" w:hAnsi="Times New Roman"/>
                <w:b/>
                <w:bCs/>
                <w:noProof w:val="0"/>
                <w:color w:val="000000"/>
              </w:rPr>
            </w:pPr>
            <w:r w:rsidRPr="00C206E8">
              <w:rPr>
                <w:rFonts w:ascii="Times New Roman" w:hAnsi="Times New Roman"/>
                <w:b/>
                <w:bCs/>
                <w:noProof w:val="0"/>
                <w:color w:val="000000"/>
              </w:rPr>
              <w:t> </w:t>
            </w:r>
          </w:p>
        </w:tc>
        <w:tc>
          <w:tcPr>
            <w:tcW w:w="1142" w:type="dxa"/>
            <w:tcBorders>
              <w:top w:val="nil"/>
              <w:left w:val="nil"/>
              <w:bottom w:val="single" w:color="auto" w:sz="4" w:space="0"/>
              <w:right w:val="single" w:color="auto" w:sz="4" w:space="0"/>
            </w:tcBorders>
            <w:shd w:val="clear" w:color="000000" w:fill="DCE6F1"/>
            <w:noWrap/>
            <w:vAlign w:val="bottom"/>
            <w:hideMark/>
          </w:tcPr>
          <w:p w:rsidRPr="00C206E8" w:rsidR="00C206E8" w:rsidP="00C206E8" w:rsidRDefault="00C206E8" w14:paraId="3C9742AA" w14:textId="77777777">
            <w:pPr>
              <w:rPr>
                <w:rFonts w:ascii="Times New Roman" w:hAnsi="Times New Roman"/>
                <w:b/>
                <w:bCs/>
                <w:noProof w:val="0"/>
                <w:color w:val="000000"/>
              </w:rPr>
            </w:pPr>
            <w:r w:rsidRPr="00C206E8">
              <w:rPr>
                <w:rFonts w:ascii="Times New Roman" w:hAnsi="Times New Roman"/>
                <w:b/>
                <w:bCs/>
                <w:noProof w:val="0"/>
                <w:color w:val="000000"/>
              </w:rPr>
              <w:t> </w:t>
            </w:r>
          </w:p>
        </w:tc>
        <w:tc>
          <w:tcPr>
            <w:tcW w:w="1350" w:type="dxa"/>
            <w:tcBorders>
              <w:top w:val="nil"/>
              <w:left w:val="nil"/>
              <w:bottom w:val="single" w:color="auto" w:sz="4" w:space="0"/>
              <w:right w:val="single" w:color="auto" w:sz="4" w:space="0"/>
            </w:tcBorders>
            <w:shd w:val="clear" w:color="000000" w:fill="DCE6F1"/>
            <w:noWrap/>
            <w:vAlign w:val="bottom"/>
            <w:hideMark/>
          </w:tcPr>
          <w:p w:rsidRPr="00C206E8" w:rsidR="00C206E8" w:rsidP="00C206E8" w:rsidRDefault="00C206E8" w14:paraId="11E54163" w14:textId="77BEAA4D">
            <w:pPr>
              <w:rPr>
                <w:rFonts w:ascii="Times New Roman" w:hAnsi="Times New Roman"/>
                <w:b/>
                <w:bCs/>
                <w:noProof w:val="0"/>
                <w:color w:val="000000"/>
              </w:rPr>
            </w:pPr>
            <w:r w:rsidRPr="00C206E8">
              <w:rPr>
                <w:rFonts w:ascii="Times New Roman" w:hAnsi="Times New Roman"/>
                <w:b/>
                <w:bCs/>
                <w:noProof w:val="0"/>
                <w:color w:val="000000"/>
              </w:rPr>
              <w:t xml:space="preserve"> $    </w:t>
            </w:r>
            <w:r>
              <w:rPr>
                <w:rFonts w:ascii="Times New Roman" w:hAnsi="Times New Roman"/>
                <w:b/>
                <w:bCs/>
                <w:noProof w:val="0"/>
                <w:color w:val="000000"/>
              </w:rPr>
              <w:t xml:space="preserve">  </w:t>
            </w:r>
            <w:r w:rsidRPr="00C206E8">
              <w:rPr>
                <w:rFonts w:ascii="Times New Roman" w:hAnsi="Times New Roman"/>
                <w:b/>
                <w:bCs/>
                <w:noProof w:val="0"/>
                <w:color w:val="000000"/>
              </w:rPr>
              <w:t xml:space="preserve">214,758 </w:t>
            </w:r>
          </w:p>
        </w:tc>
      </w:tr>
    </w:tbl>
    <w:p w:rsidR="006A30A4" w:rsidP="004E0BF9" w:rsidRDefault="006A30A4" w14:paraId="7CA7917F" w14:textId="6E385B98">
      <w:pPr>
        <w:contextualSpacing/>
        <w:rPr>
          <w:rFonts w:ascii="Times New Roman" w:hAnsi="Times New Roman"/>
          <w:sz w:val="24"/>
          <w:szCs w:val="24"/>
        </w:rPr>
      </w:pPr>
    </w:p>
    <w:p w:rsidRPr="00AA4A98" w:rsidR="006A30A4" w:rsidP="004E0BF9" w:rsidRDefault="006A30A4" w14:paraId="031EC81D" w14:textId="77777777">
      <w:pPr>
        <w:contextualSpacing/>
        <w:rPr>
          <w:rFonts w:ascii="Times New Roman" w:hAnsi="Times New Roman"/>
          <w:sz w:val="24"/>
          <w:szCs w:val="24"/>
        </w:rPr>
      </w:pPr>
    </w:p>
    <w:p w:rsidR="006A30A4" w:rsidP="004E0BF9" w:rsidRDefault="006A30A4" w14:paraId="3EA0B261" w14:textId="77777777">
      <w:pPr>
        <w:contextualSpacing/>
      </w:pPr>
      <w:bookmarkStart w:name="OLE_LINK5" w:id="1"/>
      <w:bookmarkStart w:name="OLE_LINK6" w:id="2"/>
    </w:p>
    <w:p w:rsidR="006A30A4" w:rsidP="004E0BF9" w:rsidRDefault="006A30A4" w14:paraId="357E4849" w14:textId="77777777">
      <w:pPr>
        <w:contextualSpacing/>
      </w:pPr>
    </w:p>
    <w:p w:rsidR="006A30A4" w:rsidP="004E0BF9" w:rsidRDefault="004E0BF9" w14:paraId="0A1A4B76" w14:textId="77777777">
      <w:pPr>
        <w:contextualSpacing/>
      </w:pPr>
      <w:r w:rsidRPr="004E0BF9">
        <w:t xml:space="preserve"> </w:t>
      </w:r>
    </w:p>
    <w:p w:rsidR="006A30A4" w:rsidP="004E0BF9" w:rsidRDefault="006A30A4" w14:paraId="115D9A47" w14:textId="77777777">
      <w:pPr>
        <w:contextualSpacing/>
      </w:pPr>
    </w:p>
    <w:p w:rsidRPr="00C206E8" w:rsidR="00C206E8" w:rsidP="00C206E8" w:rsidRDefault="00C206E8" w14:paraId="39ED8803" w14:textId="12ACE8F9">
      <w:pPr>
        <w:contextualSpacing/>
        <w:rPr>
          <w:rFonts w:ascii="Times New Roman" w:hAnsi="Times New Roman"/>
          <w:sz w:val="24"/>
          <w:szCs w:val="24"/>
        </w:rPr>
      </w:pPr>
      <w:r w:rsidRPr="00C206E8">
        <w:rPr>
          <w:rFonts w:ascii="Times New Roman" w:hAnsi="Times New Roman"/>
          <w:sz w:val="24"/>
          <w:szCs w:val="24"/>
        </w:rPr>
        <w:t>Total cost to government:  $</w:t>
      </w:r>
      <w:r>
        <w:rPr>
          <w:rFonts w:ascii="Times New Roman" w:hAnsi="Times New Roman"/>
          <w:sz w:val="24"/>
          <w:szCs w:val="24"/>
        </w:rPr>
        <w:t>214,758</w:t>
      </w:r>
    </w:p>
    <w:p w:rsidRPr="00C206E8" w:rsidR="00C206E8" w:rsidP="00C206E8" w:rsidRDefault="00C206E8" w14:paraId="6887ABC9" w14:textId="77777777">
      <w:pPr>
        <w:contextualSpacing/>
        <w:rPr>
          <w:rFonts w:ascii="Times New Roman" w:hAnsi="Times New Roman"/>
          <w:sz w:val="24"/>
          <w:szCs w:val="24"/>
        </w:rPr>
      </w:pPr>
    </w:p>
    <w:p w:rsidRPr="00AA4A98" w:rsidR="00D22ADC" w:rsidP="00C206E8" w:rsidRDefault="00C206E8" w14:paraId="43E0C9CE" w14:textId="3E987D5D">
      <w:pPr>
        <w:contextualSpacing/>
        <w:rPr>
          <w:rFonts w:ascii="Times New Roman" w:hAnsi="Times New Roman"/>
          <w:sz w:val="24"/>
          <w:szCs w:val="24"/>
        </w:rPr>
      </w:pPr>
      <w:r w:rsidRPr="00C206E8">
        <w:rPr>
          <w:rFonts w:ascii="Times New Roman" w:hAnsi="Times New Roman"/>
          <w:sz w:val="24"/>
          <w:szCs w:val="24"/>
        </w:rPr>
        <w:t>All costs are recovered from registrants through registration fees, as required by the CSA.  21 U.S.C. 886a. Government salari</w:t>
      </w:r>
      <w:r>
        <w:rPr>
          <w:rFonts w:ascii="Times New Roman" w:hAnsi="Times New Roman"/>
          <w:sz w:val="24"/>
          <w:szCs w:val="24"/>
        </w:rPr>
        <w:t>es above include a load of 60.8</w:t>
      </w:r>
      <w:r w:rsidRPr="00C206E8">
        <w:rPr>
          <w:rFonts w:ascii="Times New Roman" w:hAnsi="Times New Roman"/>
          <w:sz w:val="24"/>
          <w:szCs w:val="24"/>
        </w:rPr>
        <w:t>% for benefits based on the ECEC for “State and local government workers.”  The ECEC does not include figures for the Federal Government.</w:t>
      </w:r>
    </w:p>
    <w:bookmarkEnd w:id="1"/>
    <w:bookmarkEnd w:id="2"/>
    <w:p w:rsidRPr="00AA4A98" w:rsidR="00E75B77" w:rsidP="004E0BF9" w:rsidRDefault="00E75B77" w14:paraId="2D94AF06" w14:textId="77777777">
      <w:pPr>
        <w:contextualSpacing/>
        <w:rPr>
          <w:rFonts w:ascii="Times New Roman" w:hAnsi="Times New Roman"/>
          <w:sz w:val="24"/>
          <w:szCs w:val="24"/>
        </w:rPr>
      </w:pPr>
    </w:p>
    <w:p w:rsidRPr="004E0BF9" w:rsidR="00331303" w:rsidP="004E0BF9" w:rsidRDefault="000C1537" w14:paraId="3C0B350C" w14:textId="77777777">
      <w:pPr>
        <w:tabs>
          <w:tab w:val="left" w:pos="720"/>
          <w:tab w:val="left" w:pos="1440"/>
          <w:tab w:val="left" w:pos="2160"/>
        </w:tabs>
        <w:contextualSpacing/>
        <w:jc w:val="both"/>
        <w:rPr>
          <w:rFonts w:ascii="Times New Roman" w:hAnsi="Times New Roman"/>
          <w:noProof w:val="0"/>
          <w:sz w:val="24"/>
          <w:szCs w:val="24"/>
        </w:rPr>
      </w:pPr>
      <w:r w:rsidRPr="00C906CA">
        <w:rPr>
          <w:rFonts w:ascii="Times New Roman" w:hAnsi="Times New Roman"/>
          <w:noProof w:val="0"/>
          <w:sz w:val="24"/>
          <w:szCs w:val="24"/>
        </w:rPr>
        <w:t>15.</w:t>
      </w:r>
      <w:r w:rsidRPr="00C906CA" w:rsidR="00090C0E">
        <w:rPr>
          <w:rFonts w:ascii="Times New Roman" w:hAnsi="Times New Roman"/>
          <w:noProof w:val="0"/>
          <w:sz w:val="24"/>
          <w:szCs w:val="24"/>
        </w:rPr>
        <w:t xml:space="preserve"> </w:t>
      </w:r>
      <w:r w:rsidRPr="00C906CA">
        <w:rPr>
          <w:rFonts w:ascii="Times New Roman" w:hAnsi="Times New Roman"/>
          <w:noProof w:val="0"/>
          <w:sz w:val="24"/>
          <w:szCs w:val="24"/>
        </w:rPr>
        <w:t xml:space="preserve"> </w:t>
      </w:r>
      <w:r w:rsidRPr="00C906CA" w:rsidR="00331303">
        <w:rPr>
          <w:rFonts w:ascii="Times New Roman" w:hAnsi="Times New Roman"/>
          <w:noProof w:val="0"/>
          <w:sz w:val="24"/>
          <w:szCs w:val="24"/>
          <w:u w:val="single"/>
        </w:rPr>
        <w:t>Reasons for Change in Burden:</w:t>
      </w:r>
    </w:p>
    <w:p w:rsidRPr="004E0BF9" w:rsidR="001A64B0" w:rsidP="004E0BF9" w:rsidRDefault="001A64B0" w14:paraId="14FEEC39" w14:textId="77777777">
      <w:pPr>
        <w:contextualSpacing/>
        <w:rPr>
          <w:rFonts w:ascii="Times New Roman" w:hAnsi="Times New Roman"/>
          <w:noProof w:val="0"/>
          <w:sz w:val="24"/>
          <w:szCs w:val="24"/>
        </w:rPr>
      </w:pPr>
    </w:p>
    <w:p w:rsidRPr="00AA4A98" w:rsidR="00CC40DC" w:rsidP="004E0BF9" w:rsidRDefault="004E0BF9" w14:paraId="12B8F88A" w14:textId="1D6E0F23">
      <w:pPr>
        <w:contextualSpacing/>
        <w:rPr>
          <w:rFonts w:ascii="Times New Roman" w:hAnsi="Times New Roman"/>
          <w:sz w:val="24"/>
          <w:szCs w:val="24"/>
        </w:rPr>
      </w:pPr>
      <w:r>
        <w:rPr>
          <w:rFonts w:ascii="Times New Roman" w:hAnsi="Times New Roman"/>
          <w:sz w:val="24"/>
          <w:szCs w:val="24"/>
        </w:rPr>
        <w:t>This is a new information collection.</w:t>
      </w:r>
    </w:p>
    <w:p w:rsidRPr="00C906CA" w:rsidR="00695627" w:rsidP="004E0BF9" w:rsidRDefault="00695627" w14:paraId="5D237197" w14:textId="77777777">
      <w:pPr>
        <w:tabs>
          <w:tab w:val="left" w:pos="720"/>
          <w:tab w:val="left" w:pos="1440"/>
          <w:tab w:val="left" w:pos="2160"/>
        </w:tabs>
        <w:contextualSpacing/>
        <w:rPr>
          <w:rFonts w:ascii="Times New Roman" w:hAnsi="Times New Roman"/>
          <w:noProof w:val="0"/>
          <w:sz w:val="24"/>
          <w:szCs w:val="24"/>
        </w:rPr>
      </w:pPr>
    </w:p>
    <w:p w:rsidRPr="004E0BF9" w:rsidR="00331303" w:rsidP="004E0BF9" w:rsidRDefault="000C1537" w14:paraId="33C9952F" w14:textId="77777777">
      <w:pPr>
        <w:tabs>
          <w:tab w:val="left" w:pos="720"/>
          <w:tab w:val="left" w:pos="1440"/>
          <w:tab w:val="left" w:pos="2160"/>
        </w:tabs>
        <w:contextualSpacing/>
        <w:rPr>
          <w:rFonts w:ascii="Times New Roman" w:hAnsi="Times New Roman"/>
          <w:noProof w:val="0"/>
          <w:sz w:val="24"/>
          <w:szCs w:val="24"/>
        </w:rPr>
      </w:pPr>
      <w:r w:rsidRPr="004E0BF9">
        <w:rPr>
          <w:rFonts w:ascii="Times New Roman" w:hAnsi="Times New Roman"/>
          <w:noProof w:val="0"/>
          <w:sz w:val="24"/>
          <w:szCs w:val="24"/>
        </w:rPr>
        <w:t xml:space="preserve">16. </w:t>
      </w:r>
      <w:r w:rsidRPr="004E0BF9" w:rsidR="00090C0E">
        <w:rPr>
          <w:rFonts w:ascii="Times New Roman" w:hAnsi="Times New Roman"/>
          <w:noProof w:val="0"/>
          <w:sz w:val="24"/>
          <w:szCs w:val="24"/>
        </w:rPr>
        <w:t xml:space="preserve"> </w:t>
      </w:r>
      <w:r w:rsidRPr="004E0BF9" w:rsidR="00331303">
        <w:rPr>
          <w:rFonts w:ascii="Times New Roman" w:hAnsi="Times New Roman"/>
          <w:noProof w:val="0"/>
          <w:sz w:val="24"/>
          <w:szCs w:val="24"/>
          <w:u w:val="single"/>
        </w:rPr>
        <w:t>Plans for Publication:</w:t>
      </w:r>
    </w:p>
    <w:p w:rsidRPr="004E0BF9" w:rsidR="001A64B0" w:rsidP="004E0BF9" w:rsidRDefault="001A64B0" w14:paraId="576CF20E" w14:textId="77777777">
      <w:pPr>
        <w:tabs>
          <w:tab w:val="left" w:pos="720"/>
          <w:tab w:val="left" w:pos="1440"/>
          <w:tab w:val="left" w:pos="2160"/>
        </w:tabs>
        <w:contextualSpacing/>
        <w:rPr>
          <w:rFonts w:ascii="Times New Roman" w:hAnsi="Times New Roman"/>
          <w:noProof w:val="0"/>
          <w:sz w:val="24"/>
          <w:szCs w:val="24"/>
        </w:rPr>
      </w:pPr>
    </w:p>
    <w:p w:rsidRPr="004E0BF9" w:rsidR="000C1537" w:rsidP="004E0BF9" w:rsidRDefault="00B051D2" w14:paraId="098EF5F4" w14:textId="648D2BA8">
      <w:pPr>
        <w:tabs>
          <w:tab w:val="left" w:pos="720"/>
          <w:tab w:val="left" w:pos="1440"/>
          <w:tab w:val="left" w:pos="2160"/>
        </w:tabs>
        <w:contextualSpacing/>
        <w:rPr>
          <w:rFonts w:ascii="Times New Roman" w:hAnsi="Times New Roman"/>
          <w:noProof w:val="0"/>
          <w:sz w:val="24"/>
          <w:szCs w:val="24"/>
        </w:rPr>
      </w:pPr>
      <w:r w:rsidRPr="004E0BF9">
        <w:rPr>
          <w:rFonts w:ascii="Times New Roman" w:hAnsi="Times New Roman"/>
          <w:noProof w:val="0"/>
          <w:sz w:val="24"/>
          <w:szCs w:val="24"/>
        </w:rPr>
        <w:t>DEA will not publish the results of the information collected</w:t>
      </w:r>
      <w:r w:rsidRPr="004E0BF9" w:rsidR="000C1537">
        <w:rPr>
          <w:rFonts w:ascii="Times New Roman" w:hAnsi="Times New Roman"/>
          <w:noProof w:val="0"/>
          <w:sz w:val="24"/>
          <w:szCs w:val="24"/>
        </w:rPr>
        <w:t>.</w:t>
      </w:r>
    </w:p>
    <w:p w:rsidRPr="006A30A4" w:rsidR="00695627" w:rsidP="004E0BF9" w:rsidRDefault="00695627" w14:paraId="4C7E5693" w14:textId="77777777">
      <w:pPr>
        <w:tabs>
          <w:tab w:val="left" w:pos="720"/>
        </w:tabs>
        <w:contextualSpacing/>
        <w:jc w:val="both"/>
        <w:rPr>
          <w:rFonts w:ascii="Times New Roman" w:hAnsi="Times New Roman"/>
          <w:noProof w:val="0"/>
          <w:sz w:val="24"/>
          <w:szCs w:val="24"/>
        </w:rPr>
      </w:pPr>
    </w:p>
    <w:p w:rsidRPr="006A30A4" w:rsidR="000C1537" w:rsidP="004E0BF9" w:rsidRDefault="000C1537" w14:paraId="25CC2370" w14:textId="77777777">
      <w:pPr>
        <w:tabs>
          <w:tab w:val="left" w:pos="720"/>
        </w:tabs>
        <w:contextualSpacing/>
        <w:jc w:val="both"/>
        <w:rPr>
          <w:rFonts w:ascii="Times New Roman" w:hAnsi="Times New Roman"/>
          <w:noProof w:val="0"/>
          <w:sz w:val="24"/>
          <w:szCs w:val="24"/>
        </w:rPr>
      </w:pPr>
      <w:r w:rsidRPr="006A30A4">
        <w:rPr>
          <w:rFonts w:ascii="Times New Roman" w:hAnsi="Times New Roman"/>
          <w:noProof w:val="0"/>
          <w:sz w:val="24"/>
          <w:szCs w:val="24"/>
        </w:rPr>
        <w:t xml:space="preserve">17. </w:t>
      </w:r>
      <w:r w:rsidRPr="006A30A4" w:rsidR="00090C0E">
        <w:rPr>
          <w:rFonts w:ascii="Times New Roman" w:hAnsi="Times New Roman"/>
          <w:noProof w:val="0"/>
          <w:sz w:val="24"/>
          <w:szCs w:val="24"/>
        </w:rPr>
        <w:t xml:space="preserve"> </w:t>
      </w:r>
      <w:r w:rsidRPr="006A30A4">
        <w:rPr>
          <w:rFonts w:ascii="Times New Roman" w:hAnsi="Times New Roman"/>
          <w:noProof w:val="0"/>
          <w:sz w:val="24"/>
          <w:szCs w:val="24"/>
          <w:u w:val="single"/>
        </w:rPr>
        <w:t>Expiration Date Approval:</w:t>
      </w:r>
    </w:p>
    <w:p w:rsidRPr="006A30A4" w:rsidR="001A64B0" w:rsidP="004E0BF9" w:rsidRDefault="001A64B0" w14:paraId="237857F5" w14:textId="77777777">
      <w:pPr>
        <w:tabs>
          <w:tab w:val="left" w:pos="720"/>
        </w:tabs>
        <w:contextualSpacing/>
        <w:jc w:val="both"/>
        <w:rPr>
          <w:rFonts w:ascii="Times New Roman" w:hAnsi="Times New Roman"/>
          <w:noProof w:val="0"/>
          <w:sz w:val="24"/>
          <w:szCs w:val="24"/>
        </w:rPr>
      </w:pPr>
    </w:p>
    <w:p w:rsidRPr="0033457E" w:rsidR="00504512" w:rsidP="004E0BF9" w:rsidRDefault="00504512" w14:paraId="6370E739" w14:textId="16D0C75E">
      <w:pPr>
        <w:tabs>
          <w:tab w:val="left" w:pos="0"/>
          <w:tab w:val="left" w:pos="450"/>
        </w:tabs>
        <w:contextualSpacing/>
        <w:rPr>
          <w:rFonts w:ascii="Times New Roman" w:hAnsi="Times New Roman"/>
          <w:noProof w:val="0"/>
          <w:sz w:val="24"/>
          <w:szCs w:val="24"/>
        </w:rPr>
      </w:pPr>
      <w:r w:rsidRPr="0033457E">
        <w:rPr>
          <w:rFonts w:ascii="Times New Roman" w:hAnsi="Times New Roman"/>
          <w:noProof w:val="0"/>
          <w:sz w:val="24"/>
          <w:szCs w:val="24"/>
        </w:rPr>
        <w:t>DEA is not seeking approval not to display the expiration date for OMB approval of this information collection.</w:t>
      </w:r>
    </w:p>
    <w:p w:rsidR="00072531" w:rsidP="004E0BF9" w:rsidRDefault="00504512" w14:paraId="6C5DD32A" w14:textId="4BF2851B">
      <w:pPr>
        <w:contextualSpacing/>
        <w:rPr>
          <w:rFonts w:ascii="Times New Roman" w:hAnsi="Times New Roman"/>
          <w:noProof w:val="0"/>
          <w:sz w:val="24"/>
        </w:rPr>
      </w:pPr>
      <w:r w:rsidRPr="00C27E82">
        <w:rPr>
          <w:rFonts w:ascii="Times New Roman" w:hAnsi="Times New Roman"/>
          <w:b/>
          <w:noProof w:val="0"/>
          <w:sz w:val="24"/>
        </w:rPr>
        <w:t xml:space="preserve"> </w:t>
      </w:r>
    </w:p>
    <w:p w:rsidR="000C1537" w:rsidP="004E0BF9" w:rsidRDefault="000C1537" w14:paraId="667ADEFA" w14:textId="77777777">
      <w:pPr>
        <w:tabs>
          <w:tab w:val="left" w:pos="720"/>
          <w:tab w:val="left" w:pos="1440"/>
          <w:tab w:val="left" w:pos="2160"/>
        </w:tabs>
        <w:contextualSpacing/>
        <w:jc w:val="both"/>
        <w:rPr>
          <w:rFonts w:ascii="Times New Roman" w:hAnsi="Times New Roman"/>
          <w:noProof w:val="0"/>
          <w:sz w:val="24"/>
        </w:rPr>
      </w:pPr>
      <w:r>
        <w:rPr>
          <w:rFonts w:ascii="Times New Roman" w:hAnsi="Times New Roman"/>
          <w:noProof w:val="0"/>
          <w:sz w:val="24"/>
        </w:rPr>
        <w:t xml:space="preserve">18. </w:t>
      </w:r>
      <w:r w:rsidR="00090C0E">
        <w:rPr>
          <w:rFonts w:ascii="Times New Roman" w:hAnsi="Times New Roman"/>
          <w:noProof w:val="0"/>
          <w:sz w:val="24"/>
        </w:rPr>
        <w:t xml:space="preserve"> </w:t>
      </w:r>
      <w:r w:rsidRPr="00B051D2">
        <w:rPr>
          <w:rFonts w:ascii="Times New Roman" w:hAnsi="Times New Roman"/>
          <w:noProof w:val="0"/>
          <w:sz w:val="24"/>
          <w:u w:val="single"/>
        </w:rPr>
        <w:t>Exceptions to the Certification Statement:</w:t>
      </w:r>
    </w:p>
    <w:p w:rsidR="001A64B0" w:rsidP="004E0BF9" w:rsidRDefault="001A64B0" w14:paraId="12C90C3E" w14:textId="77777777">
      <w:pPr>
        <w:tabs>
          <w:tab w:val="left" w:pos="720"/>
          <w:tab w:val="left" w:pos="1440"/>
          <w:tab w:val="left" w:pos="2160"/>
        </w:tabs>
        <w:contextualSpacing/>
        <w:jc w:val="both"/>
        <w:rPr>
          <w:rFonts w:ascii="Times New Roman" w:hAnsi="Times New Roman"/>
          <w:noProof w:val="0"/>
          <w:sz w:val="24"/>
        </w:rPr>
      </w:pPr>
    </w:p>
    <w:p w:rsidR="00CE3759" w:rsidP="004E0BF9" w:rsidRDefault="00B051D2" w14:paraId="45E75DD2" w14:textId="36E3BB98">
      <w:pPr>
        <w:contextualSpacing/>
        <w:rPr>
          <w:rFonts w:ascii="Times New Roman" w:hAnsi="Times New Roman"/>
          <w:b/>
          <w:sz w:val="24"/>
          <w:szCs w:val="24"/>
        </w:rPr>
      </w:pPr>
      <w:r>
        <w:rPr>
          <w:rFonts w:ascii="Times New Roman" w:hAnsi="Times New Roman"/>
          <w:noProof w:val="0"/>
          <w:sz w:val="24"/>
        </w:rPr>
        <w:t xml:space="preserve">DEA is not seeking an exception to the certification statement “Certification for Paperwork Reduction Act Submissions” for this collection of information.  </w:t>
      </w:r>
    </w:p>
    <w:p w:rsidR="00CE3759" w:rsidP="004E0BF9" w:rsidRDefault="00CE3759" w14:paraId="58071D13" w14:textId="77777777">
      <w:pPr>
        <w:contextualSpacing/>
        <w:rPr>
          <w:rFonts w:ascii="Times New Roman" w:hAnsi="Times New Roman"/>
          <w:b/>
          <w:sz w:val="24"/>
          <w:szCs w:val="24"/>
        </w:rPr>
      </w:pPr>
    </w:p>
    <w:p w:rsidRPr="00B051D2" w:rsidR="000C1537" w:rsidP="004E0BF9" w:rsidRDefault="000C1537" w14:paraId="23F34F4D" w14:textId="77777777">
      <w:pPr>
        <w:contextualSpacing/>
        <w:rPr>
          <w:rFonts w:ascii="Times New Roman" w:hAnsi="Times New Roman"/>
          <w:b/>
          <w:sz w:val="24"/>
          <w:szCs w:val="24"/>
        </w:rPr>
      </w:pPr>
      <w:r w:rsidRPr="00B051D2">
        <w:rPr>
          <w:rFonts w:ascii="Times New Roman" w:hAnsi="Times New Roman"/>
          <w:b/>
          <w:sz w:val="24"/>
          <w:szCs w:val="24"/>
        </w:rPr>
        <w:t>Part B. Statistical Methods</w:t>
      </w:r>
    </w:p>
    <w:p w:rsidRPr="000C1537" w:rsidR="001A64B0" w:rsidP="004E0BF9" w:rsidRDefault="001A64B0" w14:paraId="4835F7F1" w14:textId="77777777">
      <w:pPr>
        <w:contextualSpacing/>
        <w:rPr>
          <w:rFonts w:ascii="Times New Roman" w:hAnsi="Times New Roman"/>
          <w:sz w:val="24"/>
          <w:szCs w:val="24"/>
        </w:rPr>
      </w:pPr>
    </w:p>
    <w:p w:rsidRPr="000C1537" w:rsidR="000C1537" w:rsidP="004E0BF9" w:rsidRDefault="000C1537" w14:paraId="5975B084" w14:textId="77777777">
      <w:pPr>
        <w:contextualSpacing/>
        <w:rPr>
          <w:rFonts w:ascii="Times New Roman" w:hAnsi="Times New Roman"/>
          <w:sz w:val="24"/>
          <w:szCs w:val="24"/>
        </w:rPr>
      </w:pPr>
      <w:r w:rsidRPr="000C1537">
        <w:rPr>
          <w:rFonts w:ascii="Times New Roman" w:hAnsi="Times New Roman"/>
          <w:sz w:val="24"/>
          <w:szCs w:val="24"/>
        </w:rPr>
        <w:lastRenderedPageBreak/>
        <w:t xml:space="preserve">The </w:t>
      </w:r>
      <w:r w:rsidR="00B35B59">
        <w:rPr>
          <w:rFonts w:ascii="Times New Roman" w:hAnsi="Times New Roman"/>
          <w:sz w:val="24"/>
          <w:szCs w:val="24"/>
        </w:rPr>
        <w:t>Drug Enforcement Administration will not be</w:t>
      </w:r>
      <w:r w:rsidRPr="000C1537" w:rsidR="00B35B59">
        <w:rPr>
          <w:rFonts w:ascii="Times New Roman" w:hAnsi="Times New Roman"/>
          <w:sz w:val="24"/>
          <w:szCs w:val="24"/>
        </w:rPr>
        <w:t xml:space="preserve"> </w:t>
      </w:r>
      <w:r w:rsidRPr="000C1537">
        <w:rPr>
          <w:rFonts w:ascii="Times New Roman" w:hAnsi="Times New Roman"/>
          <w:sz w:val="24"/>
          <w:szCs w:val="24"/>
        </w:rPr>
        <w:t>employ</w:t>
      </w:r>
      <w:r w:rsidR="00B35B59">
        <w:rPr>
          <w:rFonts w:ascii="Times New Roman" w:hAnsi="Times New Roman"/>
          <w:sz w:val="24"/>
          <w:szCs w:val="24"/>
        </w:rPr>
        <w:t>ing</w:t>
      </w:r>
      <w:r w:rsidRPr="000C1537">
        <w:rPr>
          <w:rFonts w:ascii="Times New Roman" w:hAnsi="Times New Roman"/>
          <w:sz w:val="24"/>
          <w:szCs w:val="24"/>
        </w:rPr>
        <w:t xml:space="preserve"> statistical methods in this information collection.</w:t>
      </w:r>
    </w:p>
    <w:sectPr w:rsidRPr="000C1537" w:rsidR="000C1537" w:rsidSect="001576A9">
      <w:headerReference w:type="default" r:id="rId14"/>
      <w:footerReference w:type="default" r:id="rId15"/>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25436" w14:textId="77777777" w:rsidR="0071103E" w:rsidRDefault="0071103E">
      <w:r>
        <w:separator/>
      </w:r>
    </w:p>
  </w:endnote>
  <w:endnote w:type="continuationSeparator" w:id="0">
    <w:p w14:paraId="40E96531" w14:textId="77777777" w:rsidR="0071103E" w:rsidRDefault="00711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142312181"/>
      <w:docPartObj>
        <w:docPartGallery w:val="Page Numbers (Bottom of Page)"/>
        <w:docPartUnique/>
      </w:docPartObj>
    </w:sdtPr>
    <w:sdtEndPr>
      <w:rPr>
        <w:noProof/>
      </w:rPr>
    </w:sdtEndPr>
    <w:sdtContent>
      <w:p w14:paraId="6D66A05C" w14:textId="15A43B16" w:rsidR="0071103E" w:rsidRDefault="0071103E">
        <w:pPr>
          <w:pStyle w:val="Footer"/>
          <w:jc w:val="center"/>
        </w:pPr>
        <w:r>
          <w:rPr>
            <w:noProof w:val="0"/>
          </w:rPr>
          <w:fldChar w:fldCharType="begin"/>
        </w:r>
        <w:r>
          <w:instrText xml:space="preserve"> PAGE   \* MERGEFORMAT </w:instrText>
        </w:r>
        <w:r>
          <w:rPr>
            <w:noProof w:val="0"/>
          </w:rPr>
          <w:fldChar w:fldCharType="separate"/>
        </w:r>
        <w:r w:rsidR="00DA0767">
          <w:t>5</w:t>
        </w:r>
        <w:r>
          <w:fldChar w:fldCharType="end"/>
        </w:r>
      </w:p>
    </w:sdtContent>
  </w:sdt>
  <w:p w14:paraId="1522CE6E" w14:textId="77777777" w:rsidR="0071103E" w:rsidRDefault="00711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76789" w14:textId="77777777" w:rsidR="0071103E" w:rsidRDefault="0071103E">
      <w:r>
        <w:separator/>
      </w:r>
    </w:p>
  </w:footnote>
  <w:footnote w:type="continuationSeparator" w:id="0">
    <w:p w14:paraId="0D7293D6" w14:textId="77777777" w:rsidR="0071103E" w:rsidRDefault="0071103E">
      <w:r>
        <w:continuationSeparator/>
      </w:r>
    </w:p>
  </w:footnote>
  <w:footnote w:id="1">
    <w:p w14:paraId="680B1245" w14:textId="3B99B233" w:rsidR="0071103E" w:rsidRDefault="0071103E" w:rsidP="004E0BF9">
      <w:pPr>
        <w:pStyle w:val="FootnoteText"/>
      </w:pPr>
      <w:r w:rsidRPr="00D34495">
        <w:rPr>
          <w:rStyle w:val="FootnoteReference"/>
          <w:rFonts w:ascii="Times New Roman" w:hAnsi="Times New Roman"/>
          <w:vertAlign w:val="superscript"/>
        </w:rPr>
        <w:footnoteRef/>
      </w:r>
      <w:r w:rsidRPr="00D34495">
        <w:rPr>
          <w:rFonts w:ascii="Times New Roman" w:hAnsi="Times New Roman"/>
        </w:rPr>
        <w:t xml:space="preserve"> </w:t>
      </w:r>
      <w:r>
        <w:rPr>
          <w:rFonts w:ascii="Times New Roman" w:hAnsi="Times New Roman"/>
        </w:rPr>
        <w:t xml:space="preserve">Used average of median hourly wages for </w:t>
      </w:r>
      <w:r w:rsidR="004E0BF9">
        <w:rPr>
          <w:rFonts w:ascii="Times New Roman" w:hAnsi="Times New Roman"/>
        </w:rPr>
        <w:t>1</w:t>
      </w:r>
      <w:r w:rsidR="004E0BF9" w:rsidRPr="004E0BF9">
        <w:rPr>
          <w:rFonts w:ascii="Times New Roman" w:hAnsi="Times New Roman"/>
        </w:rPr>
        <w:t>9-1042 Medical Scientists, Except Epidemiologists</w:t>
      </w:r>
      <w:r w:rsidR="004E0BF9">
        <w:rPr>
          <w:rFonts w:ascii="Times New Roman" w:hAnsi="Times New Roman"/>
        </w:rPr>
        <w:t xml:space="preserve"> </w:t>
      </w:r>
      <w:r>
        <w:rPr>
          <w:rFonts w:ascii="Times New Roman" w:hAnsi="Times New Roman"/>
        </w:rPr>
        <w:t xml:space="preserve">and </w:t>
      </w:r>
      <w:r w:rsidR="004E0BF9" w:rsidRPr="004E0BF9">
        <w:rPr>
          <w:rFonts w:ascii="Times New Roman" w:hAnsi="Times New Roman"/>
        </w:rPr>
        <w:t>13-1041 Compliance Officers</w:t>
      </w:r>
      <w:r>
        <w:rPr>
          <w:rFonts w:ascii="Times New Roman" w:hAnsi="Times New Roman"/>
        </w:rPr>
        <w:t xml:space="preserve">.  </w:t>
      </w:r>
      <w:r w:rsidR="004E0BF9">
        <w:rPr>
          <w:rFonts w:ascii="Times New Roman" w:hAnsi="Times New Roman"/>
        </w:rPr>
        <w:t xml:space="preserve">U.S. Bureau of Labor Statistics, </w:t>
      </w:r>
      <w:r w:rsidR="004E0BF9" w:rsidRPr="004E0BF9">
        <w:rPr>
          <w:rFonts w:ascii="Times New Roman" w:hAnsi="Times New Roman"/>
        </w:rPr>
        <w:t>May 2019 National Occupational Employment and Wage Estimates</w:t>
      </w:r>
      <w:r w:rsidR="004E0BF9">
        <w:rPr>
          <w:rFonts w:ascii="Times New Roman" w:hAnsi="Times New Roman"/>
        </w:rPr>
        <w:t xml:space="preserve"> </w:t>
      </w:r>
      <w:r w:rsidR="004E0BF9" w:rsidRPr="004E0BF9">
        <w:rPr>
          <w:rFonts w:ascii="Times New Roman" w:hAnsi="Times New Roman"/>
        </w:rPr>
        <w:t xml:space="preserve">United States </w:t>
      </w:r>
      <w:r w:rsidRPr="00D34495">
        <w:rPr>
          <w:rFonts w:ascii="Times New Roman" w:hAnsi="Times New Roman"/>
        </w:rPr>
        <w:t>(</w:t>
      </w:r>
      <w:hyperlink r:id="rId1" w:history="1">
        <w:r w:rsidRPr="001A3233">
          <w:rPr>
            <w:rStyle w:val="Hyperlink"/>
            <w:rFonts w:ascii="Times New Roman" w:hAnsi="Times New Roman"/>
          </w:rPr>
          <w:t>http://www.bls.gov/oes/current/oes_nat.htm</w:t>
        </w:r>
      </w:hyperlink>
      <w:r w:rsidRPr="00D34495">
        <w:rPr>
          <w:rFonts w:ascii="Times New Roman" w:hAnsi="Times New Roman"/>
        </w:rPr>
        <w:t>).</w:t>
      </w:r>
      <w:r>
        <w:rPr>
          <w:rFonts w:ascii="Times New Roman" w:hAnsi="Times New Roman"/>
        </w:rPr>
        <w:t xml:space="preserve">  </w:t>
      </w:r>
    </w:p>
  </w:footnote>
  <w:footnote w:id="2">
    <w:p w14:paraId="0BC8C71F" w14:textId="24AC5FA4" w:rsidR="0071103E" w:rsidRDefault="0071103E" w:rsidP="00040C64">
      <w:pPr>
        <w:pStyle w:val="FootnoteText"/>
      </w:pPr>
      <w:r w:rsidRPr="007B3740">
        <w:rPr>
          <w:rStyle w:val="FootnoteReference"/>
          <w:rFonts w:ascii="Times New Roman" w:hAnsi="Times New Roman"/>
          <w:vertAlign w:val="superscript"/>
        </w:rPr>
        <w:footnoteRef/>
      </w:r>
      <w:r w:rsidRPr="007B3740">
        <w:rPr>
          <w:rFonts w:ascii="Times New Roman" w:hAnsi="Times New Roman"/>
        </w:rPr>
        <w:t xml:space="preserve"> Bureau of Labor Statistics, “Employer Costs for Employee Compensation – </w:t>
      </w:r>
      <w:r>
        <w:rPr>
          <w:rFonts w:ascii="Times New Roman" w:hAnsi="Times New Roman"/>
        </w:rPr>
        <w:t>March</w:t>
      </w:r>
      <w:r w:rsidRPr="007B3740">
        <w:rPr>
          <w:rFonts w:ascii="Times New Roman" w:hAnsi="Times New Roman"/>
        </w:rPr>
        <w:t xml:space="preserve"> 20</w:t>
      </w:r>
      <w:r w:rsidR="004E0BF9">
        <w:rPr>
          <w:rFonts w:ascii="Times New Roman" w:hAnsi="Times New Roman"/>
        </w:rPr>
        <w:t>20</w:t>
      </w:r>
      <w:r w:rsidRPr="007B3740">
        <w:rPr>
          <w:rFonts w:ascii="Times New Roman" w:hAnsi="Times New Roman"/>
        </w:rPr>
        <w:t xml:space="preserve">” </w:t>
      </w:r>
      <w:r>
        <w:rPr>
          <w:rFonts w:ascii="Times New Roman" w:hAnsi="Times New Roman"/>
        </w:rPr>
        <w:t xml:space="preserve">(ECEC) </w:t>
      </w:r>
      <w:r w:rsidRPr="007B3740">
        <w:rPr>
          <w:rFonts w:ascii="Times New Roman" w:hAnsi="Times New Roman"/>
        </w:rPr>
        <w:t xml:space="preserve">reports that </w:t>
      </w:r>
      <w:r>
        <w:rPr>
          <w:rFonts w:ascii="Times New Roman" w:hAnsi="Times New Roman"/>
        </w:rPr>
        <w:t xml:space="preserve">average </w:t>
      </w:r>
      <w:r w:rsidRPr="007B3740">
        <w:rPr>
          <w:rFonts w:ascii="Times New Roman" w:hAnsi="Times New Roman"/>
        </w:rPr>
        <w:t>benef</w:t>
      </w:r>
      <w:r>
        <w:rPr>
          <w:rFonts w:ascii="Times New Roman" w:hAnsi="Times New Roman"/>
        </w:rPr>
        <w:t xml:space="preserve">its for private industry is </w:t>
      </w:r>
      <w:r w:rsidR="004E0BF9">
        <w:rPr>
          <w:rFonts w:ascii="Times New Roman" w:hAnsi="Times New Roman"/>
        </w:rPr>
        <w:t>29.8</w:t>
      </w:r>
      <w:r w:rsidRPr="007B3740">
        <w:rPr>
          <w:rFonts w:ascii="Times New Roman" w:hAnsi="Times New Roman"/>
        </w:rPr>
        <w:t xml:space="preserve">% </w:t>
      </w:r>
      <w:r>
        <w:rPr>
          <w:rFonts w:ascii="Times New Roman" w:hAnsi="Times New Roman"/>
        </w:rPr>
        <w:t xml:space="preserve">of total compensation.  The </w:t>
      </w:r>
      <w:r w:rsidR="004E0BF9">
        <w:rPr>
          <w:rFonts w:ascii="Times New Roman" w:hAnsi="Times New Roman"/>
        </w:rPr>
        <w:t>29.8</w:t>
      </w:r>
      <w:r w:rsidRPr="007B3740">
        <w:rPr>
          <w:rFonts w:ascii="Times New Roman" w:hAnsi="Times New Roman"/>
        </w:rPr>
        <w:t>% of total com</w:t>
      </w:r>
      <w:r>
        <w:rPr>
          <w:rFonts w:ascii="Times New Roman" w:hAnsi="Times New Roman"/>
        </w:rPr>
        <w:t xml:space="preserve">pensation equates to </w:t>
      </w:r>
      <w:r w:rsidR="004E0BF9">
        <w:rPr>
          <w:rFonts w:ascii="Times New Roman" w:hAnsi="Times New Roman"/>
        </w:rPr>
        <w:t>42.5</w:t>
      </w:r>
      <w:r>
        <w:rPr>
          <w:rFonts w:ascii="Times New Roman" w:hAnsi="Times New Roman"/>
        </w:rPr>
        <w:t>% (</w:t>
      </w:r>
      <w:r w:rsidR="004E0BF9">
        <w:rPr>
          <w:rFonts w:ascii="Times New Roman" w:hAnsi="Times New Roman"/>
        </w:rPr>
        <w:t>29.8</w:t>
      </w:r>
      <w:r>
        <w:rPr>
          <w:rFonts w:ascii="Times New Roman" w:hAnsi="Times New Roman"/>
        </w:rPr>
        <w:t xml:space="preserve">% / </w:t>
      </w:r>
      <w:r w:rsidR="004E0BF9">
        <w:rPr>
          <w:rFonts w:ascii="Times New Roman" w:hAnsi="Times New Roman"/>
        </w:rPr>
        <w:t>70.2</w:t>
      </w:r>
      <w:r w:rsidRPr="007B3740">
        <w:rPr>
          <w:rFonts w:ascii="Times New Roman" w:hAnsi="Times New Roman"/>
        </w:rPr>
        <w:t>%) load on wages and salaries.</w:t>
      </w:r>
    </w:p>
  </w:footnote>
  <w:footnote w:id="3">
    <w:p w14:paraId="308BB2E0" w14:textId="702F6898" w:rsidR="0071103E" w:rsidRDefault="0071103E" w:rsidP="00040C64">
      <w:pPr>
        <w:pStyle w:val="FootnoteText"/>
      </w:pPr>
      <w:r w:rsidRPr="007B3740">
        <w:rPr>
          <w:rStyle w:val="FootnoteReference"/>
          <w:rFonts w:ascii="Times New Roman" w:hAnsi="Times New Roman"/>
          <w:vertAlign w:val="superscript"/>
        </w:rPr>
        <w:footnoteRef/>
      </w:r>
      <w:r>
        <w:rPr>
          <w:rFonts w:ascii="Times New Roman" w:hAnsi="Times New Roman"/>
        </w:rPr>
        <w:t xml:space="preserve"> $</w:t>
      </w:r>
      <w:r w:rsidR="004E0BF9">
        <w:rPr>
          <w:rFonts w:ascii="Times New Roman" w:hAnsi="Times New Roman"/>
        </w:rPr>
        <w:t>37.95</w:t>
      </w:r>
      <w:r>
        <w:rPr>
          <w:rFonts w:ascii="Times New Roman" w:hAnsi="Times New Roman"/>
        </w:rPr>
        <w:t xml:space="preserve"> x (1 + 0.4</w:t>
      </w:r>
      <w:r w:rsidR="004E0BF9">
        <w:rPr>
          <w:rFonts w:ascii="Times New Roman" w:hAnsi="Times New Roman"/>
        </w:rPr>
        <w:t>2</w:t>
      </w:r>
      <w:r>
        <w:rPr>
          <w:rFonts w:ascii="Times New Roman" w:hAnsi="Times New Roman"/>
        </w:rPr>
        <w:t>5) = $</w:t>
      </w:r>
      <w:r w:rsidR="004E0BF9">
        <w:rPr>
          <w:rFonts w:ascii="Times New Roman" w:hAnsi="Times New Roman"/>
        </w:rPr>
        <w:t>54.07</w:t>
      </w:r>
      <w:r>
        <w:rPr>
          <w:rFonts w:ascii="Times New Roman" w:hAnsi="Times New Roman"/>
        </w:rPr>
        <w:t>.</w:t>
      </w:r>
    </w:p>
  </w:footnote>
  <w:footnote w:id="4">
    <w:p w14:paraId="0B03ABA9" w14:textId="4C34AE5E" w:rsidR="004E0BF9" w:rsidRPr="004E0BF9" w:rsidRDefault="004E0BF9">
      <w:pPr>
        <w:pStyle w:val="FootnoteText"/>
        <w:rPr>
          <w:rFonts w:ascii="Times New Roman" w:hAnsi="Times New Roman"/>
        </w:rPr>
      </w:pPr>
      <w:r w:rsidRPr="004E0BF9">
        <w:rPr>
          <w:rStyle w:val="FootnoteReference"/>
          <w:rFonts w:ascii="Times New Roman" w:hAnsi="Times New Roman"/>
          <w:vertAlign w:val="superscript"/>
        </w:rPr>
        <w:footnoteRef/>
      </w:r>
      <w:r w:rsidRPr="004E0BF9">
        <w:rPr>
          <w:rFonts w:ascii="Times New Roman" w:hAnsi="Times New Roman"/>
        </w:rPr>
        <w:t xml:space="preserve"> USPS Priority Mail Flat Rate, as of August 6, 2020.</w:t>
      </w:r>
    </w:p>
  </w:footnote>
  <w:footnote w:id="5">
    <w:p w14:paraId="3383B71A" w14:textId="3316A77A" w:rsidR="004E0BF9" w:rsidRPr="004E0BF9" w:rsidRDefault="004E0BF9">
      <w:pPr>
        <w:pStyle w:val="FootnoteText"/>
        <w:rPr>
          <w:rFonts w:ascii="Times New Roman" w:hAnsi="Times New Roman"/>
        </w:rPr>
      </w:pPr>
      <w:r w:rsidRPr="004E0BF9">
        <w:rPr>
          <w:rStyle w:val="FootnoteReference"/>
          <w:rFonts w:ascii="Times New Roman" w:hAnsi="Times New Roman"/>
          <w:vertAlign w:val="superscript"/>
        </w:rPr>
        <w:footnoteRef/>
      </w:r>
      <w:r w:rsidRPr="004E0BF9">
        <w:rPr>
          <w:rFonts w:ascii="Times New Roman" w:hAnsi="Times New Roman"/>
          <w:vertAlign w:val="superscript"/>
        </w:rPr>
        <w:t xml:space="preserve"> </w:t>
      </w:r>
      <w:r w:rsidRPr="004E0BF9">
        <w:rPr>
          <w:rFonts w:ascii="Times New Roman" w:hAnsi="Times New Roman"/>
        </w:rPr>
        <w:t>$7.75 x 2,093</w:t>
      </w:r>
      <w:r w:rsidR="00895214">
        <w:rPr>
          <w:rFonts w:ascii="Times New Roman" w:hAnsi="Times New Roman"/>
        </w:rPr>
        <w:t xml:space="preserve"> x 80%</w:t>
      </w:r>
      <w:r w:rsidRPr="004E0BF9">
        <w:rPr>
          <w:rFonts w:ascii="Times New Roman" w:hAnsi="Times New Roman"/>
        </w:rPr>
        <w:t xml:space="preserve"> = $</w:t>
      </w:r>
      <w:r w:rsidR="00895214">
        <w:rPr>
          <w:rFonts w:ascii="Times New Roman" w:hAnsi="Times New Roman"/>
        </w:rPr>
        <w:t>3,244</w:t>
      </w:r>
      <w:r w:rsidRPr="004E0BF9">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18204" w14:textId="77777777" w:rsidR="0071103E" w:rsidRDefault="0071103E">
    <w:pPr>
      <w:rPr>
        <w:sz w:val="22"/>
      </w:rPr>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1BD6"/>
    <w:multiLevelType w:val="hybridMultilevel"/>
    <w:tmpl w:val="1576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135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DB35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E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866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C30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A25C74"/>
    <w:multiLevelType w:val="singleLevel"/>
    <w:tmpl w:val="EBA2601C"/>
    <w:lvl w:ilvl="0">
      <w:start w:val="16"/>
      <w:numFmt w:val="decimal"/>
      <w:lvlText w:val="%1."/>
      <w:lvlJc w:val="left"/>
      <w:pPr>
        <w:tabs>
          <w:tab w:val="num" w:pos="1080"/>
        </w:tabs>
        <w:ind w:left="1080" w:hanging="360"/>
      </w:pPr>
      <w:rPr>
        <w:rFonts w:hint="default"/>
      </w:rPr>
    </w:lvl>
  </w:abstractNum>
  <w:abstractNum w:abstractNumId="7" w15:restartNumberingAfterBreak="0">
    <w:nsid w:val="2C9B6EE7"/>
    <w:multiLevelType w:val="singleLevel"/>
    <w:tmpl w:val="EBA2601C"/>
    <w:lvl w:ilvl="0">
      <w:start w:val="16"/>
      <w:numFmt w:val="decimal"/>
      <w:lvlText w:val="%1."/>
      <w:lvlJc w:val="left"/>
      <w:pPr>
        <w:tabs>
          <w:tab w:val="num" w:pos="1080"/>
        </w:tabs>
        <w:ind w:left="1080" w:hanging="360"/>
      </w:pPr>
      <w:rPr>
        <w:rFonts w:hint="default"/>
      </w:rPr>
    </w:lvl>
  </w:abstractNum>
  <w:abstractNum w:abstractNumId="8" w15:restartNumberingAfterBreak="0">
    <w:nsid w:val="2CA91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B64842"/>
    <w:multiLevelType w:val="hybridMultilevel"/>
    <w:tmpl w:val="896C9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71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2E250EC"/>
    <w:multiLevelType w:val="singleLevel"/>
    <w:tmpl w:val="8CA2C114"/>
    <w:lvl w:ilvl="0">
      <w:start w:val="1"/>
      <w:numFmt w:val="decimal"/>
      <w:lvlText w:val="%1."/>
      <w:lvlJc w:val="left"/>
      <w:pPr>
        <w:tabs>
          <w:tab w:val="num" w:pos="1080"/>
        </w:tabs>
        <w:ind w:left="1080" w:hanging="360"/>
      </w:pPr>
      <w:rPr>
        <w:rFonts w:hint="default"/>
      </w:rPr>
    </w:lvl>
  </w:abstractNum>
  <w:abstractNum w:abstractNumId="12" w15:restartNumberingAfterBreak="0">
    <w:nsid w:val="36B20D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8F144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D8A1B6F"/>
    <w:multiLevelType w:val="hybridMultilevel"/>
    <w:tmpl w:val="4DA6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B689F"/>
    <w:multiLevelType w:val="hybridMultilevel"/>
    <w:tmpl w:val="CB1C8F94"/>
    <w:lvl w:ilvl="0" w:tplc="E6F4A69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330A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46E0D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5A65D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EA9232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75A00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98A7E3E"/>
    <w:multiLevelType w:val="singleLevel"/>
    <w:tmpl w:val="A55EB0CE"/>
    <w:lvl w:ilvl="0">
      <w:start w:val="8"/>
      <w:numFmt w:val="decimal"/>
      <w:lvlText w:val="%1."/>
      <w:lvlJc w:val="left"/>
      <w:pPr>
        <w:tabs>
          <w:tab w:val="num" w:pos="1080"/>
        </w:tabs>
        <w:ind w:left="1080" w:hanging="360"/>
      </w:pPr>
      <w:rPr>
        <w:rFonts w:hint="default"/>
      </w:rPr>
    </w:lvl>
  </w:abstractNum>
  <w:abstractNum w:abstractNumId="22" w15:restartNumberingAfterBreak="0">
    <w:nsid w:val="7C4F46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6"/>
  </w:num>
  <w:num w:numId="3">
    <w:abstractNumId w:val="21"/>
  </w:num>
  <w:num w:numId="4">
    <w:abstractNumId w:val="7"/>
  </w:num>
  <w:num w:numId="5">
    <w:abstractNumId w:val="19"/>
  </w:num>
  <w:num w:numId="6">
    <w:abstractNumId w:val="6"/>
  </w:num>
  <w:num w:numId="7">
    <w:abstractNumId w:val="1"/>
  </w:num>
  <w:num w:numId="8">
    <w:abstractNumId w:val="20"/>
  </w:num>
  <w:num w:numId="9">
    <w:abstractNumId w:val="22"/>
  </w:num>
  <w:num w:numId="10">
    <w:abstractNumId w:val="4"/>
  </w:num>
  <w:num w:numId="11">
    <w:abstractNumId w:val="17"/>
  </w:num>
  <w:num w:numId="12">
    <w:abstractNumId w:val="8"/>
  </w:num>
  <w:num w:numId="13">
    <w:abstractNumId w:val="18"/>
  </w:num>
  <w:num w:numId="14">
    <w:abstractNumId w:val="13"/>
  </w:num>
  <w:num w:numId="15">
    <w:abstractNumId w:val="5"/>
  </w:num>
  <w:num w:numId="16">
    <w:abstractNumId w:val="12"/>
  </w:num>
  <w:num w:numId="17">
    <w:abstractNumId w:val="2"/>
  </w:num>
  <w:num w:numId="18">
    <w:abstractNumId w:val="3"/>
  </w:num>
  <w:num w:numId="19">
    <w:abstractNumId w:val="10"/>
  </w:num>
  <w:num w:numId="20">
    <w:abstractNumId w:val="9"/>
  </w:num>
  <w:num w:numId="21">
    <w:abstractNumId w:val="0"/>
  </w:num>
  <w:num w:numId="22">
    <w:abstractNumId w:val="1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2AA"/>
    <w:rsid w:val="00003CA9"/>
    <w:rsid w:val="0001166E"/>
    <w:rsid w:val="00014C4D"/>
    <w:rsid w:val="0001747B"/>
    <w:rsid w:val="00024E2B"/>
    <w:rsid w:val="000307CF"/>
    <w:rsid w:val="00040C64"/>
    <w:rsid w:val="00047F50"/>
    <w:rsid w:val="000646EA"/>
    <w:rsid w:val="00072531"/>
    <w:rsid w:val="00072975"/>
    <w:rsid w:val="000729D4"/>
    <w:rsid w:val="00073D7B"/>
    <w:rsid w:val="000815D9"/>
    <w:rsid w:val="00090C0E"/>
    <w:rsid w:val="00090EEB"/>
    <w:rsid w:val="000936D4"/>
    <w:rsid w:val="0009395B"/>
    <w:rsid w:val="000B05CC"/>
    <w:rsid w:val="000B0778"/>
    <w:rsid w:val="000B2518"/>
    <w:rsid w:val="000B30D6"/>
    <w:rsid w:val="000C1537"/>
    <w:rsid w:val="000C1E9E"/>
    <w:rsid w:val="000C233D"/>
    <w:rsid w:val="000C46D6"/>
    <w:rsid w:val="000C697C"/>
    <w:rsid w:val="000E4A77"/>
    <w:rsid w:val="000E728F"/>
    <w:rsid w:val="000F7B3A"/>
    <w:rsid w:val="0010264F"/>
    <w:rsid w:val="00103A27"/>
    <w:rsid w:val="00106AAC"/>
    <w:rsid w:val="00115747"/>
    <w:rsid w:val="001200DB"/>
    <w:rsid w:val="001275B6"/>
    <w:rsid w:val="00132072"/>
    <w:rsid w:val="0013751E"/>
    <w:rsid w:val="00146805"/>
    <w:rsid w:val="001576A9"/>
    <w:rsid w:val="00160BA0"/>
    <w:rsid w:val="001610B9"/>
    <w:rsid w:val="00167471"/>
    <w:rsid w:val="00187730"/>
    <w:rsid w:val="001945E3"/>
    <w:rsid w:val="001948C7"/>
    <w:rsid w:val="001A64B0"/>
    <w:rsid w:val="001A6B52"/>
    <w:rsid w:val="001A7C2B"/>
    <w:rsid w:val="001B3C46"/>
    <w:rsid w:val="001B509D"/>
    <w:rsid w:val="001B6D6B"/>
    <w:rsid w:val="001C0567"/>
    <w:rsid w:val="001C1292"/>
    <w:rsid w:val="001C47F6"/>
    <w:rsid w:val="001D0C8C"/>
    <w:rsid w:val="001D70F6"/>
    <w:rsid w:val="001E1407"/>
    <w:rsid w:val="001E3A04"/>
    <w:rsid w:val="001E6B15"/>
    <w:rsid w:val="001E72F7"/>
    <w:rsid w:val="001F24F2"/>
    <w:rsid w:val="001F31A3"/>
    <w:rsid w:val="001F328F"/>
    <w:rsid w:val="0020105A"/>
    <w:rsid w:val="00202FD8"/>
    <w:rsid w:val="002039F4"/>
    <w:rsid w:val="00204598"/>
    <w:rsid w:val="00204F60"/>
    <w:rsid w:val="002061BE"/>
    <w:rsid w:val="00213992"/>
    <w:rsid w:val="00221401"/>
    <w:rsid w:val="002364CB"/>
    <w:rsid w:val="0023781B"/>
    <w:rsid w:val="00253306"/>
    <w:rsid w:val="00253917"/>
    <w:rsid w:val="00254B07"/>
    <w:rsid w:val="00256291"/>
    <w:rsid w:val="00264BA6"/>
    <w:rsid w:val="00266EDA"/>
    <w:rsid w:val="00267D10"/>
    <w:rsid w:val="0027229C"/>
    <w:rsid w:val="002727CA"/>
    <w:rsid w:val="002808ED"/>
    <w:rsid w:val="0028737B"/>
    <w:rsid w:val="00287834"/>
    <w:rsid w:val="002939D5"/>
    <w:rsid w:val="00296FD9"/>
    <w:rsid w:val="002A131F"/>
    <w:rsid w:val="002A785B"/>
    <w:rsid w:val="002C05A3"/>
    <w:rsid w:val="002C5672"/>
    <w:rsid w:val="002C638C"/>
    <w:rsid w:val="002D03DF"/>
    <w:rsid w:val="002D2CA4"/>
    <w:rsid w:val="002D7617"/>
    <w:rsid w:val="002E364E"/>
    <w:rsid w:val="002E3BAD"/>
    <w:rsid w:val="002E4B64"/>
    <w:rsid w:val="002F0759"/>
    <w:rsid w:val="003045D7"/>
    <w:rsid w:val="00310BF5"/>
    <w:rsid w:val="00317FEB"/>
    <w:rsid w:val="003238E0"/>
    <w:rsid w:val="00331303"/>
    <w:rsid w:val="003323BE"/>
    <w:rsid w:val="0033457E"/>
    <w:rsid w:val="00335B7D"/>
    <w:rsid w:val="00340835"/>
    <w:rsid w:val="003415E1"/>
    <w:rsid w:val="00347A3F"/>
    <w:rsid w:val="00355983"/>
    <w:rsid w:val="0035613D"/>
    <w:rsid w:val="00356C68"/>
    <w:rsid w:val="003632C4"/>
    <w:rsid w:val="003744B7"/>
    <w:rsid w:val="00381749"/>
    <w:rsid w:val="003853E3"/>
    <w:rsid w:val="003865AE"/>
    <w:rsid w:val="00393556"/>
    <w:rsid w:val="00397627"/>
    <w:rsid w:val="003A0729"/>
    <w:rsid w:val="003A2653"/>
    <w:rsid w:val="003A47A0"/>
    <w:rsid w:val="003A75B2"/>
    <w:rsid w:val="003B1894"/>
    <w:rsid w:val="003B462C"/>
    <w:rsid w:val="003B51FF"/>
    <w:rsid w:val="003B565A"/>
    <w:rsid w:val="003B5B37"/>
    <w:rsid w:val="003C6B62"/>
    <w:rsid w:val="003C7787"/>
    <w:rsid w:val="003D62DF"/>
    <w:rsid w:val="003E19B7"/>
    <w:rsid w:val="003E411E"/>
    <w:rsid w:val="003E759F"/>
    <w:rsid w:val="0040110C"/>
    <w:rsid w:val="00403678"/>
    <w:rsid w:val="00406E88"/>
    <w:rsid w:val="00412512"/>
    <w:rsid w:val="00417CC2"/>
    <w:rsid w:val="004202AA"/>
    <w:rsid w:val="00421F52"/>
    <w:rsid w:val="00436B13"/>
    <w:rsid w:val="004374B0"/>
    <w:rsid w:val="004409C3"/>
    <w:rsid w:val="00441C24"/>
    <w:rsid w:val="004457EC"/>
    <w:rsid w:val="00447D09"/>
    <w:rsid w:val="00451D6C"/>
    <w:rsid w:val="004523E4"/>
    <w:rsid w:val="004547B8"/>
    <w:rsid w:val="00460751"/>
    <w:rsid w:val="00467313"/>
    <w:rsid w:val="004679E7"/>
    <w:rsid w:val="00472026"/>
    <w:rsid w:val="00473372"/>
    <w:rsid w:val="00480BEE"/>
    <w:rsid w:val="00482164"/>
    <w:rsid w:val="00484015"/>
    <w:rsid w:val="00485B3F"/>
    <w:rsid w:val="004878FE"/>
    <w:rsid w:val="004965E6"/>
    <w:rsid w:val="004A0B75"/>
    <w:rsid w:val="004A1D5E"/>
    <w:rsid w:val="004A6D84"/>
    <w:rsid w:val="004B6259"/>
    <w:rsid w:val="004C31A0"/>
    <w:rsid w:val="004C501D"/>
    <w:rsid w:val="004C57AA"/>
    <w:rsid w:val="004D68DA"/>
    <w:rsid w:val="004E0BF9"/>
    <w:rsid w:val="004E2280"/>
    <w:rsid w:val="004E5AD0"/>
    <w:rsid w:val="004E7783"/>
    <w:rsid w:val="004F2230"/>
    <w:rsid w:val="004F3126"/>
    <w:rsid w:val="004F5024"/>
    <w:rsid w:val="004F79B0"/>
    <w:rsid w:val="00503848"/>
    <w:rsid w:val="00504512"/>
    <w:rsid w:val="00516270"/>
    <w:rsid w:val="00520B1C"/>
    <w:rsid w:val="005322C9"/>
    <w:rsid w:val="0053425E"/>
    <w:rsid w:val="00562D6D"/>
    <w:rsid w:val="00563B33"/>
    <w:rsid w:val="00564F07"/>
    <w:rsid w:val="0057017B"/>
    <w:rsid w:val="00572EEB"/>
    <w:rsid w:val="00575315"/>
    <w:rsid w:val="005759EF"/>
    <w:rsid w:val="005825C6"/>
    <w:rsid w:val="00583984"/>
    <w:rsid w:val="00584F45"/>
    <w:rsid w:val="00590396"/>
    <w:rsid w:val="0059407C"/>
    <w:rsid w:val="005A0509"/>
    <w:rsid w:val="005A1D74"/>
    <w:rsid w:val="005A4781"/>
    <w:rsid w:val="005C6149"/>
    <w:rsid w:val="005D5AAF"/>
    <w:rsid w:val="005D7A95"/>
    <w:rsid w:val="005E1C3C"/>
    <w:rsid w:val="005E52ED"/>
    <w:rsid w:val="005E70FF"/>
    <w:rsid w:val="005F45D8"/>
    <w:rsid w:val="00603426"/>
    <w:rsid w:val="00606C77"/>
    <w:rsid w:val="00630832"/>
    <w:rsid w:val="00630964"/>
    <w:rsid w:val="006365D8"/>
    <w:rsid w:val="00640CC3"/>
    <w:rsid w:val="00640EAE"/>
    <w:rsid w:val="00645EBD"/>
    <w:rsid w:val="0065322F"/>
    <w:rsid w:val="00653760"/>
    <w:rsid w:val="00653D0F"/>
    <w:rsid w:val="00654412"/>
    <w:rsid w:val="00655AD9"/>
    <w:rsid w:val="00660C66"/>
    <w:rsid w:val="00662A09"/>
    <w:rsid w:val="00665335"/>
    <w:rsid w:val="00674684"/>
    <w:rsid w:val="00683458"/>
    <w:rsid w:val="006933D2"/>
    <w:rsid w:val="00695627"/>
    <w:rsid w:val="0069717E"/>
    <w:rsid w:val="00697A45"/>
    <w:rsid w:val="00697EC4"/>
    <w:rsid w:val="006A01CA"/>
    <w:rsid w:val="006A278B"/>
    <w:rsid w:val="006A30A4"/>
    <w:rsid w:val="006A44AB"/>
    <w:rsid w:val="006A5FAE"/>
    <w:rsid w:val="006A7E04"/>
    <w:rsid w:val="006B1E12"/>
    <w:rsid w:val="006B1E52"/>
    <w:rsid w:val="006B63F1"/>
    <w:rsid w:val="006D3114"/>
    <w:rsid w:val="006D6E52"/>
    <w:rsid w:val="006D7F5D"/>
    <w:rsid w:val="006E0755"/>
    <w:rsid w:val="006F5F73"/>
    <w:rsid w:val="0070093C"/>
    <w:rsid w:val="00707072"/>
    <w:rsid w:val="00707D42"/>
    <w:rsid w:val="0071103E"/>
    <w:rsid w:val="00711DA2"/>
    <w:rsid w:val="00713B1A"/>
    <w:rsid w:val="007164CA"/>
    <w:rsid w:val="00721E41"/>
    <w:rsid w:val="0072448E"/>
    <w:rsid w:val="007257A3"/>
    <w:rsid w:val="00727DE4"/>
    <w:rsid w:val="00733CBE"/>
    <w:rsid w:val="007341E2"/>
    <w:rsid w:val="007403FB"/>
    <w:rsid w:val="00743F18"/>
    <w:rsid w:val="0074466F"/>
    <w:rsid w:val="00753F1E"/>
    <w:rsid w:val="00760231"/>
    <w:rsid w:val="00762166"/>
    <w:rsid w:val="007706D5"/>
    <w:rsid w:val="00776F7B"/>
    <w:rsid w:val="007820BC"/>
    <w:rsid w:val="0078590F"/>
    <w:rsid w:val="0079012C"/>
    <w:rsid w:val="007A0905"/>
    <w:rsid w:val="007A6E5F"/>
    <w:rsid w:val="007B06D5"/>
    <w:rsid w:val="007B0BA3"/>
    <w:rsid w:val="007B15B7"/>
    <w:rsid w:val="007B20CA"/>
    <w:rsid w:val="007C1A51"/>
    <w:rsid w:val="007C1FFE"/>
    <w:rsid w:val="007C787E"/>
    <w:rsid w:val="007D58E1"/>
    <w:rsid w:val="007D6549"/>
    <w:rsid w:val="007E493D"/>
    <w:rsid w:val="007E4956"/>
    <w:rsid w:val="007F031C"/>
    <w:rsid w:val="007F1BC8"/>
    <w:rsid w:val="007F1D5F"/>
    <w:rsid w:val="0080166A"/>
    <w:rsid w:val="00802AF9"/>
    <w:rsid w:val="00803E02"/>
    <w:rsid w:val="00805055"/>
    <w:rsid w:val="0080720C"/>
    <w:rsid w:val="0081027F"/>
    <w:rsid w:val="008118F0"/>
    <w:rsid w:val="00813BD7"/>
    <w:rsid w:val="00822772"/>
    <w:rsid w:val="00823529"/>
    <w:rsid w:val="008248A2"/>
    <w:rsid w:val="0082680D"/>
    <w:rsid w:val="00827400"/>
    <w:rsid w:val="00827435"/>
    <w:rsid w:val="008333E1"/>
    <w:rsid w:val="00833B1E"/>
    <w:rsid w:val="00834E3F"/>
    <w:rsid w:val="00837798"/>
    <w:rsid w:val="0084494A"/>
    <w:rsid w:val="008458D9"/>
    <w:rsid w:val="008535D1"/>
    <w:rsid w:val="00860ED2"/>
    <w:rsid w:val="0086467C"/>
    <w:rsid w:val="00867199"/>
    <w:rsid w:val="00875C53"/>
    <w:rsid w:val="00875FE9"/>
    <w:rsid w:val="00882D9D"/>
    <w:rsid w:val="00885594"/>
    <w:rsid w:val="00892D52"/>
    <w:rsid w:val="00895214"/>
    <w:rsid w:val="008964A5"/>
    <w:rsid w:val="008970AF"/>
    <w:rsid w:val="008A3424"/>
    <w:rsid w:val="008B12B1"/>
    <w:rsid w:val="008B5B93"/>
    <w:rsid w:val="008B7B24"/>
    <w:rsid w:val="008C00BD"/>
    <w:rsid w:val="008C26E1"/>
    <w:rsid w:val="008C5125"/>
    <w:rsid w:val="008D2D46"/>
    <w:rsid w:val="008E0063"/>
    <w:rsid w:val="008E1FB0"/>
    <w:rsid w:val="008E7B3E"/>
    <w:rsid w:val="008F7D40"/>
    <w:rsid w:val="00904E80"/>
    <w:rsid w:val="00905192"/>
    <w:rsid w:val="009105A3"/>
    <w:rsid w:val="00912BEB"/>
    <w:rsid w:val="009151B2"/>
    <w:rsid w:val="009167C4"/>
    <w:rsid w:val="009173BD"/>
    <w:rsid w:val="00921795"/>
    <w:rsid w:val="00922573"/>
    <w:rsid w:val="009356AB"/>
    <w:rsid w:val="00936A27"/>
    <w:rsid w:val="00936E66"/>
    <w:rsid w:val="00942B59"/>
    <w:rsid w:val="009523DE"/>
    <w:rsid w:val="00956DC2"/>
    <w:rsid w:val="00970E8B"/>
    <w:rsid w:val="009822CD"/>
    <w:rsid w:val="00982C2B"/>
    <w:rsid w:val="00984D1A"/>
    <w:rsid w:val="00985D10"/>
    <w:rsid w:val="009910FC"/>
    <w:rsid w:val="0099333D"/>
    <w:rsid w:val="009A57AF"/>
    <w:rsid w:val="009B3EBD"/>
    <w:rsid w:val="009B71F1"/>
    <w:rsid w:val="009C5ECB"/>
    <w:rsid w:val="009C7698"/>
    <w:rsid w:val="009D37E6"/>
    <w:rsid w:val="009D67EE"/>
    <w:rsid w:val="009D6B26"/>
    <w:rsid w:val="009E10CB"/>
    <w:rsid w:val="009E27BB"/>
    <w:rsid w:val="009E4BFA"/>
    <w:rsid w:val="009E5DAC"/>
    <w:rsid w:val="009F38A1"/>
    <w:rsid w:val="009F6CC6"/>
    <w:rsid w:val="00A00BBC"/>
    <w:rsid w:val="00A03B7A"/>
    <w:rsid w:val="00A07710"/>
    <w:rsid w:val="00A13A11"/>
    <w:rsid w:val="00A32B3D"/>
    <w:rsid w:val="00A338B6"/>
    <w:rsid w:val="00A4256B"/>
    <w:rsid w:val="00A42A92"/>
    <w:rsid w:val="00A47614"/>
    <w:rsid w:val="00A5110C"/>
    <w:rsid w:val="00A52C58"/>
    <w:rsid w:val="00A52E4C"/>
    <w:rsid w:val="00A5706A"/>
    <w:rsid w:val="00A62661"/>
    <w:rsid w:val="00A65D73"/>
    <w:rsid w:val="00A65E30"/>
    <w:rsid w:val="00A66DD2"/>
    <w:rsid w:val="00A71AA6"/>
    <w:rsid w:val="00A71BC5"/>
    <w:rsid w:val="00A808A3"/>
    <w:rsid w:val="00A80C70"/>
    <w:rsid w:val="00A83187"/>
    <w:rsid w:val="00A903BA"/>
    <w:rsid w:val="00AA04F5"/>
    <w:rsid w:val="00AA4A98"/>
    <w:rsid w:val="00AA6AD4"/>
    <w:rsid w:val="00AB4176"/>
    <w:rsid w:val="00AB4B8C"/>
    <w:rsid w:val="00AD005D"/>
    <w:rsid w:val="00AD0446"/>
    <w:rsid w:val="00AD6472"/>
    <w:rsid w:val="00AD6D9C"/>
    <w:rsid w:val="00AE52E1"/>
    <w:rsid w:val="00AF2AFA"/>
    <w:rsid w:val="00B02534"/>
    <w:rsid w:val="00B051D2"/>
    <w:rsid w:val="00B07F5C"/>
    <w:rsid w:val="00B17FFB"/>
    <w:rsid w:val="00B200CE"/>
    <w:rsid w:val="00B251B2"/>
    <w:rsid w:val="00B346F1"/>
    <w:rsid w:val="00B35B59"/>
    <w:rsid w:val="00B37310"/>
    <w:rsid w:val="00B40956"/>
    <w:rsid w:val="00B420E8"/>
    <w:rsid w:val="00B50163"/>
    <w:rsid w:val="00B51820"/>
    <w:rsid w:val="00B558D9"/>
    <w:rsid w:val="00B55AE0"/>
    <w:rsid w:val="00B561F4"/>
    <w:rsid w:val="00B577EF"/>
    <w:rsid w:val="00B6707D"/>
    <w:rsid w:val="00B71445"/>
    <w:rsid w:val="00B84EAB"/>
    <w:rsid w:val="00B91C3E"/>
    <w:rsid w:val="00B96EE6"/>
    <w:rsid w:val="00BA2667"/>
    <w:rsid w:val="00BA6FC2"/>
    <w:rsid w:val="00BB1DBD"/>
    <w:rsid w:val="00BB3A79"/>
    <w:rsid w:val="00BC7AA4"/>
    <w:rsid w:val="00BD4078"/>
    <w:rsid w:val="00BD5FE2"/>
    <w:rsid w:val="00BE16A2"/>
    <w:rsid w:val="00BF25A0"/>
    <w:rsid w:val="00BF2C0B"/>
    <w:rsid w:val="00C002A3"/>
    <w:rsid w:val="00C052D7"/>
    <w:rsid w:val="00C11AD3"/>
    <w:rsid w:val="00C20074"/>
    <w:rsid w:val="00C206E8"/>
    <w:rsid w:val="00C209E3"/>
    <w:rsid w:val="00C21AF9"/>
    <w:rsid w:val="00C2303D"/>
    <w:rsid w:val="00C23E21"/>
    <w:rsid w:val="00C27E82"/>
    <w:rsid w:val="00C31749"/>
    <w:rsid w:val="00C3623C"/>
    <w:rsid w:val="00C409B9"/>
    <w:rsid w:val="00C41304"/>
    <w:rsid w:val="00C42F38"/>
    <w:rsid w:val="00C44FE6"/>
    <w:rsid w:val="00C462E8"/>
    <w:rsid w:val="00C46DA6"/>
    <w:rsid w:val="00C5178D"/>
    <w:rsid w:val="00C55291"/>
    <w:rsid w:val="00C55954"/>
    <w:rsid w:val="00C61884"/>
    <w:rsid w:val="00C644D9"/>
    <w:rsid w:val="00C74CAA"/>
    <w:rsid w:val="00C76348"/>
    <w:rsid w:val="00C774F4"/>
    <w:rsid w:val="00C777C7"/>
    <w:rsid w:val="00C84076"/>
    <w:rsid w:val="00C84F6F"/>
    <w:rsid w:val="00C87399"/>
    <w:rsid w:val="00C87B94"/>
    <w:rsid w:val="00C90095"/>
    <w:rsid w:val="00C906CA"/>
    <w:rsid w:val="00C927C6"/>
    <w:rsid w:val="00C96846"/>
    <w:rsid w:val="00CA0464"/>
    <w:rsid w:val="00CA3BC6"/>
    <w:rsid w:val="00CB0C55"/>
    <w:rsid w:val="00CB1429"/>
    <w:rsid w:val="00CB24B8"/>
    <w:rsid w:val="00CB38EE"/>
    <w:rsid w:val="00CB5091"/>
    <w:rsid w:val="00CB7F7B"/>
    <w:rsid w:val="00CC40DC"/>
    <w:rsid w:val="00CC527F"/>
    <w:rsid w:val="00CD6F66"/>
    <w:rsid w:val="00CE1499"/>
    <w:rsid w:val="00CE207E"/>
    <w:rsid w:val="00CE36A7"/>
    <w:rsid w:val="00CE3759"/>
    <w:rsid w:val="00CE4844"/>
    <w:rsid w:val="00CE7CB0"/>
    <w:rsid w:val="00CF041E"/>
    <w:rsid w:val="00D03E0F"/>
    <w:rsid w:val="00D11975"/>
    <w:rsid w:val="00D167D9"/>
    <w:rsid w:val="00D17CE0"/>
    <w:rsid w:val="00D22ADC"/>
    <w:rsid w:val="00D274B8"/>
    <w:rsid w:val="00D3631A"/>
    <w:rsid w:val="00D401C9"/>
    <w:rsid w:val="00D41931"/>
    <w:rsid w:val="00D511DB"/>
    <w:rsid w:val="00D52051"/>
    <w:rsid w:val="00D52432"/>
    <w:rsid w:val="00D66333"/>
    <w:rsid w:val="00D673B5"/>
    <w:rsid w:val="00D81D93"/>
    <w:rsid w:val="00D84EDF"/>
    <w:rsid w:val="00D90F04"/>
    <w:rsid w:val="00DA0767"/>
    <w:rsid w:val="00DA0FF4"/>
    <w:rsid w:val="00DB1B0A"/>
    <w:rsid w:val="00DB7313"/>
    <w:rsid w:val="00DC2025"/>
    <w:rsid w:val="00DC5A96"/>
    <w:rsid w:val="00DD1915"/>
    <w:rsid w:val="00DD1F7C"/>
    <w:rsid w:val="00DD603C"/>
    <w:rsid w:val="00DD7DA6"/>
    <w:rsid w:val="00DE1F57"/>
    <w:rsid w:val="00DF1722"/>
    <w:rsid w:val="00DF3ECA"/>
    <w:rsid w:val="00DF4F33"/>
    <w:rsid w:val="00DF505F"/>
    <w:rsid w:val="00E018CC"/>
    <w:rsid w:val="00E0584C"/>
    <w:rsid w:val="00E16393"/>
    <w:rsid w:val="00E23899"/>
    <w:rsid w:val="00E27D78"/>
    <w:rsid w:val="00E32DD0"/>
    <w:rsid w:val="00E357DE"/>
    <w:rsid w:val="00E41DE5"/>
    <w:rsid w:val="00E42A97"/>
    <w:rsid w:val="00E433DB"/>
    <w:rsid w:val="00E55C83"/>
    <w:rsid w:val="00E564E0"/>
    <w:rsid w:val="00E652EE"/>
    <w:rsid w:val="00E75B77"/>
    <w:rsid w:val="00E820A7"/>
    <w:rsid w:val="00E85EDF"/>
    <w:rsid w:val="00E8666E"/>
    <w:rsid w:val="00E9198D"/>
    <w:rsid w:val="00E92365"/>
    <w:rsid w:val="00E9376C"/>
    <w:rsid w:val="00E975C5"/>
    <w:rsid w:val="00EA5A7C"/>
    <w:rsid w:val="00EA62D1"/>
    <w:rsid w:val="00EB48F5"/>
    <w:rsid w:val="00ED0C58"/>
    <w:rsid w:val="00ED317F"/>
    <w:rsid w:val="00ED55A6"/>
    <w:rsid w:val="00ED7611"/>
    <w:rsid w:val="00EE1041"/>
    <w:rsid w:val="00EE7FA9"/>
    <w:rsid w:val="00EF0E84"/>
    <w:rsid w:val="00EF4675"/>
    <w:rsid w:val="00F01E40"/>
    <w:rsid w:val="00F03133"/>
    <w:rsid w:val="00F11648"/>
    <w:rsid w:val="00F13405"/>
    <w:rsid w:val="00F16738"/>
    <w:rsid w:val="00F174BE"/>
    <w:rsid w:val="00F178A6"/>
    <w:rsid w:val="00F208C8"/>
    <w:rsid w:val="00F23297"/>
    <w:rsid w:val="00F27151"/>
    <w:rsid w:val="00F304A0"/>
    <w:rsid w:val="00F316B4"/>
    <w:rsid w:val="00F359E9"/>
    <w:rsid w:val="00F36B34"/>
    <w:rsid w:val="00F374E1"/>
    <w:rsid w:val="00F37A40"/>
    <w:rsid w:val="00F41ED7"/>
    <w:rsid w:val="00F43BDC"/>
    <w:rsid w:val="00F64EA5"/>
    <w:rsid w:val="00F750AE"/>
    <w:rsid w:val="00F804CC"/>
    <w:rsid w:val="00F80965"/>
    <w:rsid w:val="00F80B6A"/>
    <w:rsid w:val="00F83073"/>
    <w:rsid w:val="00F91DB5"/>
    <w:rsid w:val="00FB41E0"/>
    <w:rsid w:val="00FB4835"/>
    <w:rsid w:val="00FB7BDC"/>
    <w:rsid w:val="00FC3989"/>
    <w:rsid w:val="00FD41F2"/>
    <w:rsid w:val="00FE5729"/>
    <w:rsid w:val="00FE5CBD"/>
    <w:rsid w:val="00FE5CED"/>
    <w:rsid w:val="00FF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4BD15F53"/>
  <w15:docId w15:val="{6AA0D30E-D616-4489-8E56-3BA8BF85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stem" w:eastAsia="Times New Roman" w:hAnsi="System"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992"/>
    <w:rPr>
      <w:noProof/>
    </w:rPr>
  </w:style>
  <w:style w:type="paragraph" w:styleId="Heading1">
    <w:name w:val="heading 1"/>
    <w:next w:val="Normal"/>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link w:val="FooterChar"/>
    <w:uiPriority w:val="99"/>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rFonts w:ascii="Times New Roman" w:hAnsi="Times New Roman"/>
      <w:noProof w:val="0"/>
      <w:sz w:val="24"/>
    </w:rPr>
  </w:style>
  <w:style w:type="paragraph" w:styleId="BodyText3">
    <w:name w:val="Body Text 3"/>
    <w:basedOn w:val="Normal"/>
    <w:rsid w:val="00213992"/>
    <w:rPr>
      <w:rFonts w:ascii="Times New Roman" w:hAnsi="Times New Roman"/>
      <w:noProof w:val="0"/>
      <w:sz w:val="24"/>
    </w:rPr>
  </w:style>
  <w:style w:type="paragraph" w:styleId="BodyTextIndent2">
    <w:name w:val="Body Text Indent 2"/>
    <w:basedOn w:val="Normal"/>
    <w:rsid w:val="00213992"/>
    <w:pPr>
      <w:tabs>
        <w:tab w:val="left" w:pos="540"/>
      </w:tabs>
      <w:spacing w:line="480" w:lineRule="auto"/>
      <w:ind w:left="540" w:hanging="630"/>
    </w:pPr>
    <w:rPr>
      <w:rFonts w:ascii="Times New Roman" w:hAnsi="Times New Roman"/>
      <w:noProof w:val="0"/>
      <w:sz w:val="24"/>
    </w:rPr>
  </w:style>
  <w:style w:type="paragraph" w:styleId="BodyTextIndent3">
    <w:name w:val="Body Text Indent 3"/>
    <w:basedOn w:val="Normal"/>
    <w:rsid w:val="00213992"/>
    <w:pPr>
      <w:spacing w:line="480" w:lineRule="auto"/>
      <w:ind w:right="-354" w:firstLine="540"/>
    </w:pPr>
    <w:rPr>
      <w:rFonts w:ascii="Times New Roman" w:hAnsi="Times New Roman"/>
      <w:noProof w:val="0"/>
      <w:sz w:val="24"/>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iPriority w:val="99"/>
    <w:semiHidden/>
    <w:unhideWhenUsed/>
    <w:rsid w:val="00202FD8"/>
    <w:rPr>
      <w:sz w:val="16"/>
      <w:szCs w:val="16"/>
    </w:rPr>
  </w:style>
  <w:style w:type="paragraph" w:styleId="CommentText">
    <w:name w:val="annotation text"/>
    <w:basedOn w:val="Normal"/>
    <w:link w:val="CommentTextChar"/>
    <w:uiPriority w:val="99"/>
    <w:semiHidden/>
    <w:unhideWhenUsed/>
    <w:rsid w:val="00202FD8"/>
  </w:style>
  <w:style w:type="character" w:customStyle="1" w:styleId="CommentTextChar">
    <w:name w:val="Comment Text Char"/>
    <w:basedOn w:val="DefaultParagraphFont"/>
    <w:link w:val="CommentText"/>
    <w:uiPriority w:val="99"/>
    <w:semiHidden/>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 w:type="paragraph" w:styleId="Revision">
    <w:name w:val="Revision"/>
    <w:hidden/>
    <w:uiPriority w:val="99"/>
    <w:semiHidden/>
    <w:rsid w:val="000E4A77"/>
    <w:rPr>
      <w:noProof/>
    </w:rPr>
  </w:style>
  <w:style w:type="character" w:customStyle="1" w:styleId="FooterChar">
    <w:name w:val="Footer Char"/>
    <w:basedOn w:val="DefaultParagraphFont"/>
    <w:link w:val="Footer"/>
    <w:uiPriority w:val="99"/>
    <w:rsid w:val="00DF4F33"/>
    <w:rPr>
      <w:noProof/>
    </w:rPr>
  </w:style>
  <w:style w:type="paragraph" w:styleId="FootnoteText">
    <w:name w:val="footnote text"/>
    <w:basedOn w:val="Normal"/>
    <w:link w:val="FootnoteTextChar"/>
    <w:uiPriority w:val="99"/>
    <w:semiHidden/>
    <w:unhideWhenUsed/>
    <w:rsid w:val="00040C64"/>
    <w:rPr>
      <w:rFonts w:ascii="Cambria" w:hAnsi="Cambria"/>
      <w:noProof w:val="0"/>
    </w:rPr>
  </w:style>
  <w:style w:type="character" w:customStyle="1" w:styleId="FootnoteTextChar">
    <w:name w:val="Footnote Text Char"/>
    <w:basedOn w:val="DefaultParagraphFont"/>
    <w:link w:val="FootnoteText"/>
    <w:uiPriority w:val="99"/>
    <w:semiHidden/>
    <w:rsid w:val="00040C64"/>
    <w:rPr>
      <w:rFonts w:ascii="Cambria" w:hAnsi="Cambria"/>
    </w:rPr>
  </w:style>
  <w:style w:type="character" w:styleId="FootnoteReference">
    <w:name w:val="footnote reference"/>
    <w:basedOn w:val="DefaultParagraphFont"/>
    <w:uiPriority w:val="99"/>
    <w:semiHidden/>
    <w:unhideWhenUsed/>
    <w:rsid w:val="00040C64"/>
    <w:rPr>
      <w:rFonts w:cs="Times New Roman"/>
    </w:rPr>
  </w:style>
  <w:style w:type="table" w:styleId="TableGrid">
    <w:name w:val="Table Grid"/>
    <w:basedOn w:val="TableNormal"/>
    <w:uiPriority w:val="59"/>
    <w:rsid w:val="007403FB"/>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9F4"/>
    <w:rPr>
      <w:color w:val="0000FF" w:themeColor="hyperlink"/>
      <w:u w:val="single"/>
    </w:rPr>
  </w:style>
  <w:style w:type="paragraph" w:styleId="ListParagraph">
    <w:name w:val="List Paragraph"/>
    <w:basedOn w:val="Normal"/>
    <w:uiPriority w:val="34"/>
    <w:qFormat/>
    <w:rsid w:val="00167471"/>
    <w:pPr>
      <w:spacing w:after="200" w:line="276" w:lineRule="auto"/>
      <w:ind w:left="720"/>
      <w:contextualSpacing/>
    </w:pPr>
    <w:rPr>
      <w:rFonts w:ascii="Calibri" w:eastAsia="Calibri" w:hAnsi="Calibri"/>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5654">
      <w:bodyDiv w:val="1"/>
      <w:marLeft w:val="0"/>
      <w:marRight w:val="0"/>
      <w:marTop w:val="0"/>
      <w:marBottom w:val="0"/>
      <w:divBdr>
        <w:top w:val="none" w:sz="0" w:space="0" w:color="auto"/>
        <w:left w:val="none" w:sz="0" w:space="0" w:color="auto"/>
        <w:bottom w:val="none" w:sz="0" w:space="0" w:color="auto"/>
        <w:right w:val="none" w:sz="0" w:space="0" w:color="auto"/>
      </w:divBdr>
    </w:div>
    <w:div w:id="123961070">
      <w:bodyDiv w:val="1"/>
      <w:marLeft w:val="0"/>
      <w:marRight w:val="0"/>
      <w:marTop w:val="0"/>
      <w:marBottom w:val="0"/>
      <w:divBdr>
        <w:top w:val="none" w:sz="0" w:space="0" w:color="auto"/>
        <w:left w:val="none" w:sz="0" w:space="0" w:color="auto"/>
        <w:bottom w:val="none" w:sz="0" w:space="0" w:color="auto"/>
        <w:right w:val="none" w:sz="0" w:space="0" w:color="auto"/>
      </w:divBdr>
    </w:div>
    <w:div w:id="218708249">
      <w:bodyDiv w:val="1"/>
      <w:marLeft w:val="0"/>
      <w:marRight w:val="0"/>
      <w:marTop w:val="0"/>
      <w:marBottom w:val="0"/>
      <w:divBdr>
        <w:top w:val="none" w:sz="0" w:space="0" w:color="auto"/>
        <w:left w:val="none" w:sz="0" w:space="0" w:color="auto"/>
        <w:bottom w:val="none" w:sz="0" w:space="0" w:color="auto"/>
        <w:right w:val="none" w:sz="0" w:space="0" w:color="auto"/>
      </w:divBdr>
    </w:div>
    <w:div w:id="291981732">
      <w:bodyDiv w:val="1"/>
      <w:marLeft w:val="0"/>
      <w:marRight w:val="0"/>
      <w:marTop w:val="0"/>
      <w:marBottom w:val="0"/>
      <w:divBdr>
        <w:top w:val="none" w:sz="0" w:space="0" w:color="auto"/>
        <w:left w:val="none" w:sz="0" w:space="0" w:color="auto"/>
        <w:bottom w:val="none" w:sz="0" w:space="0" w:color="auto"/>
        <w:right w:val="none" w:sz="0" w:space="0" w:color="auto"/>
      </w:divBdr>
    </w:div>
    <w:div w:id="440883532">
      <w:bodyDiv w:val="1"/>
      <w:marLeft w:val="0"/>
      <w:marRight w:val="0"/>
      <w:marTop w:val="0"/>
      <w:marBottom w:val="0"/>
      <w:divBdr>
        <w:top w:val="none" w:sz="0" w:space="0" w:color="auto"/>
        <w:left w:val="none" w:sz="0" w:space="0" w:color="auto"/>
        <w:bottom w:val="none" w:sz="0" w:space="0" w:color="auto"/>
        <w:right w:val="none" w:sz="0" w:space="0" w:color="auto"/>
      </w:divBdr>
    </w:div>
    <w:div w:id="596331438">
      <w:bodyDiv w:val="1"/>
      <w:marLeft w:val="0"/>
      <w:marRight w:val="0"/>
      <w:marTop w:val="0"/>
      <w:marBottom w:val="0"/>
      <w:divBdr>
        <w:top w:val="none" w:sz="0" w:space="0" w:color="auto"/>
        <w:left w:val="none" w:sz="0" w:space="0" w:color="auto"/>
        <w:bottom w:val="none" w:sz="0" w:space="0" w:color="auto"/>
        <w:right w:val="none" w:sz="0" w:space="0" w:color="auto"/>
      </w:divBdr>
    </w:div>
    <w:div w:id="644631064">
      <w:bodyDiv w:val="1"/>
      <w:marLeft w:val="0"/>
      <w:marRight w:val="0"/>
      <w:marTop w:val="0"/>
      <w:marBottom w:val="0"/>
      <w:divBdr>
        <w:top w:val="none" w:sz="0" w:space="0" w:color="auto"/>
        <w:left w:val="none" w:sz="0" w:space="0" w:color="auto"/>
        <w:bottom w:val="none" w:sz="0" w:space="0" w:color="auto"/>
        <w:right w:val="none" w:sz="0" w:space="0" w:color="auto"/>
      </w:divBdr>
    </w:div>
    <w:div w:id="721371872">
      <w:bodyDiv w:val="1"/>
      <w:marLeft w:val="0"/>
      <w:marRight w:val="0"/>
      <w:marTop w:val="0"/>
      <w:marBottom w:val="0"/>
      <w:divBdr>
        <w:top w:val="none" w:sz="0" w:space="0" w:color="auto"/>
        <w:left w:val="none" w:sz="0" w:space="0" w:color="auto"/>
        <w:bottom w:val="none" w:sz="0" w:space="0" w:color="auto"/>
        <w:right w:val="none" w:sz="0" w:space="0" w:color="auto"/>
      </w:divBdr>
    </w:div>
    <w:div w:id="812479788">
      <w:bodyDiv w:val="1"/>
      <w:marLeft w:val="0"/>
      <w:marRight w:val="0"/>
      <w:marTop w:val="0"/>
      <w:marBottom w:val="0"/>
      <w:divBdr>
        <w:top w:val="none" w:sz="0" w:space="0" w:color="auto"/>
        <w:left w:val="none" w:sz="0" w:space="0" w:color="auto"/>
        <w:bottom w:val="none" w:sz="0" w:space="0" w:color="auto"/>
        <w:right w:val="none" w:sz="0" w:space="0" w:color="auto"/>
      </w:divBdr>
    </w:div>
    <w:div w:id="1099175479">
      <w:bodyDiv w:val="1"/>
      <w:marLeft w:val="0"/>
      <w:marRight w:val="0"/>
      <w:marTop w:val="0"/>
      <w:marBottom w:val="0"/>
      <w:divBdr>
        <w:top w:val="none" w:sz="0" w:space="0" w:color="auto"/>
        <w:left w:val="none" w:sz="0" w:space="0" w:color="auto"/>
        <w:bottom w:val="none" w:sz="0" w:space="0" w:color="auto"/>
        <w:right w:val="none" w:sz="0" w:space="0" w:color="auto"/>
      </w:divBdr>
    </w:div>
    <w:div w:id="1153983389">
      <w:bodyDiv w:val="1"/>
      <w:marLeft w:val="0"/>
      <w:marRight w:val="0"/>
      <w:marTop w:val="0"/>
      <w:marBottom w:val="0"/>
      <w:divBdr>
        <w:top w:val="none" w:sz="0" w:space="0" w:color="auto"/>
        <w:left w:val="none" w:sz="0" w:space="0" w:color="auto"/>
        <w:bottom w:val="none" w:sz="0" w:space="0" w:color="auto"/>
        <w:right w:val="none" w:sz="0" w:space="0" w:color="auto"/>
      </w:divBdr>
    </w:div>
    <w:div w:id="1180118014">
      <w:bodyDiv w:val="1"/>
      <w:marLeft w:val="0"/>
      <w:marRight w:val="0"/>
      <w:marTop w:val="0"/>
      <w:marBottom w:val="0"/>
      <w:divBdr>
        <w:top w:val="none" w:sz="0" w:space="0" w:color="auto"/>
        <w:left w:val="none" w:sz="0" w:space="0" w:color="auto"/>
        <w:bottom w:val="none" w:sz="0" w:space="0" w:color="auto"/>
        <w:right w:val="none" w:sz="0" w:space="0" w:color="auto"/>
      </w:divBdr>
    </w:div>
    <w:div w:id="1552116172">
      <w:bodyDiv w:val="1"/>
      <w:marLeft w:val="0"/>
      <w:marRight w:val="0"/>
      <w:marTop w:val="0"/>
      <w:marBottom w:val="0"/>
      <w:divBdr>
        <w:top w:val="none" w:sz="0" w:space="0" w:color="auto"/>
        <w:left w:val="none" w:sz="0" w:space="0" w:color="auto"/>
        <w:bottom w:val="none" w:sz="0" w:space="0" w:color="auto"/>
        <w:right w:val="none" w:sz="0" w:space="0" w:color="auto"/>
      </w:divBdr>
    </w:div>
    <w:div w:id="1959221399">
      <w:bodyDiv w:val="1"/>
      <w:marLeft w:val="0"/>
      <w:marRight w:val="0"/>
      <w:marTop w:val="0"/>
      <w:marBottom w:val="0"/>
      <w:divBdr>
        <w:top w:val="none" w:sz="0" w:space="0" w:color="auto"/>
        <w:left w:val="none" w:sz="0" w:space="0" w:color="auto"/>
        <w:bottom w:val="none" w:sz="0" w:space="0" w:color="auto"/>
        <w:right w:val="none" w:sz="0" w:space="0" w:color="auto"/>
      </w:divBdr>
    </w:div>
    <w:div w:id="21169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adiversion.usdoj.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adiversion.usdoj.gov/schedules/exempt/exempt_chemlist.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155.96.49.10/dea/programs/diversion/21cfr/21usc/842.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0" ma:contentTypeDescription="Create a new document." ma:contentTypeScope="" ma:versionID="86e7a288cddb1b1c98673c93c87bab14">
  <xsd:schema xmlns:xsd="http://www.w3.org/2001/XMLSchema" xmlns:xs="http://www.w3.org/2001/XMLSchema" xmlns:p="http://schemas.microsoft.com/office/2006/metadata/properties" targetNamespace="http://schemas.microsoft.com/office/2006/metadata/properties" ma:root="true" ma:fieldsID="b3f239a318a8435337186283e17b19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9C167-2DA9-4EFA-BB33-1FCEA5BFE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02827A4-EA28-446D-A69F-27CF502F5F40}">
  <ds:schemaRefs>
    <ds:schemaRef ds:uri="http://schemas.microsoft.com/sharepoint/v3/contenttype/forms"/>
  </ds:schemaRefs>
</ds:datastoreItem>
</file>

<file path=customXml/itemProps3.xml><?xml version="1.0" encoding="utf-8"?>
<ds:datastoreItem xmlns:ds="http://schemas.openxmlformats.org/officeDocument/2006/customXml" ds:itemID="{5B877622-C344-44D6-8966-54C936BECC9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C597A49-952D-45B8-96A4-02C74A10E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1506</Words>
  <Characters>9030</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McLemore, Leslie B</dc:creator>
  <cp:keywords/>
  <dc:description/>
  <cp:lastModifiedBy>Moore, Alana J</cp:lastModifiedBy>
  <cp:revision>2</cp:revision>
  <cp:lastPrinted>2016-06-22T12:45:00Z</cp:lastPrinted>
  <dcterms:created xsi:type="dcterms:W3CDTF">2021-07-12T16:17:00Z</dcterms:created>
  <dcterms:modified xsi:type="dcterms:W3CDTF">2021-07-12T16:17:00Z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