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48E2" w:rsidR="00F848E2" w:rsidP="00F848E2" w:rsidRDefault="00F848E2" w14:paraId="1188E3E1" w14:textId="77777777">
      <w:pPr>
        <w:spacing w:before="150" w:after="45" w:line="240" w:lineRule="auto"/>
        <w:ind w:hanging="480"/>
        <w:outlineLvl w:val="2"/>
        <w:rPr>
          <w:rFonts w:ascii="Arial" w:hAnsi="Arial" w:eastAsia="Times New Roman" w:cs="Arial"/>
          <w:b/>
          <w:bCs/>
          <w:color w:val="32434F"/>
          <w:sz w:val="27"/>
          <w:szCs w:val="27"/>
        </w:rPr>
      </w:pPr>
      <w:r w:rsidRPr="00F848E2">
        <w:rPr>
          <w:rFonts w:ascii="Arial" w:hAnsi="Arial" w:eastAsia="Times New Roman" w:cs="Arial"/>
          <w:b/>
          <w:bCs/>
          <w:color w:val="32434F"/>
          <w:sz w:val="27"/>
          <w:szCs w:val="27"/>
        </w:rPr>
        <w:t>§811. Authority and criteria for classification of substances</w:t>
      </w:r>
    </w:p>
    <w:p w:rsidRPr="00F848E2" w:rsidR="00F848E2" w:rsidP="00F848E2" w:rsidRDefault="00F848E2" w14:paraId="4B9AE01E" w14:textId="77777777">
      <w:pPr>
        <w:spacing w:before="105" w:after="45" w:line="240" w:lineRule="auto"/>
        <w:ind w:hanging="240"/>
        <w:outlineLvl w:val="3"/>
        <w:rPr>
          <w:rFonts w:ascii="Arial" w:hAnsi="Arial" w:eastAsia="Times New Roman" w:cs="Arial"/>
          <w:b/>
          <w:bCs/>
          <w:sz w:val="24"/>
          <w:szCs w:val="24"/>
        </w:rPr>
      </w:pPr>
      <w:bookmarkStart w:name="substructure-location_a" w:id="0"/>
      <w:bookmarkStart w:name="substructure-location_g" w:id="1"/>
      <w:bookmarkEnd w:id="0"/>
      <w:bookmarkEnd w:id="1"/>
      <w:r w:rsidRPr="00F848E2">
        <w:rPr>
          <w:rFonts w:ascii="Arial" w:hAnsi="Arial" w:eastAsia="Times New Roman" w:cs="Arial"/>
          <w:b/>
          <w:bCs/>
          <w:sz w:val="24"/>
          <w:szCs w:val="24"/>
        </w:rPr>
        <w:t xml:space="preserve"> (g) Exclusion of non-narcotic substances sold over the counter without a prescription; dextromethorphan; exemption of substances lacking abuse potential</w:t>
      </w:r>
    </w:p>
    <w:p w:rsidRPr="00F848E2" w:rsidR="00F848E2" w:rsidP="00F848E2" w:rsidRDefault="00F848E2" w14:paraId="0F94AD47" w14:textId="77777777">
      <w:pPr>
        <w:spacing w:after="0" w:line="240" w:lineRule="auto"/>
        <w:ind w:firstLine="240"/>
        <w:rPr>
          <w:rFonts w:ascii="Arial" w:hAnsi="Arial" w:eastAsia="Times New Roman" w:cs="Arial"/>
        </w:rPr>
      </w:pPr>
      <w:bookmarkStart w:name="substructure-location_g_1" w:id="2"/>
      <w:bookmarkEnd w:id="2"/>
      <w:r w:rsidRPr="00F848E2">
        <w:rPr>
          <w:rFonts w:ascii="Arial" w:hAnsi="Arial" w:eastAsia="Times New Roman" w:cs="Arial"/>
        </w:rPr>
        <w:t>(1) The Attorney General shall by regulation exclude any non-narcotic drug which contains a controlled substance from the application of this subchapter and subchapter II of this chapter if such drug may, under the Federal Food, Drug, and Cosmetic Act [21 U.S.C. 301 et seq.], be lawfully sold over the counter without a prescription.</w:t>
      </w:r>
    </w:p>
    <w:p w:rsidRPr="00F848E2" w:rsidR="00F848E2" w:rsidP="00F848E2" w:rsidRDefault="00F848E2" w14:paraId="55C8301E" w14:textId="77777777">
      <w:pPr>
        <w:spacing w:after="0" w:line="240" w:lineRule="auto"/>
        <w:ind w:firstLine="240"/>
        <w:rPr>
          <w:rFonts w:ascii="Arial" w:hAnsi="Arial" w:eastAsia="Times New Roman" w:cs="Arial"/>
        </w:rPr>
      </w:pPr>
      <w:bookmarkStart w:name="substructure-location_g_2" w:id="3"/>
      <w:bookmarkEnd w:id="3"/>
      <w:r w:rsidRPr="00F848E2">
        <w:rPr>
          <w:rFonts w:ascii="Arial" w:hAnsi="Arial" w:eastAsia="Times New Roman" w:cs="Arial"/>
        </w:rPr>
        <w:t>(2) Dextromethorphan shall not be deemed to be included in any schedule by reason of enactment of this subchapter unless controlled after October 27, 1970 pursuant to the foregoing provisions of this section.</w:t>
      </w:r>
    </w:p>
    <w:p w:rsidRPr="00F848E2" w:rsidR="00F848E2" w:rsidP="00F848E2" w:rsidRDefault="00F848E2" w14:paraId="7BEAD8FE" w14:textId="77777777">
      <w:pPr>
        <w:spacing w:after="0" w:line="240" w:lineRule="auto"/>
        <w:ind w:firstLine="240"/>
        <w:rPr>
          <w:rFonts w:ascii="Arial" w:hAnsi="Arial" w:eastAsia="Times New Roman" w:cs="Arial"/>
          <w:highlight w:val="yellow"/>
        </w:rPr>
      </w:pPr>
      <w:bookmarkStart w:name="substructure-location_g_3" w:id="4"/>
      <w:bookmarkEnd w:id="4"/>
      <w:r w:rsidRPr="00F848E2">
        <w:rPr>
          <w:rFonts w:ascii="Arial" w:hAnsi="Arial" w:eastAsia="Times New Roman" w:cs="Arial"/>
          <w:highlight w:val="yellow"/>
        </w:rPr>
        <w:t>(3) The Attorney General may, by regulation, exempt any compound, mixture, or preparation containing a controlled substance from the application of all or any part of this subchapter if he finds such compound, mixture, or preparation meets the requirements of one of the following categories:</w:t>
      </w:r>
    </w:p>
    <w:p w:rsidRPr="00F848E2" w:rsidR="00F848E2" w:rsidP="00F848E2" w:rsidRDefault="00F848E2" w14:paraId="7B939044" w14:textId="77777777">
      <w:pPr>
        <w:spacing w:after="0" w:line="240" w:lineRule="auto"/>
        <w:ind w:left="1035" w:firstLine="240"/>
        <w:rPr>
          <w:rFonts w:ascii="Arial" w:hAnsi="Arial" w:eastAsia="Times New Roman" w:cs="Arial"/>
          <w:highlight w:val="yellow"/>
        </w:rPr>
      </w:pPr>
      <w:bookmarkStart w:name="substructure-location_g_3_A" w:id="5"/>
      <w:bookmarkEnd w:id="5"/>
      <w:r w:rsidRPr="00F848E2">
        <w:rPr>
          <w:rFonts w:ascii="Arial" w:hAnsi="Arial" w:eastAsia="Times New Roman" w:cs="Arial"/>
          <w:highlight w:val="yellow"/>
        </w:rPr>
        <w:t>(A) A mixture, or preparation containing a nonnarcotic controlled substance, which mixture or preparation is approved for prescription use, and which contains one or more other active ingredients which are not listed in any schedule and which are included therein in such combinations, quantity, proportion, or concentration as to vitiate the potential for abuse</w:t>
      </w:r>
      <w:bookmarkStart w:name="_GoBack" w:id="6"/>
      <w:bookmarkEnd w:id="6"/>
      <w:r w:rsidRPr="00F848E2">
        <w:rPr>
          <w:rFonts w:ascii="Arial" w:hAnsi="Arial" w:eastAsia="Times New Roman" w:cs="Arial"/>
          <w:highlight w:val="yellow"/>
        </w:rPr>
        <w:t>.</w:t>
      </w:r>
    </w:p>
    <w:p w:rsidRPr="00F848E2" w:rsidR="00F848E2" w:rsidP="00F848E2" w:rsidRDefault="00F848E2" w14:paraId="6712749D" w14:textId="77777777">
      <w:pPr>
        <w:spacing w:after="0" w:line="240" w:lineRule="auto"/>
        <w:ind w:left="1035" w:firstLine="240"/>
        <w:rPr>
          <w:rFonts w:ascii="Arial" w:hAnsi="Arial" w:eastAsia="Times New Roman" w:cs="Arial"/>
          <w:highlight w:val="yellow"/>
        </w:rPr>
      </w:pPr>
      <w:bookmarkStart w:name="substructure-location_g_3_B" w:id="7"/>
      <w:bookmarkEnd w:id="7"/>
      <w:r w:rsidRPr="00F848E2">
        <w:rPr>
          <w:rFonts w:ascii="Arial" w:hAnsi="Arial" w:eastAsia="Times New Roman" w:cs="Arial"/>
          <w:highlight w:val="yellow"/>
        </w:rPr>
        <w:t>(B) A compound, mixture, or preparation which contains any controlled substance, which is not for administration to a human being or animal, and which is packaged in such form or concentration, or with adulterants or denaturants, so that as packaged it does not present any significant potential for abuse.</w:t>
      </w:r>
    </w:p>
    <w:p w:rsidRPr="00F848E2" w:rsidR="00F848E2" w:rsidP="00F848E2" w:rsidRDefault="00F848E2" w14:paraId="4A10AB3D" w14:textId="77777777">
      <w:pPr>
        <w:spacing w:after="75" w:line="240" w:lineRule="auto"/>
        <w:ind w:left="1035" w:firstLine="240"/>
        <w:rPr>
          <w:rFonts w:ascii="Arial" w:hAnsi="Arial" w:eastAsia="Times New Roman" w:cs="Arial"/>
        </w:rPr>
      </w:pPr>
      <w:bookmarkStart w:name="substructure-location_g_3_C" w:id="8"/>
      <w:bookmarkEnd w:id="8"/>
      <w:r w:rsidRPr="00F848E2">
        <w:rPr>
          <w:rFonts w:ascii="Arial" w:hAnsi="Arial" w:eastAsia="Times New Roman" w:cs="Arial"/>
          <w:highlight w:val="yellow"/>
        </w:rPr>
        <w:t>(C) Upon the recommendation of the Secretary of Health and Human Services, a compound, mixture, or preparation which contains any anabolic steroid, which is intended for administration to a human being or an animal, and which, because of its concentration, preparation, formulation or delivery system, does not present any significant potential for abuse.</w:t>
      </w:r>
    </w:p>
    <w:p w:rsidR="003913AF" w:rsidRDefault="003913AF" w14:paraId="7C8614D4" w14:textId="77777777"/>
    <w:sectPr w:rsidR="0039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E2"/>
    <w:rsid w:val="003913AF"/>
    <w:rsid w:val="00F8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85BE"/>
  <w15:chartTrackingRefBased/>
  <w15:docId w15:val="{68FAD70B-C29B-4EDF-B1D5-8C70EA4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8E2"/>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8E2"/>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8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8E2"/>
    <w:rPr>
      <w:rFonts w:ascii="Times New Roman" w:eastAsia="Times New Roman" w:hAnsi="Times New Roman" w:cs="Times New Roman"/>
      <w:b/>
      <w:bCs/>
      <w:smallCaps/>
      <w:sz w:val="24"/>
      <w:szCs w:val="24"/>
    </w:rPr>
  </w:style>
  <w:style w:type="paragraph" w:customStyle="1" w:styleId="statutory-body-1em">
    <w:name w:val="statutory-body-1em"/>
    <w:basedOn w:val="Normal"/>
    <w:rsid w:val="00F848E2"/>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848E2"/>
    <w:pPr>
      <w:spacing w:after="0" w:line="240" w:lineRule="auto"/>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848E2"/>
    <w:pPr>
      <w:spacing w:after="0" w:line="240" w:lineRule="auto"/>
      <w:ind w:firstLine="240"/>
    </w:pPr>
    <w:rPr>
      <w:rFonts w:ascii="Times New Roman" w:eastAsia="Times New Roman" w:hAnsi="Times New Roman" w:cs="Times New Roman"/>
      <w:sz w:val="24"/>
      <w:szCs w:val="24"/>
    </w:rPr>
  </w:style>
  <w:style w:type="paragraph" w:customStyle="1" w:styleId="statutory-body-block">
    <w:name w:val="statutory-body-block"/>
    <w:basedOn w:val="Normal"/>
    <w:rsid w:val="00F848E2"/>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580629">
      <w:bodyDiv w:val="1"/>
      <w:marLeft w:val="720"/>
      <w:marRight w:val="0"/>
      <w:marTop w:val="0"/>
      <w:marBottom w:val="0"/>
      <w:divBdr>
        <w:top w:val="none" w:sz="0" w:space="0" w:color="auto"/>
        <w:left w:val="none" w:sz="0" w:space="0" w:color="auto"/>
        <w:bottom w:val="none" w:sz="0" w:space="0" w:color="auto"/>
        <w:right w:val="none" w:sz="0" w:space="0" w:color="auto"/>
      </w:divBdr>
      <w:divsChild>
        <w:div w:id="1888100774">
          <w:marLeft w:val="75"/>
          <w:marRight w:val="75"/>
          <w:marTop w:val="75"/>
          <w:marBottom w:val="75"/>
          <w:divBdr>
            <w:top w:val="none" w:sz="0" w:space="0" w:color="auto"/>
            <w:left w:val="none" w:sz="0" w:space="0" w:color="auto"/>
            <w:bottom w:val="none" w:sz="0" w:space="0" w:color="auto"/>
            <w:right w:val="none" w:sz="0" w:space="0" w:color="auto"/>
          </w:divBdr>
          <w:divsChild>
            <w:div w:id="2109346890">
              <w:marLeft w:val="0"/>
              <w:marRight w:val="0"/>
              <w:marTop w:val="0"/>
              <w:marBottom w:val="0"/>
              <w:divBdr>
                <w:top w:val="none" w:sz="0" w:space="0" w:color="auto"/>
                <w:left w:val="none" w:sz="0" w:space="0" w:color="auto"/>
                <w:bottom w:val="none" w:sz="0" w:space="0" w:color="auto"/>
                <w:right w:val="none" w:sz="0" w:space="0" w:color="auto"/>
              </w:divBdr>
              <w:divsChild>
                <w:div w:id="448470835">
                  <w:marLeft w:val="0"/>
                  <w:marRight w:val="0"/>
                  <w:marTop w:val="0"/>
                  <w:marBottom w:val="0"/>
                  <w:divBdr>
                    <w:top w:val="none" w:sz="0" w:space="0" w:color="auto"/>
                    <w:left w:val="none" w:sz="0" w:space="0" w:color="auto"/>
                    <w:bottom w:val="none" w:sz="0" w:space="0" w:color="auto"/>
                    <w:right w:val="none" w:sz="0" w:space="0" w:color="auto"/>
                  </w:divBdr>
                  <w:divsChild>
                    <w:div w:id="20050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2E88B-D2B8-4450-B54E-70E7D3CDA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C7F49C-8F0A-4987-B207-57BC2EAD8275}">
  <ds:schemaRefs>
    <ds:schemaRef ds:uri="http://schemas.microsoft.com/sharepoint/v3/contenttype/forms"/>
  </ds:schemaRefs>
</ds:datastoreItem>
</file>

<file path=customXml/itemProps3.xml><?xml version="1.0" encoding="utf-8"?>
<ds:datastoreItem xmlns:ds="http://schemas.openxmlformats.org/officeDocument/2006/customXml" ds:itemID="{F48949C7-6B70-4676-A4C0-74D228F0F5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Alana J</dc:creator>
  <cp:keywords/>
  <dc:description/>
  <cp:lastModifiedBy>Moore, Alana J</cp:lastModifiedBy>
  <cp:revision>1</cp:revision>
  <dcterms:created xsi:type="dcterms:W3CDTF">2021-07-12T16:37:00Z</dcterms:created>
  <dcterms:modified xsi:type="dcterms:W3CDTF">2021-07-12T16:39:00Z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