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696E21" w:rsidRDefault="00D45FEA" w14:paraId="79E4A57A" w14:textId="77777777">
      <w:pPr>
        <w:rPr>
          <w:b/>
        </w:rPr>
      </w:pPr>
    </w:p>
    <w:p w:rsidRPr="00041787" w:rsidR="009C0464" w:rsidP="009C0464" w:rsidRDefault="009C0464" w14:paraId="53AD3075" w14:textId="77777777">
      <w:pPr>
        <w:jc w:val="center"/>
        <w:rPr>
          <w:b/>
        </w:rPr>
      </w:pPr>
      <w:r w:rsidRPr="00041787">
        <w:rPr>
          <w:b/>
        </w:rPr>
        <w:t>SUPPORTING STATEMENT</w:t>
      </w:r>
    </w:p>
    <w:p w:rsidRPr="00BA6848" w:rsidR="009C0464" w:rsidP="009C0464" w:rsidRDefault="00005422" w14:paraId="3628CB27" w14:textId="77777777">
      <w:pPr>
        <w:autoSpaceDE w:val="0"/>
        <w:autoSpaceDN w:val="0"/>
        <w:adjustRightInd w:val="0"/>
        <w:jc w:val="center"/>
        <w:rPr>
          <w:b/>
        </w:rPr>
      </w:pPr>
      <w:r>
        <w:rPr>
          <w:b/>
        </w:rPr>
        <w:t xml:space="preserve">Form ETA-9189, </w:t>
      </w:r>
      <w:r w:rsidR="009C0464">
        <w:rPr>
          <w:b/>
        </w:rPr>
        <w:t xml:space="preserve">TAA </w:t>
      </w:r>
      <w:r w:rsidR="008A06B5">
        <w:rPr>
          <w:b/>
        </w:rPr>
        <w:t>Administrative Collection of States (TAAACS)</w:t>
      </w:r>
    </w:p>
    <w:p w:rsidRPr="00BA6848" w:rsidR="009C0464" w:rsidP="009C0464" w:rsidRDefault="009C0464" w14:paraId="5606580E" w14:textId="77777777">
      <w:pPr>
        <w:autoSpaceDE w:val="0"/>
        <w:autoSpaceDN w:val="0"/>
        <w:adjustRightInd w:val="0"/>
        <w:jc w:val="center"/>
        <w:rPr>
          <w:b/>
          <w:i/>
        </w:rPr>
      </w:pPr>
      <w:r w:rsidRPr="00FB2DB3">
        <w:rPr>
          <w:b/>
        </w:rPr>
        <w:t xml:space="preserve">OMB </w:t>
      </w:r>
      <w:r w:rsidR="00D14221">
        <w:rPr>
          <w:b/>
        </w:rPr>
        <w:t xml:space="preserve">Control </w:t>
      </w:r>
      <w:r w:rsidRPr="00FB2DB3">
        <w:rPr>
          <w:b/>
        </w:rPr>
        <w:t>N</w:t>
      </w:r>
      <w:r>
        <w:rPr>
          <w:b/>
        </w:rPr>
        <w:t>umber</w:t>
      </w:r>
      <w:r w:rsidRPr="00FB2DB3">
        <w:rPr>
          <w:b/>
        </w:rPr>
        <w:t xml:space="preserve"> </w:t>
      </w:r>
      <w:r>
        <w:rPr>
          <w:b/>
        </w:rPr>
        <w:t>1205</w:t>
      </w:r>
      <w:r w:rsidRPr="00FB2DB3">
        <w:rPr>
          <w:b/>
        </w:rPr>
        <w:t>-</w:t>
      </w:r>
      <w:r w:rsidR="00425A8D">
        <w:rPr>
          <w:b/>
        </w:rPr>
        <w:t>0540</w:t>
      </w:r>
    </w:p>
    <w:p w:rsidR="0029478C" w:rsidP="00EA78D2" w:rsidRDefault="0029478C" w14:paraId="4C6CF677" w14:textId="77777777">
      <w:pPr>
        <w:autoSpaceDE w:val="0"/>
        <w:autoSpaceDN w:val="0"/>
        <w:adjustRightInd w:val="0"/>
        <w:rPr>
          <w:b/>
        </w:rPr>
      </w:pPr>
    </w:p>
    <w:p w:rsidRPr="00CE3C52" w:rsidR="00EA78D2" w:rsidP="0052176B" w:rsidRDefault="00EA78D2" w14:paraId="0B3803DB"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00EA78D2" w:rsidP="00EA78D2" w:rsidRDefault="00EA78D2" w14:paraId="7EF8AD1D" w14:textId="77777777">
      <w:pPr>
        <w:autoSpaceDE w:val="0"/>
        <w:autoSpaceDN w:val="0"/>
        <w:adjustRightInd w:val="0"/>
      </w:pPr>
    </w:p>
    <w:p w:rsidR="000A017D" w:rsidP="00BE2A99" w:rsidRDefault="00425A8D" w14:paraId="25163975" w14:textId="77777777">
      <w:pPr>
        <w:autoSpaceDE w:val="0"/>
        <w:autoSpaceDN w:val="0"/>
        <w:adjustRightInd w:val="0"/>
        <w:ind w:left="540"/>
      </w:pPr>
      <w:r>
        <w:t xml:space="preserve">The </w:t>
      </w:r>
      <w:r w:rsidR="00856506">
        <w:t>revision</w:t>
      </w:r>
      <w:r>
        <w:t xml:space="preserve"> to this</w:t>
      </w:r>
      <w:r w:rsidR="000A017D">
        <w:t xml:space="preserve"> Information Collection Request (ICR) is being submitted to</w:t>
      </w:r>
      <w:r>
        <w:t xml:space="preserve"> improve informat</w:t>
      </w:r>
      <w:r w:rsidR="00856506">
        <w:t xml:space="preserve">ion collected in the TAAACS by reducing unnecessary questions, improving clarity, and expanding information on state practices in critical program areas </w:t>
      </w:r>
      <w:r w:rsidR="000A017D">
        <w:t>pursuant to the Trade Adjustment Assistance (TAA) program under Section 239(c) of Title II, Chapter 2 of the Trade Act of 1974, as amended (19 USC § 2271 et seq.).</w:t>
      </w:r>
      <w:r w:rsidR="002309BA">
        <w:t xml:space="preserve">  The current version of the TAAACS does not expire until December 31, 2022, however, the Department seeks approval prior to October 1, 2021 in order to utilize the improved collection.</w:t>
      </w:r>
    </w:p>
    <w:p w:rsidR="00005422" w:rsidP="00BE2A99" w:rsidRDefault="00005422" w14:paraId="60A70429" w14:textId="77777777">
      <w:pPr>
        <w:autoSpaceDE w:val="0"/>
        <w:autoSpaceDN w:val="0"/>
        <w:adjustRightInd w:val="0"/>
        <w:ind w:left="540"/>
      </w:pPr>
    </w:p>
    <w:p w:rsidR="00005422" w:rsidP="00BE2A99" w:rsidRDefault="00005422" w14:paraId="02577DC1" w14:textId="77777777">
      <w:pPr>
        <w:autoSpaceDE w:val="0"/>
        <w:autoSpaceDN w:val="0"/>
        <w:adjustRightInd w:val="0"/>
        <w:ind w:left="540"/>
      </w:pPr>
      <w:r>
        <w:t>The name of the form is also being updated to include the form number to “Form ETA-9189, TAA Administrative Collection of States.”</w:t>
      </w:r>
    </w:p>
    <w:p w:rsidR="00EB1E8D" w:rsidP="00EA78D2" w:rsidRDefault="00EB1E8D" w14:paraId="717FF4F5" w14:textId="77777777">
      <w:pPr>
        <w:autoSpaceDE w:val="0"/>
        <w:autoSpaceDN w:val="0"/>
        <w:adjustRightInd w:val="0"/>
      </w:pPr>
    </w:p>
    <w:p w:rsidRPr="00B10FD7" w:rsidR="001C7F55" w:rsidP="001C7F55" w:rsidRDefault="001C7F55" w14:paraId="54E53C69" w14:textId="77777777">
      <w:pPr>
        <w:tabs>
          <w:tab w:val="right" w:pos="360"/>
        </w:tabs>
        <w:autoSpaceDE w:val="0"/>
        <w:autoSpaceDN w:val="0"/>
        <w:adjustRightInd w:val="0"/>
        <w:ind w:left="540" w:hanging="540"/>
        <w:rPr>
          <w:i/>
        </w:rPr>
      </w:pPr>
      <w:r>
        <w:rPr>
          <w:i/>
        </w:rPr>
        <w:tab/>
      </w: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1C7F55" w:rsidP="00FB2DB3" w:rsidRDefault="001C7F55" w14:paraId="794B7E27" w14:textId="77777777"/>
    <w:p w:rsidR="00FB2DB3" w:rsidP="001C7F55" w:rsidRDefault="00FB2DB3" w14:paraId="6033A197" w14:textId="77777777">
      <w:pPr>
        <w:ind w:left="540"/>
      </w:pPr>
      <w:r>
        <w:t xml:space="preserve">Under Section 239(c) of Title II, Chapter 2 of the Trade Act of 1974, as amended (19 USC § 2271 et seq.), the Secretary has the authority to collect any data necessary to meet obligations </w:t>
      </w:r>
      <w:r w:rsidR="009C0464">
        <w:t xml:space="preserve">specified </w:t>
      </w:r>
      <w:r>
        <w:t>under Chapter 2 of the Trade Act of 1974.</w:t>
      </w:r>
    </w:p>
    <w:p w:rsidR="00FB2DB3" w:rsidP="001C7F55" w:rsidRDefault="00FB2DB3" w14:paraId="37CB0EC6" w14:textId="77777777">
      <w:pPr>
        <w:ind w:left="540"/>
      </w:pPr>
    </w:p>
    <w:p w:rsidR="00FB2DB3" w:rsidP="001C7F55" w:rsidRDefault="00FB2DB3" w14:paraId="04029182" w14:textId="77777777">
      <w:pPr>
        <w:ind w:left="540"/>
      </w:pPr>
      <w:r>
        <w:t xml:space="preserve">The proper administration of the </w:t>
      </w:r>
      <w:r w:rsidR="00D2443F">
        <w:t>TAA Program</w:t>
      </w:r>
      <w:r>
        <w:t xml:space="preserve"> under Chapter 2 of the Trade Act of 1974 requires that the Department identify </w:t>
      </w:r>
      <w:r w:rsidR="009D551F">
        <w:t xml:space="preserve">the range of </w:t>
      </w:r>
      <w:r>
        <w:t>state practice</w:t>
      </w:r>
      <w:r w:rsidR="00BC7A03">
        <w:t>s</w:t>
      </w:r>
      <w:r>
        <w:t xml:space="preserve"> and organization</w:t>
      </w:r>
      <w:r w:rsidR="009D551F">
        <w:t xml:space="preserve"> to better understand the state strategies being employed to administer the program</w:t>
      </w:r>
      <w:r>
        <w:t xml:space="preserve">.  </w:t>
      </w:r>
      <w:r w:rsidR="00856506">
        <w:t xml:space="preserve">The TAAACS is designed to provide a </w:t>
      </w:r>
      <w:r>
        <w:t xml:space="preserve">comprehensive collection of </w:t>
      </w:r>
      <w:r w:rsidR="00EF40D2">
        <w:t>information regarding</w:t>
      </w:r>
      <w:r w:rsidR="009C0464">
        <w:t xml:space="preserve"> </w:t>
      </w:r>
      <w:r>
        <w:t xml:space="preserve">the organization and practices of State Workforce Agencies (SWAs) with regard to how the </w:t>
      </w:r>
      <w:r w:rsidR="00D2443F">
        <w:t>TAA Program</w:t>
      </w:r>
      <w:r>
        <w:t xml:space="preserve"> is administered.</w:t>
      </w:r>
      <w:r w:rsidR="006E035B">
        <w:t xml:space="preserve">  </w:t>
      </w:r>
      <w:r w:rsidR="00856506">
        <w:t xml:space="preserve">The recent issuance of new regulations for the TAA program and the analysis of information provided under the first two collection rounds has identified the need for </w:t>
      </w:r>
      <w:r w:rsidR="00461B2A">
        <w:t>adjustments to the collection to better identify differences in the practices of SWAs.</w:t>
      </w:r>
    </w:p>
    <w:p w:rsidR="00FB2DB3" w:rsidP="001C7F55" w:rsidRDefault="00FB2DB3" w14:paraId="7194D7F4" w14:textId="77777777">
      <w:pPr>
        <w:ind w:left="540"/>
      </w:pPr>
    </w:p>
    <w:p w:rsidR="006E035B" w:rsidP="001C7F55" w:rsidRDefault="00FB2DB3" w14:paraId="762DA087" w14:textId="77777777">
      <w:pPr>
        <w:ind w:left="540"/>
      </w:pPr>
      <w:r>
        <w:t xml:space="preserve">This collection is designed to provide discrete data </w:t>
      </w:r>
      <w:r w:rsidR="00461B2A">
        <w:t xml:space="preserve">for analysis </w:t>
      </w:r>
      <w:r>
        <w:t xml:space="preserve">on SWA organization and practices to allow the Department to identify </w:t>
      </w:r>
      <w:r w:rsidR="009D551F">
        <w:t>the practices currently being employed to administer the TAA program throughout the state workforce system.</w:t>
      </w:r>
      <w:r w:rsidDel="009D551F" w:rsidR="009D551F">
        <w:t xml:space="preserve"> </w:t>
      </w:r>
      <w:r w:rsidRPr="006E035B" w:rsidR="006E035B">
        <w:t xml:space="preserve">The collection </w:t>
      </w:r>
      <w:r w:rsidR="00461B2A">
        <w:t>is</w:t>
      </w:r>
      <w:r w:rsidRPr="006E035B" w:rsidR="006E035B">
        <w:t xml:space="preserve"> </w:t>
      </w:r>
      <w:r w:rsidR="00925DBE">
        <w:t>operated annually to</w:t>
      </w:r>
      <w:r w:rsidR="00075317">
        <w:t xml:space="preserve"> provide updates responses so that the Department can identify </w:t>
      </w:r>
      <w:r w:rsidR="00925DBE">
        <w:t xml:space="preserve">revisions in the organization and practices of SWAs, update worker list metrics, and identify </w:t>
      </w:r>
      <w:r w:rsidR="00075317">
        <w:t xml:space="preserve">newly </w:t>
      </w:r>
      <w:r w:rsidR="00925DBE">
        <w:t xml:space="preserve">developing </w:t>
      </w:r>
      <w:r w:rsidR="00075317">
        <w:t xml:space="preserve">perceived barriers and areas where states believe they may have created promising </w:t>
      </w:r>
      <w:r w:rsidR="00925DBE">
        <w:t>practices.</w:t>
      </w:r>
    </w:p>
    <w:p w:rsidR="00FB2DB3" w:rsidP="001C7F55" w:rsidRDefault="00FB2DB3" w14:paraId="4F7442AB" w14:textId="77777777">
      <w:pPr>
        <w:ind w:left="540"/>
      </w:pPr>
    </w:p>
    <w:p w:rsidR="00FB2DB3" w:rsidP="001C7F55" w:rsidRDefault="00FB2DB3" w14:paraId="3A2E7C0E" w14:textId="77777777">
      <w:pPr>
        <w:ind w:left="540"/>
      </w:pPr>
      <w:r>
        <w:t xml:space="preserve">The </w:t>
      </w:r>
      <w:r w:rsidR="00925DBE">
        <w:t xml:space="preserve">revised </w:t>
      </w:r>
      <w:r>
        <w:t>collection includes eight subjects for collection:</w:t>
      </w:r>
    </w:p>
    <w:p w:rsidR="00FB2DB3" w:rsidP="001C7F55" w:rsidRDefault="00FB2DB3" w14:paraId="2459E813" w14:textId="77777777">
      <w:pPr>
        <w:ind w:left="540"/>
      </w:pPr>
    </w:p>
    <w:p w:rsidR="001C7F55" w:rsidP="001A410E" w:rsidRDefault="00FB2DB3" w14:paraId="2828E337" w14:textId="77777777">
      <w:pPr>
        <w:pStyle w:val="ListParagraph"/>
        <w:widowControl w:val="0"/>
        <w:numPr>
          <w:ilvl w:val="1"/>
          <w:numId w:val="3"/>
        </w:numPr>
        <w:autoSpaceDE w:val="0"/>
        <w:autoSpaceDN w:val="0"/>
        <w:adjustRightInd w:val="0"/>
      </w:pPr>
      <w:r>
        <w:t xml:space="preserve">State Organization:  This portion of the collection obtains </w:t>
      </w:r>
      <w:r w:rsidR="00EF40D2">
        <w:t>information regarding</w:t>
      </w:r>
      <w:r>
        <w:t xml:space="preserve"> staffing levels, the distribution of TAA work between various groups, </w:t>
      </w:r>
      <w:r w:rsidR="00EF40D2">
        <w:t>information regarding</w:t>
      </w:r>
      <w:r>
        <w:t xml:space="preserve"> the </w:t>
      </w:r>
      <w:r>
        <w:lastRenderedPageBreak/>
        <w:t xml:space="preserve">experience level of staff, and </w:t>
      </w:r>
      <w:r w:rsidR="00EF40D2">
        <w:t>information regarding</w:t>
      </w:r>
      <w:r>
        <w:t xml:space="preserve"> SWA centralization and localization.  This </w:t>
      </w:r>
      <w:r w:rsidR="00925DBE">
        <w:t>information is necessary</w:t>
      </w:r>
      <w:r>
        <w:t xml:space="preserve"> </w:t>
      </w:r>
      <w:r w:rsidR="009D551F">
        <w:t>the Department to understan</w:t>
      </w:r>
      <w:r w:rsidR="00925DBE">
        <w:t xml:space="preserve">d current state staffing levels, experience and training needs, and </w:t>
      </w:r>
      <w:r w:rsidR="00075317">
        <w:t>how the state organizes staff</w:t>
      </w:r>
      <w:r w:rsidR="00925DBE">
        <w:t xml:space="preserve"> in operating the TAA Program.  </w:t>
      </w:r>
      <w:r w:rsidR="00FA60C6">
        <w:t>Substantial revisions to this section seek to improve clarity in the collection of staffing numbers and to better articulate and clarify national and local areas of control.</w:t>
      </w:r>
    </w:p>
    <w:p w:rsidR="00925DBE" w:rsidP="00925DBE" w:rsidRDefault="00925DBE" w14:paraId="43A1854E" w14:textId="77777777">
      <w:pPr>
        <w:pStyle w:val="ListParagraph"/>
        <w:widowControl w:val="0"/>
        <w:autoSpaceDE w:val="0"/>
        <w:autoSpaceDN w:val="0"/>
        <w:adjustRightInd w:val="0"/>
        <w:ind w:left="1440"/>
      </w:pPr>
    </w:p>
    <w:p w:rsidR="00925DBE" w:rsidP="00925DBE" w:rsidRDefault="00925DBE" w14:paraId="2683D063" w14:textId="77777777">
      <w:pPr>
        <w:pStyle w:val="ListParagraph"/>
        <w:widowControl w:val="0"/>
        <w:numPr>
          <w:ilvl w:val="1"/>
          <w:numId w:val="3"/>
        </w:numPr>
        <w:autoSpaceDE w:val="0"/>
        <w:autoSpaceDN w:val="0"/>
        <w:adjustRightInd w:val="0"/>
      </w:pPr>
      <w:r>
        <w:t>Outreach:  Th</w:t>
      </w:r>
      <w:r w:rsidR="00B21BB5">
        <w:t>e</w:t>
      </w:r>
      <w:r>
        <w:t xml:space="preserve"> outreach portion of the collection obtains information regarding how SWAs identify worker groups that are potentially eligible for TAA, who files TAA petitions, and how they obtain worker information.  This will allow the Department to identify SWAs who may be in need of technical assistance regarding the identification and notification </w:t>
      </w:r>
      <w:r w:rsidR="00FA60C6">
        <w:t>of potentially affected workers and compare outreach strategies between SWAs.  This section was moved to better align with the temporal process and some questions have been moved to this section to improve clarity.  This revision replaces previously difficult rankings and subjective assessments about the quality of the outreach with more clear, objective questions about methodologies.</w:t>
      </w:r>
    </w:p>
    <w:p w:rsidR="00925DBE" w:rsidP="00925DBE" w:rsidRDefault="00925DBE" w14:paraId="29DE31A5" w14:textId="77777777">
      <w:pPr>
        <w:pStyle w:val="ListParagraph"/>
        <w:widowControl w:val="0"/>
        <w:autoSpaceDE w:val="0"/>
        <w:autoSpaceDN w:val="0"/>
        <w:adjustRightInd w:val="0"/>
        <w:ind w:left="1440"/>
      </w:pPr>
    </w:p>
    <w:p w:rsidR="001C7F55" w:rsidP="001C7F55" w:rsidRDefault="00FA60C6" w14:paraId="4C234BF3" w14:textId="77777777">
      <w:pPr>
        <w:pStyle w:val="ListParagraph"/>
        <w:widowControl w:val="0"/>
        <w:numPr>
          <w:ilvl w:val="1"/>
          <w:numId w:val="3"/>
        </w:numPr>
        <w:autoSpaceDE w:val="0"/>
        <w:autoSpaceDN w:val="0"/>
        <w:adjustRightInd w:val="0"/>
      </w:pPr>
      <w:r>
        <w:t>Eligibility and Program Benefits and S</w:t>
      </w:r>
      <w:r w:rsidR="00B21BB5">
        <w:t>e</w:t>
      </w:r>
      <w:r>
        <w:t>rvices:</w:t>
      </w:r>
      <w:r w:rsidR="00B21BB5">
        <w:t xml:space="preserve"> </w:t>
      </w:r>
      <w:r w:rsidR="00FB2DB3">
        <w:t xml:space="preserve"> This portion of the collection obtains </w:t>
      </w:r>
      <w:r w:rsidR="00EF40D2">
        <w:t>information regarding</w:t>
      </w:r>
      <w:r w:rsidR="00FB2DB3">
        <w:t xml:space="preserve"> </w:t>
      </w:r>
      <w:r w:rsidR="00B21BB5">
        <w:t>who makes TAA-related determinations and what state practices are used in making those determinations to understand the barriers and complexity to these processes within the SWA.  The revision improves clarity, adds information regarding the format of service delivery, and both incorporates the previous section on job search and relocation and expands information on barriers to providing these specific services.</w:t>
      </w:r>
    </w:p>
    <w:p w:rsidR="001C7F55" w:rsidP="001C7F55" w:rsidRDefault="001C7F55" w14:paraId="01258E49" w14:textId="77777777">
      <w:pPr>
        <w:pStyle w:val="ListParagraph"/>
      </w:pPr>
    </w:p>
    <w:p w:rsidR="001C7F55" w:rsidP="001C7F55" w:rsidRDefault="00FB2DB3" w14:paraId="18D0344E" w14:textId="77777777">
      <w:pPr>
        <w:pStyle w:val="ListParagraph"/>
        <w:widowControl w:val="0"/>
        <w:numPr>
          <w:ilvl w:val="1"/>
          <w:numId w:val="3"/>
        </w:numPr>
        <w:autoSpaceDE w:val="0"/>
        <w:autoSpaceDN w:val="0"/>
        <w:adjustRightInd w:val="0"/>
      </w:pPr>
      <w:r>
        <w:t xml:space="preserve">Integration:  The integration section of the collection obtains </w:t>
      </w:r>
      <w:r w:rsidR="00EF40D2">
        <w:t>information regarding</w:t>
      </w:r>
      <w:r>
        <w:t xml:space="preserve"> </w:t>
      </w:r>
      <w:r w:rsidR="009C0464">
        <w:t xml:space="preserve">the </w:t>
      </w:r>
      <w:r>
        <w:t xml:space="preserve">integration between various SWA functions related to the provision of TAA services and the level of integration between the </w:t>
      </w:r>
      <w:r w:rsidR="00D2443F">
        <w:t>TAA Program</w:t>
      </w:r>
      <w:r>
        <w:t xml:space="preserve"> and other SWA-administered workforce programs.  This will enable the Department to identify SWAs that may need additional technical assistance to promote inter-unit and inter-program integration.</w:t>
      </w:r>
      <w:r w:rsidR="00B21BB5">
        <w:t xml:space="preserve">  Revisions to this section removed unnecessary questions, added questions regarding whether the same agency within the SWA administered partner programs, and added two new rating with partners that were missing.</w:t>
      </w:r>
    </w:p>
    <w:p w:rsidR="001C7F55" w:rsidP="001C7F55" w:rsidRDefault="001C7F55" w14:paraId="06734724" w14:textId="77777777">
      <w:pPr>
        <w:pStyle w:val="ListParagraph"/>
      </w:pPr>
    </w:p>
    <w:p w:rsidR="001C7F55" w:rsidP="001C7F55" w:rsidRDefault="00FB2DB3" w14:paraId="0F7CF4E7" w14:textId="77777777">
      <w:pPr>
        <w:pStyle w:val="ListParagraph"/>
        <w:widowControl w:val="0"/>
        <w:numPr>
          <w:ilvl w:val="1"/>
          <w:numId w:val="3"/>
        </w:numPr>
        <w:autoSpaceDE w:val="0"/>
        <w:autoSpaceDN w:val="0"/>
        <w:adjustRightInd w:val="0"/>
      </w:pPr>
      <w:r>
        <w:t xml:space="preserve">IT Systems and Reporting: </w:t>
      </w:r>
      <w:r w:rsidR="009336E6">
        <w:t xml:space="preserve"> </w:t>
      </w:r>
      <w:r>
        <w:t xml:space="preserve">This section of the collection obtains </w:t>
      </w:r>
      <w:r w:rsidR="00EF40D2">
        <w:t>information regarding</w:t>
      </w:r>
      <w:r>
        <w:t xml:space="preserve"> the </w:t>
      </w:r>
      <w:r w:rsidR="00B21BB5">
        <w:t>use of data analytics and reporting units</w:t>
      </w:r>
      <w:r>
        <w:t xml:space="preserve">, the integration of IT systems, how recent IT upgrades have been performed, and the use of IT systems for the delivery of TAA services.  </w:t>
      </w:r>
      <w:r w:rsidR="00B21BB5">
        <w:t>This section provides critical information on IT modernization efforts and SWA leveraging of data.  The revision to this section enhance</w:t>
      </w:r>
      <w:r w:rsidR="00AC3E4E">
        <w:t>s</w:t>
      </w:r>
      <w:r w:rsidR="00B21BB5">
        <w:t xml:space="preserve"> clarity on IT capabilities and remove questions regarding specific forms that </w:t>
      </w:r>
      <w:r w:rsidR="00AC3E4E">
        <w:t>were unnecessarily granular, making the section both less burdensome and more helpful.</w:t>
      </w:r>
    </w:p>
    <w:p w:rsidR="001C7F55" w:rsidP="001C7F55" w:rsidRDefault="001C7F55" w14:paraId="47CC0252" w14:textId="77777777">
      <w:pPr>
        <w:pStyle w:val="ListParagraph"/>
      </w:pPr>
    </w:p>
    <w:p w:rsidR="001C7F55" w:rsidP="00AC3E4E" w:rsidRDefault="00FB2DB3" w14:paraId="7881CF0D" w14:textId="77777777">
      <w:pPr>
        <w:pStyle w:val="ListParagraph"/>
        <w:widowControl w:val="0"/>
        <w:numPr>
          <w:ilvl w:val="1"/>
          <w:numId w:val="3"/>
        </w:numPr>
        <w:autoSpaceDE w:val="0"/>
        <w:autoSpaceDN w:val="0"/>
        <w:adjustRightInd w:val="0"/>
      </w:pPr>
      <w:r>
        <w:t xml:space="preserve">Training for TAA Staff:  This portion of the collection provides </w:t>
      </w:r>
      <w:r w:rsidR="00EF40D2">
        <w:t>information regarding</w:t>
      </w:r>
      <w:r>
        <w:t xml:space="preserve"> how training is delivered to state and local staff.  This allow</w:t>
      </w:r>
      <w:r w:rsidR="00AC3E4E">
        <w:t>s</w:t>
      </w:r>
      <w:r>
        <w:t xml:space="preserve"> the Department to provide technical assistance in a matter most tailored to those delivery mechanisms.</w:t>
      </w:r>
      <w:r w:rsidR="00AC3E4E">
        <w:t xml:space="preserve">  There are no revisions to this section.</w:t>
      </w:r>
    </w:p>
    <w:p w:rsidR="001C7F55" w:rsidP="00AC3E4E" w:rsidRDefault="001C7F55" w14:paraId="26F1245A" w14:textId="77777777">
      <w:pPr>
        <w:pStyle w:val="ListParagraph"/>
        <w:ind w:left="0"/>
      </w:pPr>
    </w:p>
    <w:p w:rsidR="00FB2DB3" w:rsidP="00AC3E4E" w:rsidRDefault="00FB2DB3" w14:paraId="0C0C69A4" w14:textId="77777777">
      <w:pPr>
        <w:pStyle w:val="ListParagraph"/>
        <w:widowControl w:val="0"/>
        <w:numPr>
          <w:ilvl w:val="1"/>
          <w:numId w:val="3"/>
        </w:numPr>
        <w:autoSpaceDE w:val="0"/>
        <w:autoSpaceDN w:val="0"/>
        <w:adjustRightInd w:val="0"/>
      </w:pPr>
      <w:r>
        <w:lastRenderedPageBreak/>
        <w:t>Barriers</w:t>
      </w:r>
      <w:r w:rsidR="00AC3E4E">
        <w:t xml:space="preserve"> and Technical Assistance</w:t>
      </w:r>
      <w:r>
        <w:t xml:space="preserve">:  </w:t>
      </w:r>
      <w:r w:rsidR="00AC3E4E">
        <w:t>The barriers section of the collection allows current barriers, technical assistance needs, and states with best practices to share.  Further, it allows the Department to analyze the comparative utility of various forms of technical assistance.  This section has been extremely useful and the revision greatly expands this section to capture SWA self-assessment of needs</w:t>
      </w:r>
      <w:r w:rsidR="00690F31">
        <w:t xml:space="preserve"> and strengths as well as</w:t>
      </w:r>
      <w:r w:rsidR="00AC3E4E">
        <w:t xml:space="preserve"> specific technical assistance mechanisms.  </w:t>
      </w:r>
      <w:r w:rsidR="00711758">
        <w:t>The revision also reduces burden by adjusting overly burdensome rankings with response types that are easier and more helpful.</w:t>
      </w:r>
    </w:p>
    <w:p w:rsidR="006235BB" w:rsidP="006235BB" w:rsidRDefault="006235BB" w14:paraId="533D5CFE" w14:textId="77777777">
      <w:pPr>
        <w:pStyle w:val="ListParagraph"/>
      </w:pPr>
    </w:p>
    <w:p w:rsidR="006235BB" w:rsidP="00AC3E4E" w:rsidRDefault="006235BB" w14:paraId="742560C0" w14:textId="77777777">
      <w:pPr>
        <w:pStyle w:val="ListParagraph"/>
        <w:widowControl w:val="0"/>
        <w:numPr>
          <w:ilvl w:val="1"/>
          <w:numId w:val="3"/>
        </w:numPr>
        <w:autoSpaceDE w:val="0"/>
        <w:autoSpaceDN w:val="0"/>
        <w:adjustRightInd w:val="0"/>
      </w:pPr>
      <w:r>
        <w:t>Worker Lists: The most significant revision to this collection is the addition of questions on the worker list acquisition and notifications for each petition the SWA has sent notifications on in the previous year.</w:t>
      </w:r>
      <w:r w:rsidR="0025274A">
        <w:t xml:space="preserve">  This information is essential to provide insight on issues with Departmental layoff estimates, identify best practices in acquiring complete worker lists, and examine worker notification methodologies.</w:t>
      </w:r>
    </w:p>
    <w:p w:rsidR="00AC3E4E" w:rsidP="00AC3E4E" w:rsidRDefault="00AC3E4E" w14:paraId="58FD95D7" w14:textId="77777777">
      <w:pPr>
        <w:pStyle w:val="ListParagraph"/>
        <w:widowControl w:val="0"/>
        <w:autoSpaceDE w:val="0"/>
        <w:autoSpaceDN w:val="0"/>
        <w:adjustRightInd w:val="0"/>
        <w:ind w:left="0"/>
      </w:pPr>
    </w:p>
    <w:p w:rsidRPr="00B10FD7" w:rsidR="001C7F55" w:rsidP="001C7F55" w:rsidRDefault="001C7F55" w14:paraId="136A4F1F" w14:textId="77777777">
      <w:pPr>
        <w:tabs>
          <w:tab w:val="right" w:pos="360"/>
        </w:tabs>
        <w:autoSpaceDE w:val="0"/>
        <w:autoSpaceDN w:val="0"/>
        <w:adjustRightInd w:val="0"/>
        <w:ind w:left="720" w:hanging="540"/>
        <w:rPr>
          <w:i/>
        </w:rPr>
      </w:pPr>
      <w:r>
        <w:rPr>
          <w:i/>
        </w:rPr>
        <w:tab/>
      </w:r>
      <w:r w:rsidRPr="00B10FD7">
        <w:rPr>
          <w:i/>
        </w:rPr>
        <w:t xml:space="preserve">2. </w:t>
      </w:r>
      <w:r w:rsidRPr="00B10FD7">
        <w:rPr>
          <w:i/>
        </w:rPr>
        <w:tab/>
        <w:t>Indicate how, by whom, and for what purpose the information is to be used.  Except for a new collection, indicate the actual use the agency has made of the information received from the current collection.</w:t>
      </w:r>
    </w:p>
    <w:p w:rsidR="00FB2DB3" w:rsidP="00FB2DB3" w:rsidRDefault="00FB2DB3" w14:paraId="706A0EF5" w14:textId="77777777"/>
    <w:p w:rsidR="00FB2DB3" w:rsidP="00D4730E" w:rsidRDefault="00FB2DB3" w14:paraId="2FCCBDC6" w14:textId="77777777">
      <w:pPr>
        <w:ind w:left="720"/>
      </w:pPr>
      <w:r>
        <w:t xml:space="preserve">The submissions </w:t>
      </w:r>
      <w:r w:rsidR="000E5A70">
        <w:t>are</w:t>
      </w:r>
      <w:r>
        <w:t xml:space="preserve"> used by Employment and Training Administration (ETA) staff to collect </w:t>
      </w:r>
      <w:r w:rsidR="00EF40D2">
        <w:t>information regarding</w:t>
      </w:r>
      <w:r>
        <w:t xml:space="preserve"> SWA administration and operations of the TAA </w:t>
      </w:r>
      <w:r w:rsidR="00D2443F">
        <w:t>P</w:t>
      </w:r>
      <w:r>
        <w:t>rogram to evaluate</w:t>
      </w:r>
      <w:r w:rsidR="009D551F">
        <w:t xml:space="preserve"> the range of state practices.  </w:t>
      </w:r>
      <w:r w:rsidR="006317CB">
        <w:t>This information can also be used to find co-variance between practices and efficiencies to target future evaluation of promising practices.  Furthermore, this will allow the Department to facilitate peer learning by pairing SWAs interested in making organizational changes with SWAs employing the practices they seek to implement.</w:t>
      </w:r>
      <w:r>
        <w:t xml:space="preserve"> Failure to collect this information would prevent the </w:t>
      </w:r>
      <w:r w:rsidR="00D2443F">
        <w:t xml:space="preserve">Department from identifying the most </w:t>
      </w:r>
      <w:r w:rsidR="000E5A70">
        <w:t xml:space="preserve">promising </w:t>
      </w:r>
      <w:r>
        <w:t xml:space="preserve">mechanisms </w:t>
      </w:r>
      <w:r w:rsidR="006317CB">
        <w:t>SWAs are employing to administer the TAA program</w:t>
      </w:r>
      <w:r>
        <w:t>.</w:t>
      </w:r>
    </w:p>
    <w:p w:rsidR="000E5A70" w:rsidP="00D4730E" w:rsidRDefault="000E5A70" w14:paraId="5C9916A4" w14:textId="77777777">
      <w:pPr>
        <w:ind w:left="720"/>
      </w:pPr>
    </w:p>
    <w:p w:rsidR="006235BB" w:rsidP="006235BB" w:rsidRDefault="000E5A70" w14:paraId="780676E1" w14:textId="77777777">
      <w:pPr>
        <w:ind w:left="720"/>
      </w:pPr>
      <w:r>
        <w:t xml:space="preserve">Previous collections are extensively to identify barriers and needs for technical assistance, compare outreach methodologies to promote peer learning and better design behavioral intervention studies, examine gaps in staffing based on state comparison, and identify states with IT modernization needs.  The collection has reduced the burden for regional staff in providing monitoring of SWAs by allowing staff to quickly orient to a SWA’s structure and note unique features in the organization of particular SWAs.  Integration information </w:t>
      </w:r>
      <w:r w:rsidR="00302B2D">
        <w:t>is</w:t>
      </w:r>
      <w:r>
        <w:t xml:space="preserve"> to </w:t>
      </w:r>
      <w:r w:rsidR="000D6AC8">
        <w:t>assess state perceptions of their coordination with required state partners</w:t>
      </w:r>
      <w:r w:rsidR="00302B2D">
        <w:t>, shape co-enrollment policy and its implications, and identify gaps in knowledge for TAA staff.  Information from this collection has allowed ETA to better identify peer states and is extensively used in technical assistance materials including numerous webinars in the last year alone.</w:t>
      </w:r>
    </w:p>
    <w:p w:rsidR="006235BB" w:rsidP="006235BB" w:rsidRDefault="006235BB" w14:paraId="2B0B85C2" w14:textId="77777777">
      <w:pPr>
        <w:ind w:left="720"/>
      </w:pPr>
    </w:p>
    <w:p w:rsidR="006235BB" w:rsidP="006235BB" w:rsidRDefault="006235BB" w14:paraId="74172C3B" w14:textId="77777777">
      <w:pPr>
        <w:ind w:left="720"/>
      </w:pPr>
      <w:r>
        <w:t>In addition to the ETA utilization of this information, it has become apparently asking states to assess these factors about their program administration has promoted critical rethinking of their processes including driving IT modernization efforts and expanding outreach methodologies.</w:t>
      </w:r>
    </w:p>
    <w:p w:rsidR="00302B2D" w:rsidP="00D4730E" w:rsidRDefault="00302B2D" w14:paraId="3808BB96" w14:textId="77777777">
      <w:pPr>
        <w:ind w:left="720"/>
      </w:pPr>
    </w:p>
    <w:p w:rsidR="00DC2B5C" w:rsidP="00D4730E" w:rsidRDefault="00DC2B5C" w14:paraId="42112F8D" w14:textId="77777777">
      <w:pPr>
        <w:ind w:left="720"/>
      </w:pPr>
    </w:p>
    <w:p w:rsidRPr="002221A7" w:rsidR="00AB427B" w:rsidP="00AB427B" w:rsidRDefault="00AB427B" w14:paraId="285A07B2" w14:textId="77777777">
      <w:pPr>
        <w:tabs>
          <w:tab w:val="right" w:pos="360"/>
        </w:tabs>
        <w:autoSpaceDE w:val="0"/>
        <w:autoSpaceDN w:val="0"/>
        <w:adjustRightInd w:val="0"/>
        <w:ind w:left="720" w:hanging="540"/>
        <w:rPr>
          <w:i/>
        </w:rPr>
      </w:pPr>
      <w:r w:rsidRPr="002221A7">
        <w:rPr>
          <w:i/>
        </w:rPr>
        <w:tab/>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2221A7">
        <w:rPr>
          <w:i/>
        </w:rPr>
        <w:lastRenderedPageBreak/>
        <w:t xml:space="preserve">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AB427B" w:rsidP="00FB2DB3" w:rsidRDefault="00AB427B" w14:paraId="20E5F87B" w14:textId="77777777"/>
    <w:p w:rsidR="00FB2DB3" w:rsidP="00B95617" w:rsidRDefault="00B95617" w14:paraId="317A3EBB" w14:textId="77777777">
      <w:pPr>
        <w:ind w:left="720"/>
      </w:pPr>
      <w:r>
        <w:t xml:space="preserve">The collection is designed for use with standard, widely available spreadsheet software.  The spreadsheet can be transmitted electronically to minimize burden.  If respondents are unable to complete the collection electronically, a paper version of the collection can be made available and transmitted by email, fax, couriers, </w:t>
      </w:r>
      <w:r w:rsidR="00FB2DB3">
        <w:t xml:space="preserve">U.S. Postal Service or a number of express delivery services </w:t>
      </w:r>
      <w:r>
        <w:t>to provide the correspondence.</w:t>
      </w:r>
    </w:p>
    <w:p w:rsidR="00B95617" w:rsidP="00B95617" w:rsidRDefault="00B95617" w14:paraId="39C560AE" w14:textId="77777777"/>
    <w:p w:rsidRPr="002221A7" w:rsidR="00B95617" w:rsidP="00B95617" w:rsidRDefault="00B95617" w14:paraId="641AB765" w14:textId="77777777">
      <w:pPr>
        <w:tabs>
          <w:tab w:val="right" w:pos="360"/>
        </w:tabs>
        <w:autoSpaceDE w:val="0"/>
        <w:autoSpaceDN w:val="0"/>
        <w:adjustRightInd w:val="0"/>
        <w:ind w:left="720" w:hanging="540"/>
        <w:rPr>
          <w:i/>
        </w:rPr>
      </w:pPr>
      <w:r w:rsidRPr="002221A7">
        <w:rPr>
          <w:i/>
        </w:rPr>
        <w:tab/>
      </w:r>
      <w:r>
        <w:rPr>
          <w:i/>
        </w:rPr>
        <w:t>4</w:t>
      </w:r>
      <w:r w:rsidRPr="002221A7">
        <w:rPr>
          <w:i/>
        </w:rPr>
        <w:t>.</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B95617" w:rsidP="00B95617" w:rsidRDefault="00B95617" w14:paraId="6FFA82C4" w14:textId="77777777">
      <w:pPr>
        <w:tabs>
          <w:tab w:val="left" w:pos="-1440"/>
        </w:tabs>
      </w:pPr>
    </w:p>
    <w:p w:rsidR="00FB2DB3" w:rsidP="00B95617" w:rsidRDefault="00FB2DB3" w14:paraId="78779AAD" w14:textId="77777777">
      <w:pPr>
        <w:tabs>
          <w:tab w:val="left" w:pos="-1440"/>
        </w:tabs>
        <w:ind w:left="720"/>
      </w:pPr>
      <w:r>
        <w:t>This information is not currently being collected</w:t>
      </w:r>
      <w:r w:rsidR="00B95617">
        <w:t xml:space="preserve"> in any other collections</w:t>
      </w:r>
      <w:r w:rsidR="00DC2B5C">
        <w:t xml:space="preserve"> and its collection cannot be reasonably integrated into existing reporting systems which collect substantially different information on differing frequencies</w:t>
      </w:r>
      <w:r>
        <w:t xml:space="preserve">.  </w:t>
      </w:r>
      <w:r w:rsidR="0025274A">
        <w:t xml:space="preserve">The additional worker list section fills a critical gap in information between the Department’s group eligibility determination and actual participants served that has been opaque.  </w:t>
      </w:r>
      <w:r w:rsidR="00DC2B5C">
        <w:t>T</w:t>
      </w:r>
      <w:r>
        <w:t>here is no duplication for this collection.</w:t>
      </w:r>
    </w:p>
    <w:p w:rsidRPr="00CE3C52" w:rsidR="00B95617" w:rsidP="00B95617" w:rsidRDefault="00B95617" w14:paraId="1F75DA42" w14:textId="77777777">
      <w:pPr>
        <w:autoSpaceDE w:val="0"/>
        <w:autoSpaceDN w:val="0"/>
        <w:adjustRightInd w:val="0"/>
      </w:pPr>
    </w:p>
    <w:p w:rsidRPr="00B95617" w:rsidR="00FB2DB3" w:rsidP="00B95617" w:rsidRDefault="00B95617" w14:paraId="0742CFC0" w14:textId="77777777">
      <w:pPr>
        <w:tabs>
          <w:tab w:val="right" w:pos="360"/>
          <w:tab w:val="left" w:pos="540"/>
        </w:tabs>
        <w:autoSpaceDE w:val="0"/>
        <w:autoSpaceDN w:val="0"/>
        <w:adjustRightInd w:val="0"/>
        <w:ind w:left="720" w:hanging="720"/>
        <w:rPr>
          <w:i/>
        </w:rPr>
      </w:pPr>
      <w:r w:rsidRPr="002221A7">
        <w:rPr>
          <w:i/>
        </w:rPr>
        <w:tab/>
        <w:t>5.</w:t>
      </w:r>
      <w:r w:rsidRPr="002221A7">
        <w:rPr>
          <w:i/>
        </w:rPr>
        <w:tab/>
      </w:r>
      <w:r>
        <w:rPr>
          <w:i/>
        </w:rPr>
        <w:tab/>
      </w:r>
      <w:r w:rsidRPr="002221A7">
        <w:rPr>
          <w:i/>
        </w:rPr>
        <w:t>If the collection of information impacts small businesses or other small entities, describe any methods used to minimize burden.</w:t>
      </w:r>
    </w:p>
    <w:p w:rsidR="00FB2DB3" w:rsidP="00FB2DB3" w:rsidRDefault="00FB2DB3" w14:paraId="2928ADF3" w14:textId="77777777"/>
    <w:p w:rsidR="00FB2DB3" w:rsidP="00B95617" w:rsidRDefault="00FB2DB3" w14:paraId="18A61BC5" w14:textId="77777777">
      <w:pPr>
        <w:tabs>
          <w:tab w:val="left" w:pos="-1440"/>
        </w:tabs>
        <w:ind w:left="720"/>
      </w:pPr>
      <w:r>
        <w:t xml:space="preserve">The collection is for State grantees of the Department.  No small businesses or small entities will be responding to the collection. </w:t>
      </w:r>
      <w:r w:rsidR="00EB1E8D">
        <w:t xml:space="preserve"> </w:t>
      </w:r>
      <w:r>
        <w:t>Therefore, collection of this information does not have any impact on small businesses or other small entities.</w:t>
      </w:r>
    </w:p>
    <w:p w:rsidR="00FB2DB3" w:rsidP="00FB2DB3" w:rsidRDefault="00FB2DB3" w14:paraId="37841BE6" w14:textId="77777777"/>
    <w:p w:rsidRPr="002221A7" w:rsidR="001410FF" w:rsidP="001410FF" w:rsidRDefault="001410FF" w14:paraId="622F1D65" w14:textId="77777777">
      <w:pPr>
        <w:tabs>
          <w:tab w:val="right" w:pos="360"/>
          <w:tab w:val="left" w:pos="540"/>
        </w:tabs>
        <w:autoSpaceDE w:val="0"/>
        <w:autoSpaceDN w:val="0"/>
        <w:adjustRightInd w:val="0"/>
        <w:ind w:left="720" w:hanging="720"/>
        <w:rPr>
          <w:i/>
        </w:rPr>
      </w:pPr>
      <w:r w:rsidRPr="002221A7">
        <w:rPr>
          <w:i/>
        </w:rPr>
        <w:tab/>
        <w:t>6.</w:t>
      </w:r>
      <w:r w:rsidRPr="002221A7">
        <w:rPr>
          <w:i/>
        </w:rPr>
        <w:tab/>
      </w:r>
      <w:r>
        <w:rPr>
          <w:i/>
        </w:rPr>
        <w:tab/>
      </w:r>
      <w:r w:rsidRPr="002221A7">
        <w:rPr>
          <w:i/>
        </w:rPr>
        <w:t>Describe the consequence to Federal program or policy activities if the collection is not conducted or is conducted less frequently, as well as any technical or legal obstacles to reducing burden.</w:t>
      </w:r>
    </w:p>
    <w:p w:rsidR="001410FF" w:rsidP="00FB2DB3" w:rsidRDefault="001410FF" w14:paraId="44879989" w14:textId="77777777"/>
    <w:p w:rsidR="001410FF" w:rsidP="001410FF" w:rsidRDefault="001410FF" w14:paraId="211A018D" w14:textId="77777777">
      <w:pPr>
        <w:ind w:left="720"/>
      </w:pPr>
      <w:r w:rsidRPr="001410FF">
        <w:t>The Departmen</w:t>
      </w:r>
      <w:r w:rsidR="00115ABE">
        <w:t>t needs the collection</w:t>
      </w:r>
      <w:r w:rsidRPr="001410FF">
        <w:t xml:space="preserve"> in order </w:t>
      </w:r>
      <w:r w:rsidR="006317CB">
        <w:t>to understand the range of practices being employed to administer the TAA program and to identify co-variances between practices and program efficiency and performance metrics for future evaluation in the identification of best practices.</w:t>
      </w:r>
      <w:r w:rsidRPr="001410FF">
        <w:t xml:space="preserve">  The data collection occurs </w:t>
      </w:r>
      <w:r w:rsidRPr="001410FF" w:rsidR="009B0753">
        <w:t xml:space="preserve">only </w:t>
      </w:r>
      <w:r w:rsidRPr="001410FF">
        <w:t>once per year to minimize burden.  Collection less frequently than each year would prevent the Department from identifying changes in state practice</w:t>
      </w:r>
      <w:r w:rsidR="00C441D3">
        <w:t>s</w:t>
      </w:r>
      <w:r w:rsidR="00115ABE">
        <w:t xml:space="preserve"> and operations and meaningfully matching outreach and worker list information.</w:t>
      </w:r>
    </w:p>
    <w:p w:rsidRPr="00CE3C52" w:rsidR="001410FF" w:rsidP="001410FF" w:rsidRDefault="001410FF" w14:paraId="7DBA3D75" w14:textId="77777777">
      <w:pPr>
        <w:autoSpaceDE w:val="0"/>
        <w:autoSpaceDN w:val="0"/>
        <w:adjustRightInd w:val="0"/>
      </w:pPr>
    </w:p>
    <w:p w:rsidRPr="002221A7" w:rsidR="001410FF" w:rsidP="00D836E2" w:rsidRDefault="001410FF" w14:paraId="6CD4BD65" w14:textId="77777777">
      <w:pPr>
        <w:tabs>
          <w:tab w:val="right" w:pos="360"/>
          <w:tab w:val="left" w:pos="540"/>
        </w:tabs>
        <w:autoSpaceDE w:val="0"/>
        <w:autoSpaceDN w:val="0"/>
        <w:adjustRightInd w:val="0"/>
        <w:ind w:left="720" w:hanging="720"/>
        <w:rPr>
          <w:i/>
        </w:rPr>
      </w:pPr>
      <w:r w:rsidRPr="002221A7">
        <w:rPr>
          <w:i/>
        </w:rPr>
        <w:tab/>
        <w:t>7.</w:t>
      </w:r>
      <w:r w:rsidRPr="002221A7">
        <w:rPr>
          <w:i/>
        </w:rPr>
        <w:tab/>
      </w:r>
      <w:r>
        <w:rPr>
          <w:i/>
        </w:rPr>
        <w:tab/>
      </w:r>
      <w:r w:rsidRPr="002221A7">
        <w:rPr>
          <w:i/>
        </w:rPr>
        <w:t>Explain any special circumstances that would cause an information collection to be conducted in a manner</w:t>
      </w:r>
      <w:r>
        <w:rPr>
          <w:i/>
        </w:rPr>
        <w:t xml:space="preserve"> </w:t>
      </w:r>
      <w:r w:rsidRPr="00184FE6">
        <w:rPr>
          <w:i/>
        </w:rPr>
        <w:t>that requires further explanation pursuant to regulations 5 CFR 1320.5</w:t>
      </w:r>
      <w:r w:rsidR="00EB1E8D">
        <w:rPr>
          <w:i/>
        </w:rPr>
        <w:t>.</w:t>
      </w:r>
    </w:p>
    <w:p w:rsidR="00FB2DB3" w:rsidP="00FB2DB3" w:rsidRDefault="00FB2DB3" w14:paraId="3872AA54" w14:textId="77777777"/>
    <w:p w:rsidR="00FB2DB3" w:rsidP="00FB2DB3" w:rsidRDefault="001410FF" w14:paraId="21FD1BE1" w14:textId="77777777">
      <w:pPr>
        <w:pStyle w:val="Level1"/>
        <w:numPr>
          <w:ilvl w:val="0"/>
          <w:numId w:val="0"/>
        </w:numPr>
        <w:tabs>
          <w:tab w:val="left" w:pos="-1440"/>
          <w:tab w:val="left" w:pos="360"/>
        </w:tabs>
        <w:rPr>
          <w:rFonts w:ascii="Times New Roman" w:hAnsi="Times New Roman"/>
        </w:rPr>
      </w:pPr>
      <w:r>
        <w:rPr>
          <w:rFonts w:ascii="Times New Roman" w:hAnsi="Times New Roman"/>
        </w:rPr>
        <w:tab/>
      </w:r>
      <w:r>
        <w:rPr>
          <w:rFonts w:ascii="Times New Roman" w:hAnsi="Times New Roman"/>
        </w:rPr>
        <w:tab/>
      </w:r>
      <w:r w:rsidR="00FB2DB3">
        <w:rPr>
          <w:rFonts w:ascii="Times New Roman" w:hAnsi="Times New Roman"/>
        </w:rPr>
        <w:t>There are no special circumstances involved in this collection.</w:t>
      </w:r>
    </w:p>
    <w:p w:rsidRPr="00CE3C52" w:rsidR="001410FF" w:rsidP="001410FF" w:rsidRDefault="001410FF" w14:paraId="06234588" w14:textId="77777777">
      <w:pPr>
        <w:autoSpaceDE w:val="0"/>
        <w:autoSpaceDN w:val="0"/>
        <w:adjustRightInd w:val="0"/>
      </w:pPr>
    </w:p>
    <w:p w:rsidR="001410FF" w:rsidP="00D4730E" w:rsidRDefault="001410FF" w14:paraId="122F2E21" w14:textId="77777777">
      <w:pPr>
        <w:tabs>
          <w:tab w:val="right" w:pos="360"/>
          <w:tab w:val="left" w:pos="540"/>
        </w:tabs>
        <w:autoSpaceDE w:val="0"/>
        <w:autoSpaceDN w:val="0"/>
        <w:adjustRightInd w:val="0"/>
        <w:ind w:left="720" w:hanging="720"/>
        <w:rPr>
          <w:i/>
        </w:rPr>
      </w:pPr>
      <w:r w:rsidRPr="002221A7">
        <w:rPr>
          <w:i/>
        </w:rPr>
        <w:tab/>
        <w:t>8.</w:t>
      </w:r>
      <w:r w:rsidRPr="002221A7">
        <w:rPr>
          <w:i/>
        </w:rPr>
        <w:tab/>
      </w:r>
      <w:r>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Pr="002221A7" w:rsidR="001410FF" w:rsidP="001410FF" w:rsidRDefault="001410FF" w14:paraId="3709528C" w14:textId="77777777">
      <w:pPr>
        <w:autoSpaceDE w:val="0"/>
        <w:autoSpaceDN w:val="0"/>
        <w:adjustRightInd w:val="0"/>
        <w:ind w:left="720"/>
        <w:rPr>
          <w:i/>
        </w:rPr>
      </w:pPr>
      <w:r w:rsidRPr="002221A7">
        <w:rPr>
          <w:i/>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1410FF" w:rsidP="001410FF" w:rsidRDefault="001410FF" w14:paraId="7BB0A54A" w14:textId="77777777">
      <w:pPr>
        <w:autoSpaceDE w:val="0"/>
        <w:autoSpaceDN w:val="0"/>
        <w:adjustRightInd w:val="0"/>
        <w:ind w:left="540"/>
        <w:rPr>
          <w:i/>
        </w:rPr>
      </w:pPr>
    </w:p>
    <w:p w:rsidRPr="002221A7" w:rsidR="001410FF" w:rsidP="001410FF" w:rsidRDefault="001410FF" w14:paraId="42C1FF52" w14:textId="77777777">
      <w:pPr>
        <w:autoSpaceDE w:val="0"/>
        <w:autoSpaceDN w:val="0"/>
        <w:adjustRightInd w:val="0"/>
        <w:ind w:left="72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1410FF" w:rsidP="00FB2DB3" w:rsidRDefault="001410FF" w14:paraId="276CB4F2" w14:textId="77777777"/>
    <w:p w:rsidR="0043516D" w:rsidP="0043516D" w:rsidRDefault="003E5367" w14:paraId="3EC74985" w14:textId="28C6A1C3">
      <w:pPr>
        <w:ind w:left="720"/>
      </w:pPr>
      <w:r>
        <w:t>When considering the need for a revision for the TAAACS, the Department discussed the gaps in the collection and how it should be improved to reduce burden with twelve (12 state partners) including lists of suggested changes such as clarifying language</w:t>
      </w:r>
      <w:r w:rsidR="001622F3">
        <w:t xml:space="preserve"> between March 9 and March 18, 2021</w:t>
      </w:r>
      <w:r>
        <w:t xml:space="preserve">.  A subsequent national question and answer session about how the collection could be changed was held on March 18, 2021 which went over what changes were being considered that was highly favorable of the reorganization.  The session indicated clear gaps between states in the collection and tracking of worker </w:t>
      </w:r>
      <w:r w:rsidR="0043516D">
        <w:t>list</w:t>
      </w:r>
      <w:r>
        <w:t xml:space="preserve"> statistics</w:t>
      </w:r>
      <w:r w:rsidR="0043516D">
        <w:t xml:space="preserve"> on the newly added second table of the collection.  The number of numeric fields was reduced from five initially considered to two that were both the most essential and most easily tracked by SWAs and the language was re-worked to improve comprehension of the information being asked for.</w:t>
      </w:r>
    </w:p>
    <w:p w:rsidR="003E5367" w:rsidP="0043516D" w:rsidRDefault="003E5367" w14:paraId="0BC7DE0F" w14:textId="4D728E3B">
      <w:pPr>
        <w:ind w:left="720"/>
      </w:pPr>
      <w:r>
        <w:t xml:space="preserve"> </w:t>
      </w:r>
    </w:p>
    <w:p w:rsidR="00D14221" w:rsidP="00D14221" w:rsidRDefault="00D14221" w14:paraId="10667EAF" w14:textId="5D1A3F79">
      <w:pPr>
        <w:ind w:left="720"/>
      </w:pPr>
      <w:r w:rsidRPr="003A2D04">
        <w:t xml:space="preserve">In accordance with the Paperwork Reduction Act of 1995, </w:t>
      </w:r>
      <w:r w:rsidR="001D72D3">
        <w:t xml:space="preserve">a 60-day comment period was provided from April 16, 2021 to June 15, 2021 at </w:t>
      </w:r>
      <w:hyperlink w:history="1" r:id="rId11">
        <w:r w:rsidRPr="001D72D3" w:rsidR="001D72D3">
          <w:rPr>
            <w:rStyle w:val="Hyperlink"/>
          </w:rPr>
          <w:t>86 FR 20204</w:t>
        </w:r>
      </w:hyperlink>
      <w:r w:rsidR="001D72D3">
        <w:t xml:space="preserve">.  During the 60-day comment period, one comment was received from a state agency that encouraged the addition of an additional question to measure the integration of TAA with the recently expanded Reemployment Services and Eligibility Assessment (RESEA) grant program.  In response to the comment, the collection was modified to add </w:t>
      </w:r>
      <w:r w:rsidR="002309BA">
        <w:t xml:space="preserve">five </w:t>
      </w:r>
      <w:r w:rsidR="001D72D3">
        <w:t>questions to rate the integration</w:t>
      </w:r>
      <w:r w:rsidR="002309BA">
        <w:t xml:space="preserve"> between TAA and RESEA</w:t>
      </w:r>
      <w:r w:rsidR="001D72D3">
        <w:t xml:space="preserve"> </w:t>
      </w:r>
      <w:r w:rsidR="002309BA">
        <w:t xml:space="preserve">such as the level of integration, administrative and staffing integration, and where in the process services are provided.  </w:t>
      </w:r>
      <w:r w:rsidR="001D72D3">
        <w:t xml:space="preserve">A 30-day comment period will also </w:t>
      </w:r>
      <w:r w:rsidR="002309BA">
        <w:t>allow for further public comments.</w:t>
      </w:r>
      <w:r w:rsidR="00436C4E">
        <w:t xml:space="preserve"> </w:t>
      </w:r>
    </w:p>
    <w:p w:rsidRPr="00CE3C52" w:rsidR="00465EF1" w:rsidP="00115ABE" w:rsidRDefault="00465EF1" w14:paraId="4716C016" w14:textId="77777777"/>
    <w:p w:rsidRPr="008F4D44" w:rsidR="001410FF" w:rsidP="001410FF" w:rsidRDefault="001410FF" w14:paraId="4ED3F4E4" w14:textId="77777777">
      <w:pPr>
        <w:tabs>
          <w:tab w:val="right" w:pos="360"/>
          <w:tab w:val="left" w:pos="540"/>
        </w:tabs>
        <w:autoSpaceDE w:val="0"/>
        <w:autoSpaceDN w:val="0"/>
        <w:adjustRightInd w:val="0"/>
        <w:ind w:left="720" w:hanging="720"/>
        <w:rPr>
          <w:i/>
        </w:rPr>
      </w:pPr>
      <w:r w:rsidRPr="008F4D44">
        <w:rPr>
          <w:i/>
        </w:rPr>
        <w:tab/>
        <w:t>9.</w:t>
      </w:r>
      <w:r w:rsidRPr="008F4D44">
        <w:rPr>
          <w:i/>
        </w:rPr>
        <w:tab/>
      </w:r>
      <w:r>
        <w:rPr>
          <w:i/>
        </w:rPr>
        <w:tab/>
      </w:r>
      <w:r w:rsidRPr="008F4D44">
        <w:rPr>
          <w:i/>
        </w:rPr>
        <w:t>Explain any decision to provide any payment or gift to respondents, other than remuneration of contractors or grantees.</w:t>
      </w:r>
    </w:p>
    <w:p w:rsidR="00FB2DB3" w:rsidP="00FB2DB3" w:rsidRDefault="00FB2DB3" w14:paraId="3466B40F" w14:textId="77777777">
      <w:pPr>
        <w:tabs>
          <w:tab w:val="left" w:pos="-1440"/>
        </w:tabs>
      </w:pPr>
    </w:p>
    <w:p w:rsidR="00FB2DB3" w:rsidP="00FB2DB3" w:rsidRDefault="001410FF" w14:paraId="63166622" w14:textId="77777777">
      <w:pPr>
        <w:tabs>
          <w:tab w:val="left" w:pos="-1440"/>
        </w:tabs>
      </w:pPr>
      <w:r>
        <w:tab/>
      </w:r>
      <w:r w:rsidR="00FB2DB3">
        <w:t>There are no payments to respondents.</w:t>
      </w:r>
    </w:p>
    <w:p w:rsidRPr="00CE3C52" w:rsidR="00184A38" w:rsidP="00184A38" w:rsidRDefault="00184A38" w14:paraId="6D591984" w14:textId="77777777">
      <w:pPr>
        <w:autoSpaceDE w:val="0"/>
        <w:autoSpaceDN w:val="0"/>
        <w:adjustRightInd w:val="0"/>
      </w:pPr>
    </w:p>
    <w:p w:rsidRPr="008F4D44" w:rsidR="00184A38" w:rsidP="00184A38" w:rsidRDefault="00184A38" w14:paraId="0E34BDC4" w14:textId="77777777">
      <w:pPr>
        <w:tabs>
          <w:tab w:val="right" w:pos="360"/>
          <w:tab w:val="left" w:pos="540"/>
        </w:tabs>
        <w:autoSpaceDE w:val="0"/>
        <w:autoSpaceDN w:val="0"/>
        <w:adjustRightInd w:val="0"/>
        <w:ind w:left="720" w:hanging="720"/>
        <w:rPr>
          <w:i/>
        </w:rPr>
      </w:pPr>
      <w:r w:rsidRPr="008F4D44">
        <w:rPr>
          <w:i/>
        </w:rPr>
        <w:tab/>
        <w:t>10.</w:t>
      </w:r>
      <w:r w:rsidRPr="008F4D44">
        <w:rPr>
          <w:i/>
        </w:rPr>
        <w:tab/>
      </w:r>
      <w:r>
        <w:rPr>
          <w:i/>
        </w:rPr>
        <w:tab/>
      </w:r>
      <w:r w:rsidRPr="008F4D44">
        <w:rPr>
          <w:i/>
        </w:rPr>
        <w:t xml:space="preserve">Describe any assurance of </w:t>
      </w:r>
      <w:r w:rsidR="000E3DBE">
        <w:rPr>
          <w:i/>
        </w:rPr>
        <w:t>privacy</w:t>
      </w:r>
      <w:r w:rsidRPr="008F4D44">
        <w:rPr>
          <w:i/>
        </w:rPr>
        <w:t xml:space="preserve"> provided to respondents and the basis for the assurance in statute, regulation, or agency policy.</w:t>
      </w:r>
    </w:p>
    <w:p w:rsidR="00FB2DB3" w:rsidP="00FB2DB3" w:rsidRDefault="00FB2DB3" w14:paraId="1860AF65" w14:textId="77777777">
      <w:pPr>
        <w:tabs>
          <w:tab w:val="left" w:pos="-1440"/>
        </w:tabs>
      </w:pPr>
    </w:p>
    <w:p w:rsidR="00FB2DB3" w:rsidP="00184A38" w:rsidRDefault="00FB2DB3" w14:paraId="50356917" w14:textId="77777777">
      <w:pPr>
        <w:tabs>
          <w:tab w:val="left" w:pos="-1440"/>
        </w:tabs>
        <w:ind w:left="720"/>
      </w:pPr>
      <w:r>
        <w:t xml:space="preserve">This information, in the form of a </w:t>
      </w:r>
      <w:r w:rsidR="000E3DBE">
        <w:t>privacy</w:t>
      </w:r>
      <w:r>
        <w:t xml:space="preserve"> statement, is provided to respondents on the information collection instruments:</w:t>
      </w:r>
    </w:p>
    <w:p w:rsidR="00EB1E8D" w:rsidP="00184A38" w:rsidRDefault="00EB1E8D" w14:paraId="2C0D886C" w14:textId="77777777">
      <w:pPr>
        <w:tabs>
          <w:tab w:val="left" w:pos="-1440"/>
        </w:tabs>
        <w:ind w:left="720"/>
      </w:pPr>
    </w:p>
    <w:p w:rsidR="00FB2DB3" w:rsidP="00184A38" w:rsidRDefault="00FB2DB3" w14:paraId="1E3774BF" w14:textId="77777777">
      <w:pPr>
        <w:ind w:left="720"/>
        <w:jc w:val="both"/>
      </w:pPr>
      <w:r>
        <w:t xml:space="preserve">“The U.S. Department of Labor will protect the </w:t>
      </w:r>
      <w:r w:rsidR="000E3DBE">
        <w:t>privacy</w:t>
      </w:r>
      <w:r>
        <w:t xml:space="preserve"> of the information you provide to the full extent of the law, in accordance with the Trade Act, 19 USC 2272(e)(3)(c),</w:t>
      </w:r>
      <w:r>
        <w:rPr>
          <w:color w:val="000000"/>
        </w:rPr>
        <w:t xml:space="preserve"> the Trade Secrets Act, 18 USC 1905,</w:t>
      </w:r>
      <w:r>
        <w:rPr>
          <w:bCs/>
          <w:i/>
          <w:iCs/>
        </w:rPr>
        <w:t xml:space="preserve"> </w:t>
      </w:r>
      <w:r>
        <w:t>the Freedom of Information Act, 5 U.S.C. 552, and 29 CFR Parts 70 and 90.”</w:t>
      </w:r>
    </w:p>
    <w:p w:rsidRPr="00CE3C52" w:rsidR="00184A38" w:rsidP="00184A38" w:rsidRDefault="00184A38" w14:paraId="5086913D" w14:textId="77777777">
      <w:pPr>
        <w:autoSpaceDE w:val="0"/>
        <w:autoSpaceDN w:val="0"/>
        <w:adjustRightInd w:val="0"/>
      </w:pPr>
    </w:p>
    <w:p w:rsidRPr="008F4D44" w:rsidR="00184A38" w:rsidP="00184A38" w:rsidRDefault="00184A38" w14:paraId="557EA06F" w14:textId="77777777">
      <w:pPr>
        <w:tabs>
          <w:tab w:val="right" w:pos="360"/>
          <w:tab w:val="left" w:pos="540"/>
        </w:tabs>
        <w:autoSpaceDE w:val="0"/>
        <w:autoSpaceDN w:val="0"/>
        <w:adjustRightInd w:val="0"/>
        <w:ind w:left="720" w:hanging="720"/>
        <w:rPr>
          <w:i/>
        </w:rPr>
      </w:pPr>
      <w:r w:rsidRPr="008F4D44">
        <w:rPr>
          <w:i/>
        </w:rPr>
        <w:lastRenderedPageBreak/>
        <w:tab/>
        <w:t>11.</w:t>
      </w:r>
      <w:r w:rsidRPr="008F4D44">
        <w:rPr>
          <w:i/>
        </w:rPr>
        <w:tab/>
      </w:r>
      <w:r>
        <w:rPr>
          <w:i/>
        </w:rPr>
        <w:tab/>
      </w:r>
      <w:r w:rsidRPr="008F4D44">
        <w:rPr>
          <w:i/>
        </w:rPr>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4A38" w:rsidP="00FB2DB3" w:rsidRDefault="00184A38" w14:paraId="75DDA2E7" w14:textId="77777777"/>
    <w:p w:rsidR="00D14221" w:rsidP="00FB2DB3" w:rsidRDefault="00184A38" w14:paraId="52BF7D4A" w14:textId="77777777">
      <w:pPr>
        <w:tabs>
          <w:tab w:val="left" w:pos="-1440"/>
        </w:tabs>
      </w:pPr>
      <w:r>
        <w:tab/>
      </w:r>
      <w:r w:rsidR="00FB2DB3">
        <w:t>The data collection includes no questions of a sensitive nature.</w:t>
      </w:r>
    </w:p>
    <w:p w:rsidR="00D14221" w:rsidP="00FB2DB3" w:rsidRDefault="00D14221" w14:paraId="17366603" w14:textId="77777777">
      <w:pPr>
        <w:tabs>
          <w:tab w:val="left" w:pos="-1440"/>
        </w:tabs>
      </w:pPr>
    </w:p>
    <w:p w:rsidRPr="00CE3C52" w:rsidR="00184A38" w:rsidP="00184A38" w:rsidRDefault="00184A38" w14:paraId="1CF44AAC" w14:textId="77777777">
      <w:pPr>
        <w:autoSpaceDE w:val="0"/>
        <w:autoSpaceDN w:val="0"/>
        <w:adjustRightInd w:val="0"/>
      </w:pPr>
    </w:p>
    <w:p w:rsidR="00184A38" w:rsidP="00D836E2" w:rsidRDefault="00184A38" w14:paraId="62E16A32" w14:textId="77777777">
      <w:pPr>
        <w:tabs>
          <w:tab w:val="right" w:pos="360"/>
        </w:tabs>
        <w:autoSpaceDE w:val="0"/>
        <w:autoSpaceDN w:val="0"/>
        <w:adjustRightInd w:val="0"/>
        <w:ind w:left="720" w:hanging="720"/>
        <w:rPr>
          <w:i/>
        </w:rPr>
      </w:pPr>
      <w:r w:rsidRPr="008F4D44">
        <w:rPr>
          <w:i/>
        </w:rPr>
        <w:tab/>
        <w:t>12.</w:t>
      </w:r>
      <w:r w:rsidRPr="008F4D44">
        <w:rPr>
          <w:i/>
        </w:rPr>
        <w:tab/>
        <w:t xml:space="preserve">Provide estimates of the hour burden of the collection of information. </w:t>
      </w:r>
      <w:r>
        <w:rPr>
          <w:i/>
        </w:rPr>
        <w:t xml:space="preserve"> </w:t>
      </w:r>
    </w:p>
    <w:p w:rsidR="00184A38" w:rsidP="00184A38" w:rsidRDefault="00184A38" w14:paraId="7CB3E577" w14:textId="77777777"/>
    <w:p w:rsidR="00184A38" w:rsidP="00184A38" w:rsidRDefault="00184A38" w14:paraId="1C76F640" w14:textId="77777777">
      <w:pPr>
        <w:ind w:left="720"/>
      </w:pPr>
      <w:r>
        <w:t xml:space="preserve">The Department estimates this annual collection to have 52 </w:t>
      </w:r>
      <w:r w:rsidR="00EB1E8D">
        <w:t>respondents</w:t>
      </w:r>
      <w:r>
        <w:t xml:space="preserve"> corresponding to the number of SWAs administering a </w:t>
      </w:r>
      <w:r w:rsidR="00D2443F">
        <w:t>TAA Program</w:t>
      </w:r>
      <w:r>
        <w:t>.  This includes all 50 States plus Puerto Rico and the District of Columbia.  Further, the Department estimates the collection will take 3</w:t>
      </w:r>
      <w:r w:rsidR="00115ABE">
        <w:t>6</w:t>
      </w:r>
      <w:r>
        <w:t xml:space="preserve">0 minutes to complete based on </w:t>
      </w:r>
      <w:r w:rsidR="00115ABE">
        <w:t xml:space="preserve">feedback provided by twelve states.  This 360 minutes is a 60 minute increase over the previous version of the collection and represents a total of 120 hour estimate for the new worker lists section, but a reduction in the burden for the rest of the collection by 60 minutes.  The reduction or the non-worker list portion recognizes that while some questions have been expanded, the burden is reduced by providing greater clarity and easier to determine responses.  Through </w:t>
      </w:r>
      <w:r w:rsidR="003646A3">
        <w:t xml:space="preserve">the initial collection, states provided feedback that the original 300-minute burden estimate may have been more than what most states experienced including </w:t>
      </w:r>
      <w:r w:rsidR="00F562B0">
        <w:t>a number</w:t>
      </w:r>
      <w:r w:rsidR="003646A3">
        <w:t xml:space="preserve"> </w:t>
      </w:r>
      <w:r w:rsidR="00F562B0">
        <w:t>completed collections being returned</w:t>
      </w:r>
      <w:r w:rsidR="003646A3">
        <w:t xml:space="preserve"> </w:t>
      </w:r>
      <w:r w:rsidR="00F562B0">
        <w:t>within the first few hours of a collection round.</w:t>
      </w:r>
    </w:p>
    <w:p w:rsidR="00184A38" w:rsidP="00184A38" w:rsidRDefault="00184A38" w14:paraId="1AD1BE02" w14:textId="77777777">
      <w:pPr>
        <w:pStyle w:val="NormalWeb"/>
        <w:spacing w:after="0" w:afterAutospacing="0"/>
        <w:ind w:left="720"/>
        <w:rPr>
          <w:rFonts w:cs="Arial"/>
          <w:color w:val="000000"/>
        </w:rPr>
      </w:pPr>
      <w:r>
        <w:t xml:space="preserve">The </w:t>
      </w:r>
      <w:r w:rsidRPr="008973E4">
        <w:t>Department estimates a total annual cost of $</w:t>
      </w:r>
      <w:r w:rsidRPr="008973E4" w:rsidR="008973E4">
        <w:t>10,576.80</w:t>
      </w:r>
      <w:r w:rsidRPr="008973E4">
        <w:t xml:space="preserve">.  </w:t>
      </w:r>
      <w:r w:rsidRPr="008973E4">
        <w:rPr>
          <w:rFonts w:cs="Arial"/>
          <w:color w:val="000000"/>
        </w:rPr>
        <w:t xml:space="preserve">This estimate is based </w:t>
      </w:r>
      <w:r w:rsidRPr="008973E4" w:rsidR="00D2443F">
        <w:rPr>
          <w:rFonts w:cs="Arial"/>
          <w:color w:val="000000"/>
        </w:rPr>
        <w:t xml:space="preserve">on </w:t>
      </w:r>
      <w:r w:rsidRPr="008973E4" w:rsidR="008D1C4A">
        <w:rPr>
          <w:rFonts w:cs="Arial"/>
          <w:color w:val="000000"/>
        </w:rPr>
        <w:t xml:space="preserve">a median hourly earnings of </w:t>
      </w:r>
      <w:r w:rsidRPr="008973E4">
        <w:rPr>
          <w:rFonts w:cs="Arial"/>
          <w:color w:val="000000"/>
        </w:rPr>
        <w:t>$</w:t>
      </w:r>
      <w:r w:rsidRPr="008973E4" w:rsidR="008D1C4A">
        <w:rPr>
          <w:rFonts w:cs="Arial"/>
          <w:color w:val="000000"/>
        </w:rPr>
        <w:t>3</w:t>
      </w:r>
      <w:r w:rsidRPr="008973E4" w:rsidR="008973E4">
        <w:rPr>
          <w:rFonts w:cs="Arial"/>
          <w:color w:val="000000"/>
        </w:rPr>
        <w:t>3</w:t>
      </w:r>
      <w:r w:rsidRPr="008973E4">
        <w:rPr>
          <w:rFonts w:cs="Arial"/>
          <w:color w:val="000000"/>
        </w:rPr>
        <w:t>.</w:t>
      </w:r>
      <w:r w:rsidRPr="008973E4" w:rsidR="008973E4">
        <w:rPr>
          <w:rFonts w:cs="Arial"/>
          <w:color w:val="000000"/>
        </w:rPr>
        <w:t>9</w:t>
      </w:r>
      <w:r w:rsidRPr="008973E4" w:rsidR="008D1C4A">
        <w:rPr>
          <w:rFonts w:cs="Arial"/>
          <w:color w:val="000000"/>
        </w:rPr>
        <w:t>0</w:t>
      </w:r>
      <w:r w:rsidRPr="008973E4">
        <w:rPr>
          <w:rFonts w:cs="Arial"/>
          <w:color w:val="000000"/>
        </w:rPr>
        <w:t xml:space="preserve"> average hourly earnings for</w:t>
      </w:r>
      <w:r>
        <w:rPr>
          <w:rFonts w:cs="Arial"/>
          <w:color w:val="000000"/>
        </w:rPr>
        <w:t xml:space="preserve"> managerial and professional workers as reported in the</w:t>
      </w:r>
      <w:r w:rsidR="008D1C4A">
        <w:rPr>
          <w:rFonts w:cs="Arial"/>
          <w:color w:val="000000"/>
        </w:rPr>
        <w:t xml:space="preserve"> </w:t>
      </w:r>
      <w:hyperlink w:history="1" r:id="rId12">
        <w:r w:rsidRPr="008D1C4A" w:rsidR="008D1C4A">
          <w:rPr>
            <w:rStyle w:val="Hyperlink"/>
            <w:rFonts w:cs="Arial"/>
          </w:rPr>
          <w:t>BLS Current Population Survey</w:t>
        </w:r>
      </w:hyperlink>
      <w:r w:rsidR="008D1C4A">
        <w:rPr>
          <w:rFonts w:cs="Arial"/>
          <w:color w:val="000000"/>
        </w:rPr>
        <w:t>, and assuming a 40</w:t>
      </w:r>
      <w:r w:rsidR="00B6088E">
        <w:rPr>
          <w:rFonts w:cs="Arial"/>
          <w:color w:val="000000"/>
        </w:rPr>
        <w:t>-</w:t>
      </w:r>
      <w:r w:rsidR="008D1C4A">
        <w:rPr>
          <w:rFonts w:cs="Arial"/>
          <w:color w:val="000000"/>
        </w:rPr>
        <w:t>hour work week.</w:t>
      </w:r>
      <w:r>
        <w:rPr>
          <w:rFonts w:cs="Arial"/>
          <w:color w:val="000000"/>
        </w:rPr>
        <w:t xml:space="preserve"> </w:t>
      </w:r>
      <w:r w:rsidR="008D1C4A">
        <w:rPr>
          <w:rFonts w:cs="Arial"/>
          <w:color w:val="000000"/>
        </w:rPr>
        <w:t xml:space="preserve"> </w:t>
      </w:r>
      <w:r>
        <w:rPr>
          <w:rFonts w:cs="Arial"/>
          <w:color w:val="000000"/>
        </w:rPr>
        <w:t xml:space="preserve">Finally, SWAs are provided funding for administration and data reporting of the </w:t>
      </w:r>
      <w:r w:rsidR="00D2443F">
        <w:rPr>
          <w:rFonts w:cs="Arial"/>
          <w:color w:val="000000"/>
        </w:rPr>
        <w:t>TAA Program</w:t>
      </w:r>
      <w:r>
        <w:rPr>
          <w:rFonts w:cs="Arial"/>
          <w:color w:val="000000"/>
        </w:rPr>
        <w:t xml:space="preserve"> </w:t>
      </w:r>
      <w:r w:rsidR="003878F8">
        <w:rPr>
          <w:rFonts w:cs="Arial"/>
          <w:color w:val="000000"/>
        </w:rPr>
        <w:t>that will fully cover personnel costs of this collection.</w:t>
      </w:r>
      <w:r w:rsidDel="003878F8" w:rsidR="003878F8">
        <w:rPr>
          <w:rFonts w:cs="Arial"/>
          <w:color w:val="000000"/>
        </w:rPr>
        <w:t xml:space="preserve"> </w:t>
      </w:r>
    </w:p>
    <w:p w:rsidR="00184A38" w:rsidP="00184A38" w:rsidRDefault="00184A38" w14:paraId="7B731483" w14:textId="77777777"/>
    <w:p w:rsidR="00EB1E8D" w:rsidP="000A017D" w:rsidRDefault="00EB1E8D" w14:paraId="08E6D1DD" w14:textId="77777777">
      <w:pPr>
        <w:ind w:left="720"/>
      </w:pPr>
      <w:r>
        <w:rPr>
          <w:i/>
        </w:rPr>
        <w:t>The following table can be used as a guide to calculate the total burden of an information collection.</w:t>
      </w:r>
    </w:p>
    <w:p w:rsidR="00184A38" w:rsidP="00184A38" w:rsidRDefault="00184A38" w14:paraId="1A0DD0E5" w14:textId="77777777"/>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530"/>
        <w:gridCol w:w="1350"/>
        <w:gridCol w:w="1350"/>
        <w:gridCol w:w="1170"/>
        <w:gridCol w:w="990"/>
        <w:gridCol w:w="900"/>
        <w:gridCol w:w="1350"/>
      </w:tblGrid>
      <w:tr w:rsidR="008D1C4A" w:rsidTr="008D1C4A" w14:paraId="25808CF1" w14:textId="77777777">
        <w:tc>
          <w:tcPr>
            <w:tcW w:w="1525"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1F13B138" w14:textId="77777777">
            <w:pPr>
              <w:spacing w:line="276" w:lineRule="auto"/>
              <w:jc w:val="center"/>
              <w:rPr>
                <w:b/>
                <w:sz w:val="22"/>
                <w:szCs w:val="22"/>
              </w:rPr>
            </w:pPr>
            <w:r>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51826485" w14:textId="77777777">
            <w:pPr>
              <w:spacing w:line="276" w:lineRule="auto"/>
              <w:jc w:val="center"/>
              <w:rPr>
                <w:b/>
                <w:sz w:val="22"/>
                <w:szCs w:val="22"/>
              </w:rPr>
            </w:pPr>
            <w:r>
              <w:rPr>
                <w:b/>
                <w:sz w:val="22"/>
                <w:szCs w:val="22"/>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12571E7B" w14:textId="77777777">
            <w:pPr>
              <w:spacing w:line="276" w:lineRule="auto"/>
              <w:jc w:val="center"/>
              <w:rPr>
                <w:b/>
                <w:sz w:val="22"/>
                <w:szCs w:val="22"/>
              </w:rPr>
            </w:pPr>
            <w:r>
              <w:rPr>
                <w:b/>
                <w:sz w:val="22"/>
                <w:szCs w:val="22"/>
              </w:rPr>
              <w:t>Frequency</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33391832" w14:textId="77777777">
            <w:pPr>
              <w:spacing w:line="276" w:lineRule="auto"/>
              <w:jc w:val="center"/>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306202E4" w14:textId="77777777">
            <w:pPr>
              <w:spacing w:line="276" w:lineRule="auto"/>
              <w:jc w:val="center"/>
              <w:rPr>
                <w:b/>
                <w:sz w:val="22"/>
                <w:szCs w:val="22"/>
              </w:rPr>
            </w:pPr>
            <w:r>
              <w:rPr>
                <w:b/>
                <w:sz w:val="22"/>
                <w:szCs w:val="22"/>
              </w:rPr>
              <w:t>Time Per Response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3B15BEAB" w14:textId="77777777">
            <w:pPr>
              <w:spacing w:line="276" w:lineRule="auto"/>
              <w:jc w:val="center"/>
              <w:rPr>
                <w:b/>
                <w:sz w:val="22"/>
                <w:szCs w:val="22"/>
              </w:rPr>
            </w:pPr>
            <w:r>
              <w:rPr>
                <w:b/>
                <w:sz w:val="22"/>
                <w:szCs w:val="22"/>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4C4077CB" w14:textId="77777777">
            <w:pPr>
              <w:spacing w:line="276" w:lineRule="auto"/>
              <w:jc w:val="center"/>
              <w:rPr>
                <w:b/>
                <w:sz w:val="22"/>
                <w:szCs w:val="22"/>
              </w:rPr>
            </w:pPr>
            <w:r>
              <w:rPr>
                <w:b/>
                <w:sz w:val="22"/>
                <w:szCs w:val="22"/>
              </w:rPr>
              <w:t>Hourly Rate*</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00184A38" w:rsidP="00F37389" w:rsidRDefault="00184A38" w14:paraId="60408022" w14:textId="77777777">
            <w:pPr>
              <w:spacing w:line="276" w:lineRule="auto"/>
              <w:jc w:val="center"/>
              <w:rPr>
                <w:b/>
                <w:sz w:val="22"/>
                <w:szCs w:val="22"/>
              </w:rPr>
            </w:pPr>
            <w:r>
              <w:rPr>
                <w:b/>
                <w:sz w:val="22"/>
                <w:szCs w:val="22"/>
              </w:rPr>
              <w:t>Monetized Value of Respondent Time</w:t>
            </w:r>
          </w:p>
        </w:tc>
      </w:tr>
      <w:tr w:rsidR="008D1C4A" w:rsidTr="008D1C4A" w14:paraId="158F281B" w14:textId="77777777">
        <w:tc>
          <w:tcPr>
            <w:tcW w:w="1525" w:type="dxa"/>
            <w:tcBorders>
              <w:top w:val="single" w:color="auto" w:sz="4" w:space="0"/>
              <w:left w:val="single" w:color="auto" w:sz="4" w:space="0"/>
              <w:bottom w:val="single" w:color="auto" w:sz="4" w:space="0"/>
              <w:right w:val="single" w:color="auto" w:sz="4" w:space="0"/>
            </w:tcBorders>
            <w:vAlign w:val="bottom"/>
          </w:tcPr>
          <w:p w:rsidR="00184A38" w:rsidP="006712E2" w:rsidRDefault="00184A38" w14:paraId="4FABC54D" w14:textId="77777777">
            <w:pPr>
              <w:spacing w:line="276" w:lineRule="auto"/>
              <w:rPr>
                <w:sz w:val="22"/>
                <w:szCs w:val="22"/>
              </w:rPr>
            </w:pPr>
            <w:r>
              <w:rPr>
                <w:sz w:val="22"/>
                <w:szCs w:val="22"/>
              </w:rPr>
              <w:t>Collection Response</w:t>
            </w:r>
          </w:p>
        </w:tc>
        <w:tc>
          <w:tcPr>
            <w:tcW w:w="153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0BBD0D51" w14:textId="77777777">
            <w:pPr>
              <w:spacing w:line="276" w:lineRule="auto"/>
              <w:jc w:val="center"/>
              <w:rPr>
                <w:sz w:val="22"/>
                <w:szCs w:val="22"/>
              </w:rPr>
            </w:pPr>
            <w:r>
              <w:rPr>
                <w:sz w:val="22"/>
                <w:szCs w:val="22"/>
              </w:rPr>
              <w:t>52</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6EB496F1" w14:textId="77777777">
            <w:pPr>
              <w:spacing w:line="276" w:lineRule="auto"/>
              <w:jc w:val="center"/>
              <w:rPr>
                <w:sz w:val="22"/>
                <w:szCs w:val="22"/>
              </w:rPr>
            </w:pPr>
            <w:r>
              <w:rPr>
                <w:sz w:val="22"/>
                <w:szCs w:val="22"/>
              </w:rPr>
              <w:t>Once Annually</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8D1C4A" w:rsidRDefault="00184A38" w14:paraId="210F966F" w14:textId="77777777">
            <w:pPr>
              <w:spacing w:line="276" w:lineRule="auto"/>
              <w:jc w:val="center"/>
              <w:rPr>
                <w:sz w:val="22"/>
                <w:szCs w:val="22"/>
              </w:rPr>
            </w:pPr>
            <w:r>
              <w:rPr>
                <w:sz w:val="22"/>
                <w:szCs w:val="22"/>
              </w:rPr>
              <w:t>52</w:t>
            </w:r>
          </w:p>
        </w:tc>
        <w:tc>
          <w:tcPr>
            <w:tcW w:w="1170" w:type="dxa"/>
            <w:tcBorders>
              <w:top w:val="single" w:color="auto" w:sz="4" w:space="0"/>
              <w:left w:val="single" w:color="auto" w:sz="4" w:space="0"/>
              <w:bottom w:val="single" w:color="auto" w:sz="4" w:space="0"/>
              <w:right w:val="single" w:color="auto" w:sz="4" w:space="0"/>
            </w:tcBorders>
            <w:vAlign w:val="center"/>
          </w:tcPr>
          <w:p w:rsidR="00184A38" w:rsidP="008D1C4A" w:rsidRDefault="003646A3" w14:paraId="6E0AF5F7" w14:textId="77777777">
            <w:pPr>
              <w:spacing w:line="276" w:lineRule="auto"/>
              <w:jc w:val="center"/>
              <w:rPr>
                <w:sz w:val="22"/>
                <w:szCs w:val="22"/>
              </w:rPr>
            </w:pPr>
            <w:r>
              <w:rPr>
                <w:sz w:val="22"/>
                <w:szCs w:val="22"/>
              </w:rPr>
              <w:t>6</w:t>
            </w:r>
            <w:r w:rsidR="00184A38">
              <w:rPr>
                <w:sz w:val="22"/>
                <w:szCs w:val="22"/>
              </w:rPr>
              <w:t xml:space="preserve"> hours</w:t>
            </w:r>
          </w:p>
        </w:tc>
        <w:tc>
          <w:tcPr>
            <w:tcW w:w="990" w:type="dxa"/>
            <w:tcBorders>
              <w:top w:val="single" w:color="auto" w:sz="4" w:space="0"/>
              <w:left w:val="single" w:color="auto" w:sz="4" w:space="0"/>
              <w:bottom w:val="single" w:color="auto" w:sz="4" w:space="0"/>
              <w:right w:val="single" w:color="auto" w:sz="4" w:space="0"/>
            </w:tcBorders>
            <w:vAlign w:val="center"/>
          </w:tcPr>
          <w:p w:rsidR="00184A38" w:rsidP="008D1C4A" w:rsidRDefault="003646A3" w14:paraId="358AF62C" w14:textId="77777777">
            <w:pPr>
              <w:spacing w:line="276" w:lineRule="auto"/>
              <w:jc w:val="center"/>
              <w:rPr>
                <w:sz w:val="22"/>
                <w:szCs w:val="22"/>
              </w:rPr>
            </w:pPr>
            <w:r>
              <w:rPr>
                <w:sz w:val="22"/>
                <w:szCs w:val="22"/>
              </w:rPr>
              <w:t>312</w:t>
            </w:r>
          </w:p>
        </w:tc>
        <w:tc>
          <w:tcPr>
            <w:tcW w:w="900" w:type="dxa"/>
            <w:tcBorders>
              <w:top w:val="single" w:color="auto" w:sz="4" w:space="0"/>
              <w:left w:val="single" w:color="auto" w:sz="4" w:space="0"/>
              <w:bottom w:val="single" w:color="auto" w:sz="4" w:space="0"/>
              <w:right w:val="single" w:color="auto" w:sz="4" w:space="0"/>
            </w:tcBorders>
            <w:vAlign w:val="center"/>
          </w:tcPr>
          <w:p w:rsidR="00184A38" w:rsidP="003646A3" w:rsidRDefault="00184A38" w14:paraId="2F12D020" w14:textId="77777777">
            <w:pPr>
              <w:spacing w:line="276" w:lineRule="auto"/>
              <w:jc w:val="center"/>
              <w:rPr>
                <w:sz w:val="22"/>
                <w:szCs w:val="22"/>
              </w:rPr>
            </w:pPr>
            <w:r>
              <w:rPr>
                <w:rFonts w:cs="Arial"/>
                <w:color w:val="000000"/>
              </w:rPr>
              <w:t>$</w:t>
            </w:r>
            <w:r w:rsidR="008D1C4A">
              <w:rPr>
                <w:rFonts w:cs="Arial"/>
                <w:color w:val="000000"/>
              </w:rPr>
              <w:t>3</w:t>
            </w:r>
            <w:r w:rsidR="003646A3">
              <w:rPr>
                <w:rFonts w:cs="Arial"/>
                <w:color w:val="000000"/>
              </w:rPr>
              <w:t>3</w:t>
            </w:r>
            <w:r w:rsidR="008D1C4A">
              <w:rPr>
                <w:rFonts w:cs="Arial"/>
                <w:color w:val="000000"/>
              </w:rPr>
              <w:t>.</w:t>
            </w:r>
            <w:r w:rsidR="003646A3">
              <w:rPr>
                <w:rFonts w:cs="Arial"/>
                <w:color w:val="000000"/>
              </w:rPr>
              <w:t>9</w:t>
            </w:r>
            <w:r w:rsidR="008D1C4A">
              <w:rPr>
                <w:rFonts w:cs="Arial"/>
                <w:color w:val="000000"/>
              </w:rPr>
              <w:t>0</w:t>
            </w:r>
          </w:p>
        </w:tc>
        <w:tc>
          <w:tcPr>
            <w:tcW w:w="1350" w:type="dxa"/>
            <w:tcBorders>
              <w:top w:val="single" w:color="auto" w:sz="4" w:space="0"/>
              <w:left w:val="single" w:color="auto" w:sz="4" w:space="0"/>
              <w:bottom w:val="single" w:color="auto" w:sz="4" w:space="0"/>
              <w:right w:val="single" w:color="auto" w:sz="4" w:space="0"/>
            </w:tcBorders>
            <w:vAlign w:val="center"/>
          </w:tcPr>
          <w:p w:rsidR="00184A38" w:rsidP="003646A3" w:rsidRDefault="00184A38" w14:paraId="7FC722CE" w14:textId="77777777">
            <w:pPr>
              <w:spacing w:line="276" w:lineRule="auto"/>
              <w:jc w:val="center"/>
              <w:rPr>
                <w:sz w:val="22"/>
                <w:szCs w:val="22"/>
              </w:rPr>
            </w:pPr>
            <w:r>
              <w:rPr>
                <w:sz w:val="22"/>
                <w:szCs w:val="22"/>
              </w:rPr>
              <w:t>$</w:t>
            </w:r>
            <w:r w:rsidR="003646A3">
              <w:rPr>
                <w:sz w:val="22"/>
                <w:szCs w:val="22"/>
              </w:rPr>
              <w:t>10</w:t>
            </w:r>
            <w:r>
              <w:rPr>
                <w:sz w:val="22"/>
                <w:szCs w:val="22"/>
              </w:rPr>
              <w:t>,</w:t>
            </w:r>
            <w:r w:rsidR="003646A3">
              <w:rPr>
                <w:sz w:val="22"/>
                <w:szCs w:val="22"/>
              </w:rPr>
              <w:t>576.80</w:t>
            </w:r>
          </w:p>
        </w:tc>
      </w:tr>
      <w:tr w:rsidR="008D1C4A" w:rsidTr="008D1C4A" w14:paraId="242B80EA" w14:textId="77777777">
        <w:tc>
          <w:tcPr>
            <w:tcW w:w="1525" w:type="dxa"/>
            <w:tcBorders>
              <w:top w:val="single" w:color="auto" w:sz="4" w:space="0"/>
              <w:left w:val="single" w:color="auto" w:sz="4" w:space="0"/>
              <w:bottom w:val="single" w:color="auto" w:sz="4" w:space="0"/>
              <w:right w:val="single" w:color="auto" w:sz="4" w:space="0"/>
            </w:tcBorders>
            <w:hideMark/>
          </w:tcPr>
          <w:p w:rsidR="008D1C4A" w:rsidP="008D1C4A" w:rsidRDefault="008D1C4A" w14:paraId="3002639C" w14:textId="77777777">
            <w:pPr>
              <w:spacing w:line="276" w:lineRule="auto"/>
              <w:rPr>
                <w:b/>
                <w:i/>
                <w:sz w:val="22"/>
                <w:szCs w:val="22"/>
              </w:rPr>
            </w:pPr>
            <w:r>
              <w:rPr>
                <w:b/>
                <w:i/>
                <w:sz w:val="22"/>
                <w:szCs w:val="22"/>
              </w:rPr>
              <w:t>Unduplicated Totals</w:t>
            </w:r>
          </w:p>
        </w:tc>
        <w:tc>
          <w:tcPr>
            <w:tcW w:w="153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8D1C4A" w14:paraId="66B41C4E" w14:textId="77777777">
            <w:pPr>
              <w:spacing w:line="276" w:lineRule="auto"/>
              <w:jc w:val="center"/>
              <w:rPr>
                <w:b/>
                <w:i/>
                <w:sz w:val="22"/>
                <w:szCs w:val="22"/>
              </w:rPr>
            </w:pPr>
            <w:r w:rsidRPr="00D836E2">
              <w:rPr>
                <w:b/>
                <w:i/>
                <w:sz w:val="22"/>
                <w:szCs w:val="22"/>
              </w:rPr>
              <w:t>52</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26AEC4DD" w14:textId="77777777">
            <w:pPr>
              <w:spacing w:line="276" w:lineRule="auto"/>
              <w:jc w:val="center"/>
              <w:rPr>
                <w:b/>
                <w:i/>
                <w:sz w:val="22"/>
                <w:szCs w:val="22"/>
              </w:rPr>
            </w:pPr>
            <w:r w:rsidRPr="00D836E2">
              <w:rPr>
                <w:b/>
                <w:i/>
                <w:sz w:val="22"/>
                <w:szCs w:val="22"/>
              </w:rPr>
              <w:t>--</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8D1C4A" w14:paraId="19C314AD" w14:textId="77777777">
            <w:pPr>
              <w:spacing w:line="276" w:lineRule="auto"/>
              <w:jc w:val="center"/>
              <w:rPr>
                <w:b/>
                <w:i/>
                <w:sz w:val="22"/>
                <w:szCs w:val="22"/>
              </w:rPr>
            </w:pPr>
            <w:r w:rsidRPr="00D836E2">
              <w:rPr>
                <w:b/>
                <w:i/>
                <w:sz w:val="22"/>
                <w:szCs w:val="22"/>
              </w:rPr>
              <w:t>52</w:t>
            </w:r>
          </w:p>
        </w:tc>
        <w:tc>
          <w:tcPr>
            <w:tcW w:w="117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6BFCE1C6" w14:textId="77777777">
            <w:pPr>
              <w:spacing w:line="276" w:lineRule="auto"/>
              <w:jc w:val="center"/>
              <w:rPr>
                <w:b/>
                <w:i/>
                <w:sz w:val="22"/>
                <w:szCs w:val="22"/>
              </w:rPr>
            </w:pPr>
            <w:r w:rsidRPr="00D836E2">
              <w:rPr>
                <w:b/>
                <w:i/>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3646A3" w14:paraId="5F6E5A38" w14:textId="77777777">
            <w:pPr>
              <w:spacing w:line="276" w:lineRule="auto"/>
              <w:jc w:val="center"/>
              <w:rPr>
                <w:b/>
                <w:i/>
                <w:sz w:val="22"/>
                <w:szCs w:val="22"/>
              </w:rPr>
            </w:pPr>
            <w:r>
              <w:rPr>
                <w:b/>
                <w:i/>
                <w:sz w:val="22"/>
                <w:szCs w:val="22"/>
              </w:rPr>
              <w:t>312</w:t>
            </w:r>
          </w:p>
        </w:tc>
        <w:tc>
          <w:tcPr>
            <w:tcW w:w="900" w:type="dxa"/>
            <w:tcBorders>
              <w:top w:val="single" w:color="auto" w:sz="4" w:space="0"/>
              <w:left w:val="single" w:color="auto" w:sz="4" w:space="0"/>
              <w:bottom w:val="single" w:color="auto" w:sz="4" w:space="0"/>
              <w:right w:val="single" w:color="auto" w:sz="4" w:space="0"/>
            </w:tcBorders>
            <w:vAlign w:val="center"/>
          </w:tcPr>
          <w:p w:rsidRPr="00D836E2" w:rsidR="008D1C4A" w:rsidP="008D1C4A" w:rsidRDefault="00EB1E8D" w14:paraId="278808C3" w14:textId="77777777">
            <w:pPr>
              <w:spacing w:line="276" w:lineRule="auto"/>
              <w:jc w:val="center"/>
              <w:rPr>
                <w:b/>
                <w:i/>
                <w:sz w:val="22"/>
                <w:szCs w:val="22"/>
              </w:rPr>
            </w:pPr>
            <w:r w:rsidRPr="00D836E2">
              <w:rPr>
                <w:rFonts w:cs="Arial"/>
                <w:b/>
                <w:i/>
                <w:color w:val="000000"/>
              </w:rPr>
              <w:t>--</w:t>
            </w:r>
          </w:p>
        </w:tc>
        <w:tc>
          <w:tcPr>
            <w:tcW w:w="1350" w:type="dxa"/>
            <w:tcBorders>
              <w:top w:val="single" w:color="auto" w:sz="4" w:space="0"/>
              <w:left w:val="single" w:color="auto" w:sz="4" w:space="0"/>
              <w:bottom w:val="single" w:color="auto" w:sz="4" w:space="0"/>
              <w:right w:val="single" w:color="auto" w:sz="4" w:space="0"/>
            </w:tcBorders>
            <w:vAlign w:val="center"/>
          </w:tcPr>
          <w:p w:rsidRPr="00D836E2" w:rsidR="008D1C4A" w:rsidP="003646A3" w:rsidRDefault="008D1C4A" w14:paraId="28C4E254" w14:textId="77777777">
            <w:pPr>
              <w:spacing w:line="276" w:lineRule="auto"/>
              <w:jc w:val="center"/>
              <w:rPr>
                <w:b/>
                <w:i/>
                <w:sz w:val="22"/>
                <w:szCs w:val="22"/>
              </w:rPr>
            </w:pPr>
            <w:r w:rsidRPr="00D836E2">
              <w:rPr>
                <w:b/>
                <w:i/>
                <w:sz w:val="22"/>
                <w:szCs w:val="22"/>
              </w:rPr>
              <w:t>$</w:t>
            </w:r>
            <w:r w:rsidR="003646A3">
              <w:rPr>
                <w:b/>
                <w:i/>
                <w:sz w:val="22"/>
                <w:szCs w:val="22"/>
              </w:rPr>
              <w:t>10</w:t>
            </w:r>
            <w:r w:rsidRPr="00D836E2">
              <w:rPr>
                <w:b/>
                <w:i/>
                <w:sz w:val="22"/>
                <w:szCs w:val="22"/>
              </w:rPr>
              <w:t>,</w:t>
            </w:r>
            <w:r w:rsidR="003646A3">
              <w:rPr>
                <w:b/>
                <w:i/>
                <w:sz w:val="22"/>
                <w:szCs w:val="22"/>
              </w:rPr>
              <w:t>576.80</w:t>
            </w:r>
          </w:p>
        </w:tc>
      </w:tr>
    </w:tbl>
    <w:p w:rsidR="00FB2DB3" w:rsidP="00FB2DB3" w:rsidRDefault="00EB1E8D" w14:paraId="33FD6707" w14:textId="77777777">
      <w:r>
        <w:rPr>
          <w:i/>
        </w:rPr>
        <w:t xml:space="preserve">* </w:t>
      </w:r>
      <w:r w:rsidRPr="009D5DA0" w:rsidR="009D5DA0">
        <w:rPr>
          <w:i/>
        </w:rPr>
        <w:t xml:space="preserve">This estimate is based </w:t>
      </w:r>
      <w:r w:rsidR="00D2443F">
        <w:rPr>
          <w:i/>
        </w:rPr>
        <w:t xml:space="preserve">on </w:t>
      </w:r>
      <w:r w:rsidRPr="009D5DA0" w:rsidR="009D5DA0">
        <w:rPr>
          <w:i/>
        </w:rPr>
        <w:t>a median hourly earnings of $3</w:t>
      </w:r>
      <w:r w:rsidR="003646A3">
        <w:rPr>
          <w:i/>
        </w:rPr>
        <w:t>3</w:t>
      </w:r>
      <w:r w:rsidRPr="009D5DA0" w:rsidR="009D5DA0">
        <w:rPr>
          <w:i/>
        </w:rPr>
        <w:t>.</w:t>
      </w:r>
      <w:r w:rsidR="003646A3">
        <w:rPr>
          <w:i/>
        </w:rPr>
        <w:t>90 (2020 results)</w:t>
      </w:r>
      <w:r w:rsidRPr="009D5DA0" w:rsidR="009D5DA0">
        <w:rPr>
          <w:i/>
        </w:rPr>
        <w:t xml:space="preserve"> average hourly earnings for managerial and professional workers as reported in the BLS Current Population Survey, and assuming a 40 hour work week.</w:t>
      </w:r>
      <w:r w:rsidR="009D5DA0">
        <w:rPr>
          <w:i/>
        </w:rPr>
        <w:t xml:space="preserve">  </w:t>
      </w:r>
      <w:r w:rsidR="000A017D">
        <w:rPr>
          <w:i/>
        </w:rPr>
        <w:t>See</w:t>
      </w:r>
      <w:r w:rsidR="009D5DA0">
        <w:rPr>
          <w:i/>
        </w:rPr>
        <w:t xml:space="preserve">: </w:t>
      </w:r>
      <w:hyperlink w:history="1" r:id="rId13">
        <w:r w:rsidRPr="00B06B9B" w:rsidR="000A017D">
          <w:rPr>
            <w:rStyle w:val="Hyperlink"/>
            <w:i/>
          </w:rPr>
          <w:t>https://www.bls.gov/cps/cpsaat39.htm</w:t>
        </w:r>
      </w:hyperlink>
    </w:p>
    <w:p w:rsidRPr="00CE3C52" w:rsidR="00444095" w:rsidP="00444095" w:rsidRDefault="00444095" w14:paraId="1B663F1A" w14:textId="77777777">
      <w:pPr>
        <w:autoSpaceDE w:val="0"/>
        <w:autoSpaceDN w:val="0"/>
        <w:adjustRightInd w:val="0"/>
      </w:pPr>
    </w:p>
    <w:p w:rsidRPr="008F4D44" w:rsidR="00444095" w:rsidP="00444095" w:rsidRDefault="00444095" w14:paraId="3C8F8DD4" w14:textId="77777777">
      <w:pPr>
        <w:tabs>
          <w:tab w:val="right" w:pos="360"/>
        </w:tabs>
        <w:autoSpaceDE w:val="0"/>
        <w:autoSpaceDN w:val="0"/>
        <w:adjustRightInd w:val="0"/>
        <w:ind w:left="720" w:hanging="720"/>
        <w:rPr>
          <w:i/>
        </w:rPr>
      </w:pPr>
      <w:r w:rsidRPr="008F4D44">
        <w:rPr>
          <w:i/>
        </w:rPr>
        <w:lastRenderedPageBreak/>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FB2DB3" w:rsidP="00444095" w:rsidRDefault="00FB2DB3" w14:paraId="6A40DF7F" w14:textId="77777777">
      <w:pPr>
        <w:pStyle w:val="NormalWeb"/>
        <w:spacing w:after="0" w:afterAutospacing="0"/>
        <w:ind w:left="720"/>
        <w:rPr>
          <w:rFonts w:cs="Arial"/>
          <w:color w:val="000000"/>
        </w:rPr>
      </w:pPr>
      <w:r>
        <w:rPr>
          <w:rFonts w:cs="Arial"/>
          <w:color w:val="000000"/>
        </w:rPr>
        <w:t>There are no capital or start-up costs involved in this collection.  There is no maintenance or services required for this collection.</w:t>
      </w:r>
    </w:p>
    <w:p w:rsidRPr="00CE3C52" w:rsidR="00444095" w:rsidP="00444095" w:rsidRDefault="00444095" w14:paraId="55CAF10A" w14:textId="77777777">
      <w:pPr>
        <w:autoSpaceDE w:val="0"/>
        <w:autoSpaceDN w:val="0"/>
        <w:adjustRightInd w:val="0"/>
      </w:pPr>
    </w:p>
    <w:p w:rsidRPr="008F4D44" w:rsidR="00444095" w:rsidP="00444095" w:rsidRDefault="00444095" w14:paraId="658DE7AB" w14:textId="77777777">
      <w:pPr>
        <w:tabs>
          <w:tab w:val="right" w:pos="360"/>
        </w:tabs>
        <w:autoSpaceDE w:val="0"/>
        <w:autoSpaceDN w:val="0"/>
        <w:adjustRightInd w:val="0"/>
        <w:ind w:left="720" w:hanging="720"/>
        <w:rPr>
          <w:i/>
        </w:rPr>
      </w:pPr>
      <w:r w:rsidRPr="008F4D44">
        <w:rPr>
          <w:i/>
        </w:rPr>
        <w:tab/>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45E5B" w:rsidP="00444095" w:rsidRDefault="00DC2B5C" w14:paraId="0FFD7F90" w14:textId="77777777">
      <w:pPr>
        <w:pStyle w:val="NormalWeb"/>
        <w:spacing w:after="0" w:afterAutospacing="0"/>
        <w:ind w:left="720"/>
        <w:rPr>
          <w:rFonts w:cs="Arial"/>
          <w:color w:val="000000"/>
        </w:rPr>
      </w:pPr>
      <w:r>
        <w:rPr>
          <w:rFonts w:cs="Arial"/>
          <w:color w:val="000000"/>
        </w:rPr>
        <w:t>This collection will be disseminated by transmitting the spreadsheet to known SWA program contacts f</w:t>
      </w:r>
      <w:r w:rsidR="00245E5B">
        <w:rPr>
          <w:rFonts w:cs="Arial"/>
          <w:color w:val="000000"/>
        </w:rPr>
        <w:t>or it to be returned, once complete, electronically</w:t>
      </w:r>
      <w:r>
        <w:rPr>
          <w:rFonts w:cs="Arial"/>
          <w:color w:val="000000"/>
        </w:rPr>
        <w:t xml:space="preserve">.  The dissemination, review, and analysis specific to this collection is expected to require </w:t>
      </w:r>
      <w:r w:rsidR="005869BC">
        <w:rPr>
          <w:rFonts w:cs="Arial"/>
          <w:color w:val="000000"/>
        </w:rPr>
        <w:t xml:space="preserve">less than </w:t>
      </w:r>
      <w:r w:rsidR="00F562B0">
        <w:rPr>
          <w:rFonts w:cs="Arial"/>
          <w:color w:val="000000"/>
        </w:rPr>
        <w:t>eight</w:t>
      </w:r>
      <w:r>
        <w:rPr>
          <w:rFonts w:cs="Arial"/>
          <w:color w:val="000000"/>
        </w:rPr>
        <w:t xml:space="preserve"> (</w:t>
      </w:r>
      <w:r w:rsidR="00F562B0">
        <w:rPr>
          <w:rFonts w:cs="Arial"/>
          <w:color w:val="000000"/>
        </w:rPr>
        <w:t>8</w:t>
      </w:r>
      <w:r>
        <w:rPr>
          <w:rFonts w:cs="Arial"/>
          <w:color w:val="000000"/>
        </w:rPr>
        <w:t>) h</w:t>
      </w:r>
      <w:r w:rsidR="005869BC">
        <w:rPr>
          <w:rFonts w:cs="Arial"/>
          <w:color w:val="000000"/>
        </w:rPr>
        <w:t>ours of time from program staff</w:t>
      </w:r>
      <w:r>
        <w:rPr>
          <w:rFonts w:cs="Arial"/>
          <w:color w:val="000000"/>
        </w:rPr>
        <w:t xml:space="preserve">.  </w:t>
      </w:r>
      <w:r w:rsidR="0088680D">
        <w:rPr>
          <w:rFonts w:cs="Arial"/>
          <w:color w:val="000000"/>
        </w:rPr>
        <w:t xml:space="preserve">This was estimated based on approximately five (5) minutes for staff to review each individual collection for completeness and accuracy (260 total minutes) plus thirty (30) minutes to construct a dataset from individual sheets plus </w:t>
      </w:r>
      <w:r w:rsidR="003646A3">
        <w:rPr>
          <w:rFonts w:cs="Arial"/>
          <w:color w:val="000000"/>
        </w:rPr>
        <w:t>one</w:t>
      </w:r>
      <w:r w:rsidR="00245E5B">
        <w:rPr>
          <w:rFonts w:cs="Arial"/>
          <w:color w:val="000000"/>
        </w:rPr>
        <w:t xml:space="preserve"> (</w:t>
      </w:r>
      <w:r w:rsidR="003646A3">
        <w:rPr>
          <w:rFonts w:cs="Arial"/>
          <w:color w:val="000000"/>
        </w:rPr>
        <w:t>1</w:t>
      </w:r>
      <w:r w:rsidR="00245E5B">
        <w:rPr>
          <w:rFonts w:cs="Arial"/>
          <w:color w:val="000000"/>
        </w:rPr>
        <w:t xml:space="preserve">) hour to identify outliers and inconsistencies in the dataset.  The Department anticipates a total of </w:t>
      </w:r>
      <w:r w:rsidR="003646A3">
        <w:rPr>
          <w:rFonts w:cs="Arial"/>
          <w:color w:val="000000"/>
        </w:rPr>
        <w:t>thirty</w:t>
      </w:r>
      <w:r w:rsidR="00245E5B">
        <w:rPr>
          <w:rFonts w:cs="Arial"/>
          <w:color w:val="000000"/>
        </w:rPr>
        <w:t xml:space="preserve"> (</w:t>
      </w:r>
      <w:r w:rsidR="003646A3">
        <w:rPr>
          <w:rFonts w:cs="Arial"/>
          <w:color w:val="000000"/>
        </w:rPr>
        <w:t>3</w:t>
      </w:r>
      <w:r w:rsidR="00245E5B">
        <w:rPr>
          <w:rFonts w:cs="Arial"/>
          <w:color w:val="000000"/>
        </w:rPr>
        <w:t xml:space="preserve">0) minutes spent correcting identified data issues for a total federal burden of </w:t>
      </w:r>
      <w:r w:rsidR="003646A3">
        <w:rPr>
          <w:rFonts w:cs="Arial"/>
          <w:color w:val="000000"/>
        </w:rPr>
        <w:t>380</w:t>
      </w:r>
      <w:r w:rsidR="00245E5B">
        <w:rPr>
          <w:rFonts w:cs="Arial"/>
          <w:color w:val="000000"/>
        </w:rPr>
        <w:t xml:space="preserve"> minutes (</w:t>
      </w:r>
      <w:r w:rsidR="003646A3">
        <w:rPr>
          <w:rFonts w:cs="Arial"/>
          <w:color w:val="000000"/>
        </w:rPr>
        <w:t>6</w:t>
      </w:r>
      <w:r w:rsidR="00245E5B">
        <w:rPr>
          <w:rFonts w:cs="Arial"/>
          <w:color w:val="000000"/>
        </w:rPr>
        <w:t xml:space="preserve"> hours and 20 minutes).</w:t>
      </w:r>
      <w:r w:rsidR="003646A3">
        <w:rPr>
          <w:rFonts w:cs="Arial"/>
          <w:color w:val="000000"/>
        </w:rPr>
        <w:t xml:space="preserve">  This is a reduction of two hours from the prior estimate based on time spent during the previous collection and compensating for both the expansion of the collection and changes made to increase consistency and speed review of responses.</w:t>
      </w:r>
    </w:p>
    <w:p w:rsidR="008973E4" w:rsidP="00444095" w:rsidRDefault="008973E4" w14:paraId="0B137522" w14:textId="77777777">
      <w:pPr>
        <w:pStyle w:val="NormalWeb"/>
        <w:spacing w:after="0" w:afterAutospacing="0"/>
        <w:ind w:left="720"/>
        <w:rPr>
          <w:rFonts w:cs="Arial"/>
          <w:color w:val="000000"/>
        </w:rPr>
      </w:pPr>
      <w:r>
        <w:rPr>
          <w:rFonts w:cs="Arial"/>
          <w:color w:val="000000"/>
        </w:rPr>
        <w:t>T</w:t>
      </w:r>
      <w:r w:rsidR="00B5306D">
        <w:rPr>
          <w:rFonts w:cs="Arial"/>
          <w:color w:val="000000"/>
        </w:rPr>
        <w:t xml:space="preserve">he identification areas of technical assistance and best practice states </w:t>
      </w:r>
      <w:r>
        <w:rPr>
          <w:rFonts w:cs="Arial"/>
          <w:color w:val="000000"/>
        </w:rPr>
        <w:t>has already led</w:t>
      </w:r>
      <w:r w:rsidR="00B5306D">
        <w:rPr>
          <w:rFonts w:cs="Arial"/>
          <w:color w:val="000000"/>
        </w:rPr>
        <w:t xml:space="preserve"> to a reduction in staff time of approximately twenty (20) hours annually.  The Department estimates a further reduction of ten (10) hours with the revised collection, largely by utilizing the SWA strengths assessment to speed the process of identifying states with promising practices and states needing technical </w:t>
      </w:r>
      <w:r>
        <w:rPr>
          <w:rFonts w:cs="Arial"/>
          <w:color w:val="000000"/>
        </w:rPr>
        <w:t xml:space="preserve">assistance.  Finally, the </w:t>
      </w:r>
      <w:r w:rsidR="004530C8">
        <w:rPr>
          <w:rFonts w:cs="Arial"/>
          <w:color w:val="000000"/>
        </w:rPr>
        <w:t>use</w:t>
      </w:r>
      <w:r>
        <w:rPr>
          <w:rFonts w:cs="Arial"/>
          <w:color w:val="000000"/>
        </w:rPr>
        <w:t xml:space="preserve"> of baseline data for monitoring has reduced regional staff time by </w:t>
      </w:r>
      <w:r w:rsidR="004530C8">
        <w:rPr>
          <w:rFonts w:cs="Arial"/>
          <w:color w:val="000000"/>
        </w:rPr>
        <w:t>five (5) hours, which is expected to expand to twenty (20) as the data is further leveraged.</w:t>
      </w:r>
    </w:p>
    <w:p w:rsidR="00FB2DB3" w:rsidP="00444095" w:rsidRDefault="00245E5B" w14:paraId="04814736" w14:textId="77777777">
      <w:pPr>
        <w:pStyle w:val="NormalWeb"/>
        <w:spacing w:after="0" w:afterAutospacing="0"/>
        <w:ind w:left="720"/>
        <w:rPr>
          <w:rFonts w:cs="Arial"/>
          <w:color w:val="000000"/>
        </w:rPr>
      </w:pPr>
      <w:r>
        <w:rPr>
          <w:rFonts w:cs="Arial"/>
          <w:color w:val="000000"/>
        </w:rPr>
        <w:t xml:space="preserve">The Department conservatively estimates a total annualized cost to the Federal Government of </w:t>
      </w:r>
      <w:r w:rsidR="00FB2DB3">
        <w:rPr>
          <w:rFonts w:cs="Arial"/>
          <w:color w:val="000000"/>
        </w:rPr>
        <w:t>$0</w:t>
      </w:r>
      <w:r w:rsidR="00F562B0">
        <w:rPr>
          <w:rFonts w:cs="Arial"/>
          <w:color w:val="000000"/>
        </w:rPr>
        <w:t xml:space="preserve"> or a net reduction in work.</w:t>
      </w:r>
    </w:p>
    <w:p w:rsidR="00C11D12" w:rsidP="00A23B46" w:rsidRDefault="00C11D12" w14:paraId="6E959C62" w14:textId="77777777">
      <w:pPr>
        <w:pStyle w:val="NormalWeb"/>
        <w:spacing w:before="0" w:beforeAutospacing="0" w:after="0" w:afterAutospacing="0"/>
        <w:ind w:left="720"/>
        <w:rPr>
          <w:rFonts w:cs="Arial"/>
          <w:color w:val="000000"/>
        </w:rPr>
      </w:pPr>
    </w:p>
    <w:p w:rsidRPr="00CE3C52" w:rsidR="00444095" w:rsidP="00444095" w:rsidRDefault="00444095" w14:paraId="7C9D5D86" w14:textId="77777777">
      <w:pPr>
        <w:autoSpaceDE w:val="0"/>
        <w:autoSpaceDN w:val="0"/>
        <w:adjustRightInd w:val="0"/>
      </w:pPr>
    </w:p>
    <w:p w:rsidRPr="008F4D44" w:rsidR="00444095" w:rsidP="00444095" w:rsidRDefault="00444095" w14:paraId="3C19DCAF" w14:textId="77777777">
      <w:pPr>
        <w:tabs>
          <w:tab w:val="right" w:pos="360"/>
        </w:tabs>
        <w:autoSpaceDE w:val="0"/>
        <w:autoSpaceDN w:val="0"/>
        <w:adjustRightInd w:val="0"/>
        <w:ind w:left="720" w:hanging="720"/>
        <w:rPr>
          <w:i/>
        </w:rPr>
      </w:pPr>
      <w:r w:rsidRPr="008F4D44">
        <w:rPr>
          <w:i/>
        </w:rPr>
        <w:tab/>
        <w:t>15.</w:t>
      </w:r>
      <w:r w:rsidRPr="008F4D44">
        <w:rPr>
          <w:i/>
        </w:rPr>
        <w:tab/>
        <w:t>Explain the reasons for any program changes or adjustments reported on the burden worksheet.</w:t>
      </w:r>
    </w:p>
    <w:p w:rsidR="00FB2DB3" w:rsidP="00F562B0" w:rsidRDefault="00F562B0" w14:paraId="4733FAEB" w14:textId="77777777">
      <w:pPr>
        <w:pStyle w:val="NormalWeb"/>
        <w:spacing w:after="0" w:afterAutospacing="0"/>
        <w:ind w:left="720"/>
      </w:pPr>
      <w:r>
        <w:t>The burden on respondents is expected to increase by sixty (60) minutes.  This is the result of a one hundred twenty (120) minute increase in collection time for the newly added worker list information as well as a sixty (60) minute decrease to address clarification improvements and a previous over-estimate.  Further details provided in #12.</w:t>
      </w:r>
    </w:p>
    <w:p w:rsidRPr="00CE3C52" w:rsidR="00705AD3" w:rsidP="00705AD3" w:rsidRDefault="00705AD3" w14:paraId="302DDEF1" w14:textId="77777777">
      <w:pPr>
        <w:autoSpaceDE w:val="0"/>
        <w:autoSpaceDN w:val="0"/>
        <w:adjustRightInd w:val="0"/>
      </w:pPr>
    </w:p>
    <w:p w:rsidRPr="00030FA0" w:rsidR="00705AD3" w:rsidP="00705AD3" w:rsidRDefault="00705AD3" w14:paraId="6ACE87A9" w14:textId="77777777">
      <w:pPr>
        <w:tabs>
          <w:tab w:val="right" w:pos="360"/>
        </w:tabs>
        <w:autoSpaceDE w:val="0"/>
        <w:autoSpaceDN w:val="0"/>
        <w:adjustRightInd w:val="0"/>
        <w:ind w:left="720" w:hanging="720"/>
        <w:rPr>
          <w:i/>
        </w:rPr>
      </w:pPr>
      <w:r>
        <w:rPr>
          <w:i/>
        </w:rPr>
        <w:lastRenderedPageBreak/>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FB2DB3" w:rsidP="00FB2DB3" w:rsidRDefault="00FB2DB3" w14:paraId="10373C82" w14:textId="77777777">
      <w:pPr>
        <w:tabs>
          <w:tab w:val="left" w:pos="-1440"/>
        </w:tabs>
      </w:pPr>
    </w:p>
    <w:p w:rsidR="00FB2DB3" w:rsidP="00705AD3" w:rsidRDefault="00FB2DB3" w14:paraId="32190019" w14:textId="77777777">
      <w:pPr>
        <w:ind w:firstLine="720"/>
        <w:rPr>
          <w:rFonts w:cs="Courier New"/>
        </w:rPr>
      </w:pPr>
      <w:r>
        <w:rPr>
          <w:rFonts w:cs="Courier New"/>
        </w:rPr>
        <w:t>There are no plans to publish the data for this collection of information.</w:t>
      </w:r>
    </w:p>
    <w:p w:rsidRPr="00CE3C52" w:rsidR="00705AD3" w:rsidP="00705AD3" w:rsidRDefault="00705AD3" w14:paraId="042593C1" w14:textId="77777777">
      <w:pPr>
        <w:autoSpaceDE w:val="0"/>
        <w:autoSpaceDN w:val="0"/>
        <w:adjustRightInd w:val="0"/>
      </w:pPr>
    </w:p>
    <w:p w:rsidRPr="00030FA0" w:rsidR="00705AD3" w:rsidP="00705AD3" w:rsidRDefault="00705AD3" w14:paraId="30A21055" w14:textId="77777777">
      <w:pPr>
        <w:tabs>
          <w:tab w:val="right" w:pos="360"/>
        </w:tabs>
        <w:autoSpaceDE w:val="0"/>
        <w:autoSpaceDN w:val="0"/>
        <w:adjustRightInd w:val="0"/>
        <w:ind w:left="720" w:hanging="720"/>
        <w:rPr>
          <w:i/>
        </w:rPr>
      </w:pPr>
      <w:r w:rsidRPr="00030FA0">
        <w:rPr>
          <w:i/>
        </w:rPr>
        <w:tab/>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FB2DB3" w:rsidP="00FB2DB3" w:rsidRDefault="00FB2DB3" w14:paraId="54594FB7" w14:textId="77777777"/>
    <w:p w:rsidR="00FB2DB3" w:rsidP="00705AD3" w:rsidRDefault="00FB2DB3" w14:paraId="0153FA39" w14:textId="77777777">
      <w:pPr>
        <w:ind w:left="720"/>
        <w:rPr>
          <w:rFonts w:cs="Courier New"/>
        </w:rPr>
      </w:pPr>
      <w:r>
        <w:rPr>
          <w:rFonts w:cs="Courier New"/>
        </w:rPr>
        <w:t>The expiration date for OMB approval of the information collection will be displayed on the report form.</w:t>
      </w:r>
    </w:p>
    <w:p w:rsidRPr="00CE3C52" w:rsidR="00705AD3" w:rsidP="00705AD3" w:rsidRDefault="00705AD3" w14:paraId="0DB30EEA" w14:textId="77777777">
      <w:pPr>
        <w:autoSpaceDE w:val="0"/>
        <w:autoSpaceDN w:val="0"/>
        <w:adjustRightInd w:val="0"/>
      </w:pPr>
    </w:p>
    <w:p w:rsidR="00705AD3" w:rsidP="00705AD3" w:rsidRDefault="00705AD3" w14:paraId="294FCEF3" w14:textId="77777777">
      <w:pPr>
        <w:tabs>
          <w:tab w:val="right" w:pos="360"/>
        </w:tabs>
        <w:ind w:left="720" w:hanging="720"/>
        <w:rPr>
          <w:i/>
        </w:rPr>
      </w:pPr>
      <w:r w:rsidRPr="00030FA0">
        <w:rPr>
          <w:i/>
        </w:rPr>
        <w:tab/>
        <w:t>18.</w:t>
      </w:r>
      <w:r w:rsidRPr="00030FA0">
        <w:rPr>
          <w:i/>
        </w:rPr>
        <w:tab/>
        <w:t>Explain each exception to the topics of the certification statement identified in “Certification for Pape</w:t>
      </w:r>
      <w:r>
        <w:rPr>
          <w:i/>
        </w:rPr>
        <w:t>rwork Reduction Act Submissions.</w:t>
      </w:r>
      <w:r w:rsidRPr="00030FA0">
        <w:rPr>
          <w:i/>
        </w:rPr>
        <w:t>”</w:t>
      </w:r>
    </w:p>
    <w:p w:rsidR="00FB2DB3" w:rsidP="00FB2DB3" w:rsidRDefault="00FB2DB3" w14:paraId="75C2F822" w14:textId="77777777"/>
    <w:p w:rsidR="00FB2DB3" w:rsidP="00705AD3" w:rsidRDefault="00FB2DB3" w14:paraId="53B62D38" w14:textId="77777777">
      <w:pPr>
        <w:ind w:firstLine="720"/>
      </w:pPr>
      <w:r>
        <w:t>There are no exceptions to the certification statement.</w:t>
      </w:r>
    </w:p>
    <w:p w:rsidR="004204FF" w:rsidP="003F4C38" w:rsidRDefault="004204FF" w14:paraId="0EF19F21" w14:textId="77777777">
      <w:pPr>
        <w:tabs>
          <w:tab w:val="right" w:pos="360"/>
        </w:tabs>
        <w:ind w:left="540" w:hanging="540"/>
        <w:rPr>
          <w:i/>
        </w:rPr>
      </w:pPr>
    </w:p>
    <w:p w:rsidR="00BE03CA" w:rsidP="006E035B" w:rsidRDefault="006E035B" w14:paraId="66726A09" w14:textId="77777777">
      <w:pPr>
        <w:tabs>
          <w:tab w:val="left" w:pos="540"/>
        </w:tabs>
        <w:autoSpaceDE w:val="0"/>
        <w:autoSpaceDN w:val="0"/>
        <w:adjustRightInd w:val="0"/>
      </w:pPr>
      <w:r>
        <w:t xml:space="preserve"> </w:t>
      </w:r>
    </w:p>
    <w:p w:rsidRPr="00BE03CA" w:rsidR="00BE03CA" w:rsidP="00FB2DB3" w:rsidRDefault="00BE03CA" w14:paraId="4E5ACC30" w14:textId="77777777">
      <w:pPr>
        <w:rPr>
          <w:b/>
        </w:rPr>
      </w:pPr>
      <w:bookmarkStart w:name="_GoBack" w:id="0"/>
      <w:bookmarkEnd w:id="0"/>
    </w:p>
    <w:sectPr w:rsidRPr="00BE03CA" w:rsidR="00BE03CA" w:rsidSect="008D1C4A">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416D" w14:textId="77777777" w:rsidR="003B7191" w:rsidRDefault="003B7191" w:rsidP="00910252">
      <w:r>
        <w:separator/>
      </w:r>
    </w:p>
  </w:endnote>
  <w:endnote w:type="continuationSeparator" w:id="0">
    <w:p w14:paraId="22AE3E4F" w14:textId="77777777" w:rsidR="003B7191" w:rsidRDefault="003B7191"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B07F" w14:textId="27871AFF" w:rsidR="00910252" w:rsidRDefault="00910252">
    <w:pPr>
      <w:pStyle w:val="Footer"/>
      <w:jc w:val="center"/>
    </w:pPr>
    <w:r>
      <w:fldChar w:fldCharType="begin"/>
    </w:r>
    <w:r>
      <w:instrText xml:space="preserve"> PAGE   \* MERGEFORMAT </w:instrText>
    </w:r>
    <w:r>
      <w:fldChar w:fldCharType="separate"/>
    </w:r>
    <w:r w:rsidR="006E395D">
      <w:rPr>
        <w:noProof/>
      </w:rPr>
      <w:t>8</w:t>
    </w:r>
    <w:r>
      <w:rPr>
        <w:noProof/>
      </w:rPr>
      <w:fldChar w:fldCharType="end"/>
    </w:r>
  </w:p>
  <w:p w14:paraId="59E6C696"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D243" w14:textId="77777777" w:rsidR="003B7191" w:rsidRDefault="003B7191" w:rsidP="00910252">
      <w:r>
        <w:separator/>
      </w:r>
    </w:p>
  </w:footnote>
  <w:footnote w:type="continuationSeparator" w:id="0">
    <w:p w14:paraId="55D5CBAE" w14:textId="77777777" w:rsidR="003B7191" w:rsidRDefault="003B7191"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BF66" w14:textId="77777777" w:rsidR="00D45FEA" w:rsidRPr="00D45FEA" w:rsidRDefault="00005422" w:rsidP="00D45FEA">
    <w:pPr>
      <w:pStyle w:val="Header"/>
      <w:tabs>
        <w:tab w:val="clear" w:pos="4680"/>
      </w:tabs>
      <w:jc w:val="both"/>
      <w:rPr>
        <w:sz w:val="20"/>
        <w:szCs w:val="20"/>
      </w:rPr>
    </w:pPr>
    <w:r>
      <w:rPr>
        <w:sz w:val="20"/>
        <w:szCs w:val="20"/>
      </w:rPr>
      <w:t xml:space="preserve">Form ETA-9189, </w:t>
    </w:r>
    <w:r w:rsidR="00492C77">
      <w:rPr>
        <w:sz w:val="20"/>
        <w:szCs w:val="20"/>
      </w:rPr>
      <w:t xml:space="preserve">TAA </w:t>
    </w:r>
    <w:r w:rsidR="008A06B5">
      <w:rPr>
        <w:sz w:val="20"/>
        <w:szCs w:val="20"/>
      </w:rPr>
      <w:t>Administrative Collection of States</w:t>
    </w:r>
  </w:p>
  <w:p w14:paraId="40A46D51" w14:textId="77777777" w:rsidR="00D45FEA" w:rsidRPr="00D45FEA" w:rsidRDefault="00492C77" w:rsidP="00D45FEA">
    <w:pPr>
      <w:pStyle w:val="Header"/>
      <w:tabs>
        <w:tab w:val="clear" w:pos="4680"/>
      </w:tabs>
      <w:jc w:val="both"/>
      <w:rPr>
        <w:sz w:val="20"/>
        <w:szCs w:val="20"/>
      </w:rPr>
    </w:pPr>
    <w:r w:rsidRPr="00492C77">
      <w:rPr>
        <w:sz w:val="20"/>
        <w:szCs w:val="20"/>
      </w:rPr>
      <w:t xml:space="preserve">OMB </w:t>
    </w:r>
    <w:r w:rsidR="00EB1E8D">
      <w:rPr>
        <w:sz w:val="20"/>
        <w:szCs w:val="20"/>
      </w:rPr>
      <w:t xml:space="preserve">Control </w:t>
    </w:r>
    <w:r w:rsidRPr="00492C77">
      <w:rPr>
        <w:sz w:val="20"/>
        <w:szCs w:val="20"/>
      </w:rPr>
      <w:t xml:space="preserve">No. </w:t>
    </w:r>
    <w:r w:rsidR="007B1541">
      <w:rPr>
        <w:sz w:val="20"/>
        <w:szCs w:val="20"/>
      </w:rPr>
      <w:t>1205</w:t>
    </w:r>
    <w:r w:rsidRPr="00492C77">
      <w:rPr>
        <w:sz w:val="20"/>
        <w:szCs w:val="20"/>
      </w:rPr>
      <w:t>-</w:t>
    </w:r>
    <w:r w:rsidR="00A423F8">
      <w:rPr>
        <w:sz w:val="20"/>
        <w:szCs w:val="20"/>
      </w:rPr>
      <w:t>0540</w:t>
    </w:r>
  </w:p>
  <w:p w14:paraId="7F029E47" w14:textId="4B7D7768" w:rsidR="00D45FEA" w:rsidRDefault="00EE62D9" w:rsidP="00D45FEA">
    <w:pPr>
      <w:pStyle w:val="Header"/>
      <w:tabs>
        <w:tab w:val="clear" w:pos="4680"/>
      </w:tabs>
      <w:jc w:val="both"/>
      <w:rPr>
        <w:sz w:val="20"/>
        <w:szCs w:val="20"/>
      </w:rPr>
    </w:pPr>
    <w:r>
      <w:rPr>
        <w:sz w:val="20"/>
        <w:szCs w:val="20"/>
      </w:rPr>
      <w:t>Expiration Date: 12/31/2022</w:t>
    </w:r>
  </w:p>
  <w:p w14:paraId="227F128A" w14:textId="77777777"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558E8D4"/>
    <w:lvl w:ilvl="0">
      <w:start w:val="1"/>
      <w:numFmt w:val="decimal"/>
      <w:pStyle w:val="Level1"/>
      <w:lvlText w:val="%1."/>
      <w:lvlJc w:val="left"/>
      <w:pPr>
        <w:tabs>
          <w:tab w:val="num" w:pos="720"/>
        </w:tabs>
        <w:ind w:left="720" w:hanging="720"/>
      </w:pPr>
      <w:rPr>
        <w:rFonts w:ascii="Courier New" w:hAnsi="Courier New" w:cs="Courier New"/>
        <w:sz w:val="24"/>
        <w:szCs w:val="24"/>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C943854"/>
    <w:multiLevelType w:val="hybridMultilevel"/>
    <w:tmpl w:val="3DB4A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A30F41"/>
    <w:multiLevelType w:val="hybridMultilevel"/>
    <w:tmpl w:val="39F2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E09BA"/>
    <w:multiLevelType w:val="hybridMultilevel"/>
    <w:tmpl w:val="211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decimal"/>
        <w:pStyle w:val="Level1"/>
        <w:lvlText w:val="%1."/>
        <w:lvlJc w:val="left"/>
        <w:pPr>
          <w:tabs>
            <w:tab w:val="num" w:pos="360"/>
          </w:tabs>
          <w:ind w:left="0" w:firstLine="0"/>
        </w:pPr>
        <w:rPr>
          <w:rFonts w:ascii="Courier New" w:hAnsi="Courier New" w:cs="Times New Roman"/>
          <w:sz w:val="24"/>
          <w:szCs w:val="24"/>
        </w:rPr>
      </w:lvl>
    </w:lvlOverride>
    <w:lvlOverride w:ilvl="1">
      <w:lvl w:ilvl="1">
        <w:start w:val="1"/>
        <w:numFmt w:val="decimal"/>
        <w:lvlText w:val="%2"/>
        <w:lvlJc w:val="left"/>
        <w:pPr>
          <w:tabs>
            <w:tab w:val="num" w:pos="0"/>
          </w:tabs>
          <w:ind w:left="0" w:firstLine="0"/>
        </w:pPr>
        <w:rPr>
          <w:rFonts w:cs="Times New Roman"/>
        </w:rPr>
      </w:lvl>
    </w:lvlOverride>
    <w:lvlOverride w:ilvl="2">
      <w:lvl w:ilvl="2">
        <w:start w:val="1"/>
        <w:numFmt w:val="decimal"/>
        <w:lvlText w:val="%3"/>
        <w:lvlJc w:val="left"/>
        <w:pPr>
          <w:tabs>
            <w:tab w:val="num" w:pos="0"/>
          </w:tabs>
          <w:ind w:left="0" w:firstLine="0"/>
        </w:pPr>
        <w:rPr>
          <w:rFonts w:cs="Times New Roman"/>
        </w:rPr>
      </w:lvl>
    </w:lvlOverride>
    <w:lvlOverride w:ilvl="3">
      <w:lvl w:ilvl="3">
        <w:start w:val="1"/>
        <w:numFmt w:val="decimal"/>
        <w:lvlText w:val="%4"/>
        <w:lvlJc w:val="left"/>
        <w:pPr>
          <w:tabs>
            <w:tab w:val="num" w:pos="0"/>
          </w:tabs>
          <w:ind w:left="0" w:firstLine="0"/>
        </w:pPr>
        <w:rPr>
          <w:rFonts w:cs="Times New Roman"/>
        </w:rPr>
      </w:lvl>
    </w:lvlOverride>
    <w:lvlOverride w:ilvl="4">
      <w:lvl w:ilvl="4">
        <w:start w:val="1"/>
        <w:numFmt w:val="decimal"/>
        <w:lvlText w:val="%5"/>
        <w:lvlJc w:val="left"/>
        <w:pPr>
          <w:tabs>
            <w:tab w:val="num" w:pos="0"/>
          </w:tabs>
          <w:ind w:left="0" w:firstLine="0"/>
        </w:pPr>
        <w:rPr>
          <w:rFonts w:cs="Times New Roman"/>
        </w:rPr>
      </w:lvl>
    </w:lvlOverride>
    <w:lvlOverride w:ilvl="5">
      <w:lvl w:ilvl="5">
        <w:start w:val="1"/>
        <w:numFmt w:val="decimal"/>
        <w:lvlText w:val="%6"/>
        <w:lvlJc w:val="left"/>
        <w:pPr>
          <w:tabs>
            <w:tab w:val="num" w:pos="0"/>
          </w:tabs>
          <w:ind w:left="0" w:firstLine="0"/>
        </w:pPr>
        <w:rPr>
          <w:rFonts w:cs="Times New Roman"/>
        </w:rPr>
      </w:lvl>
    </w:lvlOverride>
    <w:lvlOverride w:ilvl="6">
      <w:lvl w:ilvl="6">
        <w:start w:val="1"/>
        <w:numFmt w:val="decimal"/>
        <w:lvlText w:val="%7"/>
        <w:lvlJc w:val="left"/>
        <w:pPr>
          <w:tabs>
            <w:tab w:val="num" w:pos="0"/>
          </w:tabs>
          <w:ind w:left="0" w:firstLine="0"/>
        </w:pPr>
        <w:rPr>
          <w:rFonts w:cs="Times New Roman"/>
        </w:rPr>
      </w:lvl>
    </w:lvlOverride>
    <w:lvlOverride w:ilvl="7">
      <w:lvl w:ilvl="7">
        <w:start w:val="1"/>
        <w:numFmt w:val="decimal"/>
        <w:lvlText w:val="%8"/>
        <w:lvlJc w:val="left"/>
        <w:pPr>
          <w:tabs>
            <w:tab w:val="num" w:pos="0"/>
          </w:tabs>
          <w:ind w:left="0" w:firstLine="0"/>
        </w:pPr>
        <w:rPr>
          <w:rFonts w:cs="Times New Roman"/>
        </w:rPr>
      </w:lvl>
    </w:lvlOverride>
    <w:lvlOverride w:ilvl="8">
      <w:lvl w:ilvl="8">
        <w:numFmt w:val="decimal"/>
        <w:lvlText w:val=""/>
        <w:lvlJc w:val="left"/>
        <w:pPr>
          <w:tabs>
            <w:tab w:val="num" w:pos="0"/>
          </w:tabs>
          <w:ind w:left="0" w:firstLine="0"/>
        </w:pPr>
        <w:rPr>
          <w:rFonts w:cs="Times New Roman"/>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17EF"/>
    <w:rsid w:val="00005422"/>
    <w:rsid w:val="00010DB1"/>
    <w:rsid w:val="000307B6"/>
    <w:rsid w:val="00030FA0"/>
    <w:rsid w:val="00032286"/>
    <w:rsid w:val="00075317"/>
    <w:rsid w:val="000A017D"/>
    <w:rsid w:val="000C5B92"/>
    <w:rsid w:val="000D6AC8"/>
    <w:rsid w:val="000E3DBE"/>
    <w:rsid w:val="000E5A70"/>
    <w:rsid w:val="001056E8"/>
    <w:rsid w:val="00106698"/>
    <w:rsid w:val="00115ABE"/>
    <w:rsid w:val="00134479"/>
    <w:rsid w:val="001410FF"/>
    <w:rsid w:val="001622F3"/>
    <w:rsid w:val="00184A38"/>
    <w:rsid w:val="00184FE6"/>
    <w:rsid w:val="001A2DDC"/>
    <w:rsid w:val="001A410E"/>
    <w:rsid w:val="001A7B43"/>
    <w:rsid w:val="001B1C70"/>
    <w:rsid w:val="001B5B96"/>
    <w:rsid w:val="001C050B"/>
    <w:rsid w:val="001C1278"/>
    <w:rsid w:val="001C795C"/>
    <w:rsid w:val="001C7F55"/>
    <w:rsid w:val="001D72D3"/>
    <w:rsid w:val="001E0853"/>
    <w:rsid w:val="001E721D"/>
    <w:rsid w:val="00216406"/>
    <w:rsid w:val="002221A7"/>
    <w:rsid w:val="00224AB6"/>
    <w:rsid w:val="002309BA"/>
    <w:rsid w:val="002455D2"/>
    <w:rsid w:val="00245E5B"/>
    <w:rsid w:val="0024619A"/>
    <w:rsid w:val="0025274A"/>
    <w:rsid w:val="00257528"/>
    <w:rsid w:val="0029478C"/>
    <w:rsid w:val="00294C4C"/>
    <w:rsid w:val="00302B2D"/>
    <w:rsid w:val="003032F8"/>
    <w:rsid w:val="0031658B"/>
    <w:rsid w:val="00327183"/>
    <w:rsid w:val="00335C65"/>
    <w:rsid w:val="00353351"/>
    <w:rsid w:val="003646A3"/>
    <w:rsid w:val="003669DA"/>
    <w:rsid w:val="003878F8"/>
    <w:rsid w:val="003A1B04"/>
    <w:rsid w:val="003A3AB6"/>
    <w:rsid w:val="003B7191"/>
    <w:rsid w:val="003C7B32"/>
    <w:rsid w:val="003E5367"/>
    <w:rsid w:val="003F4C38"/>
    <w:rsid w:val="004016A5"/>
    <w:rsid w:val="004073C9"/>
    <w:rsid w:val="004204FF"/>
    <w:rsid w:val="00425A8D"/>
    <w:rsid w:val="0043516D"/>
    <w:rsid w:val="00436C4E"/>
    <w:rsid w:val="00444095"/>
    <w:rsid w:val="004530C8"/>
    <w:rsid w:val="00454C02"/>
    <w:rsid w:val="00461B2A"/>
    <w:rsid w:val="00465EF1"/>
    <w:rsid w:val="004728CF"/>
    <w:rsid w:val="00485707"/>
    <w:rsid w:val="00492C77"/>
    <w:rsid w:val="004A1161"/>
    <w:rsid w:val="004B451E"/>
    <w:rsid w:val="004B774D"/>
    <w:rsid w:val="004E1F4B"/>
    <w:rsid w:val="004E3C16"/>
    <w:rsid w:val="005041CD"/>
    <w:rsid w:val="0052176B"/>
    <w:rsid w:val="00544BE5"/>
    <w:rsid w:val="00563CD2"/>
    <w:rsid w:val="005749F8"/>
    <w:rsid w:val="005869BC"/>
    <w:rsid w:val="0058705E"/>
    <w:rsid w:val="005A08B6"/>
    <w:rsid w:val="005A7693"/>
    <w:rsid w:val="005D0578"/>
    <w:rsid w:val="006068CA"/>
    <w:rsid w:val="00613CEC"/>
    <w:rsid w:val="006235BB"/>
    <w:rsid w:val="00624A1D"/>
    <w:rsid w:val="006317CB"/>
    <w:rsid w:val="00642E51"/>
    <w:rsid w:val="00645A6B"/>
    <w:rsid w:val="006460D2"/>
    <w:rsid w:val="0066182C"/>
    <w:rsid w:val="006712E2"/>
    <w:rsid w:val="00685F48"/>
    <w:rsid w:val="00690F31"/>
    <w:rsid w:val="00692342"/>
    <w:rsid w:val="0069256F"/>
    <w:rsid w:val="00696E21"/>
    <w:rsid w:val="006C133A"/>
    <w:rsid w:val="006C725D"/>
    <w:rsid w:val="006D6C2A"/>
    <w:rsid w:val="006E035B"/>
    <w:rsid w:val="006E0638"/>
    <w:rsid w:val="006E395D"/>
    <w:rsid w:val="006F7B44"/>
    <w:rsid w:val="00705A81"/>
    <w:rsid w:val="00705AD3"/>
    <w:rsid w:val="00707539"/>
    <w:rsid w:val="00711758"/>
    <w:rsid w:val="007513BB"/>
    <w:rsid w:val="00771236"/>
    <w:rsid w:val="007924FA"/>
    <w:rsid w:val="007B1541"/>
    <w:rsid w:val="007E57C9"/>
    <w:rsid w:val="007F12A0"/>
    <w:rsid w:val="008103A8"/>
    <w:rsid w:val="00856506"/>
    <w:rsid w:val="00884A1C"/>
    <w:rsid w:val="0088680D"/>
    <w:rsid w:val="008973E4"/>
    <w:rsid w:val="008A06B5"/>
    <w:rsid w:val="008A07F2"/>
    <w:rsid w:val="008D1C4A"/>
    <w:rsid w:val="008D32B6"/>
    <w:rsid w:val="008D3A63"/>
    <w:rsid w:val="008F4D44"/>
    <w:rsid w:val="009029D0"/>
    <w:rsid w:val="00904938"/>
    <w:rsid w:val="00910252"/>
    <w:rsid w:val="00925DBE"/>
    <w:rsid w:val="009336E6"/>
    <w:rsid w:val="00936A91"/>
    <w:rsid w:val="009528A7"/>
    <w:rsid w:val="00953421"/>
    <w:rsid w:val="009539B2"/>
    <w:rsid w:val="009558C7"/>
    <w:rsid w:val="009603CE"/>
    <w:rsid w:val="00973CD5"/>
    <w:rsid w:val="00982D87"/>
    <w:rsid w:val="00996590"/>
    <w:rsid w:val="009B0753"/>
    <w:rsid w:val="009C0464"/>
    <w:rsid w:val="009D2A30"/>
    <w:rsid w:val="009D551F"/>
    <w:rsid w:val="009D5DA0"/>
    <w:rsid w:val="00A171C6"/>
    <w:rsid w:val="00A23B46"/>
    <w:rsid w:val="00A423F8"/>
    <w:rsid w:val="00A66BD4"/>
    <w:rsid w:val="00A705A4"/>
    <w:rsid w:val="00A82059"/>
    <w:rsid w:val="00A833C7"/>
    <w:rsid w:val="00A97348"/>
    <w:rsid w:val="00A97E43"/>
    <w:rsid w:val="00AB427B"/>
    <w:rsid w:val="00AC3E4E"/>
    <w:rsid w:val="00AF37DB"/>
    <w:rsid w:val="00B10FD7"/>
    <w:rsid w:val="00B21BB5"/>
    <w:rsid w:val="00B248DD"/>
    <w:rsid w:val="00B5306D"/>
    <w:rsid w:val="00B6088E"/>
    <w:rsid w:val="00B66C33"/>
    <w:rsid w:val="00B904E9"/>
    <w:rsid w:val="00B95617"/>
    <w:rsid w:val="00BA3B94"/>
    <w:rsid w:val="00BA6848"/>
    <w:rsid w:val="00BC4FB3"/>
    <w:rsid w:val="00BC7A03"/>
    <w:rsid w:val="00BE03CA"/>
    <w:rsid w:val="00BE2A99"/>
    <w:rsid w:val="00BE38F5"/>
    <w:rsid w:val="00C10F7C"/>
    <w:rsid w:val="00C11D12"/>
    <w:rsid w:val="00C222D4"/>
    <w:rsid w:val="00C239F6"/>
    <w:rsid w:val="00C30A42"/>
    <w:rsid w:val="00C33120"/>
    <w:rsid w:val="00C441D3"/>
    <w:rsid w:val="00C45047"/>
    <w:rsid w:val="00C52BA5"/>
    <w:rsid w:val="00C75104"/>
    <w:rsid w:val="00CB4284"/>
    <w:rsid w:val="00CF4569"/>
    <w:rsid w:val="00D14221"/>
    <w:rsid w:val="00D2443F"/>
    <w:rsid w:val="00D3545C"/>
    <w:rsid w:val="00D45FEA"/>
    <w:rsid w:val="00D4730E"/>
    <w:rsid w:val="00D54938"/>
    <w:rsid w:val="00D60DA7"/>
    <w:rsid w:val="00D725EF"/>
    <w:rsid w:val="00D81EFB"/>
    <w:rsid w:val="00D836E2"/>
    <w:rsid w:val="00D90FA8"/>
    <w:rsid w:val="00D93461"/>
    <w:rsid w:val="00D9767B"/>
    <w:rsid w:val="00DC2B5C"/>
    <w:rsid w:val="00DC3EEE"/>
    <w:rsid w:val="00DC5B18"/>
    <w:rsid w:val="00DF392D"/>
    <w:rsid w:val="00E023AF"/>
    <w:rsid w:val="00E05A9C"/>
    <w:rsid w:val="00E07162"/>
    <w:rsid w:val="00E147EB"/>
    <w:rsid w:val="00E41D73"/>
    <w:rsid w:val="00EA78D2"/>
    <w:rsid w:val="00EB1E8D"/>
    <w:rsid w:val="00EE62D9"/>
    <w:rsid w:val="00EF40D2"/>
    <w:rsid w:val="00F25EFF"/>
    <w:rsid w:val="00F37389"/>
    <w:rsid w:val="00F44D0F"/>
    <w:rsid w:val="00F46254"/>
    <w:rsid w:val="00F51AE1"/>
    <w:rsid w:val="00F52256"/>
    <w:rsid w:val="00F52F68"/>
    <w:rsid w:val="00F562B0"/>
    <w:rsid w:val="00F66CF6"/>
    <w:rsid w:val="00FA60C6"/>
    <w:rsid w:val="00FA76D7"/>
    <w:rsid w:val="00FB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017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NormalWeb">
    <w:name w:val="Normal (Web)"/>
    <w:basedOn w:val="Normal"/>
    <w:uiPriority w:val="99"/>
    <w:unhideWhenUsed/>
    <w:rsid w:val="00FB2DB3"/>
    <w:pPr>
      <w:spacing w:before="100" w:beforeAutospacing="1" w:after="100" w:afterAutospacing="1"/>
    </w:pPr>
  </w:style>
  <w:style w:type="paragraph" w:customStyle="1" w:styleId="Level1">
    <w:name w:val="Level 1"/>
    <w:basedOn w:val="Normal"/>
    <w:rsid w:val="00FB2DB3"/>
    <w:pPr>
      <w:widowControl w:val="0"/>
      <w:numPr>
        <w:numId w:val="2"/>
      </w:numPr>
      <w:autoSpaceDE w:val="0"/>
      <w:autoSpaceDN w:val="0"/>
      <w:adjustRightInd w:val="0"/>
      <w:ind w:left="720" w:hanging="720"/>
      <w:outlineLvl w:val="0"/>
    </w:pPr>
    <w:rPr>
      <w:rFonts w:ascii="Courier New" w:hAnsi="Courier New"/>
    </w:rPr>
  </w:style>
  <w:style w:type="character" w:styleId="Hyperlink">
    <w:name w:val="Hyperlink"/>
    <w:uiPriority w:val="99"/>
    <w:unhideWhenUsed/>
    <w:rsid w:val="008D1C4A"/>
    <w:rPr>
      <w:color w:val="0000FF"/>
      <w:u w:val="single"/>
    </w:rPr>
  </w:style>
  <w:style w:type="character" w:styleId="CommentReference">
    <w:name w:val="annotation reference"/>
    <w:uiPriority w:val="99"/>
    <w:semiHidden/>
    <w:unhideWhenUsed/>
    <w:rsid w:val="00EB1E8D"/>
    <w:rPr>
      <w:sz w:val="16"/>
      <w:szCs w:val="16"/>
    </w:rPr>
  </w:style>
  <w:style w:type="paragraph" w:styleId="CommentText">
    <w:name w:val="annotation text"/>
    <w:basedOn w:val="Normal"/>
    <w:link w:val="CommentTextChar"/>
    <w:uiPriority w:val="99"/>
    <w:semiHidden/>
    <w:unhideWhenUsed/>
    <w:rsid w:val="00EB1E8D"/>
    <w:rPr>
      <w:sz w:val="20"/>
      <w:szCs w:val="20"/>
    </w:rPr>
  </w:style>
  <w:style w:type="character" w:customStyle="1" w:styleId="CommentTextChar">
    <w:name w:val="Comment Text Char"/>
    <w:link w:val="CommentText"/>
    <w:uiPriority w:val="99"/>
    <w:semiHidden/>
    <w:rsid w:val="00EB1E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E8D"/>
    <w:rPr>
      <w:b/>
      <w:bCs/>
    </w:rPr>
  </w:style>
  <w:style w:type="character" w:customStyle="1" w:styleId="CommentSubjectChar">
    <w:name w:val="Comment Subject Char"/>
    <w:link w:val="CommentSubject"/>
    <w:uiPriority w:val="99"/>
    <w:semiHidden/>
    <w:rsid w:val="00EB1E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1E8D"/>
    <w:rPr>
      <w:rFonts w:ascii="Segoe UI" w:hAnsi="Segoe UI" w:cs="Segoe UI"/>
      <w:sz w:val="18"/>
      <w:szCs w:val="18"/>
    </w:rPr>
  </w:style>
  <w:style w:type="character" w:customStyle="1" w:styleId="BalloonTextChar">
    <w:name w:val="Balloon Text Char"/>
    <w:link w:val="BalloonText"/>
    <w:uiPriority w:val="99"/>
    <w:semiHidden/>
    <w:rsid w:val="00EB1E8D"/>
    <w:rPr>
      <w:rFonts w:ascii="Segoe UI" w:eastAsia="Times New Roman" w:hAnsi="Segoe UI" w:cs="Segoe UI"/>
      <w:sz w:val="18"/>
      <w:szCs w:val="18"/>
    </w:rPr>
  </w:style>
  <w:style w:type="paragraph" w:styleId="Revision">
    <w:name w:val="Revision"/>
    <w:hidden/>
    <w:uiPriority w:val="99"/>
    <w:semiHidden/>
    <w:rsid w:val="000A017D"/>
    <w:rPr>
      <w:rFonts w:ascii="Times New Roman" w:eastAsia="Times New Roman" w:hAnsi="Times New Roman"/>
      <w:sz w:val="24"/>
      <w:szCs w:val="24"/>
    </w:rPr>
  </w:style>
  <w:style w:type="character" w:styleId="FollowedHyperlink">
    <w:name w:val="FollowedHyperlink"/>
    <w:uiPriority w:val="99"/>
    <w:semiHidden/>
    <w:unhideWhenUsed/>
    <w:rsid w:val="001E08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2461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449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cps/cpsaat39.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cps/cpsaat3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2021-078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4F73-0C18-46D1-902D-CB8BEC421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DC603-94CE-4610-9C67-70AE47F522FE}">
  <ds:schemaRefs>
    <ds:schemaRef ds:uri="http://schemas.microsoft.com/sharepoint/v3/contenttype/forms"/>
  </ds:schemaRefs>
</ds:datastoreItem>
</file>

<file path=customXml/itemProps3.xml><?xml version="1.0" encoding="utf-8"?>
<ds:datastoreItem xmlns:ds="http://schemas.openxmlformats.org/officeDocument/2006/customXml" ds:itemID="{2EFD543A-D76B-45C7-BF15-3ADAF1645B34}">
  <ds:schemaRefs>
    <ds:schemaRef ds:uri="http://www.w3.org/XML/1998/namespace"/>
    <ds:schemaRef ds:uri="http://purl.org/dc/dcmitype/"/>
    <ds:schemaRef ds:uri="http://purl.org/dc/elements/1.1/"/>
    <ds:schemaRef ds:uri="http://schemas.openxmlformats.org/package/2006/metadata/core-properties"/>
    <ds:schemaRef ds:uri="2a1ba486-ff2f-4459-80ac-1ab5aa17f82f"/>
    <ds:schemaRef ds:uri="http://purl.org/dc/terms/"/>
    <ds:schemaRef ds:uri="http://schemas.microsoft.com/office/2006/metadata/properties"/>
    <ds:schemaRef ds:uri="http://schemas.microsoft.com/office/2006/documentManagement/types"/>
    <ds:schemaRef ds:uri="http://schemas.microsoft.com/office/infopath/2007/PartnerControls"/>
    <ds:schemaRef ds:uri="2b487234-2a61-45b0-86e3-998bf12a0e9d"/>
  </ds:schemaRefs>
</ds:datastoreItem>
</file>

<file path=customXml/itemProps4.xml><?xml version="1.0" encoding="utf-8"?>
<ds:datastoreItem xmlns:ds="http://schemas.openxmlformats.org/officeDocument/2006/customXml" ds:itemID="{F4C8CA25-8208-4BAA-8CBC-9445BFF7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Links>
    <vt:vector size="18" baseType="variant">
      <vt:variant>
        <vt:i4>4980808</vt:i4>
      </vt:variant>
      <vt:variant>
        <vt:i4>6</vt:i4>
      </vt:variant>
      <vt:variant>
        <vt:i4>0</vt:i4>
      </vt:variant>
      <vt:variant>
        <vt:i4>5</vt:i4>
      </vt:variant>
      <vt:variant>
        <vt:lpwstr>https://www.bls.gov/cps/cpsaat39.htm</vt:lpwstr>
      </vt:variant>
      <vt:variant>
        <vt:lpwstr/>
      </vt:variant>
      <vt:variant>
        <vt:i4>4980808</vt:i4>
      </vt:variant>
      <vt:variant>
        <vt:i4>3</vt:i4>
      </vt:variant>
      <vt:variant>
        <vt:i4>0</vt:i4>
      </vt:variant>
      <vt:variant>
        <vt:i4>5</vt:i4>
      </vt:variant>
      <vt:variant>
        <vt:lpwstr>https://www.bls.gov/cps/cpsaat39.htm</vt:lpwstr>
      </vt:variant>
      <vt:variant>
        <vt:lpwstr/>
      </vt:variant>
      <vt:variant>
        <vt:i4>5570569</vt:i4>
      </vt:variant>
      <vt:variant>
        <vt:i4>0</vt:i4>
      </vt:variant>
      <vt:variant>
        <vt:i4>0</vt:i4>
      </vt:variant>
      <vt:variant>
        <vt:i4>5</vt:i4>
      </vt:variant>
      <vt:variant>
        <vt:lpwstr>https://www.federalregister.gov/d/2021-07807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2021-08-16T15:15:00Z</dcterms:created>
  <dcterms:modified xsi:type="dcterms:W3CDTF">2021-08-16T15:24:00Z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