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A6051" w:rsidR="00643252" w:rsidP="009829C3" w:rsidRDefault="00643252" w14:paraId="14C16E2C" w14:textId="77777777">
      <w:pPr>
        <w:pStyle w:val="PlainText"/>
        <w:jc w:val="center"/>
        <w:rPr>
          <w:rFonts w:ascii="Times New Roman" w:hAnsi="Times New Roman" w:eastAsia="MS Mincho" w:cs="Times New Roman"/>
          <w:sz w:val="24"/>
          <w:u w:val="single"/>
        </w:rPr>
      </w:pPr>
      <w:r w:rsidRPr="00AA6051">
        <w:rPr>
          <w:rFonts w:ascii="Times New Roman" w:hAnsi="Times New Roman" w:eastAsia="MS Mincho" w:cs="Times New Roman"/>
          <w:sz w:val="24"/>
          <w:u w:val="single"/>
        </w:rPr>
        <w:t>Supp</w:t>
      </w:r>
      <w:r w:rsidRPr="00AA6051" w:rsidR="00C538B7">
        <w:rPr>
          <w:rFonts w:ascii="Times New Roman" w:hAnsi="Times New Roman" w:eastAsia="MS Mincho" w:cs="Times New Roman"/>
          <w:sz w:val="24"/>
          <w:u w:val="single"/>
        </w:rPr>
        <w:t xml:space="preserve">orting </w:t>
      </w:r>
      <w:r w:rsidRPr="00AA6051">
        <w:rPr>
          <w:rFonts w:ascii="Times New Roman" w:hAnsi="Times New Roman" w:eastAsia="MS Mincho" w:cs="Times New Roman"/>
          <w:sz w:val="24"/>
          <w:u w:val="single"/>
        </w:rPr>
        <w:t>Statement</w:t>
      </w:r>
    </w:p>
    <w:p w:rsidRPr="00AA6051" w:rsidR="00F22B68" w:rsidP="009829C3" w:rsidRDefault="00F22B68" w14:paraId="5BAC577D" w14:textId="77777777">
      <w:pPr>
        <w:pStyle w:val="PlainText"/>
        <w:jc w:val="center"/>
        <w:rPr>
          <w:rFonts w:ascii="Times New Roman" w:hAnsi="Times New Roman" w:eastAsia="MS Mincho" w:cs="Times New Roman"/>
          <w:sz w:val="24"/>
          <w:u w:val="single"/>
        </w:rPr>
      </w:pPr>
      <w:r w:rsidRPr="00AA6051">
        <w:rPr>
          <w:rFonts w:ascii="Times New Roman" w:hAnsi="Times New Roman" w:eastAsia="MS Mincho" w:cs="Times New Roman"/>
          <w:sz w:val="24"/>
          <w:u w:val="single"/>
        </w:rPr>
        <w:t>OMB Control Number</w:t>
      </w:r>
      <w:r w:rsidR="001F722A">
        <w:rPr>
          <w:rFonts w:ascii="Times New Roman" w:hAnsi="Times New Roman" w:eastAsia="MS Mincho" w:cs="Times New Roman"/>
          <w:sz w:val="24"/>
          <w:u w:val="single"/>
        </w:rPr>
        <w:t xml:space="preserve"> </w:t>
      </w:r>
      <w:r w:rsidRPr="00273504" w:rsidR="00273504">
        <w:rPr>
          <w:rFonts w:ascii="Times New Roman" w:hAnsi="Times New Roman" w:eastAsia="MS Mincho" w:cs="Times New Roman"/>
          <w:sz w:val="24"/>
          <w:u w:val="single"/>
        </w:rPr>
        <w:t>1506-0053</w:t>
      </w:r>
    </w:p>
    <w:p w:rsidRPr="00AA6051" w:rsidR="00F22B68" w:rsidP="009829C3" w:rsidRDefault="00F22B68" w14:paraId="7DA53784" w14:textId="77777777">
      <w:pPr>
        <w:pStyle w:val="PlainText"/>
        <w:jc w:val="center"/>
        <w:rPr>
          <w:rFonts w:ascii="Times New Roman" w:hAnsi="Times New Roman" w:eastAsia="MS Mincho" w:cs="Times New Roman"/>
          <w:sz w:val="24"/>
          <w:u w:val="single"/>
        </w:rPr>
      </w:pPr>
    </w:p>
    <w:p w:rsidRPr="00AA6051" w:rsidR="00F22B68" w:rsidP="009829C3" w:rsidRDefault="00273504" w14:paraId="464FAC61" w14:textId="77777777">
      <w:pPr>
        <w:pStyle w:val="PlainText"/>
        <w:rPr>
          <w:rFonts w:ascii="Times New Roman" w:hAnsi="Times New Roman" w:eastAsia="MS Mincho" w:cs="Times New Roman"/>
          <w:sz w:val="24"/>
          <w:szCs w:val="24"/>
          <w:u w:val="single"/>
        </w:rPr>
      </w:pPr>
      <w:r w:rsidRPr="00273504">
        <w:rPr>
          <w:rFonts w:ascii="Times New Roman" w:hAnsi="Times New Roman" w:eastAsia="MS Mincho" w:cs="Times New Roman"/>
          <w:bCs/>
          <w:sz w:val="24"/>
          <w:szCs w:val="24"/>
          <w:u w:val="single"/>
        </w:rPr>
        <w:t>Regulations Requiring Additional Records to be Made and Retained by Brokers or Dealers in Securities</w:t>
      </w:r>
      <w:r w:rsidR="00B43CE2">
        <w:rPr>
          <w:rFonts w:ascii="Times New Roman" w:hAnsi="Times New Roman" w:eastAsia="MS Mincho" w:cs="Times New Roman"/>
          <w:bCs/>
          <w:sz w:val="24"/>
          <w:szCs w:val="24"/>
          <w:u w:val="single"/>
        </w:rPr>
        <w:t xml:space="preserve"> (31 CFR 1023.410)</w:t>
      </w:r>
      <w:r w:rsidRPr="00AA6051" w:rsidR="00F22B68">
        <w:rPr>
          <w:rFonts w:ascii="Times New Roman" w:hAnsi="Times New Roman" w:cs="Times New Roman"/>
          <w:sz w:val="24"/>
          <w:szCs w:val="24"/>
          <w:u w:val="single"/>
        </w:rPr>
        <w:t>.</w:t>
      </w:r>
    </w:p>
    <w:p w:rsidRPr="00AA6051" w:rsidR="00643252" w:rsidP="009829C3" w:rsidRDefault="00643252" w14:paraId="7994CE97" w14:textId="77777777">
      <w:pPr>
        <w:pStyle w:val="PlainText"/>
        <w:rPr>
          <w:rFonts w:ascii="Times New Roman" w:hAnsi="Times New Roman" w:eastAsia="MS Mincho" w:cs="Times New Roman"/>
          <w:sz w:val="24"/>
        </w:rPr>
      </w:pPr>
    </w:p>
    <w:p w:rsidRPr="00AA6051" w:rsidR="00643252" w:rsidP="009829C3" w:rsidRDefault="00643252" w14:paraId="5CC67063" w14:textId="77777777">
      <w:pPr>
        <w:pStyle w:val="PlainText"/>
        <w:rPr>
          <w:rFonts w:ascii="Times New Roman" w:hAnsi="Times New Roman" w:eastAsia="MS Mincho" w:cs="Times New Roman"/>
          <w:sz w:val="24"/>
        </w:rPr>
      </w:pPr>
      <w:r w:rsidRPr="00AA6051">
        <w:rPr>
          <w:rFonts w:ascii="Times New Roman" w:hAnsi="Times New Roman" w:eastAsia="MS Mincho" w:cs="Times New Roman"/>
          <w:sz w:val="24"/>
        </w:rPr>
        <w:t xml:space="preserve">1. </w:t>
      </w:r>
      <w:r w:rsidRPr="00AA6051">
        <w:rPr>
          <w:rFonts w:ascii="Times New Roman" w:hAnsi="Times New Roman" w:cs="Times New Roman"/>
          <w:sz w:val="24"/>
          <w:szCs w:val="22"/>
          <w:u w:val="single"/>
        </w:rPr>
        <w:t xml:space="preserve">Circumstances </w:t>
      </w:r>
      <w:r w:rsidRPr="00AA6051" w:rsidR="00F22B68">
        <w:rPr>
          <w:rFonts w:ascii="Times New Roman" w:hAnsi="Times New Roman" w:cs="Times New Roman"/>
          <w:sz w:val="24"/>
          <w:szCs w:val="22"/>
          <w:u w:val="single"/>
        </w:rPr>
        <w:t>n</w:t>
      </w:r>
      <w:r w:rsidRPr="00AA6051">
        <w:rPr>
          <w:rFonts w:ascii="Times New Roman" w:hAnsi="Times New Roman" w:cs="Times New Roman"/>
          <w:sz w:val="24"/>
          <w:szCs w:val="22"/>
          <w:u w:val="single"/>
        </w:rPr>
        <w:t xml:space="preserve">ecessitating </w:t>
      </w:r>
      <w:r w:rsidRPr="00AA6051" w:rsidR="00F22B68">
        <w:rPr>
          <w:rFonts w:ascii="Times New Roman" w:hAnsi="Times New Roman" w:cs="Times New Roman"/>
          <w:sz w:val="24"/>
          <w:szCs w:val="22"/>
          <w:u w:val="single"/>
        </w:rPr>
        <w:t>c</w:t>
      </w:r>
      <w:r w:rsidRPr="00AA6051">
        <w:rPr>
          <w:rFonts w:ascii="Times New Roman" w:hAnsi="Times New Roman" w:cs="Times New Roman"/>
          <w:sz w:val="24"/>
          <w:szCs w:val="22"/>
          <w:u w:val="single"/>
        </w:rPr>
        <w:t xml:space="preserve">ollection of </w:t>
      </w:r>
      <w:r w:rsidRPr="00AA6051" w:rsidR="00F22B68">
        <w:rPr>
          <w:rFonts w:ascii="Times New Roman" w:hAnsi="Times New Roman" w:cs="Times New Roman"/>
          <w:sz w:val="24"/>
          <w:szCs w:val="22"/>
          <w:u w:val="single"/>
        </w:rPr>
        <w:t>i</w:t>
      </w:r>
      <w:r w:rsidRPr="00AA6051">
        <w:rPr>
          <w:rFonts w:ascii="Times New Roman" w:hAnsi="Times New Roman" w:cs="Times New Roman"/>
          <w:sz w:val="24"/>
          <w:szCs w:val="22"/>
          <w:u w:val="single"/>
        </w:rPr>
        <w:t>nformation.</w:t>
      </w:r>
      <w:r w:rsidRPr="00AA6051">
        <w:rPr>
          <w:rFonts w:ascii="Times New Roman" w:hAnsi="Times New Roman" w:eastAsia="MS Mincho" w:cs="Times New Roman"/>
          <w:sz w:val="24"/>
        </w:rPr>
        <w:tab/>
      </w:r>
    </w:p>
    <w:p w:rsidRPr="00AA6051" w:rsidR="00F22B68" w:rsidP="009829C3" w:rsidRDefault="00F22B68" w14:paraId="43D277C8" w14:textId="77777777">
      <w:pPr>
        <w:pStyle w:val="PlainText"/>
        <w:rPr>
          <w:rFonts w:ascii="Times New Roman" w:hAnsi="Times New Roman" w:eastAsia="MS Mincho" w:cs="Times New Roman"/>
          <w:sz w:val="24"/>
        </w:rPr>
      </w:pPr>
    </w:p>
    <w:p w:rsidRPr="007F2503" w:rsidR="007F2503" w:rsidP="007F2503" w:rsidRDefault="007F2503" w14:paraId="7C4A0A1F" w14:textId="77777777">
      <w:pPr>
        <w:pStyle w:val="PlainText"/>
        <w:ind w:firstLine="720"/>
        <w:rPr>
          <w:rFonts w:ascii="Times New Roman" w:hAnsi="Times New Roman" w:cs="Times New Roman"/>
          <w:sz w:val="24"/>
          <w:szCs w:val="24"/>
        </w:rPr>
      </w:pPr>
      <w:r w:rsidRPr="007F2503">
        <w:rPr>
          <w:rFonts w:ascii="Times New Roman" w:hAnsi="Times New Roman" w:cs="Times New Roman"/>
          <w:sz w:val="24"/>
          <w:szCs w:val="24"/>
        </w:rPr>
        <w:t>The legislative framework generally referred to as the Bank Secrecy Act (BSA) consists of the Currency and Financial Transactions Reporting Act of 1970, as amended by the Uniting and Strengthening America by Providing Appropriate Tools Required to Intercept and Obstruct Terrorism Act of 2001 (USA PATRIOT Act) (Public Law 107–56) and other legislation</w:t>
      </w:r>
      <w:r w:rsidRPr="001F722A" w:rsidR="00D62D98">
        <w:rPr>
          <w:rFonts w:ascii="Times New Roman" w:hAnsi="Times New Roman" w:cs="Times New Roman"/>
          <w:color w:val="000000" w:themeColor="text1"/>
          <w:sz w:val="24"/>
          <w:szCs w:val="24"/>
        </w:rPr>
        <w:t>,</w:t>
      </w:r>
      <w:r w:rsidR="001F722A">
        <w:rPr>
          <w:color w:val="000000" w:themeColor="text1"/>
        </w:rPr>
        <w:t xml:space="preserve"> </w:t>
      </w:r>
      <w:r w:rsidRPr="001F722A" w:rsidR="00D62D98">
        <w:rPr>
          <w:rFonts w:ascii="Times New Roman" w:hAnsi="Times New Roman" w:cs="Times New Roman"/>
          <w:color w:val="000000" w:themeColor="text1"/>
          <w:sz w:val="24"/>
          <w:szCs w:val="24"/>
        </w:rPr>
        <w:t>including most recently the Anti-Money Laundering Act of 2020 (AML Act) (Division F of Public Law 116-283)</w:t>
      </w:r>
      <w:r w:rsidRPr="001F722A">
        <w:rPr>
          <w:rFonts w:ascii="Times New Roman" w:hAnsi="Times New Roman" w:cs="Times New Roman"/>
          <w:sz w:val="24"/>
          <w:szCs w:val="24"/>
        </w:rPr>
        <w:t>.</w:t>
      </w:r>
      <w:r w:rsidRPr="007F2503">
        <w:rPr>
          <w:rFonts w:ascii="Times New Roman" w:hAnsi="Times New Roman" w:cs="Times New Roman"/>
          <w:sz w:val="24"/>
          <w:szCs w:val="24"/>
        </w:rPr>
        <w:t xml:space="preserve"> The BSA is codified at 12 U.S.C. 1829b, 12 U.S.C. 1951–1959, 31 U.S.C. 5311–5314 and 5316–533</w:t>
      </w:r>
      <w:r w:rsidR="00D62D98">
        <w:rPr>
          <w:rFonts w:ascii="Times New Roman" w:hAnsi="Times New Roman" w:cs="Times New Roman"/>
          <w:sz w:val="24"/>
          <w:szCs w:val="24"/>
        </w:rPr>
        <w:t>6</w:t>
      </w:r>
      <w:r w:rsidRPr="007F2503">
        <w:rPr>
          <w:rFonts w:ascii="Times New Roman" w:hAnsi="Times New Roman" w:cs="Times New Roman"/>
          <w:sz w:val="24"/>
          <w:szCs w:val="24"/>
        </w:rPr>
        <w:t xml:space="preserve">, and notes thereto, with implementing regulations at 31 CFR Chapter X.  </w:t>
      </w:r>
    </w:p>
    <w:p w:rsidRPr="007F2503" w:rsidR="007F2503" w:rsidP="007F2503" w:rsidRDefault="007F2503" w14:paraId="3F7338A1" w14:textId="77777777">
      <w:pPr>
        <w:pStyle w:val="PlainText"/>
        <w:ind w:firstLine="720"/>
        <w:rPr>
          <w:rFonts w:ascii="Times New Roman" w:hAnsi="Times New Roman" w:cs="Times New Roman"/>
          <w:sz w:val="24"/>
          <w:szCs w:val="24"/>
        </w:rPr>
      </w:pPr>
    </w:p>
    <w:p w:rsidR="005A7DEE" w:rsidP="009829C3" w:rsidRDefault="007F2503" w14:paraId="42504B95" w14:textId="77777777">
      <w:pPr>
        <w:pStyle w:val="PlainText"/>
        <w:ind w:firstLine="720"/>
        <w:rPr>
          <w:rFonts w:ascii="Times New Roman" w:hAnsi="Times New Roman" w:cs="Times New Roman"/>
          <w:sz w:val="24"/>
          <w:szCs w:val="24"/>
        </w:rPr>
      </w:pPr>
      <w:r w:rsidRPr="007F2503">
        <w:rPr>
          <w:rFonts w:ascii="Times New Roman" w:hAnsi="Times New Roman" w:cs="Times New Roman"/>
          <w:sz w:val="24"/>
          <w:szCs w:val="24"/>
        </w:rPr>
        <w:t>The BSA authorizes the Secretary of the Treasury, inter alia,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AML programs and compliance procedures.</w:t>
      </w:r>
      <w:r w:rsidR="00AE67AF">
        <w:rPr>
          <w:rStyle w:val="FootnoteReference"/>
          <w:rFonts w:ascii="Times New Roman" w:hAnsi="Times New Roman" w:cs="Times New Roman"/>
          <w:sz w:val="24"/>
          <w:szCs w:val="24"/>
        </w:rPr>
        <w:footnoteReference w:id="1"/>
      </w:r>
      <w:r w:rsidRPr="007F2503">
        <w:rPr>
          <w:rFonts w:ascii="Times New Roman" w:hAnsi="Times New Roman" w:cs="Times New Roman"/>
          <w:sz w:val="24"/>
          <w:szCs w:val="24"/>
        </w:rPr>
        <w:t xml:space="preserve"> Regulations implementing the BSA appear at 31 CFR Chapter X. The authority of the Secretary to administer the BSA has been delegated to the Director of FinCEN.</w:t>
      </w:r>
      <w:r w:rsidR="00AE67AF">
        <w:rPr>
          <w:rStyle w:val="FootnoteReference"/>
          <w:rFonts w:ascii="Times New Roman" w:hAnsi="Times New Roman" w:cs="Times New Roman"/>
          <w:sz w:val="24"/>
          <w:szCs w:val="24"/>
        </w:rPr>
        <w:footnoteReference w:id="2"/>
      </w:r>
      <w:r w:rsidRPr="007F2503">
        <w:rPr>
          <w:rFonts w:ascii="Times New Roman" w:hAnsi="Times New Roman" w:cs="Times New Roman"/>
          <w:sz w:val="24"/>
          <w:szCs w:val="24"/>
        </w:rPr>
        <w:t xml:space="preserve"> </w:t>
      </w:r>
    </w:p>
    <w:p w:rsidR="00D56F88" w:rsidP="00C664F8" w:rsidRDefault="00D56F88" w14:paraId="1D707DD4" w14:textId="77777777">
      <w:pPr>
        <w:shd w:val="clear" w:color="auto" w:fill="FFFFFF"/>
        <w:rPr>
          <w:bCs/>
        </w:rPr>
      </w:pPr>
    </w:p>
    <w:p w:rsidR="00055673" w:rsidP="009829C3" w:rsidRDefault="00C40239" w14:paraId="0FF22E98" w14:textId="7D4FD209">
      <w:pPr>
        <w:shd w:val="clear" w:color="auto" w:fill="FFFFFF"/>
        <w:ind w:firstLine="720"/>
        <w:rPr>
          <w:bCs/>
        </w:rPr>
      </w:pPr>
      <w:r w:rsidRPr="00C40239">
        <w:rPr>
          <w:bCs/>
        </w:rPr>
        <w:t>Until October 1, 2003, 31 CFR 1023.410(a) required a broker or dealer in securities to make a record of certain information. Until October 1, 2008, a broker or dealer in securities was required to maintain all such records, as well as a list containing the names, addresses, and account or credit line numbers of those persons from whom it had been unable to secure the required information despite reasonable efforts. The customer identification program requirement for brokers or dealers in securities has effectively superseded these requirements</w:t>
      </w:r>
      <w:r>
        <w:rPr>
          <w:bCs/>
        </w:rPr>
        <w:t>.</w:t>
      </w:r>
      <w:r>
        <w:rPr>
          <w:rStyle w:val="FootnoteReference"/>
          <w:bCs/>
        </w:rPr>
        <w:footnoteReference w:id="3"/>
      </w:r>
      <w:r>
        <w:rPr>
          <w:bCs/>
        </w:rPr>
        <w:t xml:space="preserve">  </w:t>
      </w:r>
    </w:p>
    <w:p w:rsidR="00784CAD" w:rsidP="009829C3" w:rsidRDefault="00784CAD" w14:paraId="7A3996F5" w14:textId="77777777">
      <w:pPr>
        <w:shd w:val="clear" w:color="auto" w:fill="FFFFFF"/>
        <w:ind w:firstLine="720"/>
        <w:rPr>
          <w:bCs/>
        </w:rPr>
      </w:pPr>
    </w:p>
    <w:p w:rsidRPr="00055673" w:rsidR="00055673" w:rsidP="00055673" w:rsidRDefault="00055673" w14:paraId="68FC2CCE" w14:textId="4FB7A80A">
      <w:pPr>
        <w:pStyle w:val="FootnoteText"/>
        <w:ind w:firstLine="720"/>
        <w:rPr>
          <w:sz w:val="24"/>
          <w:szCs w:val="24"/>
        </w:rPr>
      </w:pPr>
      <w:r w:rsidRPr="00055673">
        <w:rPr>
          <w:sz w:val="24"/>
          <w:szCs w:val="24"/>
        </w:rPr>
        <w:t xml:space="preserve">31 CFR 1023.410(b) requires every broker or dealer in securities to retain an original or a copy of the following: (1) each document granting signature or trading authority over each customer’s account; (2) a record of each remittance or transfer of funds, currency, checks, other monetary instruments, investment securities, or credit, of more than $10,000 to a person, account, or place outside the United States; (3) a record of each receipt of currency, other monetary instruments, investment securities, or checks, and of each transfer of funds or credit, of more than $10,000 on any one occasion, not </w:t>
      </w:r>
      <w:r w:rsidRPr="00055673">
        <w:rPr>
          <w:sz w:val="24"/>
          <w:szCs w:val="24"/>
        </w:rPr>
        <w:lastRenderedPageBreak/>
        <w:t>through a domestic financial institution, from any person, account, or place outside the United States; and (4) each record described in paragraphs (1), (2), (3), (5), (6), (7), (8), and (9) of 17 CFR 240.17a-3(a), covering records to be made by certain exchange members, brokers and dealers as identified in 17 CFR 240.17a-3.</w:t>
      </w:r>
    </w:p>
    <w:p w:rsidR="00055673" w:rsidP="009829C3" w:rsidRDefault="00055673" w14:paraId="66F74A0F" w14:textId="77777777">
      <w:pPr>
        <w:shd w:val="clear" w:color="auto" w:fill="FFFFFF"/>
        <w:ind w:firstLine="720"/>
        <w:rPr>
          <w:bCs/>
        </w:rPr>
      </w:pPr>
    </w:p>
    <w:p w:rsidR="00C70EA9" w:rsidP="009829C3" w:rsidRDefault="00C40239" w14:paraId="7F97FAAA" w14:textId="1F7BBC86">
      <w:pPr>
        <w:shd w:val="clear" w:color="auto" w:fill="FFFFFF"/>
        <w:ind w:firstLine="720"/>
        <w:rPr>
          <w:shd w:val="clear" w:color="auto" w:fill="FFFFFF"/>
        </w:rPr>
      </w:pPr>
      <w:r>
        <w:rPr>
          <w:bCs/>
        </w:rPr>
        <w:t>The required records must be maintained for five years.</w:t>
      </w:r>
      <w:r w:rsidR="000900FF">
        <w:rPr>
          <w:rStyle w:val="FootnoteReference"/>
          <w:bCs/>
        </w:rPr>
        <w:footnoteReference w:id="4"/>
      </w:r>
      <w:r w:rsidRPr="00016AD0" w:rsidR="00016AD0">
        <w:rPr>
          <w:bCs/>
        </w:rPr>
        <w:t xml:space="preserve"> </w:t>
      </w:r>
    </w:p>
    <w:p w:rsidRPr="00AA6051" w:rsidR="00C40239" w:rsidP="009829C3" w:rsidRDefault="00C40239" w14:paraId="047844FF" w14:textId="77777777">
      <w:pPr>
        <w:shd w:val="clear" w:color="auto" w:fill="FFFFFF"/>
        <w:ind w:firstLine="720"/>
        <w:rPr>
          <w:rFonts w:eastAsia="MS Mincho"/>
          <w:bCs/>
        </w:rPr>
      </w:pPr>
    </w:p>
    <w:p w:rsidRPr="00AA6051" w:rsidR="00643252" w:rsidP="009829C3" w:rsidRDefault="00643252" w14:paraId="14FB9A38" w14:textId="77777777">
      <w:pPr>
        <w:rPr>
          <w:bCs/>
        </w:rPr>
      </w:pPr>
      <w:r w:rsidRPr="00AA6051">
        <w:rPr>
          <w:bCs/>
        </w:rPr>
        <w:t xml:space="preserve">2. </w:t>
      </w:r>
      <w:r w:rsidRPr="00AA6051">
        <w:rPr>
          <w:bCs/>
          <w:u w:val="single"/>
        </w:rPr>
        <w:t>M</w:t>
      </w:r>
      <w:r w:rsidRPr="00AA6051" w:rsidR="00E667ED">
        <w:rPr>
          <w:bCs/>
          <w:u w:val="single"/>
        </w:rPr>
        <w:t>ethod of collection and use of d</w:t>
      </w:r>
      <w:r w:rsidRPr="00AA6051">
        <w:rPr>
          <w:bCs/>
          <w:u w:val="single"/>
        </w:rPr>
        <w:t>ata.</w:t>
      </w:r>
      <w:r w:rsidRPr="00AA6051">
        <w:rPr>
          <w:bCs/>
        </w:rPr>
        <w:t xml:space="preserve"> </w:t>
      </w:r>
      <w:bookmarkStart w:name="_GoBack" w:id="0"/>
      <w:bookmarkEnd w:id="0"/>
    </w:p>
    <w:p w:rsidRPr="00AA6051" w:rsidR="009829C3" w:rsidP="009829C3" w:rsidRDefault="009829C3" w14:paraId="135816EF" w14:textId="77777777">
      <w:pPr>
        <w:rPr>
          <w:bCs/>
        </w:rPr>
      </w:pPr>
    </w:p>
    <w:p w:rsidRPr="00AA6051" w:rsidR="003E69DC" w:rsidP="009829C3" w:rsidRDefault="00643252" w14:paraId="35749854" w14:textId="77777777">
      <w:pPr>
        <w:ind w:firstLine="720"/>
      </w:pPr>
      <w:r w:rsidRPr="00054D31">
        <w:rPr>
          <w:bCs/>
        </w:rPr>
        <w:t>The collection of info</w:t>
      </w:r>
      <w:r w:rsidRPr="00054D31" w:rsidR="00C70EA9">
        <w:rPr>
          <w:bCs/>
        </w:rPr>
        <w:t xml:space="preserve">rmation </w:t>
      </w:r>
      <w:r w:rsidR="000C0696">
        <w:rPr>
          <w:bCs/>
        </w:rPr>
        <w:t xml:space="preserve">described above </w:t>
      </w:r>
      <w:r w:rsidRPr="00054D31" w:rsidR="00C70EA9">
        <w:rPr>
          <w:bCs/>
        </w:rPr>
        <w:t>is not reported to the F</w:t>
      </w:r>
      <w:r w:rsidRPr="00054D31">
        <w:rPr>
          <w:bCs/>
        </w:rPr>
        <w:t>ederal government. Inst</w:t>
      </w:r>
      <w:r w:rsidRPr="00054D31">
        <w:t xml:space="preserve">ead, </w:t>
      </w:r>
      <w:r w:rsidRPr="00054D31" w:rsidR="00CD73CD">
        <w:t xml:space="preserve">brokers or dealers in securities </w:t>
      </w:r>
      <w:r w:rsidRPr="00054D31" w:rsidR="00544A40">
        <w:t>are</w:t>
      </w:r>
      <w:r w:rsidRPr="00054D31">
        <w:t xml:space="preserve"> required to </w:t>
      </w:r>
      <w:r w:rsidRPr="00054D31" w:rsidR="00CD73CD">
        <w:t>secure</w:t>
      </w:r>
      <w:r w:rsidRPr="00054D31" w:rsidR="00C70EA9">
        <w:t xml:space="preserve"> and maintain records </w:t>
      </w:r>
      <w:r w:rsidRPr="00054D31" w:rsidR="0041548D">
        <w:t xml:space="preserve">of </w:t>
      </w:r>
      <w:r w:rsidRPr="00054D31" w:rsidR="00CD73CD">
        <w:t>the taxpayer identification number for individuals for whom a transaction or brokerage account is opened, or for whom a line of credit is extended, subject to certain exceptions. The re</w:t>
      </w:r>
      <w:r w:rsidR="005740D5">
        <w:t xml:space="preserve">gulations also require that </w:t>
      </w:r>
      <w:r w:rsidRPr="00054D31" w:rsidR="00CD73CD">
        <w:t>brokers or dealers in securities retain originals or copies of specified documents relating to account and transaction records</w:t>
      </w:r>
      <w:r w:rsidRPr="00054D31">
        <w:t xml:space="preserve">.  The </w:t>
      </w:r>
      <w:r w:rsidRPr="00054D31" w:rsidR="00735644">
        <w:t xml:space="preserve">recordkeeping requirements help to ensure that brokers or dealers in securities are not used to facilitate </w:t>
      </w:r>
      <w:r w:rsidRPr="00054D31">
        <w:t>money launder</w:t>
      </w:r>
      <w:r w:rsidRPr="00054D31" w:rsidR="00763721">
        <w:t xml:space="preserve">ing, </w:t>
      </w:r>
      <w:r w:rsidRPr="00054D31">
        <w:t>other financial crimes</w:t>
      </w:r>
      <w:r w:rsidRPr="00054D31" w:rsidR="00763721">
        <w:t>,</w:t>
      </w:r>
      <w:r w:rsidRPr="00054D31">
        <w:t xml:space="preserve"> </w:t>
      </w:r>
      <w:r w:rsidRPr="00054D31" w:rsidR="00763721">
        <w:t xml:space="preserve">or </w:t>
      </w:r>
      <w:r w:rsidRPr="00054D31">
        <w:t>terroris</w:t>
      </w:r>
      <w:r w:rsidRPr="00054D31" w:rsidR="00763721">
        <w:t>t</w:t>
      </w:r>
      <w:r w:rsidRPr="00054D31">
        <w:t xml:space="preserve"> financing.</w:t>
      </w:r>
      <w:r w:rsidRPr="00054D31" w:rsidR="00C70EA9">
        <w:t xml:space="preserve"> </w:t>
      </w:r>
      <w:r w:rsidRPr="00054D31" w:rsidR="00081EE2">
        <w:t xml:space="preserve"> </w:t>
      </w:r>
      <w:r w:rsidRPr="0061193D" w:rsidR="00C70EA9">
        <w:t xml:space="preserve">These records will be reviewed by </w:t>
      </w:r>
      <w:r w:rsidRPr="0061193D" w:rsidR="00735644">
        <w:t>regulatory</w:t>
      </w:r>
      <w:r w:rsidRPr="0061193D" w:rsidR="00C70EA9">
        <w:t xml:space="preserve"> agencies during the course of BSA examinations</w:t>
      </w:r>
      <w:r w:rsidRPr="0061193D" w:rsidR="007C68EB">
        <w:t xml:space="preserve"> </w:t>
      </w:r>
      <w:r w:rsidRPr="0061193D" w:rsidR="001019C7">
        <w:t>and made available only upon request to other appropriate agencies in accordance with applicable legal requirements</w:t>
      </w:r>
      <w:r w:rsidRPr="0061193D" w:rsidR="00C70EA9">
        <w:t>.</w:t>
      </w:r>
    </w:p>
    <w:p w:rsidRPr="00AA6051" w:rsidR="009829C3" w:rsidP="009829C3" w:rsidRDefault="009829C3" w14:paraId="5504AF9F" w14:textId="77777777">
      <w:pPr>
        <w:ind w:firstLine="720"/>
      </w:pPr>
    </w:p>
    <w:p w:rsidRPr="00C34B95" w:rsidR="00643252" w:rsidP="009829C3" w:rsidRDefault="00643252" w14:paraId="2FD25030" w14:textId="77777777">
      <w:pPr>
        <w:rPr>
          <w:szCs w:val="22"/>
        </w:rPr>
      </w:pPr>
      <w:r w:rsidRPr="00C34B95">
        <w:rPr>
          <w:szCs w:val="22"/>
        </w:rPr>
        <w:t xml:space="preserve">3. </w:t>
      </w:r>
      <w:r w:rsidRPr="00C34B95" w:rsidR="00E667ED">
        <w:rPr>
          <w:szCs w:val="22"/>
          <w:u w:val="single"/>
        </w:rPr>
        <w:t>Use of i</w:t>
      </w:r>
      <w:r w:rsidRPr="00C34B95">
        <w:rPr>
          <w:szCs w:val="22"/>
          <w:u w:val="single"/>
        </w:rPr>
        <w:t xml:space="preserve">mproved </w:t>
      </w:r>
      <w:r w:rsidRPr="00C34B95" w:rsidR="00E667ED">
        <w:rPr>
          <w:szCs w:val="22"/>
          <w:u w:val="single"/>
        </w:rPr>
        <w:t>information technology to reduce b</w:t>
      </w:r>
      <w:r w:rsidRPr="00C34B95">
        <w:rPr>
          <w:szCs w:val="22"/>
          <w:u w:val="single"/>
        </w:rPr>
        <w:t>urden.</w:t>
      </w:r>
      <w:r w:rsidRPr="00C34B95">
        <w:rPr>
          <w:szCs w:val="22"/>
        </w:rPr>
        <w:t xml:space="preserve"> </w:t>
      </w:r>
    </w:p>
    <w:p w:rsidRPr="00C34B95" w:rsidR="009829C3" w:rsidP="009829C3" w:rsidRDefault="009829C3" w14:paraId="325B0AB8" w14:textId="77777777">
      <w:pPr>
        <w:rPr>
          <w:szCs w:val="22"/>
        </w:rPr>
      </w:pPr>
    </w:p>
    <w:p w:rsidRPr="00AA6051" w:rsidR="00643252" w:rsidP="009829C3" w:rsidRDefault="00876DA3" w14:paraId="69B7010B" w14:textId="77777777">
      <w:pPr>
        <w:ind w:firstLine="720"/>
        <w:rPr>
          <w:szCs w:val="22"/>
        </w:rPr>
      </w:pPr>
      <w:r>
        <w:rPr>
          <w:szCs w:val="22"/>
        </w:rPr>
        <w:t>Brokers or dealers in securities</w:t>
      </w:r>
      <w:r w:rsidRPr="00C34B95" w:rsidR="00643252">
        <w:rPr>
          <w:szCs w:val="22"/>
        </w:rPr>
        <w:t xml:space="preserve"> </w:t>
      </w:r>
      <w:r w:rsidRPr="00C34B95" w:rsidR="00414797">
        <w:rPr>
          <w:szCs w:val="22"/>
        </w:rPr>
        <w:t>are permitted to automate their systems to meet their requirements. There is no specific government mandate to do so.</w:t>
      </w:r>
      <w:r w:rsidRPr="00AA6051" w:rsidR="00414797">
        <w:rPr>
          <w:szCs w:val="22"/>
        </w:rPr>
        <w:t xml:space="preserve">  </w:t>
      </w:r>
    </w:p>
    <w:p w:rsidRPr="00AA6051" w:rsidR="009829C3" w:rsidP="009829C3" w:rsidRDefault="009829C3" w14:paraId="2CAFF8C9" w14:textId="77777777">
      <w:pPr>
        <w:ind w:firstLine="720"/>
        <w:rPr>
          <w:szCs w:val="22"/>
        </w:rPr>
      </w:pPr>
    </w:p>
    <w:p w:rsidRPr="00AA6051" w:rsidR="00643252" w:rsidP="009829C3" w:rsidRDefault="00643252" w14:paraId="75E7FF2C" w14:textId="77777777">
      <w:pPr>
        <w:rPr>
          <w:szCs w:val="22"/>
          <w:u w:val="single"/>
        </w:rPr>
      </w:pPr>
      <w:r w:rsidRPr="00AA6051">
        <w:rPr>
          <w:szCs w:val="22"/>
        </w:rPr>
        <w:t xml:space="preserve">4. </w:t>
      </w:r>
      <w:r w:rsidRPr="00AA6051" w:rsidR="00E667ED">
        <w:rPr>
          <w:szCs w:val="22"/>
          <w:u w:val="single"/>
        </w:rPr>
        <w:t>Efforts to identify d</w:t>
      </w:r>
      <w:r w:rsidRPr="00AA6051">
        <w:rPr>
          <w:szCs w:val="22"/>
          <w:u w:val="single"/>
        </w:rPr>
        <w:t>uplication</w:t>
      </w:r>
      <w:r w:rsidRPr="00AA6051" w:rsidR="003E69DC">
        <w:rPr>
          <w:szCs w:val="22"/>
          <w:u w:val="single"/>
        </w:rPr>
        <w:t>.</w:t>
      </w:r>
      <w:r w:rsidRPr="00AA6051">
        <w:rPr>
          <w:szCs w:val="22"/>
          <w:u w:val="single"/>
        </w:rPr>
        <w:t xml:space="preserve"> </w:t>
      </w:r>
    </w:p>
    <w:p w:rsidRPr="00AA6051" w:rsidR="009829C3" w:rsidP="009829C3" w:rsidRDefault="009829C3" w14:paraId="6035381D" w14:textId="77777777">
      <w:pPr>
        <w:rPr>
          <w:szCs w:val="22"/>
          <w:u w:val="single"/>
        </w:rPr>
      </w:pPr>
    </w:p>
    <w:p w:rsidRPr="00AA6051" w:rsidR="00C4238E" w:rsidP="009829C3" w:rsidRDefault="00C4238E" w14:paraId="74B6978F" w14:textId="77777777">
      <w:pPr>
        <w:ind w:firstLine="720"/>
      </w:pPr>
      <w:r w:rsidRPr="00AA6051">
        <w:t>There is no similar information available; thus there is no duplication.</w:t>
      </w:r>
    </w:p>
    <w:p w:rsidRPr="00AA6051" w:rsidR="009829C3" w:rsidP="009829C3" w:rsidRDefault="009829C3" w14:paraId="1BE13FCA" w14:textId="77777777">
      <w:pPr>
        <w:ind w:firstLine="720"/>
      </w:pPr>
    </w:p>
    <w:p w:rsidRPr="00AA6051" w:rsidR="00643252" w:rsidP="009829C3" w:rsidRDefault="00643252" w14:paraId="2B58DF28" w14:textId="77777777">
      <w:pPr>
        <w:rPr>
          <w:szCs w:val="22"/>
          <w:u w:val="single"/>
        </w:rPr>
      </w:pPr>
      <w:r w:rsidRPr="00AA6051">
        <w:rPr>
          <w:szCs w:val="22"/>
        </w:rPr>
        <w:t xml:space="preserve">5. </w:t>
      </w:r>
      <w:r w:rsidRPr="00AA6051" w:rsidR="00E667ED">
        <w:rPr>
          <w:szCs w:val="22"/>
          <w:u w:val="single"/>
        </w:rPr>
        <w:t>Methods to minimize burden on small businesses or other small e</w:t>
      </w:r>
      <w:r w:rsidRPr="00AA6051">
        <w:rPr>
          <w:szCs w:val="22"/>
          <w:u w:val="single"/>
        </w:rPr>
        <w:t>ntities</w:t>
      </w:r>
      <w:r w:rsidRPr="00AA6051" w:rsidR="003E69DC">
        <w:rPr>
          <w:szCs w:val="22"/>
          <w:u w:val="single"/>
        </w:rPr>
        <w:t>.</w:t>
      </w:r>
    </w:p>
    <w:p w:rsidRPr="00AA6051" w:rsidR="009829C3" w:rsidP="009829C3" w:rsidRDefault="009829C3" w14:paraId="0B75D2E8" w14:textId="77777777">
      <w:pPr>
        <w:ind w:firstLine="720"/>
        <w:rPr>
          <w:szCs w:val="22"/>
        </w:rPr>
      </w:pPr>
    </w:p>
    <w:p w:rsidRPr="00AA6051" w:rsidR="00643252" w:rsidP="009829C3" w:rsidRDefault="00643252" w14:paraId="4228CBCC" w14:textId="77777777">
      <w:pPr>
        <w:ind w:firstLine="720"/>
        <w:rPr>
          <w:szCs w:val="22"/>
        </w:rPr>
      </w:pPr>
      <w:r w:rsidRPr="00054D31">
        <w:rPr>
          <w:szCs w:val="22"/>
        </w:rPr>
        <w:t xml:space="preserve">All </w:t>
      </w:r>
      <w:r w:rsidR="000C0696">
        <w:rPr>
          <w:szCs w:val="22"/>
        </w:rPr>
        <w:t>b</w:t>
      </w:r>
      <w:r w:rsidRPr="00054D31" w:rsidR="001947D3">
        <w:rPr>
          <w:szCs w:val="22"/>
        </w:rPr>
        <w:t>rokers or dealers in securities</w:t>
      </w:r>
      <w:r w:rsidRPr="00054D31">
        <w:rPr>
          <w:szCs w:val="22"/>
        </w:rPr>
        <w:t xml:space="preserve"> are required</w:t>
      </w:r>
      <w:r w:rsidRPr="00054D31" w:rsidR="004C2D27">
        <w:rPr>
          <w:szCs w:val="22"/>
        </w:rPr>
        <w:t xml:space="preserve"> to </w:t>
      </w:r>
      <w:r w:rsidRPr="00054D31" w:rsidR="001947D3">
        <w:rPr>
          <w:szCs w:val="22"/>
        </w:rPr>
        <w:t>secure and maintain</w:t>
      </w:r>
      <w:r w:rsidR="00683622">
        <w:rPr>
          <w:szCs w:val="22"/>
        </w:rPr>
        <w:t xml:space="preserve"> the records described in this statement</w:t>
      </w:r>
      <w:r w:rsidRPr="00054D31" w:rsidR="001947D3">
        <w:rPr>
          <w:szCs w:val="22"/>
        </w:rPr>
        <w:t xml:space="preserve"> and </w:t>
      </w:r>
      <w:r w:rsidRPr="00054D31" w:rsidR="004C2D27">
        <w:rPr>
          <w:szCs w:val="22"/>
        </w:rPr>
        <w:t>are permitted to use the method most suitable to their requirements.</w:t>
      </w:r>
    </w:p>
    <w:p w:rsidRPr="00AA6051" w:rsidR="009829C3" w:rsidP="009829C3" w:rsidRDefault="009829C3" w14:paraId="321F2FD2" w14:textId="77777777">
      <w:pPr>
        <w:ind w:firstLine="720"/>
        <w:rPr>
          <w:szCs w:val="22"/>
        </w:rPr>
      </w:pPr>
    </w:p>
    <w:p w:rsidRPr="00AA6051" w:rsidR="00643252" w:rsidP="009829C3" w:rsidRDefault="00643252" w14:paraId="717A558A" w14:textId="77777777">
      <w:pPr>
        <w:rPr>
          <w:szCs w:val="22"/>
        </w:rPr>
      </w:pPr>
      <w:r w:rsidRPr="00AA6051">
        <w:rPr>
          <w:szCs w:val="22"/>
        </w:rPr>
        <w:t xml:space="preserve">6. </w:t>
      </w:r>
      <w:r w:rsidRPr="00AA6051" w:rsidR="00E667ED">
        <w:rPr>
          <w:szCs w:val="22"/>
          <w:u w:val="single"/>
        </w:rPr>
        <w:t>Consequences to the Federal g</w:t>
      </w:r>
      <w:r w:rsidRPr="00AA6051">
        <w:rPr>
          <w:szCs w:val="22"/>
          <w:u w:val="single"/>
        </w:rPr>
        <w:t>o</w:t>
      </w:r>
      <w:r w:rsidRPr="00AA6051" w:rsidR="00E667ED">
        <w:rPr>
          <w:szCs w:val="22"/>
          <w:u w:val="single"/>
        </w:rPr>
        <w:t>vernment of not collecting the i</w:t>
      </w:r>
      <w:r w:rsidRPr="00AA6051">
        <w:rPr>
          <w:szCs w:val="22"/>
          <w:u w:val="single"/>
        </w:rPr>
        <w:t>nformation.</w:t>
      </w:r>
      <w:r w:rsidRPr="00AA6051">
        <w:rPr>
          <w:szCs w:val="22"/>
        </w:rPr>
        <w:t xml:space="preserve"> </w:t>
      </w:r>
    </w:p>
    <w:p w:rsidRPr="00AA6051" w:rsidR="009829C3" w:rsidP="009829C3" w:rsidRDefault="009829C3" w14:paraId="7D308F8E" w14:textId="77777777">
      <w:pPr>
        <w:ind w:firstLine="720"/>
        <w:rPr>
          <w:szCs w:val="22"/>
        </w:rPr>
      </w:pPr>
    </w:p>
    <w:p w:rsidRPr="00AA6051" w:rsidR="00643252" w:rsidP="009829C3" w:rsidRDefault="00414797" w14:paraId="4B0047AD" w14:textId="77777777">
      <w:pPr>
        <w:ind w:firstLine="720"/>
        <w:rPr>
          <w:szCs w:val="22"/>
        </w:rPr>
      </w:pPr>
      <w:r w:rsidRPr="0061193D">
        <w:rPr>
          <w:szCs w:val="22"/>
        </w:rPr>
        <w:t>The Federal government requires reporting of this information only upon request</w:t>
      </w:r>
      <w:r w:rsidRPr="0061193D" w:rsidR="001019C7">
        <w:rPr>
          <w:szCs w:val="22"/>
        </w:rPr>
        <w:t>, in accordance with applicable legal authority</w:t>
      </w:r>
      <w:r w:rsidRPr="0061193D">
        <w:rPr>
          <w:szCs w:val="22"/>
        </w:rPr>
        <w:t>.</w:t>
      </w:r>
      <w:r w:rsidRPr="00AA6051">
        <w:rPr>
          <w:szCs w:val="22"/>
        </w:rPr>
        <w:t xml:space="preserve">  </w:t>
      </w:r>
    </w:p>
    <w:p w:rsidRPr="00AA6051" w:rsidR="009829C3" w:rsidP="009829C3" w:rsidRDefault="009829C3" w14:paraId="64CA92E2" w14:textId="77777777">
      <w:pPr>
        <w:ind w:firstLine="720"/>
        <w:rPr>
          <w:szCs w:val="22"/>
        </w:rPr>
      </w:pPr>
    </w:p>
    <w:p w:rsidRPr="00AA6051" w:rsidR="00643252" w:rsidP="009829C3" w:rsidRDefault="00643252" w14:paraId="4A71DC8A" w14:textId="77777777">
      <w:pPr>
        <w:rPr>
          <w:szCs w:val="22"/>
          <w:u w:val="single"/>
        </w:rPr>
      </w:pPr>
      <w:r w:rsidRPr="00AA6051">
        <w:rPr>
          <w:szCs w:val="22"/>
        </w:rPr>
        <w:t xml:space="preserve">7. </w:t>
      </w:r>
      <w:r w:rsidRPr="00AA6051" w:rsidR="00E667ED">
        <w:rPr>
          <w:szCs w:val="22"/>
          <w:u w:val="single"/>
        </w:rPr>
        <w:t>Special circumstances requiring data collection inconsistent with g</w:t>
      </w:r>
      <w:r w:rsidRPr="00AA6051">
        <w:rPr>
          <w:szCs w:val="22"/>
          <w:u w:val="single"/>
        </w:rPr>
        <w:t>uidelines.</w:t>
      </w:r>
    </w:p>
    <w:p w:rsidRPr="00AA6051" w:rsidR="00643252" w:rsidP="009829C3" w:rsidRDefault="00643252" w14:paraId="0D267E51" w14:textId="77777777">
      <w:pPr>
        <w:widowControl w:val="0"/>
        <w:autoSpaceDE w:val="0"/>
        <w:autoSpaceDN w:val="0"/>
        <w:adjustRightInd w:val="0"/>
        <w:spacing w:line="240" w:lineRule="exact"/>
        <w:ind w:firstLine="710"/>
        <w:rPr>
          <w:szCs w:val="22"/>
        </w:rPr>
      </w:pPr>
    </w:p>
    <w:p w:rsidRPr="00AA6051" w:rsidR="00104F2C" w:rsidP="008160A3" w:rsidRDefault="00F37038" w14:paraId="18C89749" w14:textId="681FE5CD">
      <w:pPr>
        <w:ind w:firstLine="720"/>
        <w:rPr>
          <w:szCs w:val="4"/>
        </w:rPr>
      </w:pPr>
      <w:r>
        <w:rPr>
          <w:szCs w:val="4"/>
        </w:rPr>
        <w:t>Pursuant to</w:t>
      </w:r>
      <w:r w:rsidRPr="00E87FBA">
        <w:t xml:space="preserve"> 31 CFR 1010.430(d), </w:t>
      </w:r>
      <w:r w:rsidRPr="00E87FBA">
        <w:rPr>
          <w:lang w:val="en"/>
        </w:rPr>
        <w:t>all records that are required to be retained by 31 CFR Chapter X must be retained for a period of five years</w:t>
      </w:r>
      <w:r w:rsidR="0061193D">
        <w:rPr>
          <w:lang w:val="en"/>
        </w:rPr>
        <w:t xml:space="preserve">. </w:t>
      </w:r>
      <w:r w:rsidR="0061193D">
        <w:t xml:space="preserve">Records must be kept for five </w:t>
      </w:r>
      <w:r w:rsidR="0061193D">
        <w:lastRenderedPageBreak/>
        <w:t>years because such records may relate to substantive violations of law that are subject to statutes of limitation longer than three years.</w:t>
      </w:r>
      <w:r w:rsidDel="0061193D" w:rsidR="0061193D">
        <w:rPr>
          <w:rStyle w:val="CommentReference"/>
        </w:rPr>
        <w:t xml:space="preserve"> </w:t>
      </w:r>
    </w:p>
    <w:p w:rsidRPr="00AA6051" w:rsidR="00D52D6F" w:rsidP="0061193D" w:rsidRDefault="00D52D6F" w14:paraId="6260854A" w14:textId="77777777"/>
    <w:p w:rsidRPr="00AA6051" w:rsidR="00643252" w:rsidP="0061193D" w:rsidRDefault="00643252" w14:paraId="2BE64372" w14:textId="77777777">
      <w:pPr>
        <w:rPr>
          <w:szCs w:val="22"/>
        </w:rPr>
      </w:pPr>
      <w:r w:rsidRPr="00AA6051">
        <w:rPr>
          <w:szCs w:val="22"/>
        </w:rPr>
        <w:t xml:space="preserve">8. </w:t>
      </w:r>
      <w:r w:rsidRPr="00AA6051">
        <w:rPr>
          <w:szCs w:val="22"/>
          <w:u w:val="single"/>
        </w:rPr>
        <w:t>Consultation w</w:t>
      </w:r>
      <w:r w:rsidRPr="00AA6051" w:rsidR="00E667ED">
        <w:rPr>
          <w:szCs w:val="22"/>
          <w:u w:val="single"/>
        </w:rPr>
        <w:t>ith individuals outside of the a</w:t>
      </w:r>
      <w:r w:rsidRPr="00AA6051">
        <w:rPr>
          <w:szCs w:val="22"/>
          <w:u w:val="single"/>
        </w:rPr>
        <w:t>g</w:t>
      </w:r>
      <w:r w:rsidRPr="00AA6051" w:rsidR="00E667ED">
        <w:rPr>
          <w:szCs w:val="22"/>
          <w:u w:val="single"/>
        </w:rPr>
        <w:t>ency on availability of data f</w:t>
      </w:r>
      <w:r w:rsidRPr="00AA6051">
        <w:rPr>
          <w:szCs w:val="22"/>
          <w:u w:val="single"/>
        </w:rPr>
        <w:t>requ</w:t>
      </w:r>
      <w:r w:rsidRPr="00AA6051" w:rsidR="00E667ED">
        <w:rPr>
          <w:szCs w:val="22"/>
          <w:u w:val="single"/>
        </w:rPr>
        <w:t>ency of collection, clarity of i</w:t>
      </w:r>
      <w:r w:rsidRPr="00AA6051">
        <w:rPr>
          <w:szCs w:val="22"/>
          <w:u w:val="single"/>
        </w:rPr>
        <w:t>n</w:t>
      </w:r>
      <w:r w:rsidRPr="00AA6051" w:rsidR="00E667ED">
        <w:rPr>
          <w:szCs w:val="22"/>
          <w:u w:val="single"/>
        </w:rPr>
        <w:t>structions and forms, and data e</w:t>
      </w:r>
      <w:r w:rsidRPr="00AA6051">
        <w:rPr>
          <w:szCs w:val="22"/>
          <w:u w:val="single"/>
        </w:rPr>
        <w:t>lements.</w:t>
      </w:r>
      <w:r w:rsidRPr="00AA6051">
        <w:rPr>
          <w:szCs w:val="22"/>
        </w:rPr>
        <w:t xml:space="preserve"> </w:t>
      </w:r>
    </w:p>
    <w:p w:rsidRPr="00AA6051" w:rsidR="00643252" w:rsidP="0061193D" w:rsidRDefault="00643252" w14:paraId="3BB644E8" w14:textId="77777777">
      <w:pPr>
        <w:rPr>
          <w:szCs w:val="22"/>
        </w:rPr>
      </w:pPr>
    </w:p>
    <w:p w:rsidRPr="00AA6051" w:rsidR="00414797" w:rsidP="0061193D" w:rsidRDefault="00414797" w14:paraId="5A7E3F9D" w14:textId="77777777">
      <w:pPr>
        <w:ind w:firstLine="720"/>
      </w:pPr>
      <w:r w:rsidRPr="00AA6051">
        <w:t xml:space="preserve">The 60-day notice was published on </w:t>
      </w:r>
      <w:r w:rsidR="005305FD">
        <w:t>February 1</w:t>
      </w:r>
      <w:r w:rsidRPr="00AA6051">
        <w:t>, 202</w:t>
      </w:r>
      <w:r w:rsidR="005305FD">
        <w:t>1</w:t>
      </w:r>
      <w:r w:rsidRPr="00AA6051">
        <w:t>.</w:t>
      </w:r>
      <w:r w:rsidRPr="00AA6051">
        <w:rPr>
          <w:rStyle w:val="FootnoteReference"/>
        </w:rPr>
        <w:footnoteReference w:id="5"/>
      </w:r>
      <w:r w:rsidRPr="00AA6051">
        <w:t xml:space="preserve"> The notice requested public comments on the proposed renewal, without change, of currently approved information c</w:t>
      </w:r>
      <w:r w:rsidRPr="00AA6051" w:rsidR="00E667ED">
        <w:t xml:space="preserve">ollections relating to </w:t>
      </w:r>
      <w:r w:rsidR="005305FD">
        <w:t>regulations requiring additional records to be made and retained by dealers in foreign exchange and additional records to be made and retained by brokers or dealers in s</w:t>
      </w:r>
      <w:r w:rsidRPr="005305FD" w:rsidR="005305FD">
        <w:t>ecurities</w:t>
      </w:r>
      <w:r w:rsidRPr="00AA6051" w:rsidR="00E667ED">
        <w:t>.</w:t>
      </w:r>
      <w:r w:rsidRPr="00AA6051">
        <w:t xml:space="preserve"> Although no changes were proposed to the information collections themselves, the notice proposed for review and comment (a) a renewal of the portion of the Paperwork Reduction Act </w:t>
      </w:r>
      <w:r w:rsidR="00054D31">
        <w:t xml:space="preserve">of 1995 </w:t>
      </w:r>
      <w:r w:rsidRPr="00AA6051">
        <w:t>(“PRA”) burden that has been subject to notice and comment in the past (the “traditional annual PRA burden”), and (b) an expansion of the scope of the PRA burden in the future (the “</w:t>
      </w:r>
      <w:r w:rsidR="00054D31">
        <w:t>future</w:t>
      </w:r>
      <w:r w:rsidRPr="00AA6051">
        <w:t xml:space="preserve"> annual PRA burden”).</w:t>
      </w:r>
      <w:r w:rsidR="00BE2DDC">
        <w:t xml:space="preserve"> </w:t>
      </w:r>
      <w:r w:rsidRPr="00A243DB" w:rsidR="00BE2DDC">
        <w:t>FinCEN received no comments in response to the notice.</w:t>
      </w:r>
      <w:r w:rsidR="00BE2DDC">
        <w:t xml:space="preserve"> </w:t>
      </w:r>
    </w:p>
    <w:p w:rsidRPr="00AA6051" w:rsidR="009C5F96" w:rsidP="004A2CDA" w:rsidRDefault="009C5F96" w14:paraId="385B40E1" w14:textId="77777777">
      <w:pPr>
        <w:widowControl w:val="0"/>
        <w:autoSpaceDE w:val="0"/>
        <w:autoSpaceDN w:val="0"/>
        <w:adjustRightInd w:val="0"/>
        <w:ind w:right="220"/>
      </w:pPr>
    </w:p>
    <w:p w:rsidRPr="009C5F96" w:rsidR="00F70456" w:rsidP="009829C3" w:rsidRDefault="00F70456" w14:paraId="1FD4BF39" w14:textId="77777777">
      <w:pPr>
        <w:rPr>
          <w:szCs w:val="22"/>
        </w:rPr>
      </w:pPr>
      <w:r w:rsidRPr="009C5F96">
        <w:rPr>
          <w:szCs w:val="22"/>
        </w:rPr>
        <w:t xml:space="preserve">9. </w:t>
      </w:r>
      <w:r w:rsidRPr="009C5F96">
        <w:rPr>
          <w:u w:val="single"/>
        </w:rPr>
        <w:t>Explanation of decision to provide any payment or gift to respondents.</w:t>
      </w:r>
    </w:p>
    <w:p w:rsidRPr="009C5F96" w:rsidR="009829C3" w:rsidP="009829C3" w:rsidRDefault="009829C3" w14:paraId="3FB8AC1F" w14:textId="77777777">
      <w:pPr>
        <w:ind w:firstLine="720"/>
        <w:rPr>
          <w:szCs w:val="22"/>
        </w:rPr>
      </w:pPr>
    </w:p>
    <w:p w:rsidRPr="00AA6051" w:rsidR="00F70456" w:rsidP="009829C3" w:rsidRDefault="00F70456" w14:paraId="2AB006DE" w14:textId="77777777">
      <w:pPr>
        <w:ind w:firstLine="720"/>
        <w:rPr>
          <w:szCs w:val="22"/>
        </w:rPr>
      </w:pPr>
      <w:r w:rsidRPr="009C5F96">
        <w:rPr>
          <w:szCs w:val="22"/>
        </w:rPr>
        <w:t>No payments or gifts were made to respondents.</w:t>
      </w:r>
      <w:r w:rsidRPr="00AA6051">
        <w:rPr>
          <w:szCs w:val="22"/>
        </w:rPr>
        <w:t xml:space="preserve"> </w:t>
      </w:r>
    </w:p>
    <w:p w:rsidRPr="00AA6051" w:rsidR="009829C3" w:rsidP="009829C3" w:rsidRDefault="009829C3" w14:paraId="3E0431D0" w14:textId="77777777">
      <w:pPr>
        <w:ind w:firstLine="720"/>
        <w:rPr>
          <w:szCs w:val="22"/>
        </w:rPr>
      </w:pPr>
    </w:p>
    <w:p w:rsidRPr="00AA6051" w:rsidR="0000789D" w:rsidP="009829C3" w:rsidRDefault="0000789D" w14:paraId="41F7D71F" w14:textId="77777777">
      <w:pPr>
        <w:pStyle w:val="BodyText"/>
        <w:spacing w:before="0"/>
        <w:rPr>
          <w:sz w:val="24"/>
          <w:u w:val="single"/>
        </w:rPr>
      </w:pPr>
      <w:r w:rsidRPr="00AA6051">
        <w:rPr>
          <w:sz w:val="24"/>
        </w:rPr>
        <w:t xml:space="preserve">10. </w:t>
      </w:r>
      <w:r w:rsidRPr="00AA6051">
        <w:rPr>
          <w:sz w:val="24"/>
          <w:u w:val="single"/>
        </w:rPr>
        <w:t>Assurance of confidentiality of responses.</w:t>
      </w:r>
    </w:p>
    <w:p w:rsidR="00CD1764" w:rsidP="008A0613" w:rsidRDefault="004A2CDA" w14:paraId="5C04A2F1" w14:textId="77777777">
      <w:pPr>
        <w:pStyle w:val="BodyText"/>
        <w:spacing w:before="0"/>
        <w:rPr>
          <w:sz w:val="24"/>
        </w:rPr>
      </w:pPr>
      <w:r>
        <w:rPr>
          <w:sz w:val="24"/>
        </w:rPr>
        <w:tab/>
      </w:r>
    </w:p>
    <w:p w:rsidRPr="008A0613" w:rsidR="004A2CDA" w:rsidP="008A0613" w:rsidRDefault="004A2CDA" w14:paraId="38EBD9DC" w14:textId="77777777">
      <w:pPr>
        <w:pStyle w:val="BodyText"/>
        <w:spacing w:before="0"/>
        <w:ind w:firstLine="720"/>
        <w:rPr>
          <w:sz w:val="24"/>
          <w:szCs w:val="24"/>
        </w:rPr>
      </w:pPr>
      <w:r w:rsidRPr="008A0613">
        <w:rPr>
          <w:sz w:val="24"/>
          <w:szCs w:val="24"/>
        </w:rPr>
        <w:t xml:space="preserve">Information retained under the regulations implementing the BSA may be made </w:t>
      </w:r>
      <w:r w:rsidRPr="001019C7">
        <w:rPr>
          <w:sz w:val="24"/>
          <w:szCs w:val="24"/>
        </w:rPr>
        <w:t>available to FinCEN and appropriate government agencies upon their request or as part of an examination.</w:t>
      </w:r>
    </w:p>
    <w:p w:rsidRPr="00AA6051" w:rsidR="009829C3" w:rsidP="008A0613" w:rsidRDefault="009829C3" w14:paraId="4B118C63" w14:textId="77777777">
      <w:pPr>
        <w:widowControl w:val="0"/>
        <w:autoSpaceDE w:val="0"/>
        <w:autoSpaceDN w:val="0"/>
        <w:adjustRightInd w:val="0"/>
        <w:spacing w:line="235" w:lineRule="exact"/>
        <w:rPr>
          <w:szCs w:val="22"/>
        </w:rPr>
      </w:pPr>
    </w:p>
    <w:p w:rsidRPr="00AA6051" w:rsidR="0000789D" w:rsidP="009829C3" w:rsidRDefault="0000789D" w14:paraId="7B438608" w14:textId="77777777">
      <w:pPr>
        <w:rPr>
          <w:szCs w:val="22"/>
        </w:rPr>
      </w:pPr>
      <w:r w:rsidRPr="00AA6051">
        <w:rPr>
          <w:szCs w:val="22"/>
        </w:rPr>
        <w:t xml:space="preserve">11. </w:t>
      </w:r>
      <w:r w:rsidRPr="00AA6051">
        <w:rPr>
          <w:szCs w:val="22"/>
          <w:u w:val="single"/>
        </w:rPr>
        <w:t>Justification of sensitive questions.</w:t>
      </w:r>
      <w:r w:rsidRPr="00AA6051">
        <w:rPr>
          <w:szCs w:val="22"/>
        </w:rPr>
        <w:t xml:space="preserve"> </w:t>
      </w:r>
    </w:p>
    <w:p w:rsidR="009F04CE" w:rsidP="009829C3" w:rsidRDefault="009F04CE" w14:paraId="6879D977" w14:textId="77777777">
      <w:pPr>
        <w:ind w:firstLine="720"/>
      </w:pPr>
    </w:p>
    <w:p w:rsidR="008A0613" w:rsidP="008A0613" w:rsidRDefault="008A0613" w14:paraId="25988E1D" w14:textId="0DB415A9">
      <w:pPr>
        <w:pStyle w:val="Default"/>
        <w:ind w:firstLine="720"/>
      </w:pPr>
      <w:r>
        <w:t>This is a recordkeeping requirement. Information collection requirements</w:t>
      </w:r>
      <w:r w:rsidR="00416DDB">
        <w:t xml:space="preserve"> for brokers or dealers in securities</w:t>
      </w:r>
      <w:r>
        <w:t xml:space="preserve"> are mandated by other provisions of the BSA</w:t>
      </w:r>
      <w:r w:rsidR="001019C7">
        <w:t xml:space="preserve">, </w:t>
      </w:r>
      <w:r w:rsidRPr="008160A3" w:rsidR="001019C7">
        <w:t>as amended,</w:t>
      </w:r>
      <w:r w:rsidR="001019C7">
        <w:t xml:space="preserve"> </w:t>
      </w:r>
      <w:r>
        <w:t xml:space="preserve">and FinCEN regulations. </w:t>
      </w:r>
    </w:p>
    <w:p w:rsidR="000C5B33" w:rsidP="000C5B33" w:rsidRDefault="000C5B33" w14:paraId="6890A6E1" w14:textId="77777777">
      <w:pPr>
        <w:rPr>
          <w:szCs w:val="22"/>
        </w:rPr>
      </w:pPr>
    </w:p>
    <w:p w:rsidRPr="00AA6051" w:rsidR="00643252" w:rsidP="009829C3" w:rsidRDefault="000C5B33" w14:paraId="105EF65C" w14:textId="77777777">
      <w:pPr>
        <w:rPr>
          <w:szCs w:val="22"/>
          <w:u w:val="single"/>
        </w:rPr>
      </w:pPr>
      <w:r>
        <w:rPr>
          <w:szCs w:val="22"/>
        </w:rPr>
        <w:t xml:space="preserve">12. </w:t>
      </w:r>
      <w:r>
        <w:rPr>
          <w:szCs w:val="22"/>
          <w:u w:val="single"/>
        </w:rPr>
        <w:t>Estimated Annual Hourly Burden</w:t>
      </w:r>
      <w:r>
        <w:rPr>
          <w:szCs w:val="22"/>
        </w:rPr>
        <w:t xml:space="preserve"> </w:t>
      </w:r>
    </w:p>
    <w:p w:rsidRPr="00AA6051" w:rsidR="00AC4543" w:rsidP="009829C3" w:rsidRDefault="00AC4543" w14:paraId="261DDB20" w14:textId="77777777">
      <w:pPr>
        <w:rPr>
          <w:szCs w:val="22"/>
        </w:rPr>
      </w:pPr>
    </w:p>
    <w:p w:rsidRPr="00AA6051" w:rsidR="00643252" w:rsidP="009829C3" w:rsidRDefault="00643252" w14:paraId="626C1AD6" w14:textId="77777777">
      <w:pPr>
        <w:rPr>
          <w:szCs w:val="22"/>
        </w:rPr>
      </w:pPr>
      <w:r w:rsidRPr="000C5B33">
        <w:rPr>
          <w:szCs w:val="22"/>
          <w:u w:val="single"/>
        </w:rPr>
        <w:t>Frequency:</w:t>
      </w:r>
      <w:r w:rsidRPr="00AA6051">
        <w:rPr>
          <w:szCs w:val="22"/>
        </w:rPr>
        <w:t xml:space="preserve">  As required. </w:t>
      </w:r>
    </w:p>
    <w:p w:rsidRPr="00AA6051" w:rsidR="00643252" w:rsidP="009829C3" w:rsidRDefault="00643252" w14:paraId="684E7721" w14:textId="77777777">
      <w:pPr>
        <w:widowControl w:val="0"/>
        <w:autoSpaceDE w:val="0"/>
        <w:autoSpaceDN w:val="0"/>
        <w:adjustRightInd w:val="0"/>
        <w:spacing w:line="273" w:lineRule="exact"/>
        <w:jc w:val="both"/>
        <w:rPr>
          <w:szCs w:val="22"/>
        </w:rPr>
      </w:pPr>
    </w:p>
    <w:p w:rsidRPr="00AA6051" w:rsidR="00643252" w:rsidP="009829C3" w:rsidRDefault="00643252" w14:paraId="253D22B4" w14:textId="77777777">
      <w:pPr>
        <w:widowControl w:val="0"/>
        <w:autoSpaceDE w:val="0"/>
        <w:autoSpaceDN w:val="0"/>
        <w:adjustRightInd w:val="0"/>
        <w:spacing w:line="273" w:lineRule="exact"/>
        <w:jc w:val="both"/>
        <w:rPr>
          <w:szCs w:val="22"/>
        </w:rPr>
      </w:pPr>
      <w:r w:rsidRPr="000C5B33">
        <w:rPr>
          <w:szCs w:val="22"/>
          <w:u w:val="single"/>
        </w:rPr>
        <w:t>Est</w:t>
      </w:r>
      <w:r w:rsidRPr="000C5B33" w:rsidR="007F6DDB">
        <w:rPr>
          <w:szCs w:val="22"/>
          <w:u w:val="single"/>
        </w:rPr>
        <w:t>imated Number of Respondents:</w:t>
      </w:r>
      <w:r w:rsidRPr="00AA6051" w:rsidR="007F6DDB">
        <w:rPr>
          <w:szCs w:val="22"/>
        </w:rPr>
        <w:t xml:space="preserve"> </w:t>
      </w:r>
      <w:r w:rsidR="001A0FF9">
        <w:rPr>
          <w:szCs w:val="22"/>
        </w:rPr>
        <w:t>3,640</w:t>
      </w:r>
      <w:r w:rsidR="00F44131">
        <w:rPr>
          <w:szCs w:val="22"/>
        </w:rPr>
        <w:t xml:space="preserve"> brokers or dealers in securities.</w:t>
      </w:r>
      <w:r w:rsidRPr="00F44131" w:rsidR="00F44131">
        <w:rPr>
          <w:rStyle w:val="FootnoteReference"/>
          <w:lang w:val="en-GB"/>
        </w:rPr>
        <w:t xml:space="preserve"> </w:t>
      </w:r>
      <w:r w:rsidRPr="00AA6051" w:rsidR="00F44131">
        <w:rPr>
          <w:rStyle w:val="FootnoteReference"/>
          <w:lang w:val="en-GB"/>
        </w:rPr>
        <w:footnoteReference w:id="6"/>
      </w:r>
    </w:p>
    <w:p w:rsidRPr="00AA6051" w:rsidR="008745C3" w:rsidP="009829C3" w:rsidRDefault="008745C3" w14:paraId="35691494" w14:textId="77777777">
      <w:pPr>
        <w:widowControl w:val="0"/>
        <w:autoSpaceDE w:val="0"/>
        <w:autoSpaceDN w:val="0"/>
        <w:adjustRightInd w:val="0"/>
        <w:spacing w:line="273" w:lineRule="exact"/>
        <w:jc w:val="both"/>
        <w:rPr>
          <w:szCs w:val="22"/>
        </w:rPr>
      </w:pPr>
    </w:p>
    <w:p w:rsidRPr="00AA6051" w:rsidR="00643252" w:rsidP="009829C3" w:rsidRDefault="00643252" w14:paraId="1B474CA8" w14:textId="77777777">
      <w:pPr>
        <w:widowControl w:val="0"/>
        <w:autoSpaceDE w:val="0"/>
        <w:autoSpaceDN w:val="0"/>
        <w:adjustRightInd w:val="0"/>
        <w:spacing w:line="268" w:lineRule="exact"/>
        <w:jc w:val="both"/>
        <w:rPr>
          <w:szCs w:val="22"/>
        </w:rPr>
      </w:pPr>
    </w:p>
    <w:p w:rsidR="00294C84" w:rsidP="009829C3" w:rsidRDefault="00294C84" w14:paraId="1954892C" w14:textId="77777777">
      <w:pPr>
        <w:widowControl w:val="0"/>
        <w:autoSpaceDE w:val="0"/>
        <w:autoSpaceDN w:val="0"/>
        <w:adjustRightInd w:val="0"/>
        <w:spacing w:line="268" w:lineRule="exact"/>
        <w:jc w:val="both"/>
        <w:rPr>
          <w:szCs w:val="22"/>
        </w:rPr>
      </w:pPr>
    </w:p>
    <w:p w:rsidR="00294C84" w:rsidP="00294C84" w:rsidRDefault="00294C84" w14:paraId="5B1F230A" w14:textId="77777777">
      <w:pPr>
        <w:pStyle w:val="BodyText"/>
        <w:spacing w:before="0"/>
        <w:ind w:firstLine="720"/>
        <w:rPr>
          <w:sz w:val="24"/>
          <w:szCs w:val="24"/>
          <w:lang w:val="en-GB"/>
        </w:rPr>
      </w:pPr>
      <w:r w:rsidRPr="00294C84">
        <w:rPr>
          <w:rFonts w:eastAsia="MS Mincho"/>
          <w:bCs/>
          <w:sz w:val="24"/>
          <w:szCs w:val="24"/>
        </w:rPr>
        <w:lastRenderedPageBreak/>
        <w:t>Each broker or dealer in securities must retain an original or copy of certain types of documents as described in footnote 4</w:t>
      </w:r>
      <w:r w:rsidR="001F309B">
        <w:rPr>
          <w:rFonts w:eastAsia="MS Mincho"/>
          <w:bCs/>
          <w:sz w:val="24"/>
          <w:szCs w:val="24"/>
        </w:rPr>
        <w:t xml:space="preserve"> above</w:t>
      </w:r>
      <w:r w:rsidRPr="00294C84">
        <w:rPr>
          <w:rFonts w:eastAsia="MS Mincho"/>
          <w:bCs/>
          <w:sz w:val="24"/>
          <w:szCs w:val="24"/>
        </w:rPr>
        <w:t>.</w:t>
      </w:r>
      <w:r w:rsidRPr="00294C84">
        <w:rPr>
          <w:sz w:val="24"/>
          <w:szCs w:val="24"/>
          <w:lang w:val="en-GB"/>
        </w:rPr>
        <w:t xml:space="preserve"> Due to the challenges of obtaining the total number of such records required to be maintained by brokers or dealers in securities</w:t>
      </w:r>
      <w:r>
        <w:rPr>
          <w:sz w:val="24"/>
          <w:szCs w:val="24"/>
          <w:lang w:val="en-GB"/>
        </w:rPr>
        <w:t xml:space="preserve">, in its 2017 </w:t>
      </w:r>
      <w:r w:rsidRPr="00294C84">
        <w:rPr>
          <w:sz w:val="24"/>
          <w:szCs w:val="24"/>
          <w:lang w:val="en-GB"/>
        </w:rPr>
        <w:t xml:space="preserve">control number renewal, FinCEN estimated that the </w:t>
      </w:r>
      <w:r w:rsidRPr="00294C84">
        <w:rPr>
          <w:sz w:val="24"/>
          <w:szCs w:val="24"/>
        </w:rPr>
        <w:t>annual recordkeeping burden per broker or dealer in securities for these requirements was 100 hours.</w:t>
      </w:r>
      <w:r w:rsidRPr="00294C84">
        <w:rPr>
          <w:rStyle w:val="FootnoteReference"/>
          <w:sz w:val="24"/>
          <w:szCs w:val="24"/>
        </w:rPr>
        <w:footnoteReference w:id="7"/>
      </w:r>
      <w:r w:rsidRPr="00294C84">
        <w:rPr>
          <w:sz w:val="24"/>
          <w:szCs w:val="24"/>
        </w:rPr>
        <w:t xml:space="preserve"> </w:t>
      </w:r>
      <w:r w:rsidRPr="00294C84">
        <w:rPr>
          <w:sz w:val="24"/>
          <w:szCs w:val="24"/>
          <w:lang w:val="en-GB"/>
        </w:rPr>
        <w:t>FinCEN continues to estimate that the annual hourly burden of complying with 31 CFR 1023.410 is 100 hours per broker or dealer in securities.</w:t>
      </w:r>
    </w:p>
    <w:p w:rsidR="00294C84" w:rsidP="009B61FA" w:rsidRDefault="00294C84" w14:paraId="54903077" w14:textId="77777777">
      <w:pPr>
        <w:pStyle w:val="BodyText"/>
        <w:spacing w:before="0"/>
        <w:rPr>
          <w:sz w:val="24"/>
          <w:szCs w:val="24"/>
          <w:lang w:val="en-GB"/>
        </w:rPr>
      </w:pPr>
    </w:p>
    <w:p w:rsidRPr="00B64E78" w:rsidR="00294C84" w:rsidP="00294C84" w:rsidRDefault="00294C84" w14:paraId="3AA02C68" w14:textId="77777777">
      <w:pPr>
        <w:widowControl w:val="0"/>
        <w:autoSpaceDE w:val="0"/>
        <w:autoSpaceDN w:val="0"/>
        <w:adjustRightInd w:val="0"/>
        <w:spacing w:line="268" w:lineRule="exact"/>
        <w:jc w:val="both"/>
        <w:rPr>
          <w:szCs w:val="22"/>
        </w:rPr>
      </w:pPr>
      <w:r w:rsidRPr="00D918B4">
        <w:rPr>
          <w:szCs w:val="22"/>
          <w:u w:val="single"/>
        </w:rPr>
        <w:t>Estimated Total Annual Burden Hours:</w:t>
      </w:r>
      <w:r w:rsidRPr="00AA6051">
        <w:rPr>
          <w:szCs w:val="22"/>
        </w:rPr>
        <w:t xml:space="preserve"> </w:t>
      </w:r>
      <w:r>
        <w:rPr>
          <w:szCs w:val="22"/>
        </w:rPr>
        <w:t>364,000 hours (3,640 brokers or dealers in securities multiplied by 100 hours)</w:t>
      </w:r>
      <w:r w:rsidRPr="00AA6051">
        <w:rPr>
          <w:szCs w:val="22"/>
        </w:rPr>
        <w:t>.</w:t>
      </w:r>
    </w:p>
    <w:p w:rsidR="000C5B33" w:rsidP="009829C3" w:rsidRDefault="000C5B33" w14:paraId="2DD47031" w14:textId="77777777">
      <w:pPr>
        <w:widowControl w:val="0"/>
        <w:autoSpaceDE w:val="0"/>
        <w:autoSpaceDN w:val="0"/>
        <w:adjustRightInd w:val="0"/>
        <w:spacing w:line="268" w:lineRule="exact"/>
        <w:jc w:val="both"/>
        <w:rPr>
          <w:szCs w:val="22"/>
        </w:rPr>
      </w:pPr>
    </w:p>
    <w:p w:rsidR="000C5B33" w:rsidP="000C5B33" w:rsidRDefault="000C5B33" w14:paraId="49E0DC8B" w14:textId="77777777">
      <w:pPr>
        <w:widowControl w:val="0"/>
        <w:autoSpaceDE w:val="0"/>
        <w:autoSpaceDN w:val="0"/>
        <w:adjustRightInd w:val="0"/>
        <w:spacing w:line="268" w:lineRule="exact"/>
        <w:jc w:val="both"/>
        <w:rPr>
          <w:u w:val="single"/>
        </w:rPr>
      </w:pPr>
      <w:r>
        <w:t xml:space="preserve">13. </w:t>
      </w:r>
      <w:r>
        <w:rPr>
          <w:u w:val="single"/>
        </w:rPr>
        <w:t>Estimated Annual Cost to Respondents for Hour Burdens</w:t>
      </w:r>
    </w:p>
    <w:p w:rsidRPr="00AA6051" w:rsidR="00114F02" w:rsidP="009829C3" w:rsidRDefault="00114F02" w14:paraId="5279AB0B" w14:textId="77777777">
      <w:pPr>
        <w:widowControl w:val="0"/>
        <w:autoSpaceDE w:val="0"/>
        <w:autoSpaceDN w:val="0"/>
        <w:adjustRightInd w:val="0"/>
        <w:spacing w:line="268" w:lineRule="exact"/>
        <w:jc w:val="both"/>
        <w:rPr>
          <w:szCs w:val="22"/>
        </w:rPr>
      </w:pPr>
    </w:p>
    <w:p w:rsidRPr="00837B32" w:rsidR="00241A6E" w:rsidP="00241A6E" w:rsidRDefault="00241A6E" w14:paraId="20A3AA14" w14:textId="77777777">
      <w:pPr>
        <w:ind w:firstLine="720"/>
      </w:pPr>
      <w:r w:rsidRPr="00837B32">
        <w:t xml:space="preserve">To </w:t>
      </w:r>
      <w:r w:rsidRPr="00837B32">
        <w:rPr>
          <w:color w:val="000000"/>
        </w:rPr>
        <w:t>calculate the hourly costs of the burden estimate,</w:t>
      </w:r>
      <w:r w:rsidRPr="00837B32">
        <w:t xml:space="preserve"> FinCEN identified three roles and corresponding staff positions involved in maintaining records as required</w:t>
      </w:r>
      <w:r>
        <w:t xml:space="preserve"> by 31 CFR 1023.410</w:t>
      </w:r>
      <w:r w:rsidRPr="00837B32">
        <w:t xml:space="preserve">: (i) general supervision (providing process oversight); (ii) direct supervision (reviewing operational-level work and cross-checking all or a sample of the work product against supporting documentation); and (iii) clerical work (engaging in recordkeeping). </w:t>
      </w:r>
    </w:p>
    <w:p w:rsidR="00241A6E" w:rsidP="00241A6E" w:rsidRDefault="00241A6E" w14:paraId="41C07604" w14:textId="77777777">
      <w:pPr>
        <w:ind w:firstLine="720"/>
      </w:pPr>
    </w:p>
    <w:p w:rsidRPr="00837B32" w:rsidR="00241A6E" w:rsidP="00241A6E" w:rsidRDefault="00241A6E" w14:paraId="0F7C4C80" w14:textId="77777777">
      <w:pPr>
        <w:ind w:firstLine="720"/>
      </w:pPr>
      <w:r w:rsidRPr="00837B32">
        <w:t>FinCEN calculated the fully-loaded hourly wage for each of these three roles by using the median wage estimated by the U.S. Bureau of Labor Statistics (BLS),</w:t>
      </w:r>
      <w:r w:rsidRPr="00837B32">
        <w:rPr>
          <w:rStyle w:val="FootnoteReference"/>
        </w:rPr>
        <w:footnoteReference w:id="8"/>
      </w:r>
      <w:r w:rsidRPr="00837B32">
        <w:t xml:space="preserve"> and computing an additional benefits cost as follows:</w:t>
      </w:r>
    </w:p>
    <w:p w:rsidRPr="00837B32" w:rsidR="00241A6E" w:rsidP="00241A6E" w:rsidRDefault="00241A6E" w14:paraId="2E8F8432" w14:textId="77777777">
      <w:pPr>
        <w:rPr>
          <w:b/>
          <w:sz w:val="22"/>
          <w:szCs w:val="22"/>
        </w:rPr>
      </w:pPr>
    </w:p>
    <w:tbl>
      <w:tblPr>
        <w:tblStyle w:val="TableGrid"/>
        <w:tblW w:w="9715" w:type="dxa"/>
        <w:tblLook w:val="04A0" w:firstRow="1" w:lastRow="0" w:firstColumn="1" w:lastColumn="0" w:noHBand="0" w:noVBand="1"/>
      </w:tblPr>
      <w:tblGrid>
        <w:gridCol w:w="3415"/>
        <w:gridCol w:w="990"/>
        <w:gridCol w:w="1980"/>
        <w:gridCol w:w="1014"/>
        <w:gridCol w:w="889"/>
        <w:gridCol w:w="1427"/>
      </w:tblGrid>
      <w:tr w:rsidRPr="00837B32" w:rsidR="00241A6E" w:rsidTr="009507D7" w14:paraId="423D73C6" w14:textId="77777777">
        <w:trPr>
          <w:tblHeader/>
        </w:trPr>
        <w:tc>
          <w:tcPr>
            <w:tcW w:w="3415" w:type="dxa"/>
            <w:vAlign w:val="center"/>
          </w:tcPr>
          <w:p w:rsidRPr="00837B32" w:rsidR="00241A6E" w:rsidP="009507D7" w:rsidRDefault="00241A6E" w14:paraId="52CF46C2" w14:textId="77777777">
            <w:pPr>
              <w:rPr>
                <w:rFonts w:ascii="Times New Roman" w:hAnsi="Times New Roman" w:cs="Times New Roman"/>
                <w:b/>
                <w:sz w:val="22"/>
                <w:szCs w:val="22"/>
                <w:lang w:val="en-US"/>
              </w:rPr>
            </w:pPr>
            <w:r w:rsidRPr="00837B32">
              <w:rPr>
                <w:rFonts w:ascii="Times New Roman" w:hAnsi="Times New Roman" w:cs="Times New Roman"/>
                <w:b/>
                <w:sz w:val="22"/>
                <w:szCs w:val="22"/>
                <w:lang w:val="en-US"/>
              </w:rPr>
              <w:t>Role</w:t>
            </w:r>
          </w:p>
        </w:tc>
        <w:tc>
          <w:tcPr>
            <w:tcW w:w="990" w:type="dxa"/>
            <w:vAlign w:val="center"/>
          </w:tcPr>
          <w:p w:rsidRPr="00837B32" w:rsidR="00241A6E" w:rsidP="009507D7" w:rsidRDefault="00241A6E" w14:paraId="74DA5D16" w14:textId="77777777">
            <w:pPr>
              <w:rPr>
                <w:rFonts w:ascii="Times New Roman" w:hAnsi="Times New Roman" w:cs="Times New Roman"/>
                <w:b/>
                <w:sz w:val="22"/>
                <w:szCs w:val="22"/>
                <w:lang w:val="en-US"/>
              </w:rPr>
            </w:pPr>
            <w:r w:rsidRPr="00837B32">
              <w:rPr>
                <w:rFonts w:ascii="Times New Roman" w:hAnsi="Times New Roman" w:cs="Times New Roman"/>
                <w:b/>
                <w:sz w:val="22"/>
                <w:szCs w:val="22"/>
                <w:lang w:val="en-US"/>
              </w:rPr>
              <w:t>BLS-Code</w:t>
            </w:r>
          </w:p>
        </w:tc>
        <w:tc>
          <w:tcPr>
            <w:tcW w:w="1980" w:type="dxa"/>
            <w:vAlign w:val="center"/>
          </w:tcPr>
          <w:p w:rsidRPr="00837B32" w:rsidR="00241A6E" w:rsidP="009507D7" w:rsidRDefault="00241A6E" w14:paraId="7832024F" w14:textId="77777777">
            <w:pPr>
              <w:rPr>
                <w:rFonts w:ascii="Times New Roman" w:hAnsi="Times New Roman" w:cs="Times New Roman"/>
                <w:b/>
                <w:sz w:val="22"/>
                <w:szCs w:val="22"/>
                <w:lang w:val="en-US"/>
              </w:rPr>
            </w:pPr>
            <w:r w:rsidRPr="00837B32">
              <w:rPr>
                <w:rFonts w:ascii="Times New Roman" w:hAnsi="Times New Roman" w:cs="Times New Roman"/>
                <w:b/>
                <w:sz w:val="22"/>
                <w:szCs w:val="22"/>
                <w:lang w:val="en-US"/>
              </w:rPr>
              <w:t>BLS-Name</w:t>
            </w:r>
          </w:p>
        </w:tc>
        <w:tc>
          <w:tcPr>
            <w:tcW w:w="1014" w:type="dxa"/>
            <w:vAlign w:val="center"/>
          </w:tcPr>
          <w:p w:rsidRPr="00837B32" w:rsidR="00241A6E" w:rsidP="009507D7" w:rsidRDefault="00241A6E" w14:paraId="318F9181" w14:textId="77777777">
            <w:pPr>
              <w:rPr>
                <w:rFonts w:ascii="Times New Roman" w:hAnsi="Times New Roman" w:cs="Times New Roman"/>
                <w:b/>
                <w:sz w:val="22"/>
                <w:szCs w:val="22"/>
                <w:lang w:val="en-US"/>
              </w:rPr>
            </w:pPr>
            <w:r w:rsidRPr="00837B32">
              <w:rPr>
                <w:rFonts w:ascii="Times New Roman" w:hAnsi="Times New Roman" w:cs="Times New Roman"/>
                <w:b/>
                <w:sz w:val="22"/>
                <w:szCs w:val="22"/>
                <w:lang w:val="en-US"/>
              </w:rPr>
              <w:t>Median Hourly Wage</w:t>
            </w:r>
          </w:p>
        </w:tc>
        <w:tc>
          <w:tcPr>
            <w:tcW w:w="889" w:type="dxa"/>
            <w:vAlign w:val="center"/>
          </w:tcPr>
          <w:p w:rsidRPr="00837B32" w:rsidR="00241A6E" w:rsidP="009507D7" w:rsidRDefault="00241A6E" w14:paraId="6BCDBEA1" w14:textId="77777777">
            <w:pPr>
              <w:rPr>
                <w:rFonts w:ascii="Times New Roman" w:hAnsi="Times New Roman" w:cs="Times New Roman"/>
                <w:b/>
                <w:sz w:val="22"/>
                <w:szCs w:val="22"/>
                <w:lang w:val="en-US"/>
              </w:rPr>
            </w:pPr>
            <w:r w:rsidRPr="00837B32">
              <w:rPr>
                <w:rFonts w:ascii="Times New Roman" w:hAnsi="Times New Roman" w:cs="Times New Roman"/>
                <w:b/>
                <w:sz w:val="22"/>
                <w:szCs w:val="22"/>
                <w:lang w:val="en-US"/>
              </w:rPr>
              <w:t>Benefit Factor</w:t>
            </w:r>
          </w:p>
        </w:tc>
        <w:tc>
          <w:tcPr>
            <w:tcW w:w="1427" w:type="dxa"/>
            <w:vAlign w:val="center"/>
          </w:tcPr>
          <w:p w:rsidRPr="00837B32" w:rsidR="00241A6E" w:rsidP="009507D7" w:rsidRDefault="00241A6E" w14:paraId="4F170C3E" w14:textId="77777777">
            <w:pPr>
              <w:rPr>
                <w:rFonts w:ascii="Times New Roman" w:hAnsi="Times New Roman" w:cs="Times New Roman"/>
                <w:b/>
                <w:sz w:val="22"/>
                <w:szCs w:val="22"/>
                <w:lang w:val="en-US"/>
              </w:rPr>
            </w:pPr>
            <w:r w:rsidRPr="00837B32">
              <w:rPr>
                <w:rFonts w:ascii="Times New Roman" w:hAnsi="Times New Roman" w:cs="Times New Roman"/>
                <w:b/>
                <w:sz w:val="22"/>
                <w:szCs w:val="22"/>
                <w:lang w:val="en-US"/>
              </w:rPr>
              <w:t>Fully-loaded Hourly Wage</w:t>
            </w:r>
          </w:p>
        </w:tc>
      </w:tr>
      <w:tr w:rsidRPr="00837B32" w:rsidR="00241A6E" w:rsidTr="009507D7" w14:paraId="14CEECF5" w14:textId="77777777">
        <w:tc>
          <w:tcPr>
            <w:tcW w:w="3415" w:type="dxa"/>
            <w:vAlign w:val="center"/>
          </w:tcPr>
          <w:p w:rsidRPr="00837B32" w:rsidR="00241A6E" w:rsidP="009507D7" w:rsidRDefault="00241A6E" w14:paraId="4A8F572F" w14:textId="77777777">
            <w:pPr>
              <w:rPr>
                <w:rFonts w:ascii="Times New Roman" w:hAnsi="Times New Roman" w:cs="Times New Roman"/>
                <w:sz w:val="22"/>
                <w:szCs w:val="22"/>
                <w:lang w:val="en-US"/>
              </w:rPr>
            </w:pPr>
            <w:r w:rsidRPr="00837B32">
              <w:rPr>
                <w:rFonts w:ascii="Times New Roman" w:hAnsi="Times New Roman" w:cs="Times New Roman"/>
                <w:sz w:val="22"/>
                <w:szCs w:val="22"/>
                <w:lang w:val="en-US"/>
              </w:rPr>
              <w:t>General supervision</w:t>
            </w:r>
          </w:p>
        </w:tc>
        <w:tc>
          <w:tcPr>
            <w:tcW w:w="990" w:type="dxa"/>
            <w:vAlign w:val="center"/>
          </w:tcPr>
          <w:p w:rsidRPr="00837B32" w:rsidR="00241A6E" w:rsidP="009507D7" w:rsidRDefault="00241A6E" w14:paraId="78108142" w14:textId="77777777">
            <w:pPr>
              <w:rPr>
                <w:rFonts w:ascii="Times New Roman" w:hAnsi="Times New Roman" w:cs="Times New Roman"/>
                <w:sz w:val="22"/>
                <w:szCs w:val="22"/>
                <w:lang w:val="en-US"/>
              </w:rPr>
            </w:pPr>
            <w:r w:rsidRPr="00837B32">
              <w:rPr>
                <w:rFonts w:ascii="Times New Roman" w:hAnsi="Times New Roman" w:cs="Times New Roman"/>
                <w:sz w:val="22"/>
                <w:szCs w:val="22"/>
                <w:lang w:val="en-US"/>
              </w:rPr>
              <w:t>11-3031</w:t>
            </w:r>
          </w:p>
        </w:tc>
        <w:tc>
          <w:tcPr>
            <w:tcW w:w="1980" w:type="dxa"/>
            <w:vAlign w:val="center"/>
          </w:tcPr>
          <w:p w:rsidRPr="00837B32" w:rsidR="00241A6E" w:rsidP="009507D7" w:rsidRDefault="00241A6E" w14:paraId="2C3BC35A" w14:textId="77777777">
            <w:pPr>
              <w:rPr>
                <w:rFonts w:ascii="Times New Roman" w:hAnsi="Times New Roman" w:cs="Times New Roman"/>
                <w:sz w:val="22"/>
                <w:szCs w:val="22"/>
                <w:lang w:val="en-US"/>
              </w:rPr>
            </w:pPr>
            <w:r w:rsidRPr="00837B32">
              <w:rPr>
                <w:rFonts w:ascii="Times New Roman" w:hAnsi="Times New Roman" w:cs="Times New Roman"/>
                <w:sz w:val="22"/>
                <w:szCs w:val="22"/>
                <w:lang w:val="en-US"/>
              </w:rPr>
              <w:t>Financial Manager</w:t>
            </w:r>
          </w:p>
        </w:tc>
        <w:tc>
          <w:tcPr>
            <w:tcW w:w="1014" w:type="dxa"/>
            <w:vAlign w:val="bottom"/>
          </w:tcPr>
          <w:p w:rsidRPr="00837B32" w:rsidR="00241A6E" w:rsidP="009507D7" w:rsidRDefault="00241A6E" w14:paraId="0BC22FA3" w14:textId="77777777">
            <w:pPr>
              <w:jc w:val="right"/>
              <w:rPr>
                <w:rFonts w:ascii="Times New Roman" w:hAnsi="Times New Roman" w:cs="Times New Roman"/>
                <w:sz w:val="22"/>
                <w:szCs w:val="22"/>
                <w:lang w:val="en-US"/>
              </w:rPr>
            </w:pPr>
            <w:r w:rsidRPr="00837B32">
              <w:rPr>
                <w:rFonts w:ascii="Times New Roman" w:hAnsi="Times New Roman" w:cs="Times New Roman"/>
                <w:sz w:val="22"/>
                <w:szCs w:val="22"/>
                <w:lang w:val="en-US"/>
              </w:rPr>
              <w:t>$62.45</w:t>
            </w:r>
          </w:p>
        </w:tc>
        <w:tc>
          <w:tcPr>
            <w:tcW w:w="889" w:type="dxa"/>
            <w:vAlign w:val="bottom"/>
          </w:tcPr>
          <w:p w:rsidRPr="00837B32" w:rsidR="00241A6E" w:rsidP="009507D7" w:rsidRDefault="00241A6E" w14:paraId="33AA2ED2" w14:textId="77777777">
            <w:pPr>
              <w:jc w:val="right"/>
              <w:rPr>
                <w:rFonts w:ascii="Times New Roman" w:hAnsi="Times New Roman" w:cs="Times New Roman"/>
                <w:sz w:val="22"/>
                <w:szCs w:val="22"/>
                <w:lang w:val="en-US"/>
              </w:rPr>
            </w:pPr>
            <w:r w:rsidRPr="00837B32">
              <w:rPr>
                <w:rFonts w:ascii="Times New Roman" w:hAnsi="Times New Roman" w:cs="Times New Roman"/>
                <w:sz w:val="22"/>
                <w:szCs w:val="22"/>
                <w:lang w:val="en-US"/>
              </w:rPr>
              <w:t>1.50</w:t>
            </w:r>
          </w:p>
        </w:tc>
        <w:tc>
          <w:tcPr>
            <w:tcW w:w="1427" w:type="dxa"/>
            <w:vAlign w:val="bottom"/>
          </w:tcPr>
          <w:p w:rsidRPr="00837B32" w:rsidR="00241A6E" w:rsidP="009507D7" w:rsidRDefault="00241A6E" w14:paraId="22D30762" w14:textId="77777777">
            <w:pPr>
              <w:jc w:val="right"/>
              <w:rPr>
                <w:rFonts w:ascii="Times New Roman" w:hAnsi="Times New Roman" w:cs="Times New Roman"/>
                <w:sz w:val="22"/>
                <w:szCs w:val="22"/>
                <w:lang w:val="en-US"/>
              </w:rPr>
            </w:pPr>
            <w:r w:rsidRPr="00837B32">
              <w:rPr>
                <w:rFonts w:ascii="Times New Roman" w:hAnsi="Times New Roman" w:cs="Times New Roman"/>
                <w:sz w:val="22"/>
                <w:szCs w:val="22"/>
                <w:lang w:val="en-US"/>
              </w:rPr>
              <w:t>$93.68</w:t>
            </w:r>
          </w:p>
        </w:tc>
      </w:tr>
      <w:tr w:rsidRPr="00837B32" w:rsidR="00241A6E" w:rsidTr="009507D7" w14:paraId="2A8C0879" w14:textId="77777777">
        <w:tc>
          <w:tcPr>
            <w:tcW w:w="3415" w:type="dxa"/>
            <w:vAlign w:val="center"/>
          </w:tcPr>
          <w:p w:rsidRPr="00837B32" w:rsidR="00241A6E" w:rsidP="009507D7" w:rsidRDefault="00241A6E" w14:paraId="616528E0" w14:textId="77777777">
            <w:pPr>
              <w:rPr>
                <w:rFonts w:ascii="Times New Roman" w:hAnsi="Times New Roman" w:cs="Times New Roman"/>
                <w:sz w:val="22"/>
                <w:szCs w:val="22"/>
                <w:lang w:val="en-US"/>
              </w:rPr>
            </w:pPr>
            <w:r w:rsidRPr="00837B32">
              <w:rPr>
                <w:rFonts w:ascii="Times New Roman" w:hAnsi="Times New Roman" w:cs="Times New Roman"/>
                <w:sz w:val="22"/>
                <w:szCs w:val="22"/>
                <w:lang w:val="en-US"/>
              </w:rPr>
              <w:t>Direct supervision</w:t>
            </w:r>
          </w:p>
        </w:tc>
        <w:tc>
          <w:tcPr>
            <w:tcW w:w="990" w:type="dxa"/>
            <w:vAlign w:val="center"/>
          </w:tcPr>
          <w:p w:rsidRPr="00837B32" w:rsidR="00241A6E" w:rsidP="009507D7" w:rsidRDefault="00241A6E" w14:paraId="00DE0A39" w14:textId="77777777">
            <w:pPr>
              <w:rPr>
                <w:rFonts w:ascii="Times New Roman" w:hAnsi="Times New Roman" w:cs="Times New Roman"/>
                <w:sz w:val="22"/>
                <w:szCs w:val="22"/>
                <w:lang w:val="en-US"/>
              </w:rPr>
            </w:pPr>
            <w:r w:rsidRPr="00837B32">
              <w:rPr>
                <w:rFonts w:ascii="Times New Roman" w:hAnsi="Times New Roman" w:cs="Times New Roman"/>
                <w:sz w:val="22"/>
                <w:szCs w:val="22"/>
                <w:lang w:val="en-US"/>
              </w:rPr>
              <w:t>13-1041</w:t>
            </w:r>
          </w:p>
        </w:tc>
        <w:tc>
          <w:tcPr>
            <w:tcW w:w="1980" w:type="dxa"/>
            <w:vAlign w:val="center"/>
          </w:tcPr>
          <w:p w:rsidRPr="00837B32" w:rsidR="00241A6E" w:rsidP="009507D7" w:rsidRDefault="00241A6E" w14:paraId="613ACEF3" w14:textId="77777777">
            <w:pPr>
              <w:rPr>
                <w:rFonts w:ascii="Times New Roman" w:hAnsi="Times New Roman" w:cs="Times New Roman"/>
                <w:sz w:val="22"/>
                <w:szCs w:val="22"/>
                <w:lang w:val="en-US"/>
              </w:rPr>
            </w:pPr>
            <w:r w:rsidRPr="00837B32">
              <w:rPr>
                <w:rFonts w:ascii="Times New Roman" w:hAnsi="Times New Roman" w:cs="Times New Roman"/>
                <w:sz w:val="22"/>
                <w:szCs w:val="22"/>
                <w:lang w:val="en-US"/>
              </w:rPr>
              <w:t>Compliance Officer</w:t>
            </w:r>
          </w:p>
        </w:tc>
        <w:tc>
          <w:tcPr>
            <w:tcW w:w="1014" w:type="dxa"/>
            <w:vAlign w:val="bottom"/>
          </w:tcPr>
          <w:p w:rsidRPr="00837B32" w:rsidR="00241A6E" w:rsidP="009507D7" w:rsidRDefault="00241A6E" w14:paraId="28221A7E" w14:textId="77777777">
            <w:pPr>
              <w:jc w:val="right"/>
              <w:rPr>
                <w:rFonts w:ascii="Times New Roman" w:hAnsi="Times New Roman" w:cs="Times New Roman"/>
                <w:sz w:val="22"/>
                <w:szCs w:val="22"/>
                <w:lang w:val="en-US"/>
              </w:rPr>
            </w:pPr>
            <w:r w:rsidRPr="00837B32">
              <w:rPr>
                <w:rFonts w:ascii="Times New Roman" w:hAnsi="Times New Roman" w:cs="Times New Roman"/>
                <w:sz w:val="22"/>
                <w:szCs w:val="22"/>
                <w:lang w:val="en-US"/>
              </w:rPr>
              <w:t>$33.20</w:t>
            </w:r>
          </w:p>
        </w:tc>
        <w:tc>
          <w:tcPr>
            <w:tcW w:w="889" w:type="dxa"/>
            <w:vAlign w:val="bottom"/>
          </w:tcPr>
          <w:p w:rsidRPr="00837B32" w:rsidR="00241A6E" w:rsidP="009507D7" w:rsidRDefault="00241A6E" w14:paraId="3F5F2D63" w14:textId="77777777">
            <w:pPr>
              <w:jc w:val="right"/>
              <w:rPr>
                <w:rFonts w:ascii="Times New Roman" w:hAnsi="Times New Roman" w:cs="Times New Roman"/>
                <w:sz w:val="22"/>
                <w:szCs w:val="22"/>
                <w:lang w:val="en-US"/>
              </w:rPr>
            </w:pPr>
            <w:r w:rsidRPr="00837B32">
              <w:rPr>
                <w:rFonts w:ascii="Times New Roman" w:hAnsi="Times New Roman" w:cs="Times New Roman"/>
                <w:sz w:val="22"/>
                <w:szCs w:val="22"/>
                <w:lang w:val="en-US"/>
              </w:rPr>
              <w:t>1.50</w:t>
            </w:r>
          </w:p>
        </w:tc>
        <w:tc>
          <w:tcPr>
            <w:tcW w:w="1427" w:type="dxa"/>
            <w:vAlign w:val="bottom"/>
          </w:tcPr>
          <w:p w:rsidRPr="00837B32" w:rsidR="00241A6E" w:rsidP="009507D7" w:rsidRDefault="00241A6E" w14:paraId="415D1218" w14:textId="77777777">
            <w:pPr>
              <w:jc w:val="right"/>
              <w:rPr>
                <w:rFonts w:ascii="Times New Roman" w:hAnsi="Times New Roman" w:cs="Times New Roman"/>
                <w:sz w:val="22"/>
                <w:szCs w:val="22"/>
                <w:lang w:val="en-US"/>
              </w:rPr>
            </w:pPr>
            <w:r w:rsidRPr="00837B32">
              <w:rPr>
                <w:rFonts w:ascii="Times New Roman" w:hAnsi="Times New Roman" w:cs="Times New Roman"/>
                <w:sz w:val="22"/>
                <w:szCs w:val="22"/>
                <w:lang w:val="en-US"/>
              </w:rPr>
              <w:t>$49.80</w:t>
            </w:r>
          </w:p>
        </w:tc>
      </w:tr>
      <w:tr w:rsidRPr="00837B32" w:rsidR="00241A6E" w:rsidTr="009507D7" w14:paraId="342540D8" w14:textId="77777777">
        <w:tc>
          <w:tcPr>
            <w:tcW w:w="3415" w:type="dxa"/>
            <w:vAlign w:val="center"/>
          </w:tcPr>
          <w:p w:rsidRPr="00837B32" w:rsidR="00241A6E" w:rsidP="009507D7" w:rsidRDefault="00241A6E" w14:paraId="592DD70F" w14:textId="77777777">
            <w:pPr>
              <w:rPr>
                <w:rFonts w:ascii="Times New Roman" w:hAnsi="Times New Roman" w:cs="Times New Roman"/>
                <w:sz w:val="22"/>
                <w:szCs w:val="22"/>
                <w:lang w:val="en-US"/>
              </w:rPr>
            </w:pPr>
            <w:r w:rsidRPr="00837B32">
              <w:rPr>
                <w:rFonts w:ascii="Times New Roman" w:hAnsi="Times New Roman" w:cs="Times New Roman"/>
                <w:sz w:val="22"/>
                <w:szCs w:val="22"/>
                <w:lang w:val="en-US"/>
              </w:rPr>
              <w:t>Clerical work (research, review, and recordkeeping)</w:t>
            </w:r>
          </w:p>
        </w:tc>
        <w:tc>
          <w:tcPr>
            <w:tcW w:w="990" w:type="dxa"/>
            <w:vAlign w:val="center"/>
          </w:tcPr>
          <w:p w:rsidRPr="00837B32" w:rsidR="00241A6E" w:rsidP="009507D7" w:rsidRDefault="00241A6E" w14:paraId="4EA030C4" w14:textId="77777777">
            <w:pPr>
              <w:rPr>
                <w:rFonts w:ascii="Times New Roman" w:hAnsi="Times New Roman" w:cs="Times New Roman"/>
                <w:sz w:val="22"/>
                <w:szCs w:val="22"/>
                <w:lang w:val="en-US"/>
              </w:rPr>
            </w:pPr>
            <w:r w:rsidRPr="00837B32">
              <w:rPr>
                <w:rFonts w:ascii="Times New Roman" w:hAnsi="Times New Roman" w:cs="Times New Roman"/>
                <w:sz w:val="22"/>
                <w:szCs w:val="22"/>
                <w:lang w:val="en-US"/>
              </w:rPr>
              <w:t>43-3099</w:t>
            </w:r>
          </w:p>
        </w:tc>
        <w:tc>
          <w:tcPr>
            <w:tcW w:w="1980" w:type="dxa"/>
            <w:vAlign w:val="center"/>
          </w:tcPr>
          <w:p w:rsidRPr="00837B32" w:rsidR="00241A6E" w:rsidP="009507D7" w:rsidRDefault="00241A6E" w14:paraId="727BB2A1" w14:textId="77777777">
            <w:pPr>
              <w:rPr>
                <w:rFonts w:ascii="Times New Roman" w:hAnsi="Times New Roman" w:cs="Times New Roman"/>
                <w:sz w:val="22"/>
                <w:szCs w:val="22"/>
                <w:lang w:val="en-US"/>
              </w:rPr>
            </w:pPr>
            <w:r w:rsidRPr="00837B32">
              <w:rPr>
                <w:rFonts w:ascii="Times New Roman" w:hAnsi="Times New Roman" w:cs="Times New Roman"/>
                <w:sz w:val="22"/>
                <w:szCs w:val="22"/>
                <w:lang w:val="en-US"/>
              </w:rPr>
              <w:t>Financial Clerk</w:t>
            </w:r>
          </w:p>
        </w:tc>
        <w:tc>
          <w:tcPr>
            <w:tcW w:w="1014" w:type="dxa"/>
            <w:vAlign w:val="bottom"/>
          </w:tcPr>
          <w:p w:rsidRPr="00837B32" w:rsidR="00241A6E" w:rsidP="009507D7" w:rsidRDefault="00241A6E" w14:paraId="0E80CC1E" w14:textId="77777777">
            <w:pPr>
              <w:jc w:val="right"/>
              <w:rPr>
                <w:rFonts w:ascii="Times New Roman" w:hAnsi="Times New Roman" w:cs="Times New Roman"/>
                <w:sz w:val="22"/>
                <w:szCs w:val="22"/>
                <w:lang w:val="en-US"/>
              </w:rPr>
            </w:pPr>
            <w:r w:rsidRPr="00837B32">
              <w:rPr>
                <w:rFonts w:ascii="Times New Roman" w:hAnsi="Times New Roman" w:cs="Times New Roman"/>
                <w:sz w:val="22"/>
                <w:szCs w:val="22"/>
                <w:lang w:val="en-US"/>
              </w:rPr>
              <w:t>$20.40</w:t>
            </w:r>
          </w:p>
        </w:tc>
        <w:tc>
          <w:tcPr>
            <w:tcW w:w="889" w:type="dxa"/>
            <w:vAlign w:val="bottom"/>
          </w:tcPr>
          <w:p w:rsidRPr="00837B32" w:rsidR="00241A6E" w:rsidP="009507D7" w:rsidRDefault="00241A6E" w14:paraId="7E2357A9" w14:textId="77777777">
            <w:pPr>
              <w:jc w:val="right"/>
              <w:rPr>
                <w:rFonts w:ascii="Times New Roman" w:hAnsi="Times New Roman" w:cs="Times New Roman"/>
                <w:sz w:val="22"/>
                <w:szCs w:val="22"/>
                <w:lang w:val="en-US"/>
              </w:rPr>
            </w:pPr>
            <w:r w:rsidRPr="00837B32">
              <w:rPr>
                <w:rFonts w:ascii="Times New Roman" w:hAnsi="Times New Roman" w:cs="Times New Roman"/>
                <w:sz w:val="22"/>
                <w:szCs w:val="22"/>
                <w:lang w:val="en-US"/>
              </w:rPr>
              <w:t>1.50</w:t>
            </w:r>
          </w:p>
        </w:tc>
        <w:tc>
          <w:tcPr>
            <w:tcW w:w="1427" w:type="dxa"/>
            <w:vAlign w:val="bottom"/>
          </w:tcPr>
          <w:p w:rsidRPr="00837B32" w:rsidR="00241A6E" w:rsidP="009507D7" w:rsidRDefault="00241A6E" w14:paraId="2CE6FA83" w14:textId="77777777">
            <w:pPr>
              <w:jc w:val="right"/>
              <w:rPr>
                <w:rFonts w:ascii="Times New Roman" w:hAnsi="Times New Roman" w:cs="Times New Roman"/>
                <w:sz w:val="22"/>
                <w:szCs w:val="22"/>
                <w:lang w:val="en-US"/>
              </w:rPr>
            </w:pPr>
            <w:r w:rsidRPr="00837B32">
              <w:rPr>
                <w:rFonts w:ascii="Times New Roman" w:hAnsi="Times New Roman" w:cs="Times New Roman"/>
                <w:sz w:val="22"/>
                <w:szCs w:val="22"/>
                <w:lang w:val="en-US"/>
              </w:rPr>
              <w:t>$30.60</w:t>
            </w:r>
          </w:p>
        </w:tc>
      </w:tr>
    </w:tbl>
    <w:p w:rsidR="00241A6E" w:rsidP="009829C3" w:rsidRDefault="00241A6E" w14:paraId="14355C5D" w14:textId="77777777">
      <w:pPr>
        <w:widowControl w:val="0"/>
        <w:autoSpaceDE w:val="0"/>
        <w:autoSpaceDN w:val="0"/>
        <w:adjustRightInd w:val="0"/>
        <w:spacing w:line="268" w:lineRule="exact"/>
        <w:jc w:val="both"/>
        <w:rPr>
          <w:szCs w:val="22"/>
        </w:rPr>
      </w:pPr>
    </w:p>
    <w:p w:rsidR="00241A6E" w:rsidP="00241A6E" w:rsidRDefault="00241A6E" w14:paraId="5E25109C" w14:textId="77777777">
      <w:pPr>
        <w:ind w:firstLine="720"/>
      </w:pPr>
      <w:r w:rsidRPr="00837B32">
        <w:t xml:space="preserve">FinCEN estimates that, </w:t>
      </w:r>
      <w:r w:rsidRPr="00837B32">
        <w:rPr>
          <w:b/>
          <w:i/>
        </w:rPr>
        <w:t>in general and on average</w:t>
      </w:r>
      <w:r w:rsidRPr="00837B32">
        <w:t>,</w:t>
      </w:r>
      <w:r w:rsidRPr="00837B32">
        <w:rPr>
          <w:rStyle w:val="FootnoteReference"/>
        </w:rPr>
        <w:footnoteReference w:id="9"/>
      </w:r>
      <w:r w:rsidRPr="00837B32">
        <w:t xml:space="preserve"> each role would spend different amounts of time on each portion of the traditional annual PRA burden, as follows:</w:t>
      </w:r>
    </w:p>
    <w:p w:rsidRPr="00837B32" w:rsidR="00241A6E" w:rsidP="00241A6E" w:rsidRDefault="00241A6E" w14:paraId="4EFB0CAF" w14:textId="77777777">
      <w:pPr>
        <w:ind w:firstLine="720"/>
      </w:pPr>
    </w:p>
    <w:p w:rsidRPr="00F94E04" w:rsidR="00241A6E" w:rsidP="00241A6E" w:rsidRDefault="00241A6E" w14:paraId="10227184" w14:textId="77777777">
      <w:pPr>
        <w:ind w:firstLine="720"/>
      </w:pPr>
      <w:r w:rsidRPr="00837B32">
        <w:t>The cost of each hour of burden, broken down by role, to produce and maintain records as outlined in 31 C</w:t>
      </w:r>
      <w:r>
        <w:t xml:space="preserve">FR 1023.410 </w:t>
      </w:r>
      <w:r w:rsidRPr="00837B32">
        <w:t xml:space="preserve">would </w:t>
      </w:r>
      <w:r>
        <w:t xml:space="preserve">be $37.00 as set out </w:t>
      </w:r>
      <w:r w:rsidRPr="00837B32">
        <w:t>below:</w:t>
      </w:r>
    </w:p>
    <w:p w:rsidRPr="00837B32" w:rsidR="00241A6E" w:rsidP="00241A6E" w:rsidRDefault="00241A6E" w14:paraId="14698390" w14:textId="77777777">
      <w:pPr>
        <w:rPr>
          <w:b/>
          <w:sz w:val="22"/>
          <w:szCs w:val="22"/>
        </w:rPr>
      </w:pPr>
    </w:p>
    <w:tbl>
      <w:tblPr>
        <w:tblStyle w:val="TableGrid"/>
        <w:tblW w:w="9535" w:type="dxa"/>
        <w:tblLook w:val="04A0" w:firstRow="1" w:lastRow="0" w:firstColumn="1" w:lastColumn="0" w:noHBand="0" w:noVBand="1"/>
      </w:tblPr>
      <w:tblGrid>
        <w:gridCol w:w="1168"/>
        <w:gridCol w:w="1169"/>
        <w:gridCol w:w="1169"/>
        <w:gridCol w:w="1169"/>
        <w:gridCol w:w="1530"/>
        <w:gridCol w:w="1440"/>
        <w:gridCol w:w="1890"/>
      </w:tblGrid>
      <w:tr w:rsidRPr="00837B32" w:rsidR="00241A6E" w:rsidTr="009507D7" w14:paraId="0A0D0E13" w14:textId="77777777">
        <w:trPr>
          <w:tblHeader/>
        </w:trPr>
        <w:tc>
          <w:tcPr>
            <w:tcW w:w="2337" w:type="dxa"/>
            <w:gridSpan w:val="2"/>
          </w:tcPr>
          <w:p w:rsidRPr="00837B32" w:rsidR="00241A6E" w:rsidP="009507D7" w:rsidRDefault="00241A6E" w14:paraId="2EE8DE0A" w14:textId="77777777">
            <w:pPr>
              <w:rPr>
                <w:rFonts w:ascii="Times New Roman" w:hAnsi="Times New Roman" w:cs="Times New Roman"/>
                <w:b/>
                <w:sz w:val="22"/>
                <w:szCs w:val="22"/>
                <w:lang w:val="en-US"/>
              </w:rPr>
            </w:pPr>
            <w:r w:rsidRPr="00837B32">
              <w:rPr>
                <w:rFonts w:ascii="Times New Roman" w:hAnsi="Times New Roman" w:cs="Times New Roman"/>
                <w:b/>
                <w:sz w:val="22"/>
                <w:szCs w:val="22"/>
                <w:lang w:val="en-US"/>
              </w:rPr>
              <w:t>General Supervision</w:t>
            </w:r>
          </w:p>
        </w:tc>
        <w:tc>
          <w:tcPr>
            <w:tcW w:w="2338" w:type="dxa"/>
            <w:gridSpan w:val="2"/>
          </w:tcPr>
          <w:p w:rsidRPr="00837B32" w:rsidR="00241A6E" w:rsidP="009507D7" w:rsidRDefault="00241A6E" w14:paraId="369AFE59" w14:textId="77777777">
            <w:pPr>
              <w:rPr>
                <w:rFonts w:ascii="Times New Roman" w:hAnsi="Times New Roman" w:cs="Times New Roman"/>
                <w:b/>
                <w:sz w:val="22"/>
                <w:szCs w:val="22"/>
                <w:lang w:val="en-US"/>
              </w:rPr>
            </w:pPr>
            <w:r w:rsidRPr="00837B32">
              <w:rPr>
                <w:rFonts w:ascii="Times New Roman" w:hAnsi="Times New Roman" w:cs="Times New Roman"/>
                <w:b/>
                <w:sz w:val="22"/>
                <w:szCs w:val="22"/>
                <w:lang w:val="en-US"/>
              </w:rPr>
              <w:t>Direct Supervision</w:t>
            </w:r>
          </w:p>
        </w:tc>
        <w:tc>
          <w:tcPr>
            <w:tcW w:w="2970" w:type="dxa"/>
            <w:gridSpan w:val="2"/>
          </w:tcPr>
          <w:p w:rsidRPr="00837B32" w:rsidR="00241A6E" w:rsidP="009507D7" w:rsidRDefault="00241A6E" w14:paraId="731C7891" w14:textId="77777777">
            <w:pPr>
              <w:rPr>
                <w:rFonts w:ascii="Times New Roman" w:hAnsi="Times New Roman" w:cs="Times New Roman"/>
                <w:b/>
                <w:sz w:val="22"/>
                <w:szCs w:val="22"/>
                <w:lang w:val="en-US"/>
              </w:rPr>
            </w:pPr>
            <w:r w:rsidRPr="00837B32">
              <w:rPr>
                <w:rFonts w:ascii="Times New Roman" w:hAnsi="Times New Roman" w:cs="Times New Roman"/>
                <w:b/>
                <w:sz w:val="22"/>
                <w:szCs w:val="22"/>
                <w:lang w:val="en-US"/>
              </w:rPr>
              <w:t xml:space="preserve">Clerical Work </w:t>
            </w:r>
          </w:p>
        </w:tc>
        <w:tc>
          <w:tcPr>
            <w:tcW w:w="1890" w:type="dxa"/>
            <w:vMerge w:val="restart"/>
          </w:tcPr>
          <w:p w:rsidRPr="00837B32" w:rsidR="00241A6E" w:rsidP="009507D7" w:rsidRDefault="00241A6E" w14:paraId="264A4385" w14:textId="77777777">
            <w:pPr>
              <w:rPr>
                <w:rFonts w:ascii="Times New Roman" w:hAnsi="Times New Roman" w:cs="Times New Roman"/>
                <w:b/>
                <w:sz w:val="22"/>
                <w:szCs w:val="22"/>
                <w:lang w:val="en-US"/>
              </w:rPr>
            </w:pPr>
            <w:r w:rsidRPr="00837B32">
              <w:rPr>
                <w:rFonts w:ascii="Times New Roman" w:hAnsi="Times New Roman" w:cs="Times New Roman"/>
                <w:b/>
                <w:sz w:val="22"/>
                <w:szCs w:val="22"/>
                <w:lang w:val="en-US"/>
              </w:rPr>
              <w:t>Weighted Average Hourly Cost</w:t>
            </w:r>
          </w:p>
        </w:tc>
      </w:tr>
      <w:tr w:rsidRPr="00837B32" w:rsidR="00241A6E" w:rsidTr="009507D7" w14:paraId="294D4675" w14:textId="77777777">
        <w:tc>
          <w:tcPr>
            <w:tcW w:w="1168" w:type="dxa"/>
          </w:tcPr>
          <w:p w:rsidRPr="00837B32" w:rsidR="00241A6E" w:rsidP="009507D7" w:rsidRDefault="00241A6E" w14:paraId="31E1B0B1" w14:textId="77777777">
            <w:pPr>
              <w:rPr>
                <w:rFonts w:ascii="Times New Roman" w:hAnsi="Times New Roman" w:cs="Times New Roman"/>
                <w:b/>
                <w:sz w:val="22"/>
                <w:szCs w:val="22"/>
                <w:lang w:val="en-US"/>
              </w:rPr>
            </w:pPr>
            <w:r w:rsidRPr="00837B32">
              <w:rPr>
                <w:rFonts w:ascii="Times New Roman" w:hAnsi="Times New Roman" w:cs="Times New Roman"/>
                <w:b/>
                <w:sz w:val="22"/>
                <w:szCs w:val="22"/>
                <w:lang w:val="en-US"/>
              </w:rPr>
              <w:t>% Time</w:t>
            </w:r>
          </w:p>
        </w:tc>
        <w:tc>
          <w:tcPr>
            <w:tcW w:w="1169" w:type="dxa"/>
          </w:tcPr>
          <w:p w:rsidRPr="00837B32" w:rsidR="00241A6E" w:rsidP="009507D7" w:rsidRDefault="00241A6E" w14:paraId="3A443C36" w14:textId="77777777">
            <w:pPr>
              <w:rPr>
                <w:rFonts w:ascii="Times New Roman" w:hAnsi="Times New Roman" w:cs="Times New Roman"/>
                <w:b/>
                <w:sz w:val="22"/>
                <w:szCs w:val="22"/>
                <w:lang w:val="en-US"/>
              </w:rPr>
            </w:pPr>
            <w:r w:rsidRPr="00837B32">
              <w:rPr>
                <w:rFonts w:ascii="Times New Roman" w:hAnsi="Times New Roman" w:cs="Times New Roman"/>
                <w:b/>
                <w:sz w:val="22"/>
                <w:szCs w:val="22"/>
                <w:lang w:val="en-US"/>
              </w:rPr>
              <w:t>Hourly Cost</w:t>
            </w:r>
          </w:p>
        </w:tc>
        <w:tc>
          <w:tcPr>
            <w:tcW w:w="1169" w:type="dxa"/>
          </w:tcPr>
          <w:p w:rsidRPr="00837B32" w:rsidR="00241A6E" w:rsidP="009507D7" w:rsidRDefault="00241A6E" w14:paraId="66C6A926" w14:textId="77777777">
            <w:pPr>
              <w:rPr>
                <w:rFonts w:ascii="Times New Roman" w:hAnsi="Times New Roman" w:cs="Times New Roman"/>
                <w:b/>
                <w:sz w:val="22"/>
                <w:szCs w:val="22"/>
                <w:lang w:val="en-US"/>
              </w:rPr>
            </w:pPr>
            <w:r w:rsidRPr="00837B32">
              <w:rPr>
                <w:rFonts w:ascii="Times New Roman" w:hAnsi="Times New Roman" w:cs="Times New Roman"/>
                <w:b/>
                <w:sz w:val="22"/>
                <w:szCs w:val="22"/>
                <w:lang w:val="en-US"/>
              </w:rPr>
              <w:t>% Time</w:t>
            </w:r>
          </w:p>
        </w:tc>
        <w:tc>
          <w:tcPr>
            <w:tcW w:w="1169" w:type="dxa"/>
          </w:tcPr>
          <w:p w:rsidRPr="00837B32" w:rsidR="00241A6E" w:rsidP="009507D7" w:rsidRDefault="00241A6E" w14:paraId="6E540638" w14:textId="77777777">
            <w:pPr>
              <w:rPr>
                <w:rFonts w:ascii="Times New Roman" w:hAnsi="Times New Roman" w:cs="Times New Roman"/>
                <w:b/>
                <w:sz w:val="22"/>
                <w:szCs w:val="22"/>
                <w:lang w:val="en-US"/>
              </w:rPr>
            </w:pPr>
            <w:r w:rsidRPr="00837B32">
              <w:rPr>
                <w:rFonts w:ascii="Times New Roman" w:hAnsi="Times New Roman" w:cs="Times New Roman"/>
                <w:b/>
                <w:sz w:val="22"/>
                <w:szCs w:val="22"/>
                <w:lang w:val="en-US"/>
              </w:rPr>
              <w:t>Hourly Cost</w:t>
            </w:r>
          </w:p>
        </w:tc>
        <w:tc>
          <w:tcPr>
            <w:tcW w:w="1530" w:type="dxa"/>
          </w:tcPr>
          <w:p w:rsidRPr="00837B32" w:rsidR="00241A6E" w:rsidP="009507D7" w:rsidRDefault="00241A6E" w14:paraId="287F965F" w14:textId="77777777">
            <w:pPr>
              <w:rPr>
                <w:rFonts w:ascii="Times New Roman" w:hAnsi="Times New Roman" w:cs="Times New Roman"/>
                <w:b/>
                <w:sz w:val="22"/>
                <w:szCs w:val="22"/>
                <w:lang w:val="en-US"/>
              </w:rPr>
            </w:pPr>
            <w:r w:rsidRPr="00837B32">
              <w:rPr>
                <w:rFonts w:ascii="Times New Roman" w:hAnsi="Times New Roman" w:cs="Times New Roman"/>
                <w:b/>
                <w:sz w:val="22"/>
                <w:szCs w:val="22"/>
                <w:lang w:val="en-US"/>
              </w:rPr>
              <w:t>% Time</w:t>
            </w:r>
          </w:p>
        </w:tc>
        <w:tc>
          <w:tcPr>
            <w:tcW w:w="1440" w:type="dxa"/>
          </w:tcPr>
          <w:p w:rsidRPr="00837B32" w:rsidR="00241A6E" w:rsidP="009507D7" w:rsidRDefault="00241A6E" w14:paraId="41B87016" w14:textId="77777777">
            <w:pPr>
              <w:rPr>
                <w:rFonts w:ascii="Times New Roman" w:hAnsi="Times New Roman" w:cs="Times New Roman"/>
                <w:b/>
                <w:sz w:val="22"/>
                <w:szCs w:val="22"/>
                <w:lang w:val="en-US"/>
              </w:rPr>
            </w:pPr>
            <w:r w:rsidRPr="00837B32">
              <w:rPr>
                <w:rFonts w:ascii="Times New Roman" w:hAnsi="Times New Roman" w:cs="Times New Roman"/>
                <w:b/>
                <w:sz w:val="22"/>
                <w:szCs w:val="22"/>
                <w:lang w:val="en-US"/>
              </w:rPr>
              <w:t>Hourly Cost</w:t>
            </w:r>
          </w:p>
        </w:tc>
        <w:tc>
          <w:tcPr>
            <w:tcW w:w="1890" w:type="dxa"/>
            <w:vMerge/>
          </w:tcPr>
          <w:p w:rsidRPr="00837B32" w:rsidR="00241A6E" w:rsidP="009507D7" w:rsidRDefault="00241A6E" w14:paraId="5BB0D0F6" w14:textId="77777777">
            <w:pPr>
              <w:rPr>
                <w:rFonts w:ascii="Times New Roman" w:hAnsi="Times New Roman" w:cs="Times New Roman"/>
                <w:b/>
                <w:sz w:val="22"/>
                <w:szCs w:val="22"/>
                <w:lang w:val="en-US"/>
              </w:rPr>
            </w:pPr>
          </w:p>
        </w:tc>
      </w:tr>
      <w:tr w:rsidRPr="00837B32" w:rsidR="00241A6E" w:rsidTr="009507D7" w14:paraId="54854AC7" w14:textId="77777777">
        <w:tc>
          <w:tcPr>
            <w:tcW w:w="1168" w:type="dxa"/>
            <w:vAlign w:val="center"/>
          </w:tcPr>
          <w:p w:rsidRPr="00837B32" w:rsidR="00241A6E" w:rsidP="009507D7" w:rsidRDefault="00241A6E" w14:paraId="1494CF39" w14:textId="77777777">
            <w:pPr>
              <w:jc w:val="right"/>
              <w:rPr>
                <w:rFonts w:ascii="Times New Roman" w:hAnsi="Times New Roman" w:cs="Times New Roman"/>
                <w:sz w:val="22"/>
                <w:szCs w:val="22"/>
                <w:lang w:val="en-US"/>
              </w:rPr>
            </w:pPr>
            <w:r w:rsidRPr="00837B32">
              <w:rPr>
                <w:rFonts w:ascii="Times New Roman" w:hAnsi="Times New Roman" w:cs="Times New Roman"/>
                <w:sz w:val="22"/>
                <w:szCs w:val="22"/>
                <w:lang w:val="en-US"/>
              </w:rPr>
              <w:t>5%</w:t>
            </w:r>
          </w:p>
        </w:tc>
        <w:tc>
          <w:tcPr>
            <w:tcW w:w="1169" w:type="dxa"/>
            <w:vAlign w:val="center"/>
          </w:tcPr>
          <w:p w:rsidRPr="00837B32" w:rsidR="00241A6E" w:rsidP="009507D7" w:rsidRDefault="00241A6E" w14:paraId="2BDE7395" w14:textId="77777777">
            <w:pPr>
              <w:jc w:val="right"/>
              <w:rPr>
                <w:rFonts w:ascii="Times New Roman" w:hAnsi="Times New Roman" w:cs="Times New Roman"/>
                <w:sz w:val="22"/>
                <w:szCs w:val="22"/>
                <w:lang w:val="en-US"/>
              </w:rPr>
            </w:pPr>
            <w:r w:rsidRPr="00837B32">
              <w:rPr>
                <w:rFonts w:ascii="Times New Roman" w:hAnsi="Times New Roman" w:cs="Times New Roman"/>
                <w:sz w:val="22"/>
                <w:szCs w:val="22"/>
                <w:lang w:val="en-US"/>
              </w:rPr>
              <w:t>$4.68</w:t>
            </w:r>
          </w:p>
        </w:tc>
        <w:tc>
          <w:tcPr>
            <w:tcW w:w="1169" w:type="dxa"/>
            <w:vAlign w:val="center"/>
          </w:tcPr>
          <w:p w:rsidRPr="00837B32" w:rsidR="00241A6E" w:rsidP="009507D7" w:rsidRDefault="00241A6E" w14:paraId="1004E59C" w14:textId="77777777">
            <w:pPr>
              <w:jc w:val="right"/>
              <w:rPr>
                <w:rFonts w:ascii="Times New Roman" w:hAnsi="Times New Roman" w:cs="Times New Roman"/>
                <w:sz w:val="22"/>
                <w:szCs w:val="22"/>
                <w:lang w:val="en-US"/>
              </w:rPr>
            </w:pPr>
            <w:r w:rsidRPr="00837B32">
              <w:rPr>
                <w:rFonts w:ascii="Times New Roman" w:hAnsi="Times New Roman" w:cs="Times New Roman"/>
                <w:sz w:val="22"/>
                <w:szCs w:val="22"/>
                <w:lang w:val="en-US"/>
              </w:rPr>
              <w:t>15%</w:t>
            </w:r>
          </w:p>
        </w:tc>
        <w:tc>
          <w:tcPr>
            <w:tcW w:w="1169" w:type="dxa"/>
            <w:vAlign w:val="center"/>
          </w:tcPr>
          <w:p w:rsidRPr="00837B32" w:rsidR="00241A6E" w:rsidP="009507D7" w:rsidRDefault="00241A6E" w14:paraId="26E95A47" w14:textId="77777777">
            <w:pPr>
              <w:jc w:val="right"/>
              <w:rPr>
                <w:rFonts w:ascii="Times New Roman" w:hAnsi="Times New Roman" w:cs="Times New Roman"/>
                <w:sz w:val="22"/>
                <w:szCs w:val="22"/>
                <w:lang w:val="en-US"/>
              </w:rPr>
            </w:pPr>
            <w:r w:rsidRPr="00837B32">
              <w:rPr>
                <w:rFonts w:ascii="Times New Roman" w:hAnsi="Times New Roman" w:cs="Times New Roman"/>
                <w:sz w:val="22"/>
                <w:szCs w:val="22"/>
                <w:lang w:val="en-US"/>
              </w:rPr>
              <w:t>$7.47</w:t>
            </w:r>
          </w:p>
        </w:tc>
        <w:tc>
          <w:tcPr>
            <w:tcW w:w="1530" w:type="dxa"/>
            <w:vAlign w:val="center"/>
          </w:tcPr>
          <w:p w:rsidRPr="00837B32" w:rsidR="00241A6E" w:rsidP="009507D7" w:rsidRDefault="00241A6E" w14:paraId="61393001" w14:textId="77777777">
            <w:pPr>
              <w:jc w:val="right"/>
              <w:rPr>
                <w:rFonts w:ascii="Times New Roman" w:hAnsi="Times New Roman" w:cs="Times New Roman"/>
                <w:sz w:val="22"/>
                <w:szCs w:val="22"/>
                <w:lang w:val="en-US"/>
              </w:rPr>
            </w:pPr>
            <w:r w:rsidRPr="00837B32">
              <w:rPr>
                <w:rFonts w:ascii="Times New Roman" w:hAnsi="Times New Roman" w:cs="Times New Roman"/>
                <w:sz w:val="22"/>
                <w:szCs w:val="22"/>
                <w:lang w:val="en-US"/>
              </w:rPr>
              <w:t>80%</w:t>
            </w:r>
          </w:p>
        </w:tc>
        <w:tc>
          <w:tcPr>
            <w:tcW w:w="1440" w:type="dxa"/>
            <w:vAlign w:val="center"/>
          </w:tcPr>
          <w:p w:rsidRPr="00837B32" w:rsidR="00241A6E" w:rsidP="009507D7" w:rsidRDefault="00241A6E" w14:paraId="69F38AE0" w14:textId="77777777">
            <w:pPr>
              <w:jc w:val="right"/>
              <w:rPr>
                <w:rFonts w:ascii="Times New Roman" w:hAnsi="Times New Roman" w:cs="Times New Roman"/>
                <w:sz w:val="22"/>
                <w:szCs w:val="22"/>
                <w:lang w:val="en-US"/>
              </w:rPr>
            </w:pPr>
            <w:r w:rsidRPr="00837B32">
              <w:rPr>
                <w:rFonts w:ascii="Times New Roman" w:hAnsi="Times New Roman" w:cs="Times New Roman"/>
                <w:sz w:val="22"/>
                <w:szCs w:val="22"/>
                <w:lang w:val="en-US"/>
              </w:rPr>
              <w:t>$24.48</w:t>
            </w:r>
          </w:p>
        </w:tc>
        <w:tc>
          <w:tcPr>
            <w:tcW w:w="1890" w:type="dxa"/>
            <w:vAlign w:val="center"/>
          </w:tcPr>
          <w:p w:rsidRPr="00837B32" w:rsidR="00241A6E" w:rsidP="009507D7" w:rsidRDefault="00241A6E" w14:paraId="3F239E86" w14:textId="77777777">
            <w:pPr>
              <w:jc w:val="right"/>
              <w:rPr>
                <w:rFonts w:ascii="Times New Roman" w:hAnsi="Times New Roman" w:cs="Times New Roman"/>
                <w:sz w:val="22"/>
                <w:szCs w:val="22"/>
                <w:lang w:val="en-US"/>
              </w:rPr>
            </w:pPr>
            <w:r w:rsidRPr="00837B32">
              <w:rPr>
                <w:rFonts w:ascii="Times New Roman" w:hAnsi="Times New Roman" w:cs="Times New Roman"/>
                <w:sz w:val="22"/>
                <w:szCs w:val="22"/>
                <w:lang w:val="en-US"/>
              </w:rPr>
              <w:t>$37.00</w:t>
            </w:r>
          </w:p>
        </w:tc>
      </w:tr>
    </w:tbl>
    <w:p w:rsidR="00241A6E" w:rsidP="00241A6E" w:rsidRDefault="00241A6E" w14:paraId="189294CE" w14:textId="77777777">
      <w:r w:rsidRPr="00837B32">
        <w:t>$36.63 rounded to $37.00</w:t>
      </w:r>
    </w:p>
    <w:p w:rsidR="00241A6E" w:rsidP="009829C3" w:rsidRDefault="00241A6E" w14:paraId="4A635483" w14:textId="77777777">
      <w:pPr>
        <w:widowControl w:val="0"/>
        <w:autoSpaceDE w:val="0"/>
        <w:autoSpaceDN w:val="0"/>
        <w:adjustRightInd w:val="0"/>
        <w:spacing w:line="268" w:lineRule="exact"/>
        <w:jc w:val="both"/>
        <w:rPr>
          <w:szCs w:val="22"/>
        </w:rPr>
      </w:pPr>
    </w:p>
    <w:p w:rsidRPr="00B64E78" w:rsidR="000C52EF" w:rsidP="000C52EF" w:rsidRDefault="000C52EF" w14:paraId="5FAE0FD6" w14:textId="77777777">
      <w:pPr>
        <w:widowControl w:val="0"/>
        <w:autoSpaceDE w:val="0"/>
        <w:autoSpaceDN w:val="0"/>
        <w:adjustRightInd w:val="0"/>
        <w:spacing w:line="268" w:lineRule="exact"/>
        <w:jc w:val="both"/>
        <w:rPr>
          <w:szCs w:val="22"/>
        </w:rPr>
      </w:pPr>
      <w:r w:rsidRPr="003B3D54">
        <w:rPr>
          <w:u w:val="single"/>
        </w:rPr>
        <w:t>Total Estimated Annual Cost:</w:t>
      </w:r>
      <w:r w:rsidRPr="00432808">
        <w:t xml:space="preserve"> $13,468,000</w:t>
      </w:r>
      <w:r w:rsidRPr="001C5932">
        <w:t xml:space="preserve"> </w:t>
      </w:r>
      <w:r>
        <w:rPr>
          <w:szCs w:val="22"/>
        </w:rPr>
        <w:t>(364,000 hours multiplied by $37)</w:t>
      </w:r>
      <w:r w:rsidRPr="00AA6051">
        <w:rPr>
          <w:szCs w:val="22"/>
        </w:rPr>
        <w:t>.</w:t>
      </w:r>
    </w:p>
    <w:p w:rsidR="000C52EF" w:rsidP="009829C3" w:rsidRDefault="000C52EF" w14:paraId="33A27450" w14:textId="77777777">
      <w:pPr>
        <w:widowControl w:val="0"/>
        <w:autoSpaceDE w:val="0"/>
        <w:autoSpaceDN w:val="0"/>
        <w:adjustRightInd w:val="0"/>
        <w:spacing w:line="268" w:lineRule="exact"/>
        <w:jc w:val="both"/>
        <w:rPr>
          <w:szCs w:val="22"/>
        </w:rPr>
      </w:pPr>
    </w:p>
    <w:p w:rsidR="00F34526" w:rsidP="005F6F5A" w:rsidRDefault="00F34526" w14:paraId="7A54E64B" w14:textId="77777777">
      <w:pPr>
        <w:ind w:firstLine="720"/>
        <w:rPr>
          <w:szCs w:val="22"/>
        </w:rPr>
      </w:pPr>
      <w:r>
        <w:rPr>
          <w:szCs w:val="22"/>
        </w:rPr>
        <w:t xml:space="preserve">There are </w:t>
      </w:r>
      <w:r w:rsidRPr="00F34526">
        <w:rPr>
          <w:szCs w:val="22"/>
        </w:rPr>
        <w:t>no non-labor costs associated with this collection of information.</w:t>
      </w:r>
    </w:p>
    <w:p w:rsidR="00F34526" w:rsidP="009829C3" w:rsidRDefault="00F34526" w14:paraId="2613C528" w14:textId="77777777">
      <w:pPr>
        <w:rPr>
          <w:szCs w:val="22"/>
        </w:rPr>
      </w:pPr>
    </w:p>
    <w:p w:rsidRPr="00AA6051" w:rsidR="00643252" w:rsidP="009829C3" w:rsidRDefault="00643252" w14:paraId="5F7F5763" w14:textId="77777777">
      <w:pPr>
        <w:rPr>
          <w:szCs w:val="22"/>
        </w:rPr>
      </w:pPr>
      <w:r w:rsidRPr="00D700D9">
        <w:rPr>
          <w:szCs w:val="22"/>
        </w:rPr>
        <w:t xml:space="preserve">14. </w:t>
      </w:r>
      <w:r w:rsidRPr="00D700D9">
        <w:rPr>
          <w:szCs w:val="22"/>
          <w:u w:val="single"/>
        </w:rPr>
        <w:t>Estima</w:t>
      </w:r>
      <w:r w:rsidRPr="00D700D9" w:rsidR="00D8554E">
        <w:rPr>
          <w:szCs w:val="22"/>
          <w:u w:val="single"/>
        </w:rPr>
        <w:t>ted annual cost to the Federal g</w:t>
      </w:r>
      <w:r w:rsidRPr="00D700D9">
        <w:rPr>
          <w:szCs w:val="22"/>
          <w:u w:val="single"/>
        </w:rPr>
        <w:t>overnment.</w:t>
      </w:r>
      <w:r w:rsidRPr="00AA6051">
        <w:rPr>
          <w:szCs w:val="22"/>
        </w:rPr>
        <w:t xml:space="preserve"> </w:t>
      </w:r>
    </w:p>
    <w:p w:rsidRPr="00AA6051" w:rsidR="009829C3" w:rsidP="009829C3" w:rsidRDefault="009829C3" w14:paraId="33485239" w14:textId="77777777">
      <w:pPr>
        <w:ind w:firstLine="720"/>
      </w:pPr>
    </w:p>
    <w:p w:rsidRPr="00AA6051" w:rsidR="00643252" w:rsidP="009829C3" w:rsidRDefault="00BB6976" w14:paraId="788725B4" w14:textId="77777777">
      <w:pPr>
        <w:ind w:firstLine="720"/>
      </w:pPr>
      <w:r w:rsidRPr="00AA6051">
        <w:t xml:space="preserve">There is no cost to the </w:t>
      </w:r>
      <w:r w:rsidR="00441AA8">
        <w:t xml:space="preserve">Federal </w:t>
      </w:r>
      <w:r w:rsidRPr="00AA6051">
        <w:t>government; this is a recordkeeping requirement only.</w:t>
      </w:r>
    </w:p>
    <w:p w:rsidRPr="00AA6051" w:rsidR="009829C3" w:rsidP="009829C3" w:rsidRDefault="009829C3" w14:paraId="73BE51CA" w14:textId="77777777">
      <w:pPr>
        <w:ind w:firstLine="720"/>
      </w:pPr>
    </w:p>
    <w:p w:rsidRPr="00AA6051" w:rsidR="00643252" w:rsidP="009829C3" w:rsidRDefault="00643252" w14:paraId="6754A5B2" w14:textId="77777777">
      <w:pPr>
        <w:rPr>
          <w:szCs w:val="22"/>
        </w:rPr>
      </w:pPr>
      <w:r w:rsidRPr="00AA6051">
        <w:rPr>
          <w:szCs w:val="22"/>
        </w:rPr>
        <w:t xml:space="preserve">15. </w:t>
      </w:r>
      <w:r w:rsidRPr="00AA6051" w:rsidR="00D8554E">
        <w:rPr>
          <w:szCs w:val="22"/>
          <w:u w:val="single"/>
        </w:rPr>
        <w:t>Reason for change in b</w:t>
      </w:r>
      <w:r w:rsidRPr="00AA6051">
        <w:rPr>
          <w:szCs w:val="22"/>
          <w:u w:val="single"/>
        </w:rPr>
        <w:t>urden.</w:t>
      </w:r>
      <w:r w:rsidRPr="00AA6051">
        <w:rPr>
          <w:szCs w:val="22"/>
        </w:rPr>
        <w:t xml:space="preserve"> </w:t>
      </w:r>
    </w:p>
    <w:p w:rsidRPr="00AA6051" w:rsidR="00F2243A" w:rsidP="009829C3" w:rsidRDefault="00553D43" w14:paraId="35658C7C" w14:textId="77777777">
      <w:pPr>
        <w:pStyle w:val="CommentText"/>
        <w:rPr>
          <w:szCs w:val="22"/>
        </w:rPr>
      </w:pPr>
      <w:r w:rsidRPr="00AA6051">
        <w:rPr>
          <w:szCs w:val="22"/>
        </w:rPr>
        <w:t xml:space="preserve"> </w:t>
      </w:r>
      <w:r w:rsidRPr="00AA6051">
        <w:rPr>
          <w:szCs w:val="22"/>
        </w:rPr>
        <w:tab/>
      </w:r>
    </w:p>
    <w:p w:rsidRPr="00AA6051" w:rsidR="006D1386" w:rsidP="006D1386" w:rsidRDefault="00803C63" w14:paraId="13CB3D54" w14:textId="77777777">
      <w:pPr>
        <w:widowControl w:val="0"/>
        <w:ind w:firstLine="720"/>
        <w:rPr>
          <w:snapToGrid w:val="0"/>
        </w:rPr>
      </w:pPr>
      <w:r w:rsidRPr="00AA6051">
        <w:rPr>
          <w:snapToGrid w:val="0"/>
        </w:rPr>
        <w:t xml:space="preserve">The </w:t>
      </w:r>
      <w:r w:rsidRPr="00AA6051" w:rsidR="005C739E">
        <w:rPr>
          <w:snapToGrid w:val="0"/>
        </w:rPr>
        <w:t xml:space="preserve">estimated </w:t>
      </w:r>
      <w:r w:rsidRPr="00AA6051">
        <w:rPr>
          <w:snapToGrid w:val="0"/>
        </w:rPr>
        <w:t xml:space="preserve">total annual burden hours </w:t>
      </w:r>
      <w:r w:rsidR="00A4317C">
        <w:rPr>
          <w:snapToGrid w:val="0"/>
        </w:rPr>
        <w:t xml:space="preserve">decreased by </w:t>
      </w:r>
      <w:r w:rsidR="00E85366">
        <w:rPr>
          <w:snapToGrid w:val="0"/>
        </w:rPr>
        <w:t xml:space="preserve">466,000 hours </w:t>
      </w:r>
      <w:r w:rsidRPr="00AA6051">
        <w:rPr>
          <w:snapToGrid w:val="0"/>
        </w:rPr>
        <w:t xml:space="preserve">from </w:t>
      </w:r>
      <w:r w:rsidR="00E135EF">
        <w:rPr>
          <w:snapToGrid w:val="0"/>
        </w:rPr>
        <w:t>830,0</w:t>
      </w:r>
      <w:r w:rsidR="006D1386">
        <w:rPr>
          <w:snapToGrid w:val="0"/>
        </w:rPr>
        <w:t>00</w:t>
      </w:r>
      <w:r w:rsidRPr="00AA6051">
        <w:rPr>
          <w:snapToGrid w:val="0"/>
        </w:rPr>
        <w:t xml:space="preserve"> hours </w:t>
      </w:r>
      <w:r w:rsidR="00E85366">
        <w:rPr>
          <w:snapToGrid w:val="0"/>
        </w:rPr>
        <w:t xml:space="preserve">in 2017 </w:t>
      </w:r>
      <w:r w:rsidRPr="00AA6051">
        <w:rPr>
          <w:snapToGrid w:val="0"/>
        </w:rPr>
        <w:t xml:space="preserve">to </w:t>
      </w:r>
      <w:r w:rsidR="00E135EF">
        <w:rPr>
          <w:snapToGrid w:val="0"/>
        </w:rPr>
        <w:t>364,000</w:t>
      </w:r>
      <w:r w:rsidRPr="00AA6051">
        <w:rPr>
          <w:snapToGrid w:val="0"/>
        </w:rPr>
        <w:t xml:space="preserve"> hours</w:t>
      </w:r>
      <w:r w:rsidRPr="00AA6051" w:rsidR="00181256">
        <w:rPr>
          <w:snapToGrid w:val="0"/>
        </w:rPr>
        <w:t xml:space="preserve"> </w:t>
      </w:r>
      <w:r w:rsidR="00E85366">
        <w:rPr>
          <w:snapToGrid w:val="0"/>
        </w:rPr>
        <w:t>in 2020, although the annual hourly burden estimate for these recordkeeping requirements remained the same as</w:t>
      </w:r>
      <w:r w:rsidRPr="00AA6051" w:rsidR="00181256">
        <w:rPr>
          <w:snapToGrid w:val="0"/>
        </w:rPr>
        <w:t xml:space="preserve"> in </w:t>
      </w:r>
      <w:r w:rsidRPr="00AA6051" w:rsidR="005C739E">
        <w:rPr>
          <w:snapToGrid w:val="0"/>
        </w:rPr>
        <w:t>2017</w:t>
      </w:r>
      <w:r w:rsidRPr="00AA6051">
        <w:rPr>
          <w:snapToGrid w:val="0"/>
        </w:rPr>
        <w:t xml:space="preserve">. The </w:t>
      </w:r>
      <w:r w:rsidR="00E85366">
        <w:rPr>
          <w:snapToGrid w:val="0"/>
        </w:rPr>
        <w:t>reduction</w:t>
      </w:r>
      <w:r w:rsidR="00D43F3B">
        <w:rPr>
          <w:snapToGrid w:val="0"/>
        </w:rPr>
        <w:t xml:space="preserve"> </w:t>
      </w:r>
      <w:r w:rsidR="00E85366">
        <w:rPr>
          <w:snapToGrid w:val="0"/>
        </w:rPr>
        <w:t>is solely a result of</w:t>
      </w:r>
      <w:r w:rsidRPr="00AA6051">
        <w:rPr>
          <w:snapToGrid w:val="0"/>
        </w:rPr>
        <w:t xml:space="preserve"> a decrease in the </w:t>
      </w:r>
      <w:r w:rsidRPr="00AA6051" w:rsidR="005C065F">
        <w:rPr>
          <w:snapToGrid w:val="0"/>
        </w:rPr>
        <w:t xml:space="preserve">estimated </w:t>
      </w:r>
      <w:r w:rsidRPr="00AA6051">
        <w:rPr>
          <w:snapToGrid w:val="0"/>
        </w:rPr>
        <w:t xml:space="preserve">number of </w:t>
      </w:r>
      <w:r w:rsidR="00E135EF">
        <w:rPr>
          <w:snapToGrid w:val="0"/>
        </w:rPr>
        <w:t>b</w:t>
      </w:r>
      <w:r w:rsidR="006D1386">
        <w:rPr>
          <w:snapToGrid w:val="0"/>
        </w:rPr>
        <w:t>rokers or dealers in securities from 8,300 in 2017 to 3,640</w:t>
      </w:r>
      <w:r w:rsidR="00637D48">
        <w:rPr>
          <w:snapToGrid w:val="0"/>
        </w:rPr>
        <w:t xml:space="preserve"> in </w:t>
      </w:r>
      <w:r w:rsidR="006D1386">
        <w:rPr>
          <w:snapToGrid w:val="0"/>
        </w:rPr>
        <w:t>2020</w:t>
      </w:r>
      <w:r w:rsidR="00F055C9">
        <w:rPr>
          <w:snapToGrid w:val="0"/>
        </w:rPr>
        <w:t>.</w:t>
      </w:r>
    </w:p>
    <w:p w:rsidRPr="00AA6051" w:rsidR="009829C3" w:rsidP="009829C3" w:rsidRDefault="009829C3" w14:paraId="76FC6F8B" w14:textId="77777777">
      <w:pPr>
        <w:pStyle w:val="CommentText"/>
        <w:ind w:firstLine="720"/>
        <w:rPr>
          <w:sz w:val="24"/>
          <w:szCs w:val="24"/>
        </w:rPr>
      </w:pPr>
    </w:p>
    <w:p w:rsidRPr="00F055C9" w:rsidR="00D8554E" w:rsidP="009829C3" w:rsidRDefault="00D8554E" w14:paraId="4D5011E5" w14:textId="77777777">
      <w:pPr>
        <w:rPr>
          <w:szCs w:val="22"/>
        </w:rPr>
      </w:pPr>
      <w:r w:rsidRPr="00F055C9">
        <w:rPr>
          <w:szCs w:val="22"/>
        </w:rPr>
        <w:t xml:space="preserve">16. </w:t>
      </w:r>
      <w:r w:rsidRPr="00F055C9">
        <w:rPr>
          <w:szCs w:val="22"/>
          <w:u w:val="single"/>
        </w:rPr>
        <w:t>Plans for tabulation, statistical analysis, and publication.</w:t>
      </w:r>
    </w:p>
    <w:p w:rsidRPr="00F055C9" w:rsidR="009829C3" w:rsidP="009829C3" w:rsidRDefault="009829C3" w14:paraId="13CB5556" w14:textId="77777777">
      <w:pPr>
        <w:ind w:firstLine="720"/>
      </w:pPr>
    </w:p>
    <w:p w:rsidRPr="00F055C9" w:rsidR="00D8554E" w:rsidP="009829C3" w:rsidRDefault="00D8554E" w14:paraId="7A95813B" w14:textId="77777777">
      <w:pPr>
        <w:ind w:firstLine="720"/>
        <w:rPr>
          <w:szCs w:val="22"/>
        </w:rPr>
      </w:pPr>
      <w:r w:rsidRPr="00F055C9">
        <w:t>This collection of information will not be published.</w:t>
      </w:r>
      <w:r w:rsidRPr="00F055C9">
        <w:rPr>
          <w:szCs w:val="22"/>
        </w:rPr>
        <w:t xml:space="preserve"> </w:t>
      </w:r>
    </w:p>
    <w:p w:rsidRPr="00F055C9" w:rsidR="009829C3" w:rsidP="009829C3" w:rsidRDefault="009829C3" w14:paraId="548BAF17" w14:textId="77777777">
      <w:pPr>
        <w:ind w:firstLine="720"/>
        <w:rPr>
          <w:szCs w:val="22"/>
        </w:rPr>
      </w:pPr>
    </w:p>
    <w:p w:rsidRPr="00F055C9" w:rsidR="00D8554E" w:rsidP="009829C3" w:rsidRDefault="00D8554E" w14:paraId="0DC8EC89" w14:textId="77777777">
      <w:pPr>
        <w:rPr>
          <w:szCs w:val="22"/>
        </w:rPr>
      </w:pPr>
      <w:r w:rsidRPr="00F055C9">
        <w:rPr>
          <w:szCs w:val="22"/>
        </w:rPr>
        <w:t xml:space="preserve">17. </w:t>
      </w:r>
      <w:r w:rsidRPr="00F055C9">
        <w:rPr>
          <w:u w:val="single"/>
        </w:rPr>
        <w:t>Request not to display the expiration date of the OMB control number.</w:t>
      </w:r>
    </w:p>
    <w:p w:rsidRPr="00F055C9" w:rsidR="009829C3" w:rsidP="009829C3" w:rsidRDefault="009829C3" w14:paraId="7026FBD0" w14:textId="77777777">
      <w:pPr>
        <w:ind w:firstLine="720"/>
        <w:rPr>
          <w:szCs w:val="22"/>
        </w:rPr>
      </w:pPr>
    </w:p>
    <w:p w:rsidRPr="00F055C9" w:rsidR="00D8554E" w:rsidP="009829C3" w:rsidRDefault="00D8554E" w14:paraId="229755AC" w14:textId="77777777">
      <w:pPr>
        <w:ind w:firstLine="720"/>
        <w:rPr>
          <w:szCs w:val="22"/>
        </w:rPr>
      </w:pPr>
      <w:r w:rsidRPr="00F055C9">
        <w:rPr>
          <w:szCs w:val="22"/>
        </w:rPr>
        <w:t xml:space="preserve">FinCEN requests that it not be required to display the expiration date so that the regulations will not have to be amended for the new expiration date every three years.  </w:t>
      </w:r>
    </w:p>
    <w:p w:rsidRPr="00F055C9" w:rsidR="00D8554E" w:rsidP="009829C3" w:rsidRDefault="00D8554E" w14:paraId="22BE6BBF" w14:textId="77777777">
      <w:pPr>
        <w:rPr>
          <w:szCs w:val="22"/>
        </w:rPr>
      </w:pPr>
    </w:p>
    <w:p w:rsidRPr="00F055C9" w:rsidR="00D8554E" w:rsidP="009829C3" w:rsidRDefault="00D8554E" w14:paraId="7E384411" w14:textId="77777777">
      <w:pPr>
        <w:widowControl w:val="0"/>
        <w:autoSpaceDE w:val="0"/>
        <w:autoSpaceDN w:val="0"/>
        <w:adjustRightInd w:val="0"/>
        <w:spacing w:line="240" w:lineRule="exact"/>
        <w:ind w:right="220"/>
        <w:jc w:val="both"/>
        <w:rPr>
          <w:szCs w:val="22"/>
          <w:u w:val="single"/>
        </w:rPr>
      </w:pPr>
      <w:r w:rsidRPr="00F055C9">
        <w:rPr>
          <w:szCs w:val="22"/>
        </w:rPr>
        <w:t xml:space="preserve">18.  </w:t>
      </w:r>
      <w:r w:rsidRPr="00F055C9">
        <w:rPr>
          <w:szCs w:val="22"/>
          <w:u w:val="single"/>
        </w:rPr>
        <w:t>Exceptions to the certification statement.</w:t>
      </w:r>
    </w:p>
    <w:p w:rsidRPr="00D700D9" w:rsidR="00D8554E" w:rsidP="009829C3" w:rsidRDefault="00D8554E" w14:paraId="4F983D88" w14:textId="77777777">
      <w:pPr>
        <w:widowControl w:val="0"/>
        <w:autoSpaceDE w:val="0"/>
        <w:autoSpaceDN w:val="0"/>
        <w:adjustRightInd w:val="0"/>
        <w:spacing w:line="240" w:lineRule="exact"/>
        <w:ind w:right="220"/>
        <w:jc w:val="both"/>
        <w:rPr>
          <w:szCs w:val="22"/>
          <w:highlight w:val="lightGray"/>
        </w:rPr>
      </w:pPr>
    </w:p>
    <w:p w:rsidR="00D8554E" w:rsidP="008160A3" w:rsidRDefault="00D8554E" w14:paraId="6357C7AE" w14:textId="42061EFD">
      <w:pPr>
        <w:widowControl w:val="0"/>
        <w:autoSpaceDE w:val="0"/>
        <w:autoSpaceDN w:val="0"/>
        <w:adjustRightInd w:val="0"/>
        <w:spacing w:line="240" w:lineRule="exact"/>
        <w:ind w:right="220" w:firstLine="720"/>
        <w:jc w:val="both"/>
      </w:pPr>
      <w:r w:rsidRPr="00F055C9">
        <w:rPr>
          <w:szCs w:val="22"/>
        </w:rPr>
        <w:t>There are no exceptions to the certification statement.</w:t>
      </w:r>
    </w:p>
    <w:p w:rsidR="00643252" w:rsidP="009829C3" w:rsidRDefault="00643252" w14:paraId="39943D12" w14:textId="77777777"/>
    <w:sectPr w:rsidR="00643252">
      <w:footerReference w:type="default" r:id="rId8"/>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FF545" w16cex:dateUtc="2021-07-19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CB10EE" w16cid:durableId="249FF5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32968" w14:textId="77777777" w:rsidR="007207AD" w:rsidRDefault="007207AD">
      <w:r>
        <w:separator/>
      </w:r>
    </w:p>
  </w:endnote>
  <w:endnote w:type="continuationSeparator" w:id="0">
    <w:p w14:paraId="00E4DCD6" w14:textId="77777777" w:rsidR="007207AD" w:rsidRDefault="0072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270776"/>
      <w:docPartObj>
        <w:docPartGallery w:val="Page Numbers (Bottom of Page)"/>
        <w:docPartUnique/>
      </w:docPartObj>
    </w:sdtPr>
    <w:sdtEndPr>
      <w:rPr>
        <w:noProof/>
      </w:rPr>
    </w:sdtEndPr>
    <w:sdtContent>
      <w:p w14:paraId="5AB1F412" w14:textId="0EA413B6" w:rsidR="00622D68" w:rsidRDefault="00622D68">
        <w:pPr>
          <w:pStyle w:val="Footer"/>
          <w:jc w:val="center"/>
        </w:pPr>
        <w:r>
          <w:fldChar w:fldCharType="begin"/>
        </w:r>
        <w:r>
          <w:instrText xml:space="preserve"> PAGE   \* MERGEFORMAT </w:instrText>
        </w:r>
        <w:r>
          <w:fldChar w:fldCharType="separate"/>
        </w:r>
        <w:r w:rsidR="00784CAD">
          <w:rPr>
            <w:noProof/>
          </w:rPr>
          <w:t>5</w:t>
        </w:r>
        <w:r>
          <w:rPr>
            <w:noProof/>
          </w:rPr>
          <w:fldChar w:fldCharType="end"/>
        </w:r>
      </w:p>
    </w:sdtContent>
  </w:sdt>
  <w:p w14:paraId="77ED4116" w14:textId="77777777" w:rsidR="00622D68" w:rsidRDefault="00622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B4DED" w14:textId="77777777" w:rsidR="007207AD" w:rsidRDefault="007207AD">
      <w:r>
        <w:separator/>
      </w:r>
    </w:p>
  </w:footnote>
  <w:footnote w:type="continuationSeparator" w:id="0">
    <w:p w14:paraId="1C40F42F" w14:textId="77777777" w:rsidR="007207AD" w:rsidRDefault="007207AD">
      <w:r>
        <w:continuationSeparator/>
      </w:r>
    </w:p>
  </w:footnote>
  <w:footnote w:id="1">
    <w:p w14:paraId="470AB295" w14:textId="77777777" w:rsidR="00AE67AF" w:rsidRDefault="00AE67AF">
      <w:pPr>
        <w:pStyle w:val="FootnoteText"/>
      </w:pPr>
      <w:r>
        <w:rPr>
          <w:rStyle w:val="FootnoteReference"/>
        </w:rPr>
        <w:footnoteRef/>
      </w:r>
      <w:r>
        <w:t xml:space="preserve"> </w:t>
      </w:r>
      <w:r w:rsidRPr="00120B54">
        <w:t xml:space="preserve">Section 358 of the USA PATRIOT Act added language expanding the scope of the BSA to intelligence or counter-intelligence activities to protect against international terrorism. Section 6101 of the </w:t>
      </w:r>
      <w:r w:rsidR="00525570">
        <w:t>AML</w:t>
      </w:r>
      <w:r w:rsidRPr="00120B54">
        <w:t xml:space="preserve"> Act added language further expanding the scope of the BSA but did not disturb these longstanding purposes.  </w:t>
      </w:r>
    </w:p>
  </w:footnote>
  <w:footnote w:id="2">
    <w:p w14:paraId="0071DA12" w14:textId="77777777" w:rsidR="00AE67AF" w:rsidRDefault="00AE67AF">
      <w:pPr>
        <w:pStyle w:val="FootnoteText"/>
      </w:pPr>
      <w:r>
        <w:rPr>
          <w:rStyle w:val="FootnoteReference"/>
        </w:rPr>
        <w:footnoteRef/>
      </w:r>
      <w:r>
        <w:t xml:space="preserve"> </w:t>
      </w:r>
      <w:r w:rsidRPr="00120B54">
        <w:t>Treasury Order 180-01 (re-affirmed Jan. 14, 2020).</w:t>
      </w:r>
    </w:p>
  </w:footnote>
  <w:footnote w:id="3">
    <w:p w14:paraId="2AC79325" w14:textId="1004FD04" w:rsidR="00C40239" w:rsidRDefault="00C40239">
      <w:pPr>
        <w:pStyle w:val="FootnoteText"/>
      </w:pPr>
      <w:r>
        <w:rPr>
          <w:rStyle w:val="FootnoteReference"/>
        </w:rPr>
        <w:footnoteRef/>
      </w:r>
      <w:r>
        <w:t xml:space="preserve"> </w:t>
      </w:r>
      <w:r w:rsidRPr="00C40239">
        <w:t xml:space="preserve">31 CFR 1023.220. The burden associated with </w:t>
      </w:r>
      <w:r w:rsidR="007C68EB" w:rsidRPr="0061193D">
        <w:t>this</w:t>
      </w:r>
      <w:r w:rsidRPr="00C40239">
        <w:t xml:space="preserve"> requirement is calculated under OMB control number 1506-0034.</w:t>
      </w:r>
    </w:p>
  </w:footnote>
  <w:footnote w:id="4">
    <w:p w14:paraId="46E1049F" w14:textId="77777777" w:rsidR="000900FF" w:rsidRDefault="000900FF">
      <w:pPr>
        <w:pStyle w:val="FootnoteText"/>
      </w:pPr>
      <w:r>
        <w:rPr>
          <w:rStyle w:val="FootnoteReference"/>
        </w:rPr>
        <w:footnoteRef/>
      </w:r>
      <w:r>
        <w:t xml:space="preserve"> </w:t>
      </w:r>
      <w:r w:rsidRPr="000900FF">
        <w:t>31 CFR 1010.430(d).</w:t>
      </w:r>
    </w:p>
  </w:footnote>
  <w:footnote w:id="5">
    <w:p w14:paraId="417B329C" w14:textId="77777777" w:rsidR="00622D68" w:rsidRDefault="00622D68" w:rsidP="00414797">
      <w:pPr>
        <w:pStyle w:val="FootnoteText"/>
      </w:pPr>
      <w:r>
        <w:rPr>
          <w:rStyle w:val="FootnoteReference"/>
        </w:rPr>
        <w:footnoteRef/>
      </w:r>
      <w:r>
        <w:t xml:space="preserve"> 8</w:t>
      </w:r>
      <w:r w:rsidR="005305FD">
        <w:t>6</w:t>
      </w:r>
      <w:r>
        <w:t xml:space="preserve"> FR </w:t>
      </w:r>
      <w:r w:rsidR="005305FD">
        <w:t>7778</w:t>
      </w:r>
      <w:r>
        <w:t xml:space="preserve"> at </w:t>
      </w:r>
      <w:hyperlink r:id="rId1" w:history="1">
        <w:r w:rsidR="004116D6" w:rsidRPr="005A4B33">
          <w:rPr>
            <w:rStyle w:val="Hyperlink"/>
          </w:rPr>
          <w:t>https://www.federalregister.gov/documents/2021/02/01/2021-02064/agency-information-collection-activities-proposed-renewal-comment-request-renewal-without-change-of</w:t>
        </w:r>
      </w:hyperlink>
      <w:r w:rsidR="004116D6">
        <w:t>.</w:t>
      </w:r>
    </w:p>
  </w:footnote>
  <w:footnote w:id="6">
    <w:p w14:paraId="2E516543" w14:textId="77777777" w:rsidR="00F44131" w:rsidRPr="00F13112" w:rsidRDefault="00F44131" w:rsidP="00F44131">
      <w:pPr>
        <w:pStyle w:val="FootnoteText"/>
      </w:pPr>
      <w:r w:rsidRPr="00F13112">
        <w:rPr>
          <w:rStyle w:val="FootnoteReference"/>
        </w:rPr>
        <w:footnoteRef/>
      </w:r>
      <w:r w:rsidRPr="00F13112">
        <w:t xml:space="preserve"> </w:t>
      </w:r>
      <w:r w:rsidRPr="00283431">
        <w:t xml:space="preserve">According to the Securities and Exchange Commission (SEC), there were 3,640 brokers or dealers in securities registered with the SEC, as of March 31, 2020. </w:t>
      </w:r>
      <w:r w:rsidRPr="00F13112">
        <w:rPr>
          <w:lang w:val="en-GB"/>
        </w:rPr>
        <w:t xml:space="preserve"> </w:t>
      </w:r>
    </w:p>
  </w:footnote>
  <w:footnote w:id="7">
    <w:p w14:paraId="03A685F9" w14:textId="77777777" w:rsidR="00294C84" w:rsidRPr="00837B32" w:rsidRDefault="00294C84" w:rsidP="00294C84">
      <w:pPr>
        <w:pStyle w:val="FootnoteText"/>
      </w:pPr>
      <w:r w:rsidRPr="00837B32">
        <w:rPr>
          <w:rStyle w:val="FootnoteReference"/>
        </w:rPr>
        <w:footnoteRef/>
      </w:r>
      <w:r w:rsidRPr="00837B32">
        <w:t xml:space="preserve"> 82 FR 31686, 31687 (July 7, 2017).</w:t>
      </w:r>
    </w:p>
  </w:footnote>
  <w:footnote w:id="8">
    <w:p w14:paraId="266E51A3" w14:textId="77777777" w:rsidR="00241A6E" w:rsidRPr="00B10D77" w:rsidRDefault="00241A6E" w:rsidP="00241A6E">
      <w:pPr>
        <w:pStyle w:val="Heading3"/>
        <w:spacing w:before="0" w:beforeAutospacing="0" w:after="0" w:afterAutospacing="0"/>
      </w:pPr>
      <w:r w:rsidRPr="00466144">
        <w:rPr>
          <w:rStyle w:val="FootnoteReference"/>
          <w:b w:val="0"/>
          <w:sz w:val="20"/>
          <w:szCs w:val="20"/>
        </w:rPr>
        <w:footnoteRef/>
      </w:r>
      <w:r w:rsidRPr="00466144">
        <w:rPr>
          <w:sz w:val="20"/>
          <w:szCs w:val="20"/>
        </w:rPr>
        <w:t xml:space="preserve"> </w:t>
      </w:r>
      <w:r w:rsidRPr="00466144">
        <w:rPr>
          <w:b w:val="0"/>
          <w:sz w:val="20"/>
          <w:szCs w:val="20"/>
        </w:rPr>
        <w:t xml:space="preserve">The U.S. Bureau of Labor Statistics, Occupational Employment Statistics-National, May 2019, available at </w:t>
      </w:r>
      <w:hyperlink r:id="rId2" w:history="1">
        <w:r w:rsidRPr="00466144">
          <w:rPr>
            <w:rStyle w:val="Hyperlink"/>
            <w:b w:val="0"/>
            <w:sz w:val="20"/>
            <w:szCs w:val="20"/>
          </w:rPr>
          <w:t>https://www.bls.gov/oes/tables.htm</w:t>
        </w:r>
      </w:hyperlink>
      <w:r w:rsidRPr="00466144">
        <w:rPr>
          <w:rStyle w:val="Hyperlink"/>
          <w:b w:val="0"/>
          <w:sz w:val="20"/>
          <w:szCs w:val="20"/>
        </w:rPr>
        <w:t>.</w:t>
      </w:r>
      <w:r w:rsidRPr="00466144">
        <w:rPr>
          <w:sz w:val="20"/>
          <w:szCs w:val="20"/>
        </w:rPr>
        <w:t xml:space="preserve"> </w:t>
      </w:r>
      <w:r w:rsidRPr="00466144">
        <w:rPr>
          <w:b w:val="0"/>
          <w:sz w:val="20"/>
          <w:szCs w:val="20"/>
        </w:rPr>
        <w:t xml:space="preserve">The most recent data from the BLS corresponds to May 2019. For the benefits component of total compensation, see U.S. Bureau of Labor Statistics, Employer’s Cost per Employee Compensation as of December 2019, available at </w:t>
      </w:r>
      <w:hyperlink r:id="rId3" w:history="1">
        <w:r w:rsidRPr="00466144">
          <w:rPr>
            <w:rStyle w:val="Hyperlink"/>
            <w:b w:val="0"/>
            <w:sz w:val="20"/>
            <w:szCs w:val="20"/>
          </w:rPr>
          <w:t>https://www.bls.gov/news.release/ecec.nr0.htm</w:t>
        </w:r>
      </w:hyperlink>
      <w:r w:rsidRPr="00466144">
        <w:rPr>
          <w:b w:val="0"/>
          <w:sz w:val="20"/>
          <w:szCs w:val="20"/>
        </w:rPr>
        <w:t>. The ratio between benefits and wages for financial activities is $15.95 (hourly benefits)/$32.05 (hourly wages) = 0.50. The benefit factor is 1 plus the benefit/wages ratio, or 1.50. Multiplying each hourly wage by the benefit factor produces the fully-loaded hourly wage per position.</w:t>
      </w:r>
      <w:r w:rsidRPr="00AA56C8">
        <w:rPr>
          <w:b w:val="0"/>
          <w:sz w:val="20"/>
          <w:szCs w:val="20"/>
        </w:rPr>
        <w:t xml:space="preserve"> </w:t>
      </w:r>
    </w:p>
  </w:footnote>
  <w:footnote w:id="9">
    <w:p w14:paraId="713EAC2F" w14:textId="77777777" w:rsidR="00241A6E" w:rsidRDefault="00241A6E" w:rsidP="00241A6E">
      <w:pPr>
        <w:pStyle w:val="FootnoteText"/>
      </w:pPr>
      <w:r w:rsidRPr="00D82608">
        <w:rPr>
          <w:rStyle w:val="FootnoteReference"/>
        </w:rPr>
        <w:footnoteRef/>
      </w:r>
      <w:r w:rsidRPr="00D82608">
        <w:t xml:space="preserve"> By “in general,” FinCEN means without regard to outliers (e.g., financial institutions with accounts or transactions that require recordkeeping that is uncommonly higher or lower than those of the population at large). By “on average,” FinCEN means the mean of the distribution of each subset of the population.</w:t>
      </w:r>
    </w:p>
    <w:p w14:paraId="0C607C57" w14:textId="77777777" w:rsidR="00241A6E" w:rsidRDefault="00241A6E" w:rsidP="00241A6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lowerLetter"/>
      <w:lvlText w:val="(%1)"/>
      <w:lvlJc w:val="left"/>
      <w:pPr>
        <w:ind w:left="412" w:hanging="301"/>
      </w:pPr>
      <w:rPr>
        <w:rFonts w:ascii="Arial" w:hAnsi="Arial" w:cs="Arial"/>
        <w:b w:val="0"/>
        <w:bCs w:val="0"/>
        <w:w w:val="100"/>
        <w:sz w:val="20"/>
        <w:szCs w:val="20"/>
      </w:rPr>
    </w:lvl>
    <w:lvl w:ilvl="1">
      <w:numFmt w:val="bullet"/>
      <w:lvlText w:val="•"/>
      <w:lvlJc w:val="left"/>
      <w:pPr>
        <w:ind w:left="1404" w:hanging="301"/>
      </w:pPr>
    </w:lvl>
    <w:lvl w:ilvl="2">
      <w:numFmt w:val="bullet"/>
      <w:lvlText w:val="•"/>
      <w:lvlJc w:val="left"/>
      <w:pPr>
        <w:ind w:left="2388" w:hanging="301"/>
      </w:pPr>
    </w:lvl>
    <w:lvl w:ilvl="3">
      <w:numFmt w:val="bullet"/>
      <w:lvlText w:val="•"/>
      <w:lvlJc w:val="left"/>
      <w:pPr>
        <w:ind w:left="3372" w:hanging="301"/>
      </w:pPr>
    </w:lvl>
    <w:lvl w:ilvl="4">
      <w:numFmt w:val="bullet"/>
      <w:lvlText w:val="•"/>
      <w:lvlJc w:val="left"/>
      <w:pPr>
        <w:ind w:left="4356" w:hanging="301"/>
      </w:pPr>
    </w:lvl>
    <w:lvl w:ilvl="5">
      <w:numFmt w:val="bullet"/>
      <w:lvlText w:val="•"/>
      <w:lvlJc w:val="left"/>
      <w:pPr>
        <w:ind w:left="5340" w:hanging="301"/>
      </w:pPr>
    </w:lvl>
    <w:lvl w:ilvl="6">
      <w:numFmt w:val="bullet"/>
      <w:lvlText w:val="•"/>
      <w:lvlJc w:val="left"/>
      <w:pPr>
        <w:ind w:left="6324" w:hanging="301"/>
      </w:pPr>
    </w:lvl>
    <w:lvl w:ilvl="7">
      <w:numFmt w:val="bullet"/>
      <w:lvlText w:val="•"/>
      <w:lvlJc w:val="left"/>
      <w:pPr>
        <w:ind w:left="7308" w:hanging="301"/>
      </w:pPr>
    </w:lvl>
    <w:lvl w:ilvl="8">
      <w:numFmt w:val="bullet"/>
      <w:lvlText w:val="•"/>
      <w:lvlJc w:val="left"/>
      <w:pPr>
        <w:ind w:left="8292" w:hanging="301"/>
      </w:pPr>
    </w:lvl>
  </w:abstractNum>
  <w:abstractNum w:abstractNumId="1" w15:restartNumberingAfterBreak="0">
    <w:nsid w:val="00000403"/>
    <w:multiLevelType w:val="multilevel"/>
    <w:tmpl w:val="00000886"/>
    <w:lvl w:ilvl="0">
      <w:start w:val="4"/>
      <w:numFmt w:val="lowerLetter"/>
      <w:lvlText w:val="(%1)"/>
      <w:lvlJc w:val="left"/>
      <w:pPr>
        <w:ind w:left="413" w:hanging="302"/>
      </w:pPr>
      <w:rPr>
        <w:rFonts w:ascii="Arial" w:hAnsi="Arial" w:cs="Arial"/>
        <w:b w:val="0"/>
        <w:bCs w:val="0"/>
        <w:w w:val="100"/>
        <w:sz w:val="20"/>
        <w:szCs w:val="20"/>
      </w:rPr>
    </w:lvl>
    <w:lvl w:ilvl="1">
      <w:start w:val="1"/>
      <w:numFmt w:val="lowerRoman"/>
      <w:lvlText w:val="(%2)"/>
      <w:lvlJc w:val="left"/>
      <w:pPr>
        <w:ind w:left="732" w:hanging="344"/>
      </w:pPr>
      <w:rPr>
        <w:rFonts w:ascii="Arial" w:hAnsi="Arial" w:cs="Arial"/>
        <w:b w:val="0"/>
        <w:bCs w:val="0"/>
        <w:spacing w:val="-1"/>
        <w:w w:val="100"/>
        <w:sz w:val="20"/>
        <w:szCs w:val="20"/>
      </w:rPr>
    </w:lvl>
    <w:lvl w:ilvl="2">
      <w:numFmt w:val="bullet"/>
      <w:lvlText w:val="•"/>
      <w:lvlJc w:val="left"/>
      <w:pPr>
        <w:ind w:left="1797" w:hanging="344"/>
      </w:pPr>
    </w:lvl>
    <w:lvl w:ilvl="3">
      <w:numFmt w:val="bullet"/>
      <w:lvlText w:val="•"/>
      <w:lvlJc w:val="left"/>
      <w:pPr>
        <w:ind w:left="2855" w:hanging="344"/>
      </w:pPr>
    </w:lvl>
    <w:lvl w:ilvl="4">
      <w:numFmt w:val="bullet"/>
      <w:lvlText w:val="•"/>
      <w:lvlJc w:val="left"/>
      <w:pPr>
        <w:ind w:left="3913" w:hanging="344"/>
      </w:pPr>
    </w:lvl>
    <w:lvl w:ilvl="5">
      <w:numFmt w:val="bullet"/>
      <w:lvlText w:val="•"/>
      <w:lvlJc w:val="left"/>
      <w:pPr>
        <w:ind w:left="4971" w:hanging="344"/>
      </w:pPr>
    </w:lvl>
    <w:lvl w:ilvl="6">
      <w:numFmt w:val="bullet"/>
      <w:lvlText w:val="•"/>
      <w:lvlJc w:val="left"/>
      <w:pPr>
        <w:ind w:left="6028" w:hanging="344"/>
      </w:pPr>
    </w:lvl>
    <w:lvl w:ilvl="7">
      <w:numFmt w:val="bullet"/>
      <w:lvlText w:val="•"/>
      <w:lvlJc w:val="left"/>
      <w:pPr>
        <w:ind w:left="7086" w:hanging="344"/>
      </w:pPr>
    </w:lvl>
    <w:lvl w:ilvl="8">
      <w:numFmt w:val="bullet"/>
      <w:lvlText w:val="•"/>
      <w:lvlJc w:val="left"/>
      <w:pPr>
        <w:ind w:left="8144" w:hanging="344"/>
      </w:pPr>
    </w:lvl>
  </w:abstractNum>
  <w:abstractNum w:abstractNumId="2" w15:restartNumberingAfterBreak="0">
    <w:nsid w:val="00000404"/>
    <w:multiLevelType w:val="multilevel"/>
    <w:tmpl w:val="00000887"/>
    <w:lvl w:ilvl="0">
      <w:start w:val="2"/>
      <w:numFmt w:val="lowerRoman"/>
      <w:lvlText w:val="(%1)"/>
      <w:lvlJc w:val="left"/>
      <w:pPr>
        <w:ind w:left="721" w:hanging="333"/>
      </w:pPr>
      <w:rPr>
        <w:rFonts w:ascii="Arial" w:hAnsi="Arial" w:cs="Arial"/>
        <w:b w:val="0"/>
        <w:bCs w:val="0"/>
        <w:spacing w:val="-1"/>
        <w:w w:val="100"/>
        <w:sz w:val="20"/>
        <w:szCs w:val="20"/>
      </w:rPr>
    </w:lvl>
    <w:lvl w:ilvl="1">
      <w:numFmt w:val="bullet"/>
      <w:lvlText w:val="•"/>
      <w:lvlJc w:val="left"/>
      <w:pPr>
        <w:ind w:left="1674" w:hanging="333"/>
      </w:pPr>
    </w:lvl>
    <w:lvl w:ilvl="2">
      <w:numFmt w:val="bullet"/>
      <w:lvlText w:val="•"/>
      <w:lvlJc w:val="left"/>
      <w:pPr>
        <w:ind w:left="2628" w:hanging="333"/>
      </w:pPr>
    </w:lvl>
    <w:lvl w:ilvl="3">
      <w:numFmt w:val="bullet"/>
      <w:lvlText w:val="•"/>
      <w:lvlJc w:val="left"/>
      <w:pPr>
        <w:ind w:left="3582" w:hanging="333"/>
      </w:pPr>
    </w:lvl>
    <w:lvl w:ilvl="4">
      <w:numFmt w:val="bullet"/>
      <w:lvlText w:val="•"/>
      <w:lvlJc w:val="left"/>
      <w:pPr>
        <w:ind w:left="4536" w:hanging="333"/>
      </w:pPr>
    </w:lvl>
    <w:lvl w:ilvl="5">
      <w:numFmt w:val="bullet"/>
      <w:lvlText w:val="•"/>
      <w:lvlJc w:val="left"/>
      <w:pPr>
        <w:ind w:left="5490" w:hanging="333"/>
      </w:pPr>
    </w:lvl>
    <w:lvl w:ilvl="6">
      <w:numFmt w:val="bullet"/>
      <w:lvlText w:val="•"/>
      <w:lvlJc w:val="left"/>
      <w:pPr>
        <w:ind w:left="6444" w:hanging="333"/>
      </w:pPr>
    </w:lvl>
    <w:lvl w:ilvl="7">
      <w:numFmt w:val="bullet"/>
      <w:lvlText w:val="•"/>
      <w:lvlJc w:val="left"/>
      <w:pPr>
        <w:ind w:left="7398" w:hanging="333"/>
      </w:pPr>
    </w:lvl>
    <w:lvl w:ilvl="8">
      <w:numFmt w:val="bullet"/>
      <w:lvlText w:val="•"/>
      <w:lvlJc w:val="left"/>
      <w:pPr>
        <w:ind w:left="8352" w:hanging="333"/>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s-A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A1838"/>
    <w:rsid w:val="0000789D"/>
    <w:rsid w:val="00015AE3"/>
    <w:rsid w:val="00016AD0"/>
    <w:rsid w:val="000300DC"/>
    <w:rsid w:val="000377C7"/>
    <w:rsid w:val="000379FB"/>
    <w:rsid w:val="00050EC5"/>
    <w:rsid w:val="00054D31"/>
    <w:rsid w:val="00055673"/>
    <w:rsid w:val="00073D63"/>
    <w:rsid w:val="00081EE2"/>
    <w:rsid w:val="000821DE"/>
    <w:rsid w:val="000846AA"/>
    <w:rsid w:val="00085C49"/>
    <w:rsid w:val="000900FF"/>
    <w:rsid w:val="000A1838"/>
    <w:rsid w:val="000C0696"/>
    <w:rsid w:val="000C52EF"/>
    <w:rsid w:val="000C5B33"/>
    <w:rsid w:val="001019C7"/>
    <w:rsid w:val="00104F2C"/>
    <w:rsid w:val="00114F02"/>
    <w:rsid w:val="00127FAF"/>
    <w:rsid w:val="001423FB"/>
    <w:rsid w:val="001558C0"/>
    <w:rsid w:val="00173206"/>
    <w:rsid w:val="0017516A"/>
    <w:rsid w:val="001801A2"/>
    <w:rsid w:val="00181256"/>
    <w:rsid w:val="0019235C"/>
    <w:rsid w:val="001947D3"/>
    <w:rsid w:val="001A014A"/>
    <w:rsid w:val="001A0FF9"/>
    <w:rsid w:val="001D4496"/>
    <w:rsid w:val="001D5AFC"/>
    <w:rsid w:val="001F309B"/>
    <w:rsid w:val="001F722A"/>
    <w:rsid w:val="002015CC"/>
    <w:rsid w:val="00211F04"/>
    <w:rsid w:val="00212D01"/>
    <w:rsid w:val="00226220"/>
    <w:rsid w:val="0023300A"/>
    <w:rsid w:val="00240765"/>
    <w:rsid w:val="00241A6E"/>
    <w:rsid w:val="00250B4A"/>
    <w:rsid w:val="00273504"/>
    <w:rsid w:val="00280ECD"/>
    <w:rsid w:val="00283431"/>
    <w:rsid w:val="00293155"/>
    <w:rsid w:val="00294C84"/>
    <w:rsid w:val="002A20A2"/>
    <w:rsid w:val="002A271A"/>
    <w:rsid w:val="002B5F83"/>
    <w:rsid w:val="002C2BFB"/>
    <w:rsid w:val="002E25D1"/>
    <w:rsid w:val="002E72EC"/>
    <w:rsid w:val="00301792"/>
    <w:rsid w:val="0030221B"/>
    <w:rsid w:val="003408A6"/>
    <w:rsid w:val="00353A24"/>
    <w:rsid w:val="00392993"/>
    <w:rsid w:val="00392EA3"/>
    <w:rsid w:val="003A525C"/>
    <w:rsid w:val="003B385E"/>
    <w:rsid w:val="003C1A61"/>
    <w:rsid w:val="003E69DC"/>
    <w:rsid w:val="003E7BF2"/>
    <w:rsid w:val="003F5AA4"/>
    <w:rsid w:val="00410409"/>
    <w:rsid w:val="004116D6"/>
    <w:rsid w:val="00414797"/>
    <w:rsid w:val="0041548D"/>
    <w:rsid w:val="00416DDB"/>
    <w:rsid w:val="0042486C"/>
    <w:rsid w:val="00432808"/>
    <w:rsid w:val="00440362"/>
    <w:rsid w:val="00441AA8"/>
    <w:rsid w:val="00461F7C"/>
    <w:rsid w:val="0046748E"/>
    <w:rsid w:val="004A2CDA"/>
    <w:rsid w:val="004B46F6"/>
    <w:rsid w:val="004B4B68"/>
    <w:rsid w:val="004C09C2"/>
    <w:rsid w:val="004C2D27"/>
    <w:rsid w:val="004C7594"/>
    <w:rsid w:val="004D15F4"/>
    <w:rsid w:val="00525570"/>
    <w:rsid w:val="005305FD"/>
    <w:rsid w:val="005354E4"/>
    <w:rsid w:val="005415F5"/>
    <w:rsid w:val="00544A40"/>
    <w:rsid w:val="00551A6C"/>
    <w:rsid w:val="00553D43"/>
    <w:rsid w:val="00554F9B"/>
    <w:rsid w:val="00562228"/>
    <w:rsid w:val="00563FE6"/>
    <w:rsid w:val="00572D22"/>
    <w:rsid w:val="005740D5"/>
    <w:rsid w:val="005815DA"/>
    <w:rsid w:val="005A7DEE"/>
    <w:rsid w:val="005B617B"/>
    <w:rsid w:val="005C065F"/>
    <w:rsid w:val="005C62B0"/>
    <w:rsid w:val="005C739E"/>
    <w:rsid w:val="005D0671"/>
    <w:rsid w:val="005D18FC"/>
    <w:rsid w:val="005E23FA"/>
    <w:rsid w:val="005F09CC"/>
    <w:rsid w:val="005F6F5A"/>
    <w:rsid w:val="00603C60"/>
    <w:rsid w:val="0061193D"/>
    <w:rsid w:val="00616FDD"/>
    <w:rsid w:val="00622D68"/>
    <w:rsid w:val="00630AF1"/>
    <w:rsid w:val="006365F6"/>
    <w:rsid w:val="00637D48"/>
    <w:rsid w:val="00643252"/>
    <w:rsid w:val="00646D87"/>
    <w:rsid w:val="00670C7F"/>
    <w:rsid w:val="00671888"/>
    <w:rsid w:val="00683622"/>
    <w:rsid w:val="006936CB"/>
    <w:rsid w:val="006A60EB"/>
    <w:rsid w:val="006C5EF4"/>
    <w:rsid w:val="006D1386"/>
    <w:rsid w:val="006F29C7"/>
    <w:rsid w:val="00704E7B"/>
    <w:rsid w:val="00706AF0"/>
    <w:rsid w:val="00706FD9"/>
    <w:rsid w:val="0071417F"/>
    <w:rsid w:val="007207AD"/>
    <w:rsid w:val="00726BA4"/>
    <w:rsid w:val="00734DD9"/>
    <w:rsid w:val="00735644"/>
    <w:rsid w:val="0074433B"/>
    <w:rsid w:val="00751E07"/>
    <w:rsid w:val="00763721"/>
    <w:rsid w:val="007657E5"/>
    <w:rsid w:val="00765878"/>
    <w:rsid w:val="00784CAD"/>
    <w:rsid w:val="007A23AA"/>
    <w:rsid w:val="007A5948"/>
    <w:rsid w:val="007C68EB"/>
    <w:rsid w:val="007E568B"/>
    <w:rsid w:val="007F2503"/>
    <w:rsid w:val="007F6DDB"/>
    <w:rsid w:val="00803C63"/>
    <w:rsid w:val="00803FF5"/>
    <w:rsid w:val="008042A3"/>
    <w:rsid w:val="008160A3"/>
    <w:rsid w:val="00816D07"/>
    <w:rsid w:val="008174B5"/>
    <w:rsid w:val="008722D3"/>
    <w:rsid w:val="008745C3"/>
    <w:rsid w:val="00876DA3"/>
    <w:rsid w:val="008A0613"/>
    <w:rsid w:val="008A4AD6"/>
    <w:rsid w:val="008C0EA4"/>
    <w:rsid w:val="008C299E"/>
    <w:rsid w:val="008F7673"/>
    <w:rsid w:val="0090228F"/>
    <w:rsid w:val="00942AFC"/>
    <w:rsid w:val="00957C3D"/>
    <w:rsid w:val="009821B4"/>
    <w:rsid w:val="009829C3"/>
    <w:rsid w:val="00993F48"/>
    <w:rsid w:val="00995764"/>
    <w:rsid w:val="00995B77"/>
    <w:rsid w:val="009A5F8C"/>
    <w:rsid w:val="009A6C50"/>
    <w:rsid w:val="009B5E03"/>
    <w:rsid w:val="009B61FA"/>
    <w:rsid w:val="009C4C6C"/>
    <w:rsid w:val="009C5F96"/>
    <w:rsid w:val="009C6CDB"/>
    <w:rsid w:val="009E0F28"/>
    <w:rsid w:val="009F04CE"/>
    <w:rsid w:val="00A357FD"/>
    <w:rsid w:val="00A37432"/>
    <w:rsid w:val="00A3749C"/>
    <w:rsid w:val="00A4317C"/>
    <w:rsid w:val="00A665E7"/>
    <w:rsid w:val="00A90A02"/>
    <w:rsid w:val="00A91DFC"/>
    <w:rsid w:val="00A921D0"/>
    <w:rsid w:val="00A93AE0"/>
    <w:rsid w:val="00AA6051"/>
    <w:rsid w:val="00AA6D89"/>
    <w:rsid w:val="00AB5E47"/>
    <w:rsid w:val="00AC127A"/>
    <w:rsid w:val="00AC4543"/>
    <w:rsid w:val="00AC5340"/>
    <w:rsid w:val="00AE67AF"/>
    <w:rsid w:val="00AF152A"/>
    <w:rsid w:val="00B15BAF"/>
    <w:rsid w:val="00B1626E"/>
    <w:rsid w:val="00B27E07"/>
    <w:rsid w:val="00B43CE2"/>
    <w:rsid w:val="00B512E2"/>
    <w:rsid w:val="00B7319F"/>
    <w:rsid w:val="00B80115"/>
    <w:rsid w:val="00B819D2"/>
    <w:rsid w:val="00B96E9D"/>
    <w:rsid w:val="00BB6976"/>
    <w:rsid w:val="00BC7E51"/>
    <w:rsid w:val="00BD4EF7"/>
    <w:rsid w:val="00BE2DDC"/>
    <w:rsid w:val="00BF4B59"/>
    <w:rsid w:val="00C0248A"/>
    <w:rsid w:val="00C0304B"/>
    <w:rsid w:val="00C03111"/>
    <w:rsid w:val="00C03484"/>
    <w:rsid w:val="00C1396D"/>
    <w:rsid w:val="00C24AA8"/>
    <w:rsid w:val="00C339FC"/>
    <w:rsid w:val="00C34B95"/>
    <w:rsid w:val="00C34C9D"/>
    <w:rsid w:val="00C40239"/>
    <w:rsid w:val="00C41175"/>
    <w:rsid w:val="00C4238E"/>
    <w:rsid w:val="00C538B7"/>
    <w:rsid w:val="00C57762"/>
    <w:rsid w:val="00C651A6"/>
    <w:rsid w:val="00C664F8"/>
    <w:rsid w:val="00C70EA9"/>
    <w:rsid w:val="00C910F4"/>
    <w:rsid w:val="00CD1764"/>
    <w:rsid w:val="00CD7306"/>
    <w:rsid w:val="00CD73CD"/>
    <w:rsid w:val="00CE11C8"/>
    <w:rsid w:val="00D00F37"/>
    <w:rsid w:val="00D06181"/>
    <w:rsid w:val="00D06EA5"/>
    <w:rsid w:val="00D26691"/>
    <w:rsid w:val="00D3774C"/>
    <w:rsid w:val="00D43F3B"/>
    <w:rsid w:val="00D47FF1"/>
    <w:rsid w:val="00D52D6F"/>
    <w:rsid w:val="00D56F88"/>
    <w:rsid w:val="00D62D98"/>
    <w:rsid w:val="00D700D9"/>
    <w:rsid w:val="00D77E1D"/>
    <w:rsid w:val="00D8554E"/>
    <w:rsid w:val="00D87A8B"/>
    <w:rsid w:val="00D90DDF"/>
    <w:rsid w:val="00DB1137"/>
    <w:rsid w:val="00DB22A3"/>
    <w:rsid w:val="00DB49BF"/>
    <w:rsid w:val="00DB6B70"/>
    <w:rsid w:val="00DD5DE6"/>
    <w:rsid w:val="00E0252C"/>
    <w:rsid w:val="00E052B8"/>
    <w:rsid w:val="00E06083"/>
    <w:rsid w:val="00E135EF"/>
    <w:rsid w:val="00E156C7"/>
    <w:rsid w:val="00E35061"/>
    <w:rsid w:val="00E61555"/>
    <w:rsid w:val="00E667ED"/>
    <w:rsid w:val="00E85366"/>
    <w:rsid w:val="00E8723F"/>
    <w:rsid w:val="00E969A6"/>
    <w:rsid w:val="00EA2F26"/>
    <w:rsid w:val="00EA3DA7"/>
    <w:rsid w:val="00EB6516"/>
    <w:rsid w:val="00ED0685"/>
    <w:rsid w:val="00ED4A11"/>
    <w:rsid w:val="00EE1121"/>
    <w:rsid w:val="00F055C9"/>
    <w:rsid w:val="00F13112"/>
    <w:rsid w:val="00F2243A"/>
    <w:rsid w:val="00F22B68"/>
    <w:rsid w:val="00F34526"/>
    <w:rsid w:val="00F37038"/>
    <w:rsid w:val="00F44131"/>
    <w:rsid w:val="00F50EE6"/>
    <w:rsid w:val="00F56A57"/>
    <w:rsid w:val="00F6507B"/>
    <w:rsid w:val="00F70456"/>
    <w:rsid w:val="00F80F5C"/>
    <w:rsid w:val="00F91C42"/>
    <w:rsid w:val="00FB3821"/>
    <w:rsid w:val="00FD1CB1"/>
    <w:rsid w:val="00FE2E33"/>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50446"/>
  <w15:docId w15:val="{83DB78AD-E59F-459B-BD04-7853874D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link w:val="Heading3Char"/>
    <w:uiPriority w:val="9"/>
    <w:qFormat/>
    <w:rsid w:val="00241A6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character" w:styleId="Hyperlink">
    <w:name w:val="Hyperlink"/>
    <w:rsid w:val="008C299E"/>
    <w:rPr>
      <w:color w:val="0563C1"/>
      <w:u w:val="single"/>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uiPriority w:val="99"/>
    <w:unhideWhenUsed/>
    <w:rsid w:val="003E69DC"/>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3E69DC"/>
  </w:style>
  <w:style w:type="character" w:styleId="CommentReference">
    <w:name w:val="annotation reference"/>
    <w:uiPriority w:val="99"/>
    <w:semiHidden/>
    <w:unhideWhenUsed/>
    <w:rsid w:val="00A93AE0"/>
    <w:rPr>
      <w:sz w:val="16"/>
      <w:szCs w:val="16"/>
    </w:rPr>
  </w:style>
  <w:style w:type="paragraph" w:styleId="CommentText">
    <w:name w:val="annotation text"/>
    <w:basedOn w:val="Normal"/>
    <w:link w:val="CommentTextChar"/>
    <w:uiPriority w:val="99"/>
    <w:unhideWhenUsed/>
    <w:rsid w:val="00A93AE0"/>
    <w:rPr>
      <w:sz w:val="20"/>
      <w:szCs w:val="20"/>
    </w:rPr>
  </w:style>
  <w:style w:type="character" w:customStyle="1" w:styleId="CommentTextChar">
    <w:name w:val="Comment Text Char"/>
    <w:basedOn w:val="DefaultParagraphFont"/>
    <w:link w:val="CommentText"/>
    <w:uiPriority w:val="99"/>
    <w:rsid w:val="00A93AE0"/>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link w:val="CommentSubject"/>
    <w:uiPriority w:val="99"/>
    <w:semiHidden/>
    <w:rsid w:val="00A93AE0"/>
    <w:rPr>
      <w:b/>
      <w:bCs/>
    </w:rPr>
  </w:style>
  <w:style w:type="character" w:customStyle="1" w:styleId="PlainTextChar">
    <w:name w:val="Plain Text Char"/>
    <w:link w:val="PlainText"/>
    <w:rsid w:val="00F22B68"/>
    <w:rPr>
      <w:rFonts w:ascii="Courier New" w:hAnsi="Courier New" w:cs="Courier New"/>
    </w:rPr>
  </w:style>
  <w:style w:type="paragraph" w:styleId="NormalWeb">
    <w:name w:val="Normal (Web)"/>
    <w:basedOn w:val="Normal"/>
    <w:uiPriority w:val="99"/>
    <w:unhideWhenUsed/>
    <w:rsid w:val="005A7DEE"/>
    <w:pPr>
      <w:spacing w:before="100" w:beforeAutospacing="1" w:after="100" w:afterAutospacing="1"/>
    </w:pPr>
  </w:style>
  <w:style w:type="paragraph" w:styleId="ListParagraph">
    <w:name w:val="List Paragraph"/>
    <w:basedOn w:val="Normal"/>
    <w:uiPriority w:val="34"/>
    <w:qFormat/>
    <w:rsid w:val="00414797"/>
    <w:pPr>
      <w:ind w:left="720"/>
      <w:contextualSpacing/>
    </w:pPr>
  </w:style>
  <w:style w:type="table" w:styleId="TableGrid">
    <w:name w:val="Table Grid"/>
    <w:basedOn w:val="TableNormal"/>
    <w:uiPriority w:val="39"/>
    <w:rsid w:val="007F6DDB"/>
    <w:rPr>
      <w:rFonts w:asciiTheme="minorHAnsi" w:eastAsiaTheme="minorHAnsi" w:hAnsiTheme="minorHAnsi" w:cstheme="minorBid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F02"/>
    <w:pPr>
      <w:tabs>
        <w:tab w:val="center" w:pos="4680"/>
        <w:tab w:val="right" w:pos="9360"/>
      </w:tabs>
    </w:pPr>
  </w:style>
  <w:style w:type="character" w:customStyle="1" w:styleId="HeaderChar">
    <w:name w:val="Header Char"/>
    <w:basedOn w:val="DefaultParagraphFont"/>
    <w:link w:val="Header"/>
    <w:uiPriority w:val="99"/>
    <w:rsid w:val="00114F02"/>
    <w:rPr>
      <w:sz w:val="24"/>
      <w:szCs w:val="24"/>
    </w:rPr>
  </w:style>
  <w:style w:type="paragraph" w:styleId="Footer">
    <w:name w:val="footer"/>
    <w:basedOn w:val="Normal"/>
    <w:link w:val="FooterChar"/>
    <w:uiPriority w:val="99"/>
    <w:unhideWhenUsed/>
    <w:rsid w:val="00114F02"/>
    <w:pPr>
      <w:tabs>
        <w:tab w:val="center" w:pos="4680"/>
        <w:tab w:val="right" w:pos="9360"/>
      </w:tabs>
    </w:pPr>
  </w:style>
  <w:style w:type="character" w:customStyle="1" w:styleId="FooterChar">
    <w:name w:val="Footer Char"/>
    <w:basedOn w:val="DefaultParagraphFont"/>
    <w:link w:val="Footer"/>
    <w:uiPriority w:val="99"/>
    <w:rsid w:val="00114F02"/>
    <w:rPr>
      <w:sz w:val="24"/>
      <w:szCs w:val="24"/>
    </w:rPr>
  </w:style>
  <w:style w:type="paragraph" w:styleId="BodyTextIndent">
    <w:name w:val="Body Text Indent"/>
    <w:basedOn w:val="Normal"/>
    <w:link w:val="BodyTextIndentChar"/>
    <w:uiPriority w:val="99"/>
    <w:unhideWhenUsed/>
    <w:rsid w:val="000821DE"/>
    <w:pPr>
      <w:spacing w:after="120"/>
      <w:ind w:left="360"/>
    </w:pPr>
  </w:style>
  <w:style w:type="character" w:customStyle="1" w:styleId="BodyTextIndentChar">
    <w:name w:val="Body Text Indent Char"/>
    <w:basedOn w:val="DefaultParagraphFont"/>
    <w:link w:val="BodyTextIndent"/>
    <w:uiPriority w:val="99"/>
    <w:rsid w:val="000821DE"/>
    <w:rPr>
      <w:sz w:val="24"/>
      <w:szCs w:val="24"/>
    </w:rPr>
  </w:style>
  <w:style w:type="character" w:styleId="FollowedHyperlink">
    <w:name w:val="FollowedHyperlink"/>
    <w:basedOn w:val="DefaultParagraphFont"/>
    <w:uiPriority w:val="99"/>
    <w:semiHidden/>
    <w:unhideWhenUsed/>
    <w:rsid w:val="005305FD"/>
    <w:rPr>
      <w:color w:val="800080" w:themeColor="followedHyperlink"/>
      <w:u w:val="single"/>
    </w:rPr>
  </w:style>
  <w:style w:type="paragraph" w:customStyle="1" w:styleId="Default">
    <w:name w:val="Default"/>
    <w:basedOn w:val="Normal"/>
    <w:rsid w:val="008A0613"/>
    <w:pPr>
      <w:autoSpaceDE w:val="0"/>
      <w:autoSpaceDN w:val="0"/>
    </w:pPr>
    <w:rPr>
      <w:rFonts w:eastAsia="Calibri"/>
      <w:color w:val="000000"/>
    </w:rPr>
  </w:style>
  <w:style w:type="character" w:customStyle="1" w:styleId="Heading3Char">
    <w:name w:val="Heading 3 Char"/>
    <w:basedOn w:val="DefaultParagraphFont"/>
    <w:link w:val="Heading3"/>
    <w:uiPriority w:val="9"/>
    <w:rsid w:val="00241A6E"/>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4384">
      <w:bodyDiv w:val="1"/>
      <w:marLeft w:val="0"/>
      <w:marRight w:val="0"/>
      <w:marTop w:val="0"/>
      <w:marBottom w:val="0"/>
      <w:divBdr>
        <w:top w:val="none" w:sz="0" w:space="0" w:color="auto"/>
        <w:left w:val="none" w:sz="0" w:space="0" w:color="auto"/>
        <w:bottom w:val="none" w:sz="0" w:space="0" w:color="auto"/>
        <w:right w:val="none" w:sz="0" w:space="0" w:color="auto"/>
      </w:divBdr>
    </w:div>
    <w:div w:id="17094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ecec.nr0.htm" TargetMode="External"/><Relationship Id="rId2" Type="http://schemas.openxmlformats.org/officeDocument/2006/relationships/hyperlink" Target="https://www.bls.gov/oes/tables.htm" TargetMode="External"/><Relationship Id="rId1" Type="http://schemas.openxmlformats.org/officeDocument/2006/relationships/hyperlink" Target="https://www.federalregister.gov/documents/2021/02/01/2021-02064/agency-information-collection-activities-proposed-renewal-comment-request-renewal-without-change-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540DC-19D2-4418-AEF1-6510E9D1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1568</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10242</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3</cp:revision>
  <cp:lastPrinted>2017-05-18T13:14:00Z</cp:lastPrinted>
  <dcterms:created xsi:type="dcterms:W3CDTF">2021-07-23T19:22:00Z</dcterms:created>
  <dcterms:modified xsi:type="dcterms:W3CDTF">2021-07-23T19:23:00Z</dcterms:modified>
</cp:coreProperties>
</file>