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A6051" w:rsidR="00643252" w:rsidP="009829C3" w:rsidRDefault="00643252" w14:paraId="35C8A2F8" w14:textId="77777777">
      <w:pPr>
        <w:pStyle w:val="PlainText"/>
        <w:jc w:val="center"/>
        <w:rPr>
          <w:rFonts w:ascii="Times New Roman" w:hAnsi="Times New Roman" w:eastAsia="MS Mincho" w:cs="Times New Roman"/>
          <w:sz w:val="24"/>
          <w:u w:val="single"/>
        </w:rPr>
      </w:pPr>
      <w:bookmarkStart w:name="_GoBack" w:id="0"/>
      <w:bookmarkEnd w:id="0"/>
      <w:r w:rsidRPr="00AA6051">
        <w:rPr>
          <w:rFonts w:ascii="Times New Roman" w:hAnsi="Times New Roman" w:eastAsia="MS Mincho" w:cs="Times New Roman"/>
          <w:sz w:val="24"/>
          <w:u w:val="single"/>
        </w:rPr>
        <w:t>Supp</w:t>
      </w:r>
      <w:r w:rsidRPr="00AA6051" w:rsidR="00C538B7">
        <w:rPr>
          <w:rFonts w:ascii="Times New Roman" w:hAnsi="Times New Roman" w:eastAsia="MS Mincho" w:cs="Times New Roman"/>
          <w:sz w:val="24"/>
          <w:u w:val="single"/>
        </w:rPr>
        <w:t xml:space="preserve">orting </w:t>
      </w:r>
      <w:r w:rsidRPr="00AA6051">
        <w:rPr>
          <w:rFonts w:ascii="Times New Roman" w:hAnsi="Times New Roman" w:eastAsia="MS Mincho" w:cs="Times New Roman"/>
          <w:sz w:val="24"/>
          <w:u w:val="single"/>
        </w:rPr>
        <w:t>Statement</w:t>
      </w:r>
    </w:p>
    <w:p w:rsidRPr="00AA6051" w:rsidR="00F22B68" w:rsidP="009829C3" w:rsidRDefault="00F22B68" w14:paraId="6D20C1D5" w14:textId="77777777">
      <w:pPr>
        <w:pStyle w:val="PlainText"/>
        <w:jc w:val="center"/>
        <w:rPr>
          <w:rFonts w:ascii="Times New Roman" w:hAnsi="Times New Roman" w:eastAsia="MS Mincho" w:cs="Times New Roman"/>
          <w:sz w:val="24"/>
          <w:u w:val="single"/>
        </w:rPr>
      </w:pPr>
      <w:r w:rsidRPr="00AA6051">
        <w:rPr>
          <w:rFonts w:ascii="Times New Roman" w:hAnsi="Times New Roman" w:eastAsia="MS Mincho" w:cs="Times New Roman"/>
          <w:sz w:val="24"/>
          <w:u w:val="single"/>
        </w:rPr>
        <w:t>OMB Control Number 1506-</w:t>
      </w:r>
      <w:r w:rsidRPr="00AA6051" w:rsidR="00700E3B">
        <w:rPr>
          <w:rFonts w:ascii="Times New Roman" w:hAnsi="Times New Roman" w:eastAsia="MS Mincho" w:cs="Times New Roman"/>
          <w:sz w:val="24"/>
          <w:u w:val="single"/>
        </w:rPr>
        <w:t>00</w:t>
      </w:r>
      <w:r w:rsidR="00700E3B">
        <w:rPr>
          <w:rFonts w:ascii="Times New Roman" w:hAnsi="Times New Roman" w:eastAsia="MS Mincho" w:cs="Times New Roman"/>
          <w:sz w:val="24"/>
          <w:u w:val="single"/>
        </w:rPr>
        <w:t>57</w:t>
      </w:r>
    </w:p>
    <w:p w:rsidRPr="00AA6051" w:rsidR="00F22B68" w:rsidP="009829C3" w:rsidRDefault="00F22B68" w14:paraId="1CB8FBFF" w14:textId="77777777">
      <w:pPr>
        <w:pStyle w:val="PlainText"/>
        <w:jc w:val="center"/>
        <w:rPr>
          <w:rFonts w:ascii="Times New Roman" w:hAnsi="Times New Roman" w:eastAsia="MS Mincho" w:cs="Times New Roman"/>
          <w:sz w:val="24"/>
          <w:u w:val="single"/>
        </w:rPr>
      </w:pPr>
    </w:p>
    <w:p w:rsidRPr="00AA6051" w:rsidR="00F22B68" w:rsidP="00417F2A" w:rsidRDefault="006356D5" w14:paraId="7FA82399" w14:textId="77777777">
      <w:pPr>
        <w:pStyle w:val="PlainText"/>
        <w:rPr>
          <w:rFonts w:ascii="Times New Roman" w:hAnsi="Times New Roman" w:eastAsia="MS Mincho" w:cs="Times New Roman"/>
          <w:sz w:val="24"/>
          <w:szCs w:val="24"/>
          <w:u w:val="single"/>
        </w:rPr>
      </w:pPr>
      <w:r>
        <w:rPr>
          <w:rFonts w:ascii="Times New Roman" w:hAnsi="Times New Roman" w:eastAsia="MS Mincho" w:cs="Times New Roman"/>
          <w:bCs/>
          <w:sz w:val="24"/>
          <w:szCs w:val="24"/>
          <w:u w:val="single"/>
        </w:rPr>
        <w:t xml:space="preserve">Purchases of Bank Checks and Drafts, Cashier’s Checks, </w:t>
      </w:r>
      <w:r w:rsidR="00844128">
        <w:rPr>
          <w:rFonts w:ascii="Times New Roman" w:hAnsi="Times New Roman" w:eastAsia="MS Mincho" w:cs="Times New Roman"/>
          <w:bCs/>
          <w:sz w:val="24"/>
          <w:szCs w:val="24"/>
          <w:u w:val="single"/>
        </w:rPr>
        <w:t>Money Order</w:t>
      </w:r>
      <w:r w:rsidR="00452B2C">
        <w:rPr>
          <w:rFonts w:ascii="Times New Roman" w:hAnsi="Times New Roman" w:eastAsia="MS Mincho" w:cs="Times New Roman"/>
          <w:bCs/>
          <w:sz w:val="24"/>
          <w:szCs w:val="24"/>
          <w:u w:val="single"/>
        </w:rPr>
        <w:t>s</w:t>
      </w:r>
      <w:r w:rsidR="00354599">
        <w:rPr>
          <w:rFonts w:ascii="Times New Roman" w:hAnsi="Times New Roman" w:eastAsia="MS Mincho" w:cs="Times New Roman"/>
          <w:bCs/>
          <w:sz w:val="24"/>
          <w:szCs w:val="24"/>
          <w:u w:val="single"/>
        </w:rPr>
        <w:t>,</w:t>
      </w:r>
      <w:r w:rsidR="00844128">
        <w:rPr>
          <w:rFonts w:ascii="Times New Roman" w:hAnsi="Times New Roman" w:eastAsia="MS Mincho" w:cs="Times New Roman"/>
          <w:bCs/>
          <w:sz w:val="24"/>
          <w:szCs w:val="24"/>
          <w:u w:val="single"/>
        </w:rPr>
        <w:t xml:space="preserve"> and Traveler’s Checks </w:t>
      </w:r>
      <w:r w:rsidRPr="00417F2A" w:rsidR="00417F2A">
        <w:rPr>
          <w:rFonts w:ascii="Times New Roman" w:hAnsi="Times New Roman" w:eastAsia="MS Mincho" w:cs="Times New Roman"/>
          <w:bCs/>
          <w:sz w:val="24"/>
          <w:szCs w:val="24"/>
          <w:u w:val="single"/>
        </w:rPr>
        <w:t>(31 CFR</w:t>
      </w:r>
      <w:r w:rsidR="00AD1062">
        <w:rPr>
          <w:rFonts w:ascii="Times New Roman" w:hAnsi="Times New Roman" w:eastAsia="MS Mincho" w:cs="Times New Roman"/>
          <w:bCs/>
          <w:sz w:val="24"/>
          <w:szCs w:val="24"/>
          <w:u w:val="single"/>
        </w:rPr>
        <w:t xml:space="preserve"> </w:t>
      </w:r>
      <w:r w:rsidRPr="00417F2A" w:rsidR="00417F2A">
        <w:rPr>
          <w:rFonts w:ascii="Times New Roman" w:hAnsi="Times New Roman" w:eastAsia="MS Mincho" w:cs="Times New Roman"/>
          <w:bCs/>
          <w:sz w:val="24"/>
          <w:szCs w:val="24"/>
          <w:u w:val="single"/>
        </w:rPr>
        <w:t>1010.</w:t>
      </w:r>
      <w:r>
        <w:rPr>
          <w:rFonts w:ascii="Times New Roman" w:hAnsi="Times New Roman" w:eastAsia="MS Mincho" w:cs="Times New Roman"/>
          <w:bCs/>
          <w:sz w:val="24"/>
          <w:szCs w:val="24"/>
          <w:u w:val="single"/>
        </w:rPr>
        <w:t>415</w:t>
      </w:r>
      <w:r w:rsidRPr="00417F2A" w:rsidR="00417F2A">
        <w:rPr>
          <w:rFonts w:ascii="Times New Roman" w:hAnsi="Times New Roman" w:eastAsia="MS Mincho" w:cs="Times New Roman"/>
          <w:bCs/>
          <w:sz w:val="24"/>
          <w:szCs w:val="24"/>
          <w:u w:val="single"/>
        </w:rPr>
        <w:t>).</w:t>
      </w:r>
      <w:r w:rsidRPr="00AA6051" w:rsidR="00F22B68">
        <w:rPr>
          <w:rFonts w:ascii="Times New Roman" w:hAnsi="Times New Roman" w:cs="Times New Roman"/>
          <w:sz w:val="24"/>
          <w:szCs w:val="24"/>
          <w:u w:val="single"/>
        </w:rPr>
        <w:t xml:space="preserve"> </w:t>
      </w:r>
    </w:p>
    <w:p w:rsidRPr="00AA6051" w:rsidR="00643252" w:rsidP="009829C3" w:rsidRDefault="00643252" w14:paraId="706AAD19" w14:textId="77777777">
      <w:pPr>
        <w:pStyle w:val="PlainText"/>
        <w:rPr>
          <w:rFonts w:ascii="Times New Roman" w:hAnsi="Times New Roman" w:eastAsia="MS Mincho" w:cs="Times New Roman"/>
          <w:sz w:val="24"/>
        </w:rPr>
      </w:pPr>
    </w:p>
    <w:p w:rsidRPr="00AA6051" w:rsidR="00643252" w:rsidP="009829C3" w:rsidRDefault="00643252" w14:paraId="477F967C" w14:textId="77777777">
      <w:pPr>
        <w:pStyle w:val="PlainText"/>
        <w:rPr>
          <w:rFonts w:ascii="Times New Roman" w:hAnsi="Times New Roman" w:eastAsia="MS Mincho" w:cs="Times New Roman"/>
          <w:sz w:val="24"/>
        </w:rPr>
      </w:pPr>
      <w:r w:rsidRPr="00AA6051">
        <w:rPr>
          <w:rFonts w:ascii="Times New Roman" w:hAnsi="Times New Roman" w:eastAsia="MS Mincho" w:cs="Times New Roman"/>
          <w:sz w:val="24"/>
        </w:rPr>
        <w:t xml:space="preserve">1. </w:t>
      </w:r>
      <w:r w:rsidRPr="00AA6051">
        <w:rPr>
          <w:rFonts w:ascii="Times New Roman" w:hAnsi="Times New Roman" w:cs="Times New Roman"/>
          <w:sz w:val="24"/>
          <w:szCs w:val="22"/>
          <w:u w:val="single"/>
        </w:rPr>
        <w:t xml:space="preserve">Circumstances </w:t>
      </w:r>
      <w:r w:rsidRPr="00AA6051" w:rsidR="00F22B68">
        <w:rPr>
          <w:rFonts w:ascii="Times New Roman" w:hAnsi="Times New Roman" w:cs="Times New Roman"/>
          <w:sz w:val="24"/>
          <w:szCs w:val="22"/>
          <w:u w:val="single"/>
        </w:rPr>
        <w:t>n</w:t>
      </w:r>
      <w:r w:rsidRPr="00AA6051">
        <w:rPr>
          <w:rFonts w:ascii="Times New Roman" w:hAnsi="Times New Roman" w:cs="Times New Roman"/>
          <w:sz w:val="24"/>
          <w:szCs w:val="22"/>
          <w:u w:val="single"/>
        </w:rPr>
        <w:t xml:space="preserve">ecessitating </w:t>
      </w:r>
      <w:r w:rsidRPr="00AA6051" w:rsidR="00F22B68">
        <w:rPr>
          <w:rFonts w:ascii="Times New Roman" w:hAnsi="Times New Roman" w:cs="Times New Roman"/>
          <w:sz w:val="24"/>
          <w:szCs w:val="22"/>
          <w:u w:val="single"/>
        </w:rPr>
        <w:t>c</w:t>
      </w:r>
      <w:r w:rsidRPr="00AA6051">
        <w:rPr>
          <w:rFonts w:ascii="Times New Roman" w:hAnsi="Times New Roman" w:cs="Times New Roman"/>
          <w:sz w:val="24"/>
          <w:szCs w:val="22"/>
          <w:u w:val="single"/>
        </w:rPr>
        <w:t xml:space="preserve">ollection of </w:t>
      </w:r>
      <w:r w:rsidRPr="00AA6051" w:rsidR="00F22B68">
        <w:rPr>
          <w:rFonts w:ascii="Times New Roman" w:hAnsi="Times New Roman" w:cs="Times New Roman"/>
          <w:sz w:val="24"/>
          <w:szCs w:val="22"/>
          <w:u w:val="single"/>
        </w:rPr>
        <w:t>i</w:t>
      </w:r>
      <w:r w:rsidRPr="00AA6051">
        <w:rPr>
          <w:rFonts w:ascii="Times New Roman" w:hAnsi="Times New Roman" w:cs="Times New Roman"/>
          <w:sz w:val="24"/>
          <w:szCs w:val="22"/>
          <w:u w:val="single"/>
        </w:rPr>
        <w:t>nformation.</w:t>
      </w:r>
    </w:p>
    <w:p w:rsidRPr="00AA6051" w:rsidR="00F22B68" w:rsidP="009829C3" w:rsidRDefault="00F22B68" w14:paraId="04BCFD60" w14:textId="77777777">
      <w:pPr>
        <w:pStyle w:val="PlainText"/>
        <w:rPr>
          <w:rFonts w:ascii="Times New Roman" w:hAnsi="Times New Roman" w:eastAsia="MS Mincho" w:cs="Times New Roman"/>
          <w:sz w:val="24"/>
        </w:rPr>
      </w:pPr>
    </w:p>
    <w:p w:rsidRPr="00821BCA" w:rsidR="00D9645C" w:rsidP="00D9645C" w:rsidRDefault="00D9645C" w14:paraId="6150F5AF" w14:textId="77777777">
      <w:pPr>
        <w:pStyle w:val="BodyTextIndent"/>
        <w:ind w:left="0" w:firstLine="720"/>
        <w:rPr>
          <w:color w:val="000000" w:themeColor="text1"/>
        </w:rPr>
      </w:pPr>
      <w:r w:rsidRPr="00821BCA">
        <w:rPr>
          <w:color w:val="000000" w:themeColor="text1"/>
        </w:rPr>
        <w:t>The legislative framework generally referred to as the Bank Secrecy Act (BSA) consists of the Currency and Financial Transactions Reporting Act of 1970, as amended by the Uniting and Strengthening America by Providing Appropriate Tools Required to Intercept and Obstruct Terrorism Act of 2001 (USA PATRIOT Act) (Public Law 107–56) and other legislation</w:t>
      </w:r>
      <w:r w:rsidR="00D01527">
        <w:rPr>
          <w:color w:val="000000" w:themeColor="text1"/>
        </w:rPr>
        <w:t xml:space="preserve">, </w:t>
      </w:r>
      <w:r w:rsidR="00D01527">
        <w:t>including most recently the Anti-Money Laundering Act of 2020 (AML Act) (Division F of Public Law 116-283)</w:t>
      </w:r>
      <w:r w:rsidRPr="00127A5D" w:rsidR="00D01527">
        <w:t>.</w:t>
      </w:r>
      <w:r w:rsidR="00D01527">
        <w:t xml:space="preserve"> </w:t>
      </w:r>
      <w:r w:rsidRPr="00821BCA">
        <w:rPr>
          <w:color w:val="000000" w:themeColor="text1"/>
        </w:rPr>
        <w:t>The BSA is codified at 12 U.S.C. 1829b, 12 U.S.C. 1951–1959, 31 U.S.C. 5311–5314 and 5316–</w:t>
      </w:r>
      <w:r w:rsidRPr="00821BCA" w:rsidR="00700E3B">
        <w:rPr>
          <w:color w:val="000000" w:themeColor="text1"/>
        </w:rPr>
        <w:t>533</w:t>
      </w:r>
      <w:r w:rsidR="00700E3B">
        <w:rPr>
          <w:color w:val="000000" w:themeColor="text1"/>
        </w:rPr>
        <w:t>6</w:t>
      </w:r>
      <w:r w:rsidRPr="00821BCA">
        <w:rPr>
          <w:color w:val="000000" w:themeColor="text1"/>
        </w:rPr>
        <w:t xml:space="preserve">, and notes thereto, with implementing regulations at 31 CFR Chapter X.  </w:t>
      </w:r>
    </w:p>
    <w:p w:rsidRPr="00120B54" w:rsidR="00D9645C" w:rsidP="00D9645C" w:rsidRDefault="00D9645C" w14:paraId="79EE220C" w14:textId="77777777">
      <w:pPr>
        <w:ind w:firstLine="720"/>
        <w:rPr>
          <w:vertAlign w:val="superscript"/>
        </w:rPr>
      </w:pPr>
      <w:r w:rsidRPr="00120B54">
        <w:t xml:space="preserve">The BSA authorizes the Secretary of the Treasury, </w:t>
      </w:r>
      <w:r w:rsidRPr="00120B54">
        <w:rPr>
          <w:i/>
        </w:rPr>
        <w:t>inter alia</w:t>
      </w:r>
      <w:r w:rsidRPr="00120B54">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AML programs and compliance procedures.</w:t>
      </w:r>
      <w:r w:rsidRPr="00120B54">
        <w:rPr>
          <w:rStyle w:val="FootnoteReference"/>
        </w:rPr>
        <w:footnoteReference w:id="1"/>
      </w:r>
      <w:r w:rsidRPr="00120B54">
        <w:rPr>
          <w:vertAlign w:val="superscript"/>
        </w:rPr>
        <w:t xml:space="preserve"> </w:t>
      </w:r>
      <w:r w:rsidRPr="00120B54">
        <w:t>Regulations implementing the BSA appear at 31 CFR Chapter X. The authority of the Secretary to administer the BSA has been delegated to the Director of FinCEN.</w:t>
      </w:r>
      <w:r w:rsidRPr="00120B54">
        <w:rPr>
          <w:rStyle w:val="FootnoteReference"/>
        </w:rPr>
        <w:footnoteReference w:id="2"/>
      </w:r>
    </w:p>
    <w:p w:rsidR="006356D5" w:rsidP="00097749" w:rsidRDefault="006356D5" w14:paraId="3F9D20A5" w14:textId="77777777">
      <w:pPr>
        <w:shd w:val="clear" w:color="auto" w:fill="FFFFFF"/>
        <w:ind w:firstLine="720"/>
      </w:pPr>
    </w:p>
    <w:p w:rsidR="006356D5" w:rsidP="006356D5" w:rsidRDefault="006356D5" w14:paraId="09FA1E34" w14:textId="77777777">
      <w:pPr>
        <w:shd w:val="clear" w:color="auto" w:fill="FFFFFF"/>
        <w:ind w:firstLine="720"/>
      </w:pPr>
      <w:r>
        <w:t xml:space="preserve">The BSA prohibits financial institutions from issuing any ‘‘bank check, cashier’s check, traveler’s check, or money order to any individual in connection with a transaction or group of such contemporaneous transactions which involves United States coins or currency (or such other monetary instruments as the Secretary may prescribe) in amounts or denominations of $3,000 or more’’ </w:t>
      </w:r>
      <w:r w:rsidRPr="001F4036">
        <w:t>unless</w:t>
      </w:r>
      <w:r>
        <w:t xml:space="preserve"> the individual either has a verified transaction account with the financial institution</w:t>
      </w:r>
      <w:r w:rsidR="00D01527">
        <w:t>,</w:t>
      </w:r>
      <w:r>
        <w:t xml:space="preserve"> or furnishes the financial institution with the information required by regulations and that information is verified and recorded by the financial institution; financial institutions must record the method of account verification or the information required to be furnished.</w:t>
      </w:r>
      <w:r w:rsidR="008903AF">
        <w:rPr>
          <w:rStyle w:val="FootnoteReference"/>
        </w:rPr>
        <w:footnoteReference w:id="3"/>
      </w:r>
      <w:r w:rsidRPr="007070F2">
        <w:rPr>
          <w:vertAlign w:val="superscript"/>
        </w:rPr>
        <w:t xml:space="preserve"> </w:t>
      </w:r>
      <w:r>
        <w:t>To implement these requirements, FinCEN issued a regulation requiring financial institutions to maintain records of the issuance or sale of bank checks and drafts, cashier’s checks, money orders, and traveler’s checks</w:t>
      </w:r>
      <w:r w:rsidR="00AE7EE8">
        <w:t>.</w:t>
      </w:r>
      <w:r w:rsidR="00AE7EE8">
        <w:rPr>
          <w:rStyle w:val="FootnoteReference"/>
        </w:rPr>
        <w:footnoteReference w:id="4"/>
      </w:r>
      <w:r>
        <w:t xml:space="preserve"> The regulation on its face applies to all financial institutions as </w:t>
      </w:r>
      <w:r>
        <w:lastRenderedPageBreak/>
        <w:t>defined in 31 CFR 1010.100(t). However, as a practical matter banks and money services businesses (MSBs) are the types of financial institutions most likely to be issuing or selling bank checks and drafts, cashier’s checks, money orders, and traveler’s checks.</w:t>
      </w:r>
    </w:p>
    <w:p w:rsidR="006356D5" w:rsidP="006356D5" w:rsidRDefault="006356D5" w14:paraId="5B657693" w14:textId="77777777">
      <w:pPr>
        <w:shd w:val="clear" w:color="auto" w:fill="FFFFFF"/>
        <w:ind w:firstLine="720"/>
      </w:pPr>
    </w:p>
    <w:p w:rsidR="00543922" w:rsidP="00097749" w:rsidRDefault="006356D5" w14:paraId="5E82BC64" w14:textId="77777777">
      <w:pPr>
        <w:shd w:val="clear" w:color="auto" w:fill="FFFFFF"/>
        <w:ind w:firstLine="720"/>
      </w:pPr>
      <w:r>
        <w:t>Under 31 CFR 1010.415, financial</w:t>
      </w:r>
      <w:r w:rsidR="00C45315">
        <w:t xml:space="preserve"> </w:t>
      </w:r>
      <w:r w:rsidR="00D01527">
        <w:t xml:space="preserve">institutions </w:t>
      </w:r>
      <w:r w:rsidR="00C45315">
        <w:t>are required to maintain</w:t>
      </w:r>
      <w:r w:rsidR="00D845E8">
        <w:t xml:space="preserve"> </w:t>
      </w:r>
      <w:r w:rsidR="00C45315">
        <w:t>records of certain information related to</w:t>
      </w:r>
      <w:r w:rsidR="00D845E8">
        <w:t xml:space="preserve"> </w:t>
      </w:r>
      <w:r w:rsidR="00C45315">
        <w:t>the issuance or sale of bank checks and</w:t>
      </w:r>
      <w:r w:rsidR="00D845E8">
        <w:t xml:space="preserve"> </w:t>
      </w:r>
      <w:r w:rsidR="00C45315">
        <w:t>drafts, cashier’s checks, money orders,</w:t>
      </w:r>
      <w:r w:rsidR="00D845E8">
        <w:t xml:space="preserve"> </w:t>
      </w:r>
      <w:r w:rsidR="00C45315">
        <w:t>and traveler’s checks when the issuance</w:t>
      </w:r>
      <w:r w:rsidR="00D845E8">
        <w:t xml:space="preserve"> </w:t>
      </w:r>
      <w:r w:rsidR="00C45315">
        <w:t>or sale involves currency between</w:t>
      </w:r>
      <w:r w:rsidR="00D845E8">
        <w:t xml:space="preserve"> </w:t>
      </w:r>
      <w:r w:rsidR="00C45315">
        <w:t>$3,000-$10,000, inclusive, to any</w:t>
      </w:r>
      <w:r w:rsidR="00D845E8">
        <w:t xml:space="preserve"> </w:t>
      </w:r>
      <w:r w:rsidR="00C45315">
        <w:t>individual purchaser of one or more of</w:t>
      </w:r>
      <w:r w:rsidR="00D845E8">
        <w:t xml:space="preserve"> </w:t>
      </w:r>
      <w:r w:rsidR="00C45315">
        <w:t>these instruments. Under 31 CFR</w:t>
      </w:r>
      <w:r w:rsidR="00D845E8">
        <w:t xml:space="preserve"> </w:t>
      </w:r>
      <w:r w:rsidR="00C45315">
        <w:t>1010.415(a)(1)(i), if the purchaser has a</w:t>
      </w:r>
      <w:r w:rsidR="00D845E8">
        <w:t xml:space="preserve"> </w:t>
      </w:r>
      <w:r w:rsidR="00C45315">
        <w:t>deposit account with the financial</w:t>
      </w:r>
      <w:r w:rsidR="00D845E8">
        <w:t xml:space="preserve"> </w:t>
      </w:r>
      <w:r w:rsidR="00C45315">
        <w:t>institution, the financial institution is</w:t>
      </w:r>
      <w:r w:rsidR="00D845E8">
        <w:t xml:space="preserve"> </w:t>
      </w:r>
      <w:r w:rsidR="00C45315">
        <w:t>required to maintain records of</w:t>
      </w:r>
      <w:r w:rsidR="00F231D7">
        <w:t xml:space="preserve"> the</w:t>
      </w:r>
      <w:r w:rsidR="00C45315">
        <w:t xml:space="preserve">: (A) </w:t>
      </w:r>
      <w:r w:rsidR="00F231D7">
        <w:t xml:space="preserve">purchaser’s </w:t>
      </w:r>
      <w:r w:rsidR="00C45315">
        <w:t>name; (B) date of</w:t>
      </w:r>
      <w:r w:rsidR="00D845E8">
        <w:t xml:space="preserve"> </w:t>
      </w:r>
      <w:r w:rsidR="00C45315">
        <w:t>purchase; (C) type(s) of</w:t>
      </w:r>
      <w:r w:rsidR="00D845E8">
        <w:t xml:space="preserve"> </w:t>
      </w:r>
      <w:r w:rsidR="00C45315">
        <w:t>instrument(s) purchased; (D) serial</w:t>
      </w:r>
      <w:r w:rsidR="00D845E8">
        <w:t xml:space="preserve"> </w:t>
      </w:r>
      <w:r w:rsidR="00C45315">
        <w:t>number(s) of each of the instrument(s)</w:t>
      </w:r>
      <w:r w:rsidR="00D845E8">
        <w:t xml:space="preserve"> </w:t>
      </w:r>
      <w:r w:rsidR="00C45315">
        <w:t xml:space="preserve">purchased; and (E) </w:t>
      </w:r>
      <w:r w:rsidR="00543922">
        <w:t xml:space="preserve">the </w:t>
      </w:r>
      <w:r w:rsidR="00C45315">
        <w:t>amount in</w:t>
      </w:r>
      <w:r w:rsidR="00D845E8">
        <w:t xml:space="preserve"> </w:t>
      </w:r>
      <w:r w:rsidR="00C45315">
        <w:t>dollars of each of the instrument(s)</w:t>
      </w:r>
      <w:r w:rsidR="00D845E8">
        <w:t xml:space="preserve"> </w:t>
      </w:r>
      <w:r w:rsidR="00C45315">
        <w:t>purchased. Under 31 CFR</w:t>
      </w:r>
      <w:r w:rsidR="00D845E8">
        <w:t xml:space="preserve"> </w:t>
      </w:r>
      <w:r w:rsidR="00C45315">
        <w:t>1010.415(a)(1)(ii), the financial</w:t>
      </w:r>
      <w:r w:rsidR="00D845E8">
        <w:t xml:space="preserve"> </w:t>
      </w:r>
      <w:r w:rsidR="00C45315">
        <w:t>institution must also verify that the</w:t>
      </w:r>
      <w:r w:rsidR="00D845E8">
        <w:t xml:space="preserve"> </w:t>
      </w:r>
      <w:r w:rsidR="00C45315">
        <w:t>individual is a deposit accountholder or</w:t>
      </w:r>
      <w:r w:rsidR="00D845E8">
        <w:t xml:space="preserve"> </w:t>
      </w:r>
      <w:r w:rsidR="00C45315">
        <w:t>must verify the individual’s identity.</w:t>
      </w:r>
      <w:r w:rsidR="00AE7EE8">
        <w:rPr>
          <w:rStyle w:val="FootnoteReference"/>
        </w:rPr>
        <w:footnoteReference w:id="5"/>
      </w:r>
      <w:r w:rsidR="00D845E8">
        <w:t xml:space="preserve"> </w:t>
      </w:r>
    </w:p>
    <w:p w:rsidR="00543922" w:rsidP="00097749" w:rsidRDefault="00543922" w14:paraId="5882441C" w14:textId="77777777">
      <w:pPr>
        <w:shd w:val="clear" w:color="auto" w:fill="FFFFFF"/>
        <w:ind w:firstLine="720"/>
      </w:pPr>
    </w:p>
    <w:p w:rsidR="00A17DAB" w:rsidP="00097749" w:rsidRDefault="00C45315" w14:paraId="187BC2B6" w14:textId="77777777">
      <w:pPr>
        <w:shd w:val="clear" w:color="auto" w:fill="FFFFFF"/>
        <w:ind w:firstLine="720"/>
      </w:pPr>
      <w:r>
        <w:t>Under 31 CFR 1010.415(a)(2)(i), if the</w:t>
      </w:r>
      <w:r w:rsidR="00D845E8">
        <w:t xml:space="preserve"> </w:t>
      </w:r>
      <w:r>
        <w:t>purchaser does not have a deposit</w:t>
      </w:r>
      <w:r w:rsidR="00D845E8">
        <w:t xml:space="preserve"> </w:t>
      </w:r>
      <w:r>
        <w:t>account with the financial institution,</w:t>
      </w:r>
      <w:r w:rsidR="00D845E8">
        <w:t xml:space="preserve"> </w:t>
      </w:r>
      <w:r>
        <w:t>the financial institution must maintain</w:t>
      </w:r>
      <w:r w:rsidR="00D845E8">
        <w:t xml:space="preserve"> </w:t>
      </w:r>
      <w:r>
        <w:t>a record of</w:t>
      </w:r>
      <w:r w:rsidR="00F231D7">
        <w:t xml:space="preserve"> the</w:t>
      </w:r>
      <w:r w:rsidR="00A64806">
        <w:t>: (A)</w:t>
      </w:r>
      <w:r w:rsidR="00F231D7">
        <w:t xml:space="preserve"> name</w:t>
      </w:r>
      <w:r w:rsidR="00A64806">
        <w:t xml:space="preserve"> and </w:t>
      </w:r>
      <w:r w:rsidR="00F231D7">
        <w:t xml:space="preserve">address, </w:t>
      </w:r>
      <w:r w:rsidR="00A64806">
        <w:t>(B) (</w:t>
      </w:r>
      <w:r w:rsidR="00F231D7">
        <w:t>social security of the purchaser</w:t>
      </w:r>
      <w:r>
        <w:t>, or if the</w:t>
      </w:r>
      <w:r w:rsidR="00D845E8">
        <w:t xml:space="preserve"> </w:t>
      </w:r>
      <w:r>
        <w:t>purchaser is an alien and does not have</w:t>
      </w:r>
      <w:r w:rsidR="00D845E8">
        <w:t xml:space="preserve"> </w:t>
      </w:r>
      <w:r>
        <w:t>a social security number, the alien</w:t>
      </w:r>
      <w:r w:rsidR="00D845E8">
        <w:t xml:space="preserve"> </w:t>
      </w:r>
      <w:r>
        <w:t>identification number; (C) the date of</w:t>
      </w:r>
      <w:r w:rsidR="00D845E8">
        <w:t xml:space="preserve"> </w:t>
      </w:r>
      <w:r>
        <w:t>birth of the purchaser; (D) the date of</w:t>
      </w:r>
      <w:r w:rsidR="00D845E8">
        <w:t xml:space="preserve"> </w:t>
      </w:r>
      <w:r>
        <w:t>the purchase; (E) the type(s) of</w:t>
      </w:r>
      <w:r w:rsidR="00D845E8">
        <w:t xml:space="preserve"> </w:t>
      </w:r>
      <w:r>
        <w:t>instrument(s) purchased; (F) the serial</w:t>
      </w:r>
      <w:r w:rsidR="00D845E8">
        <w:t xml:space="preserve"> </w:t>
      </w:r>
      <w:r>
        <w:t>number(s) of the instrument(s)</w:t>
      </w:r>
      <w:r w:rsidR="00D845E8">
        <w:t xml:space="preserve"> </w:t>
      </w:r>
      <w:r>
        <w:t>purchased; and (G) the amount in</w:t>
      </w:r>
      <w:r w:rsidR="00D845E8">
        <w:t xml:space="preserve"> </w:t>
      </w:r>
      <w:r>
        <w:t>dollars of each of the instrument(s)</w:t>
      </w:r>
      <w:r w:rsidR="00D845E8">
        <w:t xml:space="preserve"> </w:t>
      </w:r>
      <w:r>
        <w:t>purchased. Under 31 CFR</w:t>
      </w:r>
      <w:r w:rsidR="00D845E8">
        <w:t xml:space="preserve"> </w:t>
      </w:r>
      <w:r>
        <w:t>1010.415(a)(2)(ii), the financial</w:t>
      </w:r>
      <w:r w:rsidR="00D845E8">
        <w:t xml:space="preserve"> </w:t>
      </w:r>
      <w:r>
        <w:t>institution must also verify the</w:t>
      </w:r>
      <w:r w:rsidR="00D845E8">
        <w:t xml:space="preserve"> </w:t>
      </w:r>
      <w:r>
        <w:t>purchaser’s name and address by</w:t>
      </w:r>
      <w:r w:rsidR="00D845E8">
        <w:t xml:space="preserve"> </w:t>
      </w:r>
      <w:r>
        <w:t>examination of a document which is</w:t>
      </w:r>
      <w:r w:rsidR="00D845E8">
        <w:t xml:space="preserve"> </w:t>
      </w:r>
      <w:r>
        <w:t>normally acceptable as a means of</w:t>
      </w:r>
      <w:r w:rsidR="00D845E8">
        <w:t xml:space="preserve"> </w:t>
      </w:r>
      <w:r>
        <w:t>identification when cashing checks for</w:t>
      </w:r>
      <w:r w:rsidR="00D845E8">
        <w:t xml:space="preserve"> </w:t>
      </w:r>
      <w:r>
        <w:t>nondepositors and which contains the</w:t>
      </w:r>
      <w:r w:rsidR="00D845E8">
        <w:t xml:space="preserve"> </w:t>
      </w:r>
      <w:r>
        <w:t>name and address of the purchaser, and</w:t>
      </w:r>
      <w:r w:rsidR="00A17DAB">
        <w:t xml:space="preserve"> must record the specific identifying information. </w:t>
      </w:r>
    </w:p>
    <w:p w:rsidR="00A17DAB" w:rsidP="00097749" w:rsidRDefault="00A17DAB" w14:paraId="5EE9801B" w14:textId="77777777">
      <w:pPr>
        <w:shd w:val="clear" w:color="auto" w:fill="FFFFFF"/>
        <w:ind w:firstLine="720"/>
      </w:pPr>
    </w:p>
    <w:p w:rsidR="00A17DAB" w:rsidP="00A17DAB" w:rsidRDefault="00A17DAB" w14:paraId="3EE46A4B" w14:textId="77777777">
      <w:pPr>
        <w:shd w:val="clear" w:color="auto" w:fill="FFFFFF"/>
        <w:ind w:firstLine="720"/>
        <w:rPr>
          <w:rFonts w:eastAsia="MS Mincho"/>
          <w:bCs/>
        </w:rPr>
      </w:pPr>
      <w:r w:rsidRPr="00A17DAB">
        <w:rPr>
          <w:rFonts w:eastAsia="MS Mincho"/>
          <w:bCs/>
        </w:rPr>
        <w:t>Under 31 CFR 1010.415(b), financial</w:t>
      </w:r>
      <w:r>
        <w:rPr>
          <w:rFonts w:eastAsia="MS Mincho"/>
          <w:bCs/>
        </w:rPr>
        <w:t xml:space="preserve"> </w:t>
      </w:r>
      <w:r w:rsidRPr="00A17DAB">
        <w:rPr>
          <w:rFonts w:eastAsia="MS Mincho"/>
          <w:bCs/>
        </w:rPr>
        <w:t>institutions must treat contemporaneous</w:t>
      </w:r>
      <w:r>
        <w:rPr>
          <w:rFonts w:eastAsia="MS Mincho"/>
          <w:bCs/>
        </w:rPr>
        <w:t xml:space="preserve"> </w:t>
      </w:r>
      <w:r w:rsidRPr="00A17DAB">
        <w:rPr>
          <w:rFonts w:eastAsia="MS Mincho"/>
          <w:bCs/>
        </w:rPr>
        <w:t>purchases of the same or different types</w:t>
      </w:r>
      <w:r>
        <w:rPr>
          <w:rFonts w:eastAsia="MS Mincho"/>
          <w:bCs/>
        </w:rPr>
        <w:t xml:space="preserve"> </w:t>
      </w:r>
      <w:r w:rsidRPr="00A17DAB">
        <w:rPr>
          <w:rFonts w:eastAsia="MS Mincho"/>
          <w:bCs/>
        </w:rPr>
        <w:t>of instruments totaling $3,000 or more</w:t>
      </w:r>
      <w:r>
        <w:rPr>
          <w:rFonts w:eastAsia="MS Mincho"/>
          <w:bCs/>
        </w:rPr>
        <w:t xml:space="preserve"> </w:t>
      </w:r>
      <w:r w:rsidRPr="00A17DAB">
        <w:rPr>
          <w:rFonts w:eastAsia="MS Mincho"/>
          <w:bCs/>
        </w:rPr>
        <w:t>as one purchase. Multiple purchases</w:t>
      </w:r>
      <w:r>
        <w:rPr>
          <w:rFonts w:eastAsia="MS Mincho"/>
          <w:bCs/>
        </w:rPr>
        <w:t xml:space="preserve"> </w:t>
      </w:r>
      <w:r w:rsidRPr="00A17DAB">
        <w:rPr>
          <w:rFonts w:eastAsia="MS Mincho"/>
          <w:bCs/>
        </w:rPr>
        <w:t>during one business day totaling $3,000</w:t>
      </w:r>
      <w:r>
        <w:rPr>
          <w:rFonts w:eastAsia="MS Mincho"/>
          <w:bCs/>
        </w:rPr>
        <w:t xml:space="preserve"> </w:t>
      </w:r>
      <w:r w:rsidRPr="00A17DAB">
        <w:rPr>
          <w:rFonts w:eastAsia="MS Mincho"/>
          <w:bCs/>
        </w:rPr>
        <w:t>or more must be treated as one purchase</w:t>
      </w:r>
      <w:r>
        <w:rPr>
          <w:rFonts w:eastAsia="MS Mincho"/>
          <w:bCs/>
        </w:rPr>
        <w:t xml:space="preserve"> </w:t>
      </w:r>
      <w:r w:rsidRPr="00A17DAB">
        <w:rPr>
          <w:rFonts w:eastAsia="MS Mincho"/>
          <w:bCs/>
        </w:rPr>
        <w:t>if an individual employee, director,</w:t>
      </w:r>
      <w:r>
        <w:rPr>
          <w:rFonts w:eastAsia="MS Mincho"/>
          <w:bCs/>
        </w:rPr>
        <w:t xml:space="preserve"> </w:t>
      </w:r>
      <w:r w:rsidRPr="00A17DAB">
        <w:rPr>
          <w:rFonts w:eastAsia="MS Mincho"/>
          <w:bCs/>
        </w:rPr>
        <w:t>officer, or partner of the financial</w:t>
      </w:r>
      <w:r>
        <w:rPr>
          <w:rFonts w:eastAsia="MS Mincho"/>
          <w:bCs/>
        </w:rPr>
        <w:t xml:space="preserve"> </w:t>
      </w:r>
      <w:r w:rsidRPr="00A17DAB">
        <w:rPr>
          <w:rFonts w:eastAsia="MS Mincho"/>
          <w:bCs/>
        </w:rPr>
        <w:t>institution has knowledge that these</w:t>
      </w:r>
      <w:r>
        <w:rPr>
          <w:rFonts w:eastAsia="MS Mincho"/>
          <w:bCs/>
        </w:rPr>
        <w:t xml:space="preserve"> </w:t>
      </w:r>
      <w:r w:rsidRPr="00A17DAB">
        <w:rPr>
          <w:rFonts w:eastAsia="MS Mincho"/>
          <w:bCs/>
        </w:rPr>
        <w:t>purchases have occurred.</w:t>
      </w:r>
      <w:r>
        <w:rPr>
          <w:rFonts w:eastAsia="MS Mincho"/>
          <w:bCs/>
        </w:rPr>
        <w:t xml:space="preserve"> </w:t>
      </w:r>
    </w:p>
    <w:p w:rsidR="004975D0" w:rsidP="00A17DAB" w:rsidRDefault="004975D0" w14:paraId="5BCE9AF5" w14:textId="77777777">
      <w:pPr>
        <w:shd w:val="clear" w:color="auto" w:fill="FFFFFF"/>
        <w:ind w:firstLine="720"/>
        <w:rPr>
          <w:rFonts w:eastAsia="MS Mincho"/>
          <w:bCs/>
        </w:rPr>
      </w:pPr>
    </w:p>
    <w:p w:rsidR="00C70EA9" w:rsidP="00A17DAB" w:rsidRDefault="00A17DAB" w14:paraId="201B8F6F" w14:textId="77777777">
      <w:pPr>
        <w:shd w:val="clear" w:color="auto" w:fill="FFFFFF"/>
        <w:ind w:firstLine="720"/>
        <w:rPr>
          <w:rFonts w:eastAsia="MS Mincho"/>
          <w:bCs/>
        </w:rPr>
      </w:pPr>
      <w:r w:rsidRPr="00A17DAB">
        <w:rPr>
          <w:rFonts w:eastAsia="MS Mincho"/>
          <w:bCs/>
        </w:rPr>
        <w:t>Under 31 CFR 1010.415(c), financial</w:t>
      </w:r>
      <w:r>
        <w:rPr>
          <w:rFonts w:eastAsia="MS Mincho"/>
          <w:bCs/>
        </w:rPr>
        <w:t xml:space="preserve"> </w:t>
      </w:r>
      <w:r w:rsidRPr="00A17DAB">
        <w:rPr>
          <w:rFonts w:eastAsia="MS Mincho"/>
          <w:bCs/>
        </w:rPr>
        <w:t>institutions must retain all required</w:t>
      </w:r>
      <w:r>
        <w:rPr>
          <w:rFonts w:eastAsia="MS Mincho"/>
          <w:bCs/>
        </w:rPr>
        <w:t xml:space="preserve"> </w:t>
      </w:r>
      <w:r w:rsidRPr="00A17DAB">
        <w:rPr>
          <w:rFonts w:eastAsia="MS Mincho"/>
          <w:bCs/>
        </w:rPr>
        <w:t>records for a period of five years and</w:t>
      </w:r>
      <w:r>
        <w:rPr>
          <w:rFonts w:eastAsia="MS Mincho"/>
          <w:bCs/>
        </w:rPr>
        <w:t xml:space="preserve"> </w:t>
      </w:r>
      <w:r w:rsidRPr="00A17DAB">
        <w:rPr>
          <w:rFonts w:eastAsia="MS Mincho"/>
          <w:bCs/>
        </w:rPr>
        <w:t>make those records available to the</w:t>
      </w:r>
      <w:r>
        <w:rPr>
          <w:rFonts w:eastAsia="MS Mincho"/>
          <w:bCs/>
        </w:rPr>
        <w:t xml:space="preserve"> </w:t>
      </w:r>
      <w:r w:rsidRPr="00A17DAB">
        <w:rPr>
          <w:rFonts w:eastAsia="MS Mincho"/>
          <w:bCs/>
        </w:rPr>
        <w:t>Secretary upon request at any time.</w:t>
      </w:r>
    </w:p>
    <w:p w:rsidRPr="00AA6051" w:rsidR="00A17DAB" w:rsidP="009829C3" w:rsidRDefault="00A17DAB" w14:paraId="5C5A546A" w14:textId="77777777">
      <w:pPr>
        <w:shd w:val="clear" w:color="auto" w:fill="FFFFFF"/>
        <w:ind w:firstLine="720"/>
        <w:rPr>
          <w:rFonts w:eastAsia="MS Mincho"/>
          <w:bCs/>
        </w:rPr>
      </w:pPr>
    </w:p>
    <w:p w:rsidRPr="00AA6051" w:rsidR="00643252" w:rsidP="009829C3" w:rsidRDefault="00643252" w14:paraId="10653E1A" w14:textId="77777777">
      <w:pPr>
        <w:rPr>
          <w:bCs/>
        </w:rPr>
      </w:pPr>
      <w:r w:rsidRPr="00AA6051">
        <w:rPr>
          <w:bCs/>
        </w:rPr>
        <w:lastRenderedPageBreak/>
        <w:t xml:space="preserve">2. </w:t>
      </w:r>
      <w:r w:rsidRPr="00AA6051">
        <w:rPr>
          <w:bCs/>
          <w:u w:val="single"/>
        </w:rPr>
        <w:t>M</w:t>
      </w:r>
      <w:r w:rsidRPr="00AA6051" w:rsidR="00E667ED">
        <w:rPr>
          <w:bCs/>
          <w:u w:val="single"/>
        </w:rPr>
        <w:t xml:space="preserve">ethod of </w:t>
      </w:r>
      <w:r w:rsidRPr="006E3962" w:rsidR="00E667ED">
        <w:rPr>
          <w:bCs/>
          <w:u w:val="single"/>
        </w:rPr>
        <w:t>collection and</w:t>
      </w:r>
      <w:r w:rsidRPr="00AA6051" w:rsidR="00E667ED">
        <w:rPr>
          <w:bCs/>
          <w:u w:val="single"/>
        </w:rPr>
        <w:t xml:space="preserve"> use of d</w:t>
      </w:r>
      <w:r w:rsidRPr="00AA6051">
        <w:rPr>
          <w:bCs/>
          <w:u w:val="single"/>
        </w:rPr>
        <w:t>ata.</w:t>
      </w:r>
      <w:r w:rsidRPr="00AA6051">
        <w:rPr>
          <w:bCs/>
        </w:rPr>
        <w:t xml:space="preserve"> </w:t>
      </w:r>
    </w:p>
    <w:p w:rsidRPr="00AA6051" w:rsidR="009829C3" w:rsidP="009829C3" w:rsidRDefault="009829C3" w14:paraId="170C2BE3" w14:textId="77777777">
      <w:pPr>
        <w:rPr>
          <w:bCs/>
        </w:rPr>
      </w:pPr>
    </w:p>
    <w:p w:rsidR="0067734C" w:rsidP="00AE0CE1" w:rsidRDefault="00461C24" w14:paraId="48FC5F08" w14:textId="77777777">
      <w:pPr>
        <w:ind w:firstLine="720"/>
      </w:pPr>
      <w:r>
        <w:t xml:space="preserve">The collection of information is not reported to the Federal government. Instead, financial institutions are required to document and </w:t>
      </w:r>
      <w:r w:rsidR="00AE0CE1">
        <w:t xml:space="preserve">maintain </w:t>
      </w:r>
      <w:r w:rsidRPr="00AE0CE1" w:rsidR="00AE0CE1">
        <w:t xml:space="preserve">records of </w:t>
      </w:r>
      <w:r w:rsidRPr="000B513E" w:rsidR="000B513E">
        <w:t xml:space="preserve">information involving </w:t>
      </w:r>
      <w:r w:rsidR="00FA7C44">
        <w:t xml:space="preserve">issuance </w:t>
      </w:r>
      <w:r w:rsidRPr="004827E5" w:rsidR="00FA7C44">
        <w:t xml:space="preserve">and </w:t>
      </w:r>
      <w:r w:rsidRPr="004827E5" w:rsidR="000B513E">
        <w:t>sales of bank checks</w:t>
      </w:r>
      <w:r w:rsidRPr="000B513E" w:rsidR="000B513E">
        <w:t xml:space="preserve">, cashier’s checks, money orders, and traveler’s checks to </w:t>
      </w:r>
      <w:r w:rsidR="00AB5DDE">
        <w:t xml:space="preserve">any individual </w:t>
      </w:r>
      <w:r w:rsidRPr="000B513E" w:rsidR="000B513E">
        <w:t>purchase</w:t>
      </w:r>
      <w:r w:rsidR="00AB5DDE">
        <w:t>rs of</w:t>
      </w:r>
      <w:r w:rsidRPr="000B513E" w:rsidR="000B513E">
        <w:t xml:space="preserve"> these instruments with currency in the amount of $3,000-$10,000</w:t>
      </w:r>
      <w:r w:rsidR="000B513E">
        <w:t xml:space="preserve">. </w:t>
      </w:r>
      <w:r w:rsidR="00716BE2">
        <w:t>These recordkeeping</w:t>
      </w:r>
      <w:r w:rsidR="00983FCE">
        <w:t xml:space="preserve"> requirements are intended to </w:t>
      </w:r>
      <w:r w:rsidRPr="00716BE2" w:rsidR="00716BE2">
        <w:t xml:space="preserve">help law enforcement and regulatory authorities detect, investigate, and prosecute money laundering, terrorist financing, and other financial </w:t>
      </w:r>
      <w:r w:rsidR="00716BE2">
        <w:t xml:space="preserve">crimes by </w:t>
      </w:r>
      <w:r w:rsidRPr="008E323C" w:rsidR="008E323C">
        <w:t>preserving an information trail about persons</w:t>
      </w:r>
      <w:r w:rsidR="008E323C">
        <w:t xml:space="preserve"> purchasing these </w:t>
      </w:r>
      <w:r w:rsidR="00D01527">
        <w:t xml:space="preserve">widely accepted monetary </w:t>
      </w:r>
      <w:r w:rsidR="008E323C">
        <w:t xml:space="preserve">instruments </w:t>
      </w:r>
      <w:r w:rsidR="00983FCE">
        <w:t xml:space="preserve">from financial institutions. </w:t>
      </w:r>
      <w:r>
        <w:t>Compliance with these requirements will be reviewed by regulatory agencies during the course of BSA examinations</w:t>
      </w:r>
      <w:r w:rsidR="00B55038">
        <w:t>, and</w:t>
      </w:r>
      <w:r w:rsidR="00CC0600">
        <w:t xml:space="preserve"> the retained records will be</w:t>
      </w:r>
      <w:r w:rsidR="00B55038">
        <w:t xml:space="preserve"> made available only upon request to other appropriate agencies in accordance with applicable legal requirements</w:t>
      </w:r>
      <w:r>
        <w:t>.</w:t>
      </w:r>
    </w:p>
    <w:p w:rsidR="00AB5DDE" w:rsidP="00AE0CE1" w:rsidRDefault="00AB5DDE" w14:paraId="14D69F42" w14:textId="77777777">
      <w:pPr>
        <w:ind w:firstLine="720"/>
      </w:pPr>
    </w:p>
    <w:p w:rsidRPr="00274DF4" w:rsidR="00AB5DDE" w:rsidP="00AE0CE1" w:rsidRDefault="00AB5DDE" w14:paraId="08A8694B" w14:textId="77777777">
      <w:pPr>
        <w:ind w:firstLine="720"/>
      </w:pPr>
      <w:r w:rsidRPr="00AB5DDE">
        <w:t>Currently there is no reporting requirement that would trigger the obligations under the Paperwork Reduction Act of 1995 (PRA).</w:t>
      </w:r>
    </w:p>
    <w:p w:rsidRPr="00AA6051" w:rsidR="009829C3" w:rsidP="00EC4954" w:rsidRDefault="009829C3" w14:paraId="3FDC0C35" w14:textId="77777777"/>
    <w:p w:rsidRPr="00C34B95" w:rsidR="00643252" w:rsidP="009829C3" w:rsidRDefault="00643252" w14:paraId="77CD1C4D" w14:textId="77777777">
      <w:pPr>
        <w:rPr>
          <w:szCs w:val="22"/>
        </w:rPr>
      </w:pPr>
      <w:r w:rsidRPr="00C34B95">
        <w:rPr>
          <w:szCs w:val="22"/>
        </w:rPr>
        <w:t xml:space="preserve">3. </w:t>
      </w:r>
      <w:r w:rsidRPr="00C34B95" w:rsidR="00E667ED">
        <w:rPr>
          <w:szCs w:val="22"/>
          <w:u w:val="single"/>
        </w:rPr>
        <w:t>Use of i</w:t>
      </w:r>
      <w:r w:rsidRPr="00C34B95">
        <w:rPr>
          <w:szCs w:val="22"/>
          <w:u w:val="single"/>
        </w:rPr>
        <w:t xml:space="preserve">mproved </w:t>
      </w:r>
      <w:r w:rsidRPr="00C34B95" w:rsidR="00E667ED">
        <w:rPr>
          <w:szCs w:val="22"/>
          <w:u w:val="single"/>
        </w:rPr>
        <w:t>i</w:t>
      </w:r>
      <w:r w:rsidRPr="000B513E" w:rsidR="00E667ED">
        <w:rPr>
          <w:szCs w:val="22"/>
          <w:u w:val="single"/>
        </w:rPr>
        <w:t>nformation</w:t>
      </w:r>
      <w:r w:rsidRPr="00C34B95" w:rsidR="00E667ED">
        <w:rPr>
          <w:szCs w:val="22"/>
          <w:u w:val="single"/>
        </w:rPr>
        <w:t xml:space="preserve"> technology to reduce b</w:t>
      </w:r>
      <w:r w:rsidRPr="00C34B95">
        <w:rPr>
          <w:szCs w:val="22"/>
          <w:u w:val="single"/>
        </w:rPr>
        <w:t>urden.</w:t>
      </w:r>
      <w:r w:rsidRPr="00C34B95">
        <w:rPr>
          <w:szCs w:val="22"/>
        </w:rPr>
        <w:t xml:space="preserve"> </w:t>
      </w:r>
    </w:p>
    <w:p w:rsidR="00C879E5" w:rsidP="00C879E5" w:rsidRDefault="00C879E5" w14:paraId="12C3A804" w14:textId="77777777"/>
    <w:p w:rsidRPr="009D297C" w:rsidR="00077DB6" w:rsidP="009D297C" w:rsidRDefault="009D297C" w14:paraId="7711669C" w14:textId="77777777">
      <w:pPr>
        <w:ind w:firstLine="720"/>
        <w:rPr>
          <w:szCs w:val="22"/>
        </w:rPr>
      </w:pPr>
      <w:r>
        <w:t xml:space="preserve">Financial institutions </w:t>
      </w:r>
      <w:r>
        <w:rPr>
          <w:szCs w:val="22"/>
        </w:rPr>
        <w:t xml:space="preserve">are permitted to automate their AML programs to meet their requirements, including the requirement to collect </w:t>
      </w:r>
      <w:r>
        <w:t xml:space="preserve">information related to the issuance </w:t>
      </w:r>
      <w:r w:rsidRPr="004827E5">
        <w:t>and sales of bank checks</w:t>
      </w:r>
      <w:r w:rsidRPr="000B513E">
        <w:t>, cashier’s checks, money o</w:t>
      </w:r>
      <w:r>
        <w:t xml:space="preserve">rders, and traveler’s checks. </w:t>
      </w:r>
      <w:r>
        <w:rPr>
          <w:szCs w:val="22"/>
        </w:rPr>
        <w:t xml:space="preserve">There is no specific government mandate to do so. </w:t>
      </w:r>
      <w:r w:rsidRPr="00C633BA" w:rsidR="00077DB6">
        <w:t>The collection of information is not reported to the</w:t>
      </w:r>
      <w:r w:rsidRPr="00077DB6" w:rsidR="00077DB6">
        <w:t xml:space="preserve"> </w:t>
      </w:r>
      <w:r w:rsidR="00705255">
        <w:t>F</w:t>
      </w:r>
      <w:r w:rsidRPr="00077DB6" w:rsidR="00077DB6">
        <w:t xml:space="preserve">ederal government. </w:t>
      </w:r>
      <w:r w:rsidR="000E5EFC">
        <w:t>The required information may be maintained in any format, including copies of the monetary instruments</w:t>
      </w:r>
      <w:r w:rsidR="00077DB6">
        <w:t xml:space="preserve">.  </w:t>
      </w:r>
    </w:p>
    <w:p w:rsidRPr="00AA6051" w:rsidR="009829C3" w:rsidP="00714FE5" w:rsidRDefault="009829C3" w14:paraId="719A619C" w14:textId="77777777">
      <w:pPr>
        <w:ind w:firstLine="720"/>
        <w:rPr>
          <w:szCs w:val="22"/>
        </w:rPr>
      </w:pPr>
    </w:p>
    <w:p w:rsidRPr="00AA6051" w:rsidR="00643252" w:rsidP="009829C3" w:rsidRDefault="00643252" w14:paraId="4A9F9016" w14:textId="77777777">
      <w:pPr>
        <w:rPr>
          <w:szCs w:val="22"/>
          <w:u w:val="single"/>
        </w:rPr>
      </w:pPr>
      <w:r w:rsidRPr="00AA6051">
        <w:rPr>
          <w:szCs w:val="22"/>
        </w:rPr>
        <w:t xml:space="preserve">4. </w:t>
      </w:r>
      <w:r w:rsidRPr="00AA6051" w:rsidR="00E667ED">
        <w:rPr>
          <w:szCs w:val="22"/>
          <w:u w:val="single"/>
        </w:rPr>
        <w:t>Efforts to identify d</w:t>
      </w:r>
      <w:r w:rsidRPr="00AA6051">
        <w:rPr>
          <w:szCs w:val="22"/>
          <w:u w:val="single"/>
        </w:rPr>
        <w:t>uplication</w:t>
      </w:r>
      <w:r w:rsidRPr="00AA6051" w:rsidR="003E69DC">
        <w:rPr>
          <w:szCs w:val="22"/>
          <w:u w:val="single"/>
        </w:rPr>
        <w:t>.</w:t>
      </w:r>
      <w:r w:rsidRPr="00AA6051">
        <w:rPr>
          <w:szCs w:val="22"/>
          <w:u w:val="single"/>
        </w:rPr>
        <w:t xml:space="preserve"> </w:t>
      </w:r>
    </w:p>
    <w:p w:rsidRPr="00AA6051" w:rsidR="009829C3" w:rsidP="009829C3" w:rsidRDefault="009829C3" w14:paraId="666783EA" w14:textId="77777777">
      <w:pPr>
        <w:rPr>
          <w:szCs w:val="22"/>
          <w:u w:val="single"/>
        </w:rPr>
      </w:pPr>
    </w:p>
    <w:p w:rsidRPr="00AA6051" w:rsidR="005737DD" w:rsidP="005737DD" w:rsidRDefault="00F36DD1" w14:paraId="2C3CA5BD" w14:textId="77777777">
      <w:pPr>
        <w:ind w:firstLine="720"/>
      </w:pPr>
      <w:r>
        <w:t>T</w:t>
      </w:r>
      <w:r w:rsidR="00E76A9F">
        <w:t>here is no similar information available</w:t>
      </w:r>
      <w:r w:rsidR="005737DD">
        <w:t xml:space="preserve">, thus there is </w:t>
      </w:r>
      <w:r w:rsidR="00E76A9F">
        <w:t>no duplication</w:t>
      </w:r>
      <w:r w:rsidR="00100D77">
        <w:t>.</w:t>
      </w:r>
    </w:p>
    <w:p w:rsidRPr="00AA6051" w:rsidR="009829C3" w:rsidP="009829C3" w:rsidRDefault="009829C3" w14:paraId="2DAF158F" w14:textId="77777777">
      <w:pPr>
        <w:ind w:firstLine="720"/>
      </w:pPr>
    </w:p>
    <w:p w:rsidRPr="00AA6051" w:rsidR="00643252" w:rsidP="009829C3" w:rsidRDefault="00643252" w14:paraId="30DAD6E2" w14:textId="77777777">
      <w:pPr>
        <w:rPr>
          <w:szCs w:val="22"/>
          <w:u w:val="single"/>
        </w:rPr>
      </w:pPr>
      <w:r w:rsidRPr="00AA6051">
        <w:rPr>
          <w:szCs w:val="22"/>
        </w:rPr>
        <w:t xml:space="preserve">5. </w:t>
      </w:r>
      <w:r w:rsidRPr="00AA6051" w:rsidR="00E667ED">
        <w:rPr>
          <w:szCs w:val="22"/>
          <w:u w:val="single"/>
        </w:rPr>
        <w:t>Methods to minimize burden on small businesses or other small e</w:t>
      </w:r>
      <w:r w:rsidRPr="00AA6051">
        <w:rPr>
          <w:szCs w:val="22"/>
          <w:u w:val="single"/>
        </w:rPr>
        <w:t>ntities</w:t>
      </w:r>
      <w:r w:rsidRPr="00AA6051" w:rsidR="003E69DC">
        <w:rPr>
          <w:szCs w:val="22"/>
          <w:u w:val="single"/>
        </w:rPr>
        <w:t>.</w:t>
      </w:r>
    </w:p>
    <w:p w:rsidRPr="00AA6051" w:rsidR="009829C3" w:rsidP="009829C3" w:rsidRDefault="009829C3" w14:paraId="56725DF6" w14:textId="77777777">
      <w:pPr>
        <w:ind w:firstLine="720"/>
        <w:rPr>
          <w:szCs w:val="22"/>
        </w:rPr>
      </w:pPr>
    </w:p>
    <w:p w:rsidRPr="0015749B" w:rsidR="0015749B" w:rsidP="0088769B" w:rsidRDefault="00C42394" w14:paraId="7C8B999B" w14:textId="77777777">
      <w:pPr>
        <w:ind w:firstLine="720"/>
        <w:rPr>
          <w:szCs w:val="22"/>
        </w:rPr>
      </w:pPr>
      <w:r>
        <w:rPr>
          <w:szCs w:val="22"/>
        </w:rPr>
        <w:t>Although t</w:t>
      </w:r>
      <w:r w:rsidRPr="00C42394">
        <w:rPr>
          <w:szCs w:val="22"/>
        </w:rPr>
        <w:t>he regulation on its face applies to all financial institutions as defined in 31 CFR 1010.100(t)</w:t>
      </w:r>
      <w:r>
        <w:rPr>
          <w:szCs w:val="22"/>
        </w:rPr>
        <w:t xml:space="preserve">, </w:t>
      </w:r>
      <w:r w:rsidRPr="00C42394">
        <w:rPr>
          <w:szCs w:val="22"/>
        </w:rPr>
        <w:t>as a practical matter</w:t>
      </w:r>
      <w:r>
        <w:rPr>
          <w:szCs w:val="22"/>
        </w:rPr>
        <w:t xml:space="preserve">, </w:t>
      </w:r>
      <w:r w:rsidRPr="00C42394">
        <w:rPr>
          <w:szCs w:val="22"/>
        </w:rPr>
        <w:t>banks and money services businesses (MSBs) are the types of financial institutions most likely to be issuing or selling bank checks and drafts, cashier’s checks, money orders, and traveler’s checks.</w:t>
      </w:r>
      <w:r w:rsidRPr="0088769B" w:rsidR="0088769B">
        <w:rPr>
          <w:szCs w:val="22"/>
        </w:rPr>
        <w:t xml:space="preserve"> </w:t>
      </w:r>
      <w:r w:rsidR="0088769B">
        <w:rPr>
          <w:szCs w:val="22"/>
        </w:rPr>
        <w:t xml:space="preserve">When complying with these recordkeeping requirements, financial institutions are permitted to use the method most suitable based upon their assessment of risk as it relates to their size and type of business. </w:t>
      </w:r>
      <w:r w:rsidRPr="00845225" w:rsidR="00845225">
        <w:rPr>
          <w:szCs w:val="22"/>
        </w:rPr>
        <w:t xml:space="preserve">FinCEN does not consider it possible to further reduce the burden for small businesses. </w:t>
      </w:r>
    </w:p>
    <w:p w:rsidRPr="00AA6051" w:rsidR="009748B8" w:rsidP="009829C3" w:rsidRDefault="009748B8" w14:paraId="1290B716" w14:textId="77777777">
      <w:pPr>
        <w:ind w:firstLine="720"/>
        <w:rPr>
          <w:szCs w:val="22"/>
        </w:rPr>
      </w:pPr>
    </w:p>
    <w:p w:rsidRPr="00AA6051" w:rsidR="00643252" w:rsidP="009829C3" w:rsidRDefault="00643252" w14:paraId="54CC907F" w14:textId="77777777">
      <w:pPr>
        <w:rPr>
          <w:szCs w:val="22"/>
        </w:rPr>
      </w:pPr>
      <w:r w:rsidRPr="00AA6051">
        <w:rPr>
          <w:szCs w:val="22"/>
        </w:rPr>
        <w:t xml:space="preserve">6. </w:t>
      </w:r>
      <w:r w:rsidRPr="00AA6051" w:rsidR="00E667ED">
        <w:rPr>
          <w:szCs w:val="22"/>
          <w:u w:val="single"/>
        </w:rPr>
        <w:t xml:space="preserve">Consequences to </w:t>
      </w:r>
      <w:r w:rsidRPr="002248E9" w:rsidR="00E667ED">
        <w:rPr>
          <w:szCs w:val="22"/>
          <w:u w:val="single"/>
        </w:rPr>
        <w:t>the Federal g</w:t>
      </w:r>
      <w:r w:rsidRPr="002248E9">
        <w:rPr>
          <w:szCs w:val="22"/>
          <w:u w:val="single"/>
        </w:rPr>
        <w:t>o</w:t>
      </w:r>
      <w:r w:rsidRPr="002248E9" w:rsidR="00E667ED">
        <w:rPr>
          <w:szCs w:val="22"/>
          <w:u w:val="single"/>
        </w:rPr>
        <w:t>vernment</w:t>
      </w:r>
      <w:r w:rsidRPr="00AA6051" w:rsidR="00E667ED">
        <w:rPr>
          <w:szCs w:val="22"/>
          <w:u w:val="single"/>
        </w:rPr>
        <w:t xml:space="preserve"> of not collecting the i</w:t>
      </w:r>
      <w:r w:rsidRPr="00AA6051">
        <w:rPr>
          <w:szCs w:val="22"/>
          <w:u w:val="single"/>
        </w:rPr>
        <w:t>nformation.</w:t>
      </w:r>
      <w:r w:rsidRPr="00AA6051">
        <w:rPr>
          <w:szCs w:val="22"/>
        </w:rPr>
        <w:t xml:space="preserve"> </w:t>
      </w:r>
    </w:p>
    <w:p w:rsidR="00C96B45" w:rsidP="009829C3" w:rsidRDefault="00C96B45" w14:paraId="46D0393E" w14:textId="77777777">
      <w:pPr>
        <w:ind w:firstLine="720"/>
        <w:rPr>
          <w:szCs w:val="22"/>
        </w:rPr>
      </w:pPr>
    </w:p>
    <w:p w:rsidR="0032568B" w:rsidP="00556F7A" w:rsidRDefault="00A1429B" w14:paraId="3D30E8F3" w14:textId="77777777">
      <w:pPr>
        <w:ind w:firstLine="720"/>
        <w:rPr>
          <w:szCs w:val="22"/>
        </w:rPr>
      </w:pPr>
      <w:r>
        <w:rPr>
          <w:szCs w:val="22"/>
        </w:rPr>
        <w:t xml:space="preserve">The </w:t>
      </w:r>
      <w:r w:rsidR="006340A0">
        <w:rPr>
          <w:szCs w:val="22"/>
        </w:rPr>
        <w:t>F</w:t>
      </w:r>
      <w:r>
        <w:rPr>
          <w:szCs w:val="22"/>
        </w:rPr>
        <w:t>ederal government requires this information only upon request</w:t>
      </w:r>
      <w:r w:rsidR="00F23152">
        <w:rPr>
          <w:szCs w:val="22"/>
        </w:rPr>
        <w:t>, in accordance with applicable legal authority</w:t>
      </w:r>
      <w:r w:rsidR="00F8126F">
        <w:rPr>
          <w:szCs w:val="22"/>
        </w:rPr>
        <w:t xml:space="preserve">. </w:t>
      </w:r>
      <w:r w:rsidRPr="00C832D9" w:rsidR="001B4884">
        <w:t>These recordkeeping requirement</w:t>
      </w:r>
      <w:r w:rsidRPr="00065A1A" w:rsidR="001B4884">
        <w:t xml:space="preserve">s are </w:t>
      </w:r>
      <w:r w:rsidRPr="00065A1A" w:rsidR="001B4884">
        <w:lastRenderedPageBreak/>
        <w:t>intended to help law enforcement and regulatory authorities detect, investigate, and prosecute money laundering and other financial crimes</w:t>
      </w:r>
      <w:r w:rsidR="00C633BA">
        <w:t xml:space="preserve">. </w:t>
      </w:r>
      <w:r w:rsidR="00C9357B">
        <w:t>Additionally, a</w:t>
      </w:r>
      <w:r w:rsidR="00AC7753">
        <w:rPr>
          <w:szCs w:val="22"/>
        </w:rPr>
        <w:t xml:space="preserve">ccess to this information will allow </w:t>
      </w:r>
      <w:r w:rsidR="0032568B">
        <w:rPr>
          <w:szCs w:val="22"/>
        </w:rPr>
        <w:t>financial institutions and governmen</w:t>
      </w:r>
      <w:r w:rsidR="00AC7753">
        <w:rPr>
          <w:szCs w:val="22"/>
        </w:rPr>
        <w:t xml:space="preserve">t to take appropriate action, including tracing criminal proceeds, gathering additional evidence, </w:t>
      </w:r>
      <w:r w:rsidR="007D7305">
        <w:rPr>
          <w:szCs w:val="22"/>
        </w:rPr>
        <w:t xml:space="preserve">and </w:t>
      </w:r>
      <w:r w:rsidR="00AC7753">
        <w:rPr>
          <w:szCs w:val="22"/>
        </w:rPr>
        <w:t>prevent</w:t>
      </w:r>
      <w:r w:rsidR="007D7305">
        <w:rPr>
          <w:szCs w:val="22"/>
        </w:rPr>
        <w:t>ing</w:t>
      </w:r>
      <w:r w:rsidR="00AC7753">
        <w:rPr>
          <w:szCs w:val="22"/>
        </w:rPr>
        <w:t xml:space="preserve"> money launderers and other criminal elements</w:t>
      </w:r>
      <w:r w:rsidR="007D7305">
        <w:rPr>
          <w:szCs w:val="22"/>
        </w:rPr>
        <w:t>,</w:t>
      </w:r>
      <w:r w:rsidR="00AC7753">
        <w:rPr>
          <w:szCs w:val="22"/>
        </w:rPr>
        <w:t xml:space="preserve"> who commonly purchase bank checks, cashier’s checks, money orders, and traveler’s checks for amounts </w:t>
      </w:r>
      <w:r w:rsidR="007D7305">
        <w:rPr>
          <w:szCs w:val="22"/>
        </w:rPr>
        <w:t xml:space="preserve">under </w:t>
      </w:r>
      <w:r w:rsidR="00AC7753">
        <w:rPr>
          <w:szCs w:val="22"/>
        </w:rPr>
        <w:t>$10,000</w:t>
      </w:r>
      <w:r w:rsidR="007D7305">
        <w:rPr>
          <w:szCs w:val="22"/>
        </w:rPr>
        <w:t xml:space="preserve">, from using financial </w:t>
      </w:r>
      <w:r>
        <w:rPr>
          <w:szCs w:val="22"/>
        </w:rPr>
        <w:t>institutions</w:t>
      </w:r>
      <w:r w:rsidR="00AC7753">
        <w:rPr>
          <w:szCs w:val="22"/>
        </w:rPr>
        <w:t xml:space="preserve"> </w:t>
      </w:r>
      <w:r w:rsidR="007D7305">
        <w:rPr>
          <w:szCs w:val="22"/>
        </w:rPr>
        <w:t xml:space="preserve">to move funds and dispose of profits </w:t>
      </w:r>
      <w:r w:rsidR="00C633BA">
        <w:rPr>
          <w:szCs w:val="22"/>
        </w:rPr>
        <w:t xml:space="preserve">from </w:t>
      </w:r>
      <w:r w:rsidR="007D7305">
        <w:rPr>
          <w:szCs w:val="22"/>
        </w:rPr>
        <w:t xml:space="preserve">illegal activity.  </w:t>
      </w:r>
      <w:r w:rsidR="00AC7753">
        <w:rPr>
          <w:szCs w:val="22"/>
        </w:rPr>
        <w:t xml:space="preserve">  </w:t>
      </w:r>
    </w:p>
    <w:p w:rsidRPr="00AA6051" w:rsidR="009829C3" w:rsidP="009829C3" w:rsidRDefault="009829C3" w14:paraId="18657B8F" w14:textId="77777777">
      <w:pPr>
        <w:ind w:firstLine="720"/>
        <w:rPr>
          <w:szCs w:val="22"/>
        </w:rPr>
      </w:pPr>
    </w:p>
    <w:p w:rsidRPr="00AA6051" w:rsidR="00643252" w:rsidP="009829C3" w:rsidRDefault="00643252" w14:paraId="0841E928" w14:textId="77777777">
      <w:pPr>
        <w:rPr>
          <w:szCs w:val="22"/>
          <w:u w:val="single"/>
        </w:rPr>
      </w:pPr>
      <w:r w:rsidRPr="00AA6051">
        <w:rPr>
          <w:szCs w:val="22"/>
        </w:rPr>
        <w:t xml:space="preserve">7. </w:t>
      </w:r>
      <w:r w:rsidRPr="00AA6051" w:rsidR="00E667ED">
        <w:rPr>
          <w:szCs w:val="22"/>
          <w:u w:val="single"/>
        </w:rPr>
        <w:t>Special circumstances requiring data collection inconsistent with g</w:t>
      </w:r>
      <w:r w:rsidRPr="00AA6051">
        <w:rPr>
          <w:szCs w:val="22"/>
          <w:u w:val="single"/>
        </w:rPr>
        <w:t>uidelines.</w:t>
      </w:r>
    </w:p>
    <w:p w:rsidRPr="00AA6051" w:rsidR="00643252" w:rsidP="009829C3" w:rsidRDefault="00643252" w14:paraId="639A4C97" w14:textId="77777777">
      <w:pPr>
        <w:widowControl w:val="0"/>
        <w:autoSpaceDE w:val="0"/>
        <w:autoSpaceDN w:val="0"/>
        <w:adjustRightInd w:val="0"/>
        <w:spacing w:line="240" w:lineRule="exact"/>
        <w:ind w:firstLine="710"/>
        <w:rPr>
          <w:szCs w:val="22"/>
        </w:rPr>
      </w:pPr>
    </w:p>
    <w:p w:rsidRPr="00EA2840" w:rsidR="0018713B" w:rsidP="004C529F" w:rsidRDefault="00500F39" w14:paraId="31792B60" w14:textId="77777777">
      <w:pPr>
        <w:ind w:firstLine="720"/>
        <w:rPr>
          <w:szCs w:val="4"/>
        </w:rPr>
      </w:pPr>
      <w:r>
        <w:rPr>
          <w:lang w:val="en"/>
        </w:rPr>
        <w:t xml:space="preserve">Pursuant to </w:t>
      </w:r>
      <w:r w:rsidRPr="0018713B" w:rsidR="0018713B">
        <w:rPr>
          <w:lang w:val="en"/>
        </w:rPr>
        <w:t xml:space="preserve">31 CFR 1010.415(c), financial institutions must retain all required records </w:t>
      </w:r>
      <w:r w:rsidR="00452B2C">
        <w:rPr>
          <w:lang w:val="en"/>
        </w:rPr>
        <w:t>of sales or issuance of bank checks and drafts, ca</w:t>
      </w:r>
      <w:r w:rsidR="00033554">
        <w:rPr>
          <w:lang w:val="en"/>
        </w:rPr>
        <w:t>s</w:t>
      </w:r>
      <w:r w:rsidR="00452B2C">
        <w:rPr>
          <w:lang w:val="en"/>
        </w:rPr>
        <w:t xml:space="preserve">hier’s checks, money orders, and traveler’s checks </w:t>
      </w:r>
      <w:r w:rsidRPr="0018713B" w:rsidR="0018713B">
        <w:rPr>
          <w:lang w:val="en"/>
        </w:rPr>
        <w:t>for a period of five years</w:t>
      </w:r>
      <w:r>
        <w:rPr>
          <w:lang w:val="en"/>
        </w:rPr>
        <w:t>,</w:t>
      </w:r>
      <w:r w:rsidRPr="0018713B" w:rsidR="0018713B">
        <w:rPr>
          <w:lang w:val="en"/>
        </w:rPr>
        <w:t xml:space="preserve"> and make those records available to the Secretary upon request.</w:t>
      </w:r>
      <w:r w:rsidR="00A83301">
        <w:rPr>
          <w:lang w:val="en"/>
        </w:rPr>
        <w:t xml:space="preserve"> </w:t>
      </w:r>
      <w:r w:rsidR="004C529F">
        <w:t>Records must be kept for five years because such records may relate to substantive violations of law that are subject to statutes of limitation longer than three years.</w:t>
      </w:r>
    </w:p>
    <w:p w:rsidRPr="00AA6051" w:rsidR="00D52D6F" w:rsidP="00AA6051" w:rsidRDefault="00D52D6F" w14:paraId="1081D8A5" w14:textId="77777777"/>
    <w:p w:rsidRPr="00AA6051" w:rsidR="00643252" w:rsidP="009829C3" w:rsidRDefault="00643252" w14:paraId="6060F274" w14:textId="77777777">
      <w:pPr>
        <w:rPr>
          <w:szCs w:val="22"/>
        </w:rPr>
      </w:pPr>
      <w:r w:rsidRPr="00AA6051">
        <w:rPr>
          <w:szCs w:val="22"/>
        </w:rPr>
        <w:t xml:space="preserve">8. </w:t>
      </w:r>
      <w:r w:rsidRPr="00AA6051">
        <w:rPr>
          <w:szCs w:val="22"/>
          <w:u w:val="single"/>
        </w:rPr>
        <w:t>Consultation w</w:t>
      </w:r>
      <w:r w:rsidRPr="00AA6051" w:rsidR="00E667ED">
        <w:rPr>
          <w:szCs w:val="22"/>
          <w:u w:val="single"/>
        </w:rPr>
        <w:t>ith individuals outside of the a</w:t>
      </w:r>
      <w:r w:rsidRPr="00AA6051">
        <w:rPr>
          <w:szCs w:val="22"/>
          <w:u w:val="single"/>
        </w:rPr>
        <w:t>g</w:t>
      </w:r>
      <w:r w:rsidRPr="00AA6051" w:rsidR="00E667ED">
        <w:rPr>
          <w:szCs w:val="22"/>
          <w:u w:val="single"/>
        </w:rPr>
        <w:t xml:space="preserve">ency on availability of </w:t>
      </w:r>
      <w:r w:rsidRPr="00C9357B" w:rsidR="00E667ED">
        <w:rPr>
          <w:szCs w:val="22"/>
          <w:u w:val="single"/>
        </w:rPr>
        <w:t>data</w:t>
      </w:r>
      <w:r w:rsidRPr="00C9357B" w:rsidR="00033554">
        <w:rPr>
          <w:szCs w:val="22"/>
          <w:u w:val="single"/>
        </w:rPr>
        <w:t>,</w:t>
      </w:r>
      <w:r w:rsidRPr="00C9357B" w:rsidR="00E667ED">
        <w:rPr>
          <w:szCs w:val="22"/>
          <w:u w:val="single"/>
        </w:rPr>
        <w:t xml:space="preserve"> f</w:t>
      </w:r>
      <w:r w:rsidRPr="00C9357B">
        <w:rPr>
          <w:szCs w:val="22"/>
          <w:u w:val="single"/>
        </w:rPr>
        <w:t>requ</w:t>
      </w:r>
      <w:r w:rsidRPr="00C9357B" w:rsidR="00E667ED">
        <w:rPr>
          <w:szCs w:val="22"/>
          <w:u w:val="single"/>
        </w:rPr>
        <w:t>ency</w:t>
      </w:r>
      <w:r w:rsidRPr="00AA6051" w:rsidR="00E667ED">
        <w:rPr>
          <w:szCs w:val="22"/>
          <w:u w:val="single"/>
        </w:rPr>
        <w:t xml:space="preserve"> of collection, clarity of i</w:t>
      </w:r>
      <w:r w:rsidRPr="00AA6051">
        <w:rPr>
          <w:szCs w:val="22"/>
          <w:u w:val="single"/>
        </w:rPr>
        <w:t>n</w:t>
      </w:r>
      <w:r w:rsidRPr="00AA6051" w:rsidR="00E667ED">
        <w:rPr>
          <w:szCs w:val="22"/>
          <w:u w:val="single"/>
        </w:rPr>
        <w:t>structions and forms, and data e</w:t>
      </w:r>
      <w:r w:rsidRPr="00AA6051">
        <w:rPr>
          <w:szCs w:val="22"/>
          <w:u w:val="single"/>
        </w:rPr>
        <w:t>lements.</w:t>
      </w:r>
      <w:r w:rsidRPr="00AA6051">
        <w:rPr>
          <w:szCs w:val="22"/>
        </w:rPr>
        <w:t xml:space="preserve"> </w:t>
      </w:r>
    </w:p>
    <w:p w:rsidRPr="00AA6051" w:rsidR="00643252" w:rsidP="009829C3" w:rsidRDefault="00643252" w14:paraId="0242350B" w14:textId="77777777">
      <w:pPr>
        <w:rPr>
          <w:szCs w:val="22"/>
        </w:rPr>
      </w:pPr>
    </w:p>
    <w:p w:rsidRPr="00AA6051" w:rsidR="00414797" w:rsidP="00A1429B" w:rsidRDefault="00154790" w14:paraId="40F9A5DC" w14:textId="77777777">
      <w:pPr>
        <w:ind w:firstLine="720"/>
      </w:pPr>
      <w:r>
        <w:t>The 60-day notice was published</w:t>
      </w:r>
      <w:r w:rsidRPr="00AA6051" w:rsidR="00414797">
        <w:t xml:space="preserve"> on </w:t>
      </w:r>
      <w:r w:rsidR="00A1429B">
        <w:t>January 21</w:t>
      </w:r>
      <w:r w:rsidR="007458BE">
        <w:t>, 202</w:t>
      </w:r>
      <w:r w:rsidR="00A1429B">
        <w:t>1</w:t>
      </w:r>
      <w:r w:rsidRPr="00AA6051" w:rsidR="00414797">
        <w:t>.</w:t>
      </w:r>
      <w:r w:rsidRPr="00AA6051" w:rsidR="00414797">
        <w:rPr>
          <w:rStyle w:val="FootnoteReference"/>
        </w:rPr>
        <w:footnoteReference w:id="6"/>
      </w:r>
      <w:r w:rsidRPr="00AA6051" w:rsidR="00414797">
        <w:t xml:space="preserve"> The notice requested public comments on the proposed renewal, without change, </w:t>
      </w:r>
      <w:r w:rsidR="004E3072">
        <w:t>of currently approved information collections related to records</w:t>
      </w:r>
      <w:r w:rsidRPr="00A1429B" w:rsidR="00A1429B">
        <w:t xml:space="preserve"> of </w:t>
      </w:r>
      <w:r w:rsidR="00821391">
        <w:t>p</w:t>
      </w:r>
      <w:r w:rsidRPr="00A1429B" w:rsidR="00A1429B">
        <w:t xml:space="preserve">urchases of </w:t>
      </w:r>
      <w:r w:rsidR="00821391">
        <w:t>b</w:t>
      </w:r>
      <w:r w:rsidRPr="00A1429B" w:rsidR="00A1429B">
        <w:t xml:space="preserve">ank </w:t>
      </w:r>
      <w:r w:rsidR="00821391">
        <w:t>c</w:t>
      </w:r>
      <w:r w:rsidRPr="00A1429B" w:rsidR="00A1429B">
        <w:t xml:space="preserve">hecks and </w:t>
      </w:r>
      <w:r w:rsidR="00821391">
        <w:t>d</w:t>
      </w:r>
      <w:r w:rsidRPr="00A1429B" w:rsidR="00A1429B">
        <w:t xml:space="preserve">rafts, </w:t>
      </w:r>
      <w:r w:rsidR="00821391">
        <w:t>c</w:t>
      </w:r>
      <w:r w:rsidRPr="00A1429B" w:rsidR="00A1429B">
        <w:t xml:space="preserve">ashier’s </w:t>
      </w:r>
      <w:r w:rsidR="00821391">
        <w:t>c</w:t>
      </w:r>
      <w:r w:rsidRPr="00A1429B" w:rsidR="00A1429B">
        <w:t xml:space="preserve">hecks, </w:t>
      </w:r>
      <w:r w:rsidR="00821391">
        <w:t>m</w:t>
      </w:r>
      <w:r w:rsidRPr="00A1429B" w:rsidR="00A1429B">
        <w:t xml:space="preserve">oney </w:t>
      </w:r>
      <w:r w:rsidR="00821391">
        <w:t>o</w:t>
      </w:r>
      <w:r w:rsidRPr="00A1429B" w:rsidR="00A1429B">
        <w:t>rder</w:t>
      </w:r>
      <w:r w:rsidR="00452B2C">
        <w:t>s</w:t>
      </w:r>
      <w:r w:rsidR="004E3072">
        <w:t>,</w:t>
      </w:r>
      <w:r w:rsidRPr="00A1429B" w:rsidR="00A1429B">
        <w:t xml:space="preserve"> and </w:t>
      </w:r>
      <w:r w:rsidR="00821391">
        <w:t>t</w:t>
      </w:r>
      <w:r w:rsidRPr="00A1429B" w:rsidR="00A1429B">
        <w:t xml:space="preserve">raveler’s </w:t>
      </w:r>
      <w:r w:rsidR="00821391">
        <w:t>c</w:t>
      </w:r>
      <w:r w:rsidRPr="00A1429B" w:rsidR="00A1429B">
        <w:t>hecks (31 CFR 1010.415</w:t>
      </w:r>
      <w:r w:rsidR="00A1429B">
        <w:t>)</w:t>
      </w:r>
      <w:r w:rsidR="00CC22E5">
        <w:t>.</w:t>
      </w:r>
      <w:r w:rsidRPr="00AA6051" w:rsidR="00414797">
        <w:t xml:space="preserve"> </w:t>
      </w:r>
      <w:r w:rsidRPr="00901485" w:rsidR="00901485">
        <w:t>Although no changes were proposed to the information collections themselves, the notice proposed for review and comment (a) a renewal of the portion of the PRA burden that has been subject to notice and comment in the past (the “traditional annual PRA burden”), and (b) an expansion of the scope of the PRA burden in the future (the “future annual PRA burden”).</w:t>
      </w:r>
      <w:r w:rsidR="00901485">
        <w:t xml:space="preserve"> </w:t>
      </w:r>
      <w:r w:rsidRPr="00642760" w:rsidR="00642760">
        <w:t xml:space="preserve">FinCEN received </w:t>
      </w:r>
      <w:r w:rsidR="00A1429B">
        <w:t xml:space="preserve">no </w:t>
      </w:r>
      <w:r w:rsidRPr="00642760" w:rsidR="00642760">
        <w:t>comment</w:t>
      </w:r>
      <w:r w:rsidR="004E3072">
        <w:t>s</w:t>
      </w:r>
      <w:r w:rsidR="00642760">
        <w:t xml:space="preserve"> </w:t>
      </w:r>
      <w:r w:rsidR="004E3072">
        <w:t>in response to the</w:t>
      </w:r>
      <w:r w:rsidR="008965A2">
        <w:t xml:space="preserve"> notice</w:t>
      </w:r>
      <w:r w:rsidRPr="00642760" w:rsidR="00642760">
        <w:t xml:space="preserve">. </w:t>
      </w:r>
    </w:p>
    <w:p w:rsidRPr="00AA6051" w:rsidR="009829C3" w:rsidP="009829C3" w:rsidRDefault="009829C3" w14:paraId="445CD1F9" w14:textId="77777777">
      <w:pPr>
        <w:widowControl w:val="0"/>
        <w:autoSpaceDE w:val="0"/>
        <w:autoSpaceDN w:val="0"/>
        <w:adjustRightInd w:val="0"/>
        <w:ind w:right="220" w:firstLine="720"/>
      </w:pPr>
    </w:p>
    <w:p w:rsidRPr="00A16AFB" w:rsidR="00F70456" w:rsidP="009829C3" w:rsidRDefault="00F70456" w14:paraId="37F02143" w14:textId="77777777">
      <w:pPr>
        <w:rPr>
          <w:szCs w:val="22"/>
        </w:rPr>
      </w:pPr>
      <w:r w:rsidRPr="00A16AFB">
        <w:rPr>
          <w:szCs w:val="22"/>
        </w:rPr>
        <w:t xml:space="preserve">9. </w:t>
      </w:r>
      <w:r w:rsidRPr="00A16AFB">
        <w:rPr>
          <w:u w:val="single"/>
        </w:rPr>
        <w:t>Explanation of decision to provide any payment or gift to respondents.</w:t>
      </w:r>
    </w:p>
    <w:p w:rsidRPr="00A16AFB" w:rsidR="009829C3" w:rsidP="009829C3" w:rsidRDefault="009829C3" w14:paraId="1238DF16" w14:textId="77777777">
      <w:pPr>
        <w:ind w:firstLine="720"/>
        <w:rPr>
          <w:szCs w:val="22"/>
        </w:rPr>
      </w:pPr>
    </w:p>
    <w:p w:rsidRPr="00AA6051" w:rsidR="00F70456" w:rsidP="009829C3" w:rsidRDefault="00F70456" w14:paraId="2AD2F701" w14:textId="77777777">
      <w:pPr>
        <w:ind w:firstLine="720"/>
        <w:rPr>
          <w:szCs w:val="22"/>
        </w:rPr>
      </w:pPr>
      <w:r w:rsidRPr="00A16AFB">
        <w:rPr>
          <w:szCs w:val="22"/>
        </w:rPr>
        <w:t>No payments or gifts were made to respondents.</w:t>
      </w:r>
      <w:r w:rsidRPr="00AA6051">
        <w:rPr>
          <w:szCs w:val="22"/>
        </w:rPr>
        <w:t xml:space="preserve"> </w:t>
      </w:r>
    </w:p>
    <w:p w:rsidRPr="00AA6051" w:rsidR="009829C3" w:rsidP="009829C3" w:rsidRDefault="009829C3" w14:paraId="7A5ABB0D" w14:textId="77777777">
      <w:pPr>
        <w:ind w:firstLine="720"/>
        <w:rPr>
          <w:szCs w:val="22"/>
        </w:rPr>
      </w:pPr>
    </w:p>
    <w:p w:rsidRPr="00AA6051" w:rsidR="0000789D" w:rsidP="009829C3" w:rsidRDefault="0000789D" w14:paraId="05C6CBD3" w14:textId="77777777">
      <w:pPr>
        <w:pStyle w:val="BodyText"/>
        <w:spacing w:before="0"/>
        <w:rPr>
          <w:sz w:val="24"/>
          <w:u w:val="single"/>
        </w:rPr>
      </w:pPr>
      <w:r w:rsidRPr="00AA6051">
        <w:rPr>
          <w:sz w:val="24"/>
        </w:rPr>
        <w:t xml:space="preserve">10. </w:t>
      </w:r>
      <w:r w:rsidRPr="00AA6051">
        <w:rPr>
          <w:sz w:val="24"/>
          <w:u w:val="single"/>
        </w:rPr>
        <w:t>Assurance of confidentiality of responses.</w:t>
      </w:r>
    </w:p>
    <w:p w:rsidRPr="00AA6051" w:rsidR="009829C3" w:rsidP="009829C3" w:rsidRDefault="009829C3" w14:paraId="368618EC" w14:textId="77777777">
      <w:pPr>
        <w:pStyle w:val="BodyText"/>
        <w:spacing w:before="0"/>
        <w:rPr>
          <w:sz w:val="24"/>
        </w:rPr>
      </w:pPr>
    </w:p>
    <w:p w:rsidRPr="00AE6BFA" w:rsidR="009829C3" w:rsidP="00AE6BFA" w:rsidRDefault="00E46C31" w14:paraId="5176E336" w14:textId="77777777">
      <w:pPr>
        <w:tabs>
          <w:tab w:val="left" w:pos="0"/>
        </w:tabs>
        <w:rPr>
          <w:vertAlign w:val="superscript"/>
        </w:rPr>
      </w:pPr>
      <w:r>
        <w:tab/>
      </w:r>
      <w:r w:rsidRPr="001F7618" w:rsidR="00B970D7">
        <w:t xml:space="preserve">The information collected under </w:t>
      </w:r>
      <w:r w:rsidR="008D5A03">
        <w:t xml:space="preserve">the regulations implementing the BSA </w:t>
      </w:r>
      <w:r w:rsidR="00821391">
        <w:t xml:space="preserve">may be </w:t>
      </w:r>
      <w:r w:rsidRPr="001F7618" w:rsidR="00B970D7">
        <w:t xml:space="preserve">made available to </w:t>
      </w:r>
      <w:r w:rsidR="00821391">
        <w:t>FinCEN</w:t>
      </w:r>
      <w:r w:rsidRPr="001F7618" w:rsidR="00B970D7">
        <w:t xml:space="preserve"> and </w:t>
      </w:r>
      <w:r w:rsidR="00821391">
        <w:t xml:space="preserve">appropriate agencies upon their request or as part of an examination.  </w:t>
      </w:r>
    </w:p>
    <w:p w:rsidRPr="00AA6051" w:rsidR="007534B0" w:rsidP="009829C3" w:rsidRDefault="007534B0" w14:paraId="58F76169" w14:textId="77777777">
      <w:pPr>
        <w:widowControl w:val="0"/>
        <w:autoSpaceDE w:val="0"/>
        <w:autoSpaceDN w:val="0"/>
        <w:adjustRightInd w:val="0"/>
        <w:spacing w:line="235" w:lineRule="exact"/>
        <w:ind w:firstLine="720"/>
        <w:rPr>
          <w:szCs w:val="22"/>
        </w:rPr>
      </w:pPr>
    </w:p>
    <w:p w:rsidR="007E2506" w:rsidP="009829C3" w:rsidRDefault="007E2506" w14:paraId="4ED71895" w14:textId="77777777">
      <w:pPr>
        <w:rPr>
          <w:szCs w:val="22"/>
        </w:rPr>
      </w:pPr>
    </w:p>
    <w:p w:rsidR="007E2506" w:rsidP="009829C3" w:rsidRDefault="007E2506" w14:paraId="47C72CB5" w14:textId="77777777">
      <w:pPr>
        <w:rPr>
          <w:szCs w:val="22"/>
        </w:rPr>
      </w:pPr>
    </w:p>
    <w:p w:rsidR="007E2506" w:rsidP="009829C3" w:rsidRDefault="007E2506" w14:paraId="6AB4DEFC" w14:textId="77777777">
      <w:pPr>
        <w:rPr>
          <w:szCs w:val="22"/>
        </w:rPr>
      </w:pPr>
    </w:p>
    <w:p w:rsidR="007E2506" w:rsidP="009829C3" w:rsidRDefault="007E2506" w14:paraId="611C55EC" w14:textId="77777777">
      <w:pPr>
        <w:rPr>
          <w:szCs w:val="22"/>
        </w:rPr>
      </w:pPr>
    </w:p>
    <w:p w:rsidRPr="00AA6051" w:rsidR="0000789D" w:rsidP="009829C3" w:rsidRDefault="0000789D" w14:paraId="2560EE56" w14:textId="0D005728">
      <w:pPr>
        <w:rPr>
          <w:szCs w:val="22"/>
        </w:rPr>
      </w:pPr>
      <w:r w:rsidRPr="00AA6051">
        <w:rPr>
          <w:szCs w:val="22"/>
        </w:rPr>
        <w:lastRenderedPageBreak/>
        <w:t xml:space="preserve">11. </w:t>
      </w:r>
      <w:r w:rsidRPr="00AA6051">
        <w:rPr>
          <w:szCs w:val="22"/>
          <w:u w:val="single"/>
        </w:rPr>
        <w:t>Justification of sensitive questions.</w:t>
      </w:r>
      <w:r w:rsidRPr="00AA6051">
        <w:rPr>
          <w:szCs w:val="22"/>
        </w:rPr>
        <w:t xml:space="preserve"> </w:t>
      </w:r>
    </w:p>
    <w:p w:rsidR="009F04CE" w:rsidP="009829C3" w:rsidRDefault="009F04CE" w14:paraId="12A41005" w14:textId="77777777">
      <w:pPr>
        <w:ind w:firstLine="720"/>
      </w:pPr>
    </w:p>
    <w:p w:rsidR="009829C3" w:rsidP="009829C3" w:rsidRDefault="006606CD" w14:paraId="3B073AD3" w14:textId="77777777">
      <w:pPr>
        <w:ind w:firstLine="720"/>
      </w:pPr>
      <w:r>
        <w:t>This is a recordkeeping requirement. Information collection requirements by covered financial institutions are mandated by the USA Patriot Act and the BSA</w:t>
      </w:r>
      <w:r w:rsidR="00E43B5E">
        <w:t>, as amended</w:t>
      </w:r>
      <w:r>
        <w:t>.</w:t>
      </w:r>
    </w:p>
    <w:p w:rsidRPr="00AA6051" w:rsidR="006606CD" w:rsidP="009829C3" w:rsidRDefault="006606CD" w14:paraId="1F689489" w14:textId="77777777">
      <w:pPr>
        <w:ind w:firstLine="720"/>
        <w:rPr>
          <w:szCs w:val="22"/>
        </w:rPr>
      </w:pPr>
    </w:p>
    <w:p w:rsidRPr="00AA6051" w:rsidR="00643252" w:rsidP="009829C3" w:rsidRDefault="008722D3" w14:paraId="0A17041F" w14:textId="77777777">
      <w:pPr>
        <w:rPr>
          <w:szCs w:val="22"/>
          <w:u w:val="single"/>
        </w:rPr>
      </w:pPr>
      <w:r w:rsidRPr="00AA6051">
        <w:rPr>
          <w:szCs w:val="22"/>
        </w:rPr>
        <w:t xml:space="preserve">12.  </w:t>
      </w:r>
      <w:r w:rsidRPr="00AA6051">
        <w:rPr>
          <w:szCs w:val="22"/>
          <w:u w:val="single"/>
        </w:rPr>
        <w:t xml:space="preserve">Estimated </w:t>
      </w:r>
      <w:r w:rsidR="0055123D">
        <w:rPr>
          <w:szCs w:val="22"/>
          <w:u w:val="single"/>
        </w:rPr>
        <w:t xml:space="preserve">annual hourly </w:t>
      </w:r>
      <w:r w:rsidRPr="00AA6051">
        <w:rPr>
          <w:szCs w:val="22"/>
          <w:u w:val="single"/>
        </w:rPr>
        <w:t>burden of information collection.</w:t>
      </w:r>
    </w:p>
    <w:p w:rsidRPr="00AA6051" w:rsidR="00AC4543" w:rsidP="009829C3" w:rsidRDefault="00AC4543" w14:paraId="3005BD27" w14:textId="77777777">
      <w:pPr>
        <w:rPr>
          <w:szCs w:val="22"/>
        </w:rPr>
      </w:pPr>
    </w:p>
    <w:p w:rsidRPr="00AA6051" w:rsidR="00643252" w:rsidP="009829C3" w:rsidRDefault="00643252" w14:paraId="67365B3B" w14:textId="77777777">
      <w:pPr>
        <w:rPr>
          <w:szCs w:val="22"/>
        </w:rPr>
      </w:pPr>
      <w:r w:rsidRPr="00A16AFB">
        <w:rPr>
          <w:szCs w:val="22"/>
          <w:u w:val="single"/>
        </w:rPr>
        <w:t>Frequency</w:t>
      </w:r>
      <w:r w:rsidRPr="00A406C0">
        <w:rPr>
          <w:szCs w:val="22"/>
          <w:u w:val="single"/>
        </w:rPr>
        <w:t>:</w:t>
      </w:r>
      <w:r w:rsidRPr="00AA6051">
        <w:rPr>
          <w:szCs w:val="22"/>
        </w:rPr>
        <w:t xml:space="preserve"> As required. </w:t>
      </w:r>
    </w:p>
    <w:p w:rsidRPr="00AA6051" w:rsidR="00643252" w:rsidP="009829C3" w:rsidRDefault="00643252" w14:paraId="2B56CD03" w14:textId="77777777">
      <w:pPr>
        <w:widowControl w:val="0"/>
        <w:autoSpaceDE w:val="0"/>
        <w:autoSpaceDN w:val="0"/>
        <w:adjustRightInd w:val="0"/>
        <w:spacing w:line="273" w:lineRule="exact"/>
        <w:jc w:val="both"/>
        <w:rPr>
          <w:szCs w:val="22"/>
        </w:rPr>
      </w:pPr>
    </w:p>
    <w:p w:rsidRPr="00AA6051" w:rsidR="00643252" w:rsidP="009829C3" w:rsidRDefault="00643252" w14:paraId="3C03B91E" w14:textId="77777777">
      <w:pPr>
        <w:widowControl w:val="0"/>
        <w:autoSpaceDE w:val="0"/>
        <w:autoSpaceDN w:val="0"/>
        <w:adjustRightInd w:val="0"/>
        <w:spacing w:line="273" w:lineRule="exact"/>
        <w:jc w:val="both"/>
        <w:rPr>
          <w:szCs w:val="22"/>
        </w:rPr>
      </w:pPr>
      <w:r w:rsidRPr="00335FA8">
        <w:rPr>
          <w:szCs w:val="22"/>
          <w:u w:val="single"/>
        </w:rPr>
        <w:t>Est</w:t>
      </w:r>
      <w:r w:rsidRPr="00335FA8" w:rsidR="007F6DDB">
        <w:rPr>
          <w:szCs w:val="22"/>
          <w:u w:val="single"/>
        </w:rPr>
        <w:t>imated Number of Respondents:</w:t>
      </w:r>
      <w:r w:rsidRPr="00AA6051" w:rsidR="007F6DDB">
        <w:rPr>
          <w:szCs w:val="22"/>
        </w:rPr>
        <w:t xml:space="preserve"> </w:t>
      </w:r>
    </w:p>
    <w:p w:rsidRPr="00C6267A" w:rsidR="00C6267A" w:rsidP="00C6267A" w:rsidRDefault="00C6267A" w14:paraId="75E1833F" w14:textId="77777777">
      <w:pPr>
        <w:rPr>
          <w:b/>
          <w:lang w:val="en-GB"/>
        </w:rPr>
      </w:pPr>
    </w:p>
    <w:tbl>
      <w:tblPr>
        <w:tblStyle w:val="TableGrid"/>
        <w:tblW w:w="0" w:type="auto"/>
        <w:tblLook w:val="04A0" w:firstRow="1" w:lastRow="0" w:firstColumn="1" w:lastColumn="0" w:noHBand="0" w:noVBand="1"/>
      </w:tblPr>
      <w:tblGrid>
        <w:gridCol w:w="3308"/>
        <w:gridCol w:w="4337"/>
      </w:tblGrid>
      <w:tr w:rsidRPr="00C6267A" w:rsidR="00C6267A" w:rsidTr="00BC17F8" w14:paraId="3B618BA5" w14:textId="77777777">
        <w:trPr>
          <w:tblHeader/>
        </w:trPr>
        <w:tc>
          <w:tcPr>
            <w:tcW w:w="3308" w:type="dxa"/>
            <w:vAlign w:val="center"/>
          </w:tcPr>
          <w:p w:rsidRPr="00C6267A" w:rsidR="00C6267A" w:rsidP="00C6267A" w:rsidRDefault="00C6267A" w14:paraId="6774EF70" w14:textId="77777777">
            <w:pPr>
              <w:rPr>
                <w:rFonts w:ascii="Times New Roman" w:hAnsi="Times New Roman" w:cs="Times New Roman"/>
                <w:b/>
                <w:lang w:val="en-GB"/>
              </w:rPr>
            </w:pPr>
            <w:r w:rsidRPr="00C6267A">
              <w:rPr>
                <w:rFonts w:ascii="Times New Roman" w:hAnsi="Times New Roman" w:cs="Times New Roman"/>
                <w:b/>
                <w:lang w:val="en-GB"/>
              </w:rPr>
              <w:t>Type of Financial Institution</w:t>
            </w:r>
          </w:p>
        </w:tc>
        <w:tc>
          <w:tcPr>
            <w:tcW w:w="4337" w:type="dxa"/>
            <w:vAlign w:val="center"/>
          </w:tcPr>
          <w:p w:rsidRPr="00C6267A" w:rsidR="00C6267A" w:rsidP="00C6267A" w:rsidRDefault="00C6267A" w14:paraId="0C1276BB" w14:textId="77777777">
            <w:pPr>
              <w:rPr>
                <w:rFonts w:ascii="Times New Roman" w:hAnsi="Times New Roman" w:cs="Times New Roman"/>
                <w:b/>
                <w:lang w:val="en-GB"/>
              </w:rPr>
            </w:pPr>
            <w:r w:rsidRPr="00C6267A">
              <w:rPr>
                <w:rFonts w:ascii="Times New Roman" w:hAnsi="Times New Roman" w:cs="Times New Roman"/>
                <w:b/>
                <w:lang w:val="en-GB"/>
              </w:rPr>
              <w:t>Number of Financial Institutions</w:t>
            </w:r>
          </w:p>
        </w:tc>
      </w:tr>
      <w:tr w:rsidRPr="00C6267A" w:rsidR="00C6267A" w:rsidTr="00BC17F8" w14:paraId="6F1D08D0" w14:textId="77777777">
        <w:tc>
          <w:tcPr>
            <w:tcW w:w="3308" w:type="dxa"/>
            <w:vAlign w:val="center"/>
          </w:tcPr>
          <w:p w:rsidRPr="00C6267A" w:rsidR="00C6267A" w:rsidP="00C6267A" w:rsidRDefault="00C6267A" w14:paraId="28371D1F" w14:textId="77777777">
            <w:pPr>
              <w:rPr>
                <w:rFonts w:ascii="Times New Roman" w:hAnsi="Times New Roman" w:cs="Times New Roman"/>
                <w:lang w:val="en-GB"/>
              </w:rPr>
            </w:pPr>
            <w:r w:rsidRPr="00C6267A">
              <w:rPr>
                <w:rFonts w:ascii="Times New Roman" w:hAnsi="Times New Roman" w:cs="Times New Roman"/>
                <w:lang w:val="en-GB"/>
              </w:rPr>
              <w:t>Banks</w:t>
            </w:r>
          </w:p>
        </w:tc>
        <w:tc>
          <w:tcPr>
            <w:tcW w:w="4337" w:type="dxa"/>
            <w:vAlign w:val="center"/>
          </w:tcPr>
          <w:p w:rsidRPr="00C6267A" w:rsidR="00C6267A" w:rsidP="00C6267A" w:rsidRDefault="00C6267A" w14:paraId="6565027B" w14:textId="77777777">
            <w:pPr>
              <w:jc w:val="right"/>
              <w:rPr>
                <w:rFonts w:ascii="Times New Roman" w:hAnsi="Times New Roman" w:cs="Times New Roman"/>
                <w:lang w:val="en-GB"/>
              </w:rPr>
            </w:pPr>
            <w:r w:rsidRPr="00C6267A">
              <w:rPr>
                <w:rFonts w:ascii="Times New Roman" w:hAnsi="Times New Roman" w:cs="Times New Roman"/>
                <w:lang w:val="en-GB"/>
              </w:rPr>
              <w:t>11,161</w:t>
            </w:r>
            <w:r w:rsidRPr="00C6267A">
              <w:rPr>
                <w:rFonts w:ascii="Times New Roman" w:hAnsi="Times New Roman" w:cs="Times New Roman"/>
                <w:vertAlign w:val="superscript"/>
                <w:lang w:val="en-GB"/>
              </w:rPr>
              <w:footnoteReference w:id="7"/>
            </w:r>
          </w:p>
        </w:tc>
      </w:tr>
      <w:tr w:rsidRPr="00C6267A" w:rsidR="00C6267A" w:rsidTr="00BC17F8" w14:paraId="1D3908FE" w14:textId="77777777">
        <w:tc>
          <w:tcPr>
            <w:tcW w:w="3308" w:type="dxa"/>
            <w:vAlign w:val="center"/>
          </w:tcPr>
          <w:p w:rsidRPr="00C6267A" w:rsidR="00C6267A" w:rsidP="00C6267A" w:rsidRDefault="00C6267A" w14:paraId="47E8157D" w14:textId="77777777">
            <w:pPr>
              <w:rPr>
                <w:rFonts w:ascii="Times New Roman" w:hAnsi="Times New Roman" w:cs="Times New Roman"/>
                <w:lang w:val="en-GB"/>
              </w:rPr>
            </w:pPr>
            <w:r w:rsidRPr="00C6267A">
              <w:rPr>
                <w:rFonts w:ascii="Times New Roman" w:hAnsi="Times New Roman" w:cs="Times New Roman"/>
                <w:lang w:val="en-GB"/>
              </w:rPr>
              <w:t xml:space="preserve">Issuers/Sellers of Money Orders </w:t>
            </w:r>
          </w:p>
        </w:tc>
        <w:tc>
          <w:tcPr>
            <w:tcW w:w="4337" w:type="dxa"/>
            <w:vAlign w:val="center"/>
          </w:tcPr>
          <w:p w:rsidRPr="00C6267A" w:rsidR="00C6267A" w:rsidP="00C6267A" w:rsidRDefault="00C6267A" w14:paraId="2D8D350D" w14:textId="77777777">
            <w:pPr>
              <w:jc w:val="right"/>
              <w:rPr>
                <w:rFonts w:ascii="Times New Roman" w:hAnsi="Times New Roman" w:cs="Times New Roman"/>
                <w:lang w:val="en-GB"/>
              </w:rPr>
            </w:pPr>
            <w:r w:rsidRPr="00C6267A">
              <w:rPr>
                <w:rFonts w:ascii="Times New Roman" w:hAnsi="Times New Roman" w:cs="Times New Roman"/>
                <w:lang w:val="en-GB"/>
              </w:rPr>
              <w:t>4,353</w:t>
            </w:r>
            <w:r w:rsidRPr="00C6267A">
              <w:rPr>
                <w:rFonts w:ascii="Times New Roman" w:hAnsi="Times New Roman" w:cs="Times New Roman"/>
                <w:vertAlign w:val="superscript"/>
                <w:lang w:val="en-GB"/>
              </w:rPr>
              <w:footnoteReference w:id="8"/>
            </w:r>
          </w:p>
        </w:tc>
      </w:tr>
      <w:tr w:rsidRPr="00C6267A" w:rsidR="00C6267A" w:rsidTr="00BC17F8" w14:paraId="1F63E30C" w14:textId="77777777">
        <w:trPr>
          <w:trHeight w:val="516"/>
        </w:trPr>
        <w:tc>
          <w:tcPr>
            <w:tcW w:w="3308" w:type="dxa"/>
            <w:vAlign w:val="center"/>
          </w:tcPr>
          <w:p w:rsidRPr="00C6267A" w:rsidR="00C6267A" w:rsidP="00C6267A" w:rsidRDefault="00C6267A" w14:paraId="301AC6E0" w14:textId="77777777">
            <w:pPr>
              <w:rPr>
                <w:rFonts w:ascii="Times New Roman" w:hAnsi="Times New Roman" w:cs="Times New Roman"/>
                <w:lang w:val="en-GB"/>
              </w:rPr>
            </w:pPr>
            <w:r w:rsidRPr="00C6267A">
              <w:rPr>
                <w:rFonts w:ascii="Times New Roman" w:hAnsi="Times New Roman" w:cs="Times New Roman"/>
                <w:lang w:val="en-GB"/>
              </w:rPr>
              <w:t xml:space="preserve">Issuers/Sellers of Traveler’s Checks </w:t>
            </w:r>
          </w:p>
        </w:tc>
        <w:tc>
          <w:tcPr>
            <w:tcW w:w="4337" w:type="dxa"/>
            <w:vAlign w:val="center"/>
          </w:tcPr>
          <w:p w:rsidRPr="00C6267A" w:rsidR="00C6267A" w:rsidP="00C6267A" w:rsidRDefault="00C6267A" w14:paraId="0E4C479C" w14:textId="77777777">
            <w:pPr>
              <w:jc w:val="right"/>
              <w:rPr>
                <w:rFonts w:ascii="Times New Roman" w:hAnsi="Times New Roman" w:cs="Times New Roman"/>
                <w:lang w:val="en-GB"/>
              </w:rPr>
            </w:pPr>
            <w:r w:rsidRPr="00C6267A">
              <w:rPr>
                <w:rFonts w:ascii="Times New Roman" w:hAnsi="Times New Roman" w:cs="Times New Roman"/>
                <w:lang w:val="en-GB"/>
              </w:rPr>
              <w:t>163</w:t>
            </w:r>
            <w:r w:rsidRPr="00C6267A">
              <w:rPr>
                <w:rFonts w:ascii="Times New Roman" w:hAnsi="Times New Roman" w:cs="Times New Roman"/>
                <w:vertAlign w:val="superscript"/>
                <w:lang w:val="en-GB"/>
              </w:rPr>
              <w:footnoteReference w:id="9"/>
            </w:r>
          </w:p>
        </w:tc>
      </w:tr>
      <w:tr w:rsidRPr="00C6267A" w:rsidR="00C6267A" w:rsidTr="00BC17F8" w14:paraId="594891E3" w14:textId="77777777">
        <w:trPr>
          <w:trHeight w:val="440"/>
        </w:trPr>
        <w:tc>
          <w:tcPr>
            <w:tcW w:w="3308" w:type="dxa"/>
            <w:tcBorders>
              <w:top w:val="single" w:color="auto" w:sz="12" w:space="0"/>
              <w:left w:val="single" w:color="auto" w:sz="12" w:space="0"/>
              <w:bottom w:val="single" w:color="auto" w:sz="12" w:space="0"/>
              <w:right w:val="single" w:color="auto" w:sz="12" w:space="0"/>
            </w:tcBorders>
            <w:vAlign w:val="center"/>
          </w:tcPr>
          <w:p w:rsidRPr="00C6267A" w:rsidR="00C6267A" w:rsidP="00C6267A" w:rsidRDefault="00C6267A" w14:paraId="5609FFC0" w14:textId="77777777">
            <w:pPr>
              <w:rPr>
                <w:rFonts w:ascii="Times New Roman" w:hAnsi="Times New Roman" w:cs="Times New Roman"/>
                <w:b/>
                <w:lang w:val="en-GB"/>
              </w:rPr>
            </w:pPr>
            <w:r w:rsidRPr="00C6267A">
              <w:rPr>
                <w:rFonts w:ascii="Times New Roman" w:hAnsi="Times New Roman" w:cs="Times New Roman"/>
                <w:b/>
                <w:lang w:val="en-GB"/>
              </w:rPr>
              <w:t>Total Number of Financial Institutions</w:t>
            </w:r>
          </w:p>
        </w:tc>
        <w:tc>
          <w:tcPr>
            <w:tcW w:w="4337" w:type="dxa"/>
            <w:tcBorders>
              <w:top w:val="single" w:color="auto" w:sz="12" w:space="0"/>
              <w:left w:val="single" w:color="auto" w:sz="12" w:space="0"/>
              <w:bottom w:val="single" w:color="auto" w:sz="12" w:space="0"/>
              <w:right w:val="single" w:color="auto" w:sz="12" w:space="0"/>
            </w:tcBorders>
            <w:vAlign w:val="center"/>
          </w:tcPr>
          <w:p w:rsidRPr="00C6267A" w:rsidR="00C6267A" w:rsidP="00C6267A" w:rsidRDefault="00C6267A" w14:paraId="58A55206" w14:textId="77777777">
            <w:pPr>
              <w:jc w:val="right"/>
              <w:rPr>
                <w:rFonts w:ascii="Times New Roman" w:hAnsi="Times New Roman" w:cs="Times New Roman"/>
                <w:b/>
                <w:lang w:val="en-GB"/>
              </w:rPr>
            </w:pPr>
            <w:r w:rsidRPr="00C6267A">
              <w:rPr>
                <w:rFonts w:ascii="Times New Roman" w:hAnsi="Times New Roman" w:cs="Times New Roman"/>
              </w:rPr>
              <w:t>15,677</w:t>
            </w:r>
          </w:p>
        </w:tc>
      </w:tr>
    </w:tbl>
    <w:p w:rsidR="00C6267A" w:rsidP="0067540B" w:rsidRDefault="00C6267A" w14:paraId="501185E9" w14:textId="77777777">
      <w:pPr>
        <w:widowControl w:val="0"/>
        <w:autoSpaceDE w:val="0"/>
        <w:autoSpaceDN w:val="0"/>
        <w:adjustRightInd w:val="0"/>
        <w:spacing w:line="268" w:lineRule="exact"/>
        <w:jc w:val="both"/>
        <w:rPr>
          <w:szCs w:val="22"/>
        </w:rPr>
      </w:pPr>
    </w:p>
    <w:p w:rsidR="0067540B" w:rsidP="007070F2" w:rsidRDefault="0067540B" w14:paraId="4B4B0A52" w14:textId="77777777">
      <w:pPr>
        <w:widowControl w:val="0"/>
        <w:autoSpaceDE w:val="0"/>
        <w:autoSpaceDN w:val="0"/>
        <w:adjustRightInd w:val="0"/>
        <w:spacing w:line="268" w:lineRule="exact"/>
        <w:rPr>
          <w:szCs w:val="22"/>
        </w:rPr>
      </w:pPr>
      <w:r w:rsidRPr="00A16AFB">
        <w:rPr>
          <w:szCs w:val="22"/>
          <w:u w:val="single"/>
        </w:rPr>
        <w:t>Estimate</w:t>
      </w:r>
      <w:r w:rsidR="0055123D">
        <w:rPr>
          <w:szCs w:val="22"/>
          <w:u w:val="single"/>
        </w:rPr>
        <w:t xml:space="preserve"> of </w:t>
      </w:r>
      <w:r w:rsidR="00E02797">
        <w:rPr>
          <w:szCs w:val="22"/>
          <w:u w:val="single"/>
        </w:rPr>
        <w:t>Burden</w:t>
      </w:r>
      <w:r w:rsidRPr="00335FA8">
        <w:rPr>
          <w:szCs w:val="22"/>
          <w:u w:val="single"/>
        </w:rPr>
        <w:t>:</w:t>
      </w:r>
      <w:r>
        <w:rPr>
          <w:szCs w:val="22"/>
        </w:rPr>
        <w:t xml:space="preserve"> </w:t>
      </w:r>
    </w:p>
    <w:p w:rsidR="00885FC7" w:rsidP="007070F2" w:rsidRDefault="00885FC7" w14:paraId="18D7BAFE" w14:textId="77777777">
      <w:pPr>
        <w:widowControl w:val="0"/>
        <w:autoSpaceDE w:val="0"/>
        <w:autoSpaceDN w:val="0"/>
        <w:adjustRightInd w:val="0"/>
        <w:spacing w:line="268" w:lineRule="exact"/>
        <w:rPr>
          <w:szCs w:val="22"/>
        </w:rPr>
      </w:pPr>
    </w:p>
    <w:p w:rsidRPr="00AD1AB9" w:rsidR="00AD1AB9" w:rsidP="001A607A" w:rsidRDefault="00B00EA7" w14:paraId="272D5587" w14:textId="77777777">
      <w:pPr>
        <w:widowControl w:val="0"/>
        <w:autoSpaceDE w:val="0"/>
        <w:autoSpaceDN w:val="0"/>
        <w:adjustRightInd w:val="0"/>
        <w:spacing w:line="268" w:lineRule="exact"/>
        <w:rPr>
          <w:szCs w:val="22"/>
        </w:rPr>
      </w:pPr>
      <w:r w:rsidRPr="00B00EA7">
        <w:rPr>
          <w:szCs w:val="22"/>
        </w:rPr>
        <w:tab/>
        <w:t>FinCEN continues to estimate the annual hourly burden of creating and maintaining records for the issuance or sale of bank checks and drafts, cashier’s checks, money orders, or traveler's checks to individual purchasers when the sale involves currency between $3,000-$10,000,</w:t>
      </w:r>
      <w:r w:rsidR="001A607A">
        <w:rPr>
          <w:szCs w:val="22"/>
        </w:rPr>
        <w:t xml:space="preserve"> </w:t>
      </w:r>
      <w:r w:rsidRPr="00B00EA7">
        <w:rPr>
          <w:szCs w:val="22"/>
        </w:rPr>
        <w:t xml:space="preserve">inclusive, at </w:t>
      </w:r>
      <w:r w:rsidRPr="001A607A">
        <w:rPr>
          <w:szCs w:val="22"/>
        </w:rPr>
        <w:t>seven and a half hours</w:t>
      </w:r>
      <w:r w:rsidRPr="00B00EA7">
        <w:rPr>
          <w:szCs w:val="22"/>
        </w:rPr>
        <w:t xml:space="preserve"> per covered financial institution, irrespective of the volume of such transactions. </w:t>
      </w:r>
      <w:r w:rsidR="00AD1AB9">
        <w:rPr>
          <w:szCs w:val="22"/>
        </w:rPr>
        <w:t xml:space="preserve"> </w:t>
      </w:r>
    </w:p>
    <w:p w:rsidR="00CE0096" w:rsidP="001A607A" w:rsidRDefault="00CE0096" w14:paraId="1136D8D0" w14:textId="77777777">
      <w:pPr>
        <w:widowControl w:val="0"/>
        <w:autoSpaceDE w:val="0"/>
        <w:autoSpaceDN w:val="0"/>
        <w:adjustRightInd w:val="0"/>
        <w:spacing w:line="268" w:lineRule="exact"/>
        <w:rPr>
          <w:lang w:val="en-GB"/>
        </w:rPr>
      </w:pPr>
    </w:p>
    <w:p w:rsidRPr="00CE0096" w:rsidR="00CE0096" w:rsidP="001A607A" w:rsidRDefault="00CE0096" w14:paraId="002862F5" w14:textId="77777777">
      <w:pPr>
        <w:widowControl w:val="0"/>
        <w:spacing w:line="268" w:lineRule="exact"/>
      </w:pPr>
      <w:r>
        <w:rPr>
          <w:lang w:val="en-GB"/>
        </w:rPr>
        <w:tab/>
        <w:t xml:space="preserve">15,677 financial institutions multiplied by 7.5 hours results </w:t>
      </w:r>
      <w:r w:rsidRPr="00CE0096">
        <w:rPr>
          <w:lang w:val="en-GB"/>
        </w:rPr>
        <w:t xml:space="preserve">in a total annual hourly burden estimate of </w:t>
      </w:r>
      <w:r>
        <w:rPr>
          <w:lang w:val="en-GB"/>
        </w:rPr>
        <w:t>117,57</w:t>
      </w:r>
      <w:r w:rsidR="00734034">
        <w:rPr>
          <w:lang w:val="en-GB"/>
        </w:rPr>
        <w:t>9</w:t>
      </w:r>
      <w:r w:rsidRPr="00CE0096">
        <w:rPr>
          <w:lang w:val="en-GB"/>
        </w:rPr>
        <w:t xml:space="preserve"> hours.</w:t>
      </w:r>
    </w:p>
    <w:p w:rsidR="00CE0096" w:rsidP="001A607A" w:rsidRDefault="00CE0096" w14:paraId="2868F7BE" w14:textId="77777777">
      <w:pPr>
        <w:widowControl w:val="0"/>
        <w:autoSpaceDE w:val="0"/>
        <w:autoSpaceDN w:val="0"/>
        <w:adjustRightInd w:val="0"/>
        <w:spacing w:line="268" w:lineRule="exact"/>
        <w:rPr>
          <w:lang w:val="en-GB"/>
        </w:rPr>
      </w:pPr>
    </w:p>
    <w:p w:rsidRPr="00736FD7" w:rsidR="00642110" w:rsidP="001A607A" w:rsidRDefault="00642110" w14:paraId="5DF50A57" w14:textId="77777777">
      <w:pPr>
        <w:rPr>
          <w:szCs w:val="22"/>
        </w:rPr>
      </w:pPr>
      <w:r>
        <w:t xml:space="preserve">13. </w:t>
      </w:r>
      <w:r>
        <w:rPr>
          <w:u w:val="single"/>
        </w:rPr>
        <w:t xml:space="preserve">Estimated </w:t>
      </w:r>
      <w:r w:rsidR="00125BE6">
        <w:rPr>
          <w:u w:val="single"/>
        </w:rPr>
        <w:t>total annual cost to respondents for hour b</w:t>
      </w:r>
      <w:r>
        <w:rPr>
          <w:u w:val="single"/>
        </w:rPr>
        <w:t>urdens</w:t>
      </w:r>
      <w:r>
        <w:t xml:space="preserve"> </w:t>
      </w:r>
    </w:p>
    <w:p w:rsidR="00642110" w:rsidP="001A607A" w:rsidRDefault="00642110" w14:paraId="1C9A9D6D" w14:textId="77777777">
      <w:pPr>
        <w:ind w:firstLine="720"/>
      </w:pPr>
    </w:p>
    <w:p w:rsidRPr="001A607A" w:rsidR="00184BE7" w:rsidP="001A607A" w:rsidRDefault="00184BE7" w14:paraId="72960EB3" w14:textId="77777777">
      <w:pPr>
        <w:widowControl w:val="0"/>
        <w:autoSpaceDE w:val="0"/>
        <w:autoSpaceDN w:val="0"/>
        <w:adjustRightInd w:val="0"/>
        <w:spacing w:line="268" w:lineRule="exact"/>
        <w:ind w:firstLine="720"/>
        <w:rPr>
          <w:szCs w:val="22"/>
        </w:rPr>
      </w:pPr>
      <w:r w:rsidRPr="001A607A">
        <w:rPr>
          <w:szCs w:val="22"/>
        </w:rPr>
        <w:t xml:space="preserve">Fully-loaded hourly wage by </w:t>
      </w:r>
      <w:r w:rsidRPr="001A607A" w:rsidR="00642110">
        <w:rPr>
          <w:szCs w:val="22"/>
        </w:rPr>
        <w:t xml:space="preserve">role and Bureau of Labor and Statistics (BLS) job </w:t>
      </w:r>
      <w:r w:rsidRPr="001A607A" w:rsidR="00642110">
        <w:rPr>
          <w:szCs w:val="22"/>
        </w:rPr>
        <w:lastRenderedPageBreak/>
        <w:t>position</w:t>
      </w:r>
      <w:r w:rsidR="00642110">
        <w:rPr>
          <w:rStyle w:val="FootnoteReference"/>
          <w:szCs w:val="22"/>
        </w:rPr>
        <w:footnoteReference w:id="10"/>
      </w:r>
      <w:r w:rsidRPr="001A607A" w:rsidR="00642110">
        <w:rPr>
          <w:szCs w:val="22"/>
        </w:rPr>
        <w:t xml:space="preserve"> for all financial institutions covered by this supporting statement:</w:t>
      </w:r>
    </w:p>
    <w:p w:rsidRPr="00184BE7" w:rsidR="00184BE7" w:rsidP="00184BE7" w:rsidRDefault="00184BE7" w14:paraId="01BEDA66" w14:textId="77777777">
      <w:pPr>
        <w:widowControl w:val="0"/>
        <w:autoSpaceDE w:val="0"/>
        <w:autoSpaceDN w:val="0"/>
        <w:adjustRightInd w:val="0"/>
        <w:spacing w:line="268" w:lineRule="exact"/>
        <w:jc w:val="both"/>
        <w:rPr>
          <w:b/>
          <w:szCs w:val="22"/>
        </w:rPr>
      </w:pPr>
    </w:p>
    <w:tbl>
      <w:tblPr>
        <w:tblStyle w:val="TableGrid"/>
        <w:tblW w:w="9715" w:type="dxa"/>
        <w:tblLook w:val="04A0" w:firstRow="1" w:lastRow="0" w:firstColumn="1" w:lastColumn="0" w:noHBand="0" w:noVBand="1"/>
      </w:tblPr>
      <w:tblGrid>
        <w:gridCol w:w="2875"/>
        <w:gridCol w:w="1490"/>
        <w:gridCol w:w="1968"/>
        <w:gridCol w:w="1014"/>
        <w:gridCol w:w="950"/>
        <w:gridCol w:w="1418"/>
      </w:tblGrid>
      <w:tr w:rsidRPr="00184BE7" w:rsidR="00184BE7" w:rsidTr="001A607A" w14:paraId="58E9CBFB" w14:textId="77777777">
        <w:trPr>
          <w:tblHeader/>
        </w:trPr>
        <w:tc>
          <w:tcPr>
            <w:tcW w:w="2875" w:type="dxa"/>
            <w:vAlign w:val="center"/>
          </w:tcPr>
          <w:p w:rsidRPr="00184BE7" w:rsidR="00184BE7" w:rsidP="00184BE7" w:rsidRDefault="00184BE7" w14:paraId="11CD27CA" w14:textId="77777777">
            <w:pPr>
              <w:widowControl w:val="0"/>
              <w:autoSpaceDE w:val="0"/>
              <w:autoSpaceDN w:val="0"/>
              <w:adjustRightInd w:val="0"/>
              <w:spacing w:line="268" w:lineRule="exact"/>
              <w:jc w:val="both"/>
              <w:rPr>
                <w:rFonts w:ascii="Times New Roman" w:hAnsi="Times New Roman" w:cs="Times New Roman"/>
                <w:b/>
                <w:szCs w:val="22"/>
              </w:rPr>
            </w:pPr>
            <w:r w:rsidRPr="00184BE7">
              <w:rPr>
                <w:rFonts w:ascii="Times New Roman" w:hAnsi="Times New Roman" w:cs="Times New Roman"/>
                <w:b/>
                <w:szCs w:val="22"/>
              </w:rPr>
              <w:t>Role</w:t>
            </w:r>
          </w:p>
        </w:tc>
        <w:tc>
          <w:tcPr>
            <w:tcW w:w="1490" w:type="dxa"/>
            <w:vAlign w:val="center"/>
          </w:tcPr>
          <w:p w:rsidRPr="00184BE7" w:rsidR="00184BE7" w:rsidP="00184BE7" w:rsidRDefault="00184BE7" w14:paraId="067C34B9" w14:textId="77777777">
            <w:pPr>
              <w:widowControl w:val="0"/>
              <w:autoSpaceDE w:val="0"/>
              <w:autoSpaceDN w:val="0"/>
              <w:adjustRightInd w:val="0"/>
              <w:spacing w:line="268" w:lineRule="exact"/>
              <w:jc w:val="both"/>
              <w:rPr>
                <w:rFonts w:ascii="Times New Roman" w:hAnsi="Times New Roman" w:cs="Times New Roman"/>
                <w:b/>
                <w:szCs w:val="22"/>
              </w:rPr>
            </w:pPr>
            <w:r w:rsidRPr="00184BE7">
              <w:rPr>
                <w:rFonts w:ascii="Times New Roman" w:hAnsi="Times New Roman" w:cs="Times New Roman"/>
                <w:b/>
                <w:szCs w:val="22"/>
              </w:rPr>
              <w:t>BLS-Code</w:t>
            </w:r>
          </w:p>
        </w:tc>
        <w:tc>
          <w:tcPr>
            <w:tcW w:w="1968" w:type="dxa"/>
            <w:vAlign w:val="center"/>
          </w:tcPr>
          <w:p w:rsidRPr="00184BE7" w:rsidR="00184BE7" w:rsidP="00184BE7" w:rsidRDefault="00184BE7" w14:paraId="65FF5A7F" w14:textId="77777777">
            <w:pPr>
              <w:widowControl w:val="0"/>
              <w:autoSpaceDE w:val="0"/>
              <w:autoSpaceDN w:val="0"/>
              <w:adjustRightInd w:val="0"/>
              <w:spacing w:line="268" w:lineRule="exact"/>
              <w:jc w:val="both"/>
              <w:rPr>
                <w:rFonts w:ascii="Times New Roman" w:hAnsi="Times New Roman" w:cs="Times New Roman"/>
                <w:b/>
                <w:szCs w:val="22"/>
              </w:rPr>
            </w:pPr>
            <w:r w:rsidRPr="00184BE7">
              <w:rPr>
                <w:rFonts w:ascii="Times New Roman" w:hAnsi="Times New Roman" w:cs="Times New Roman"/>
                <w:b/>
                <w:szCs w:val="22"/>
              </w:rPr>
              <w:t>BLS-Name</w:t>
            </w:r>
          </w:p>
        </w:tc>
        <w:tc>
          <w:tcPr>
            <w:tcW w:w="1014" w:type="dxa"/>
            <w:vAlign w:val="center"/>
          </w:tcPr>
          <w:p w:rsidRPr="00184BE7" w:rsidR="00184BE7" w:rsidP="00184BE7" w:rsidRDefault="00184BE7" w14:paraId="103FAA4F" w14:textId="77777777">
            <w:pPr>
              <w:widowControl w:val="0"/>
              <w:autoSpaceDE w:val="0"/>
              <w:autoSpaceDN w:val="0"/>
              <w:adjustRightInd w:val="0"/>
              <w:spacing w:line="268" w:lineRule="exact"/>
              <w:jc w:val="both"/>
              <w:rPr>
                <w:rFonts w:ascii="Times New Roman" w:hAnsi="Times New Roman" w:cs="Times New Roman"/>
                <w:b/>
                <w:szCs w:val="22"/>
              </w:rPr>
            </w:pPr>
            <w:r w:rsidRPr="00184BE7">
              <w:rPr>
                <w:rFonts w:ascii="Times New Roman" w:hAnsi="Times New Roman" w:cs="Times New Roman"/>
                <w:b/>
                <w:szCs w:val="22"/>
              </w:rPr>
              <w:t>Median Hourly Wage</w:t>
            </w:r>
          </w:p>
        </w:tc>
        <w:tc>
          <w:tcPr>
            <w:tcW w:w="950" w:type="dxa"/>
            <w:vAlign w:val="center"/>
          </w:tcPr>
          <w:p w:rsidRPr="00184BE7" w:rsidR="00184BE7" w:rsidP="00184BE7" w:rsidRDefault="00184BE7" w14:paraId="757548F3" w14:textId="77777777">
            <w:pPr>
              <w:widowControl w:val="0"/>
              <w:autoSpaceDE w:val="0"/>
              <w:autoSpaceDN w:val="0"/>
              <w:adjustRightInd w:val="0"/>
              <w:spacing w:line="268" w:lineRule="exact"/>
              <w:jc w:val="both"/>
              <w:rPr>
                <w:rFonts w:ascii="Times New Roman" w:hAnsi="Times New Roman" w:cs="Times New Roman"/>
                <w:b/>
                <w:szCs w:val="22"/>
              </w:rPr>
            </w:pPr>
            <w:r w:rsidRPr="00184BE7">
              <w:rPr>
                <w:rFonts w:ascii="Times New Roman" w:hAnsi="Times New Roman" w:cs="Times New Roman"/>
                <w:b/>
                <w:szCs w:val="22"/>
              </w:rPr>
              <w:t>Benefit Factor</w:t>
            </w:r>
          </w:p>
        </w:tc>
        <w:tc>
          <w:tcPr>
            <w:tcW w:w="1418" w:type="dxa"/>
            <w:vAlign w:val="center"/>
          </w:tcPr>
          <w:p w:rsidRPr="00184BE7" w:rsidR="00184BE7" w:rsidP="00184BE7" w:rsidRDefault="00184BE7" w14:paraId="2F7C9195" w14:textId="77777777">
            <w:pPr>
              <w:widowControl w:val="0"/>
              <w:autoSpaceDE w:val="0"/>
              <w:autoSpaceDN w:val="0"/>
              <w:adjustRightInd w:val="0"/>
              <w:spacing w:line="268" w:lineRule="exact"/>
              <w:jc w:val="both"/>
              <w:rPr>
                <w:rFonts w:ascii="Times New Roman" w:hAnsi="Times New Roman" w:cs="Times New Roman"/>
                <w:b/>
                <w:szCs w:val="22"/>
              </w:rPr>
            </w:pPr>
            <w:r w:rsidRPr="00184BE7">
              <w:rPr>
                <w:rFonts w:ascii="Times New Roman" w:hAnsi="Times New Roman" w:cs="Times New Roman"/>
                <w:b/>
                <w:szCs w:val="22"/>
              </w:rPr>
              <w:t>Fully-loaded Hourly Wage</w:t>
            </w:r>
          </w:p>
        </w:tc>
      </w:tr>
      <w:tr w:rsidRPr="00184BE7" w:rsidR="00184BE7" w:rsidTr="001A607A" w14:paraId="5F729321" w14:textId="77777777">
        <w:tc>
          <w:tcPr>
            <w:tcW w:w="2875" w:type="dxa"/>
            <w:vAlign w:val="center"/>
          </w:tcPr>
          <w:p w:rsidRPr="00184BE7" w:rsidR="00184BE7" w:rsidP="00184BE7" w:rsidRDefault="00184BE7" w14:paraId="1C4347A2" w14:textId="77777777">
            <w:pPr>
              <w:widowControl w:val="0"/>
              <w:autoSpaceDE w:val="0"/>
              <w:autoSpaceDN w:val="0"/>
              <w:adjustRightInd w:val="0"/>
              <w:spacing w:line="268" w:lineRule="exact"/>
              <w:jc w:val="both"/>
              <w:rPr>
                <w:rFonts w:ascii="Times New Roman" w:hAnsi="Times New Roman" w:cs="Times New Roman"/>
                <w:szCs w:val="22"/>
              </w:rPr>
            </w:pPr>
            <w:r w:rsidRPr="00184BE7">
              <w:rPr>
                <w:rFonts w:ascii="Times New Roman" w:hAnsi="Times New Roman" w:cs="Times New Roman"/>
                <w:szCs w:val="22"/>
              </w:rPr>
              <w:t xml:space="preserve">Direct </w:t>
            </w:r>
            <w:r w:rsidR="00D41E88">
              <w:rPr>
                <w:rFonts w:ascii="Times New Roman" w:hAnsi="Times New Roman" w:cs="Times New Roman"/>
                <w:szCs w:val="22"/>
              </w:rPr>
              <w:t>S</w:t>
            </w:r>
            <w:r w:rsidRPr="00184BE7">
              <w:rPr>
                <w:rFonts w:ascii="Times New Roman" w:hAnsi="Times New Roman" w:cs="Times New Roman"/>
                <w:szCs w:val="22"/>
              </w:rPr>
              <w:t>upervision</w:t>
            </w:r>
          </w:p>
        </w:tc>
        <w:tc>
          <w:tcPr>
            <w:tcW w:w="1490" w:type="dxa"/>
            <w:vAlign w:val="center"/>
          </w:tcPr>
          <w:p w:rsidRPr="00184BE7" w:rsidR="00184BE7" w:rsidP="00184BE7" w:rsidRDefault="00184BE7" w14:paraId="5C1FD775" w14:textId="77777777">
            <w:pPr>
              <w:widowControl w:val="0"/>
              <w:autoSpaceDE w:val="0"/>
              <w:autoSpaceDN w:val="0"/>
              <w:adjustRightInd w:val="0"/>
              <w:spacing w:line="268" w:lineRule="exact"/>
              <w:jc w:val="both"/>
              <w:rPr>
                <w:rFonts w:ascii="Times New Roman" w:hAnsi="Times New Roman" w:cs="Times New Roman"/>
                <w:szCs w:val="22"/>
              </w:rPr>
            </w:pPr>
            <w:r w:rsidRPr="00184BE7">
              <w:rPr>
                <w:rFonts w:ascii="Times New Roman" w:hAnsi="Times New Roman" w:cs="Times New Roman"/>
                <w:szCs w:val="22"/>
              </w:rPr>
              <w:t>13-1041</w:t>
            </w:r>
          </w:p>
        </w:tc>
        <w:tc>
          <w:tcPr>
            <w:tcW w:w="1968" w:type="dxa"/>
            <w:vAlign w:val="center"/>
          </w:tcPr>
          <w:p w:rsidRPr="00184BE7" w:rsidR="00184BE7" w:rsidP="00184BE7" w:rsidRDefault="00184BE7" w14:paraId="4C9999E4" w14:textId="77777777">
            <w:pPr>
              <w:widowControl w:val="0"/>
              <w:autoSpaceDE w:val="0"/>
              <w:autoSpaceDN w:val="0"/>
              <w:adjustRightInd w:val="0"/>
              <w:spacing w:line="268" w:lineRule="exact"/>
              <w:jc w:val="both"/>
              <w:rPr>
                <w:rFonts w:ascii="Times New Roman" w:hAnsi="Times New Roman" w:cs="Times New Roman"/>
                <w:szCs w:val="22"/>
              </w:rPr>
            </w:pPr>
            <w:r w:rsidRPr="00184BE7">
              <w:rPr>
                <w:rFonts w:ascii="Times New Roman" w:hAnsi="Times New Roman" w:cs="Times New Roman"/>
                <w:szCs w:val="22"/>
              </w:rPr>
              <w:t>Compliance Officer</w:t>
            </w:r>
          </w:p>
        </w:tc>
        <w:tc>
          <w:tcPr>
            <w:tcW w:w="1014" w:type="dxa"/>
            <w:vAlign w:val="bottom"/>
          </w:tcPr>
          <w:p w:rsidRPr="00184BE7" w:rsidR="00184BE7" w:rsidP="00184BE7" w:rsidRDefault="00184BE7" w14:paraId="3BB1995E" w14:textId="77777777">
            <w:pPr>
              <w:widowControl w:val="0"/>
              <w:autoSpaceDE w:val="0"/>
              <w:autoSpaceDN w:val="0"/>
              <w:adjustRightInd w:val="0"/>
              <w:spacing w:line="268" w:lineRule="exact"/>
              <w:jc w:val="both"/>
              <w:rPr>
                <w:rFonts w:ascii="Times New Roman" w:hAnsi="Times New Roman" w:cs="Times New Roman"/>
                <w:szCs w:val="22"/>
              </w:rPr>
            </w:pPr>
            <w:r w:rsidRPr="00184BE7">
              <w:rPr>
                <w:rFonts w:ascii="Times New Roman" w:hAnsi="Times New Roman" w:cs="Times New Roman"/>
                <w:szCs w:val="22"/>
              </w:rPr>
              <w:t>$33.20</w:t>
            </w:r>
          </w:p>
        </w:tc>
        <w:tc>
          <w:tcPr>
            <w:tcW w:w="950" w:type="dxa"/>
            <w:vAlign w:val="bottom"/>
          </w:tcPr>
          <w:p w:rsidRPr="00184BE7" w:rsidR="00184BE7" w:rsidP="00184BE7" w:rsidRDefault="00184BE7" w14:paraId="27558750" w14:textId="77777777">
            <w:pPr>
              <w:widowControl w:val="0"/>
              <w:autoSpaceDE w:val="0"/>
              <w:autoSpaceDN w:val="0"/>
              <w:adjustRightInd w:val="0"/>
              <w:spacing w:line="268" w:lineRule="exact"/>
              <w:jc w:val="both"/>
              <w:rPr>
                <w:rFonts w:ascii="Times New Roman" w:hAnsi="Times New Roman" w:cs="Times New Roman"/>
                <w:szCs w:val="22"/>
              </w:rPr>
            </w:pPr>
            <w:r w:rsidRPr="00184BE7">
              <w:rPr>
                <w:rFonts w:ascii="Times New Roman" w:hAnsi="Times New Roman" w:cs="Times New Roman"/>
                <w:szCs w:val="22"/>
              </w:rPr>
              <w:t>1.50</w:t>
            </w:r>
          </w:p>
        </w:tc>
        <w:tc>
          <w:tcPr>
            <w:tcW w:w="1418" w:type="dxa"/>
            <w:vAlign w:val="bottom"/>
          </w:tcPr>
          <w:p w:rsidRPr="00184BE7" w:rsidR="00184BE7" w:rsidP="00184BE7" w:rsidRDefault="00184BE7" w14:paraId="1734CB93" w14:textId="77777777">
            <w:pPr>
              <w:widowControl w:val="0"/>
              <w:autoSpaceDE w:val="0"/>
              <w:autoSpaceDN w:val="0"/>
              <w:adjustRightInd w:val="0"/>
              <w:spacing w:line="268" w:lineRule="exact"/>
              <w:jc w:val="both"/>
              <w:rPr>
                <w:rFonts w:ascii="Times New Roman" w:hAnsi="Times New Roman" w:cs="Times New Roman"/>
                <w:szCs w:val="22"/>
              </w:rPr>
            </w:pPr>
            <w:r w:rsidRPr="00184BE7">
              <w:rPr>
                <w:rFonts w:ascii="Times New Roman" w:hAnsi="Times New Roman" w:cs="Times New Roman"/>
                <w:szCs w:val="22"/>
              </w:rPr>
              <w:t>$49.80</w:t>
            </w:r>
          </w:p>
        </w:tc>
      </w:tr>
      <w:tr w:rsidRPr="00184BE7" w:rsidR="00184BE7" w:rsidTr="001A607A" w14:paraId="4B133EF3" w14:textId="77777777">
        <w:tc>
          <w:tcPr>
            <w:tcW w:w="2875" w:type="dxa"/>
            <w:vAlign w:val="center"/>
          </w:tcPr>
          <w:p w:rsidRPr="00184BE7" w:rsidR="00184BE7" w:rsidP="00184BE7" w:rsidRDefault="00184BE7" w14:paraId="498332D4" w14:textId="77777777">
            <w:pPr>
              <w:widowControl w:val="0"/>
              <w:autoSpaceDE w:val="0"/>
              <w:autoSpaceDN w:val="0"/>
              <w:adjustRightInd w:val="0"/>
              <w:spacing w:line="268" w:lineRule="exact"/>
              <w:jc w:val="both"/>
              <w:rPr>
                <w:rFonts w:ascii="Times New Roman" w:hAnsi="Times New Roman" w:cs="Times New Roman"/>
                <w:szCs w:val="22"/>
              </w:rPr>
            </w:pPr>
            <w:r w:rsidRPr="00184BE7">
              <w:rPr>
                <w:rFonts w:ascii="Times New Roman" w:hAnsi="Times New Roman" w:cs="Times New Roman"/>
                <w:szCs w:val="22"/>
              </w:rPr>
              <w:t xml:space="preserve">Clerical </w:t>
            </w:r>
            <w:r w:rsidR="00D41E88">
              <w:rPr>
                <w:rFonts w:ascii="Times New Roman" w:hAnsi="Times New Roman" w:cs="Times New Roman"/>
                <w:szCs w:val="22"/>
              </w:rPr>
              <w:t>W</w:t>
            </w:r>
            <w:r w:rsidRPr="00184BE7">
              <w:rPr>
                <w:rFonts w:ascii="Times New Roman" w:hAnsi="Times New Roman" w:cs="Times New Roman"/>
                <w:szCs w:val="22"/>
              </w:rPr>
              <w:t>ork (research, review, and recordkeeping)</w:t>
            </w:r>
          </w:p>
        </w:tc>
        <w:tc>
          <w:tcPr>
            <w:tcW w:w="1490" w:type="dxa"/>
            <w:vAlign w:val="center"/>
          </w:tcPr>
          <w:p w:rsidRPr="00184BE7" w:rsidR="00184BE7" w:rsidP="00184BE7" w:rsidRDefault="00184BE7" w14:paraId="4941C0B0" w14:textId="77777777">
            <w:pPr>
              <w:widowControl w:val="0"/>
              <w:autoSpaceDE w:val="0"/>
              <w:autoSpaceDN w:val="0"/>
              <w:adjustRightInd w:val="0"/>
              <w:spacing w:line="268" w:lineRule="exact"/>
              <w:jc w:val="both"/>
              <w:rPr>
                <w:rFonts w:ascii="Times New Roman" w:hAnsi="Times New Roman" w:cs="Times New Roman"/>
                <w:szCs w:val="22"/>
              </w:rPr>
            </w:pPr>
            <w:r w:rsidRPr="00184BE7">
              <w:rPr>
                <w:rFonts w:ascii="Times New Roman" w:hAnsi="Times New Roman" w:cs="Times New Roman"/>
                <w:szCs w:val="22"/>
              </w:rPr>
              <w:t>43-3099</w:t>
            </w:r>
          </w:p>
        </w:tc>
        <w:tc>
          <w:tcPr>
            <w:tcW w:w="1968" w:type="dxa"/>
            <w:vAlign w:val="center"/>
          </w:tcPr>
          <w:p w:rsidRPr="00184BE7" w:rsidR="00184BE7" w:rsidP="00184BE7" w:rsidRDefault="00184BE7" w14:paraId="7A89F953" w14:textId="77777777">
            <w:pPr>
              <w:widowControl w:val="0"/>
              <w:autoSpaceDE w:val="0"/>
              <w:autoSpaceDN w:val="0"/>
              <w:adjustRightInd w:val="0"/>
              <w:spacing w:line="268" w:lineRule="exact"/>
              <w:jc w:val="both"/>
              <w:rPr>
                <w:rFonts w:ascii="Times New Roman" w:hAnsi="Times New Roman" w:cs="Times New Roman"/>
                <w:szCs w:val="22"/>
              </w:rPr>
            </w:pPr>
            <w:r w:rsidRPr="00184BE7">
              <w:rPr>
                <w:rFonts w:ascii="Times New Roman" w:hAnsi="Times New Roman" w:cs="Times New Roman"/>
                <w:szCs w:val="22"/>
              </w:rPr>
              <w:t>Financial Clerk</w:t>
            </w:r>
          </w:p>
        </w:tc>
        <w:tc>
          <w:tcPr>
            <w:tcW w:w="1014" w:type="dxa"/>
            <w:vAlign w:val="center"/>
          </w:tcPr>
          <w:p w:rsidRPr="00184BE7" w:rsidR="00184BE7" w:rsidP="00184BE7" w:rsidRDefault="00184BE7" w14:paraId="1A2ED9BE" w14:textId="77777777">
            <w:pPr>
              <w:widowControl w:val="0"/>
              <w:autoSpaceDE w:val="0"/>
              <w:autoSpaceDN w:val="0"/>
              <w:adjustRightInd w:val="0"/>
              <w:spacing w:line="268" w:lineRule="exact"/>
              <w:jc w:val="both"/>
              <w:rPr>
                <w:rFonts w:ascii="Times New Roman" w:hAnsi="Times New Roman" w:cs="Times New Roman"/>
                <w:szCs w:val="22"/>
              </w:rPr>
            </w:pPr>
            <w:r w:rsidRPr="00184BE7">
              <w:rPr>
                <w:rFonts w:ascii="Times New Roman" w:hAnsi="Times New Roman" w:cs="Times New Roman"/>
                <w:szCs w:val="22"/>
              </w:rPr>
              <w:t>$20.40</w:t>
            </w:r>
          </w:p>
        </w:tc>
        <w:tc>
          <w:tcPr>
            <w:tcW w:w="950" w:type="dxa"/>
            <w:vAlign w:val="center"/>
          </w:tcPr>
          <w:p w:rsidRPr="00184BE7" w:rsidR="00184BE7" w:rsidP="00184BE7" w:rsidRDefault="00184BE7" w14:paraId="126419C7" w14:textId="77777777">
            <w:pPr>
              <w:widowControl w:val="0"/>
              <w:autoSpaceDE w:val="0"/>
              <w:autoSpaceDN w:val="0"/>
              <w:adjustRightInd w:val="0"/>
              <w:spacing w:line="268" w:lineRule="exact"/>
              <w:jc w:val="both"/>
              <w:rPr>
                <w:rFonts w:ascii="Times New Roman" w:hAnsi="Times New Roman" w:cs="Times New Roman"/>
                <w:szCs w:val="22"/>
              </w:rPr>
            </w:pPr>
            <w:r w:rsidRPr="00184BE7">
              <w:rPr>
                <w:rFonts w:ascii="Times New Roman" w:hAnsi="Times New Roman" w:cs="Times New Roman"/>
                <w:szCs w:val="22"/>
              </w:rPr>
              <w:t>1.50</w:t>
            </w:r>
          </w:p>
        </w:tc>
        <w:tc>
          <w:tcPr>
            <w:tcW w:w="1418" w:type="dxa"/>
            <w:vAlign w:val="center"/>
          </w:tcPr>
          <w:p w:rsidRPr="00184BE7" w:rsidR="00184BE7" w:rsidP="00184BE7" w:rsidRDefault="00184BE7" w14:paraId="253DB346" w14:textId="77777777">
            <w:pPr>
              <w:widowControl w:val="0"/>
              <w:autoSpaceDE w:val="0"/>
              <w:autoSpaceDN w:val="0"/>
              <w:adjustRightInd w:val="0"/>
              <w:spacing w:line="268" w:lineRule="exact"/>
              <w:jc w:val="both"/>
              <w:rPr>
                <w:rFonts w:ascii="Times New Roman" w:hAnsi="Times New Roman" w:cs="Times New Roman"/>
                <w:szCs w:val="22"/>
              </w:rPr>
            </w:pPr>
            <w:r w:rsidRPr="00184BE7">
              <w:rPr>
                <w:rFonts w:ascii="Times New Roman" w:hAnsi="Times New Roman" w:cs="Times New Roman"/>
                <w:szCs w:val="22"/>
              </w:rPr>
              <w:t>$30.60</w:t>
            </w:r>
          </w:p>
        </w:tc>
      </w:tr>
    </w:tbl>
    <w:p w:rsidR="00184BE7" w:rsidP="00184BE7" w:rsidRDefault="00184BE7" w14:paraId="3C62C4CC" w14:textId="77777777">
      <w:pPr>
        <w:widowControl w:val="0"/>
        <w:autoSpaceDE w:val="0"/>
        <w:autoSpaceDN w:val="0"/>
        <w:adjustRightInd w:val="0"/>
        <w:spacing w:line="268" w:lineRule="exact"/>
        <w:jc w:val="both"/>
        <w:rPr>
          <w:szCs w:val="22"/>
        </w:rPr>
      </w:pPr>
    </w:p>
    <w:p w:rsidR="004B4B43" w:rsidP="00C9357B" w:rsidRDefault="004B4B43" w14:paraId="34249BC1" w14:textId="77777777">
      <w:pPr>
        <w:widowControl w:val="0"/>
        <w:autoSpaceDE w:val="0"/>
        <w:autoSpaceDN w:val="0"/>
        <w:adjustRightInd w:val="0"/>
        <w:spacing w:line="268" w:lineRule="exact"/>
        <w:ind w:firstLine="720"/>
        <w:rPr>
          <w:szCs w:val="22"/>
        </w:rPr>
      </w:pPr>
      <w:r w:rsidRPr="004B4B43">
        <w:rPr>
          <w:szCs w:val="22"/>
        </w:rPr>
        <w:t xml:space="preserve">FinCEN estimates that, </w:t>
      </w:r>
      <w:r w:rsidRPr="001A607A">
        <w:rPr>
          <w:i/>
          <w:szCs w:val="22"/>
        </w:rPr>
        <w:t>i</w:t>
      </w:r>
      <w:r w:rsidRPr="001A607A" w:rsidR="00A153C2">
        <w:rPr>
          <w:i/>
          <w:szCs w:val="22"/>
        </w:rPr>
        <w:t>n general and on average</w:t>
      </w:r>
      <w:r w:rsidR="00E6449E">
        <w:rPr>
          <w:szCs w:val="22"/>
        </w:rPr>
        <w:t>,</w:t>
      </w:r>
      <w:r w:rsidRPr="001A607A" w:rsidR="00E6449E">
        <w:rPr>
          <w:rStyle w:val="FootnoteReference"/>
          <w:szCs w:val="22"/>
        </w:rPr>
        <w:footnoteReference w:id="11"/>
      </w:r>
      <w:r w:rsidR="00A153C2">
        <w:rPr>
          <w:szCs w:val="22"/>
        </w:rPr>
        <w:t xml:space="preserve"> </w:t>
      </w:r>
      <w:r w:rsidRPr="004B4B43">
        <w:rPr>
          <w:szCs w:val="22"/>
        </w:rPr>
        <w:t xml:space="preserve">each role would </w:t>
      </w:r>
      <w:r w:rsidRPr="004B4B43" w:rsidR="00C9357B">
        <w:rPr>
          <w:szCs w:val="22"/>
        </w:rPr>
        <w:t>spend different</w:t>
      </w:r>
      <w:r w:rsidRPr="004B4B43">
        <w:rPr>
          <w:szCs w:val="22"/>
        </w:rPr>
        <w:t xml:space="preserve"> amounts of time on each portion of the traditional annual PRA burden. For verifying the identity of the purchaser and maintaining the recordkeeping requirement, the estimated cost of the hourly burden </w:t>
      </w:r>
      <w:r w:rsidR="00E6449E">
        <w:rPr>
          <w:szCs w:val="22"/>
        </w:rPr>
        <w:t xml:space="preserve">would be </w:t>
      </w:r>
      <w:r w:rsidRPr="004B4B43">
        <w:rPr>
          <w:szCs w:val="22"/>
        </w:rPr>
        <w:t>$33.00</w:t>
      </w:r>
      <w:r w:rsidR="00E6449E">
        <w:rPr>
          <w:szCs w:val="22"/>
        </w:rPr>
        <w:t xml:space="preserve"> as set out below:</w:t>
      </w:r>
      <w:r w:rsidR="00A153C2">
        <w:rPr>
          <w:szCs w:val="22"/>
        </w:rPr>
        <w:t xml:space="preserve"> </w:t>
      </w:r>
    </w:p>
    <w:p w:rsidRPr="00A153C2" w:rsidR="00A153C2" w:rsidP="00C9357B" w:rsidRDefault="00A153C2" w14:paraId="7B780630" w14:textId="77777777">
      <w:pPr>
        <w:widowControl w:val="0"/>
        <w:autoSpaceDE w:val="0"/>
        <w:autoSpaceDN w:val="0"/>
        <w:adjustRightInd w:val="0"/>
        <w:spacing w:line="268" w:lineRule="exact"/>
        <w:rPr>
          <w:szCs w:val="22"/>
        </w:rPr>
      </w:pPr>
    </w:p>
    <w:tbl>
      <w:tblPr>
        <w:tblStyle w:val="TableGrid"/>
        <w:tblW w:w="9535" w:type="dxa"/>
        <w:tblLook w:val="04A0" w:firstRow="1" w:lastRow="0" w:firstColumn="1" w:lastColumn="0" w:noHBand="0" w:noVBand="1"/>
      </w:tblPr>
      <w:tblGrid>
        <w:gridCol w:w="1170"/>
        <w:gridCol w:w="1615"/>
        <w:gridCol w:w="1084"/>
        <w:gridCol w:w="86"/>
        <w:gridCol w:w="1710"/>
        <w:gridCol w:w="3870"/>
      </w:tblGrid>
      <w:tr w:rsidRPr="00A153C2" w:rsidR="00A153C2" w:rsidTr="00DC351A" w14:paraId="0ACC441A" w14:textId="77777777">
        <w:trPr>
          <w:tblHeader/>
        </w:trPr>
        <w:tc>
          <w:tcPr>
            <w:tcW w:w="2785" w:type="dxa"/>
            <w:gridSpan w:val="2"/>
          </w:tcPr>
          <w:p w:rsidRPr="00A153C2" w:rsidR="00A153C2" w:rsidP="00A153C2" w:rsidRDefault="00A153C2" w14:paraId="46925FCA" w14:textId="77777777">
            <w:pPr>
              <w:widowControl w:val="0"/>
              <w:autoSpaceDE w:val="0"/>
              <w:autoSpaceDN w:val="0"/>
              <w:adjustRightInd w:val="0"/>
              <w:spacing w:line="268" w:lineRule="exact"/>
              <w:jc w:val="both"/>
              <w:rPr>
                <w:rFonts w:ascii="Times New Roman" w:hAnsi="Times New Roman" w:cs="Times New Roman"/>
                <w:b/>
                <w:szCs w:val="22"/>
              </w:rPr>
            </w:pPr>
            <w:r w:rsidRPr="00A153C2">
              <w:rPr>
                <w:rFonts w:ascii="Times New Roman" w:hAnsi="Times New Roman" w:cs="Times New Roman"/>
                <w:b/>
                <w:szCs w:val="22"/>
              </w:rPr>
              <w:t>Direct Supervision</w:t>
            </w:r>
          </w:p>
        </w:tc>
        <w:tc>
          <w:tcPr>
            <w:tcW w:w="2880" w:type="dxa"/>
            <w:gridSpan w:val="3"/>
          </w:tcPr>
          <w:p w:rsidRPr="00A153C2" w:rsidR="00A153C2" w:rsidP="00A153C2" w:rsidRDefault="00A153C2" w14:paraId="7871A810" w14:textId="77777777">
            <w:pPr>
              <w:widowControl w:val="0"/>
              <w:autoSpaceDE w:val="0"/>
              <w:autoSpaceDN w:val="0"/>
              <w:adjustRightInd w:val="0"/>
              <w:spacing w:line="268" w:lineRule="exact"/>
              <w:jc w:val="both"/>
              <w:rPr>
                <w:rFonts w:ascii="Times New Roman" w:hAnsi="Times New Roman" w:cs="Times New Roman"/>
                <w:b/>
                <w:szCs w:val="22"/>
              </w:rPr>
            </w:pPr>
            <w:r w:rsidRPr="00A153C2">
              <w:rPr>
                <w:rFonts w:ascii="Times New Roman" w:hAnsi="Times New Roman" w:cs="Times New Roman"/>
                <w:b/>
                <w:szCs w:val="22"/>
              </w:rPr>
              <w:t xml:space="preserve">Clerical Work </w:t>
            </w:r>
          </w:p>
        </w:tc>
        <w:tc>
          <w:tcPr>
            <w:tcW w:w="3870" w:type="dxa"/>
          </w:tcPr>
          <w:p w:rsidRPr="00A153C2" w:rsidR="00A153C2" w:rsidP="00A153C2" w:rsidRDefault="00A153C2" w14:paraId="3B496C4B" w14:textId="77777777">
            <w:pPr>
              <w:widowControl w:val="0"/>
              <w:autoSpaceDE w:val="0"/>
              <w:autoSpaceDN w:val="0"/>
              <w:adjustRightInd w:val="0"/>
              <w:spacing w:line="268" w:lineRule="exact"/>
              <w:jc w:val="both"/>
              <w:rPr>
                <w:rFonts w:ascii="Times New Roman" w:hAnsi="Times New Roman" w:cs="Times New Roman"/>
                <w:b/>
                <w:szCs w:val="22"/>
              </w:rPr>
            </w:pPr>
            <w:r w:rsidRPr="00A153C2">
              <w:rPr>
                <w:rFonts w:ascii="Times New Roman" w:hAnsi="Times New Roman" w:cs="Times New Roman"/>
                <w:b/>
                <w:szCs w:val="22"/>
              </w:rPr>
              <w:t>Weighted Average Hourly Cost</w:t>
            </w:r>
          </w:p>
        </w:tc>
      </w:tr>
      <w:tr w:rsidRPr="00A153C2" w:rsidR="00A153C2" w:rsidTr="00DC351A" w14:paraId="4780E6A7" w14:textId="77777777">
        <w:tc>
          <w:tcPr>
            <w:tcW w:w="1170" w:type="dxa"/>
          </w:tcPr>
          <w:p w:rsidRPr="00A153C2" w:rsidR="00A153C2" w:rsidP="00A153C2" w:rsidRDefault="00A153C2" w14:paraId="595D5E87" w14:textId="77777777">
            <w:pPr>
              <w:widowControl w:val="0"/>
              <w:autoSpaceDE w:val="0"/>
              <w:autoSpaceDN w:val="0"/>
              <w:adjustRightInd w:val="0"/>
              <w:spacing w:line="268" w:lineRule="exact"/>
              <w:jc w:val="both"/>
              <w:rPr>
                <w:rFonts w:ascii="Times New Roman" w:hAnsi="Times New Roman" w:cs="Times New Roman"/>
                <w:b/>
                <w:szCs w:val="22"/>
              </w:rPr>
            </w:pPr>
            <w:r w:rsidRPr="00A153C2">
              <w:rPr>
                <w:rFonts w:ascii="Times New Roman" w:hAnsi="Times New Roman" w:cs="Times New Roman"/>
                <w:b/>
                <w:szCs w:val="22"/>
              </w:rPr>
              <w:t>% Time</w:t>
            </w:r>
          </w:p>
        </w:tc>
        <w:tc>
          <w:tcPr>
            <w:tcW w:w="1615" w:type="dxa"/>
          </w:tcPr>
          <w:p w:rsidRPr="00A153C2" w:rsidR="00A153C2" w:rsidP="00A153C2" w:rsidRDefault="00A153C2" w14:paraId="6E004D03" w14:textId="77777777">
            <w:pPr>
              <w:widowControl w:val="0"/>
              <w:autoSpaceDE w:val="0"/>
              <w:autoSpaceDN w:val="0"/>
              <w:adjustRightInd w:val="0"/>
              <w:spacing w:line="268" w:lineRule="exact"/>
              <w:jc w:val="both"/>
              <w:rPr>
                <w:rFonts w:ascii="Times New Roman" w:hAnsi="Times New Roman" w:cs="Times New Roman"/>
                <w:b/>
                <w:szCs w:val="22"/>
              </w:rPr>
            </w:pPr>
            <w:r w:rsidRPr="00A153C2">
              <w:rPr>
                <w:rFonts w:ascii="Times New Roman" w:hAnsi="Times New Roman" w:cs="Times New Roman"/>
                <w:b/>
                <w:szCs w:val="22"/>
              </w:rPr>
              <w:t>Hourly Cost</w:t>
            </w:r>
          </w:p>
        </w:tc>
        <w:tc>
          <w:tcPr>
            <w:tcW w:w="1170" w:type="dxa"/>
            <w:gridSpan w:val="2"/>
          </w:tcPr>
          <w:p w:rsidRPr="00A153C2" w:rsidR="00A153C2" w:rsidP="00A153C2" w:rsidRDefault="00A153C2" w14:paraId="1C97627B" w14:textId="77777777">
            <w:pPr>
              <w:widowControl w:val="0"/>
              <w:autoSpaceDE w:val="0"/>
              <w:autoSpaceDN w:val="0"/>
              <w:adjustRightInd w:val="0"/>
              <w:spacing w:line="268" w:lineRule="exact"/>
              <w:jc w:val="both"/>
              <w:rPr>
                <w:rFonts w:ascii="Times New Roman" w:hAnsi="Times New Roman" w:cs="Times New Roman"/>
                <w:b/>
                <w:szCs w:val="22"/>
              </w:rPr>
            </w:pPr>
            <w:r w:rsidRPr="00A153C2">
              <w:rPr>
                <w:rFonts w:ascii="Times New Roman" w:hAnsi="Times New Roman" w:cs="Times New Roman"/>
                <w:b/>
                <w:szCs w:val="22"/>
              </w:rPr>
              <w:t>% Time</w:t>
            </w:r>
          </w:p>
        </w:tc>
        <w:tc>
          <w:tcPr>
            <w:tcW w:w="1710" w:type="dxa"/>
          </w:tcPr>
          <w:p w:rsidRPr="00A153C2" w:rsidR="00A153C2" w:rsidP="00A153C2" w:rsidRDefault="00A153C2" w14:paraId="76A9BBDB" w14:textId="77777777">
            <w:pPr>
              <w:widowControl w:val="0"/>
              <w:autoSpaceDE w:val="0"/>
              <w:autoSpaceDN w:val="0"/>
              <w:adjustRightInd w:val="0"/>
              <w:spacing w:line="268" w:lineRule="exact"/>
              <w:jc w:val="both"/>
              <w:rPr>
                <w:rFonts w:ascii="Times New Roman" w:hAnsi="Times New Roman" w:cs="Times New Roman"/>
                <w:b/>
                <w:szCs w:val="22"/>
              </w:rPr>
            </w:pPr>
            <w:r w:rsidRPr="00A153C2">
              <w:rPr>
                <w:rFonts w:ascii="Times New Roman" w:hAnsi="Times New Roman" w:cs="Times New Roman"/>
                <w:b/>
                <w:szCs w:val="22"/>
              </w:rPr>
              <w:t>Hourly Cost</w:t>
            </w:r>
          </w:p>
        </w:tc>
        <w:tc>
          <w:tcPr>
            <w:tcW w:w="3870" w:type="dxa"/>
          </w:tcPr>
          <w:p w:rsidRPr="00A153C2" w:rsidR="00A153C2" w:rsidP="00A153C2" w:rsidRDefault="00A153C2" w14:paraId="6898C315" w14:textId="77777777">
            <w:pPr>
              <w:widowControl w:val="0"/>
              <w:autoSpaceDE w:val="0"/>
              <w:autoSpaceDN w:val="0"/>
              <w:adjustRightInd w:val="0"/>
              <w:spacing w:line="268" w:lineRule="exact"/>
              <w:jc w:val="both"/>
              <w:rPr>
                <w:rFonts w:ascii="Times New Roman" w:hAnsi="Times New Roman" w:cs="Times New Roman"/>
                <w:b/>
                <w:szCs w:val="22"/>
              </w:rPr>
            </w:pPr>
          </w:p>
        </w:tc>
      </w:tr>
      <w:tr w:rsidRPr="00A153C2" w:rsidR="00A153C2" w:rsidTr="00DC351A" w14:paraId="3B839B54" w14:textId="77777777">
        <w:tc>
          <w:tcPr>
            <w:tcW w:w="1170" w:type="dxa"/>
            <w:vAlign w:val="center"/>
          </w:tcPr>
          <w:p w:rsidRPr="00A153C2" w:rsidR="00A153C2" w:rsidP="00A153C2" w:rsidRDefault="00A153C2" w14:paraId="371D6F55" w14:textId="77777777">
            <w:pPr>
              <w:widowControl w:val="0"/>
              <w:autoSpaceDE w:val="0"/>
              <w:autoSpaceDN w:val="0"/>
              <w:adjustRightInd w:val="0"/>
              <w:spacing w:line="268" w:lineRule="exact"/>
              <w:jc w:val="both"/>
              <w:rPr>
                <w:rFonts w:ascii="Times New Roman" w:hAnsi="Times New Roman" w:cs="Times New Roman"/>
                <w:szCs w:val="22"/>
              </w:rPr>
            </w:pPr>
            <w:r w:rsidRPr="00A153C2">
              <w:rPr>
                <w:rFonts w:ascii="Times New Roman" w:hAnsi="Times New Roman" w:cs="Times New Roman"/>
                <w:szCs w:val="22"/>
              </w:rPr>
              <w:t>10%</w:t>
            </w:r>
          </w:p>
        </w:tc>
        <w:tc>
          <w:tcPr>
            <w:tcW w:w="1615" w:type="dxa"/>
            <w:vAlign w:val="center"/>
          </w:tcPr>
          <w:p w:rsidRPr="00A153C2" w:rsidR="00A153C2" w:rsidP="00A153C2" w:rsidRDefault="00A153C2" w14:paraId="7F44E179" w14:textId="77777777">
            <w:pPr>
              <w:widowControl w:val="0"/>
              <w:autoSpaceDE w:val="0"/>
              <w:autoSpaceDN w:val="0"/>
              <w:adjustRightInd w:val="0"/>
              <w:spacing w:line="268" w:lineRule="exact"/>
              <w:jc w:val="both"/>
              <w:rPr>
                <w:rFonts w:ascii="Times New Roman" w:hAnsi="Times New Roman" w:cs="Times New Roman"/>
                <w:szCs w:val="22"/>
              </w:rPr>
            </w:pPr>
            <w:r w:rsidRPr="00A153C2">
              <w:rPr>
                <w:rFonts w:ascii="Times New Roman" w:hAnsi="Times New Roman" w:cs="Times New Roman"/>
                <w:szCs w:val="22"/>
              </w:rPr>
              <w:t>$4.98</w:t>
            </w:r>
          </w:p>
        </w:tc>
        <w:tc>
          <w:tcPr>
            <w:tcW w:w="1084" w:type="dxa"/>
            <w:vAlign w:val="center"/>
          </w:tcPr>
          <w:p w:rsidRPr="00A153C2" w:rsidR="00A153C2" w:rsidP="00A153C2" w:rsidRDefault="00A153C2" w14:paraId="108AD7BF" w14:textId="77777777">
            <w:pPr>
              <w:widowControl w:val="0"/>
              <w:autoSpaceDE w:val="0"/>
              <w:autoSpaceDN w:val="0"/>
              <w:adjustRightInd w:val="0"/>
              <w:spacing w:line="268" w:lineRule="exact"/>
              <w:jc w:val="both"/>
              <w:rPr>
                <w:rFonts w:ascii="Times New Roman" w:hAnsi="Times New Roman" w:cs="Times New Roman"/>
                <w:szCs w:val="22"/>
              </w:rPr>
            </w:pPr>
            <w:r w:rsidRPr="00A153C2">
              <w:rPr>
                <w:rFonts w:ascii="Times New Roman" w:hAnsi="Times New Roman" w:cs="Times New Roman"/>
                <w:szCs w:val="22"/>
              </w:rPr>
              <w:t>90%</w:t>
            </w:r>
          </w:p>
        </w:tc>
        <w:tc>
          <w:tcPr>
            <w:tcW w:w="1796" w:type="dxa"/>
            <w:gridSpan w:val="2"/>
            <w:vAlign w:val="center"/>
          </w:tcPr>
          <w:p w:rsidRPr="00A153C2" w:rsidR="00A153C2" w:rsidP="00A153C2" w:rsidRDefault="00A153C2" w14:paraId="3983665F" w14:textId="77777777">
            <w:pPr>
              <w:widowControl w:val="0"/>
              <w:autoSpaceDE w:val="0"/>
              <w:autoSpaceDN w:val="0"/>
              <w:adjustRightInd w:val="0"/>
              <w:spacing w:line="268" w:lineRule="exact"/>
              <w:jc w:val="both"/>
              <w:rPr>
                <w:rFonts w:ascii="Times New Roman" w:hAnsi="Times New Roman" w:cs="Times New Roman"/>
                <w:szCs w:val="22"/>
              </w:rPr>
            </w:pPr>
            <w:r w:rsidRPr="00A153C2">
              <w:rPr>
                <w:rFonts w:ascii="Times New Roman" w:hAnsi="Times New Roman" w:cs="Times New Roman"/>
                <w:szCs w:val="22"/>
              </w:rPr>
              <w:t>$27.54</w:t>
            </w:r>
          </w:p>
        </w:tc>
        <w:tc>
          <w:tcPr>
            <w:tcW w:w="3870" w:type="dxa"/>
            <w:vAlign w:val="center"/>
          </w:tcPr>
          <w:p w:rsidRPr="00A153C2" w:rsidR="00A153C2" w:rsidP="00A153C2" w:rsidRDefault="00A153C2" w14:paraId="00FB15E5" w14:textId="77777777">
            <w:pPr>
              <w:widowControl w:val="0"/>
              <w:autoSpaceDE w:val="0"/>
              <w:autoSpaceDN w:val="0"/>
              <w:adjustRightInd w:val="0"/>
              <w:spacing w:line="268" w:lineRule="exact"/>
              <w:jc w:val="both"/>
              <w:rPr>
                <w:rFonts w:ascii="Times New Roman" w:hAnsi="Times New Roman" w:cs="Times New Roman"/>
                <w:szCs w:val="22"/>
              </w:rPr>
            </w:pPr>
            <w:r w:rsidRPr="00A153C2">
              <w:rPr>
                <w:rFonts w:ascii="Times New Roman" w:hAnsi="Times New Roman" w:cs="Times New Roman"/>
                <w:szCs w:val="22"/>
              </w:rPr>
              <w:t>$33.00*</w:t>
            </w:r>
          </w:p>
        </w:tc>
      </w:tr>
    </w:tbl>
    <w:p w:rsidRPr="00A153C2" w:rsidR="00A153C2" w:rsidP="00A153C2" w:rsidRDefault="00A153C2" w14:paraId="42EAB4A4" w14:textId="77777777">
      <w:pPr>
        <w:widowControl w:val="0"/>
        <w:autoSpaceDE w:val="0"/>
        <w:autoSpaceDN w:val="0"/>
        <w:adjustRightInd w:val="0"/>
        <w:spacing w:line="268" w:lineRule="exact"/>
        <w:jc w:val="both"/>
        <w:rPr>
          <w:szCs w:val="22"/>
        </w:rPr>
      </w:pPr>
      <w:r w:rsidRPr="00A153C2">
        <w:rPr>
          <w:szCs w:val="22"/>
        </w:rPr>
        <w:t>(*) $32.52 rounded to $33.00</w:t>
      </w:r>
    </w:p>
    <w:p w:rsidRPr="00A153C2" w:rsidR="00A153C2" w:rsidP="00A153C2" w:rsidRDefault="00A153C2" w14:paraId="4120D5B0" w14:textId="77777777">
      <w:pPr>
        <w:widowControl w:val="0"/>
        <w:autoSpaceDE w:val="0"/>
        <w:autoSpaceDN w:val="0"/>
        <w:adjustRightInd w:val="0"/>
        <w:spacing w:line="268" w:lineRule="exact"/>
        <w:jc w:val="both"/>
        <w:rPr>
          <w:szCs w:val="22"/>
        </w:rPr>
      </w:pPr>
    </w:p>
    <w:p w:rsidR="00A153C2" w:rsidP="007070F2" w:rsidRDefault="00A153C2" w14:paraId="23B2A02C" w14:textId="77777777">
      <w:pPr>
        <w:widowControl w:val="0"/>
        <w:autoSpaceDE w:val="0"/>
        <w:autoSpaceDN w:val="0"/>
        <w:adjustRightInd w:val="0"/>
        <w:spacing w:line="268" w:lineRule="exact"/>
        <w:ind w:firstLine="720"/>
        <w:jc w:val="both"/>
        <w:rPr>
          <w:szCs w:val="22"/>
        </w:rPr>
      </w:pPr>
      <w:r w:rsidRPr="00556F7A">
        <w:rPr>
          <w:szCs w:val="22"/>
        </w:rPr>
        <w:t xml:space="preserve">The total estimated </w:t>
      </w:r>
      <w:r w:rsidRPr="00556F7A" w:rsidR="00E6449E">
        <w:rPr>
          <w:szCs w:val="22"/>
        </w:rPr>
        <w:t>cost</w:t>
      </w:r>
      <w:r w:rsidRPr="00556F7A" w:rsidR="00607D07">
        <w:rPr>
          <w:szCs w:val="22"/>
        </w:rPr>
        <w:t xml:space="preserve"> of the traditional annual PRA burden is</w:t>
      </w:r>
      <w:r w:rsidR="00E6449E">
        <w:rPr>
          <w:szCs w:val="22"/>
        </w:rPr>
        <w:t xml:space="preserve"> </w:t>
      </w:r>
      <w:r w:rsidRPr="00A153C2">
        <w:rPr>
          <w:szCs w:val="22"/>
        </w:rPr>
        <w:t>$3,880,107</w:t>
      </w:r>
      <w:r w:rsidR="00607D07">
        <w:rPr>
          <w:szCs w:val="22"/>
        </w:rPr>
        <w:t>, as set out below:</w:t>
      </w:r>
    </w:p>
    <w:p w:rsidRPr="00A153C2" w:rsidR="00D41E88" w:rsidP="007070F2" w:rsidRDefault="00D41E88" w14:paraId="16B78CA8" w14:textId="77777777">
      <w:pPr>
        <w:widowControl w:val="0"/>
        <w:autoSpaceDE w:val="0"/>
        <w:autoSpaceDN w:val="0"/>
        <w:adjustRightInd w:val="0"/>
        <w:spacing w:line="268" w:lineRule="exact"/>
        <w:ind w:firstLine="720"/>
        <w:jc w:val="both"/>
        <w:rPr>
          <w:szCs w:val="22"/>
        </w:rPr>
      </w:pPr>
    </w:p>
    <w:tbl>
      <w:tblPr>
        <w:tblStyle w:val="TableGrid"/>
        <w:tblW w:w="9540" w:type="dxa"/>
        <w:tblInd w:w="-5" w:type="dxa"/>
        <w:tblLook w:val="04A0" w:firstRow="1" w:lastRow="0" w:firstColumn="1" w:lastColumn="0" w:noHBand="0" w:noVBand="1"/>
      </w:tblPr>
      <w:tblGrid>
        <w:gridCol w:w="3493"/>
        <w:gridCol w:w="2248"/>
        <w:gridCol w:w="1915"/>
        <w:gridCol w:w="1884"/>
      </w:tblGrid>
      <w:tr w:rsidRPr="00A153C2" w:rsidR="00A153C2" w:rsidTr="00747626" w14:paraId="613EE0CC" w14:textId="77777777">
        <w:trPr>
          <w:tblHeader/>
        </w:trPr>
        <w:tc>
          <w:tcPr>
            <w:tcW w:w="3493" w:type="dxa"/>
            <w:vAlign w:val="center"/>
          </w:tcPr>
          <w:p w:rsidRPr="00A153C2" w:rsidR="00A153C2" w:rsidP="00A153C2" w:rsidRDefault="00DC351A" w14:paraId="1A9BC640" w14:textId="77777777">
            <w:pPr>
              <w:widowControl w:val="0"/>
              <w:autoSpaceDE w:val="0"/>
              <w:autoSpaceDN w:val="0"/>
              <w:adjustRightInd w:val="0"/>
              <w:spacing w:line="268" w:lineRule="exact"/>
              <w:jc w:val="both"/>
              <w:rPr>
                <w:rFonts w:ascii="Times New Roman" w:hAnsi="Times New Roman" w:cs="Times New Roman"/>
                <w:b/>
                <w:szCs w:val="22"/>
              </w:rPr>
            </w:pPr>
            <w:r>
              <w:rPr>
                <w:rFonts w:ascii="Times New Roman" w:hAnsi="Times New Roman" w:cs="Times New Roman"/>
                <w:b/>
                <w:szCs w:val="22"/>
              </w:rPr>
              <w:t>OMB Control Number</w:t>
            </w:r>
          </w:p>
        </w:tc>
        <w:tc>
          <w:tcPr>
            <w:tcW w:w="2248" w:type="dxa"/>
          </w:tcPr>
          <w:p w:rsidRPr="00A153C2" w:rsidR="00A153C2" w:rsidP="00A153C2" w:rsidRDefault="00A153C2" w14:paraId="65114816" w14:textId="77777777">
            <w:pPr>
              <w:widowControl w:val="0"/>
              <w:autoSpaceDE w:val="0"/>
              <w:autoSpaceDN w:val="0"/>
              <w:adjustRightInd w:val="0"/>
              <w:spacing w:line="268" w:lineRule="exact"/>
              <w:jc w:val="both"/>
              <w:rPr>
                <w:rFonts w:ascii="Times New Roman" w:hAnsi="Times New Roman" w:cs="Times New Roman"/>
                <w:b/>
                <w:szCs w:val="22"/>
              </w:rPr>
            </w:pPr>
            <w:r w:rsidRPr="00A153C2">
              <w:rPr>
                <w:rFonts w:ascii="Times New Roman" w:hAnsi="Times New Roman" w:cs="Times New Roman"/>
                <w:b/>
                <w:szCs w:val="22"/>
              </w:rPr>
              <w:t xml:space="preserve">Hourly Burden </w:t>
            </w:r>
          </w:p>
        </w:tc>
        <w:tc>
          <w:tcPr>
            <w:tcW w:w="1915" w:type="dxa"/>
            <w:vAlign w:val="center"/>
          </w:tcPr>
          <w:p w:rsidRPr="00A153C2" w:rsidR="00A153C2" w:rsidP="00A153C2" w:rsidRDefault="00A153C2" w14:paraId="63074EBB" w14:textId="77777777">
            <w:pPr>
              <w:widowControl w:val="0"/>
              <w:autoSpaceDE w:val="0"/>
              <w:autoSpaceDN w:val="0"/>
              <w:adjustRightInd w:val="0"/>
              <w:spacing w:line="268" w:lineRule="exact"/>
              <w:jc w:val="both"/>
              <w:rPr>
                <w:rFonts w:ascii="Times New Roman" w:hAnsi="Times New Roman" w:cs="Times New Roman"/>
                <w:b/>
                <w:szCs w:val="22"/>
              </w:rPr>
            </w:pPr>
            <w:r w:rsidRPr="00A153C2">
              <w:rPr>
                <w:rFonts w:ascii="Times New Roman" w:hAnsi="Times New Roman" w:cs="Times New Roman"/>
                <w:b/>
                <w:szCs w:val="22"/>
              </w:rPr>
              <w:t>Hourly Cost</w:t>
            </w:r>
          </w:p>
        </w:tc>
        <w:tc>
          <w:tcPr>
            <w:tcW w:w="1884" w:type="dxa"/>
            <w:vAlign w:val="center"/>
          </w:tcPr>
          <w:p w:rsidRPr="00A153C2" w:rsidR="00A153C2" w:rsidP="00A153C2" w:rsidRDefault="00A153C2" w14:paraId="2A643480" w14:textId="77777777">
            <w:pPr>
              <w:widowControl w:val="0"/>
              <w:autoSpaceDE w:val="0"/>
              <w:autoSpaceDN w:val="0"/>
              <w:adjustRightInd w:val="0"/>
              <w:spacing w:line="268" w:lineRule="exact"/>
              <w:jc w:val="both"/>
              <w:rPr>
                <w:rFonts w:ascii="Times New Roman" w:hAnsi="Times New Roman" w:cs="Times New Roman"/>
                <w:b/>
                <w:szCs w:val="22"/>
              </w:rPr>
            </w:pPr>
            <w:r w:rsidRPr="00A153C2">
              <w:rPr>
                <w:rFonts w:ascii="Times New Roman" w:hAnsi="Times New Roman" w:cs="Times New Roman"/>
                <w:b/>
                <w:szCs w:val="22"/>
              </w:rPr>
              <w:t>Total Cost</w:t>
            </w:r>
          </w:p>
        </w:tc>
      </w:tr>
      <w:tr w:rsidRPr="00A153C2" w:rsidR="00A153C2" w:rsidTr="00747626" w14:paraId="46CA65F5" w14:textId="77777777">
        <w:trPr>
          <w:trHeight w:val="339"/>
        </w:trPr>
        <w:tc>
          <w:tcPr>
            <w:tcW w:w="3493" w:type="dxa"/>
            <w:vAlign w:val="center"/>
          </w:tcPr>
          <w:p w:rsidRPr="00A153C2" w:rsidR="00A153C2" w:rsidP="007070F2" w:rsidRDefault="00DC351A" w14:paraId="4442EB32" w14:textId="77777777">
            <w:pPr>
              <w:widowControl w:val="0"/>
              <w:autoSpaceDE w:val="0"/>
              <w:autoSpaceDN w:val="0"/>
              <w:adjustRightInd w:val="0"/>
              <w:spacing w:line="268" w:lineRule="exact"/>
              <w:jc w:val="both"/>
              <w:rPr>
                <w:rFonts w:ascii="Times New Roman" w:hAnsi="Times New Roman" w:cs="Times New Roman"/>
                <w:szCs w:val="22"/>
              </w:rPr>
            </w:pPr>
            <w:r>
              <w:rPr>
                <w:rFonts w:ascii="Times New Roman" w:hAnsi="Times New Roman" w:cs="Times New Roman"/>
                <w:szCs w:val="22"/>
              </w:rPr>
              <w:t>1506-005</w:t>
            </w:r>
            <w:r w:rsidR="00607D07">
              <w:rPr>
                <w:rFonts w:ascii="Times New Roman" w:hAnsi="Times New Roman" w:cs="Times New Roman"/>
                <w:szCs w:val="22"/>
              </w:rPr>
              <w:t>7</w:t>
            </w:r>
          </w:p>
        </w:tc>
        <w:tc>
          <w:tcPr>
            <w:tcW w:w="2248" w:type="dxa"/>
            <w:vAlign w:val="center"/>
          </w:tcPr>
          <w:p w:rsidRPr="00A153C2" w:rsidR="00A153C2" w:rsidP="00AF2365" w:rsidRDefault="00A153C2" w14:paraId="5645A505" w14:textId="77777777">
            <w:pPr>
              <w:widowControl w:val="0"/>
              <w:autoSpaceDE w:val="0"/>
              <w:autoSpaceDN w:val="0"/>
              <w:adjustRightInd w:val="0"/>
              <w:spacing w:line="268" w:lineRule="exact"/>
              <w:jc w:val="both"/>
              <w:rPr>
                <w:rFonts w:ascii="Times New Roman" w:hAnsi="Times New Roman" w:cs="Times New Roman"/>
                <w:szCs w:val="22"/>
              </w:rPr>
            </w:pPr>
            <w:r w:rsidRPr="00A153C2">
              <w:rPr>
                <w:rFonts w:ascii="Times New Roman" w:hAnsi="Times New Roman" w:cs="Times New Roman"/>
                <w:szCs w:val="22"/>
              </w:rPr>
              <w:t>117,579</w:t>
            </w:r>
          </w:p>
        </w:tc>
        <w:tc>
          <w:tcPr>
            <w:tcW w:w="1915" w:type="dxa"/>
            <w:vAlign w:val="center"/>
          </w:tcPr>
          <w:p w:rsidRPr="00A153C2" w:rsidR="00A153C2" w:rsidP="00AF2365" w:rsidRDefault="00A153C2" w14:paraId="48D89213" w14:textId="77777777">
            <w:pPr>
              <w:widowControl w:val="0"/>
              <w:autoSpaceDE w:val="0"/>
              <w:autoSpaceDN w:val="0"/>
              <w:adjustRightInd w:val="0"/>
              <w:spacing w:line="268" w:lineRule="exact"/>
              <w:jc w:val="both"/>
              <w:rPr>
                <w:rFonts w:ascii="Times New Roman" w:hAnsi="Times New Roman" w:cs="Times New Roman"/>
                <w:szCs w:val="22"/>
              </w:rPr>
            </w:pPr>
            <w:r w:rsidRPr="00A153C2">
              <w:rPr>
                <w:rFonts w:ascii="Times New Roman" w:hAnsi="Times New Roman" w:cs="Times New Roman"/>
                <w:szCs w:val="22"/>
              </w:rPr>
              <w:t>$33</w:t>
            </w:r>
          </w:p>
        </w:tc>
        <w:tc>
          <w:tcPr>
            <w:tcW w:w="1884" w:type="dxa"/>
            <w:vAlign w:val="center"/>
          </w:tcPr>
          <w:p w:rsidRPr="00A153C2" w:rsidR="00A153C2" w:rsidP="00A153C2" w:rsidRDefault="00A153C2" w14:paraId="3768B3E7" w14:textId="77777777">
            <w:pPr>
              <w:widowControl w:val="0"/>
              <w:autoSpaceDE w:val="0"/>
              <w:autoSpaceDN w:val="0"/>
              <w:adjustRightInd w:val="0"/>
              <w:spacing w:line="268" w:lineRule="exact"/>
              <w:jc w:val="both"/>
              <w:rPr>
                <w:rFonts w:ascii="Times New Roman" w:hAnsi="Times New Roman" w:cs="Times New Roman"/>
                <w:szCs w:val="22"/>
              </w:rPr>
            </w:pPr>
            <w:r w:rsidRPr="00A153C2">
              <w:rPr>
                <w:rFonts w:ascii="Times New Roman" w:hAnsi="Times New Roman" w:cs="Times New Roman"/>
                <w:szCs w:val="22"/>
              </w:rPr>
              <w:t>$3,880,107</w:t>
            </w:r>
          </w:p>
        </w:tc>
      </w:tr>
    </w:tbl>
    <w:p w:rsidRPr="00A153C2" w:rsidR="00A153C2" w:rsidP="00A153C2" w:rsidRDefault="00A153C2" w14:paraId="5DB634F4" w14:textId="77777777">
      <w:pPr>
        <w:widowControl w:val="0"/>
        <w:autoSpaceDE w:val="0"/>
        <w:autoSpaceDN w:val="0"/>
        <w:adjustRightInd w:val="0"/>
        <w:spacing w:line="268" w:lineRule="exact"/>
        <w:jc w:val="both"/>
        <w:rPr>
          <w:b/>
          <w:szCs w:val="22"/>
        </w:rPr>
      </w:pPr>
    </w:p>
    <w:p w:rsidR="00125BE6" w:rsidP="00125BE6" w:rsidRDefault="00125BE6" w14:paraId="321A6363" w14:textId="77777777">
      <w:pPr>
        <w:ind w:left="720"/>
        <w:rPr>
          <w:iCs/>
        </w:rPr>
      </w:pPr>
      <w:r w:rsidRPr="006D6DCF">
        <w:rPr>
          <w:iCs/>
        </w:rPr>
        <w:t>There are no non-labor costs associated with this collection of information.</w:t>
      </w:r>
    </w:p>
    <w:p w:rsidRPr="00AA6051" w:rsidR="009829C3" w:rsidP="009829C3" w:rsidRDefault="009829C3" w14:paraId="39639246" w14:textId="77777777">
      <w:pPr>
        <w:rPr>
          <w:szCs w:val="22"/>
        </w:rPr>
      </w:pPr>
    </w:p>
    <w:p w:rsidRPr="00AA6051" w:rsidR="00643252" w:rsidP="009829C3" w:rsidRDefault="00643252" w14:paraId="3BEF61F2" w14:textId="77777777">
      <w:pPr>
        <w:rPr>
          <w:szCs w:val="22"/>
        </w:rPr>
      </w:pPr>
      <w:r w:rsidRPr="00D700D9">
        <w:rPr>
          <w:szCs w:val="22"/>
        </w:rPr>
        <w:t xml:space="preserve">14. </w:t>
      </w:r>
      <w:r w:rsidRPr="00D700D9">
        <w:rPr>
          <w:szCs w:val="22"/>
          <w:u w:val="single"/>
        </w:rPr>
        <w:t>Estima</w:t>
      </w:r>
      <w:r w:rsidRPr="00D700D9" w:rsidR="00D8554E">
        <w:rPr>
          <w:szCs w:val="22"/>
          <w:u w:val="single"/>
        </w:rPr>
        <w:t>ted annual cost to the Federal g</w:t>
      </w:r>
      <w:r w:rsidRPr="00D700D9">
        <w:rPr>
          <w:szCs w:val="22"/>
          <w:u w:val="single"/>
        </w:rPr>
        <w:t>overnment.</w:t>
      </w:r>
      <w:r w:rsidRPr="00AA6051">
        <w:rPr>
          <w:szCs w:val="22"/>
        </w:rPr>
        <w:t xml:space="preserve"> </w:t>
      </w:r>
    </w:p>
    <w:p w:rsidRPr="00AA6051" w:rsidR="009829C3" w:rsidP="009829C3" w:rsidRDefault="009829C3" w14:paraId="698D4492" w14:textId="77777777">
      <w:pPr>
        <w:ind w:firstLine="720"/>
      </w:pPr>
    </w:p>
    <w:p w:rsidRPr="00C34A34" w:rsidR="00C34A34" w:rsidP="00C34A34" w:rsidRDefault="00125BE6" w14:paraId="6B8C9610" w14:textId="77777777">
      <w:pPr>
        <w:ind w:firstLine="720"/>
      </w:pPr>
      <w:r w:rsidRPr="00125BE6">
        <w:t>There is no cost to the Federal government; this is a recordkeeping requirement only</w:t>
      </w:r>
      <w:r w:rsidR="00136C99">
        <w:t>.</w:t>
      </w:r>
    </w:p>
    <w:p w:rsidR="009829C3" w:rsidP="009829C3" w:rsidRDefault="009829C3" w14:paraId="0B65DBC7" w14:textId="3F05DFC4">
      <w:pPr>
        <w:ind w:firstLine="720"/>
      </w:pPr>
    </w:p>
    <w:p w:rsidR="007E2506" w:rsidP="009829C3" w:rsidRDefault="007E2506" w14:paraId="5F6632C0" w14:textId="43930916">
      <w:pPr>
        <w:ind w:firstLine="720"/>
      </w:pPr>
    </w:p>
    <w:p w:rsidRPr="00AA6051" w:rsidR="007E2506" w:rsidP="009829C3" w:rsidRDefault="007E2506" w14:paraId="7AD06043" w14:textId="77777777">
      <w:pPr>
        <w:ind w:firstLine="720"/>
      </w:pPr>
    </w:p>
    <w:p w:rsidRPr="00AA6051" w:rsidR="00643252" w:rsidP="009829C3" w:rsidRDefault="00643252" w14:paraId="5DAD0D6D" w14:textId="77777777">
      <w:pPr>
        <w:rPr>
          <w:szCs w:val="22"/>
        </w:rPr>
      </w:pPr>
      <w:r w:rsidRPr="00AA6051">
        <w:rPr>
          <w:szCs w:val="22"/>
        </w:rPr>
        <w:lastRenderedPageBreak/>
        <w:t xml:space="preserve">15. </w:t>
      </w:r>
      <w:r w:rsidRPr="00AA6051" w:rsidR="00D8554E">
        <w:rPr>
          <w:szCs w:val="22"/>
          <w:u w:val="single"/>
        </w:rPr>
        <w:t>Reason for change in b</w:t>
      </w:r>
      <w:r w:rsidRPr="00AA6051">
        <w:rPr>
          <w:szCs w:val="22"/>
          <w:u w:val="single"/>
        </w:rPr>
        <w:t>urden.</w:t>
      </w:r>
      <w:r w:rsidRPr="00AA6051">
        <w:rPr>
          <w:szCs w:val="22"/>
        </w:rPr>
        <w:t xml:space="preserve"> </w:t>
      </w:r>
    </w:p>
    <w:p w:rsidRPr="00AA6051" w:rsidR="00F2243A" w:rsidP="009829C3" w:rsidRDefault="00553D43" w14:paraId="52E8E7E9" w14:textId="77777777">
      <w:pPr>
        <w:pStyle w:val="CommentText"/>
        <w:rPr>
          <w:szCs w:val="22"/>
        </w:rPr>
      </w:pPr>
      <w:r w:rsidRPr="00AA6051">
        <w:rPr>
          <w:szCs w:val="22"/>
        </w:rPr>
        <w:t xml:space="preserve"> </w:t>
      </w:r>
      <w:r w:rsidRPr="00AA6051">
        <w:rPr>
          <w:szCs w:val="22"/>
        </w:rPr>
        <w:tab/>
      </w:r>
    </w:p>
    <w:p w:rsidRPr="00AA6051" w:rsidR="00643252" w:rsidP="00803C63" w:rsidRDefault="00803C63" w14:paraId="4C15C344" w14:textId="77777777">
      <w:pPr>
        <w:widowControl w:val="0"/>
        <w:ind w:firstLine="720"/>
        <w:rPr>
          <w:snapToGrid w:val="0"/>
        </w:rPr>
      </w:pPr>
      <w:r w:rsidRPr="00AA6051">
        <w:rPr>
          <w:snapToGrid w:val="0"/>
        </w:rPr>
        <w:t xml:space="preserve">The </w:t>
      </w:r>
      <w:r w:rsidRPr="00AA6051" w:rsidR="005C739E">
        <w:rPr>
          <w:snapToGrid w:val="0"/>
        </w:rPr>
        <w:t xml:space="preserve">estimated </w:t>
      </w:r>
      <w:r w:rsidRPr="00AA6051">
        <w:rPr>
          <w:snapToGrid w:val="0"/>
        </w:rPr>
        <w:t xml:space="preserve">total annual burden hours decreased </w:t>
      </w:r>
      <w:r w:rsidR="00B032D1">
        <w:rPr>
          <w:snapToGrid w:val="0"/>
        </w:rPr>
        <w:t>by 339,17</w:t>
      </w:r>
      <w:r w:rsidR="00391B7A">
        <w:rPr>
          <w:snapToGrid w:val="0"/>
        </w:rPr>
        <w:t>1</w:t>
      </w:r>
      <w:r w:rsidR="00B032D1">
        <w:rPr>
          <w:snapToGrid w:val="0"/>
        </w:rPr>
        <w:t xml:space="preserve"> </w:t>
      </w:r>
      <w:r w:rsidR="00391B7A">
        <w:rPr>
          <w:snapToGrid w:val="0"/>
        </w:rPr>
        <w:t xml:space="preserve">hours </w:t>
      </w:r>
      <w:r w:rsidR="00B032D1">
        <w:rPr>
          <w:snapToGrid w:val="0"/>
        </w:rPr>
        <w:t>from 456,750 hours in 2017</w:t>
      </w:r>
      <w:r w:rsidR="00C9357B">
        <w:rPr>
          <w:snapToGrid w:val="0"/>
        </w:rPr>
        <w:t xml:space="preserve"> </w:t>
      </w:r>
      <w:r w:rsidR="00B032D1">
        <w:rPr>
          <w:snapToGrid w:val="0"/>
        </w:rPr>
        <w:t>to 117,57</w:t>
      </w:r>
      <w:r w:rsidR="00391B7A">
        <w:rPr>
          <w:snapToGrid w:val="0"/>
        </w:rPr>
        <w:t>9</w:t>
      </w:r>
      <w:r w:rsidR="00B032D1">
        <w:rPr>
          <w:snapToGrid w:val="0"/>
        </w:rPr>
        <w:t xml:space="preserve"> </w:t>
      </w:r>
      <w:r w:rsidR="00F82FD9">
        <w:rPr>
          <w:snapToGrid w:val="0"/>
        </w:rPr>
        <w:t>hours in</w:t>
      </w:r>
      <w:r w:rsidR="00B032D1">
        <w:rPr>
          <w:snapToGrid w:val="0"/>
        </w:rPr>
        <w:t xml:space="preserve"> 2020</w:t>
      </w:r>
      <w:r w:rsidR="00391B7A">
        <w:rPr>
          <w:snapToGrid w:val="0"/>
        </w:rPr>
        <w:t>,</w:t>
      </w:r>
      <w:r w:rsidRPr="00B032D1" w:rsidR="00B032D1">
        <w:t xml:space="preserve"> </w:t>
      </w:r>
      <w:r w:rsidRPr="00B032D1" w:rsidR="00B032D1">
        <w:rPr>
          <w:snapToGrid w:val="0"/>
        </w:rPr>
        <w:t xml:space="preserve">although the annual hourly burden estimates </w:t>
      </w:r>
      <w:r w:rsidR="00391B7A">
        <w:rPr>
          <w:snapToGrid w:val="0"/>
        </w:rPr>
        <w:t xml:space="preserve">(7.5 hours) </w:t>
      </w:r>
      <w:r w:rsidRPr="00B032D1" w:rsidR="00B032D1">
        <w:rPr>
          <w:snapToGrid w:val="0"/>
        </w:rPr>
        <w:t>per regulatory requirement remained the same as in 2017</w:t>
      </w:r>
      <w:r w:rsidRPr="00AA6051">
        <w:rPr>
          <w:snapToGrid w:val="0"/>
        </w:rPr>
        <w:t xml:space="preserve">. </w:t>
      </w:r>
      <w:r w:rsidRPr="00F82FD9" w:rsidR="00F82FD9">
        <w:rPr>
          <w:snapToGrid w:val="0"/>
        </w:rPr>
        <w:t xml:space="preserve">The reduction in burden is a result of a decrease in the number of </w:t>
      </w:r>
      <w:r w:rsidR="00ED0358">
        <w:rPr>
          <w:snapToGrid w:val="0"/>
        </w:rPr>
        <w:t>respondents</w:t>
      </w:r>
      <w:r w:rsidRPr="00F82FD9" w:rsidR="00F82FD9">
        <w:rPr>
          <w:snapToGrid w:val="0"/>
        </w:rPr>
        <w:t xml:space="preserve"> from </w:t>
      </w:r>
      <w:r w:rsidR="00F82FD9">
        <w:rPr>
          <w:snapToGrid w:val="0"/>
        </w:rPr>
        <w:t>60,900</w:t>
      </w:r>
      <w:r w:rsidRPr="00F82FD9" w:rsidR="00F82FD9">
        <w:rPr>
          <w:snapToGrid w:val="0"/>
        </w:rPr>
        <w:t xml:space="preserve"> in 2017 to </w:t>
      </w:r>
      <w:r w:rsidR="00F82FD9">
        <w:rPr>
          <w:snapToGrid w:val="0"/>
        </w:rPr>
        <w:t>15,677</w:t>
      </w:r>
      <w:r w:rsidRPr="00F82FD9" w:rsidR="00F82FD9">
        <w:rPr>
          <w:snapToGrid w:val="0"/>
        </w:rPr>
        <w:t xml:space="preserve"> in 2020</w:t>
      </w:r>
      <w:r w:rsidR="00391B7A">
        <w:rPr>
          <w:snapToGrid w:val="0"/>
        </w:rPr>
        <w:t>,</w:t>
      </w:r>
      <w:r w:rsidR="00ED0358">
        <w:rPr>
          <w:snapToGrid w:val="0"/>
        </w:rPr>
        <w:t xml:space="preserve"> </w:t>
      </w:r>
      <w:r w:rsidRPr="00ED0358" w:rsidR="00ED0358">
        <w:rPr>
          <w:snapToGrid w:val="0"/>
        </w:rPr>
        <w:t xml:space="preserve">based on </w:t>
      </w:r>
      <w:r w:rsidR="00ED0358">
        <w:rPr>
          <w:snapToGrid w:val="0"/>
        </w:rPr>
        <w:t>additional</w:t>
      </w:r>
      <w:r w:rsidRPr="00ED0358" w:rsidR="00ED0358">
        <w:rPr>
          <w:snapToGrid w:val="0"/>
        </w:rPr>
        <w:t xml:space="preserve"> </w:t>
      </w:r>
      <w:r w:rsidR="00D05303">
        <w:rPr>
          <w:snapToGrid w:val="0"/>
        </w:rPr>
        <w:t xml:space="preserve">FinCEN </w:t>
      </w:r>
      <w:r w:rsidRPr="00ED0358" w:rsidR="00ED0358">
        <w:rPr>
          <w:snapToGrid w:val="0"/>
        </w:rPr>
        <w:t>analysis</w:t>
      </w:r>
      <w:r w:rsidR="00391B7A">
        <w:rPr>
          <w:snapToGrid w:val="0"/>
        </w:rPr>
        <w:t xml:space="preserve"> </w:t>
      </w:r>
      <w:r w:rsidRPr="00D41E88" w:rsidR="00A203A4">
        <w:rPr>
          <w:snapToGrid w:val="0"/>
        </w:rPr>
        <w:t xml:space="preserve">which concluded </w:t>
      </w:r>
      <w:r w:rsidRPr="00D41E88" w:rsidR="00D05303">
        <w:rPr>
          <w:snapToGrid w:val="0"/>
        </w:rPr>
        <w:t xml:space="preserve">that fewer </w:t>
      </w:r>
      <w:r w:rsidRPr="00D41E88" w:rsidR="00ED0358">
        <w:rPr>
          <w:snapToGrid w:val="0"/>
        </w:rPr>
        <w:t>financial institutions</w:t>
      </w:r>
      <w:r w:rsidR="00ED0358">
        <w:rPr>
          <w:snapToGrid w:val="0"/>
        </w:rPr>
        <w:t xml:space="preserve"> </w:t>
      </w:r>
      <w:r w:rsidR="00D05303">
        <w:rPr>
          <w:snapToGrid w:val="0"/>
        </w:rPr>
        <w:t xml:space="preserve">were affected </w:t>
      </w:r>
      <w:r w:rsidRPr="00ED0358" w:rsidR="00ED0358">
        <w:rPr>
          <w:snapToGrid w:val="0"/>
        </w:rPr>
        <w:t>by the requirement</w:t>
      </w:r>
      <w:r w:rsidR="00ED0358">
        <w:rPr>
          <w:snapToGrid w:val="0"/>
        </w:rPr>
        <w:t>s.</w:t>
      </w:r>
      <w:r w:rsidRPr="00F82FD9" w:rsidR="00F82FD9">
        <w:rPr>
          <w:snapToGrid w:val="0"/>
        </w:rPr>
        <w:t xml:space="preserve"> </w:t>
      </w:r>
    </w:p>
    <w:p w:rsidRPr="00AA6051" w:rsidR="009829C3" w:rsidP="009829C3" w:rsidRDefault="009829C3" w14:paraId="79F0D793" w14:textId="77777777">
      <w:pPr>
        <w:pStyle w:val="CommentText"/>
        <w:ind w:firstLine="720"/>
        <w:rPr>
          <w:sz w:val="24"/>
          <w:szCs w:val="24"/>
        </w:rPr>
      </w:pPr>
    </w:p>
    <w:p w:rsidRPr="00A16AFB" w:rsidR="00D8554E" w:rsidP="009829C3" w:rsidRDefault="00D8554E" w14:paraId="278B145F" w14:textId="77777777">
      <w:pPr>
        <w:rPr>
          <w:szCs w:val="22"/>
        </w:rPr>
      </w:pPr>
      <w:r w:rsidRPr="00A16AFB">
        <w:rPr>
          <w:szCs w:val="22"/>
        </w:rPr>
        <w:t xml:space="preserve">16. </w:t>
      </w:r>
      <w:r w:rsidRPr="00A16AFB">
        <w:rPr>
          <w:szCs w:val="22"/>
          <w:u w:val="single"/>
        </w:rPr>
        <w:t>Plans for tabulation, statistical analysis, and publication.</w:t>
      </w:r>
    </w:p>
    <w:p w:rsidRPr="00A16AFB" w:rsidR="009829C3" w:rsidP="009829C3" w:rsidRDefault="009829C3" w14:paraId="1D993EA1" w14:textId="77777777">
      <w:pPr>
        <w:ind w:firstLine="720"/>
      </w:pPr>
    </w:p>
    <w:p w:rsidRPr="00AA6051" w:rsidR="00D8554E" w:rsidP="009829C3" w:rsidRDefault="00D8554E" w14:paraId="1B047038" w14:textId="77777777">
      <w:pPr>
        <w:ind w:firstLine="720"/>
        <w:rPr>
          <w:szCs w:val="22"/>
        </w:rPr>
      </w:pPr>
      <w:r w:rsidRPr="00A16AFB">
        <w:t>This collection of information will not be published.</w:t>
      </w:r>
      <w:r w:rsidRPr="00AA6051">
        <w:rPr>
          <w:szCs w:val="22"/>
        </w:rPr>
        <w:t xml:space="preserve"> </w:t>
      </w:r>
    </w:p>
    <w:p w:rsidRPr="00AA6051" w:rsidR="009829C3" w:rsidP="009829C3" w:rsidRDefault="009829C3" w14:paraId="1451E3FF" w14:textId="77777777">
      <w:pPr>
        <w:ind w:firstLine="720"/>
        <w:rPr>
          <w:szCs w:val="22"/>
        </w:rPr>
      </w:pPr>
    </w:p>
    <w:p w:rsidRPr="00D700D9" w:rsidR="00D8554E" w:rsidP="009829C3" w:rsidRDefault="00D8554E" w14:paraId="24A46456" w14:textId="77777777">
      <w:pPr>
        <w:rPr>
          <w:szCs w:val="22"/>
          <w:highlight w:val="lightGray"/>
        </w:rPr>
      </w:pPr>
      <w:r w:rsidRPr="00CA04F1">
        <w:rPr>
          <w:szCs w:val="22"/>
        </w:rPr>
        <w:t xml:space="preserve">17. </w:t>
      </w:r>
      <w:r w:rsidRPr="00CA04F1">
        <w:rPr>
          <w:u w:val="single"/>
        </w:rPr>
        <w:t>Request not to display the expiration date of the OMB control number.</w:t>
      </w:r>
    </w:p>
    <w:p w:rsidRPr="00D700D9" w:rsidR="009829C3" w:rsidP="009829C3" w:rsidRDefault="009829C3" w14:paraId="51AA01A5" w14:textId="77777777">
      <w:pPr>
        <w:ind w:firstLine="720"/>
        <w:rPr>
          <w:szCs w:val="22"/>
          <w:highlight w:val="lightGray"/>
        </w:rPr>
      </w:pPr>
    </w:p>
    <w:p w:rsidR="00607D07" w:rsidP="00607D07" w:rsidRDefault="00607D07" w14:paraId="020DFEF2" w14:textId="77777777">
      <w:pPr>
        <w:ind w:firstLine="720"/>
        <w:rPr>
          <w:szCs w:val="22"/>
        </w:rPr>
      </w:pPr>
      <w:r>
        <w:rPr>
          <w:szCs w:val="22"/>
        </w:rPr>
        <w:t xml:space="preserve">FinCEN requests that it not be required to display the expiration date so that the regulations will not have to be amended for the new expiration date every three years.  </w:t>
      </w:r>
    </w:p>
    <w:p w:rsidRPr="00AA6051" w:rsidR="00D8554E" w:rsidP="009829C3" w:rsidRDefault="00D8554E" w14:paraId="6DFA41E2" w14:textId="77777777">
      <w:pPr>
        <w:rPr>
          <w:szCs w:val="22"/>
        </w:rPr>
      </w:pPr>
    </w:p>
    <w:p w:rsidRPr="00A16AFB" w:rsidR="00D8554E" w:rsidP="009829C3" w:rsidRDefault="00D8554E" w14:paraId="34BE6F3E" w14:textId="77777777">
      <w:pPr>
        <w:widowControl w:val="0"/>
        <w:autoSpaceDE w:val="0"/>
        <w:autoSpaceDN w:val="0"/>
        <w:adjustRightInd w:val="0"/>
        <w:spacing w:line="240" w:lineRule="exact"/>
        <w:ind w:right="220"/>
        <w:jc w:val="both"/>
        <w:rPr>
          <w:szCs w:val="22"/>
          <w:u w:val="single"/>
        </w:rPr>
      </w:pPr>
      <w:r w:rsidRPr="00A16AFB">
        <w:rPr>
          <w:szCs w:val="22"/>
        </w:rPr>
        <w:t xml:space="preserve">18. </w:t>
      </w:r>
      <w:r w:rsidRPr="00A16AFB">
        <w:rPr>
          <w:szCs w:val="22"/>
          <w:u w:val="single"/>
        </w:rPr>
        <w:t>Exceptions to the certification statement.</w:t>
      </w:r>
    </w:p>
    <w:p w:rsidRPr="00A16AFB" w:rsidR="00D8554E" w:rsidP="009829C3" w:rsidRDefault="00D8554E" w14:paraId="08BE7CE9" w14:textId="77777777">
      <w:pPr>
        <w:widowControl w:val="0"/>
        <w:autoSpaceDE w:val="0"/>
        <w:autoSpaceDN w:val="0"/>
        <w:adjustRightInd w:val="0"/>
        <w:spacing w:line="240" w:lineRule="exact"/>
        <w:ind w:right="220"/>
        <w:jc w:val="both"/>
        <w:rPr>
          <w:szCs w:val="22"/>
        </w:rPr>
      </w:pPr>
    </w:p>
    <w:p w:rsidR="00643252" w:rsidP="009D1D5F" w:rsidRDefault="00D8554E" w14:paraId="0ECAB2E4" w14:textId="77777777">
      <w:pPr>
        <w:ind w:firstLine="720"/>
      </w:pPr>
      <w:r w:rsidRPr="00A16AFB">
        <w:rPr>
          <w:szCs w:val="22"/>
        </w:rPr>
        <w:t>There are no exceptions to the certification statement.</w:t>
      </w:r>
    </w:p>
    <w:sectPr w:rsidR="0064325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DEC8A" w14:textId="77777777" w:rsidR="00C634D9" w:rsidRDefault="00C634D9">
      <w:r>
        <w:separator/>
      </w:r>
    </w:p>
  </w:endnote>
  <w:endnote w:type="continuationSeparator" w:id="0">
    <w:p w14:paraId="3A68D399" w14:textId="77777777" w:rsidR="00C634D9" w:rsidRDefault="00C6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270776"/>
      <w:docPartObj>
        <w:docPartGallery w:val="Page Numbers (Bottom of Page)"/>
        <w:docPartUnique/>
      </w:docPartObj>
    </w:sdtPr>
    <w:sdtEndPr>
      <w:rPr>
        <w:noProof/>
      </w:rPr>
    </w:sdtEndPr>
    <w:sdtContent>
      <w:p w14:paraId="7598216F" w14:textId="0055C895" w:rsidR="00622D68" w:rsidRDefault="00622D68">
        <w:pPr>
          <w:pStyle w:val="Footer"/>
          <w:jc w:val="center"/>
        </w:pPr>
        <w:r>
          <w:fldChar w:fldCharType="begin"/>
        </w:r>
        <w:r>
          <w:instrText xml:space="preserve"> PAGE   \* MERGEFORMAT </w:instrText>
        </w:r>
        <w:r>
          <w:fldChar w:fldCharType="separate"/>
        </w:r>
        <w:r w:rsidR="00524358">
          <w:rPr>
            <w:noProof/>
          </w:rPr>
          <w:t>1</w:t>
        </w:r>
        <w:r>
          <w:rPr>
            <w:noProof/>
          </w:rPr>
          <w:fldChar w:fldCharType="end"/>
        </w:r>
      </w:p>
    </w:sdtContent>
  </w:sdt>
  <w:p w14:paraId="6847A585" w14:textId="77777777" w:rsidR="00622D68" w:rsidRDefault="00622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B663F" w14:textId="77777777" w:rsidR="00C634D9" w:rsidRDefault="00C634D9">
      <w:r>
        <w:separator/>
      </w:r>
    </w:p>
  </w:footnote>
  <w:footnote w:type="continuationSeparator" w:id="0">
    <w:p w14:paraId="092F9173" w14:textId="77777777" w:rsidR="00C634D9" w:rsidRDefault="00C634D9">
      <w:r>
        <w:continuationSeparator/>
      </w:r>
    </w:p>
  </w:footnote>
  <w:footnote w:id="1">
    <w:p w14:paraId="1A994B5A" w14:textId="77777777" w:rsidR="00D9645C" w:rsidRPr="00120B54" w:rsidRDefault="00D9645C" w:rsidP="00D9645C">
      <w:pPr>
        <w:pStyle w:val="FootnoteText"/>
      </w:pPr>
      <w:r w:rsidRPr="008B5BD1">
        <w:rPr>
          <w:rStyle w:val="FootnoteReference"/>
        </w:rPr>
        <w:footnoteRef/>
      </w:r>
      <w:r w:rsidRPr="008B5BD1">
        <w:rPr>
          <w:vertAlign w:val="superscript"/>
        </w:rPr>
        <w:t xml:space="preserve"> </w:t>
      </w:r>
      <w:r w:rsidRPr="00120B54">
        <w:t xml:space="preserve">Section 358 of the USA PATRIOT Act added language expanding the scope of the BSA to intelligence or counter-intelligence activities to protect against international terrorism. Section 6101 of </w:t>
      </w:r>
      <w:r w:rsidR="004277FD">
        <w:t>the AML Act</w:t>
      </w:r>
      <w:r w:rsidRPr="00120B54">
        <w:t xml:space="preserve"> added language further expanding the scope of the BSA but did not disturb these longstanding purposes.  </w:t>
      </w:r>
    </w:p>
  </w:footnote>
  <w:footnote w:id="2">
    <w:p w14:paraId="05EC7AA4" w14:textId="77777777" w:rsidR="00D9645C" w:rsidRPr="00120B54" w:rsidRDefault="00D9645C" w:rsidP="00D9645C">
      <w:pPr>
        <w:pStyle w:val="FootnoteText"/>
      </w:pPr>
      <w:r w:rsidRPr="008B5BD1">
        <w:rPr>
          <w:rStyle w:val="FootnoteReference"/>
        </w:rPr>
        <w:footnoteRef/>
      </w:r>
      <w:r w:rsidRPr="00120B54">
        <w:t xml:space="preserve"> Treasury Order 180-01 (re-affirmed Jan. 14, 2020). </w:t>
      </w:r>
    </w:p>
  </w:footnote>
  <w:footnote w:id="3">
    <w:p w14:paraId="5C2988DE" w14:textId="015C7D2E" w:rsidR="008903AF" w:rsidRDefault="008903AF">
      <w:pPr>
        <w:pStyle w:val="FootnoteText"/>
      </w:pPr>
      <w:r>
        <w:rPr>
          <w:rStyle w:val="FootnoteReference"/>
        </w:rPr>
        <w:footnoteRef/>
      </w:r>
      <w:r>
        <w:t xml:space="preserve"> 31 U.S.C. 5325. </w:t>
      </w:r>
    </w:p>
  </w:footnote>
  <w:footnote w:id="4">
    <w:p w14:paraId="40749BB1" w14:textId="77777777" w:rsidR="00AE7EE8" w:rsidRDefault="00AE7EE8">
      <w:pPr>
        <w:pStyle w:val="FootnoteText"/>
      </w:pPr>
      <w:r>
        <w:rPr>
          <w:rStyle w:val="FootnoteReference"/>
        </w:rPr>
        <w:footnoteRef/>
      </w:r>
      <w:r>
        <w:t xml:space="preserve"> </w:t>
      </w:r>
      <w:r w:rsidRPr="00AE7EE8">
        <w:t xml:space="preserve">31 CFR 1010.415. This regulation was originally published in 1990 as 31 CFR 103.29. </w:t>
      </w:r>
      <w:r w:rsidRPr="00AE7EE8">
        <w:rPr>
          <w:i/>
          <w:iCs/>
        </w:rPr>
        <w:t xml:space="preserve">See </w:t>
      </w:r>
      <w:r w:rsidRPr="00AE7EE8">
        <w:t>Amendment to the B</w:t>
      </w:r>
      <w:r w:rsidR="00E87F10">
        <w:t>SA</w:t>
      </w:r>
      <w:r w:rsidRPr="00AE7EE8">
        <w:t xml:space="preserve"> Regulations Relating to Identification Required to Purchase Bank Checks and Drafts, Cashier’s Checks, Money Orders and Traveler’s Checks, 55 FR 20139 (May 15, 1990). It was modified slightly in 1994. </w:t>
      </w:r>
      <w:r w:rsidRPr="00AE7EE8">
        <w:rPr>
          <w:i/>
          <w:iCs/>
        </w:rPr>
        <w:t xml:space="preserve">See </w:t>
      </w:r>
      <w:r w:rsidRPr="00AE7EE8">
        <w:t>Amendments to the B</w:t>
      </w:r>
      <w:r w:rsidR="00E87F10">
        <w:t>SA</w:t>
      </w:r>
      <w:r w:rsidRPr="00AE7EE8">
        <w:t xml:space="preserve"> Regulations Relating to identification Required to Purchase Bank Checks and Drafts, Cashier’s Checks, Money Orders, and Traveler’s Checks, 59 FR 52250 (October 17, 1994).</w:t>
      </w:r>
    </w:p>
  </w:footnote>
  <w:footnote w:id="5">
    <w:p w14:paraId="5485B67B" w14:textId="77777777" w:rsidR="00AE7EE8" w:rsidRDefault="00AE7EE8">
      <w:pPr>
        <w:pStyle w:val="FootnoteText"/>
      </w:pPr>
      <w:r>
        <w:rPr>
          <w:rStyle w:val="FootnoteReference"/>
        </w:rPr>
        <w:footnoteRef/>
      </w:r>
      <w:r>
        <w:t xml:space="preserve"> </w:t>
      </w:r>
      <w:r w:rsidRPr="00AE7EE8">
        <w:t>Verification may be either through a signature card or other file or record at the financial institution provided the deposit accountholder’s name and address were verified previously and that information was recorded on the signature card or other file or record; or by examination of a document which is normally acceptable as a means of identification when cashing checks for nondepositors and which contains the name and address of the purchaser. If the deposit accountholder’s identity has not been verified previously, the financial institution may only verify the deposit accountholder’s identity by examination of a document which is normally acceptable within the banking community as a means of identification when cashing checks for nondepositors and which contains the name and address of the purchaser, and must also record the specific identifying information (e.g., State of issuance and number of driver’s license).</w:t>
      </w:r>
    </w:p>
  </w:footnote>
  <w:footnote w:id="6">
    <w:p w14:paraId="28B67D14" w14:textId="77777777" w:rsidR="00622D68" w:rsidRDefault="00622D68" w:rsidP="00414797">
      <w:pPr>
        <w:pStyle w:val="FootnoteText"/>
      </w:pPr>
      <w:r>
        <w:rPr>
          <w:rStyle w:val="FootnoteReference"/>
        </w:rPr>
        <w:footnoteRef/>
      </w:r>
      <w:r>
        <w:t xml:space="preserve"> </w:t>
      </w:r>
      <w:r w:rsidR="00A83301">
        <w:t>8</w:t>
      </w:r>
      <w:r w:rsidR="007F754A">
        <w:t>6</w:t>
      </w:r>
      <w:r w:rsidR="001A607A">
        <w:t xml:space="preserve"> </w:t>
      </w:r>
      <w:r>
        <w:t xml:space="preserve">FR </w:t>
      </w:r>
      <w:r w:rsidR="007F754A">
        <w:t>6411</w:t>
      </w:r>
      <w:r w:rsidR="00A83301">
        <w:t xml:space="preserve"> </w:t>
      </w:r>
      <w:r>
        <w:t>at</w:t>
      </w:r>
      <w:r w:rsidR="004E042A">
        <w:t xml:space="preserve"> </w:t>
      </w:r>
      <w:hyperlink r:id="rId1" w:history="1">
        <w:r w:rsidR="007070F2" w:rsidRPr="00620822">
          <w:rPr>
            <w:rStyle w:val="Hyperlink"/>
          </w:rPr>
          <w:t>https://www.federalregister.gov/documents/2021/01/21/2021-01187/agency-information-collection-activities-proposed-renewal-comment-request-renewal-without-change-of</w:t>
        </w:r>
      </w:hyperlink>
      <w:r w:rsidR="007070F2">
        <w:t xml:space="preserve">. </w:t>
      </w:r>
      <w:r w:rsidR="00154790">
        <w:t>.</w:t>
      </w:r>
      <w:r w:rsidR="000D2B64">
        <w:t xml:space="preserve"> </w:t>
      </w:r>
    </w:p>
  </w:footnote>
  <w:footnote w:id="7">
    <w:p w14:paraId="7BE92D6C" w14:textId="77777777" w:rsidR="00C6267A" w:rsidRPr="004E448A" w:rsidRDefault="00C6267A" w:rsidP="00C6267A">
      <w:pPr>
        <w:rPr>
          <w:sz w:val="20"/>
          <w:szCs w:val="20"/>
          <w:lang w:val="en-GB"/>
        </w:rPr>
      </w:pPr>
      <w:r w:rsidRPr="00A0413F">
        <w:rPr>
          <w:rStyle w:val="FootnoteReference"/>
          <w:sz w:val="20"/>
          <w:szCs w:val="20"/>
        </w:rPr>
        <w:footnoteRef/>
      </w:r>
      <w:r w:rsidRPr="00A0413F">
        <w:rPr>
          <w:sz w:val="20"/>
          <w:szCs w:val="20"/>
        </w:rPr>
        <w:t xml:space="preserve"> According to the Federal Deposit Insurance Corporation (FDIC) there were 5,103 FDIC-insured banks as of March 31, 2020. According to the Federal Reserve Board (FRB), there were 203 other entities supervised by the FRB, as of June 16, 2020, that fall within the definition of bank (20 Edge Act institutions, 15 agreement corporation</w:t>
      </w:r>
      <w:r>
        <w:rPr>
          <w:sz w:val="20"/>
          <w:szCs w:val="20"/>
        </w:rPr>
        <w:t>s (</w:t>
      </w:r>
      <w:r w:rsidRPr="003C4EDF">
        <w:rPr>
          <w:sz w:val="20"/>
          <w:szCs w:val="20"/>
        </w:rPr>
        <w:t xml:space="preserve">as defined in </w:t>
      </w:r>
      <w:r>
        <w:rPr>
          <w:sz w:val="20"/>
          <w:szCs w:val="20"/>
        </w:rPr>
        <w:t>12 CFR 28.2)</w:t>
      </w:r>
      <w:r w:rsidRPr="00A0413F">
        <w:rPr>
          <w:sz w:val="20"/>
          <w:szCs w:val="20"/>
        </w:rPr>
        <w:t xml:space="preserve"> and 168 foreign banking </w:t>
      </w:r>
      <w:r>
        <w:rPr>
          <w:sz w:val="20"/>
          <w:szCs w:val="20"/>
        </w:rPr>
        <w:t xml:space="preserve">organizations). According </w:t>
      </w:r>
      <w:r w:rsidRPr="00A0413F">
        <w:rPr>
          <w:sz w:val="20"/>
          <w:szCs w:val="20"/>
        </w:rPr>
        <w:t>to the National Credit Union Administration there were 5,236 federally regulated credit unions as of December 31, 2019.</w:t>
      </w:r>
      <w:r>
        <w:rPr>
          <w:sz w:val="20"/>
          <w:szCs w:val="20"/>
        </w:rPr>
        <w:t xml:space="preserve"> A</w:t>
      </w:r>
      <w:r w:rsidRPr="004E448A">
        <w:rPr>
          <w:sz w:val="20"/>
          <w:szCs w:val="20"/>
        </w:rPr>
        <w:t xml:space="preserve">pproximately 297 state-chartered non-depository trust companies, 228 non-federally insured credit unions, 12 non-federally insured state-chartered banks and savings and loan or building and loan associations, 1 private bank, </w:t>
      </w:r>
      <w:r>
        <w:rPr>
          <w:sz w:val="20"/>
          <w:szCs w:val="20"/>
        </w:rPr>
        <w:t xml:space="preserve">52 international financial entities, </w:t>
      </w:r>
      <w:r w:rsidRPr="004E448A">
        <w:rPr>
          <w:sz w:val="20"/>
          <w:szCs w:val="20"/>
        </w:rPr>
        <w:t>and 29 interna</w:t>
      </w:r>
      <w:r>
        <w:rPr>
          <w:sz w:val="20"/>
          <w:szCs w:val="20"/>
        </w:rPr>
        <w:t xml:space="preserve">tional banking entities— all of which are </w:t>
      </w:r>
      <w:r w:rsidRPr="004E448A">
        <w:rPr>
          <w:sz w:val="20"/>
          <w:szCs w:val="20"/>
        </w:rPr>
        <w:t xml:space="preserve">required to </w:t>
      </w:r>
      <w:r w:rsidRPr="00C9357B">
        <w:rPr>
          <w:sz w:val="20"/>
          <w:szCs w:val="20"/>
        </w:rPr>
        <w:t>implement</w:t>
      </w:r>
      <w:r w:rsidR="00033554" w:rsidRPr="00C9357B">
        <w:rPr>
          <w:sz w:val="20"/>
          <w:szCs w:val="20"/>
        </w:rPr>
        <w:t xml:space="preserve"> a</w:t>
      </w:r>
      <w:r w:rsidRPr="00C9357B">
        <w:rPr>
          <w:sz w:val="20"/>
          <w:szCs w:val="20"/>
        </w:rPr>
        <w:t xml:space="preserve"> written</w:t>
      </w:r>
      <w:r w:rsidRPr="004E448A">
        <w:rPr>
          <w:sz w:val="20"/>
          <w:szCs w:val="20"/>
        </w:rPr>
        <w:t xml:space="preserve"> AML progra</w:t>
      </w:r>
      <w:r>
        <w:rPr>
          <w:sz w:val="20"/>
          <w:szCs w:val="20"/>
        </w:rPr>
        <w:t>m as a result of a final rule issued on September 15, 2020 (85 FR 5712</w:t>
      </w:r>
      <w:r w:rsidRPr="0085748A">
        <w:rPr>
          <w:sz w:val="20"/>
          <w:szCs w:val="20"/>
        </w:rPr>
        <w:t>9</w:t>
      </w:r>
      <w:r w:rsidRPr="00536D21">
        <w:rPr>
          <w:sz w:val="20"/>
          <w:szCs w:val="20"/>
        </w:rPr>
        <w:t>)</w:t>
      </w:r>
      <w:r w:rsidRPr="0085748A">
        <w:rPr>
          <w:sz w:val="20"/>
          <w:szCs w:val="20"/>
        </w:rPr>
        <w:t>—</w:t>
      </w:r>
      <w:r w:rsidRPr="00536D21">
        <w:rPr>
          <w:sz w:val="20"/>
          <w:szCs w:val="20"/>
        </w:rPr>
        <w:t>are also required to keep the records described in this notice.</w:t>
      </w:r>
    </w:p>
  </w:footnote>
  <w:footnote w:id="8">
    <w:p w14:paraId="3B807B2D" w14:textId="77777777" w:rsidR="00C6267A" w:rsidRDefault="00C6267A" w:rsidP="00C6267A">
      <w:pPr>
        <w:pStyle w:val="FootnoteText"/>
      </w:pPr>
      <w:r>
        <w:rPr>
          <w:rStyle w:val="FootnoteReference"/>
        </w:rPr>
        <w:footnoteRef/>
      </w:r>
      <w:r>
        <w:t xml:space="preserve"> This number is derived from self-reported information in MSB registrations submitted to FinCEN. </w:t>
      </w:r>
      <w:r>
        <w:rPr>
          <w:lang w:val="en-GB"/>
        </w:rPr>
        <w:t xml:space="preserve">FinCEN’s MSB registration database available at </w:t>
      </w:r>
      <w:hyperlink r:id="rId2" w:history="1">
        <w:r w:rsidRPr="00683558">
          <w:rPr>
            <w:rStyle w:val="Hyperlink"/>
            <w:lang w:val="en-GB"/>
          </w:rPr>
          <w:t>https://www.fincen.gov/msb-state-selector</w:t>
        </w:r>
      </w:hyperlink>
      <w:r>
        <w:rPr>
          <w:lang w:val="en-GB"/>
        </w:rPr>
        <w:t xml:space="preserve">. </w:t>
      </w:r>
    </w:p>
  </w:footnote>
  <w:footnote w:id="9">
    <w:p w14:paraId="4B023966" w14:textId="77777777" w:rsidR="00C6267A" w:rsidRPr="00723869" w:rsidRDefault="00C6267A" w:rsidP="00C6267A">
      <w:pPr>
        <w:pStyle w:val="FootnoteText"/>
        <w:rPr>
          <w:i/>
        </w:rPr>
      </w:pPr>
      <w:r>
        <w:rPr>
          <w:rStyle w:val="FootnoteReference"/>
        </w:rPr>
        <w:footnoteRef/>
      </w:r>
      <w:r>
        <w:t xml:space="preserve"> </w:t>
      </w:r>
      <w:r w:rsidRPr="001A607A">
        <w:rPr>
          <w:lang w:val="en-GB"/>
        </w:rPr>
        <w:t>Id.</w:t>
      </w:r>
    </w:p>
  </w:footnote>
  <w:footnote w:id="10">
    <w:p w14:paraId="2F60E5E8" w14:textId="77777777" w:rsidR="00642110" w:rsidRDefault="00642110">
      <w:pPr>
        <w:pStyle w:val="FootnoteText"/>
      </w:pPr>
      <w:r>
        <w:rPr>
          <w:rStyle w:val="FootnoteReference"/>
        </w:rPr>
        <w:footnoteRef/>
      </w:r>
      <w:r>
        <w:t xml:space="preserve"> </w:t>
      </w:r>
      <w:r w:rsidR="00B90564" w:rsidRPr="00B90564">
        <w:t xml:space="preserve">The U.S. Bureau of Labor Statistics, Occupational Employment Statistics-National, May 2019, available at </w:t>
      </w:r>
      <w:hyperlink r:id="rId3" w:history="1">
        <w:r w:rsidR="00B90564" w:rsidRPr="00B90564">
          <w:rPr>
            <w:rStyle w:val="Hyperlink"/>
          </w:rPr>
          <w:t>https://www.bls.gov/oes/tables.htm</w:t>
        </w:r>
      </w:hyperlink>
      <w:r w:rsidR="00B90564" w:rsidRPr="00B90564">
        <w:rPr>
          <w:u w:val="single"/>
        </w:rPr>
        <w:t>.</w:t>
      </w:r>
      <w:r w:rsidR="00B90564" w:rsidRPr="00B90564">
        <w:t xml:space="preserve"> The most recent data from the BLS corresponds to May 2019. For the benefits component of total compensation, see U.S. Bureau of Labor Statistics, Employer’s Cost per Employee Compensation as of December 2019, available at </w:t>
      </w:r>
      <w:hyperlink r:id="rId4" w:history="1">
        <w:r w:rsidR="00B90564" w:rsidRPr="00B90564">
          <w:rPr>
            <w:rStyle w:val="Hyperlink"/>
          </w:rPr>
          <w:t>https://www.bls.gov/news.release/ecec.nr0.htm</w:t>
        </w:r>
      </w:hyperlink>
      <w:r w:rsidR="00B90564" w:rsidRPr="00B90564">
        <w:t>. The ratio between benefits and wages for financial activities is $15.95 (hourly benefits)/$32.05 (hourly wages) = 0.50. The benefit factor is 1 plus the benefit/wages ratio, or 1.50. Multiplying each hourly wage by the benefit factor produces the fully-loaded hourly wage per position.</w:t>
      </w:r>
    </w:p>
  </w:footnote>
  <w:footnote w:id="11">
    <w:p w14:paraId="3360C5AE" w14:textId="77777777" w:rsidR="00E6449E" w:rsidRDefault="00E6449E">
      <w:pPr>
        <w:pStyle w:val="FootnoteText"/>
      </w:pPr>
      <w:r>
        <w:rPr>
          <w:rStyle w:val="FootnoteReference"/>
        </w:rPr>
        <w:footnoteRef/>
      </w:r>
      <w:r>
        <w:t xml:space="preserve"> </w:t>
      </w:r>
      <w:r w:rsidRPr="00E6449E">
        <w:t>By “in general,” FinCEN means without regard to outliers (e.g., financial institutions that conduct transactions that trigger the recordkeeping requirements described in this notice with complexities or volumes that are uncommonly higher or lower than those of the population at large). By “on average,” FinCEN means the mean of the distribution of each subset of the population.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lowerLetter"/>
      <w:lvlText w:val="(%1)"/>
      <w:lvlJc w:val="left"/>
      <w:pPr>
        <w:ind w:left="412" w:hanging="301"/>
      </w:pPr>
      <w:rPr>
        <w:rFonts w:ascii="Arial" w:hAnsi="Arial" w:cs="Arial"/>
        <w:b w:val="0"/>
        <w:bCs w:val="0"/>
        <w:w w:val="100"/>
        <w:sz w:val="20"/>
        <w:szCs w:val="20"/>
      </w:rPr>
    </w:lvl>
    <w:lvl w:ilvl="1">
      <w:numFmt w:val="bullet"/>
      <w:lvlText w:val="•"/>
      <w:lvlJc w:val="left"/>
      <w:pPr>
        <w:ind w:left="1404" w:hanging="301"/>
      </w:pPr>
    </w:lvl>
    <w:lvl w:ilvl="2">
      <w:numFmt w:val="bullet"/>
      <w:lvlText w:val="•"/>
      <w:lvlJc w:val="left"/>
      <w:pPr>
        <w:ind w:left="2388" w:hanging="301"/>
      </w:pPr>
    </w:lvl>
    <w:lvl w:ilvl="3">
      <w:numFmt w:val="bullet"/>
      <w:lvlText w:val="•"/>
      <w:lvlJc w:val="left"/>
      <w:pPr>
        <w:ind w:left="3372" w:hanging="301"/>
      </w:pPr>
    </w:lvl>
    <w:lvl w:ilvl="4">
      <w:numFmt w:val="bullet"/>
      <w:lvlText w:val="•"/>
      <w:lvlJc w:val="left"/>
      <w:pPr>
        <w:ind w:left="4356" w:hanging="301"/>
      </w:pPr>
    </w:lvl>
    <w:lvl w:ilvl="5">
      <w:numFmt w:val="bullet"/>
      <w:lvlText w:val="•"/>
      <w:lvlJc w:val="left"/>
      <w:pPr>
        <w:ind w:left="5340" w:hanging="301"/>
      </w:pPr>
    </w:lvl>
    <w:lvl w:ilvl="6">
      <w:numFmt w:val="bullet"/>
      <w:lvlText w:val="•"/>
      <w:lvlJc w:val="left"/>
      <w:pPr>
        <w:ind w:left="6324" w:hanging="301"/>
      </w:pPr>
    </w:lvl>
    <w:lvl w:ilvl="7">
      <w:numFmt w:val="bullet"/>
      <w:lvlText w:val="•"/>
      <w:lvlJc w:val="left"/>
      <w:pPr>
        <w:ind w:left="7308" w:hanging="301"/>
      </w:pPr>
    </w:lvl>
    <w:lvl w:ilvl="8">
      <w:numFmt w:val="bullet"/>
      <w:lvlText w:val="•"/>
      <w:lvlJc w:val="left"/>
      <w:pPr>
        <w:ind w:left="8292" w:hanging="301"/>
      </w:pPr>
    </w:lvl>
  </w:abstractNum>
  <w:abstractNum w:abstractNumId="1" w15:restartNumberingAfterBreak="0">
    <w:nsid w:val="00000403"/>
    <w:multiLevelType w:val="multilevel"/>
    <w:tmpl w:val="00000886"/>
    <w:lvl w:ilvl="0">
      <w:start w:val="4"/>
      <w:numFmt w:val="lowerLetter"/>
      <w:lvlText w:val="(%1)"/>
      <w:lvlJc w:val="left"/>
      <w:pPr>
        <w:ind w:left="413" w:hanging="302"/>
      </w:pPr>
      <w:rPr>
        <w:rFonts w:ascii="Arial" w:hAnsi="Arial" w:cs="Arial"/>
        <w:b w:val="0"/>
        <w:bCs w:val="0"/>
        <w:w w:val="100"/>
        <w:sz w:val="20"/>
        <w:szCs w:val="20"/>
      </w:rPr>
    </w:lvl>
    <w:lvl w:ilvl="1">
      <w:start w:val="1"/>
      <w:numFmt w:val="lowerRoman"/>
      <w:lvlText w:val="(%2)"/>
      <w:lvlJc w:val="left"/>
      <w:pPr>
        <w:ind w:left="732" w:hanging="344"/>
      </w:pPr>
      <w:rPr>
        <w:rFonts w:ascii="Arial" w:hAnsi="Arial" w:cs="Arial"/>
        <w:b w:val="0"/>
        <w:bCs w:val="0"/>
        <w:spacing w:val="-1"/>
        <w:w w:val="100"/>
        <w:sz w:val="20"/>
        <w:szCs w:val="20"/>
      </w:rPr>
    </w:lvl>
    <w:lvl w:ilvl="2">
      <w:numFmt w:val="bullet"/>
      <w:lvlText w:val="•"/>
      <w:lvlJc w:val="left"/>
      <w:pPr>
        <w:ind w:left="1797" w:hanging="344"/>
      </w:pPr>
    </w:lvl>
    <w:lvl w:ilvl="3">
      <w:numFmt w:val="bullet"/>
      <w:lvlText w:val="•"/>
      <w:lvlJc w:val="left"/>
      <w:pPr>
        <w:ind w:left="2855" w:hanging="344"/>
      </w:pPr>
    </w:lvl>
    <w:lvl w:ilvl="4">
      <w:numFmt w:val="bullet"/>
      <w:lvlText w:val="•"/>
      <w:lvlJc w:val="left"/>
      <w:pPr>
        <w:ind w:left="3913" w:hanging="344"/>
      </w:pPr>
    </w:lvl>
    <w:lvl w:ilvl="5">
      <w:numFmt w:val="bullet"/>
      <w:lvlText w:val="•"/>
      <w:lvlJc w:val="left"/>
      <w:pPr>
        <w:ind w:left="4971" w:hanging="344"/>
      </w:pPr>
    </w:lvl>
    <w:lvl w:ilvl="6">
      <w:numFmt w:val="bullet"/>
      <w:lvlText w:val="•"/>
      <w:lvlJc w:val="left"/>
      <w:pPr>
        <w:ind w:left="6028" w:hanging="344"/>
      </w:pPr>
    </w:lvl>
    <w:lvl w:ilvl="7">
      <w:numFmt w:val="bullet"/>
      <w:lvlText w:val="•"/>
      <w:lvlJc w:val="left"/>
      <w:pPr>
        <w:ind w:left="7086" w:hanging="344"/>
      </w:pPr>
    </w:lvl>
    <w:lvl w:ilvl="8">
      <w:numFmt w:val="bullet"/>
      <w:lvlText w:val="•"/>
      <w:lvlJc w:val="left"/>
      <w:pPr>
        <w:ind w:left="8144" w:hanging="344"/>
      </w:pPr>
    </w:lvl>
  </w:abstractNum>
  <w:abstractNum w:abstractNumId="2" w15:restartNumberingAfterBreak="0">
    <w:nsid w:val="00000404"/>
    <w:multiLevelType w:val="multilevel"/>
    <w:tmpl w:val="00000887"/>
    <w:lvl w:ilvl="0">
      <w:start w:val="2"/>
      <w:numFmt w:val="lowerRoman"/>
      <w:lvlText w:val="(%1)"/>
      <w:lvlJc w:val="left"/>
      <w:pPr>
        <w:ind w:left="721" w:hanging="333"/>
      </w:pPr>
      <w:rPr>
        <w:rFonts w:ascii="Arial" w:hAnsi="Arial" w:cs="Arial"/>
        <w:b w:val="0"/>
        <w:bCs w:val="0"/>
        <w:spacing w:val="-1"/>
        <w:w w:val="100"/>
        <w:sz w:val="20"/>
        <w:szCs w:val="20"/>
      </w:rPr>
    </w:lvl>
    <w:lvl w:ilvl="1">
      <w:numFmt w:val="bullet"/>
      <w:lvlText w:val="•"/>
      <w:lvlJc w:val="left"/>
      <w:pPr>
        <w:ind w:left="1674" w:hanging="333"/>
      </w:pPr>
    </w:lvl>
    <w:lvl w:ilvl="2">
      <w:numFmt w:val="bullet"/>
      <w:lvlText w:val="•"/>
      <w:lvlJc w:val="left"/>
      <w:pPr>
        <w:ind w:left="2628" w:hanging="333"/>
      </w:pPr>
    </w:lvl>
    <w:lvl w:ilvl="3">
      <w:numFmt w:val="bullet"/>
      <w:lvlText w:val="•"/>
      <w:lvlJc w:val="left"/>
      <w:pPr>
        <w:ind w:left="3582" w:hanging="333"/>
      </w:pPr>
    </w:lvl>
    <w:lvl w:ilvl="4">
      <w:numFmt w:val="bullet"/>
      <w:lvlText w:val="•"/>
      <w:lvlJc w:val="left"/>
      <w:pPr>
        <w:ind w:left="4536" w:hanging="333"/>
      </w:pPr>
    </w:lvl>
    <w:lvl w:ilvl="5">
      <w:numFmt w:val="bullet"/>
      <w:lvlText w:val="•"/>
      <w:lvlJc w:val="left"/>
      <w:pPr>
        <w:ind w:left="5490" w:hanging="333"/>
      </w:pPr>
    </w:lvl>
    <w:lvl w:ilvl="6">
      <w:numFmt w:val="bullet"/>
      <w:lvlText w:val="•"/>
      <w:lvlJc w:val="left"/>
      <w:pPr>
        <w:ind w:left="6444" w:hanging="333"/>
      </w:pPr>
    </w:lvl>
    <w:lvl w:ilvl="7">
      <w:numFmt w:val="bullet"/>
      <w:lvlText w:val="•"/>
      <w:lvlJc w:val="left"/>
      <w:pPr>
        <w:ind w:left="7398" w:hanging="333"/>
      </w:pPr>
    </w:lvl>
    <w:lvl w:ilvl="8">
      <w:numFmt w:val="bullet"/>
      <w:lvlText w:val="•"/>
      <w:lvlJc w:val="left"/>
      <w:pPr>
        <w:ind w:left="8352" w:hanging="333"/>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es-A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A1838"/>
    <w:rsid w:val="000000D1"/>
    <w:rsid w:val="000053C2"/>
    <w:rsid w:val="00006B4C"/>
    <w:rsid w:val="0000789D"/>
    <w:rsid w:val="00012EFF"/>
    <w:rsid w:val="00015AE3"/>
    <w:rsid w:val="000300DC"/>
    <w:rsid w:val="00033554"/>
    <w:rsid w:val="000377C7"/>
    <w:rsid w:val="000434A7"/>
    <w:rsid w:val="00045ECF"/>
    <w:rsid w:val="00047959"/>
    <w:rsid w:val="00053A47"/>
    <w:rsid w:val="00060110"/>
    <w:rsid w:val="00064DB6"/>
    <w:rsid w:val="0007127E"/>
    <w:rsid w:val="00073267"/>
    <w:rsid w:val="00073D6C"/>
    <w:rsid w:val="00077DB6"/>
    <w:rsid w:val="00081EE2"/>
    <w:rsid w:val="000821DE"/>
    <w:rsid w:val="00083C2F"/>
    <w:rsid w:val="00085C49"/>
    <w:rsid w:val="00097749"/>
    <w:rsid w:val="000A1838"/>
    <w:rsid w:val="000A4393"/>
    <w:rsid w:val="000B126D"/>
    <w:rsid w:val="000B513E"/>
    <w:rsid w:val="000B5DD0"/>
    <w:rsid w:val="000D2B64"/>
    <w:rsid w:val="000D31D0"/>
    <w:rsid w:val="000D6DE3"/>
    <w:rsid w:val="000E0A10"/>
    <w:rsid w:val="000E5EFC"/>
    <w:rsid w:val="000F0E89"/>
    <w:rsid w:val="00100D77"/>
    <w:rsid w:val="00100FD3"/>
    <w:rsid w:val="00104F2C"/>
    <w:rsid w:val="0010722B"/>
    <w:rsid w:val="00114F02"/>
    <w:rsid w:val="001168CE"/>
    <w:rsid w:val="00117650"/>
    <w:rsid w:val="00120A4D"/>
    <w:rsid w:val="001230A6"/>
    <w:rsid w:val="00123CA3"/>
    <w:rsid w:val="00125470"/>
    <w:rsid w:val="00125BE6"/>
    <w:rsid w:val="00127FAF"/>
    <w:rsid w:val="001352A8"/>
    <w:rsid w:val="00136C99"/>
    <w:rsid w:val="001406A8"/>
    <w:rsid w:val="00140F5C"/>
    <w:rsid w:val="001423FB"/>
    <w:rsid w:val="001533D5"/>
    <w:rsid w:val="00154790"/>
    <w:rsid w:val="001562D9"/>
    <w:rsid w:val="0015749B"/>
    <w:rsid w:val="00170F67"/>
    <w:rsid w:val="0017516A"/>
    <w:rsid w:val="001801A2"/>
    <w:rsid w:val="00181256"/>
    <w:rsid w:val="00184BE7"/>
    <w:rsid w:val="0018713B"/>
    <w:rsid w:val="001905E2"/>
    <w:rsid w:val="00194D2D"/>
    <w:rsid w:val="001A01B1"/>
    <w:rsid w:val="001A271C"/>
    <w:rsid w:val="001A607A"/>
    <w:rsid w:val="001B0BFD"/>
    <w:rsid w:val="001B1740"/>
    <w:rsid w:val="001B4884"/>
    <w:rsid w:val="001B617A"/>
    <w:rsid w:val="001C53B0"/>
    <w:rsid w:val="001C5B9B"/>
    <w:rsid w:val="001D4496"/>
    <w:rsid w:val="001D647A"/>
    <w:rsid w:val="001F4036"/>
    <w:rsid w:val="0020076C"/>
    <w:rsid w:val="002015CC"/>
    <w:rsid w:val="0020343E"/>
    <w:rsid w:val="00211F04"/>
    <w:rsid w:val="002125F2"/>
    <w:rsid w:val="00212D01"/>
    <w:rsid w:val="00213F40"/>
    <w:rsid w:val="00222771"/>
    <w:rsid w:val="002248E9"/>
    <w:rsid w:val="00226AF1"/>
    <w:rsid w:val="00240765"/>
    <w:rsid w:val="00241BD1"/>
    <w:rsid w:val="00242A50"/>
    <w:rsid w:val="0024739E"/>
    <w:rsid w:val="00250B4A"/>
    <w:rsid w:val="00256988"/>
    <w:rsid w:val="002646FA"/>
    <w:rsid w:val="00274354"/>
    <w:rsid w:val="002773EA"/>
    <w:rsid w:val="00293155"/>
    <w:rsid w:val="002A20A2"/>
    <w:rsid w:val="002A271A"/>
    <w:rsid w:val="002A6A00"/>
    <w:rsid w:val="002A7D1B"/>
    <w:rsid w:val="002C2BFB"/>
    <w:rsid w:val="002C3647"/>
    <w:rsid w:val="002C658C"/>
    <w:rsid w:val="002E1104"/>
    <w:rsid w:val="002E72EC"/>
    <w:rsid w:val="0030221B"/>
    <w:rsid w:val="00302920"/>
    <w:rsid w:val="00302EAE"/>
    <w:rsid w:val="00306F07"/>
    <w:rsid w:val="00307E1F"/>
    <w:rsid w:val="003225A4"/>
    <w:rsid w:val="00322A85"/>
    <w:rsid w:val="00324A84"/>
    <w:rsid w:val="00325298"/>
    <w:rsid w:val="0032568B"/>
    <w:rsid w:val="003359D8"/>
    <w:rsid w:val="00335FA8"/>
    <w:rsid w:val="003408A6"/>
    <w:rsid w:val="00340D0E"/>
    <w:rsid w:val="00350B73"/>
    <w:rsid w:val="00353A24"/>
    <w:rsid w:val="00354599"/>
    <w:rsid w:val="0037370B"/>
    <w:rsid w:val="00381A59"/>
    <w:rsid w:val="00391B7A"/>
    <w:rsid w:val="00392AE3"/>
    <w:rsid w:val="00392EA3"/>
    <w:rsid w:val="00394327"/>
    <w:rsid w:val="00394FF7"/>
    <w:rsid w:val="00395D42"/>
    <w:rsid w:val="003A525C"/>
    <w:rsid w:val="003A7D55"/>
    <w:rsid w:val="003C1A61"/>
    <w:rsid w:val="003C3D66"/>
    <w:rsid w:val="003C5B92"/>
    <w:rsid w:val="003D5A80"/>
    <w:rsid w:val="003E1728"/>
    <w:rsid w:val="003E59E5"/>
    <w:rsid w:val="003E69DC"/>
    <w:rsid w:val="003E7BF2"/>
    <w:rsid w:val="003F5AA4"/>
    <w:rsid w:val="00407A8D"/>
    <w:rsid w:val="00410409"/>
    <w:rsid w:val="00412FE3"/>
    <w:rsid w:val="00414797"/>
    <w:rsid w:val="00417F2A"/>
    <w:rsid w:val="0042337C"/>
    <w:rsid w:val="0042486C"/>
    <w:rsid w:val="004277FD"/>
    <w:rsid w:val="0043638D"/>
    <w:rsid w:val="004423A6"/>
    <w:rsid w:val="004459B3"/>
    <w:rsid w:val="00446329"/>
    <w:rsid w:val="00450F3E"/>
    <w:rsid w:val="00452B2C"/>
    <w:rsid w:val="00456E96"/>
    <w:rsid w:val="00461C24"/>
    <w:rsid w:val="00461D10"/>
    <w:rsid w:val="00461F7C"/>
    <w:rsid w:val="004623DB"/>
    <w:rsid w:val="004811B1"/>
    <w:rsid w:val="00481350"/>
    <w:rsid w:val="004827E5"/>
    <w:rsid w:val="004841EC"/>
    <w:rsid w:val="00485FF0"/>
    <w:rsid w:val="0049415C"/>
    <w:rsid w:val="00496D32"/>
    <w:rsid w:val="004975D0"/>
    <w:rsid w:val="004A4EB5"/>
    <w:rsid w:val="004B373F"/>
    <w:rsid w:val="004B4B43"/>
    <w:rsid w:val="004B4B68"/>
    <w:rsid w:val="004C2D27"/>
    <w:rsid w:val="004C4B62"/>
    <w:rsid w:val="004C529F"/>
    <w:rsid w:val="004C7594"/>
    <w:rsid w:val="004D15F4"/>
    <w:rsid w:val="004D2C40"/>
    <w:rsid w:val="004D66F6"/>
    <w:rsid w:val="004E042A"/>
    <w:rsid w:val="004E3072"/>
    <w:rsid w:val="004E5C06"/>
    <w:rsid w:val="004E7AA2"/>
    <w:rsid w:val="004F3B43"/>
    <w:rsid w:val="004F7737"/>
    <w:rsid w:val="004F77C1"/>
    <w:rsid w:val="00500F39"/>
    <w:rsid w:val="005014FE"/>
    <w:rsid w:val="00501DC2"/>
    <w:rsid w:val="0050625B"/>
    <w:rsid w:val="005164C2"/>
    <w:rsid w:val="0051798E"/>
    <w:rsid w:val="00524358"/>
    <w:rsid w:val="0053693B"/>
    <w:rsid w:val="00543922"/>
    <w:rsid w:val="00544A40"/>
    <w:rsid w:val="00545D32"/>
    <w:rsid w:val="0055123D"/>
    <w:rsid w:val="00551A6C"/>
    <w:rsid w:val="00553D43"/>
    <w:rsid w:val="00554F9B"/>
    <w:rsid w:val="00556F7A"/>
    <w:rsid w:val="00562228"/>
    <w:rsid w:val="00563FE6"/>
    <w:rsid w:val="0056442E"/>
    <w:rsid w:val="00572D22"/>
    <w:rsid w:val="005737DD"/>
    <w:rsid w:val="005778A3"/>
    <w:rsid w:val="005815DA"/>
    <w:rsid w:val="005923DE"/>
    <w:rsid w:val="00594904"/>
    <w:rsid w:val="005A7DEE"/>
    <w:rsid w:val="005B2B77"/>
    <w:rsid w:val="005B617B"/>
    <w:rsid w:val="005C065F"/>
    <w:rsid w:val="005C2643"/>
    <w:rsid w:val="005C6114"/>
    <w:rsid w:val="005C62B0"/>
    <w:rsid w:val="005C739E"/>
    <w:rsid w:val="005D0671"/>
    <w:rsid w:val="005D18FC"/>
    <w:rsid w:val="005E23FA"/>
    <w:rsid w:val="005E2A5B"/>
    <w:rsid w:val="005F09CC"/>
    <w:rsid w:val="00603DE7"/>
    <w:rsid w:val="00607D07"/>
    <w:rsid w:val="0061083D"/>
    <w:rsid w:val="00616FDD"/>
    <w:rsid w:val="00622D68"/>
    <w:rsid w:val="006340A0"/>
    <w:rsid w:val="006356D5"/>
    <w:rsid w:val="006365F6"/>
    <w:rsid w:val="00636905"/>
    <w:rsid w:val="00642110"/>
    <w:rsid w:val="00642760"/>
    <w:rsid w:val="00643252"/>
    <w:rsid w:val="00646D87"/>
    <w:rsid w:val="00655FD2"/>
    <w:rsid w:val="006606CD"/>
    <w:rsid w:val="00664841"/>
    <w:rsid w:val="00670C7F"/>
    <w:rsid w:val="00671888"/>
    <w:rsid w:val="0067540B"/>
    <w:rsid w:val="0067734C"/>
    <w:rsid w:val="00681794"/>
    <w:rsid w:val="00692CAE"/>
    <w:rsid w:val="006936CB"/>
    <w:rsid w:val="006A48AC"/>
    <w:rsid w:val="006A5B07"/>
    <w:rsid w:val="006A60EB"/>
    <w:rsid w:val="006C5EF4"/>
    <w:rsid w:val="006D0A90"/>
    <w:rsid w:val="006D4A97"/>
    <w:rsid w:val="006E3962"/>
    <w:rsid w:val="006E609E"/>
    <w:rsid w:val="006E7A9B"/>
    <w:rsid w:val="006F29C7"/>
    <w:rsid w:val="006F345C"/>
    <w:rsid w:val="006F3925"/>
    <w:rsid w:val="006F4EA5"/>
    <w:rsid w:val="00700E3B"/>
    <w:rsid w:val="00705255"/>
    <w:rsid w:val="007070F2"/>
    <w:rsid w:val="0071019B"/>
    <w:rsid w:val="0071417F"/>
    <w:rsid w:val="00714FE5"/>
    <w:rsid w:val="0071519C"/>
    <w:rsid w:val="00716BE2"/>
    <w:rsid w:val="00726BA4"/>
    <w:rsid w:val="00734034"/>
    <w:rsid w:val="00734FA7"/>
    <w:rsid w:val="007458BE"/>
    <w:rsid w:val="00746F61"/>
    <w:rsid w:val="007502E7"/>
    <w:rsid w:val="00751E07"/>
    <w:rsid w:val="007534B0"/>
    <w:rsid w:val="00755229"/>
    <w:rsid w:val="00755252"/>
    <w:rsid w:val="00757DE9"/>
    <w:rsid w:val="0077315B"/>
    <w:rsid w:val="00773249"/>
    <w:rsid w:val="007764F3"/>
    <w:rsid w:val="007976A1"/>
    <w:rsid w:val="007A28A6"/>
    <w:rsid w:val="007A5948"/>
    <w:rsid w:val="007B770B"/>
    <w:rsid w:val="007D7305"/>
    <w:rsid w:val="007D7E85"/>
    <w:rsid w:val="007E2506"/>
    <w:rsid w:val="007E568B"/>
    <w:rsid w:val="007F6DDB"/>
    <w:rsid w:val="007F754A"/>
    <w:rsid w:val="00803C63"/>
    <w:rsid w:val="00803FF5"/>
    <w:rsid w:val="00816D07"/>
    <w:rsid w:val="008174B5"/>
    <w:rsid w:val="00821391"/>
    <w:rsid w:val="00832239"/>
    <w:rsid w:val="0083259B"/>
    <w:rsid w:val="0083337A"/>
    <w:rsid w:val="008342C4"/>
    <w:rsid w:val="008412E7"/>
    <w:rsid w:val="00844128"/>
    <w:rsid w:val="00845225"/>
    <w:rsid w:val="00847B93"/>
    <w:rsid w:val="0085254E"/>
    <w:rsid w:val="00852936"/>
    <w:rsid w:val="0086040B"/>
    <w:rsid w:val="008722D3"/>
    <w:rsid w:val="008745C3"/>
    <w:rsid w:val="00874CE3"/>
    <w:rsid w:val="0088143A"/>
    <w:rsid w:val="00885FC7"/>
    <w:rsid w:val="008872D8"/>
    <w:rsid w:val="0088769B"/>
    <w:rsid w:val="008903AF"/>
    <w:rsid w:val="0089545E"/>
    <w:rsid w:val="008965A2"/>
    <w:rsid w:val="00897FFD"/>
    <w:rsid w:val="008A6F4A"/>
    <w:rsid w:val="008A7CB3"/>
    <w:rsid w:val="008B0EB3"/>
    <w:rsid w:val="008C299E"/>
    <w:rsid w:val="008C3360"/>
    <w:rsid w:val="008C54F0"/>
    <w:rsid w:val="008D5A03"/>
    <w:rsid w:val="008D785C"/>
    <w:rsid w:val="008E0229"/>
    <w:rsid w:val="008E323C"/>
    <w:rsid w:val="008F0894"/>
    <w:rsid w:val="008F7673"/>
    <w:rsid w:val="00901485"/>
    <w:rsid w:val="0090605F"/>
    <w:rsid w:val="00930573"/>
    <w:rsid w:val="00942AFC"/>
    <w:rsid w:val="009748B8"/>
    <w:rsid w:val="00975778"/>
    <w:rsid w:val="009821B4"/>
    <w:rsid w:val="009829C3"/>
    <w:rsid w:val="00982B62"/>
    <w:rsid w:val="00983FCE"/>
    <w:rsid w:val="00984FDE"/>
    <w:rsid w:val="0098532F"/>
    <w:rsid w:val="00990C87"/>
    <w:rsid w:val="009933E7"/>
    <w:rsid w:val="00993F48"/>
    <w:rsid w:val="00995764"/>
    <w:rsid w:val="00995B77"/>
    <w:rsid w:val="009A0B37"/>
    <w:rsid w:val="009A405A"/>
    <w:rsid w:val="009A5F8C"/>
    <w:rsid w:val="009A6C50"/>
    <w:rsid w:val="009B26A9"/>
    <w:rsid w:val="009B5E03"/>
    <w:rsid w:val="009C3872"/>
    <w:rsid w:val="009C4C6C"/>
    <w:rsid w:val="009C5D6F"/>
    <w:rsid w:val="009C6CDB"/>
    <w:rsid w:val="009D1D5F"/>
    <w:rsid w:val="009D297C"/>
    <w:rsid w:val="009D4E08"/>
    <w:rsid w:val="009E0F28"/>
    <w:rsid w:val="009E75DB"/>
    <w:rsid w:val="009F04CE"/>
    <w:rsid w:val="009F7703"/>
    <w:rsid w:val="00A11208"/>
    <w:rsid w:val="00A1429B"/>
    <w:rsid w:val="00A153C2"/>
    <w:rsid w:val="00A16AFB"/>
    <w:rsid w:val="00A17DAB"/>
    <w:rsid w:val="00A203A4"/>
    <w:rsid w:val="00A224C7"/>
    <w:rsid w:val="00A25552"/>
    <w:rsid w:val="00A32382"/>
    <w:rsid w:val="00A3749C"/>
    <w:rsid w:val="00A406C0"/>
    <w:rsid w:val="00A64806"/>
    <w:rsid w:val="00A6557A"/>
    <w:rsid w:val="00A665E7"/>
    <w:rsid w:val="00A83301"/>
    <w:rsid w:val="00A84818"/>
    <w:rsid w:val="00A87124"/>
    <w:rsid w:val="00A91DFC"/>
    <w:rsid w:val="00A921D0"/>
    <w:rsid w:val="00A93AE0"/>
    <w:rsid w:val="00AA6051"/>
    <w:rsid w:val="00AA6D89"/>
    <w:rsid w:val="00AB0DAA"/>
    <w:rsid w:val="00AB5DDE"/>
    <w:rsid w:val="00AB5E47"/>
    <w:rsid w:val="00AC4543"/>
    <w:rsid w:val="00AC5340"/>
    <w:rsid w:val="00AC7753"/>
    <w:rsid w:val="00AD1062"/>
    <w:rsid w:val="00AD1AB9"/>
    <w:rsid w:val="00AE0CE1"/>
    <w:rsid w:val="00AE6BFA"/>
    <w:rsid w:val="00AE7EE8"/>
    <w:rsid w:val="00AF152A"/>
    <w:rsid w:val="00AF2365"/>
    <w:rsid w:val="00AF3DAE"/>
    <w:rsid w:val="00B00EA7"/>
    <w:rsid w:val="00B02D80"/>
    <w:rsid w:val="00B032D1"/>
    <w:rsid w:val="00B0497F"/>
    <w:rsid w:val="00B1626E"/>
    <w:rsid w:val="00B21FFF"/>
    <w:rsid w:val="00B2316E"/>
    <w:rsid w:val="00B42608"/>
    <w:rsid w:val="00B50B8D"/>
    <w:rsid w:val="00B50EA2"/>
    <w:rsid w:val="00B512E2"/>
    <w:rsid w:val="00B55038"/>
    <w:rsid w:val="00B6644C"/>
    <w:rsid w:val="00B67F2D"/>
    <w:rsid w:val="00B7246F"/>
    <w:rsid w:val="00B83216"/>
    <w:rsid w:val="00B90564"/>
    <w:rsid w:val="00B96C39"/>
    <w:rsid w:val="00B96E9D"/>
    <w:rsid w:val="00B970D7"/>
    <w:rsid w:val="00BA2C75"/>
    <w:rsid w:val="00BA381A"/>
    <w:rsid w:val="00BB0F0A"/>
    <w:rsid w:val="00BB31F6"/>
    <w:rsid w:val="00BB3954"/>
    <w:rsid w:val="00BB6976"/>
    <w:rsid w:val="00BC127C"/>
    <w:rsid w:val="00BC1675"/>
    <w:rsid w:val="00BC1C24"/>
    <w:rsid w:val="00BE26A2"/>
    <w:rsid w:val="00BF1666"/>
    <w:rsid w:val="00BF4B59"/>
    <w:rsid w:val="00C0248A"/>
    <w:rsid w:val="00C03111"/>
    <w:rsid w:val="00C03484"/>
    <w:rsid w:val="00C05B2A"/>
    <w:rsid w:val="00C13E8A"/>
    <w:rsid w:val="00C241A6"/>
    <w:rsid w:val="00C24AA8"/>
    <w:rsid w:val="00C24EF8"/>
    <w:rsid w:val="00C2534D"/>
    <w:rsid w:val="00C339FC"/>
    <w:rsid w:val="00C34A34"/>
    <w:rsid w:val="00C34B95"/>
    <w:rsid w:val="00C400D5"/>
    <w:rsid w:val="00C41175"/>
    <w:rsid w:val="00C4238E"/>
    <w:rsid w:val="00C42394"/>
    <w:rsid w:val="00C43680"/>
    <w:rsid w:val="00C43F70"/>
    <w:rsid w:val="00C45315"/>
    <w:rsid w:val="00C45D1A"/>
    <w:rsid w:val="00C5231A"/>
    <w:rsid w:val="00C5326A"/>
    <w:rsid w:val="00C538B7"/>
    <w:rsid w:val="00C6267A"/>
    <w:rsid w:val="00C633BA"/>
    <w:rsid w:val="00C634D9"/>
    <w:rsid w:val="00C70EA9"/>
    <w:rsid w:val="00C73EC2"/>
    <w:rsid w:val="00C879E5"/>
    <w:rsid w:val="00C90EF6"/>
    <w:rsid w:val="00C910F4"/>
    <w:rsid w:val="00C9357B"/>
    <w:rsid w:val="00C96B45"/>
    <w:rsid w:val="00C97510"/>
    <w:rsid w:val="00CA04F1"/>
    <w:rsid w:val="00CA11F0"/>
    <w:rsid w:val="00CA6948"/>
    <w:rsid w:val="00CB237E"/>
    <w:rsid w:val="00CB59D2"/>
    <w:rsid w:val="00CC0135"/>
    <w:rsid w:val="00CC0600"/>
    <w:rsid w:val="00CC22E5"/>
    <w:rsid w:val="00CC7B8B"/>
    <w:rsid w:val="00CD7306"/>
    <w:rsid w:val="00CD7498"/>
    <w:rsid w:val="00CE0096"/>
    <w:rsid w:val="00CE1B91"/>
    <w:rsid w:val="00CE3E82"/>
    <w:rsid w:val="00CF4425"/>
    <w:rsid w:val="00CF7CFF"/>
    <w:rsid w:val="00D01527"/>
    <w:rsid w:val="00D04CB2"/>
    <w:rsid w:val="00D05303"/>
    <w:rsid w:val="00D06181"/>
    <w:rsid w:val="00D06A32"/>
    <w:rsid w:val="00D06EA5"/>
    <w:rsid w:val="00D1485B"/>
    <w:rsid w:val="00D17EF3"/>
    <w:rsid w:val="00D20750"/>
    <w:rsid w:val="00D26691"/>
    <w:rsid w:val="00D2761F"/>
    <w:rsid w:val="00D3774C"/>
    <w:rsid w:val="00D41E88"/>
    <w:rsid w:val="00D47FF1"/>
    <w:rsid w:val="00D52D6F"/>
    <w:rsid w:val="00D53ED6"/>
    <w:rsid w:val="00D546A8"/>
    <w:rsid w:val="00D608B9"/>
    <w:rsid w:val="00D700D9"/>
    <w:rsid w:val="00D77E1D"/>
    <w:rsid w:val="00D845E8"/>
    <w:rsid w:val="00D8554E"/>
    <w:rsid w:val="00D87A8B"/>
    <w:rsid w:val="00D90DDF"/>
    <w:rsid w:val="00D9645C"/>
    <w:rsid w:val="00DB1137"/>
    <w:rsid w:val="00DB22A3"/>
    <w:rsid w:val="00DB6B70"/>
    <w:rsid w:val="00DC351A"/>
    <w:rsid w:val="00DC6851"/>
    <w:rsid w:val="00DD2C65"/>
    <w:rsid w:val="00DD5DE6"/>
    <w:rsid w:val="00DF2016"/>
    <w:rsid w:val="00DF594D"/>
    <w:rsid w:val="00E0252C"/>
    <w:rsid w:val="00E02797"/>
    <w:rsid w:val="00E06083"/>
    <w:rsid w:val="00E13A83"/>
    <w:rsid w:val="00E155B1"/>
    <w:rsid w:val="00E156C7"/>
    <w:rsid w:val="00E16B61"/>
    <w:rsid w:val="00E23A40"/>
    <w:rsid w:val="00E25824"/>
    <w:rsid w:val="00E35061"/>
    <w:rsid w:val="00E43B5E"/>
    <w:rsid w:val="00E46C31"/>
    <w:rsid w:val="00E52698"/>
    <w:rsid w:val="00E61555"/>
    <w:rsid w:val="00E61F0C"/>
    <w:rsid w:val="00E6449E"/>
    <w:rsid w:val="00E667ED"/>
    <w:rsid w:val="00E667FB"/>
    <w:rsid w:val="00E76A9F"/>
    <w:rsid w:val="00E8723F"/>
    <w:rsid w:val="00E87F10"/>
    <w:rsid w:val="00E91D80"/>
    <w:rsid w:val="00E93156"/>
    <w:rsid w:val="00E94B57"/>
    <w:rsid w:val="00E96170"/>
    <w:rsid w:val="00EA2840"/>
    <w:rsid w:val="00EA2F26"/>
    <w:rsid w:val="00EB2CBC"/>
    <w:rsid w:val="00EB6516"/>
    <w:rsid w:val="00EB7764"/>
    <w:rsid w:val="00EC4954"/>
    <w:rsid w:val="00ED0358"/>
    <w:rsid w:val="00ED0685"/>
    <w:rsid w:val="00ED0AB9"/>
    <w:rsid w:val="00ED37EC"/>
    <w:rsid w:val="00EE1121"/>
    <w:rsid w:val="00EE5400"/>
    <w:rsid w:val="00EF7C39"/>
    <w:rsid w:val="00F006F4"/>
    <w:rsid w:val="00F02EA6"/>
    <w:rsid w:val="00F117F5"/>
    <w:rsid w:val="00F1271B"/>
    <w:rsid w:val="00F13112"/>
    <w:rsid w:val="00F2243A"/>
    <w:rsid w:val="00F22B68"/>
    <w:rsid w:val="00F23152"/>
    <w:rsid w:val="00F231D7"/>
    <w:rsid w:val="00F25185"/>
    <w:rsid w:val="00F326B9"/>
    <w:rsid w:val="00F36DD1"/>
    <w:rsid w:val="00F47494"/>
    <w:rsid w:val="00F50EE6"/>
    <w:rsid w:val="00F56074"/>
    <w:rsid w:val="00F6507B"/>
    <w:rsid w:val="00F6712B"/>
    <w:rsid w:val="00F70029"/>
    <w:rsid w:val="00F70456"/>
    <w:rsid w:val="00F80F5C"/>
    <w:rsid w:val="00F8126F"/>
    <w:rsid w:val="00F82FD9"/>
    <w:rsid w:val="00F837A8"/>
    <w:rsid w:val="00F84FBD"/>
    <w:rsid w:val="00F913B5"/>
    <w:rsid w:val="00F91C42"/>
    <w:rsid w:val="00F97FE0"/>
    <w:rsid w:val="00FA20D9"/>
    <w:rsid w:val="00FA7C44"/>
    <w:rsid w:val="00FB077C"/>
    <w:rsid w:val="00FB08CE"/>
    <w:rsid w:val="00FB493C"/>
    <w:rsid w:val="00FD004B"/>
    <w:rsid w:val="00FD0573"/>
    <w:rsid w:val="00FD49E4"/>
    <w:rsid w:val="00FD4DAC"/>
    <w:rsid w:val="00FE6823"/>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F05A9"/>
  <w15:docId w15:val="{83DB78AD-E59F-459B-BD04-7853874D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uiPriority w:val="9"/>
    <w:semiHidden/>
    <w:unhideWhenUsed/>
    <w:qFormat/>
    <w:rsid w:val="00184BE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uiPriority w:val="99"/>
    <w:unhideWhenUsed/>
    <w:rsid w:val="003E69DC"/>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3E69DC"/>
  </w:style>
  <w:style w:type="character" w:styleId="CommentReference">
    <w:name w:val="annotation reference"/>
    <w:uiPriority w:val="99"/>
    <w:semiHidden/>
    <w:unhideWhenUsed/>
    <w:rsid w:val="00A93AE0"/>
    <w:rPr>
      <w:sz w:val="16"/>
      <w:szCs w:val="16"/>
    </w:rPr>
  </w:style>
  <w:style w:type="paragraph" w:styleId="CommentText">
    <w:name w:val="annotation text"/>
    <w:basedOn w:val="Normal"/>
    <w:link w:val="CommentTextChar"/>
    <w:uiPriority w:val="99"/>
    <w:unhideWhenUsed/>
    <w:rsid w:val="00A93AE0"/>
    <w:rPr>
      <w:sz w:val="20"/>
      <w:szCs w:val="20"/>
    </w:rPr>
  </w:style>
  <w:style w:type="character" w:customStyle="1" w:styleId="CommentTextChar">
    <w:name w:val="Comment Text Char"/>
    <w:basedOn w:val="DefaultParagraphFont"/>
    <w:link w:val="CommentText"/>
    <w:uiPriority w:val="99"/>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 w:type="character" w:customStyle="1" w:styleId="PlainTextChar">
    <w:name w:val="Plain Text Char"/>
    <w:link w:val="PlainText"/>
    <w:rsid w:val="00F22B68"/>
    <w:rPr>
      <w:rFonts w:ascii="Courier New" w:hAnsi="Courier New" w:cs="Courier New"/>
    </w:rPr>
  </w:style>
  <w:style w:type="paragraph" w:styleId="NormalWeb">
    <w:name w:val="Normal (Web)"/>
    <w:basedOn w:val="Normal"/>
    <w:uiPriority w:val="99"/>
    <w:unhideWhenUsed/>
    <w:rsid w:val="005A7DEE"/>
    <w:pPr>
      <w:spacing w:before="100" w:beforeAutospacing="1" w:after="100" w:afterAutospacing="1"/>
    </w:pPr>
  </w:style>
  <w:style w:type="paragraph" w:styleId="ListParagraph">
    <w:name w:val="List Paragraph"/>
    <w:basedOn w:val="Normal"/>
    <w:uiPriority w:val="34"/>
    <w:qFormat/>
    <w:rsid w:val="00414797"/>
    <w:pPr>
      <w:ind w:left="720"/>
      <w:contextualSpacing/>
    </w:pPr>
  </w:style>
  <w:style w:type="table" w:styleId="TableGrid">
    <w:name w:val="Table Grid"/>
    <w:basedOn w:val="TableNormal"/>
    <w:uiPriority w:val="39"/>
    <w:rsid w:val="007F6DDB"/>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F02"/>
    <w:pPr>
      <w:tabs>
        <w:tab w:val="center" w:pos="4680"/>
        <w:tab w:val="right" w:pos="9360"/>
      </w:tabs>
    </w:pPr>
  </w:style>
  <w:style w:type="character" w:customStyle="1" w:styleId="HeaderChar">
    <w:name w:val="Header Char"/>
    <w:basedOn w:val="DefaultParagraphFont"/>
    <w:link w:val="Header"/>
    <w:uiPriority w:val="99"/>
    <w:rsid w:val="00114F02"/>
    <w:rPr>
      <w:sz w:val="24"/>
      <w:szCs w:val="24"/>
    </w:rPr>
  </w:style>
  <w:style w:type="paragraph" w:styleId="Footer">
    <w:name w:val="footer"/>
    <w:basedOn w:val="Normal"/>
    <w:link w:val="FooterChar"/>
    <w:uiPriority w:val="99"/>
    <w:unhideWhenUsed/>
    <w:rsid w:val="00114F02"/>
    <w:pPr>
      <w:tabs>
        <w:tab w:val="center" w:pos="4680"/>
        <w:tab w:val="right" w:pos="9360"/>
      </w:tabs>
    </w:pPr>
  </w:style>
  <w:style w:type="character" w:customStyle="1" w:styleId="FooterChar">
    <w:name w:val="Footer Char"/>
    <w:basedOn w:val="DefaultParagraphFont"/>
    <w:link w:val="Footer"/>
    <w:uiPriority w:val="99"/>
    <w:rsid w:val="00114F02"/>
    <w:rPr>
      <w:sz w:val="24"/>
      <w:szCs w:val="24"/>
    </w:rPr>
  </w:style>
  <w:style w:type="paragraph" w:styleId="BodyTextIndent">
    <w:name w:val="Body Text Indent"/>
    <w:basedOn w:val="Normal"/>
    <w:link w:val="BodyTextIndentChar"/>
    <w:uiPriority w:val="99"/>
    <w:unhideWhenUsed/>
    <w:rsid w:val="000821DE"/>
    <w:pPr>
      <w:spacing w:after="120"/>
      <w:ind w:left="360"/>
    </w:pPr>
  </w:style>
  <w:style w:type="character" w:customStyle="1" w:styleId="BodyTextIndentChar">
    <w:name w:val="Body Text Indent Char"/>
    <w:basedOn w:val="DefaultParagraphFont"/>
    <w:link w:val="BodyTextIndent"/>
    <w:uiPriority w:val="99"/>
    <w:rsid w:val="000821DE"/>
    <w:rPr>
      <w:sz w:val="24"/>
      <w:szCs w:val="24"/>
    </w:rPr>
  </w:style>
  <w:style w:type="character" w:styleId="FollowedHyperlink">
    <w:name w:val="FollowedHyperlink"/>
    <w:basedOn w:val="DefaultParagraphFont"/>
    <w:uiPriority w:val="99"/>
    <w:semiHidden/>
    <w:unhideWhenUsed/>
    <w:rsid w:val="009A405A"/>
    <w:rPr>
      <w:color w:val="800080" w:themeColor="followedHyperlink"/>
      <w:u w:val="single"/>
    </w:rPr>
  </w:style>
  <w:style w:type="paragraph" w:styleId="BodyTextIndent3">
    <w:name w:val="Body Text Indent 3"/>
    <w:basedOn w:val="Normal"/>
    <w:link w:val="BodyTextIndent3Char"/>
    <w:uiPriority w:val="99"/>
    <w:unhideWhenUsed/>
    <w:rsid w:val="004277FD"/>
    <w:pPr>
      <w:spacing w:after="120"/>
      <w:ind w:left="360"/>
    </w:pPr>
    <w:rPr>
      <w:sz w:val="16"/>
      <w:szCs w:val="16"/>
    </w:rPr>
  </w:style>
  <w:style w:type="character" w:customStyle="1" w:styleId="BodyTextIndent3Char">
    <w:name w:val="Body Text Indent 3 Char"/>
    <w:basedOn w:val="DefaultParagraphFont"/>
    <w:link w:val="BodyTextIndent3"/>
    <w:uiPriority w:val="99"/>
    <w:rsid w:val="004277FD"/>
    <w:rPr>
      <w:sz w:val="16"/>
      <w:szCs w:val="16"/>
    </w:rPr>
  </w:style>
  <w:style w:type="paragraph" w:styleId="HTMLPreformatted">
    <w:name w:val="HTML Preformatted"/>
    <w:basedOn w:val="Normal"/>
    <w:link w:val="HTMLPreformattedChar"/>
    <w:unhideWhenUsed/>
    <w:rsid w:val="008D785C"/>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8D785C"/>
    <w:rPr>
      <w:rFonts w:ascii="Consolas" w:hAnsi="Consolas" w:cs="Consolas"/>
    </w:rPr>
  </w:style>
  <w:style w:type="character" w:customStyle="1" w:styleId="Heading3Char">
    <w:name w:val="Heading 3 Char"/>
    <w:basedOn w:val="DefaultParagraphFont"/>
    <w:link w:val="Heading3"/>
    <w:uiPriority w:val="9"/>
    <w:semiHidden/>
    <w:rsid w:val="00184BE7"/>
    <w:rPr>
      <w:rFonts w:asciiTheme="majorHAnsi" w:eastAsiaTheme="majorEastAsia" w:hAnsiTheme="majorHAnsi" w:cstheme="majorBidi"/>
      <w:color w:val="243F60" w:themeColor="accent1" w:themeShade="7F"/>
      <w:sz w:val="24"/>
      <w:szCs w:val="24"/>
    </w:rPr>
  </w:style>
  <w:style w:type="character" w:customStyle="1" w:styleId="num">
    <w:name w:val="num"/>
    <w:basedOn w:val="DefaultParagraphFont"/>
    <w:rsid w:val="00705255"/>
  </w:style>
  <w:style w:type="paragraph" w:customStyle="1" w:styleId="Default">
    <w:name w:val="Default"/>
    <w:basedOn w:val="Normal"/>
    <w:rsid w:val="004E3072"/>
    <w:pPr>
      <w:autoSpaceDE w:val="0"/>
      <w:autoSpaceDN w:val="0"/>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4384">
      <w:bodyDiv w:val="1"/>
      <w:marLeft w:val="0"/>
      <w:marRight w:val="0"/>
      <w:marTop w:val="0"/>
      <w:marBottom w:val="0"/>
      <w:divBdr>
        <w:top w:val="none" w:sz="0" w:space="0" w:color="auto"/>
        <w:left w:val="none" w:sz="0" w:space="0" w:color="auto"/>
        <w:bottom w:val="none" w:sz="0" w:space="0" w:color="auto"/>
        <w:right w:val="none" w:sz="0" w:space="0" w:color="auto"/>
      </w:divBdr>
    </w:div>
    <w:div w:id="17094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tables.htm" TargetMode="External"/><Relationship Id="rId2" Type="http://schemas.openxmlformats.org/officeDocument/2006/relationships/hyperlink" Target="https://www.fincen.gov/msb-state-selector" TargetMode="External"/><Relationship Id="rId1" Type="http://schemas.openxmlformats.org/officeDocument/2006/relationships/hyperlink" Target="https://www.federalregister.gov/documents/2021/01/21/2021-01187/agency-information-collection-activities-proposed-renewal-comment-request-renewal-without-change-of"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50A2A-F621-4414-ABAE-08B3C771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2020</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13667</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2</cp:revision>
  <cp:lastPrinted>2017-05-18T13:14:00Z</cp:lastPrinted>
  <dcterms:created xsi:type="dcterms:W3CDTF">2021-07-23T19:18:00Z</dcterms:created>
  <dcterms:modified xsi:type="dcterms:W3CDTF">2021-07-23T19:18:00Z</dcterms:modified>
</cp:coreProperties>
</file>