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A6051" w:rsidR="00643252" w:rsidP="009829C3" w:rsidRDefault="00643252" w14:paraId="659ABA22" w14:textId="77777777">
      <w:pPr>
        <w:pStyle w:val="PlainText"/>
        <w:jc w:val="center"/>
        <w:rPr>
          <w:rFonts w:ascii="Times New Roman" w:hAnsi="Times New Roman" w:eastAsia="MS Mincho" w:cs="Times New Roman"/>
          <w:sz w:val="24"/>
          <w:u w:val="single"/>
        </w:rPr>
      </w:pPr>
      <w:r w:rsidRPr="00AA6051">
        <w:rPr>
          <w:rFonts w:ascii="Times New Roman" w:hAnsi="Times New Roman" w:eastAsia="MS Mincho" w:cs="Times New Roman"/>
          <w:sz w:val="24"/>
          <w:u w:val="single"/>
        </w:rPr>
        <w:t>Supp</w:t>
      </w:r>
      <w:r w:rsidRPr="00AA6051" w:rsidR="00C538B7">
        <w:rPr>
          <w:rFonts w:ascii="Times New Roman" w:hAnsi="Times New Roman" w:eastAsia="MS Mincho" w:cs="Times New Roman"/>
          <w:sz w:val="24"/>
          <w:u w:val="single"/>
        </w:rPr>
        <w:t xml:space="preserve">orting </w:t>
      </w:r>
      <w:r w:rsidRPr="00AA6051">
        <w:rPr>
          <w:rFonts w:ascii="Times New Roman" w:hAnsi="Times New Roman" w:eastAsia="MS Mincho" w:cs="Times New Roman"/>
          <w:sz w:val="24"/>
          <w:u w:val="single"/>
        </w:rPr>
        <w:t>Statement</w:t>
      </w:r>
    </w:p>
    <w:p w:rsidRPr="00AA6051" w:rsidR="00F22B68" w:rsidP="009829C3" w:rsidRDefault="00F22B68" w14:paraId="7BE38995" w14:textId="1C126EF8">
      <w:pPr>
        <w:pStyle w:val="PlainText"/>
        <w:jc w:val="center"/>
        <w:rPr>
          <w:rFonts w:ascii="Times New Roman" w:hAnsi="Times New Roman" w:eastAsia="MS Mincho" w:cs="Times New Roman"/>
          <w:sz w:val="24"/>
          <w:u w:val="single"/>
        </w:rPr>
      </w:pPr>
      <w:r w:rsidRPr="00AA6051">
        <w:rPr>
          <w:rFonts w:ascii="Times New Roman" w:hAnsi="Times New Roman" w:eastAsia="MS Mincho" w:cs="Times New Roman"/>
          <w:sz w:val="24"/>
          <w:u w:val="single"/>
        </w:rPr>
        <w:t>OMB Control Number 1506-</w:t>
      </w:r>
      <w:r w:rsidRPr="00AA6051" w:rsidR="00567616">
        <w:rPr>
          <w:rFonts w:ascii="Times New Roman" w:hAnsi="Times New Roman" w:eastAsia="MS Mincho" w:cs="Times New Roman"/>
          <w:sz w:val="24"/>
          <w:u w:val="single"/>
        </w:rPr>
        <w:t>00</w:t>
      </w:r>
      <w:r w:rsidR="00567616">
        <w:rPr>
          <w:rFonts w:ascii="Times New Roman" w:hAnsi="Times New Roman" w:eastAsia="MS Mincho" w:cs="Times New Roman"/>
          <w:sz w:val="24"/>
          <w:u w:val="single"/>
        </w:rPr>
        <w:t>12</w:t>
      </w:r>
    </w:p>
    <w:p w:rsidRPr="00AA6051" w:rsidR="00F22B68" w:rsidP="009829C3" w:rsidRDefault="00F22B68" w14:paraId="63221429" w14:textId="2D75333C">
      <w:pPr>
        <w:pStyle w:val="PlainText"/>
        <w:jc w:val="center"/>
        <w:rPr>
          <w:rFonts w:ascii="Times New Roman" w:hAnsi="Times New Roman" w:eastAsia="MS Mincho" w:cs="Times New Roman"/>
          <w:sz w:val="24"/>
          <w:u w:val="single"/>
        </w:rPr>
      </w:pPr>
    </w:p>
    <w:p w:rsidRPr="00AA6051" w:rsidR="00F22B68" w:rsidP="00417F2A" w:rsidRDefault="00571B1F" w14:paraId="2D6C4CA0" w14:textId="393427C6">
      <w:pPr>
        <w:pStyle w:val="PlainText"/>
        <w:rPr>
          <w:rFonts w:ascii="Times New Roman" w:hAnsi="Times New Roman" w:eastAsia="MS Mincho" w:cs="Times New Roman"/>
          <w:sz w:val="24"/>
          <w:szCs w:val="24"/>
          <w:u w:val="single"/>
        </w:rPr>
      </w:pPr>
      <w:r>
        <w:rPr>
          <w:rFonts w:ascii="Times New Roman" w:hAnsi="Times New Roman" w:eastAsia="MS Mincho" w:cs="Times New Roman"/>
          <w:bCs/>
          <w:sz w:val="24"/>
          <w:szCs w:val="24"/>
          <w:u w:val="single"/>
        </w:rPr>
        <w:t>Transactions of Exempt Person</w:t>
      </w:r>
      <w:r w:rsidR="009A22A3">
        <w:rPr>
          <w:rFonts w:ascii="Times New Roman" w:hAnsi="Times New Roman" w:eastAsia="MS Mincho" w:cs="Times New Roman"/>
          <w:bCs/>
          <w:sz w:val="24"/>
          <w:szCs w:val="24"/>
          <w:u w:val="single"/>
        </w:rPr>
        <w:t>s</w:t>
      </w:r>
      <w:r>
        <w:rPr>
          <w:rFonts w:ascii="Times New Roman" w:hAnsi="Times New Roman" w:eastAsia="MS Mincho" w:cs="Times New Roman"/>
          <w:bCs/>
          <w:sz w:val="24"/>
          <w:szCs w:val="24"/>
          <w:u w:val="single"/>
        </w:rPr>
        <w:t xml:space="preserve"> </w:t>
      </w:r>
      <w:r w:rsidR="00EA41CE">
        <w:rPr>
          <w:rFonts w:ascii="Times New Roman" w:hAnsi="Times New Roman" w:eastAsia="MS Mincho" w:cs="Times New Roman"/>
          <w:bCs/>
          <w:sz w:val="24"/>
          <w:szCs w:val="24"/>
          <w:u w:val="single"/>
        </w:rPr>
        <w:t xml:space="preserve">(31 CFR </w:t>
      </w:r>
      <w:r w:rsidR="009A22A3">
        <w:rPr>
          <w:rFonts w:ascii="Times New Roman" w:hAnsi="Times New Roman" w:eastAsia="MS Mincho" w:cs="Times New Roman"/>
          <w:bCs/>
          <w:sz w:val="24"/>
          <w:szCs w:val="24"/>
          <w:u w:val="single"/>
        </w:rPr>
        <w:t>1020.</w:t>
      </w:r>
      <w:r w:rsidR="00EA41CE">
        <w:rPr>
          <w:rFonts w:ascii="Times New Roman" w:hAnsi="Times New Roman" w:eastAsia="MS Mincho" w:cs="Times New Roman"/>
          <w:bCs/>
          <w:sz w:val="24"/>
          <w:szCs w:val="24"/>
          <w:u w:val="single"/>
        </w:rPr>
        <w:t>315)</w:t>
      </w:r>
      <w:r w:rsidR="009A22A3">
        <w:rPr>
          <w:rFonts w:ascii="Times New Roman" w:hAnsi="Times New Roman" w:eastAsia="MS Mincho" w:cs="Times New Roman"/>
          <w:bCs/>
          <w:sz w:val="24"/>
          <w:szCs w:val="24"/>
          <w:u w:val="single"/>
        </w:rPr>
        <w:t>,</w:t>
      </w:r>
      <w:r w:rsidR="00EA41CE">
        <w:rPr>
          <w:rFonts w:ascii="Times New Roman" w:hAnsi="Times New Roman" w:eastAsia="MS Mincho" w:cs="Times New Roman"/>
          <w:bCs/>
          <w:sz w:val="24"/>
          <w:szCs w:val="24"/>
          <w:u w:val="single"/>
        </w:rPr>
        <w:t xml:space="preserve"> and FinCEN Report 110-</w:t>
      </w:r>
      <w:r w:rsidR="002205E0">
        <w:rPr>
          <w:rFonts w:ascii="Times New Roman" w:hAnsi="Times New Roman" w:eastAsia="MS Mincho" w:cs="Times New Roman"/>
          <w:bCs/>
          <w:sz w:val="24"/>
          <w:szCs w:val="24"/>
          <w:u w:val="single"/>
        </w:rPr>
        <w:t>Designation of Exempt Persons (</w:t>
      </w:r>
      <w:r w:rsidR="00EA41CE">
        <w:rPr>
          <w:rFonts w:ascii="Times New Roman" w:hAnsi="Times New Roman" w:eastAsia="MS Mincho" w:cs="Times New Roman"/>
          <w:bCs/>
          <w:sz w:val="24"/>
          <w:szCs w:val="24"/>
          <w:u w:val="single"/>
        </w:rPr>
        <w:t>DO</w:t>
      </w:r>
      <w:r w:rsidR="00915695">
        <w:rPr>
          <w:rFonts w:ascii="Times New Roman" w:hAnsi="Times New Roman" w:eastAsia="MS Mincho" w:cs="Times New Roman"/>
          <w:bCs/>
          <w:sz w:val="24"/>
          <w:szCs w:val="24"/>
          <w:u w:val="single"/>
        </w:rPr>
        <w:t>E</w:t>
      </w:r>
      <w:r w:rsidR="00EA41CE">
        <w:rPr>
          <w:rFonts w:ascii="Times New Roman" w:hAnsi="Times New Roman" w:eastAsia="MS Mincho" w:cs="Times New Roman"/>
          <w:bCs/>
          <w:sz w:val="24"/>
          <w:szCs w:val="24"/>
          <w:u w:val="single"/>
        </w:rPr>
        <w:t>P</w:t>
      </w:r>
      <w:r w:rsidR="002205E0">
        <w:rPr>
          <w:rFonts w:ascii="Times New Roman" w:hAnsi="Times New Roman" w:eastAsia="MS Mincho" w:cs="Times New Roman"/>
          <w:bCs/>
          <w:sz w:val="24"/>
          <w:szCs w:val="24"/>
          <w:u w:val="single"/>
        </w:rPr>
        <w:t>)</w:t>
      </w:r>
      <w:r w:rsidR="00EA41CE">
        <w:rPr>
          <w:rFonts w:ascii="Times New Roman" w:hAnsi="Times New Roman" w:eastAsia="MS Mincho" w:cs="Times New Roman"/>
          <w:bCs/>
          <w:sz w:val="24"/>
          <w:szCs w:val="24"/>
          <w:u w:val="single"/>
        </w:rPr>
        <w:t xml:space="preserve"> Report</w:t>
      </w:r>
      <w:r w:rsidRPr="00417F2A" w:rsidR="00417F2A">
        <w:rPr>
          <w:rFonts w:ascii="Times New Roman" w:hAnsi="Times New Roman" w:eastAsia="MS Mincho" w:cs="Times New Roman"/>
          <w:bCs/>
          <w:sz w:val="24"/>
          <w:szCs w:val="24"/>
          <w:u w:val="single"/>
        </w:rPr>
        <w:t>.</w:t>
      </w:r>
      <w:r w:rsidRPr="00AA6051" w:rsidR="00F22B68">
        <w:rPr>
          <w:rFonts w:ascii="Times New Roman" w:hAnsi="Times New Roman" w:cs="Times New Roman"/>
          <w:sz w:val="24"/>
          <w:szCs w:val="24"/>
          <w:u w:val="single"/>
        </w:rPr>
        <w:t xml:space="preserve"> </w:t>
      </w:r>
    </w:p>
    <w:p w:rsidRPr="00AA6051" w:rsidR="00643252" w:rsidP="009829C3" w:rsidRDefault="00643252" w14:paraId="2EC466E6" w14:textId="77777777">
      <w:pPr>
        <w:pStyle w:val="PlainText"/>
        <w:rPr>
          <w:rFonts w:ascii="Times New Roman" w:hAnsi="Times New Roman" w:eastAsia="MS Mincho" w:cs="Times New Roman"/>
          <w:sz w:val="24"/>
        </w:rPr>
      </w:pPr>
    </w:p>
    <w:p w:rsidRPr="00AA6051" w:rsidR="00643252" w:rsidP="009829C3" w:rsidRDefault="00643252" w14:paraId="3FAC580D" w14:textId="419E8726">
      <w:pPr>
        <w:pStyle w:val="PlainText"/>
        <w:rPr>
          <w:rFonts w:ascii="Times New Roman" w:hAnsi="Times New Roman" w:eastAsia="MS Mincho" w:cs="Times New Roman"/>
          <w:sz w:val="24"/>
        </w:rPr>
      </w:pPr>
      <w:r w:rsidRPr="00AA6051">
        <w:rPr>
          <w:rFonts w:ascii="Times New Roman" w:hAnsi="Times New Roman" w:eastAsia="MS Mincho" w:cs="Times New Roman"/>
          <w:sz w:val="24"/>
        </w:rPr>
        <w:t xml:space="preserve">1. </w:t>
      </w:r>
      <w:r w:rsidRPr="00AA6051">
        <w:rPr>
          <w:rFonts w:ascii="Times New Roman" w:hAnsi="Times New Roman" w:cs="Times New Roman"/>
          <w:sz w:val="24"/>
          <w:szCs w:val="22"/>
          <w:u w:val="single"/>
        </w:rPr>
        <w:t xml:space="preserve">Circumstances </w:t>
      </w:r>
      <w:r w:rsidRPr="00AA6051" w:rsidR="00F22B68">
        <w:rPr>
          <w:rFonts w:ascii="Times New Roman" w:hAnsi="Times New Roman" w:cs="Times New Roman"/>
          <w:sz w:val="24"/>
          <w:szCs w:val="22"/>
          <w:u w:val="single"/>
        </w:rPr>
        <w:t>n</w:t>
      </w:r>
      <w:r w:rsidRPr="00AA6051">
        <w:rPr>
          <w:rFonts w:ascii="Times New Roman" w:hAnsi="Times New Roman" w:cs="Times New Roman"/>
          <w:sz w:val="24"/>
          <w:szCs w:val="22"/>
          <w:u w:val="single"/>
        </w:rPr>
        <w:t xml:space="preserve">ecessitating </w:t>
      </w:r>
      <w:r w:rsidRPr="00AA6051" w:rsidR="00F22B68">
        <w:rPr>
          <w:rFonts w:ascii="Times New Roman" w:hAnsi="Times New Roman" w:cs="Times New Roman"/>
          <w:sz w:val="24"/>
          <w:szCs w:val="22"/>
          <w:u w:val="single"/>
        </w:rPr>
        <w:t>c</w:t>
      </w:r>
      <w:r w:rsidRPr="00AA6051">
        <w:rPr>
          <w:rFonts w:ascii="Times New Roman" w:hAnsi="Times New Roman" w:cs="Times New Roman"/>
          <w:sz w:val="24"/>
          <w:szCs w:val="22"/>
          <w:u w:val="single"/>
        </w:rPr>
        <w:t xml:space="preserve">ollection of </w:t>
      </w:r>
      <w:r w:rsidRPr="00AA6051" w:rsidR="00F22B68">
        <w:rPr>
          <w:rFonts w:ascii="Times New Roman" w:hAnsi="Times New Roman" w:cs="Times New Roman"/>
          <w:sz w:val="24"/>
          <w:szCs w:val="22"/>
          <w:u w:val="single"/>
        </w:rPr>
        <w:t>i</w:t>
      </w:r>
      <w:r w:rsidRPr="00AA6051">
        <w:rPr>
          <w:rFonts w:ascii="Times New Roman" w:hAnsi="Times New Roman" w:cs="Times New Roman"/>
          <w:sz w:val="24"/>
          <w:szCs w:val="22"/>
          <w:u w:val="single"/>
        </w:rPr>
        <w:t>nformation.</w:t>
      </w:r>
    </w:p>
    <w:p w:rsidRPr="00AA6051" w:rsidR="00F22B68" w:rsidP="009829C3" w:rsidRDefault="00F22B68" w14:paraId="51BAC409" w14:textId="77777777">
      <w:pPr>
        <w:pStyle w:val="PlainText"/>
        <w:rPr>
          <w:rFonts w:ascii="Times New Roman" w:hAnsi="Times New Roman" w:eastAsia="MS Mincho" w:cs="Times New Roman"/>
          <w:sz w:val="24"/>
        </w:rPr>
      </w:pPr>
    </w:p>
    <w:p w:rsidR="009903B8" w:rsidP="00D9645C" w:rsidRDefault="00D9645C" w14:paraId="19C6E72F" w14:textId="77777777">
      <w:pPr>
        <w:ind w:firstLine="720"/>
        <w:rPr>
          <w:color w:val="000000" w:themeColor="text1"/>
        </w:rPr>
      </w:pPr>
      <w:r w:rsidRPr="00821BCA">
        <w:rPr>
          <w:color w:val="000000" w:themeColor="text1"/>
        </w:rPr>
        <w:t>The legislative framework generally referred to as the Bank Secrecy Act (BSA) consists of the Currency and Financial Transactions Reporting Act of 1970, as amended by the Uniting and Strengthening America by Providing Appropriate Tools Required to Intercept and Obstruct Terrorism Act of 2001 (USA PATRIOT Act) (Public Law 107–56) and other legislation</w:t>
      </w:r>
      <w:r w:rsidR="00D01527">
        <w:rPr>
          <w:color w:val="000000" w:themeColor="text1"/>
        </w:rPr>
        <w:t xml:space="preserve">, </w:t>
      </w:r>
      <w:r w:rsidR="00D01527">
        <w:t>i</w:t>
      </w:r>
      <w:r w:rsidRPr="002205E0" w:rsidR="00D01527">
        <w:t>ncluding most recently the Anti-Money Laundering Act of 2020 (AML Act) (Division F of Public Law 116-283)</w:t>
      </w:r>
      <w:r w:rsidRPr="00127A5D" w:rsidR="00D01527">
        <w:t>.</w:t>
      </w:r>
      <w:r w:rsidR="00D01527">
        <w:t xml:space="preserve"> </w:t>
      </w:r>
      <w:r w:rsidRPr="00821BCA">
        <w:rPr>
          <w:color w:val="000000" w:themeColor="text1"/>
        </w:rPr>
        <w:t>The BSA is codified at 12 U.S.C. 1829b, 12 U.S.C. 1951–1959, 31 U.S.C. 5311–5314 and 5316–</w:t>
      </w:r>
      <w:r w:rsidRPr="00821BCA" w:rsidR="00700E3B">
        <w:rPr>
          <w:color w:val="000000" w:themeColor="text1"/>
        </w:rPr>
        <w:t>533</w:t>
      </w:r>
      <w:r w:rsidR="00700E3B">
        <w:rPr>
          <w:color w:val="000000" w:themeColor="text1"/>
        </w:rPr>
        <w:t>6</w:t>
      </w:r>
      <w:r w:rsidRPr="00821BCA">
        <w:rPr>
          <w:color w:val="000000" w:themeColor="text1"/>
        </w:rPr>
        <w:t xml:space="preserve">, and notes thereto, with implementing regulations at 31 CFR Chapter X. </w:t>
      </w:r>
    </w:p>
    <w:p w:rsidR="009903B8" w:rsidP="00D9645C" w:rsidRDefault="009903B8" w14:paraId="2F63BC4D" w14:textId="77777777">
      <w:pPr>
        <w:ind w:firstLine="720"/>
        <w:rPr>
          <w:color w:val="000000" w:themeColor="text1"/>
        </w:rPr>
      </w:pPr>
    </w:p>
    <w:p w:rsidR="00D9645C" w:rsidP="00D9645C" w:rsidRDefault="00D9645C" w14:paraId="63A70D31" w14:textId="5DB391A7">
      <w:pPr>
        <w:ind w:firstLine="720"/>
      </w:pPr>
      <w:r w:rsidRPr="00120B54">
        <w:t xml:space="preserve">The BSA authorizes the Secretary of the Treasury, </w:t>
      </w:r>
      <w:r w:rsidRPr="00120B54">
        <w:rPr>
          <w:i/>
        </w:rPr>
        <w:t>inter alia</w:t>
      </w:r>
      <w:r w:rsidRPr="00120B54">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AML programs and compliance procedures.</w:t>
      </w:r>
      <w:r w:rsidRPr="00120B54">
        <w:rPr>
          <w:rStyle w:val="FootnoteReference"/>
        </w:rPr>
        <w:footnoteReference w:id="1"/>
      </w:r>
      <w:r w:rsidRPr="00120B54">
        <w:rPr>
          <w:vertAlign w:val="superscript"/>
        </w:rPr>
        <w:t xml:space="preserve"> </w:t>
      </w:r>
      <w:r w:rsidRPr="00120B54">
        <w:t>Regulations implementing the BSA appear at 31 CFR Chapter X. The authority of the Secretary to administer the BSA has been delegated to the Director of FinCEN.</w:t>
      </w:r>
      <w:r w:rsidRPr="00120B54">
        <w:rPr>
          <w:rStyle w:val="FootnoteReference"/>
        </w:rPr>
        <w:footnoteReference w:id="2"/>
      </w:r>
    </w:p>
    <w:p w:rsidR="009903B8" w:rsidP="00D9645C" w:rsidRDefault="009903B8" w14:paraId="30D32B06" w14:textId="77777777">
      <w:pPr>
        <w:ind w:firstLine="720"/>
      </w:pPr>
    </w:p>
    <w:p w:rsidR="00F95630" w:rsidP="008E721A" w:rsidRDefault="00D122AC" w14:paraId="2C8D25CB" w14:textId="574E88AF">
      <w:pPr>
        <w:ind w:firstLine="720"/>
      </w:pPr>
      <w:r w:rsidRPr="00D122AC">
        <w:t>The requirement for financial institutions to report certain transactions in currency has been an important component of the BSA from its inception.</w:t>
      </w:r>
      <w:r w:rsidRPr="00D122AC">
        <w:rPr>
          <w:vertAlign w:val="superscript"/>
        </w:rPr>
        <w:footnoteReference w:id="3"/>
      </w:r>
      <w:r w:rsidRPr="00D122AC">
        <w:t xml:space="preserve"> Regulation</w:t>
      </w:r>
      <w:r w:rsidR="009F7758">
        <w:t>s have</w:t>
      </w:r>
      <w:r w:rsidRPr="00D122AC">
        <w:t xml:space="preserve"> long established a one-person, one-day, one-institution aggregate currency transaction threshold of $10,000, above which financial institution</w:t>
      </w:r>
      <w:r w:rsidR="007257E4">
        <w:t>s</w:t>
      </w:r>
      <w:r w:rsidRPr="00D122AC">
        <w:t xml:space="preserve"> must file a Currency Transaction Report (CTR)</w:t>
      </w:r>
      <w:r w:rsidR="009F7758">
        <w:t xml:space="preserve"> reporting information about the transaction and the person(s) involved</w:t>
      </w:r>
      <w:r w:rsidRPr="00D122AC">
        <w:t>.</w:t>
      </w:r>
      <w:r w:rsidRPr="00D122AC">
        <w:rPr>
          <w:vertAlign w:val="superscript"/>
        </w:rPr>
        <w:footnoteReference w:id="4"/>
      </w:r>
      <w:r w:rsidRPr="00D122AC">
        <w:t xml:space="preserve"> The Money Laundering Suppression Act of 1994 amended the BSA to </w:t>
      </w:r>
      <w:r w:rsidR="00435364">
        <w:t xml:space="preserve">give banks </w:t>
      </w:r>
      <w:r w:rsidRPr="00D122AC">
        <w:t>certain mandatory exemptions from the requirement for financial institutions to file CTRs, and to give the Secretary authority to create additional such exemptions.</w:t>
      </w:r>
      <w:r w:rsidRPr="00D122AC">
        <w:rPr>
          <w:vertAlign w:val="superscript"/>
        </w:rPr>
        <w:footnoteReference w:id="5"/>
      </w:r>
      <w:r w:rsidRPr="00D122AC">
        <w:t xml:space="preserve"> </w:t>
      </w:r>
      <w:bookmarkStart w:name="_GoBack" w:id="0"/>
      <w:bookmarkEnd w:id="0"/>
      <w:r w:rsidRPr="00D122AC">
        <w:t>Regulations implementing this exemption authority</w:t>
      </w:r>
      <w:r w:rsidR="00435364">
        <w:t xml:space="preserve"> </w:t>
      </w:r>
      <w:r w:rsidRPr="00D122AC">
        <w:t>are found at 31 CFR 1020.315.</w:t>
      </w:r>
      <w:r w:rsidRPr="00F95630" w:rsidR="00F95630">
        <w:rPr>
          <w:rFonts w:eastAsiaTheme="minorHAnsi"/>
        </w:rPr>
        <w:t xml:space="preserve"> </w:t>
      </w:r>
      <w:r w:rsidR="00435364">
        <w:rPr>
          <w:rFonts w:eastAsiaTheme="minorHAnsi"/>
        </w:rPr>
        <w:t>These regulations, as explained in greater detail below, require banks to submit the</w:t>
      </w:r>
      <w:r w:rsidR="001F6A7C">
        <w:rPr>
          <w:rFonts w:eastAsiaTheme="minorHAnsi"/>
        </w:rPr>
        <w:t xml:space="preserve"> Designation of Exempt Persons</w:t>
      </w:r>
      <w:r w:rsidR="00435364">
        <w:rPr>
          <w:rFonts w:eastAsiaTheme="minorHAnsi"/>
        </w:rPr>
        <w:t xml:space="preserve"> </w:t>
      </w:r>
      <w:r w:rsidR="001F6A7C">
        <w:rPr>
          <w:rFonts w:eastAsiaTheme="minorHAnsi"/>
        </w:rPr>
        <w:t>(</w:t>
      </w:r>
      <w:r w:rsidR="00435364">
        <w:rPr>
          <w:rFonts w:eastAsiaTheme="minorHAnsi"/>
        </w:rPr>
        <w:t>DOEP</w:t>
      </w:r>
      <w:r w:rsidR="001F6A7C">
        <w:rPr>
          <w:rFonts w:eastAsiaTheme="minorHAnsi"/>
        </w:rPr>
        <w:t>)</w:t>
      </w:r>
      <w:r w:rsidR="00435364">
        <w:rPr>
          <w:rFonts w:eastAsiaTheme="minorHAnsi"/>
        </w:rPr>
        <w:t xml:space="preserve"> Report to create certain exemptions from the CTR requirement.</w:t>
      </w:r>
      <w:r w:rsidR="008E721A">
        <w:rPr>
          <w:rFonts w:eastAsiaTheme="minorHAnsi"/>
        </w:rPr>
        <w:t xml:space="preserve"> </w:t>
      </w:r>
      <w:r w:rsidRPr="00F95630" w:rsidR="00F95630">
        <w:t xml:space="preserve">Under 31 CFR 1020.315(a), a bank is not required to file a CTR with respect to any transaction </w:t>
      </w:r>
      <w:r w:rsidRPr="00F95630" w:rsidR="00F95630">
        <w:lastRenderedPageBreak/>
        <w:t>in currency between exempt persons and the bank, or between an exempt person and other banks that are affiliated with the bank.</w:t>
      </w:r>
      <w:r w:rsidRPr="00F95630" w:rsidR="00F95630">
        <w:rPr>
          <w:vertAlign w:val="superscript"/>
        </w:rPr>
        <w:footnoteReference w:id="6"/>
      </w:r>
      <w:r w:rsidRPr="00F95630" w:rsidR="00F95630">
        <w:t xml:space="preserve"> </w:t>
      </w:r>
    </w:p>
    <w:p w:rsidRPr="00F95630" w:rsidR="00F95630" w:rsidP="00F95630" w:rsidRDefault="00F95630" w14:paraId="7CB67156" w14:textId="77777777">
      <w:pPr>
        <w:ind w:firstLine="720"/>
      </w:pPr>
    </w:p>
    <w:p w:rsidR="00F95630" w:rsidP="00F95630" w:rsidRDefault="00F95630" w14:paraId="3DEFAB92" w14:textId="750F69AB">
      <w:pPr>
        <w:ind w:firstLine="720"/>
      </w:pPr>
      <w:r w:rsidRPr="00F95630">
        <w:t>31 CFR 1020.315(b) sets out that an exempt person is: (1) A bank, to the extent of such bank’s domestic operations; (2) a department or agency of the United States, of any State, or of any political subdivision of any State; (3) any entity established under the laws of the United States, any State, or any political subdivision of any State, or under an interstate compact, that exercises governmental authority on behalf of the United States, any such State, or any such political subdivision; (4) any entity, other than a bank, whose common stock or analogous equity interests are listed on the New York Stock Exchange, the American Exchange, or the NASDAQ Stock Market (a ‘‘listed entity’’), provided that, if the listed entity is a financial institution other than a bank, it is an exempt person only to the extent of its domestic operations; (5) any subsidiary, other than a bank, of a listed entity mentioned in the previous item (4) that is organized under the laws of the United S</w:t>
      </w:r>
      <w:r w:rsidR="007257E4">
        <w:t>t</w:t>
      </w:r>
      <w:r w:rsidRPr="00F95630">
        <w:t>ates or of any State, provided that the listed entity owns at least 51 percent of the equity interest of the subsidiary, and subject to the qualification that if the subsidiary is a financial institution other than a bank, it is an exempt person only to the extent of its domestic operations; (6) any other commercial enterprise, with certain exceptions, that maintains a transaction account at the bank for at least two months, frequently engages in transactions with the bank in currency in excess of $10,000, and is incorporated or organized under the laws of, or is registered as and eligible to do business within, the United States or a State (a ‘‘non-listed business’’), but only to the extent of the non-listed business customers’ domestic operations and only with respect to transactions conducted through the non</w:t>
      </w:r>
      <w:r w:rsidR="00A939D9">
        <w:t>-</w:t>
      </w:r>
      <w:r w:rsidRPr="00F95630">
        <w:t>listed business customer’s exemptible accounts; or (7) any other person, with certain exceptions, that maintains a transaction account at the bank for at least two months, operates a firm that frequently withdraws more than $10,000 in order to pay its U.S. employees in currency, and is incorporated or organized under the laws of, or is registered as and eligible to do business within, the United States or a State (a ‘‘payroll customer’’), but solely with respect to withdrawals for payroll purposes from existing exemptible accounts.</w:t>
      </w:r>
      <w:r w:rsidRPr="00F95630">
        <w:rPr>
          <w:vertAlign w:val="superscript"/>
        </w:rPr>
        <w:footnoteReference w:id="7"/>
      </w:r>
      <w:r w:rsidRPr="00F95630">
        <w:t xml:space="preserve"> </w:t>
      </w:r>
    </w:p>
    <w:p w:rsidRPr="00F95630" w:rsidR="00F95630" w:rsidP="00F95630" w:rsidRDefault="00F95630" w14:paraId="163CCF90" w14:textId="77777777">
      <w:pPr>
        <w:ind w:firstLine="720"/>
      </w:pPr>
    </w:p>
    <w:p w:rsidR="00F95630" w:rsidP="00F95630" w:rsidRDefault="00F95630" w14:paraId="08A0B402" w14:textId="77777777">
      <w:pPr>
        <w:ind w:firstLine="720"/>
      </w:pPr>
      <w:r w:rsidRPr="00F95630">
        <w:t>31 CFR 1020.315(c)(1) requires a bank to designate an exempt person by filing the DOEP Report</w:t>
      </w:r>
      <w:r w:rsidRPr="00F95630">
        <w:rPr>
          <w:vertAlign w:val="superscript"/>
        </w:rPr>
        <w:footnoteReference w:id="8"/>
      </w:r>
      <w:r w:rsidRPr="00F95630">
        <w:t xml:space="preserve"> within 30 calendar days after the day of the first reportable transaction in currency with that person that the bank seeks to exempt from reporting. A bank holding company or one of its bank subsidiaries may make such a designation on behalf of any or all of the bank holding company’s bank subsidiaries by listing those bank subsidiaries in the DOEP Report that it files.</w:t>
      </w:r>
      <w:r w:rsidRPr="00F95630">
        <w:rPr>
          <w:vertAlign w:val="superscript"/>
        </w:rPr>
        <w:footnoteReference w:id="9"/>
      </w:r>
      <w:r w:rsidRPr="00F95630">
        <w:t xml:space="preserve"> However, a bank is not required to file a DOEP Report for transfer of currency to or from (1) any of the 12 Federal Reserve </w:t>
      </w:r>
      <w:r w:rsidRPr="00F95630">
        <w:lastRenderedPageBreak/>
        <w:t>Banks, (2) a bank, to the extent of such bank’s domestic operations, (3) a department or agency of the United States, of any State, or of any political subdivision of any State, or (4) any entity established under the laws of the United States, any State, or any political subdivision of any State, or under an interstate compact between two or more States, that exercises governmental authority on behalf of the United States or any such State or political subdivision.</w:t>
      </w:r>
      <w:r w:rsidRPr="00F95630">
        <w:rPr>
          <w:vertAlign w:val="superscript"/>
        </w:rPr>
        <w:footnoteReference w:id="10"/>
      </w:r>
    </w:p>
    <w:p w:rsidRPr="00F95630" w:rsidR="00F95630" w:rsidP="00F95630" w:rsidRDefault="00F95630" w14:paraId="2E95DD2D" w14:textId="6E1DCF25">
      <w:pPr>
        <w:ind w:firstLine="720"/>
      </w:pPr>
      <w:r w:rsidRPr="00F95630">
        <w:t xml:space="preserve"> </w:t>
      </w:r>
    </w:p>
    <w:p w:rsidR="00F95630" w:rsidP="00F95630" w:rsidRDefault="00F95630" w14:paraId="4652D8B8" w14:textId="4CBCBB67">
      <w:pPr>
        <w:ind w:firstLine="720"/>
      </w:pPr>
      <w:r w:rsidRPr="00F95630">
        <w:t>31 CFR 1020.315(d) requires a bank to review at least once annually the continued eligibility of an exempt person that is a (1) listed entity, (2) subsidiary of a listed entity, (3) non</w:t>
      </w:r>
      <w:r w:rsidR="00C92FD2">
        <w:t>-</w:t>
      </w:r>
      <w:r w:rsidRPr="00F95630">
        <w:t xml:space="preserve">listed business customer, or (4) payroll customer. As part of the annual review, a bank must also review the application to each existing account of a non-listed business or payroll customer of the monitoring system that 31 CFR 1020.315(h)(2) requires the bank to maintain (related to suspicious activity monitoring). </w:t>
      </w:r>
    </w:p>
    <w:p w:rsidRPr="00F95630" w:rsidR="00F95630" w:rsidP="00F95630" w:rsidRDefault="00F95630" w14:paraId="359B47D6" w14:textId="77777777">
      <w:pPr>
        <w:ind w:firstLine="720"/>
      </w:pPr>
    </w:p>
    <w:p w:rsidR="00F95630" w:rsidP="00F95630" w:rsidRDefault="00F95630" w14:paraId="7350EEB8" w14:textId="0184AE18">
      <w:pPr>
        <w:ind w:firstLine="720"/>
      </w:pPr>
      <w:r w:rsidRPr="00F95630">
        <w:t>Under 31 CFR 1020.315(e), a bank must take steps to assure itself that an exempt person meets the definition of that term (see 31 CFR 1020.315(b), summarized above), document the basis for its conclusion, and document its compliance with the terms of the exemption, including the operating rules in 31 CFR 1020.315(e)(2)-(9). A bank must also take steps to document compliance with its suspicious activity monitoring obligations under 31 CFR 1020.315(h)(2). The steps that the bank takes under 31 CFR 1020.315(e) must be those that a reasonable and prudent bank would take and document to protect itself from fraud or loss based on misidentification of a person’s status and, in the case of the suspicious activity monitoring obligations, to identify suspicious transactions.</w:t>
      </w:r>
    </w:p>
    <w:p w:rsidRPr="00F95630" w:rsidR="00F95630" w:rsidP="00F95630" w:rsidRDefault="00F95630" w14:paraId="5A178976" w14:textId="77777777">
      <w:pPr>
        <w:ind w:firstLine="720"/>
      </w:pPr>
    </w:p>
    <w:p w:rsidR="00F95630" w:rsidP="00F95630" w:rsidRDefault="00F95630" w14:paraId="02E30DEC" w14:textId="3753954F">
      <w:pPr>
        <w:ind w:firstLine="720"/>
      </w:pPr>
      <w:r w:rsidRPr="00F95630">
        <w:t>31 CFR 1020.315(h)(1) states that the CTR exemption rules do not relieve a bank of its obligation to report any suspicious transactions pursuant to 31 CFR 1020.320, including any suspicious transactions or attempted transactions in currency associated with the accounts of an exempt person, or relieve a bank of any other reporting or recordkeeping obligation imposed under the authority of the BSA.</w:t>
      </w:r>
      <w:r>
        <w:t xml:space="preserve"> </w:t>
      </w:r>
    </w:p>
    <w:p w:rsidRPr="00F95630" w:rsidR="00F95630" w:rsidP="00F95630" w:rsidRDefault="00F95630" w14:paraId="1C93C421" w14:textId="77777777">
      <w:pPr>
        <w:ind w:firstLine="720"/>
      </w:pPr>
    </w:p>
    <w:p w:rsidRPr="00F95630" w:rsidR="00F95630" w:rsidP="00F95630" w:rsidRDefault="00F95630" w14:paraId="5B99BAA0" w14:textId="66CFEAF2">
      <w:pPr>
        <w:ind w:firstLine="720"/>
      </w:pPr>
      <w:r w:rsidRPr="00F95630">
        <w:t xml:space="preserve">Under 31 CFR 1020.315(h)(2), a bank must establish and maintain a monitoring system that is reasonably designed to detect, for each account of a non-listed business or payroll customer, transactions in currency that would require a bank to file a </w:t>
      </w:r>
      <w:r w:rsidR="00464257">
        <w:t>S</w:t>
      </w:r>
      <w:r w:rsidRPr="00F95630">
        <w:t xml:space="preserve">uspicious </w:t>
      </w:r>
      <w:r w:rsidR="00464257">
        <w:t>A</w:t>
      </w:r>
      <w:r w:rsidRPr="00F95630">
        <w:t xml:space="preserve">ctivity </w:t>
      </w:r>
      <w:r w:rsidR="00464257">
        <w:t>R</w:t>
      </w:r>
      <w:r w:rsidRPr="00F95630">
        <w:t>eport (SAR).</w:t>
      </w:r>
    </w:p>
    <w:p w:rsidRPr="00AA6051" w:rsidR="00A17DAB" w:rsidP="009829C3" w:rsidRDefault="00A17DAB" w14:paraId="7B07C8BE" w14:textId="77777777">
      <w:pPr>
        <w:shd w:val="clear" w:color="auto" w:fill="FFFFFF"/>
        <w:ind w:firstLine="720"/>
        <w:rPr>
          <w:rFonts w:eastAsia="MS Mincho"/>
          <w:bCs/>
        </w:rPr>
      </w:pPr>
    </w:p>
    <w:p w:rsidRPr="00AA6051" w:rsidR="00643252" w:rsidP="009829C3" w:rsidRDefault="00643252" w14:paraId="5EB1D9F8" w14:textId="4C9A19FB">
      <w:pPr>
        <w:rPr>
          <w:bCs/>
        </w:rPr>
      </w:pPr>
      <w:r w:rsidRPr="00AA6051">
        <w:rPr>
          <w:bCs/>
        </w:rPr>
        <w:t xml:space="preserve">2. </w:t>
      </w:r>
      <w:r w:rsidRPr="00AA6051">
        <w:rPr>
          <w:bCs/>
          <w:u w:val="single"/>
        </w:rPr>
        <w:t>M</w:t>
      </w:r>
      <w:r w:rsidRPr="00AA6051" w:rsidR="00E667ED">
        <w:rPr>
          <w:bCs/>
          <w:u w:val="single"/>
        </w:rPr>
        <w:t xml:space="preserve">ethod of </w:t>
      </w:r>
      <w:r w:rsidRPr="006E3962" w:rsidR="00E667ED">
        <w:rPr>
          <w:bCs/>
          <w:u w:val="single"/>
        </w:rPr>
        <w:t>collection and</w:t>
      </w:r>
      <w:r w:rsidRPr="00AA6051" w:rsidR="00E667ED">
        <w:rPr>
          <w:bCs/>
          <w:u w:val="single"/>
        </w:rPr>
        <w:t xml:space="preserve"> use of d</w:t>
      </w:r>
      <w:r w:rsidRPr="00AA6051">
        <w:rPr>
          <w:bCs/>
          <w:u w:val="single"/>
        </w:rPr>
        <w:t>ata.</w:t>
      </w:r>
      <w:r w:rsidRPr="00AA6051">
        <w:rPr>
          <w:bCs/>
        </w:rPr>
        <w:t xml:space="preserve"> </w:t>
      </w:r>
    </w:p>
    <w:p w:rsidRPr="000B3FF1" w:rsidR="00114579" w:rsidP="00114579" w:rsidRDefault="00114579" w14:paraId="14D7F305" w14:textId="77777777">
      <w:pPr>
        <w:widowControl w:val="0"/>
        <w:autoSpaceDE w:val="0"/>
        <w:autoSpaceDN w:val="0"/>
        <w:adjustRightInd w:val="0"/>
        <w:spacing w:line="244" w:lineRule="exact"/>
        <w:ind w:firstLine="715"/>
        <w:rPr>
          <w:bCs/>
        </w:rPr>
      </w:pPr>
    </w:p>
    <w:p w:rsidR="00307BBF" w:rsidP="007B27F1" w:rsidRDefault="000575B6" w14:paraId="2BB904F7" w14:textId="4A525E21">
      <w:pPr>
        <w:ind w:firstLine="720"/>
      </w:pPr>
      <w:r>
        <w:rPr>
          <w:bCs/>
        </w:rPr>
        <w:t>The DOEP Report</w:t>
      </w:r>
      <w:r w:rsidR="00A71303">
        <w:rPr>
          <w:bCs/>
        </w:rPr>
        <w:t xml:space="preserve"> is filed </w:t>
      </w:r>
      <w:r w:rsidR="00114579">
        <w:rPr>
          <w:bCs/>
        </w:rPr>
        <w:t xml:space="preserve">electronically </w:t>
      </w:r>
      <w:r w:rsidR="00A71303">
        <w:rPr>
          <w:bCs/>
        </w:rPr>
        <w:t xml:space="preserve">through the </w:t>
      </w:r>
      <w:r w:rsidRPr="00A71303" w:rsidR="00A71303">
        <w:rPr>
          <w:bCs/>
        </w:rPr>
        <w:t>FinCEN BSA E-Filing system</w:t>
      </w:r>
      <w:r w:rsidRPr="000B3FF1" w:rsidR="00114579">
        <w:rPr>
          <w:bCs/>
        </w:rPr>
        <w:t xml:space="preserve">. </w:t>
      </w:r>
      <w:r w:rsidR="00307BBF">
        <w:t>T</w:t>
      </w:r>
      <w:r w:rsidRPr="0055341F" w:rsidR="00307BBF">
        <w:t>he purpose of this </w:t>
      </w:r>
      <w:r w:rsidRPr="007D3406" w:rsidR="00307BBF">
        <w:rPr>
          <w:bCs/>
        </w:rPr>
        <w:t>report</w:t>
      </w:r>
      <w:r w:rsidRPr="0055341F" w:rsidR="00307BBF">
        <w:t> is to provide a</w:t>
      </w:r>
      <w:r w:rsidR="00F653B9">
        <w:t xml:space="preserve"> tra</w:t>
      </w:r>
      <w:r w:rsidRPr="0055341F" w:rsidR="00307BBF">
        <w:t>n</w:t>
      </w:r>
      <w:r w:rsidR="00F653B9">
        <w:t>sparent, reviewable</w:t>
      </w:r>
      <w:r w:rsidRPr="0055341F" w:rsidR="00307BBF">
        <w:t xml:space="preserve"> means for banks</w:t>
      </w:r>
      <w:r w:rsidR="002205E0">
        <w:t xml:space="preserve"> to exempt</w:t>
      </w:r>
      <w:r w:rsidRPr="0055341F" w:rsidR="00307BBF">
        <w:t xml:space="preserve"> eligible c</w:t>
      </w:r>
      <w:r w:rsidR="00307BBF">
        <w:t xml:space="preserve">ustomers and their transactions </w:t>
      </w:r>
      <w:r w:rsidRPr="0055341F" w:rsidR="00307BBF">
        <w:t xml:space="preserve">from </w:t>
      </w:r>
      <w:r>
        <w:t>CTR filing</w:t>
      </w:r>
      <w:r w:rsidR="0028556F">
        <w:t>s</w:t>
      </w:r>
      <w:r w:rsidR="00F653B9">
        <w:t xml:space="preserve"> when the bank considers exemption appropriate</w:t>
      </w:r>
      <w:r w:rsidR="00307BBF">
        <w:t>.</w:t>
      </w:r>
      <w:r w:rsidRPr="00A71303" w:rsidR="00307BBF">
        <w:t xml:space="preserve"> </w:t>
      </w:r>
      <w:r w:rsidRPr="00A71303" w:rsidR="00A71303">
        <w:t xml:space="preserve">The information collected and retained under this regulation </w:t>
      </w:r>
      <w:r w:rsidR="007D3406">
        <w:t xml:space="preserve">facilitates banks’ </w:t>
      </w:r>
      <w:r w:rsidR="00F653B9">
        <w:t xml:space="preserve">efficient </w:t>
      </w:r>
      <w:r w:rsidR="007D3406">
        <w:t xml:space="preserve">compliance with the CTR </w:t>
      </w:r>
      <w:r w:rsidRPr="0028556F" w:rsidR="007D3406">
        <w:t>requirements</w:t>
      </w:r>
      <w:r w:rsidRPr="0028556F" w:rsidR="00D34F2E">
        <w:t>,</w:t>
      </w:r>
      <w:r w:rsidR="00D34F2E">
        <w:t xml:space="preserve"> </w:t>
      </w:r>
      <w:r w:rsidR="007D3406">
        <w:t xml:space="preserve">while </w:t>
      </w:r>
      <w:r w:rsidRPr="00A71303" w:rsidR="00A71303">
        <w:t>assist</w:t>
      </w:r>
      <w:r w:rsidR="007D3406">
        <w:t>ing</w:t>
      </w:r>
      <w:r w:rsidRPr="00A71303" w:rsidR="00A71303">
        <w:t xml:space="preserve"> Federal, state and local law enforcement </w:t>
      </w:r>
      <w:r w:rsidR="00D34F2E">
        <w:t xml:space="preserve">efforts </w:t>
      </w:r>
      <w:r w:rsidRPr="00A71303" w:rsidR="00A71303">
        <w:t xml:space="preserve">in identifying, investigating, and prosecuting individuals and entities involved in a variety of financial crimes. </w:t>
      </w:r>
      <w:r w:rsidRPr="000B3FF1" w:rsidR="00114579">
        <w:t xml:space="preserve"> </w:t>
      </w:r>
    </w:p>
    <w:p w:rsidR="00114579" w:rsidP="00114579" w:rsidRDefault="00114579" w14:paraId="3EF1BD07" w14:textId="659F4F7B">
      <w:pPr>
        <w:ind w:firstLine="720"/>
      </w:pPr>
      <w:r w:rsidRPr="000B3FF1">
        <w:t xml:space="preserve"> </w:t>
      </w:r>
    </w:p>
    <w:p w:rsidRPr="00C34B95" w:rsidR="00643252" w:rsidP="009829C3" w:rsidRDefault="00643252" w14:paraId="6E3337A8" w14:textId="77777777">
      <w:pPr>
        <w:rPr>
          <w:szCs w:val="22"/>
        </w:rPr>
      </w:pPr>
      <w:r w:rsidRPr="00C34B95">
        <w:rPr>
          <w:szCs w:val="22"/>
        </w:rPr>
        <w:lastRenderedPageBreak/>
        <w:t xml:space="preserve">3. </w:t>
      </w:r>
      <w:r w:rsidRPr="00C34B95" w:rsidR="00E667ED">
        <w:rPr>
          <w:szCs w:val="22"/>
          <w:u w:val="single"/>
        </w:rPr>
        <w:t>Use of i</w:t>
      </w:r>
      <w:r w:rsidRPr="00C34B95">
        <w:rPr>
          <w:szCs w:val="22"/>
          <w:u w:val="single"/>
        </w:rPr>
        <w:t xml:space="preserve">mproved </w:t>
      </w:r>
      <w:r w:rsidRPr="00C34B95" w:rsidR="00E667ED">
        <w:rPr>
          <w:szCs w:val="22"/>
          <w:u w:val="single"/>
        </w:rPr>
        <w:t>i</w:t>
      </w:r>
      <w:r w:rsidRPr="000B513E" w:rsidR="00E667ED">
        <w:rPr>
          <w:szCs w:val="22"/>
          <w:u w:val="single"/>
        </w:rPr>
        <w:t>nformation</w:t>
      </w:r>
      <w:r w:rsidRPr="00C34B95" w:rsidR="00E667ED">
        <w:rPr>
          <w:szCs w:val="22"/>
          <w:u w:val="single"/>
        </w:rPr>
        <w:t xml:space="preserve"> technology to reduce b</w:t>
      </w:r>
      <w:r w:rsidRPr="00C34B95">
        <w:rPr>
          <w:szCs w:val="22"/>
          <w:u w:val="single"/>
        </w:rPr>
        <w:t>urden.</w:t>
      </w:r>
      <w:r w:rsidRPr="00C34B95">
        <w:rPr>
          <w:szCs w:val="22"/>
        </w:rPr>
        <w:t xml:space="preserve"> </w:t>
      </w:r>
    </w:p>
    <w:p w:rsidR="00C879E5" w:rsidP="00C879E5" w:rsidRDefault="00C879E5" w14:paraId="3D0C06BD" w14:textId="32874CE8"/>
    <w:p w:rsidRPr="009F7312" w:rsidR="009F7312" w:rsidP="009F7312" w:rsidRDefault="00077DB6" w14:paraId="7BBF9FB2" w14:textId="51034081">
      <w:r>
        <w:tab/>
      </w:r>
      <w:r w:rsidRPr="009F7312" w:rsidR="009F7312">
        <w:t xml:space="preserve">The BSA E-filing system supports electronic filing of BSA reports, including </w:t>
      </w:r>
      <w:r w:rsidR="00FC195D">
        <w:t>the DOEP Report</w:t>
      </w:r>
      <w:r w:rsidR="00990BF5">
        <w:t>,</w:t>
      </w:r>
      <w:r w:rsidR="00FC195D">
        <w:t xml:space="preserve"> </w:t>
      </w:r>
      <w:r w:rsidRPr="009F7312" w:rsidR="009F7312">
        <w:t>through a FinCEN secure network. BSA E-filing provides a faster</w:t>
      </w:r>
      <w:r w:rsidR="00990BF5">
        <w:t>,</w:t>
      </w:r>
      <w:r w:rsidRPr="009F7312" w:rsidR="009F7312">
        <w:t xml:space="preserve"> more convenient, secure</w:t>
      </w:r>
      <w:r w:rsidR="00990BF5">
        <w:t>,</w:t>
      </w:r>
      <w:r w:rsidRPr="009F7312" w:rsidR="009F7312">
        <w:t xml:space="preserve"> and cost-effective method for submitting BSA reports. </w:t>
      </w:r>
    </w:p>
    <w:p w:rsidRPr="00AA6051" w:rsidR="009829C3" w:rsidP="009F7312" w:rsidRDefault="009829C3" w14:paraId="5495A9E6" w14:textId="365F2949">
      <w:pPr>
        <w:rPr>
          <w:szCs w:val="22"/>
        </w:rPr>
      </w:pPr>
    </w:p>
    <w:p w:rsidRPr="00AA6051" w:rsidR="00643252" w:rsidP="009829C3" w:rsidRDefault="00643252" w14:paraId="0CA3AFA8" w14:textId="77777777">
      <w:pPr>
        <w:rPr>
          <w:szCs w:val="22"/>
          <w:u w:val="single"/>
        </w:rPr>
      </w:pPr>
      <w:r w:rsidRPr="00AA6051">
        <w:rPr>
          <w:szCs w:val="22"/>
        </w:rPr>
        <w:t xml:space="preserve">4. </w:t>
      </w:r>
      <w:r w:rsidRPr="00AA6051" w:rsidR="00E667ED">
        <w:rPr>
          <w:szCs w:val="22"/>
          <w:u w:val="single"/>
        </w:rPr>
        <w:t>Efforts to identify d</w:t>
      </w:r>
      <w:r w:rsidRPr="00AA6051">
        <w:rPr>
          <w:szCs w:val="22"/>
          <w:u w:val="single"/>
        </w:rPr>
        <w:t>uplication</w:t>
      </w:r>
      <w:r w:rsidRPr="00AA6051" w:rsidR="003E69DC">
        <w:rPr>
          <w:szCs w:val="22"/>
          <w:u w:val="single"/>
        </w:rPr>
        <w:t>.</w:t>
      </w:r>
      <w:r w:rsidRPr="00AA6051">
        <w:rPr>
          <w:szCs w:val="22"/>
          <w:u w:val="single"/>
        </w:rPr>
        <w:t xml:space="preserve"> </w:t>
      </w:r>
    </w:p>
    <w:p w:rsidRPr="00AA6051" w:rsidR="009829C3" w:rsidP="009829C3" w:rsidRDefault="009829C3" w14:paraId="7E967501" w14:textId="77777777">
      <w:pPr>
        <w:rPr>
          <w:szCs w:val="22"/>
          <w:u w:val="single"/>
        </w:rPr>
      </w:pPr>
    </w:p>
    <w:p w:rsidR="005F57F6" w:rsidP="009829C3" w:rsidRDefault="005F57F6" w14:paraId="100CC387" w14:textId="77777777">
      <w:pPr>
        <w:ind w:firstLine="720"/>
      </w:pPr>
      <w:r w:rsidRPr="005F57F6">
        <w:t>There is no similar information available; thus, there is no duplication.</w:t>
      </w:r>
    </w:p>
    <w:p w:rsidRPr="00AA6051" w:rsidR="009829C3" w:rsidP="009829C3" w:rsidRDefault="009829C3" w14:paraId="22BA7DE9" w14:textId="77777777">
      <w:pPr>
        <w:ind w:firstLine="720"/>
      </w:pPr>
    </w:p>
    <w:p w:rsidRPr="00AA6051" w:rsidR="00643252" w:rsidP="009829C3" w:rsidRDefault="00643252" w14:paraId="677D1102" w14:textId="77777777">
      <w:pPr>
        <w:rPr>
          <w:szCs w:val="22"/>
          <w:u w:val="single"/>
        </w:rPr>
      </w:pPr>
      <w:r w:rsidRPr="00AA6051">
        <w:rPr>
          <w:szCs w:val="22"/>
        </w:rPr>
        <w:t xml:space="preserve">5. </w:t>
      </w:r>
      <w:r w:rsidRPr="00AA6051" w:rsidR="00E667ED">
        <w:rPr>
          <w:szCs w:val="22"/>
          <w:u w:val="single"/>
        </w:rPr>
        <w:t>Methods to minimize burden on small businesses or other small e</w:t>
      </w:r>
      <w:r w:rsidRPr="00AA6051">
        <w:rPr>
          <w:szCs w:val="22"/>
          <w:u w:val="single"/>
        </w:rPr>
        <w:t>ntities</w:t>
      </w:r>
      <w:r w:rsidRPr="00AA6051" w:rsidR="003E69DC">
        <w:rPr>
          <w:szCs w:val="22"/>
          <w:u w:val="single"/>
        </w:rPr>
        <w:t>.</w:t>
      </w:r>
    </w:p>
    <w:p w:rsidRPr="00AA6051" w:rsidR="009829C3" w:rsidP="009829C3" w:rsidRDefault="009829C3" w14:paraId="440270DD" w14:textId="77777777">
      <w:pPr>
        <w:ind w:firstLine="720"/>
        <w:rPr>
          <w:szCs w:val="22"/>
        </w:rPr>
      </w:pPr>
    </w:p>
    <w:p w:rsidR="0063375B" w:rsidP="0015749B" w:rsidRDefault="0063375B" w14:paraId="04942349" w14:textId="2EE2D4FC">
      <w:pPr>
        <w:ind w:firstLine="720"/>
        <w:rPr>
          <w:szCs w:val="22"/>
        </w:rPr>
      </w:pPr>
      <w:r w:rsidRPr="0063375B">
        <w:rPr>
          <w:szCs w:val="22"/>
        </w:rPr>
        <w:t xml:space="preserve">The reporting and recordkeeping requirements of these regulations and reports should not pose any adverse impact on small businesses. </w:t>
      </w:r>
      <w:r w:rsidRPr="005609B3" w:rsidR="005609B3">
        <w:rPr>
          <w:szCs w:val="22"/>
        </w:rPr>
        <w:t xml:space="preserve">The </w:t>
      </w:r>
      <w:r w:rsidR="005609B3">
        <w:rPr>
          <w:szCs w:val="22"/>
        </w:rPr>
        <w:t xml:space="preserve">BSA implementing </w:t>
      </w:r>
      <w:r w:rsidRPr="005609B3" w:rsidR="005609B3">
        <w:rPr>
          <w:szCs w:val="22"/>
        </w:rPr>
        <w:t xml:space="preserve">regulations require banks to file </w:t>
      </w:r>
      <w:r w:rsidR="00E05BAF">
        <w:rPr>
          <w:szCs w:val="22"/>
        </w:rPr>
        <w:t>CTRs</w:t>
      </w:r>
      <w:r w:rsidRPr="005609B3" w:rsidR="005609B3">
        <w:rPr>
          <w:szCs w:val="22"/>
        </w:rPr>
        <w:t xml:space="preserve"> on transactions in currency of more than $10,000. The regulations also permit bank</w:t>
      </w:r>
      <w:r w:rsidR="005609B3">
        <w:rPr>
          <w:szCs w:val="22"/>
        </w:rPr>
        <w:t>s</w:t>
      </w:r>
      <w:r w:rsidRPr="005609B3" w:rsidR="005609B3">
        <w:rPr>
          <w:szCs w:val="22"/>
        </w:rPr>
        <w:t xml:space="preserve"> to exempt </w:t>
      </w:r>
      <w:r w:rsidR="00307BBF">
        <w:rPr>
          <w:szCs w:val="22"/>
        </w:rPr>
        <w:t xml:space="preserve">eligible </w:t>
      </w:r>
      <w:r w:rsidRPr="005609B3" w:rsidR="005609B3">
        <w:rPr>
          <w:szCs w:val="22"/>
        </w:rPr>
        <w:t>customer</w:t>
      </w:r>
      <w:r w:rsidR="00990BF5">
        <w:rPr>
          <w:szCs w:val="22"/>
        </w:rPr>
        <w:t>s</w:t>
      </w:r>
      <w:r w:rsidR="00307BBF">
        <w:rPr>
          <w:szCs w:val="22"/>
        </w:rPr>
        <w:t>’</w:t>
      </w:r>
      <w:r w:rsidRPr="005609B3" w:rsidR="005609B3">
        <w:rPr>
          <w:szCs w:val="22"/>
        </w:rPr>
        <w:t xml:space="preserve"> </w:t>
      </w:r>
      <w:r w:rsidR="00307BBF">
        <w:rPr>
          <w:szCs w:val="22"/>
        </w:rPr>
        <w:t xml:space="preserve">transactions </w:t>
      </w:r>
      <w:r w:rsidRPr="005609B3" w:rsidR="005609B3">
        <w:rPr>
          <w:szCs w:val="22"/>
        </w:rPr>
        <w:t xml:space="preserve">from </w:t>
      </w:r>
      <w:r w:rsidR="00307BBF">
        <w:rPr>
          <w:szCs w:val="22"/>
        </w:rPr>
        <w:t xml:space="preserve">CTR reporting requirements by filing a </w:t>
      </w:r>
      <w:r w:rsidR="00B15D6B">
        <w:rPr>
          <w:szCs w:val="22"/>
        </w:rPr>
        <w:t>DOEP Report</w:t>
      </w:r>
      <w:r w:rsidRPr="005609B3" w:rsidR="005609B3">
        <w:rPr>
          <w:szCs w:val="22"/>
        </w:rPr>
        <w:t xml:space="preserve">. Banks are the only type of financial institutions that may exempt customers from </w:t>
      </w:r>
      <w:r w:rsidR="0028556F">
        <w:rPr>
          <w:szCs w:val="22"/>
        </w:rPr>
        <w:t xml:space="preserve">the </w:t>
      </w:r>
      <w:r w:rsidRPr="005609B3" w:rsidR="005609B3">
        <w:rPr>
          <w:szCs w:val="22"/>
        </w:rPr>
        <w:t xml:space="preserve">CTR </w:t>
      </w:r>
      <w:r w:rsidRPr="005609B3" w:rsidR="003F25C8">
        <w:rPr>
          <w:szCs w:val="22"/>
        </w:rPr>
        <w:t>filing requirements</w:t>
      </w:r>
      <w:r w:rsidRPr="005609B3" w:rsidR="005609B3">
        <w:rPr>
          <w:szCs w:val="22"/>
        </w:rPr>
        <w:t>.</w:t>
      </w:r>
      <w:r w:rsidR="005609B3">
        <w:rPr>
          <w:szCs w:val="22"/>
        </w:rPr>
        <w:t xml:space="preserve"> </w:t>
      </w:r>
      <w:r w:rsidR="003F25C8">
        <w:rPr>
          <w:szCs w:val="22"/>
        </w:rPr>
        <w:t xml:space="preserve">DOEP </w:t>
      </w:r>
      <w:r w:rsidR="00687C34">
        <w:rPr>
          <w:szCs w:val="22"/>
        </w:rPr>
        <w:t>R</w:t>
      </w:r>
      <w:r w:rsidR="003F25C8">
        <w:rPr>
          <w:szCs w:val="22"/>
        </w:rPr>
        <w:t>eports</w:t>
      </w:r>
      <w:r w:rsidRPr="00AF4B96" w:rsidR="0050501F">
        <w:rPr>
          <w:szCs w:val="22"/>
        </w:rPr>
        <w:t xml:space="preserve"> </w:t>
      </w:r>
      <w:r w:rsidRPr="00AF4B96" w:rsidR="007A6454">
        <w:rPr>
          <w:szCs w:val="22"/>
        </w:rPr>
        <w:t>are optional</w:t>
      </w:r>
      <w:r w:rsidR="007A6454">
        <w:rPr>
          <w:szCs w:val="22"/>
        </w:rPr>
        <w:t xml:space="preserve"> and </w:t>
      </w:r>
      <w:r w:rsidRPr="0063375B">
        <w:rPr>
          <w:szCs w:val="22"/>
        </w:rPr>
        <w:t xml:space="preserve">only need to be filed when a </w:t>
      </w:r>
      <w:r>
        <w:rPr>
          <w:szCs w:val="22"/>
        </w:rPr>
        <w:t xml:space="preserve">bank elects to </w:t>
      </w:r>
      <w:r w:rsidRPr="00F95630" w:rsidR="007A6454">
        <w:t>exempt</w:t>
      </w:r>
      <w:r w:rsidR="00AF4B96">
        <w:t xml:space="preserve"> customers from </w:t>
      </w:r>
      <w:r w:rsidR="00307BBF">
        <w:t xml:space="preserve">CTR </w:t>
      </w:r>
      <w:r w:rsidR="00AF4B96">
        <w:t>filing</w:t>
      </w:r>
      <w:r w:rsidR="007A6454">
        <w:t xml:space="preserve">. </w:t>
      </w:r>
      <w:r w:rsidR="00990BF5">
        <w:t>Banks that qualify as s</w:t>
      </w:r>
      <w:r w:rsidRPr="0063375B" w:rsidR="008A5BC7">
        <w:rPr>
          <w:szCs w:val="22"/>
        </w:rPr>
        <w:t xml:space="preserve">mall </w:t>
      </w:r>
      <w:r w:rsidRPr="0063375B">
        <w:rPr>
          <w:szCs w:val="22"/>
        </w:rPr>
        <w:t xml:space="preserve">businesses are less likely to </w:t>
      </w:r>
      <w:r w:rsidR="0050501F">
        <w:rPr>
          <w:szCs w:val="22"/>
        </w:rPr>
        <w:t xml:space="preserve">maintain accounts for customers that meet the definition of exempt persons.  </w:t>
      </w:r>
    </w:p>
    <w:p w:rsidR="0063375B" w:rsidP="0015749B" w:rsidRDefault="0063375B" w14:paraId="45BAD04C" w14:textId="77777777">
      <w:pPr>
        <w:ind w:firstLine="720"/>
        <w:rPr>
          <w:szCs w:val="22"/>
        </w:rPr>
      </w:pPr>
    </w:p>
    <w:p w:rsidRPr="0015749B" w:rsidR="0015749B" w:rsidP="0015749B" w:rsidRDefault="00845225" w14:paraId="7EF73B26" w14:textId="6D2F29C4">
      <w:pPr>
        <w:ind w:firstLine="720"/>
        <w:rPr>
          <w:szCs w:val="22"/>
        </w:rPr>
      </w:pPr>
      <w:r w:rsidRPr="00845225">
        <w:rPr>
          <w:szCs w:val="22"/>
        </w:rPr>
        <w:t xml:space="preserve">FinCEN does not consider it possible to further reduce the burden for small businesses. </w:t>
      </w:r>
    </w:p>
    <w:p w:rsidRPr="00AA6051" w:rsidR="009748B8" w:rsidP="009829C3" w:rsidRDefault="009748B8" w14:paraId="0DE52C0D" w14:textId="371E0F74">
      <w:pPr>
        <w:ind w:firstLine="720"/>
        <w:rPr>
          <w:szCs w:val="22"/>
        </w:rPr>
      </w:pPr>
    </w:p>
    <w:p w:rsidRPr="00AA6051" w:rsidR="00643252" w:rsidP="009829C3" w:rsidRDefault="00643252" w14:paraId="3193A4B7" w14:textId="77777777">
      <w:pPr>
        <w:rPr>
          <w:szCs w:val="22"/>
        </w:rPr>
      </w:pPr>
      <w:r w:rsidRPr="00AA6051">
        <w:rPr>
          <w:szCs w:val="22"/>
        </w:rPr>
        <w:t xml:space="preserve">6. </w:t>
      </w:r>
      <w:r w:rsidRPr="00AA6051" w:rsidR="00E667ED">
        <w:rPr>
          <w:szCs w:val="22"/>
          <w:u w:val="single"/>
        </w:rPr>
        <w:t xml:space="preserve">Consequences to </w:t>
      </w:r>
      <w:r w:rsidRPr="002248E9" w:rsidR="00E667ED">
        <w:rPr>
          <w:szCs w:val="22"/>
          <w:u w:val="single"/>
        </w:rPr>
        <w:t>the Federal g</w:t>
      </w:r>
      <w:r w:rsidRPr="002248E9">
        <w:rPr>
          <w:szCs w:val="22"/>
          <w:u w:val="single"/>
        </w:rPr>
        <w:t>o</w:t>
      </w:r>
      <w:r w:rsidRPr="002248E9" w:rsidR="00E667ED">
        <w:rPr>
          <w:szCs w:val="22"/>
          <w:u w:val="single"/>
        </w:rPr>
        <w:t>vernment</w:t>
      </w:r>
      <w:r w:rsidRPr="00AA6051" w:rsidR="00E667ED">
        <w:rPr>
          <w:szCs w:val="22"/>
          <w:u w:val="single"/>
        </w:rPr>
        <w:t xml:space="preserve"> of not collecting the i</w:t>
      </w:r>
      <w:r w:rsidRPr="00AA6051">
        <w:rPr>
          <w:szCs w:val="22"/>
          <w:u w:val="single"/>
        </w:rPr>
        <w:t>nformation.</w:t>
      </w:r>
      <w:r w:rsidRPr="00AA6051">
        <w:rPr>
          <w:szCs w:val="22"/>
        </w:rPr>
        <w:t xml:space="preserve"> </w:t>
      </w:r>
    </w:p>
    <w:p w:rsidR="00C96B45" w:rsidP="009829C3" w:rsidRDefault="00C96B45" w14:paraId="7023AE97" w14:textId="77777777">
      <w:pPr>
        <w:ind w:firstLine="720"/>
        <w:rPr>
          <w:szCs w:val="22"/>
        </w:rPr>
      </w:pPr>
    </w:p>
    <w:p w:rsidR="0032568B" w:rsidP="00E23A40" w:rsidRDefault="001B4884" w14:paraId="1FC0BA1A" w14:textId="02F703C4">
      <w:pPr>
        <w:ind w:firstLine="720"/>
        <w:rPr>
          <w:szCs w:val="22"/>
        </w:rPr>
      </w:pPr>
      <w:r w:rsidRPr="00C832D9">
        <w:t xml:space="preserve">These </w:t>
      </w:r>
      <w:r w:rsidR="007D3406">
        <w:t xml:space="preserve">reporting and </w:t>
      </w:r>
      <w:r w:rsidRPr="00C832D9">
        <w:t>re</w:t>
      </w:r>
      <w:r w:rsidRPr="003F25C8">
        <w:t>cordkeeping</w:t>
      </w:r>
      <w:r w:rsidRPr="00C832D9">
        <w:t xml:space="preserve"> requirement</w:t>
      </w:r>
      <w:r w:rsidRPr="00065A1A">
        <w:t xml:space="preserve">s are intended to </w:t>
      </w:r>
      <w:r w:rsidRPr="0055341F" w:rsidR="007D3406">
        <w:t xml:space="preserve">provide an effective means for banks </w:t>
      </w:r>
      <w:r w:rsidR="00B371E1">
        <w:t xml:space="preserve">to </w:t>
      </w:r>
      <w:r w:rsidR="00055942">
        <w:t xml:space="preserve">reduce </w:t>
      </w:r>
      <w:r w:rsidR="00B371E1">
        <w:t xml:space="preserve">the need to file CTRs for transactions with designated exempt persons. This information </w:t>
      </w:r>
      <w:r w:rsidR="00990BF5">
        <w:t xml:space="preserve">helps </w:t>
      </w:r>
      <w:r w:rsidRPr="00065A1A" w:rsidR="00055942">
        <w:t>law</w:t>
      </w:r>
      <w:r w:rsidRPr="00065A1A">
        <w:t xml:space="preserve"> enforcement and regulatory authorities</w:t>
      </w:r>
      <w:r w:rsidR="0028556F">
        <w:t xml:space="preserve"> </w:t>
      </w:r>
      <w:r w:rsidRPr="00065A1A">
        <w:t>detect, investigate, and prosecute money laundering and other financial crimes</w:t>
      </w:r>
      <w:r w:rsidR="00C633BA">
        <w:t xml:space="preserve">. </w:t>
      </w:r>
    </w:p>
    <w:p w:rsidRPr="00AA6051" w:rsidR="009829C3" w:rsidP="009829C3" w:rsidRDefault="009829C3" w14:paraId="26F97DCD" w14:textId="622B63FB">
      <w:pPr>
        <w:ind w:firstLine="720"/>
        <w:rPr>
          <w:szCs w:val="22"/>
        </w:rPr>
      </w:pPr>
    </w:p>
    <w:p w:rsidRPr="00AA6051" w:rsidR="00643252" w:rsidP="009829C3" w:rsidRDefault="00643252" w14:paraId="4C5BE43C" w14:textId="77777777">
      <w:pPr>
        <w:rPr>
          <w:szCs w:val="22"/>
          <w:u w:val="single"/>
        </w:rPr>
      </w:pPr>
      <w:r w:rsidRPr="00AA6051">
        <w:rPr>
          <w:szCs w:val="22"/>
        </w:rPr>
        <w:t xml:space="preserve">7. </w:t>
      </w:r>
      <w:r w:rsidRPr="00AA6051" w:rsidR="00E667ED">
        <w:rPr>
          <w:szCs w:val="22"/>
          <w:u w:val="single"/>
        </w:rPr>
        <w:t>Special circumstances requiring data collection inconsistent with g</w:t>
      </w:r>
      <w:r w:rsidRPr="00AA6051">
        <w:rPr>
          <w:szCs w:val="22"/>
          <w:u w:val="single"/>
        </w:rPr>
        <w:t>uidelines.</w:t>
      </w:r>
    </w:p>
    <w:p w:rsidRPr="00AA6051" w:rsidR="00643252" w:rsidP="009829C3" w:rsidRDefault="00643252" w14:paraId="7C4FA590" w14:textId="77777777">
      <w:pPr>
        <w:widowControl w:val="0"/>
        <w:autoSpaceDE w:val="0"/>
        <w:autoSpaceDN w:val="0"/>
        <w:adjustRightInd w:val="0"/>
        <w:spacing w:line="240" w:lineRule="exact"/>
        <w:ind w:firstLine="710"/>
        <w:rPr>
          <w:szCs w:val="22"/>
        </w:rPr>
      </w:pPr>
    </w:p>
    <w:p w:rsidRPr="00A67F9F" w:rsidR="00A67F9F" w:rsidP="00A67F9F" w:rsidRDefault="00A509FD" w14:paraId="00C4D525" w14:textId="2FCFBE38">
      <w:pPr>
        <w:ind w:firstLine="720"/>
      </w:pPr>
      <w:r>
        <w:rPr>
          <w:lang w:val="en"/>
        </w:rPr>
        <w:t>Pursuant to</w:t>
      </w:r>
      <w:r w:rsidRPr="0018713B">
        <w:rPr>
          <w:lang w:val="en"/>
        </w:rPr>
        <w:t xml:space="preserve"> </w:t>
      </w:r>
      <w:r w:rsidRPr="00A67F9F" w:rsidR="00A67F9F">
        <w:t xml:space="preserve">31 CFR 1010.430(d), </w:t>
      </w:r>
      <w:r w:rsidRPr="00A67F9F" w:rsidR="00A67F9F">
        <w:rPr>
          <w:lang w:val="en"/>
        </w:rPr>
        <w:t xml:space="preserve">all records that are required to be retained by 31 CFR Chapter X must be retained for a period of five years. This allows such records to be used in connection with investigations and prosecutions for substantive violations of law for which the statute of limitations is longer than three years. </w:t>
      </w:r>
    </w:p>
    <w:p w:rsidRPr="00AA6051" w:rsidR="00D52D6F" w:rsidP="00AA6051" w:rsidRDefault="00D52D6F" w14:paraId="12096D3C" w14:textId="041269C3"/>
    <w:p w:rsidRPr="00AA6051" w:rsidR="00643252" w:rsidP="009829C3" w:rsidRDefault="00643252" w14:paraId="0EB048C7" w14:textId="59B6A457">
      <w:pPr>
        <w:rPr>
          <w:szCs w:val="22"/>
        </w:rPr>
      </w:pPr>
      <w:r w:rsidRPr="00AA6051">
        <w:rPr>
          <w:szCs w:val="22"/>
        </w:rPr>
        <w:t xml:space="preserve">8. </w:t>
      </w:r>
      <w:r w:rsidRPr="00AA6051">
        <w:rPr>
          <w:szCs w:val="22"/>
          <w:u w:val="single"/>
        </w:rPr>
        <w:t>Consultation w</w:t>
      </w:r>
      <w:r w:rsidRPr="00AA6051" w:rsidR="00E667ED">
        <w:rPr>
          <w:szCs w:val="22"/>
          <w:u w:val="single"/>
        </w:rPr>
        <w:t>ith individuals outside of the a</w:t>
      </w:r>
      <w:r w:rsidRPr="00AA6051">
        <w:rPr>
          <w:szCs w:val="22"/>
          <w:u w:val="single"/>
        </w:rPr>
        <w:t>g</w:t>
      </w:r>
      <w:r w:rsidRPr="00AA6051" w:rsidR="00E667ED">
        <w:rPr>
          <w:szCs w:val="22"/>
          <w:u w:val="single"/>
        </w:rPr>
        <w:t xml:space="preserve">ency on availability of </w:t>
      </w:r>
      <w:r w:rsidRPr="00C9357B" w:rsidR="00E667ED">
        <w:rPr>
          <w:szCs w:val="22"/>
          <w:u w:val="single"/>
        </w:rPr>
        <w:t>data</w:t>
      </w:r>
      <w:r w:rsidRPr="00C9357B" w:rsidR="00033554">
        <w:rPr>
          <w:szCs w:val="22"/>
          <w:u w:val="single"/>
        </w:rPr>
        <w:t>,</w:t>
      </w:r>
      <w:r w:rsidRPr="00C9357B" w:rsidR="00E667ED">
        <w:rPr>
          <w:szCs w:val="22"/>
          <w:u w:val="single"/>
        </w:rPr>
        <w:t xml:space="preserve"> f</w:t>
      </w:r>
      <w:r w:rsidRPr="00C9357B">
        <w:rPr>
          <w:szCs w:val="22"/>
          <w:u w:val="single"/>
        </w:rPr>
        <w:t>requ</w:t>
      </w:r>
      <w:r w:rsidRPr="00C9357B" w:rsidR="00E667ED">
        <w:rPr>
          <w:szCs w:val="22"/>
          <w:u w:val="single"/>
        </w:rPr>
        <w:t>ency</w:t>
      </w:r>
      <w:r w:rsidRPr="00AA6051" w:rsidR="00E667ED">
        <w:rPr>
          <w:szCs w:val="22"/>
          <w:u w:val="single"/>
        </w:rPr>
        <w:t xml:space="preserve"> of collection, clarity of i</w:t>
      </w:r>
      <w:r w:rsidRPr="00AA6051">
        <w:rPr>
          <w:szCs w:val="22"/>
          <w:u w:val="single"/>
        </w:rPr>
        <w:t>n</w:t>
      </w:r>
      <w:r w:rsidRPr="00AA6051" w:rsidR="00E667ED">
        <w:rPr>
          <w:szCs w:val="22"/>
          <w:u w:val="single"/>
        </w:rPr>
        <w:t>structions and forms, and data e</w:t>
      </w:r>
      <w:r w:rsidRPr="00AA6051">
        <w:rPr>
          <w:szCs w:val="22"/>
          <w:u w:val="single"/>
        </w:rPr>
        <w:t>lements.</w:t>
      </w:r>
      <w:r w:rsidRPr="00AA6051">
        <w:rPr>
          <w:szCs w:val="22"/>
        </w:rPr>
        <w:t xml:space="preserve"> </w:t>
      </w:r>
    </w:p>
    <w:p w:rsidRPr="00AA6051" w:rsidR="00643252" w:rsidP="009829C3" w:rsidRDefault="00643252" w14:paraId="1BE4B3B1" w14:textId="77777777">
      <w:pPr>
        <w:rPr>
          <w:szCs w:val="22"/>
        </w:rPr>
      </w:pPr>
    </w:p>
    <w:p w:rsidRPr="00D95B43" w:rsidR="003D54B7" w:rsidP="003D54B7" w:rsidRDefault="00154790" w14:paraId="76A9FFB1" w14:textId="6A7BF34A">
      <w:pPr>
        <w:ind w:firstLine="720"/>
      </w:pPr>
      <w:r w:rsidRPr="003D54B7">
        <w:lastRenderedPageBreak/>
        <w:t>The 60-day notice was published</w:t>
      </w:r>
      <w:r w:rsidRPr="003D54B7" w:rsidR="00414797">
        <w:t xml:space="preserve"> on </w:t>
      </w:r>
      <w:r w:rsidRPr="003D54B7" w:rsidR="00A1429B">
        <w:t xml:space="preserve">January </w:t>
      </w:r>
      <w:r w:rsidRPr="003D54B7" w:rsidR="00A67F9F">
        <w:t>25</w:t>
      </w:r>
      <w:r w:rsidRPr="003D54B7" w:rsidR="007458BE">
        <w:t>, 202</w:t>
      </w:r>
      <w:r w:rsidRPr="003D54B7" w:rsidR="00A1429B">
        <w:t>1</w:t>
      </w:r>
      <w:r w:rsidRPr="003D54B7" w:rsidR="00414797">
        <w:t>.</w:t>
      </w:r>
      <w:r w:rsidRPr="003D54B7" w:rsidR="00414797">
        <w:rPr>
          <w:rStyle w:val="FootnoteReference"/>
        </w:rPr>
        <w:footnoteReference w:id="11"/>
      </w:r>
      <w:r w:rsidRPr="003D54B7" w:rsidR="00414797">
        <w:t xml:space="preserve"> The notice requested public comments on the proposed renewal, without change, </w:t>
      </w:r>
      <w:r w:rsidRPr="003D54B7" w:rsidR="00E05BAF">
        <w:t>of currently approved inf</w:t>
      </w:r>
      <w:r w:rsidRPr="003D54B7" w:rsidR="003D54B7">
        <w:t xml:space="preserve">ormation collections related to </w:t>
      </w:r>
      <w:r w:rsidRPr="003D54B7" w:rsidR="00F367FB">
        <w:t xml:space="preserve">transactions of exempt persons </w:t>
      </w:r>
      <w:r w:rsidRPr="003D54B7" w:rsidR="00F367FB">
        <w:rPr>
          <w:bCs/>
        </w:rPr>
        <w:t>(31 CFR 1020.315)</w:t>
      </w:r>
      <w:r w:rsidRPr="003D54B7" w:rsidR="00F367FB">
        <w:t xml:space="preserve">, and </w:t>
      </w:r>
      <w:r w:rsidR="00A509FD">
        <w:t xml:space="preserve">the </w:t>
      </w:r>
      <w:r w:rsidRPr="003D54B7" w:rsidR="00B41559">
        <w:t xml:space="preserve">DOEP </w:t>
      </w:r>
      <w:r w:rsidRPr="003D54B7" w:rsidR="00F367FB">
        <w:t>Report</w:t>
      </w:r>
      <w:r w:rsidRPr="003D54B7" w:rsidR="00CC22E5">
        <w:t>.</w:t>
      </w:r>
      <w:r w:rsidRPr="003D54B7" w:rsidR="00414797">
        <w:t xml:space="preserve"> </w:t>
      </w:r>
      <w:r w:rsidRPr="003D54B7" w:rsidR="00901485">
        <w:t>Although no changes were proposed to the information collections themselves, the notice proposed for review and comment (a) a renewal of the portion of the PRA burden that has been subject to notice and comment in the past (the “traditional annual PRA burden”), and (b) an expansion of the scope of the PRA burden in the future (the “</w:t>
      </w:r>
      <w:r w:rsidRPr="003D54B7" w:rsidR="003D54B7">
        <w:t xml:space="preserve">supplemental </w:t>
      </w:r>
      <w:r w:rsidRPr="003D54B7" w:rsidR="00901485">
        <w:t xml:space="preserve">annual PRA burden”). </w:t>
      </w:r>
      <w:r w:rsidRPr="003D54B7" w:rsidR="003D54B7">
        <w:t xml:space="preserve">The supplemental annual PRA burden </w:t>
      </w:r>
      <w:r w:rsidR="003D54B7">
        <w:t xml:space="preserve">calculation </w:t>
      </w:r>
      <w:r w:rsidRPr="003D54B7" w:rsidR="003D54B7">
        <w:t>will include the estimated hourly burden</w:t>
      </w:r>
      <w:r w:rsidR="003D54B7">
        <w:t xml:space="preserve"> and cost to:</w:t>
      </w:r>
      <w:r w:rsidRPr="003D54B7" w:rsidR="003D54B7">
        <w:t xml:space="preserve"> (1) determine the initial eligibility of exempt persons, document the basis for the consideration, and document compliance with the DOEP reporting requirements; (2) conduct an annual review to determine whether certain exempt persons remain eligible for the CTR exemption, and, consistent with that review, to maintain a monitoring system to identify suspicious transactions associated with the accounts of non-listed business and payroll customers; and (3) identify suspicious transactions associated with accounts of non-listed business and payroll customers.</w:t>
      </w:r>
      <w:r w:rsidRPr="00D95B43" w:rsidR="003D54B7">
        <w:t xml:space="preserve">  </w:t>
      </w:r>
    </w:p>
    <w:p w:rsidR="003D54B7" w:rsidP="003D54B7" w:rsidRDefault="003D54B7" w14:paraId="0E576CB2" w14:textId="77777777">
      <w:pPr>
        <w:ind w:firstLine="720"/>
      </w:pPr>
    </w:p>
    <w:p w:rsidRPr="003D54B7" w:rsidR="00414797" w:rsidP="003D54B7" w:rsidRDefault="00642760" w14:paraId="521AB2D0" w14:textId="5BC966B8">
      <w:pPr>
        <w:ind w:firstLine="720"/>
      </w:pPr>
      <w:r w:rsidRPr="003D54B7">
        <w:t xml:space="preserve">FinCEN received </w:t>
      </w:r>
      <w:r w:rsidRPr="003D54B7" w:rsidR="00A1429B">
        <w:t xml:space="preserve">no </w:t>
      </w:r>
      <w:r w:rsidRPr="003D54B7" w:rsidR="008965A2">
        <w:t xml:space="preserve">public </w:t>
      </w:r>
      <w:r w:rsidRPr="003D54B7">
        <w:t>comment</w:t>
      </w:r>
      <w:r w:rsidRPr="003D54B7" w:rsidR="003D54B7">
        <w:t>s in response to</w:t>
      </w:r>
      <w:r w:rsidRPr="003D54B7">
        <w:t xml:space="preserve"> </w:t>
      </w:r>
      <w:r w:rsidRPr="003D54B7" w:rsidR="003D54B7">
        <w:t>the</w:t>
      </w:r>
      <w:r w:rsidRPr="003D54B7" w:rsidR="008965A2">
        <w:t xml:space="preserve"> notice</w:t>
      </w:r>
      <w:r w:rsidRPr="003D54B7">
        <w:t xml:space="preserve">. </w:t>
      </w:r>
    </w:p>
    <w:p w:rsidRPr="00AA6051" w:rsidR="009829C3" w:rsidP="009829C3" w:rsidRDefault="009829C3" w14:paraId="654ABAA4" w14:textId="77777777">
      <w:pPr>
        <w:widowControl w:val="0"/>
        <w:autoSpaceDE w:val="0"/>
        <w:autoSpaceDN w:val="0"/>
        <w:adjustRightInd w:val="0"/>
        <w:ind w:right="220" w:firstLine="720"/>
      </w:pPr>
    </w:p>
    <w:p w:rsidRPr="00A16AFB" w:rsidR="00F70456" w:rsidP="009829C3" w:rsidRDefault="00F70456" w14:paraId="7EE700B0" w14:textId="77777777">
      <w:pPr>
        <w:rPr>
          <w:szCs w:val="22"/>
        </w:rPr>
      </w:pPr>
      <w:r w:rsidRPr="00A16AFB">
        <w:rPr>
          <w:szCs w:val="22"/>
        </w:rPr>
        <w:t xml:space="preserve">9. </w:t>
      </w:r>
      <w:r w:rsidRPr="00A16AFB">
        <w:rPr>
          <w:u w:val="single"/>
        </w:rPr>
        <w:t>Explanation of decision to provide any payment or gift to respondents.</w:t>
      </w:r>
    </w:p>
    <w:p w:rsidRPr="00A16AFB" w:rsidR="009829C3" w:rsidP="009829C3" w:rsidRDefault="009829C3" w14:paraId="7F125B57" w14:textId="77777777">
      <w:pPr>
        <w:ind w:firstLine="720"/>
        <w:rPr>
          <w:szCs w:val="22"/>
        </w:rPr>
      </w:pPr>
    </w:p>
    <w:p w:rsidRPr="00AA6051" w:rsidR="00F70456" w:rsidP="009829C3" w:rsidRDefault="00F70456" w14:paraId="7E471F19" w14:textId="77777777">
      <w:pPr>
        <w:ind w:firstLine="720"/>
        <w:rPr>
          <w:szCs w:val="22"/>
        </w:rPr>
      </w:pPr>
      <w:r w:rsidRPr="00A16AFB">
        <w:rPr>
          <w:szCs w:val="22"/>
        </w:rPr>
        <w:t>No payments or gifts were made to respondents.</w:t>
      </w:r>
      <w:r w:rsidRPr="00AA6051">
        <w:rPr>
          <w:szCs w:val="22"/>
        </w:rPr>
        <w:t xml:space="preserve"> </w:t>
      </w:r>
    </w:p>
    <w:p w:rsidRPr="00AA6051" w:rsidR="009829C3" w:rsidP="009829C3" w:rsidRDefault="009829C3" w14:paraId="09810416" w14:textId="77777777">
      <w:pPr>
        <w:ind w:firstLine="720"/>
        <w:rPr>
          <w:szCs w:val="22"/>
        </w:rPr>
      </w:pPr>
    </w:p>
    <w:p w:rsidRPr="00AA6051" w:rsidR="0000789D" w:rsidP="009829C3" w:rsidRDefault="0000789D" w14:paraId="3586792A" w14:textId="77777777">
      <w:pPr>
        <w:pStyle w:val="BodyText"/>
        <w:spacing w:before="0"/>
        <w:rPr>
          <w:sz w:val="24"/>
          <w:u w:val="single"/>
        </w:rPr>
      </w:pPr>
      <w:r w:rsidRPr="00AA6051">
        <w:rPr>
          <w:sz w:val="24"/>
        </w:rPr>
        <w:t xml:space="preserve">10. </w:t>
      </w:r>
      <w:r w:rsidRPr="00AA6051">
        <w:rPr>
          <w:sz w:val="24"/>
          <w:u w:val="single"/>
        </w:rPr>
        <w:t>Assurance of confidentiality of responses.</w:t>
      </w:r>
    </w:p>
    <w:p w:rsidRPr="00C80BC9" w:rsidR="00C80BC9" w:rsidP="00C80BC9" w:rsidRDefault="00E46C31" w14:paraId="3586FAB5" w14:textId="77777777">
      <w:pPr>
        <w:tabs>
          <w:tab w:val="left" w:pos="0"/>
        </w:tabs>
      </w:pPr>
      <w:r>
        <w:tab/>
      </w:r>
    </w:p>
    <w:p w:rsidRPr="00C80BC9" w:rsidR="00C80BC9" w:rsidP="00C80BC9" w:rsidRDefault="00C80BC9" w14:paraId="73741699" w14:textId="7D18C56C">
      <w:pPr>
        <w:tabs>
          <w:tab w:val="left" w:pos="0"/>
        </w:tabs>
        <w:rPr>
          <w:vertAlign w:val="superscript"/>
        </w:rPr>
      </w:pPr>
      <w:r>
        <w:tab/>
      </w:r>
      <w:r w:rsidRPr="00C80BC9">
        <w:t>The information collected under this requirement is made available to appropriate agencies and organizations as disclosed in FinCEN's Privacy Act System of Records Notice relating to BSA reports.</w:t>
      </w:r>
      <w:r w:rsidRPr="00C80BC9">
        <w:rPr>
          <w:vertAlign w:val="superscript"/>
        </w:rPr>
        <w:footnoteReference w:id="12"/>
      </w:r>
    </w:p>
    <w:p w:rsidRPr="00AA6051" w:rsidR="007534B0" w:rsidP="00C80BC9" w:rsidRDefault="00821391" w14:paraId="620CA8FD" w14:textId="15C8634E">
      <w:pPr>
        <w:tabs>
          <w:tab w:val="left" w:pos="0"/>
        </w:tabs>
        <w:rPr>
          <w:szCs w:val="22"/>
        </w:rPr>
      </w:pPr>
      <w:r>
        <w:t xml:space="preserve">  </w:t>
      </w:r>
    </w:p>
    <w:p w:rsidRPr="00AA6051" w:rsidR="0000789D" w:rsidP="009829C3" w:rsidRDefault="0000789D" w14:paraId="4E4DE2B6" w14:textId="77777777">
      <w:pPr>
        <w:rPr>
          <w:szCs w:val="22"/>
        </w:rPr>
      </w:pPr>
      <w:r w:rsidRPr="00AA6051">
        <w:rPr>
          <w:szCs w:val="22"/>
        </w:rPr>
        <w:t xml:space="preserve">11. </w:t>
      </w:r>
      <w:r w:rsidRPr="00AA6051">
        <w:rPr>
          <w:szCs w:val="22"/>
          <w:u w:val="single"/>
        </w:rPr>
        <w:t>Justification of sensitive questions.</w:t>
      </w:r>
      <w:r w:rsidRPr="00AA6051">
        <w:rPr>
          <w:szCs w:val="22"/>
        </w:rPr>
        <w:t xml:space="preserve"> </w:t>
      </w:r>
    </w:p>
    <w:p w:rsidR="009F04CE" w:rsidP="009829C3" w:rsidRDefault="009F04CE" w14:paraId="2BB231BE" w14:textId="77777777">
      <w:pPr>
        <w:ind w:firstLine="720"/>
      </w:pPr>
    </w:p>
    <w:p w:rsidR="009829C3" w:rsidP="009829C3" w:rsidRDefault="00B41559" w14:paraId="09B7D724" w14:textId="2E09B5D7">
      <w:pPr>
        <w:ind w:firstLine="720"/>
      </w:pPr>
      <w:r w:rsidRPr="00B41559">
        <w:t xml:space="preserve">There are no questions of a sensitive nature in the collection of information. </w:t>
      </w:r>
      <w:r w:rsidRPr="00DF2016">
        <w:t xml:space="preserve">Any personally identifiable information collected under the BSA is strictly controlled as outlined in FinCEN’s Systems of Records Notice. </w:t>
      </w:r>
      <w:r w:rsidRPr="00DF2016">
        <w:rPr>
          <w:i/>
        </w:rPr>
        <w:t>See</w:t>
      </w:r>
      <w:r w:rsidRPr="00DF2016">
        <w:rPr>
          <w:color w:val="1F497D"/>
        </w:rPr>
        <w:t xml:space="preserve"> </w:t>
      </w:r>
      <w:r w:rsidRPr="00DF2016">
        <w:t>https://www.gpo.gov/fdsys/pkg/FR-2014-04-14/pdf/2014-08254.pdf</w:t>
      </w:r>
    </w:p>
    <w:p w:rsidRPr="00AA6051" w:rsidR="006606CD" w:rsidP="009829C3" w:rsidRDefault="006606CD" w14:paraId="7F23D8A4" w14:textId="77777777">
      <w:pPr>
        <w:ind w:firstLine="720"/>
        <w:rPr>
          <w:szCs w:val="22"/>
        </w:rPr>
      </w:pPr>
    </w:p>
    <w:p w:rsidRPr="00AA6051" w:rsidR="00643252" w:rsidP="009829C3" w:rsidRDefault="008722D3" w14:paraId="6CC532A7" w14:textId="572524D6">
      <w:pPr>
        <w:rPr>
          <w:szCs w:val="22"/>
          <w:u w:val="single"/>
        </w:rPr>
      </w:pPr>
      <w:r w:rsidRPr="00AA6051">
        <w:rPr>
          <w:szCs w:val="22"/>
        </w:rPr>
        <w:t xml:space="preserve">12.  </w:t>
      </w:r>
      <w:r w:rsidRPr="00AA6051">
        <w:rPr>
          <w:szCs w:val="22"/>
          <w:u w:val="single"/>
        </w:rPr>
        <w:t xml:space="preserve">Estimated </w:t>
      </w:r>
      <w:r w:rsidR="0055123D">
        <w:rPr>
          <w:szCs w:val="22"/>
          <w:u w:val="single"/>
        </w:rPr>
        <w:t xml:space="preserve">annual hourly </w:t>
      </w:r>
      <w:r w:rsidRPr="00AA6051">
        <w:rPr>
          <w:szCs w:val="22"/>
          <w:u w:val="single"/>
        </w:rPr>
        <w:t>burden of information collection.</w:t>
      </w:r>
    </w:p>
    <w:p w:rsidRPr="00AA6051" w:rsidR="00AC4543" w:rsidP="009829C3" w:rsidRDefault="00AC4543" w14:paraId="643521CF" w14:textId="77777777">
      <w:pPr>
        <w:rPr>
          <w:szCs w:val="22"/>
        </w:rPr>
      </w:pPr>
    </w:p>
    <w:p w:rsidRPr="00AA6051" w:rsidR="00643252" w:rsidP="009829C3" w:rsidRDefault="00643252" w14:paraId="655EE6D3" w14:textId="6D83E43F">
      <w:pPr>
        <w:rPr>
          <w:szCs w:val="22"/>
        </w:rPr>
      </w:pPr>
      <w:r w:rsidRPr="00A16AFB">
        <w:rPr>
          <w:szCs w:val="22"/>
          <w:u w:val="single"/>
        </w:rPr>
        <w:t>Frequency</w:t>
      </w:r>
      <w:r w:rsidRPr="00A406C0">
        <w:rPr>
          <w:szCs w:val="22"/>
          <w:u w:val="single"/>
        </w:rPr>
        <w:t>:</w:t>
      </w:r>
      <w:r w:rsidRPr="00AA6051">
        <w:rPr>
          <w:szCs w:val="22"/>
        </w:rPr>
        <w:t xml:space="preserve"> As required. </w:t>
      </w:r>
    </w:p>
    <w:p w:rsidRPr="00AA6051" w:rsidR="00643252" w:rsidP="009829C3" w:rsidRDefault="00643252" w14:paraId="04CA2AB0" w14:textId="77777777">
      <w:pPr>
        <w:widowControl w:val="0"/>
        <w:autoSpaceDE w:val="0"/>
        <w:autoSpaceDN w:val="0"/>
        <w:adjustRightInd w:val="0"/>
        <w:spacing w:line="273" w:lineRule="exact"/>
        <w:jc w:val="both"/>
        <w:rPr>
          <w:szCs w:val="22"/>
        </w:rPr>
      </w:pPr>
    </w:p>
    <w:p w:rsidRPr="00AA6051" w:rsidR="00643252" w:rsidP="009829C3" w:rsidRDefault="00643252" w14:paraId="5AD442FB" w14:textId="5DB58483">
      <w:pPr>
        <w:widowControl w:val="0"/>
        <w:autoSpaceDE w:val="0"/>
        <w:autoSpaceDN w:val="0"/>
        <w:adjustRightInd w:val="0"/>
        <w:spacing w:line="273" w:lineRule="exact"/>
        <w:jc w:val="both"/>
        <w:rPr>
          <w:szCs w:val="22"/>
        </w:rPr>
      </w:pPr>
      <w:r w:rsidRPr="00335FA8">
        <w:rPr>
          <w:szCs w:val="22"/>
          <w:u w:val="single"/>
        </w:rPr>
        <w:lastRenderedPageBreak/>
        <w:t>Est</w:t>
      </w:r>
      <w:r w:rsidRPr="00335FA8" w:rsidR="007F6DDB">
        <w:rPr>
          <w:szCs w:val="22"/>
          <w:u w:val="single"/>
        </w:rPr>
        <w:t>imated Number of Respondents:</w:t>
      </w:r>
      <w:r w:rsidRPr="00AA6051" w:rsidR="007F6DDB">
        <w:rPr>
          <w:szCs w:val="22"/>
        </w:rPr>
        <w:t xml:space="preserve"> </w:t>
      </w:r>
      <w:r w:rsidR="001B6495">
        <w:rPr>
          <w:szCs w:val="22"/>
        </w:rPr>
        <w:t>11,161 banks</w:t>
      </w:r>
      <w:r w:rsidR="00BC3EEA">
        <w:rPr>
          <w:szCs w:val="22"/>
        </w:rPr>
        <w:t>.</w:t>
      </w:r>
      <w:r w:rsidR="001B6495">
        <w:rPr>
          <w:rStyle w:val="FootnoteReference"/>
          <w:szCs w:val="22"/>
        </w:rPr>
        <w:footnoteReference w:id="13"/>
      </w:r>
    </w:p>
    <w:p w:rsidR="00C6267A" w:rsidP="00C6267A" w:rsidRDefault="00C6267A" w14:paraId="5F79FFD4" w14:textId="3C01DD37">
      <w:pPr>
        <w:rPr>
          <w:b/>
          <w:lang w:val="en-GB"/>
        </w:rPr>
      </w:pPr>
    </w:p>
    <w:p w:rsidR="00415C3E" w:rsidP="00415C3E" w:rsidRDefault="00415C3E" w14:paraId="66161880" w14:textId="4EC8C669">
      <w:pPr>
        <w:widowControl w:val="0"/>
        <w:autoSpaceDE w:val="0"/>
        <w:autoSpaceDN w:val="0"/>
        <w:adjustRightInd w:val="0"/>
        <w:spacing w:line="268" w:lineRule="exact"/>
        <w:jc w:val="both"/>
        <w:rPr>
          <w:szCs w:val="22"/>
        </w:rPr>
      </w:pPr>
      <w:r w:rsidRPr="00A16AFB">
        <w:rPr>
          <w:szCs w:val="22"/>
          <w:u w:val="single"/>
        </w:rPr>
        <w:t xml:space="preserve">Estimated </w:t>
      </w:r>
      <w:r w:rsidRPr="00335FA8">
        <w:rPr>
          <w:szCs w:val="22"/>
          <w:u w:val="single"/>
        </w:rPr>
        <w:t>Total Annual Reponses:</w:t>
      </w:r>
      <w:r>
        <w:rPr>
          <w:szCs w:val="22"/>
        </w:rPr>
        <w:t xml:space="preserve"> </w:t>
      </w:r>
      <w:r w:rsidR="00336586">
        <w:rPr>
          <w:szCs w:val="22"/>
        </w:rPr>
        <w:t>18,141</w:t>
      </w:r>
      <w:r>
        <w:rPr>
          <w:szCs w:val="22"/>
        </w:rPr>
        <w:t xml:space="preserve"> </w:t>
      </w:r>
      <w:r w:rsidR="00336586">
        <w:rPr>
          <w:szCs w:val="22"/>
        </w:rPr>
        <w:t xml:space="preserve">DOEP </w:t>
      </w:r>
      <w:r w:rsidR="005E2869">
        <w:rPr>
          <w:szCs w:val="22"/>
        </w:rPr>
        <w:t>R</w:t>
      </w:r>
      <w:r w:rsidR="00336586">
        <w:rPr>
          <w:szCs w:val="22"/>
        </w:rPr>
        <w:t>eport</w:t>
      </w:r>
      <w:r>
        <w:rPr>
          <w:szCs w:val="22"/>
        </w:rPr>
        <w:t xml:space="preserve">s were </w:t>
      </w:r>
      <w:r w:rsidRPr="0067540B">
        <w:rPr>
          <w:szCs w:val="22"/>
        </w:rPr>
        <w:t>filed in</w:t>
      </w:r>
      <w:r>
        <w:rPr>
          <w:szCs w:val="22"/>
        </w:rPr>
        <w:t xml:space="preserve"> </w:t>
      </w:r>
      <w:r w:rsidRPr="0067540B">
        <w:rPr>
          <w:szCs w:val="22"/>
        </w:rPr>
        <w:t>calendar year 2019.</w:t>
      </w:r>
    </w:p>
    <w:p w:rsidR="00415C3E" w:rsidP="00C6267A" w:rsidRDefault="00415C3E" w14:paraId="2E90597A" w14:textId="6C827BE7">
      <w:pPr>
        <w:rPr>
          <w:b/>
          <w:lang w:val="en-GB"/>
        </w:rPr>
      </w:pPr>
    </w:p>
    <w:p w:rsidR="0067540B" w:rsidP="00B739C1" w:rsidRDefault="0067540B" w14:paraId="10CE1289" w14:textId="56F5C5C9">
      <w:pPr>
        <w:widowControl w:val="0"/>
        <w:autoSpaceDE w:val="0"/>
        <w:autoSpaceDN w:val="0"/>
        <w:adjustRightInd w:val="0"/>
        <w:rPr>
          <w:szCs w:val="22"/>
        </w:rPr>
      </w:pPr>
      <w:r w:rsidRPr="00A16AFB">
        <w:rPr>
          <w:szCs w:val="22"/>
          <w:u w:val="single"/>
        </w:rPr>
        <w:t>Estimate</w:t>
      </w:r>
      <w:r w:rsidR="0055123D">
        <w:rPr>
          <w:szCs w:val="22"/>
          <w:u w:val="single"/>
        </w:rPr>
        <w:t xml:space="preserve"> of </w:t>
      </w:r>
      <w:r w:rsidR="00E02797">
        <w:rPr>
          <w:szCs w:val="22"/>
          <w:u w:val="single"/>
        </w:rPr>
        <w:t>Burden</w:t>
      </w:r>
      <w:r w:rsidRPr="00335FA8">
        <w:rPr>
          <w:szCs w:val="22"/>
          <w:u w:val="single"/>
        </w:rPr>
        <w:t>:</w:t>
      </w:r>
      <w:r>
        <w:rPr>
          <w:szCs w:val="22"/>
        </w:rPr>
        <w:t xml:space="preserve"> </w:t>
      </w:r>
    </w:p>
    <w:p w:rsidR="00B739C1" w:rsidP="00B739C1" w:rsidRDefault="00B739C1" w14:paraId="2BE489AC" w14:textId="77777777">
      <w:pPr>
        <w:ind w:firstLine="720"/>
        <w:rPr>
          <w:lang w:val="en-GB"/>
        </w:rPr>
      </w:pPr>
    </w:p>
    <w:p w:rsidRPr="00502381" w:rsidR="00952BEC" w:rsidP="00B739C1" w:rsidRDefault="00952BEC" w14:paraId="51ECA9B8" w14:textId="79C8EACC">
      <w:pPr>
        <w:ind w:firstLine="720"/>
        <w:rPr>
          <w:lang w:val="en-GB"/>
        </w:rPr>
      </w:pPr>
      <w:r w:rsidRPr="00502381">
        <w:rPr>
          <w:lang w:val="en-GB"/>
        </w:rPr>
        <w:t>FinCEN continues to estimate the annual hourly burden of the designation of exempt persons as one hour per form. This estimate covers the burden of: (1) 45 minutes to fill out and file the report; and (2) 15</w:t>
      </w:r>
      <w:r w:rsidRPr="00502381">
        <w:t xml:space="preserve"> </w:t>
      </w:r>
      <w:r w:rsidRPr="00502381">
        <w:rPr>
          <w:lang w:val="en-GB"/>
        </w:rPr>
        <w:t xml:space="preserve">minutes to save the report electronically and print out a copy to keep in hard-copy files. </w:t>
      </w:r>
      <w:r w:rsidRPr="00502381">
        <w:t>FinCEN believes that the information required to be included on the DOEP Report is basic information that banks need to maintain to conduct business. The e-filing system prompts banks to save the report after submission.</w:t>
      </w:r>
    </w:p>
    <w:p w:rsidR="00B739C1" w:rsidP="00B739C1" w:rsidRDefault="00B739C1" w14:paraId="199884CF" w14:textId="77777777">
      <w:pPr>
        <w:ind w:firstLine="720"/>
        <w:rPr>
          <w:lang w:val="en-GB"/>
        </w:rPr>
      </w:pPr>
    </w:p>
    <w:p w:rsidRPr="00B739C1" w:rsidR="00DF227D" w:rsidP="00B739C1" w:rsidRDefault="00952BEC" w14:paraId="75AE6391" w14:textId="2C3D3DAB">
      <w:pPr>
        <w:ind w:firstLine="720"/>
        <w:rPr>
          <w:lang w:val="en-GB"/>
        </w:rPr>
      </w:pPr>
      <w:r w:rsidRPr="00502381">
        <w:rPr>
          <w:lang w:val="en-GB"/>
        </w:rPr>
        <w:t xml:space="preserve">FinCEN’s estimate of the traditional annual PRA burden, therefore, is 18,141 </w:t>
      </w:r>
      <w:r w:rsidR="00F670FC">
        <w:rPr>
          <w:lang w:val="en-GB"/>
        </w:rPr>
        <w:t>hours, as set out</w:t>
      </w:r>
      <w:r w:rsidRPr="00502381">
        <w:rPr>
          <w:lang w:val="en-GB"/>
        </w:rPr>
        <w:t xml:space="preserve"> below:</w:t>
      </w:r>
    </w:p>
    <w:p w:rsidRPr="00DF227D" w:rsidR="00DF227D" w:rsidP="00DF227D" w:rsidRDefault="00DF227D" w14:paraId="1BB4BF0D" w14:textId="77777777">
      <w:pPr>
        <w:widowControl w:val="0"/>
        <w:autoSpaceDE w:val="0"/>
        <w:autoSpaceDN w:val="0"/>
        <w:adjustRightInd w:val="0"/>
        <w:spacing w:line="268" w:lineRule="exact"/>
        <w:rPr>
          <w:b/>
        </w:rPr>
      </w:pPr>
    </w:p>
    <w:tbl>
      <w:tblPr>
        <w:tblStyle w:val="TableGrid"/>
        <w:tblW w:w="9990" w:type="dxa"/>
        <w:tblInd w:w="-5" w:type="dxa"/>
        <w:tblLayout w:type="fixed"/>
        <w:tblLook w:val="04A0" w:firstRow="1" w:lastRow="0" w:firstColumn="1" w:lastColumn="0" w:noHBand="0" w:noVBand="1"/>
      </w:tblPr>
      <w:tblGrid>
        <w:gridCol w:w="1350"/>
        <w:gridCol w:w="1080"/>
        <w:gridCol w:w="1440"/>
        <w:gridCol w:w="1620"/>
        <w:gridCol w:w="1440"/>
        <w:gridCol w:w="1620"/>
        <w:gridCol w:w="1440"/>
      </w:tblGrid>
      <w:tr w:rsidRPr="00DF227D" w:rsidR="00DF227D" w:rsidTr="003F25C8" w14:paraId="0D931771" w14:textId="77777777">
        <w:trPr>
          <w:trHeight w:val="890"/>
          <w:tblHeader/>
        </w:trPr>
        <w:tc>
          <w:tcPr>
            <w:tcW w:w="1350" w:type="dxa"/>
            <w:vMerge w:val="restart"/>
            <w:vAlign w:val="center"/>
          </w:tcPr>
          <w:p w:rsidRPr="00DF227D" w:rsidR="00DF227D" w:rsidP="00DF227D" w:rsidRDefault="00DF227D" w14:paraId="00121F88" w14:textId="77777777">
            <w:pPr>
              <w:widowControl w:val="0"/>
              <w:autoSpaceDE w:val="0"/>
              <w:autoSpaceDN w:val="0"/>
              <w:adjustRightInd w:val="0"/>
              <w:spacing w:line="268" w:lineRule="exact"/>
              <w:rPr>
                <w:rFonts w:ascii="Times New Roman" w:hAnsi="Times New Roman" w:cs="Times New Roman"/>
                <w:b/>
              </w:rPr>
            </w:pPr>
            <w:r w:rsidRPr="00DF227D">
              <w:rPr>
                <w:rFonts w:ascii="Times New Roman" w:hAnsi="Times New Roman" w:cs="Times New Roman"/>
                <w:b/>
              </w:rPr>
              <w:t>Type of Financial Institution</w:t>
            </w:r>
          </w:p>
        </w:tc>
        <w:tc>
          <w:tcPr>
            <w:tcW w:w="1080" w:type="dxa"/>
            <w:tcBorders>
              <w:bottom w:val="nil"/>
            </w:tcBorders>
          </w:tcPr>
          <w:p w:rsidRPr="00DF227D" w:rsidR="00DF227D" w:rsidP="00DF227D" w:rsidRDefault="00DF227D" w14:paraId="525054A9" w14:textId="77777777">
            <w:pPr>
              <w:widowControl w:val="0"/>
              <w:autoSpaceDE w:val="0"/>
              <w:autoSpaceDN w:val="0"/>
              <w:adjustRightInd w:val="0"/>
              <w:spacing w:line="268" w:lineRule="exact"/>
              <w:rPr>
                <w:rFonts w:ascii="Times New Roman" w:hAnsi="Times New Roman" w:cs="Times New Roman"/>
                <w:b/>
              </w:rPr>
            </w:pPr>
            <w:r w:rsidRPr="00DF227D">
              <w:rPr>
                <w:rFonts w:ascii="Times New Roman" w:hAnsi="Times New Roman" w:cs="Times New Roman"/>
                <w:b/>
              </w:rPr>
              <w:t>Number of DOEP Reports  Filed in 2019</w:t>
            </w:r>
          </w:p>
        </w:tc>
        <w:tc>
          <w:tcPr>
            <w:tcW w:w="3060" w:type="dxa"/>
            <w:gridSpan w:val="2"/>
            <w:vAlign w:val="center"/>
          </w:tcPr>
          <w:p w:rsidRPr="00DF227D" w:rsidR="00DF227D" w:rsidP="00DF227D" w:rsidRDefault="00DF227D" w14:paraId="6ECCB055" w14:textId="77777777">
            <w:pPr>
              <w:widowControl w:val="0"/>
              <w:autoSpaceDE w:val="0"/>
              <w:autoSpaceDN w:val="0"/>
              <w:adjustRightInd w:val="0"/>
              <w:spacing w:line="268" w:lineRule="exact"/>
              <w:rPr>
                <w:rFonts w:ascii="Times New Roman" w:hAnsi="Times New Roman" w:cs="Times New Roman"/>
                <w:b/>
              </w:rPr>
            </w:pPr>
            <w:r w:rsidRPr="00DF227D">
              <w:rPr>
                <w:rFonts w:ascii="Times New Roman" w:hAnsi="Times New Roman" w:cs="Times New Roman"/>
                <w:b/>
              </w:rPr>
              <w:t>Time Per Form</w:t>
            </w:r>
          </w:p>
        </w:tc>
        <w:tc>
          <w:tcPr>
            <w:tcW w:w="3060" w:type="dxa"/>
            <w:gridSpan w:val="2"/>
            <w:vAlign w:val="center"/>
          </w:tcPr>
          <w:p w:rsidRPr="00DF227D" w:rsidR="00DF227D" w:rsidP="00DF227D" w:rsidRDefault="00DF227D" w14:paraId="3D95ABA8" w14:textId="77777777">
            <w:pPr>
              <w:widowControl w:val="0"/>
              <w:autoSpaceDE w:val="0"/>
              <w:autoSpaceDN w:val="0"/>
              <w:adjustRightInd w:val="0"/>
              <w:spacing w:line="268" w:lineRule="exact"/>
              <w:rPr>
                <w:rFonts w:ascii="Times New Roman" w:hAnsi="Times New Roman" w:cs="Times New Roman"/>
                <w:b/>
              </w:rPr>
            </w:pPr>
            <w:r w:rsidRPr="00DF227D">
              <w:rPr>
                <w:rFonts w:ascii="Times New Roman" w:hAnsi="Times New Roman" w:cs="Times New Roman"/>
                <w:b/>
              </w:rPr>
              <w:t>Total Burden Hours Per Step</w:t>
            </w:r>
          </w:p>
        </w:tc>
        <w:tc>
          <w:tcPr>
            <w:tcW w:w="1440" w:type="dxa"/>
            <w:vMerge w:val="restart"/>
          </w:tcPr>
          <w:p w:rsidRPr="00DF227D" w:rsidR="00DF227D" w:rsidP="00DF227D" w:rsidRDefault="00DF227D" w14:paraId="31E732C2" w14:textId="77777777">
            <w:pPr>
              <w:widowControl w:val="0"/>
              <w:autoSpaceDE w:val="0"/>
              <w:autoSpaceDN w:val="0"/>
              <w:adjustRightInd w:val="0"/>
              <w:spacing w:line="268" w:lineRule="exact"/>
              <w:rPr>
                <w:rFonts w:ascii="Times New Roman" w:hAnsi="Times New Roman" w:cs="Times New Roman"/>
                <w:b/>
              </w:rPr>
            </w:pPr>
            <w:r w:rsidRPr="00DF227D">
              <w:rPr>
                <w:rFonts w:ascii="Times New Roman" w:hAnsi="Times New Roman" w:cs="Times New Roman"/>
                <w:b/>
              </w:rPr>
              <w:t>Grand Total Burden Hours</w:t>
            </w:r>
          </w:p>
        </w:tc>
      </w:tr>
      <w:tr w:rsidRPr="00DF227D" w:rsidR="00D60B5B" w:rsidTr="00D60B5B" w14:paraId="794C4D5B" w14:textId="77777777">
        <w:trPr>
          <w:trHeight w:val="1088"/>
        </w:trPr>
        <w:tc>
          <w:tcPr>
            <w:tcW w:w="1350" w:type="dxa"/>
            <w:vMerge/>
            <w:vAlign w:val="center"/>
          </w:tcPr>
          <w:p w:rsidRPr="00DF227D" w:rsidR="00DF227D" w:rsidP="00DF227D" w:rsidRDefault="00DF227D" w14:paraId="5EF71128" w14:textId="77777777">
            <w:pPr>
              <w:widowControl w:val="0"/>
              <w:autoSpaceDE w:val="0"/>
              <w:autoSpaceDN w:val="0"/>
              <w:adjustRightInd w:val="0"/>
              <w:spacing w:line="268" w:lineRule="exact"/>
              <w:rPr>
                <w:rFonts w:ascii="Times New Roman" w:hAnsi="Times New Roman" w:cs="Times New Roman"/>
                <w:b/>
              </w:rPr>
            </w:pPr>
          </w:p>
        </w:tc>
        <w:tc>
          <w:tcPr>
            <w:tcW w:w="1080" w:type="dxa"/>
            <w:tcBorders>
              <w:top w:val="nil"/>
            </w:tcBorders>
          </w:tcPr>
          <w:p w:rsidRPr="00DF227D" w:rsidR="00DF227D" w:rsidP="00DF227D" w:rsidRDefault="00DF227D" w14:paraId="475A13D5" w14:textId="77777777">
            <w:pPr>
              <w:widowControl w:val="0"/>
              <w:autoSpaceDE w:val="0"/>
              <w:autoSpaceDN w:val="0"/>
              <w:adjustRightInd w:val="0"/>
              <w:spacing w:line="268" w:lineRule="exact"/>
              <w:rPr>
                <w:rFonts w:ascii="Times New Roman" w:hAnsi="Times New Roman" w:cs="Times New Roman"/>
                <w:b/>
              </w:rPr>
            </w:pPr>
          </w:p>
          <w:p w:rsidRPr="00DF227D" w:rsidR="00DF227D" w:rsidP="00DF227D" w:rsidRDefault="00DF227D" w14:paraId="65B7A639" w14:textId="77777777">
            <w:pPr>
              <w:widowControl w:val="0"/>
              <w:autoSpaceDE w:val="0"/>
              <w:autoSpaceDN w:val="0"/>
              <w:adjustRightInd w:val="0"/>
              <w:spacing w:line="268" w:lineRule="exact"/>
              <w:rPr>
                <w:rFonts w:ascii="Times New Roman" w:hAnsi="Times New Roman" w:cs="Times New Roman"/>
                <w:b/>
              </w:rPr>
            </w:pPr>
          </w:p>
        </w:tc>
        <w:tc>
          <w:tcPr>
            <w:tcW w:w="1440" w:type="dxa"/>
            <w:vAlign w:val="center"/>
          </w:tcPr>
          <w:p w:rsidRPr="00DF227D" w:rsidR="00DF227D" w:rsidP="00DF227D" w:rsidRDefault="00DF227D" w14:paraId="5170BC5C" w14:textId="77777777">
            <w:pPr>
              <w:widowControl w:val="0"/>
              <w:autoSpaceDE w:val="0"/>
              <w:autoSpaceDN w:val="0"/>
              <w:adjustRightInd w:val="0"/>
              <w:spacing w:line="268" w:lineRule="exact"/>
              <w:rPr>
                <w:rFonts w:ascii="Times New Roman" w:hAnsi="Times New Roman" w:cs="Times New Roman"/>
                <w:b/>
              </w:rPr>
            </w:pPr>
            <w:r w:rsidRPr="00DF227D">
              <w:rPr>
                <w:rFonts w:ascii="Times New Roman" w:hAnsi="Times New Roman" w:cs="Times New Roman"/>
                <w:b/>
              </w:rPr>
              <w:t>Completion (Filling out and Filing)</w:t>
            </w:r>
          </w:p>
        </w:tc>
        <w:tc>
          <w:tcPr>
            <w:tcW w:w="1620" w:type="dxa"/>
            <w:vAlign w:val="center"/>
          </w:tcPr>
          <w:p w:rsidRPr="00DF227D" w:rsidR="00DF227D" w:rsidP="00DF227D" w:rsidRDefault="00DF227D" w14:paraId="6CF70596" w14:textId="77777777">
            <w:pPr>
              <w:widowControl w:val="0"/>
              <w:autoSpaceDE w:val="0"/>
              <w:autoSpaceDN w:val="0"/>
              <w:adjustRightInd w:val="0"/>
              <w:spacing w:line="268" w:lineRule="exact"/>
              <w:rPr>
                <w:rFonts w:ascii="Times New Roman" w:hAnsi="Times New Roman" w:cs="Times New Roman"/>
                <w:b/>
              </w:rPr>
            </w:pPr>
            <w:r w:rsidRPr="00DF227D">
              <w:rPr>
                <w:rFonts w:ascii="Times New Roman" w:hAnsi="Times New Roman" w:cs="Times New Roman"/>
                <w:b/>
              </w:rPr>
              <w:t>Maintenance</w:t>
            </w:r>
          </w:p>
        </w:tc>
        <w:tc>
          <w:tcPr>
            <w:tcW w:w="1440" w:type="dxa"/>
            <w:vAlign w:val="center"/>
          </w:tcPr>
          <w:p w:rsidRPr="00DF227D" w:rsidR="00DF227D" w:rsidP="00DF227D" w:rsidRDefault="00DF227D" w14:paraId="5B9E4879" w14:textId="77777777">
            <w:pPr>
              <w:widowControl w:val="0"/>
              <w:autoSpaceDE w:val="0"/>
              <w:autoSpaceDN w:val="0"/>
              <w:adjustRightInd w:val="0"/>
              <w:spacing w:line="268" w:lineRule="exact"/>
              <w:rPr>
                <w:rFonts w:ascii="Times New Roman" w:hAnsi="Times New Roman" w:cs="Times New Roman"/>
                <w:b/>
              </w:rPr>
            </w:pPr>
            <w:r w:rsidRPr="00DF227D">
              <w:rPr>
                <w:rFonts w:ascii="Times New Roman" w:hAnsi="Times New Roman" w:cs="Times New Roman"/>
                <w:b/>
              </w:rPr>
              <w:t>Completion (Filling out and Filing)</w:t>
            </w:r>
          </w:p>
        </w:tc>
        <w:tc>
          <w:tcPr>
            <w:tcW w:w="1620" w:type="dxa"/>
            <w:vAlign w:val="center"/>
          </w:tcPr>
          <w:p w:rsidRPr="00DF227D" w:rsidR="00DF227D" w:rsidP="00DF227D" w:rsidRDefault="00DF227D" w14:paraId="624F22E5" w14:textId="77777777">
            <w:pPr>
              <w:widowControl w:val="0"/>
              <w:autoSpaceDE w:val="0"/>
              <w:autoSpaceDN w:val="0"/>
              <w:adjustRightInd w:val="0"/>
              <w:spacing w:line="268" w:lineRule="exact"/>
              <w:rPr>
                <w:rFonts w:ascii="Times New Roman" w:hAnsi="Times New Roman" w:cs="Times New Roman"/>
                <w:b/>
              </w:rPr>
            </w:pPr>
            <w:r w:rsidRPr="00DF227D">
              <w:rPr>
                <w:rFonts w:ascii="Times New Roman" w:hAnsi="Times New Roman" w:cs="Times New Roman"/>
                <w:b/>
              </w:rPr>
              <w:t>Maintenance</w:t>
            </w:r>
          </w:p>
        </w:tc>
        <w:tc>
          <w:tcPr>
            <w:tcW w:w="1440" w:type="dxa"/>
            <w:vMerge/>
          </w:tcPr>
          <w:p w:rsidRPr="00DF227D" w:rsidR="00DF227D" w:rsidP="00DF227D" w:rsidRDefault="00DF227D" w14:paraId="10FA9C56" w14:textId="77777777">
            <w:pPr>
              <w:widowControl w:val="0"/>
              <w:autoSpaceDE w:val="0"/>
              <w:autoSpaceDN w:val="0"/>
              <w:adjustRightInd w:val="0"/>
              <w:spacing w:line="268" w:lineRule="exact"/>
              <w:rPr>
                <w:rFonts w:ascii="Times New Roman" w:hAnsi="Times New Roman" w:cs="Times New Roman"/>
                <w:b/>
              </w:rPr>
            </w:pPr>
          </w:p>
        </w:tc>
      </w:tr>
      <w:tr w:rsidRPr="00DF227D" w:rsidR="00D60B5B" w:rsidTr="00D60B5B" w14:paraId="35AB3378" w14:textId="77777777">
        <w:trPr>
          <w:trHeight w:val="620"/>
        </w:trPr>
        <w:tc>
          <w:tcPr>
            <w:tcW w:w="1350" w:type="dxa"/>
            <w:vAlign w:val="center"/>
          </w:tcPr>
          <w:p w:rsidRPr="009206B1" w:rsidR="00DF227D" w:rsidP="00DF227D" w:rsidRDefault="00DF227D" w14:paraId="7F408C26" w14:textId="77777777">
            <w:pPr>
              <w:widowControl w:val="0"/>
              <w:autoSpaceDE w:val="0"/>
              <w:autoSpaceDN w:val="0"/>
              <w:adjustRightInd w:val="0"/>
              <w:spacing w:line="268" w:lineRule="exact"/>
              <w:rPr>
                <w:rFonts w:ascii="Times New Roman" w:hAnsi="Times New Roman" w:cs="Times New Roman"/>
              </w:rPr>
            </w:pPr>
            <w:r w:rsidRPr="009206B1">
              <w:rPr>
                <w:rFonts w:ascii="Times New Roman" w:hAnsi="Times New Roman" w:cs="Times New Roman"/>
                <w:lang w:val="en-GB"/>
              </w:rPr>
              <w:t>Banks</w:t>
            </w:r>
          </w:p>
        </w:tc>
        <w:tc>
          <w:tcPr>
            <w:tcW w:w="1080" w:type="dxa"/>
            <w:vAlign w:val="center"/>
          </w:tcPr>
          <w:p w:rsidRPr="009206B1" w:rsidR="00DF227D" w:rsidP="00DF227D" w:rsidRDefault="00DF227D" w14:paraId="6A4D83D1" w14:textId="77777777">
            <w:pPr>
              <w:widowControl w:val="0"/>
              <w:autoSpaceDE w:val="0"/>
              <w:autoSpaceDN w:val="0"/>
              <w:adjustRightInd w:val="0"/>
              <w:spacing w:line="268" w:lineRule="exact"/>
              <w:rPr>
                <w:rFonts w:ascii="Times New Roman" w:hAnsi="Times New Roman" w:cs="Times New Roman"/>
              </w:rPr>
            </w:pPr>
            <w:r w:rsidRPr="009206B1">
              <w:rPr>
                <w:rFonts w:ascii="Times New Roman" w:hAnsi="Times New Roman" w:cs="Times New Roman"/>
              </w:rPr>
              <w:t>18,141</w:t>
            </w:r>
          </w:p>
        </w:tc>
        <w:tc>
          <w:tcPr>
            <w:tcW w:w="1440" w:type="dxa"/>
            <w:vAlign w:val="center"/>
          </w:tcPr>
          <w:p w:rsidRPr="009206B1" w:rsidR="00DF227D" w:rsidP="00DF227D" w:rsidRDefault="00DF227D" w14:paraId="3AC6C610" w14:textId="77777777">
            <w:pPr>
              <w:widowControl w:val="0"/>
              <w:autoSpaceDE w:val="0"/>
              <w:autoSpaceDN w:val="0"/>
              <w:adjustRightInd w:val="0"/>
              <w:spacing w:line="268" w:lineRule="exact"/>
              <w:rPr>
                <w:rFonts w:ascii="Times New Roman" w:hAnsi="Times New Roman" w:cs="Times New Roman"/>
              </w:rPr>
            </w:pPr>
            <w:r w:rsidRPr="009206B1">
              <w:rPr>
                <w:rFonts w:ascii="Times New Roman" w:hAnsi="Times New Roman" w:cs="Times New Roman"/>
              </w:rPr>
              <w:t>45 minutes</w:t>
            </w:r>
          </w:p>
        </w:tc>
        <w:tc>
          <w:tcPr>
            <w:tcW w:w="1620" w:type="dxa"/>
            <w:vAlign w:val="center"/>
          </w:tcPr>
          <w:p w:rsidRPr="009206B1" w:rsidR="00DF227D" w:rsidP="00DF227D" w:rsidRDefault="00DF227D" w14:paraId="76A9252E" w14:textId="77777777">
            <w:pPr>
              <w:widowControl w:val="0"/>
              <w:autoSpaceDE w:val="0"/>
              <w:autoSpaceDN w:val="0"/>
              <w:adjustRightInd w:val="0"/>
              <w:spacing w:line="268" w:lineRule="exact"/>
              <w:rPr>
                <w:rFonts w:ascii="Times New Roman" w:hAnsi="Times New Roman" w:cs="Times New Roman"/>
              </w:rPr>
            </w:pPr>
            <w:r w:rsidRPr="009206B1">
              <w:rPr>
                <w:rFonts w:ascii="Times New Roman" w:hAnsi="Times New Roman" w:cs="Times New Roman"/>
              </w:rPr>
              <w:t xml:space="preserve">15 minutes </w:t>
            </w:r>
          </w:p>
        </w:tc>
        <w:tc>
          <w:tcPr>
            <w:tcW w:w="1440" w:type="dxa"/>
            <w:vAlign w:val="center"/>
          </w:tcPr>
          <w:p w:rsidRPr="009206B1" w:rsidR="00DF227D" w:rsidP="00DF227D" w:rsidRDefault="00DF227D" w14:paraId="52045FF4" w14:textId="77777777">
            <w:pPr>
              <w:widowControl w:val="0"/>
              <w:autoSpaceDE w:val="0"/>
              <w:autoSpaceDN w:val="0"/>
              <w:adjustRightInd w:val="0"/>
              <w:spacing w:line="268" w:lineRule="exact"/>
              <w:rPr>
                <w:rFonts w:ascii="Times New Roman" w:hAnsi="Times New Roman" w:cs="Times New Roman"/>
              </w:rPr>
            </w:pPr>
            <w:r w:rsidRPr="009206B1">
              <w:rPr>
                <w:rFonts w:ascii="Times New Roman" w:hAnsi="Times New Roman" w:cs="Times New Roman"/>
              </w:rPr>
              <w:t>13,605.75</w:t>
            </w:r>
          </w:p>
        </w:tc>
        <w:tc>
          <w:tcPr>
            <w:tcW w:w="1620" w:type="dxa"/>
            <w:vAlign w:val="center"/>
          </w:tcPr>
          <w:p w:rsidRPr="009206B1" w:rsidR="00DF227D" w:rsidP="00DF227D" w:rsidRDefault="00DF227D" w14:paraId="0CE1F26E" w14:textId="77777777">
            <w:pPr>
              <w:widowControl w:val="0"/>
              <w:autoSpaceDE w:val="0"/>
              <w:autoSpaceDN w:val="0"/>
              <w:adjustRightInd w:val="0"/>
              <w:spacing w:line="268" w:lineRule="exact"/>
              <w:rPr>
                <w:rFonts w:ascii="Times New Roman" w:hAnsi="Times New Roman" w:cs="Times New Roman"/>
              </w:rPr>
            </w:pPr>
            <w:r w:rsidRPr="009206B1">
              <w:rPr>
                <w:rFonts w:ascii="Times New Roman" w:hAnsi="Times New Roman" w:cs="Times New Roman"/>
              </w:rPr>
              <w:t>4,535.25</w:t>
            </w:r>
          </w:p>
        </w:tc>
        <w:tc>
          <w:tcPr>
            <w:tcW w:w="1440" w:type="dxa"/>
            <w:vAlign w:val="center"/>
          </w:tcPr>
          <w:p w:rsidRPr="009206B1" w:rsidR="00DF227D" w:rsidP="00DF227D" w:rsidRDefault="00DF227D" w14:paraId="531E10D2" w14:textId="77777777">
            <w:pPr>
              <w:widowControl w:val="0"/>
              <w:autoSpaceDE w:val="0"/>
              <w:autoSpaceDN w:val="0"/>
              <w:adjustRightInd w:val="0"/>
              <w:spacing w:line="268" w:lineRule="exact"/>
              <w:rPr>
                <w:rFonts w:ascii="Times New Roman" w:hAnsi="Times New Roman" w:cs="Times New Roman"/>
              </w:rPr>
            </w:pPr>
          </w:p>
          <w:p w:rsidRPr="009206B1" w:rsidR="00DF227D" w:rsidP="00DF227D" w:rsidRDefault="00DF227D" w14:paraId="43781E3B" w14:textId="77777777">
            <w:pPr>
              <w:widowControl w:val="0"/>
              <w:autoSpaceDE w:val="0"/>
              <w:autoSpaceDN w:val="0"/>
              <w:adjustRightInd w:val="0"/>
              <w:spacing w:line="268" w:lineRule="exact"/>
              <w:rPr>
                <w:rFonts w:ascii="Times New Roman" w:hAnsi="Times New Roman" w:cs="Times New Roman"/>
              </w:rPr>
            </w:pPr>
            <w:r w:rsidRPr="009206B1">
              <w:rPr>
                <w:rFonts w:ascii="Times New Roman" w:hAnsi="Times New Roman" w:cs="Times New Roman"/>
              </w:rPr>
              <w:t>18,141</w:t>
            </w:r>
            <w:r w:rsidRPr="009206B1">
              <w:rPr>
                <w:rFonts w:ascii="Times New Roman" w:hAnsi="Times New Roman" w:cs="Times New Roman"/>
                <w:vertAlign w:val="superscript"/>
              </w:rPr>
              <w:footnoteReference w:id="14"/>
            </w:r>
          </w:p>
          <w:p w:rsidRPr="009206B1" w:rsidR="00DF227D" w:rsidP="00DF227D" w:rsidRDefault="00DF227D" w14:paraId="722CA462" w14:textId="77777777">
            <w:pPr>
              <w:widowControl w:val="0"/>
              <w:autoSpaceDE w:val="0"/>
              <w:autoSpaceDN w:val="0"/>
              <w:adjustRightInd w:val="0"/>
              <w:spacing w:line="268" w:lineRule="exact"/>
              <w:rPr>
                <w:rFonts w:ascii="Times New Roman" w:hAnsi="Times New Roman" w:cs="Times New Roman"/>
              </w:rPr>
            </w:pPr>
          </w:p>
        </w:tc>
      </w:tr>
    </w:tbl>
    <w:p w:rsidRPr="00DF227D" w:rsidR="00DF227D" w:rsidP="00DF227D" w:rsidRDefault="00DF227D" w14:paraId="03E263C8" w14:textId="77777777">
      <w:pPr>
        <w:widowControl w:val="0"/>
        <w:autoSpaceDE w:val="0"/>
        <w:autoSpaceDN w:val="0"/>
        <w:adjustRightInd w:val="0"/>
        <w:spacing w:line="268" w:lineRule="exact"/>
        <w:rPr>
          <w:b/>
        </w:rPr>
      </w:pPr>
    </w:p>
    <w:p w:rsidRPr="00736FD7" w:rsidR="00642110" w:rsidP="001A607A" w:rsidRDefault="00642110" w14:paraId="1C79AD8B" w14:textId="4B85AB6A">
      <w:pPr>
        <w:rPr>
          <w:szCs w:val="22"/>
        </w:rPr>
      </w:pPr>
      <w:r>
        <w:lastRenderedPageBreak/>
        <w:t xml:space="preserve">13. </w:t>
      </w:r>
      <w:r>
        <w:rPr>
          <w:u w:val="single"/>
        </w:rPr>
        <w:t xml:space="preserve">Estimated </w:t>
      </w:r>
      <w:r w:rsidR="00125BE6">
        <w:rPr>
          <w:u w:val="single"/>
        </w:rPr>
        <w:t xml:space="preserve">total annual cost </w:t>
      </w:r>
      <w:r w:rsidRPr="006D58D4" w:rsidR="00125BE6">
        <w:rPr>
          <w:u w:val="single"/>
        </w:rPr>
        <w:t>to respondents</w:t>
      </w:r>
      <w:r w:rsidR="00125BE6">
        <w:rPr>
          <w:u w:val="single"/>
        </w:rPr>
        <w:t xml:space="preserve"> for hour b</w:t>
      </w:r>
      <w:r>
        <w:rPr>
          <w:u w:val="single"/>
        </w:rPr>
        <w:t>urdens</w:t>
      </w:r>
      <w:r>
        <w:t xml:space="preserve"> </w:t>
      </w:r>
    </w:p>
    <w:p w:rsidR="00642110" w:rsidP="001A607A" w:rsidRDefault="00642110" w14:paraId="030372E2" w14:textId="77777777">
      <w:pPr>
        <w:ind w:firstLine="720"/>
      </w:pPr>
    </w:p>
    <w:p w:rsidRPr="001A607A" w:rsidR="00184BE7" w:rsidP="000046AB" w:rsidRDefault="00184BE7" w14:paraId="530A210F" w14:textId="73BF7204">
      <w:pPr>
        <w:widowControl w:val="0"/>
        <w:autoSpaceDE w:val="0"/>
        <w:autoSpaceDN w:val="0"/>
        <w:adjustRightInd w:val="0"/>
        <w:spacing w:line="268" w:lineRule="exact"/>
        <w:ind w:firstLine="720"/>
        <w:rPr>
          <w:szCs w:val="22"/>
        </w:rPr>
      </w:pPr>
      <w:r w:rsidRPr="001A607A">
        <w:rPr>
          <w:szCs w:val="22"/>
        </w:rPr>
        <w:t xml:space="preserve">Fully-loaded hourly wage by </w:t>
      </w:r>
      <w:r w:rsidRPr="001A607A" w:rsidR="00642110">
        <w:rPr>
          <w:szCs w:val="22"/>
        </w:rPr>
        <w:t>role and Bureau of Labor and Statistics (BLS) job position</w:t>
      </w:r>
      <w:r w:rsidR="00642110">
        <w:rPr>
          <w:rStyle w:val="FootnoteReference"/>
          <w:szCs w:val="22"/>
        </w:rPr>
        <w:footnoteReference w:id="15"/>
      </w:r>
      <w:r w:rsidRPr="001A607A" w:rsidR="00642110">
        <w:rPr>
          <w:szCs w:val="22"/>
        </w:rPr>
        <w:t xml:space="preserve"> for all financial institutions covered by this supporting statement:</w:t>
      </w:r>
    </w:p>
    <w:p w:rsidR="00184BE7" w:rsidP="00184BE7" w:rsidRDefault="00184BE7" w14:paraId="46A30C53" w14:textId="1ADF5A48">
      <w:pPr>
        <w:widowControl w:val="0"/>
        <w:autoSpaceDE w:val="0"/>
        <w:autoSpaceDN w:val="0"/>
        <w:adjustRightInd w:val="0"/>
        <w:spacing w:line="268" w:lineRule="exact"/>
        <w:jc w:val="both"/>
        <w:rPr>
          <w:b/>
          <w:szCs w:val="22"/>
        </w:rPr>
      </w:pPr>
    </w:p>
    <w:tbl>
      <w:tblPr>
        <w:tblStyle w:val="TableGrid"/>
        <w:tblW w:w="9715" w:type="dxa"/>
        <w:tblLook w:val="04A0" w:firstRow="1" w:lastRow="0" w:firstColumn="1" w:lastColumn="0" w:noHBand="0" w:noVBand="1"/>
      </w:tblPr>
      <w:tblGrid>
        <w:gridCol w:w="3145"/>
        <w:gridCol w:w="1170"/>
        <w:gridCol w:w="2019"/>
        <w:gridCol w:w="1014"/>
        <w:gridCol w:w="950"/>
        <w:gridCol w:w="1417"/>
      </w:tblGrid>
      <w:tr w:rsidRPr="00EB0B5B" w:rsidR="00EB0B5B" w:rsidTr="002B198A" w14:paraId="54DB4E40" w14:textId="77777777">
        <w:trPr>
          <w:tblHeader/>
        </w:trPr>
        <w:tc>
          <w:tcPr>
            <w:tcW w:w="3145" w:type="dxa"/>
            <w:vAlign w:val="center"/>
          </w:tcPr>
          <w:p w:rsidRPr="00EB0B5B" w:rsidR="00EB0B5B" w:rsidP="00EB0B5B" w:rsidRDefault="00EB0B5B" w14:paraId="3506DEE9" w14:textId="77777777">
            <w:pPr>
              <w:widowControl w:val="0"/>
              <w:autoSpaceDE w:val="0"/>
              <w:autoSpaceDN w:val="0"/>
              <w:adjustRightInd w:val="0"/>
              <w:spacing w:line="268" w:lineRule="exact"/>
              <w:jc w:val="both"/>
              <w:rPr>
                <w:rFonts w:ascii="Times New Roman" w:hAnsi="Times New Roman" w:cs="Times New Roman"/>
                <w:b/>
                <w:szCs w:val="22"/>
              </w:rPr>
            </w:pPr>
            <w:r w:rsidRPr="00EB0B5B">
              <w:rPr>
                <w:rFonts w:ascii="Times New Roman" w:hAnsi="Times New Roman" w:cs="Times New Roman"/>
                <w:b/>
                <w:szCs w:val="22"/>
              </w:rPr>
              <w:t>Role</w:t>
            </w:r>
          </w:p>
        </w:tc>
        <w:tc>
          <w:tcPr>
            <w:tcW w:w="1170" w:type="dxa"/>
            <w:vAlign w:val="center"/>
          </w:tcPr>
          <w:p w:rsidRPr="00EB0B5B" w:rsidR="00EB0B5B" w:rsidP="00EB0B5B" w:rsidRDefault="00EB0B5B" w14:paraId="63A2646A" w14:textId="77777777">
            <w:pPr>
              <w:widowControl w:val="0"/>
              <w:autoSpaceDE w:val="0"/>
              <w:autoSpaceDN w:val="0"/>
              <w:adjustRightInd w:val="0"/>
              <w:spacing w:line="268" w:lineRule="exact"/>
              <w:jc w:val="both"/>
              <w:rPr>
                <w:rFonts w:ascii="Times New Roman" w:hAnsi="Times New Roman" w:cs="Times New Roman"/>
                <w:b/>
                <w:szCs w:val="22"/>
              </w:rPr>
            </w:pPr>
            <w:r w:rsidRPr="00EB0B5B">
              <w:rPr>
                <w:rFonts w:ascii="Times New Roman" w:hAnsi="Times New Roman" w:cs="Times New Roman"/>
                <w:b/>
                <w:szCs w:val="22"/>
              </w:rPr>
              <w:t>BLS-Code</w:t>
            </w:r>
          </w:p>
        </w:tc>
        <w:tc>
          <w:tcPr>
            <w:tcW w:w="2019" w:type="dxa"/>
            <w:vAlign w:val="center"/>
          </w:tcPr>
          <w:p w:rsidRPr="00EB0B5B" w:rsidR="00EB0B5B" w:rsidP="00EB0B5B" w:rsidRDefault="00EB0B5B" w14:paraId="67F31331" w14:textId="77777777">
            <w:pPr>
              <w:widowControl w:val="0"/>
              <w:autoSpaceDE w:val="0"/>
              <w:autoSpaceDN w:val="0"/>
              <w:adjustRightInd w:val="0"/>
              <w:spacing w:line="268" w:lineRule="exact"/>
              <w:jc w:val="both"/>
              <w:rPr>
                <w:rFonts w:ascii="Times New Roman" w:hAnsi="Times New Roman" w:cs="Times New Roman"/>
                <w:b/>
                <w:szCs w:val="22"/>
              </w:rPr>
            </w:pPr>
            <w:r w:rsidRPr="00EB0B5B">
              <w:rPr>
                <w:rFonts w:ascii="Times New Roman" w:hAnsi="Times New Roman" w:cs="Times New Roman"/>
                <w:b/>
                <w:szCs w:val="22"/>
              </w:rPr>
              <w:t>BLS-Name</w:t>
            </w:r>
          </w:p>
        </w:tc>
        <w:tc>
          <w:tcPr>
            <w:tcW w:w="1014" w:type="dxa"/>
            <w:vAlign w:val="center"/>
          </w:tcPr>
          <w:p w:rsidRPr="00EB0B5B" w:rsidR="00EB0B5B" w:rsidP="00EB0B5B" w:rsidRDefault="00EB0B5B" w14:paraId="73343316" w14:textId="77777777">
            <w:pPr>
              <w:widowControl w:val="0"/>
              <w:autoSpaceDE w:val="0"/>
              <w:autoSpaceDN w:val="0"/>
              <w:adjustRightInd w:val="0"/>
              <w:spacing w:line="268" w:lineRule="exact"/>
              <w:jc w:val="both"/>
              <w:rPr>
                <w:rFonts w:ascii="Times New Roman" w:hAnsi="Times New Roman" w:cs="Times New Roman"/>
                <w:b/>
                <w:szCs w:val="22"/>
              </w:rPr>
            </w:pPr>
            <w:r w:rsidRPr="00EB0B5B">
              <w:rPr>
                <w:rFonts w:ascii="Times New Roman" w:hAnsi="Times New Roman" w:cs="Times New Roman"/>
                <w:b/>
                <w:szCs w:val="22"/>
              </w:rPr>
              <w:t>Median Hourly Wage</w:t>
            </w:r>
          </w:p>
        </w:tc>
        <w:tc>
          <w:tcPr>
            <w:tcW w:w="950" w:type="dxa"/>
            <w:vAlign w:val="center"/>
          </w:tcPr>
          <w:p w:rsidRPr="00EB0B5B" w:rsidR="00EB0B5B" w:rsidP="00EB0B5B" w:rsidRDefault="00EB0B5B" w14:paraId="3498CF99" w14:textId="77777777">
            <w:pPr>
              <w:widowControl w:val="0"/>
              <w:autoSpaceDE w:val="0"/>
              <w:autoSpaceDN w:val="0"/>
              <w:adjustRightInd w:val="0"/>
              <w:spacing w:line="268" w:lineRule="exact"/>
              <w:jc w:val="both"/>
              <w:rPr>
                <w:rFonts w:ascii="Times New Roman" w:hAnsi="Times New Roman" w:cs="Times New Roman"/>
                <w:b/>
                <w:szCs w:val="22"/>
              </w:rPr>
            </w:pPr>
            <w:r w:rsidRPr="00EB0B5B">
              <w:rPr>
                <w:rFonts w:ascii="Times New Roman" w:hAnsi="Times New Roman" w:cs="Times New Roman"/>
                <w:b/>
                <w:szCs w:val="22"/>
              </w:rPr>
              <w:t>Benefit Factor</w:t>
            </w:r>
          </w:p>
        </w:tc>
        <w:tc>
          <w:tcPr>
            <w:tcW w:w="1417" w:type="dxa"/>
            <w:vAlign w:val="center"/>
          </w:tcPr>
          <w:p w:rsidRPr="00EB0B5B" w:rsidR="00EB0B5B" w:rsidP="00EB0B5B" w:rsidRDefault="00EB0B5B" w14:paraId="6560FD1E" w14:textId="2C3EA858">
            <w:pPr>
              <w:widowControl w:val="0"/>
              <w:autoSpaceDE w:val="0"/>
              <w:autoSpaceDN w:val="0"/>
              <w:adjustRightInd w:val="0"/>
              <w:spacing w:line="268" w:lineRule="exact"/>
              <w:jc w:val="both"/>
              <w:rPr>
                <w:rFonts w:ascii="Times New Roman" w:hAnsi="Times New Roman" w:cs="Times New Roman"/>
                <w:b/>
                <w:szCs w:val="22"/>
              </w:rPr>
            </w:pPr>
            <w:r w:rsidRPr="00EB0B5B">
              <w:rPr>
                <w:rFonts w:ascii="Times New Roman" w:hAnsi="Times New Roman" w:cs="Times New Roman"/>
                <w:b/>
                <w:szCs w:val="22"/>
              </w:rPr>
              <w:t>Fully-</w:t>
            </w:r>
            <w:r w:rsidR="00985453">
              <w:rPr>
                <w:rFonts w:ascii="Times New Roman" w:hAnsi="Times New Roman" w:cs="Times New Roman"/>
                <w:b/>
                <w:szCs w:val="22"/>
              </w:rPr>
              <w:t>L</w:t>
            </w:r>
            <w:r w:rsidRPr="00EB0B5B">
              <w:rPr>
                <w:rFonts w:ascii="Times New Roman" w:hAnsi="Times New Roman" w:cs="Times New Roman"/>
                <w:b/>
                <w:szCs w:val="22"/>
              </w:rPr>
              <w:t>oaded Hourly Wage</w:t>
            </w:r>
          </w:p>
        </w:tc>
      </w:tr>
      <w:tr w:rsidRPr="00EB0B5B" w:rsidR="00EB0B5B" w:rsidTr="002B198A" w14:paraId="40A71964" w14:textId="77777777">
        <w:tc>
          <w:tcPr>
            <w:tcW w:w="3145" w:type="dxa"/>
            <w:vAlign w:val="center"/>
          </w:tcPr>
          <w:p w:rsidRPr="009206B1" w:rsidR="00EB0B5B" w:rsidP="002B198A" w:rsidRDefault="00EB0B5B" w14:paraId="7C55CBBB" w14:textId="53B2551B">
            <w:pPr>
              <w:widowControl w:val="0"/>
              <w:autoSpaceDE w:val="0"/>
              <w:autoSpaceDN w:val="0"/>
              <w:adjustRightInd w:val="0"/>
              <w:spacing w:line="268" w:lineRule="exact"/>
              <w:rPr>
                <w:rFonts w:ascii="Times New Roman" w:hAnsi="Times New Roman" w:cs="Times New Roman"/>
                <w:szCs w:val="22"/>
              </w:rPr>
            </w:pPr>
            <w:r w:rsidRPr="009206B1">
              <w:rPr>
                <w:rFonts w:ascii="Times New Roman" w:hAnsi="Times New Roman" w:cs="Times New Roman"/>
                <w:szCs w:val="22"/>
              </w:rPr>
              <w:t xml:space="preserve">General </w:t>
            </w:r>
            <w:r w:rsidR="00985453">
              <w:rPr>
                <w:rFonts w:ascii="Times New Roman" w:hAnsi="Times New Roman" w:cs="Times New Roman"/>
                <w:szCs w:val="22"/>
              </w:rPr>
              <w:t>S</w:t>
            </w:r>
            <w:r w:rsidRPr="009206B1">
              <w:rPr>
                <w:rFonts w:ascii="Times New Roman" w:hAnsi="Times New Roman" w:cs="Times New Roman"/>
                <w:szCs w:val="22"/>
              </w:rPr>
              <w:t>upervision</w:t>
            </w:r>
          </w:p>
        </w:tc>
        <w:tc>
          <w:tcPr>
            <w:tcW w:w="1170" w:type="dxa"/>
            <w:vAlign w:val="center"/>
          </w:tcPr>
          <w:p w:rsidRPr="009206B1" w:rsidR="00EB0B5B" w:rsidP="00EB0B5B" w:rsidRDefault="00EB0B5B" w14:paraId="0275C703" w14:textId="77777777">
            <w:pPr>
              <w:widowControl w:val="0"/>
              <w:autoSpaceDE w:val="0"/>
              <w:autoSpaceDN w:val="0"/>
              <w:adjustRightInd w:val="0"/>
              <w:spacing w:line="268" w:lineRule="exact"/>
              <w:jc w:val="both"/>
              <w:rPr>
                <w:rFonts w:ascii="Times New Roman" w:hAnsi="Times New Roman" w:cs="Times New Roman"/>
                <w:szCs w:val="22"/>
              </w:rPr>
            </w:pPr>
            <w:r w:rsidRPr="009206B1">
              <w:rPr>
                <w:rFonts w:ascii="Times New Roman" w:hAnsi="Times New Roman" w:cs="Times New Roman"/>
                <w:szCs w:val="22"/>
              </w:rPr>
              <w:t>11-3031</w:t>
            </w:r>
          </w:p>
        </w:tc>
        <w:tc>
          <w:tcPr>
            <w:tcW w:w="2019" w:type="dxa"/>
            <w:vAlign w:val="center"/>
          </w:tcPr>
          <w:p w:rsidRPr="009206B1" w:rsidR="00EB0B5B" w:rsidP="00EB0B5B" w:rsidRDefault="00EB0B5B" w14:paraId="7B607E26" w14:textId="77777777">
            <w:pPr>
              <w:widowControl w:val="0"/>
              <w:autoSpaceDE w:val="0"/>
              <w:autoSpaceDN w:val="0"/>
              <w:adjustRightInd w:val="0"/>
              <w:spacing w:line="268" w:lineRule="exact"/>
              <w:jc w:val="both"/>
              <w:rPr>
                <w:rFonts w:ascii="Times New Roman" w:hAnsi="Times New Roman" w:cs="Times New Roman"/>
                <w:szCs w:val="22"/>
              </w:rPr>
            </w:pPr>
            <w:r w:rsidRPr="009206B1">
              <w:rPr>
                <w:rFonts w:ascii="Times New Roman" w:hAnsi="Times New Roman" w:cs="Times New Roman"/>
                <w:szCs w:val="22"/>
              </w:rPr>
              <w:t>Financial Manager</w:t>
            </w:r>
          </w:p>
        </w:tc>
        <w:tc>
          <w:tcPr>
            <w:tcW w:w="1014" w:type="dxa"/>
            <w:vAlign w:val="bottom"/>
          </w:tcPr>
          <w:p w:rsidRPr="009206B1" w:rsidR="00EB0B5B" w:rsidP="00EB0B5B" w:rsidRDefault="00EB0B5B" w14:paraId="3FD483A0" w14:textId="77777777">
            <w:pPr>
              <w:widowControl w:val="0"/>
              <w:autoSpaceDE w:val="0"/>
              <w:autoSpaceDN w:val="0"/>
              <w:adjustRightInd w:val="0"/>
              <w:spacing w:line="268" w:lineRule="exact"/>
              <w:jc w:val="both"/>
              <w:rPr>
                <w:rFonts w:ascii="Times New Roman" w:hAnsi="Times New Roman" w:cs="Times New Roman"/>
                <w:szCs w:val="22"/>
              </w:rPr>
            </w:pPr>
            <w:r w:rsidRPr="009206B1">
              <w:rPr>
                <w:rFonts w:ascii="Times New Roman" w:hAnsi="Times New Roman" w:cs="Times New Roman"/>
                <w:szCs w:val="22"/>
              </w:rPr>
              <w:t>$62.45</w:t>
            </w:r>
          </w:p>
        </w:tc>
        <w:tc>
          <w:tcPr>
            <w:tcW w:w="950" w:type="dxa"/>
            <w:vAlign w:val="bottom"/>
          </w:tcPr>
          <w:p w:rsidRPr="009206B1" w:rsidR="00EB0B5B" w:rsidP="00EB0B5B" w:rsidRDefault="00EB0B5B" w14:paraId="56CA596E" w14:textId="77777777">
            <w:pPr>
              <w:widowControl w:val="0"/>
              <w:autoSpaceDE w:val="0"/>
              <w:autoSpaceDN w:val="0"/>
              <w:adjustRightInd w:val="0"/>
              <w:spacing w:line="268" w:lineRule="exact"/>
              <w:jc w:val="both"/>
              <w:rPr>
                <w:rFonts w:ascii="Times New Roman" w:hAnsi="Times New Roman" w:cs="Times New Roman"/>
                <w:szCs w:val="22"/>
              </w:rPr>
            </w:pPr>
            <w:r w:rsidRPr="009206B1">
              <w:rPr>
                <w:rFonts w:ascii="Times New Roman" w:hAnsi="Times New Roman" w:cs="Times New Roman"/>
                <w:szCs w:val="22"/>
              </w:rPr>
              <w:t>1.50</w:t>
            </w:r>
          </w:p>
        </w:tc>
        <w:tc>
          <w:tcPr>
            <w:tcW w:w="1417" w:type="dxa"/>
            <w:vAlign w:val="bottom"/>
          </w:tcPr>
          <w:p w:rsidRPr="009206B1" w:rsidR="00EB0B5B" w:rsidP="00EB0B5B" w:rsidRDefault="00EB0B5B" w14:paraId="2BD5B5AB" w14:textId="77777777">
            <w:pPr>
              <w:widowControl w:val="0"/>
              <w:autoSpaceDE w:val="0"/>
              <w:autoSpaceDN w:val="0"/>
              <w:adjustRightInd w:val="0"/>
              <w:spacing w:line="268" w:lineRule="exact"/>
              <w:jc w:val="both"/>
              <w:rPr>
                <w:rFonts w:ascii="Times New Roman" w:hAnsi="Times New Roman" w:cs="Times New Roman"/>
                <w:szCs w:val="22"/>
              </w:rPr>
            </w:pPr>
            <w:r w:rsidRPr="009206B1">
              <w:rPr>
                <w:rFonts w:ascii="Times New Roman" w:hAnsi="Times New Roman" w:cs="Times New Roman"/>
                <w:szCs w:val="22"/>
              </w:rPr>
              <w:t>$93.68</w:t>
            </w:r>
          </w:p>
        </w:tc>
      </w:tr>
      <w:tr w:rsidRPr="002B198A" w:rsidR="00EB0B5B" w:rsidTr="002B198A" w14:paraId="486B670A" w14:textId="77777777">
        <w:tc>
          <w:tcPr>
            <w:tcW w:w="3145" w:type="dxa"/>
            <w:vAlign w:val="center"/>
          </w:tcPr>
          <w:p w:rsidRPr="002B198A" w:rsidR="00EB0B5B" w:rsidP="00EB0B5B" w:rsidRDefault="00EB0B5B" w14:paraId="6585FAFA" w14:textId="7B77C8E4">
            <w:pPr>
              <w:widowControl w:val="0"/>
              <w:autoSpaceDE w:val="0"/>
              <w:autoSpaceDN w:val="0"/>
              <w:adjustRightInd w:val="0"/>
              <w:spacing w:line="268" w:lineRule="exact"/>
              <w:jc w:val="both"/>
              <w:rPr>
                <w:rFonts w:ascii="Times New Roman" w:hAnsi="Times New Roman" w:cs="Times New Roman"/>
                <w:szCs w:val="22"/>
              </w:rPr>
            </w:pPr>
            <w:r w:rsidRPr="002B198A">
              <w:rPr>
                <w:rFonts w:ascii="Times New Roman" w:hAnsi="Times New Roman" w:cs="Times New Roman"/>
                <w:szCs w:val="22"/>
              </w:rPr>
              <w:t xml:space="preserve">Direct </w:t>
            </w:r>
            <w:r w:rsidR="00985453">
              <w:rPr>
                <w:rFonts w:ascii="Times New Roman" w:hAnsi="Times New Roman" w:cs="Times New Roman"/>
                <w:szCs w:val="22"/>
              </w:rPr>
              <w:t>S</w:t>
            </w:r>
            <w:r w:rsidRPr="002B198A">
              <w:rPr>
                <w:rFonts w:ascii="Times New Roman" w:hAnsi="Times New Roman" w:cs="Times New Roman"/>
                <w:szCs w:val="22"/>
              </w:rPr>
              <w:t>upervision</w:t>
            </w:r>
          </w:p>
        </w:tc>
        <w:tc>
          <w:tcPr>
            <w:tcW w:w="1170" w:type="dxa"/>
            <w:vAlign w:val="center"/>
          </w:tcPr>
          <w:p w:rsidRPr="002B198A" w:rsidR="00EB0B5B" w:rsidP="00EB0B5B" w:rsidRDefault="00EB0B5B" w14:paraId="5FFA2701" w14:textId="77777777">
            <w:pPr>
              <w:widowControl w:val="0"/>
              <w:autoSpaceDE w:val="0"/>
              <w:autoSpaceDN w:val="0"/>
              <w:adjustRightInd w:val="0"/>
              <w:spacing w:line="268" w:lineRule="exact"/>
              <w:jc w:val="both"/>
              <w:rPr>
                <w:rFonts w:ascii="Times New Roman" w:hAnsi="Times New Roman" w:cs="Times New Roman"/>
                <w:szCs w:val="22"/>
              </w:rPr>
            </w:pPr>
            <w:r w:rsidRPr="002B198A">
              <w:rPr>
                <w:rFonts w:ascii="Times New Roman" w:hAnsi="Times New Roman" w:cs="Times New Roman"/>
                <w:szCs w:val="22"/>
              </w:rPr>
              <w:t>13-1041</w:t>
            </w:r>
          </w:p>
        </w:tc>
        <w:tc>
          <w:tcPr>
            <w:tcW w:w="2019" w:type="dxa"/>
            <w:vAlign w:val="center"/>
          </w:tcPr>
          <w:p w:rsidRPr="002B198A" w:rsidR="00EB0B5B" w:rsidP="00EB0B5B" w:rsidRDefault="00EB0B5B" w14:paraId="1AB73791" w14:textId="77777777">
            <w:pPr>
              <w:widowControl w:val="0"/>
              <w:autoSpaceDE w:val="0"/>
              <w:autoSpaceDN w:val="0"/>
              <w:adjustRightInd w:val="0"/>
              <w:spacing w:line="268" w:lineRule="exact"/>
              <w:jc w:val="both"/>
              <w:rPr>
                <w:rFonts w:ascii="Times New Roman" w:hAnsi="Times New Roman" w:cs="Times New Roman"/>
                <w:szCs w:val="22"/>
              </w:rPr>
            </w:pPr>
            <w:r w:rsidRPr="002B198A">
              <w:rPr>
                <w:rFonts w:ascii="Times New Roman" w:hAnsi="Times New Roman" w:cs="Times New Roman"/>
                <w:szCs w:val="22"/>
              </w:rPr>
              <w:t>Compliance Officer</w:t>
            </w:r>
          </w:p>
        </w:tc>
        <w:tc>
          <w:tcPr>
            <w:tcW w:w="1014" w:type="dxa"/>
            <w:vAlign w:val="bottom"/>
          </w:tcPr>
          <w:p w:rsidRPr="002B198A" w:rsidR="00EB0B5B" w:rsidP="00EB0B5B" w:rsidRDefault="00EB0B5B" w14:paraId="01DB863A" w14:textId="77777777">
            <w:pPr>
              <w:widowControl w:val="0"/>
              <w:autoSpaceDE w:val="0"/>
              <w:autoSpaceDN w:val="0"/>
              <w:adjustRightInd w:val="0"/>
              <w:spacing w:line="268" w:lineRule="exact"/>
              <w:jc w:val="both"/>
              <w:rPr>
                <w:rFonts w:ascii="Times New Roman" w:hAnsi="Times New Roman" w:cs="Times New Roman"/>
                <w:szCs w:val="22"/>
              </w:rPr>
            </w:pPr>
            <w:r w:rsidRPr="002B198A">
              <w:rPr>
                <w:rFonts w:ascii="Times New Roman" w:hAnsi="Times New Roman" w:cs="Times New Roman"/>
                <w:szCs w:val="22"/>
              </w:rPr>
              <w:t>$33.20</w:t>
            </w:r>
          </w:p>
        </w:tc>
        <w:tc>
          <w:tcPr>
            <w:tcW w:w="950" w:type="dxa"/>
            <w:vAlign w:val="bottom"/>
          </w:tcPr>
          <w:p w:rsidRPr="002B198A" w:rsidR="00EB0B5B" w:rsidP="00EB0B5B" w:rsidRDefault="00EB0B5B" w14:paraId="5DB91CA9" w14:textId="77777777">
            <w:pPr>
              <w:widowControl w:val="0"/>
              <w:autoSpaceDE w:val="0"/>
              <w:autoSpaceDN w:val="0"/>
              <w:adjustRightInd w:val="0"/>
              <w:spacing w:line="268" w:lineRule="exact"/>
              <w:jc w:val="both"/>
              <w:rPr>
                <w:rFonts w:ascii="Times New Roman" w:hAnsi="Times New Roman" w:cs="Times New Roman"/>
                <w:szCs w:val="22"/>
              </w:rPr>
            </w:pPr>
            <w:r w:rsidRPr="002B198A">
              <w:rPr>
                <w:rFonts w:ascii="Times New Roman" w:hAnsi="Times New Roman" w:cs="Times New Roman"/>
                <w:szCs w:val="22"/>
              </w:rPr>
              <w:t>1.50</w:t>
            </w:r>
          </w:p>
        </w:tc>
        <w:tc>
          <w:tcPr>
            <w:tcW w:w="1417" w:type="dxa"/>
            <w:vAlign w:val="bottom"/>
          </w:tcPr>
          <w:p w:rsidRPr="002B198A" w:rsidR="00EB0B5B" w:rsidP="00EB0B5B" w:rsidRDefault="00EB0B5B" w14:paraId="218D6514" w14:textId="77777777">
            <w:pPr>
              <w:widowControl w:val="0"/>
              <w:autoSpaceDE w:val="0"/>
              <w:autoSpaceDN w:val="0"/>
              <w:adjustRightInd w:val="0"/>
              <w:spacing w:line="268" w:lineRule="exact"/>
              <w:jc w:val="both"/>
              <w:rPr>
                <w:rFonts w:ascii="Times New Roman" w:hAnsi="Times New Roman" w:cs="Times New Roman"/>
                <w:szCs w:val="22"/>
              </w:rPr>
            </w:pPr>
            <w:r w:rsidRPr="002B198A">
              <w:rPr>
                <w:rFonts w:ascii="Times New Roman" w:hAnsi="Times New Roman" w:cs="Times New Roman"/>
                <w:szCs w:val="22"/>
              </w:rPr>
              <w:t>$49.80</w:t>
            </w:r>
          </w:p>
        </w:tc>
      </w:tr>
      <w:tr w:rsidRPr="002B198A" w:rsidR="00EB0B5B" w:rsidTr="002B198A" w14:paraId="2238B69C" w14:textId="77777777">
        <w:tc>
          <w:tcPr>
            <w:tcW w:w="3145" w:type="dxa"/>
            <w:vAlign w:val="center"/>
          </w:tcPr>
          <w:p w:rsidRPr="002B198A" w:rsidR="00EB0B5B" w:rsidP="002B198A" w:rsidRDefault="00EB0B5B" w14:paraId="5B5CBC01" w14:textId="3D62DC19">
            <w:pPr>
              <w:widowControl w:val="0"/>
              <w:autoSpaceDE w:val="0"/>
              <w:autoSpaceDN w:val="0"/>
              <w:adjustRightInd w:val="0"/>
              <w:spacing w:line="268" w:lineRule="exact"/>
              <w:rPr>
                <w:rFonts w:ascii="Times New Roman" w:hAnsi="Times New Roman" w:cs="Times New Roman"/>
                <w:szCs w:val="22"/>
              </w:rPr>
            </w:pPr>
            <w:r w:rsidRPr="002B198A">
              <w:rPr>
                <w:rFonts w:ascii="Times New Roman" w:hAnsi="Times New Roman" w:cs="Times New Roman"/>
                <w:szCs w:val="22"/>
              </w:rPr>
              <w:t xml:space="preserve">Clerical </w:t>
            </w:r>
            <w:r w:rsidR="00985453">
              <w:rPr>
                <w:rFonts w:ascii="Times New Roman" w:hAnsi="Times New Roman" w:cs="Times New Roman"/>
                <w:szCs w:val="22"/>
              </w:rPr>
              <w:t>W</w:t>
            </w:r>
            <w:r w:rsidRPr="002B198A">
              <w:rPr>
                <w:rFonts w:ascii="Times New Roman" w:hAnsi="Times New Roman" w:cs="Times New Roman"/>
                <w:szCs w:val="22"/>
              </w:rPr>
              <w:t>ork (research, review, and recordkeeping)</w:t>
            </w:r>
          </w:p>
        </w:tc>
        <w:tc>
          <w:tcPr>
            <w:tcW w:w="1170" w:type="dxa"/>
            <w:vAlign w:val="center"/>
          </w:tcPr>
          <w:p w:rsidRPr="002B198A" w:rsidR="00EB0B5B" w:rsidP="00EB0B5B" w:rsidRDefault="00EB0B5B" w14:paraId="0FA5563F" w14:textId="77777777">
            <w:pPr>
              <w:widowControl w:val="0"/>
              <w:autoSpaceDE w:val="0"/>
              <w:autoSpaceDN w:val="0"/>
              <w:adjustRightInd w:val="0"/>
              <w:spacing w:line="268" w:lineRule="exact"/>
              <w:jc w:val="both"/>
              <w:rPr>
                <w:rFonts w:ascii="Times New Roman" w:hAnsi="Times New Roman" w:cs="Times New Roman"/>
                <w:szCs w:val="22"/>
              </w:rPr>
            </w:pPr>
            <w:r w:rsidRPr="002B198A">
              <w:rPr>
                <w:rFonts w:ascii="Times New Roman" w:hAnsi="Times New Roman" w:cs="Times New Roman"/>
                <w:szCs w:val="22"/>
              </w:rPr>
              <w:t>43-3099</w:t>
            </w:r>
          </w:p>
        </w:tc>
        <w:tc>
          <w:tcPr>
            <w:tcW w:w="2019" w:type="dxa"/>
            <w:vAlign w:val="center"/>
          </w:tcPr>
          <w:p w:rsidRPr="002B198A" w:rsidR="00EB0B5B" w:rsidP="00EB0B5B" w:rsidRDefault="00EB0B5B" w14:paraId="54EA673B" w14:textId="77777777">
            <w:pPr>
              <w:widowControl w:val="0"/>
              <w:autoSpaceDE w:val="0"/>
              <w:autoSpaceDN w:val="0"/>
              <w:adjustRightInd w:val="0"/>
              <w:spacing w:line="268" w:lineRule="exact"/>
              <w:jc w:val="both"/>
              <w:rPr>
                <w:rFonts w:ascii="Times New Roman" w:hAnsi="Times New Roman" w:cs="Times New Roman"/>
                <w:szCs w:val="22"/>
              </w:rPr>
            </w:pPr>
            <w:r w:rsidRPr="002B198A">
              <w:rPr>
                <w:rFonts w:ascii="Times New Roman" w:hAnsi="Times New Roman" w:cs="Times New Roman"/>
                <w:szCs w:val="22"/>
              </w:rPr>
              <w:t>Financial Clerk</w:t>
            </w:r>
          </w:p>
        </w:tc>
        <w:tc>
          <w:tcPr>
            <w:tcW w:w="1014" w:type="dxa"/>
            <w:vAlign w:val="bottom"/>
          </w:tcPr>
          <w:p w:rsidRPr="002B198A" w:rsidR="00EB0B5B" w:rsidP="00EB0B5B" w:rsidRDefault="00EB0B5B" w14:paraId="3F87330D" w14:textId="77777777">
            <w:pPr>
              <w:widowControl w:val="0"/>
              <w:autoSpaceDE w:val="0"/>
              <w:autoSpaceDN w:val="0"/>
              <w:adjustRightInd w:val="0"/>
              <w:spacing w:line="268" w:lineRule="exact"/>
              <w:jc w:val="both"/>
              <w:rPr>
                <w:rFonts w:ascii="Times New Roman" w:hAnsi="Times New Roman" w:cs="Times New Roman"/>
                <w:szCs w:val="22"/>
              </w:rPr>
            </w:pPr>
            <w:r w:rsidRPr="002B198A">
              <w:rPr>
                <w:rFonts w:ascii="Times New Roman" w:hAnsi="Times New Roman" w:cs="Times New Roman"/>
                <w:szCs w:val="22"/>
              </w:rPr>
              <w:t>$20.40</w:t>
            </w:r>
          </w:p>
        </w:tc>
        <w:tc>
          <w:tcPr>
            <w:tcW w:w="950" w:type="dxa"/>
            <w:vAlign w:val="bottom"/>
          </w:tcPr>
          <w:p w:rsidRPr="002B198A" w:rsidR="00EB0B5B" w:rsidP="00EB0B5B" w:rsidRDefault="00EB0B5B" w14:paraId="40BE53C9" w14:textId="77777777">
            <w:pPr>
              <w:widowControl w:val="0"/>
              <w:autoSpaceDE w:val="0"/>
              <w:autoSpaceDN w:val="0"/>
              <w:adjustRightInd w:val="0"/>
              <w:spacing w:line="268" w:lineRule="exact"/>
              <w:jc w:val="both"/>
              <w:rPr>
                <w:rFonts w:ascii="Times New Roman" w:hAnsi="Times New Roman" w:cs="Times New Roman"/>
                <w:szCs w:val="22"/>
              </w:rPr>
            </w:pPr>
            <w:r w:rsidRPr="002B198A">
              <w:rPr>
                <w:rFonts w:ascii="Times New Roman" w:hAnsi="Times New Roman" w:cs="Times New Roman"/>
                <w:szCs w:val="22"/>
              </w:rPr>
              <w:t>1.50</w:t>
            </w:r>
          </w:p>
        </w:tc>
        <w:tc>
          <w:tcPr>
            <w:tcW w:w="1417" w:type="dxa"/>
            <w:vAlign w:val="bottom"/>
          </w:tcPr>
          <w:p w:rsidRPr="002B198A" w:rsidR="00EB0B5B" w:rsidP="00EB0B5B" w:rsidRDefault="00EB0B5B" w14:paraId="60A12C98" w14:textId="77777777">
            <w:pPr>
              <w:widowControl w:val="0"/>
              <w:autoSpaceDE w:val="0"/>
              <w:autoSpaceDN w:val="0"/>
              <w:adjustRightInd w:val="0"/>
              <w:spacing w:line="268" w:lineRule="exact"/>
              <w:jc w:val="both"/>
              <w:rPr>
                <w:rFonts w:ascii="Times New Roman" w:hAnsi="Times New Roman" w:cs="Times New Roman"/>
                <w:szCs w:val="22"/>
              </w:rPr>
            </w:pPr>
            <w:r w:rsidRPr="002B198A">
              <w:rPr>
                <w:rFonts w:ascii="Times New Roman" w:hAnsi="Times New Roman" w:cs="Times New Roman"/>
                <w:szCs w:val="22"/>
              </w:rPr>
              <w:t>$30.60</w:t>
            </w:r>
          </w:p>
        </w:tc>
      </w:tr>
    </w:tbl>
    <w:p w:rsidRPr="002205E0" w:rsidR="00184BE7" w:rsidP="00184BE7" w:rsidRDefault="00184BE7" w14:paraId="79CACE95" w14:textId="20D2062F">
      <w:pPr>
        <w:widowControl w:val="0"/>
        <w:autoSpaceDE w:val="0"/>
        <w:autoSpaceDN w:val="0"/>
        <w:adjustRightInd w:val="0"/>
        <w:spacing w:line="268" w:lineRule="exact"/>
        <w:jc w:val="both"/>
        <w:rPr>
          <w:szCs w:val="22"/>
        </w:rPr>
      </w:pPr>
    </w:p>
    <w:p w:rsidR="004B4B43" w:rsidP="00C9357B" w:rsidRDefault="005E120A" w14:paraId="34440461" w14:textId="6341BC31">
      <w:pPr>
        <w:widowControl w:val="0"/>
        <w:autoSpaceDE w:val="0"/>
        <w:autoSpaceDN w:val="0"/>
        <w:adjustRightInd w:val="0"/>
        <w:spacing w:line="268" w:lineRule="exact"/>
        <w:ind w:firstLine="720"/>
        <w:rPr>
          <w:szCs w:val="22"/>
        </w:rPr>
      </w:pPr>
      <w:r w:rsidRPr="005E120A">
        <w:rPr>
          <w:szCs w:val="22"/>
        </w:rPr>
        <w:t xml:space="preserve">FinCEN estimates that, </w:t>
      </w:r>
      <w:r w:rsidRPr="005E120A">
        <w:rPr>
          <w:i/>
          <w:szCs w:val="22"/>
        </w:rPr>
        <w:t>in general and on average</w:t>
      </w:r>
      <w:r w:rsidRPr="005E120A">
        <w:rPr>
          <w:szCs w:val="22"/>
        </w:rPr>
        <w:t>,</w:t>
      </w:r>
      <w:r w:rsidRPr="005E120A">
        <w:rPr>
          <w:szCs w:val="22"/>
          <w:vertAlign w:val="superscript"/>
        </w:rPr>
        <w:footnoteReference w:id="16"/>
      </w:r>
      <w:r w:rsidRPr="005E120A">
        <w:rPr>
          <w:szCs w:val="22"/>
        </w:rPr>
        <w:t xml:space="preserve"> each role would spend </w:t>
      </w:r>
      <w:r w:rsidR="00161621">
        <w:rPr>
          <w:szCs w:val="22"/>
        </w:rPr>
        <w:t xml:space="preserve">a </w:t>
      </w:r>
      <w:r w:rsidRPr="005E120A">
        <w:rPr>
          <w:szCs w:val="22"/>
        </w:rPr>
        <w:t>different amount of time on each portion of the traditional annual PRA burden</w:t>
      </w:r>
      <w:r>
        <w:rPr>
          <w:szCs w:val="22"/>
        </w:rPr>
        <w:t xml:space="preserve">. </w:t>
      </w:r>
      <w:r w:rsidRPr="005E120A">
        <w:rPr>
          <w:szCs w:val="22"/>
        </w:rPr>
        <w:t>For initial filing, the cost of each hour of burden would be one burden hour at $48.00 representing the actual completion and filing of the report broken down by each role</w:t>
      </w:r>
      <w:r w:rsidR="00E6449E">
        <w:rPr>
          <w:szCs w:val="22"/>
        </w:rPr>
        <w:t xml:space="preserve"> as set out below:</w:t>
      </w:r>
      <w:r w:rsidR="00A153C2">
        <w:rPr>
          <w:szCs w:val="22"/>
        </w:rPr>
        <w:t xml:space="preserve"> </w:t>
      </w:r>
    </w:p>
    <w:p w:rsidR="005E120A" w:rsidP="00C9357B" w:rsidRDefault="005E120A" w14:paraId="13DC85E1" w14:textId="77777777">
      <w:pPr>
        <w:widowControl w:val="0"/>
        <w:autoSpaceDE w:val="0"/>
        <w:autoSpaceDN w:val="0"/>
        <w:adjustRightInd w:val="0"/>
        <w:spacing w:line="268" w:lineRule="exact"/>
        <w:ind w:firstLine="720"/>
        <w:rPr>
          <w:szCs w:val="22"/>
        </w:rPr>
      </w:pPr>
    </w:p>
    <w:tbl>
      <w:tblPr>
        <w:tblStyle w:val="TableGrid"/>
        <w:tblW w:w="9535" w:type="dxa"/>
        <w:tblLook w:val="04A0" w:firstRow="1" w:lastRow="0" w:firstColumn="1" w:lastColumn="0" w:noHBand="0" w:noVBand="1"/>
      </w:tblPr>
      <w:tblGrid>
        <w:gridCol w:w="1168"/>
        <w:gridCol w:w="1169"/>
        <w:gridCol w:w="1169"/>
        <w:gridCol w:w="1169"/>
        <w:gridCol w:w="1530"/>
        <w:gridCol w:w="1440"/>
        <w:gridCol w:w="1890"/>
      </w:tblGrid>
      <w:tr w:rsidRPr="005E120A" w:rsidR="005E120A" w:rsidTr="00C9165F" w14:paraId="0A32A027" w14:textId="77777777">
        <w:trPr>
          <w:tblHeader/>
        </w:trPr>
        <w:tc>
          <w:tcPr>
            <w:tcW w:w="2337" w:type="dxa"/>
            <w:gridSpan w:val="2"/>
          </w:tcPr>
          <w:p w:rsidRPr="005E120A" w:rsidR="005E120A" w:rsidP="005E120A" w:rsidRDefault="005E120A" w14:paraId="3987A637" w14:textId="77777777">
            <w:pPr>
              <w:widowControl w:val="0"/>
              <w:autoSpaceDE w:val="0"/>
              <w:autoSpaceDN w:val="0"/>
              <w:adjustRightInd w:val="0"/>
              <w:spacing w:line="268" w:lineRule="exact"/>
              <w:rPr>
                <w:rFonts w:ascii="Times New Roman" w:hAnsi="Times New Roman" w:cs="Times New Roman"/>
                <w:b/>
                <w:szCs w:val="22"/>
              </w:rPr>
            </w:pPr>
            <w:r w:rsidRPr="005E120A">
              <w:rPr>
                <w:rFonts w:ascii="Times New Roman" w:hAnsi="Times New Roman" w:cs="Times New Roman"/>
                <w:b/>
                <w:szCs w:val="22"/>
              </w:rPr>
              <w:t>General Supervision</w:t>
            </w:r>
          </w:p>
        </w:tc>
        <w:tc>
          <w:tcPr>
            <w:tcW w:w="2338" w:type="dxa"/>
            <w:gridSpan w:val="2"/>
          </w:tcPr>
          <w:p w:rsidRPr="005E120A" w:rsidR="005E120A" w:rsidP="005E120A" w:rsidRDefault="005E120A" w14:paraId="240056D6" w14:textId="77777777">
            <w:pPr>
              <w:widowControl w:val="0"/>
              <w:autoSpaceDE w:val="0"/>
              <w:autoSpaceDN w:val="0"/>
              <w:adjustRightInd w:val="0"/>
              <w:spacing w:line="268" w:lineRule="exact"/>
              <w:rPr>
                <w:rFonts w:ascii="Times New Roman" w:hAnsi="Times New Roman" w:cs="Times New Roman"/>
                <w:b/>
                <w:szCs w:val="22"/>
              </w:rPr>
            </w:pPr>
            <w:r w:rsidRPr="005E120A">
              <w:rPr>
                <w:rFonts w:ascii="Times New Roman" w:hAnsi="Times New Roman" w:cs="Times New Roman"/>
                <w:b/>
                <w:szCs w:val="22"/>
              </w:rPr>
              <w:t>Direct Supervision</w:t>
            </w:r>
          </w:p>
        </w:tc>
        <w:tc>
          <w:tcPr>
            <w:tcW w:w="2970" w:type="dxa"/>
            <w:gridSpan w:val="2"/>
          </w:tcPr>
          <w:p w:rsidRPr="005E120A" w:rsidR="005E120A" w:rsidP="005E120A" w:rsidRDefault="005E120A" w14:paraId="3C1014D4" w14:textId="77777777">
            <w:pPr>
              <w:widowControl w:val="0"/>
              <w:autoSpaceDE w:val="0"/>
              <w:autoSpaceDN w:val="0"/>
              <w:adjustRightInd w:val="0"/>
              <w:spacing w:line="268" w:lineRule="exact"/>
              <w:rPr>
                <w:rFonts w:ascii="Times New Roman" w:hAnsi="Times New Roman" w:cs="Times New Roman"/>
                <w:b/>
                <w:szCs w:val="22"/>
              </w:rPr>
            </w:pPr>
            <w:r w:rsidRPr="005E120A">
              <w:rPr>
                <w:rFonts w:ascii="Times New Roman" w:hAnsi="Times New Roman" w:cs="Times New Roman"/>
                <w:b/>
                <w:szCs w:val="22"/>
              </w:rPr>
              <w:t>Clerical Work</w:t>
            </w:r>
          </w:p>
        </w:tc>
        <w:tc>
          <w:tcPr>
            <w:tcW w:w="1890" w:type="dxa"/>
            <w:vMerge w:val="restart"/>
          </w:tcPr>
          <w:p w:rsidRPr="005E120A" w:rsidR="005E120A" w:rsidP="005E120A" w:rsidRDefault="005E120A" w14:paraId="4FFBCEA0" w14:textId="77777777">
            <w:pPr>
              <w:widowControl w:val="0"/>
              <w:autoSpaceDE w:val="0"/>
              <w:autoSpaceDN w:val="0"/>
              <w:adjustRightInd w:val="0"/>
              <w:spacing w:line="268" w:lineRule="exact"/>
              <w:rPr>
                <w:rFonts w:ascii="Times New Roman" w:hAnsi="Times New Roman" w:cs="Times New Roman"/>
                <w:b/>
                <w:szCs w:val="22"/>
              </w:rPr>
            </w:pPr>
            <w:r w:rsidRPr="005E120A">
              <w:rPr>
                <w:rFonts w:ascii="Times New Roman" w:hAnsi="Times New Roman" w:cs="Times New Roman"/>
                <w:b/>
                <w:szCs w:val="22"/>
              </w:rPr>
              <w:t>Weighted Average Hourly Cost</w:t>
            </w:r>
          </w:p>
        </w:tc>
      </w:tr>
      <w:tr w:rsidRPr="005E120A" w:rsidR="005E120A" w:rsidTr="00C9165F" w14:paraId="2646509F" w14:textId="77777777">
        <w:tc>
          <w:tcPr>
            <w:tcW w:w="1168" w:type="dxa"/>
          </w:tcPr>
          <w:p w:rsidRPr="005E120A" w:rsidR="005E120A" w:rsidP="005E120A" w:rsidRDefault="005E120A" w14:paraId="5336AB58" w14:textId="77777777">
            <w:pPr>
              <w:widowControl w:val="0"/>
              <w:autoSpaceDE w:val="0"/>
              <w:autoSpaceDN w:val="0"/>
              <w:adjustRightInd w:val="0"/>
              <w:spacing w:line="268" w:lineRule="exact"/>
              <w:rPr>
                <w:rFonts w:ascii="Times New Roman" w:hAnsi="Times New Roman" w:cs="Times New Roman"/>
                <w:b/>
                <w:szCs w:val="22"/>
              </w:rPr>
            </w:pPr>
            <w:r w:rsidRPr="005E120A">
              <w:rPr>
                <w:rFonts w:ascii="Times New Roman" w:hAnsi="Times New Roman" w:cs="Times New Roman"/>
                <w:b/>
                <w:szCs w:val="22"/>
              </w:rPr>
              <w:t>% Time</w:t>
            </w:r>
          </w:p>
        </w:tc>
        <w:tc>
          <w:tcPr>
            <w:tcW w:w="1169" w:type="dxa"/>
          </w:tcPr>
          <w:p w:rsidRPr="005E120A" w:rsidR="005E120A" w:rsidP="005E120A" w:rsidRDefault="005E120A" w14:paraId="73582B21" w14:textId="77777777">
            <w:pPr>
              <w:widowControl w:val="0"/>
              <w:autoSpaceDE w:val="0"/>
              <w:autoSpaceDN w:val="0"/>
              <w:adjustRightInd w:val="0"/>
              <w:spacing w:line="268" w:lineRule="exact"/>
              <w:rPr>
                <w:rFonts w:ascii="Times New Roman" w:hAnsi="Times New Roman" w:cs="Times New Roman"/>
                <w:b/>
                <w:szCs w:val="22"/>
              </w:rPr>
            </w:pPr>
            <w:r w:rsidRPr="005E120A">
              <w:rPr>
                <w:rFonts w:ascii="Times New Roman" w:hAnsi="Times New Roman" w:cs="Times New Roman"/>
                <w:b/>
                <w:szCs w:val="22"/>
              </w:rPr>
              <w:t>Hourly Cost</w:t>
            </w:r>
          </w:p>
        </w:tc>
        <w:tc>
          <w:tcPr>
            <w:tcW w:w="1169" w:type="dxa"/>
          </w:tcPr>
          <w:p w:rsidRPr="005E120A" w:rsidR="005E120A" w:rsidP="005E120A" w:rsidRDefault="005E120A" w14:paraId="187B7ADD" w14:textId="77777777">
            <w:pPr>
              <w:widowControl w:val="0"/>
              <w:autoSpaceDE w:val="0"/>
              <w:autoSpaceDN w:val="0"/>
              <w:adjustRightInd w:val="0"/>
              <w:spacing w:line="268" w:lineRule="exact"/>
              <w:rPr>
                <w:rFonts w:ascii="Times New Roman" w:hAnsi="Times New Roman" w:cs="Times New Roman"/>
                <w:b/>
                <w:szCs w:val="22"/>
              </w:rPr>
            </w:pPr>
            <w:r w:rsidRPr="005E120A">
              <w:rPr>
                <w:rFonts w:ascii="Times New Roman" w:hAnsi="Times New Roman" w:cs="Times New Roman"/>
                <w:b/>
                <w:szCs w:val="22"/>
              </w:rPr>
              <w:t>% Time</w:t>
            </w:r>
          </w:p>
        </w:tc>
        <w:tc>
          <w:tcPr>
            <w:tcW w:w="1169" w:type="dxa"/>
          </w:tcPr>
          <w:p w:rsidRPr="005E120A" w:rsidR="005E120A" w:rsidP="005E120A" w:rsidRDefault="005E120A" w14:paraId="54253D16" w14:textId="77777777">
            <w:pPr>
              <w:widowControl w:val="0"/>
              <w:autoSpaceDE w:val="0"/>
              <w:autoSpaceDN w:val="0"/>
              <w:adjustRightInd w:val="0"/>
              <w:spacing w:line="268" w:lineRule="exact"/>
              <w:rPr>
                <w:rFonts w:ascii="Times New Roman" w:hAnsi="Times New Roman" w:cs="Times New Roman"/>
                <w:b/>
                <w:szCs w:val="22"/>
              </w:rPr>
            </w:pPr>
            <w:r w:rsidRPr="005E120A">
              <w:rPr>
                <w:rFonts w:ascii="Times New Roman" w:hAnsi="Times New Roman" w:cs="Times New Roman"/>
                <w:b/>
                <w:szCs w:val="22"/>
              </w:rPr>
              <w:t>Hourly Cost</w:t>
            </w:r>
          </w:p>
        </w:tc>
        <w:tc>
          <w:tcPr>
            <w:tcW w:w="1530" w:type="dxa"/>
          </w:tcPr>
          <w:p w:rsidRPr="005E120A" w:rsidR="005E120A" w:rsidP="005E120A" w:rsidRDefault="005E120A" w14:paraId="33A555CD" w14:textId="77777777">
            <w:pPr>
              <w:widowControl w:val="0"/>
              <w:autoSpaceDE w:val="0"/>
              <w:autoSpaceDN w:val="0"/>
              <w:adjustRightInd w:val="0"/>
              <w:spacing w:line="268" w:lineRule="exact"/>
              <w:rPr>
                <w:rFonts w:ascii="Times New Roman" w:hAnsi="Times New Roman" w:cs="Times New Roman"/>
                <w:b/>
                <w:szCs w:val="22"/>
              </w:rPr>
            </w:pPr>
            <w:r w:rsidRPr="005E120A">
              <w:rPr>
                <w:rFonts w:ascii="Times New Roman" w:hAnsi="Times New Roman" w:cs="Times New Roman"/>
                <w:b/>
                <w:szCs w:val="22"/>
              </w:rPr>
              <w:t>% Time</w:t>
            </w:r>
          </w:p>
        </w:tc>
        <w:tc>
          <w:tcPr>
            <w:tcW w:w="1440" w:type="dxa"/>
          </w:tcPr>
          <w:p w:rsidRPr="005E120A" w:rsidR="005E120A" w:rsidP="005E120A" w:rsidRDefault="005E120A" w14:paraId="68D96705" w14:textId="77777777">
            <w:pPr>
              <w:widowControl w:val="0"/>
              <w:autoSpaceDE w:val="0"/>
              <w:autoSpaceDN w:val="0"/>
              <w:adjustRightInd w:val="0"/>
              <w:spacing w:line="268" w:lineRule="exact"/>
              <w:rPr>
                <w:rFonts w:ascii="Times New Roman" w:hAnsi="Times New Roman" w:cs="Times New Roman"/>
                <w:b/>
                <w:szCs w:val="22"/>
              </w:rPr>
            </w:pPr>
            <w:r w:rsidRPr="005E120A">
              <w:rPr>
                <w:rFonts w:ascii="Times New Roman" w:hAnsi="Times New Roman" w:cs="Times New Roman"/>
                <w:b/>
                <w:szCs w:val="22"/>
              </w:rPr>
              <w:t>Hourly Cost</w:t>
            </w:r>
          </w:p>
        </w:tc>
        <w:tc>
          <w:tcPr>
            <w:tcW w:w="1890" w:type="dxa"/>
            <w:vMerge/>
          </w:tcPr>
          <w:p w:rsidRPr="005E120A" w:rsidR="005E120A" w:rsidP="005E120A" w:rsidRDefault="005E120A" w14:paraId="77522AF1" w14:textId="77777777">
            <w:pPr>
              <w:widowControl w:val="0"/>
              <w:autoSpaceDE w:val="0"/>
              <w:autoSpaceDN w:val="0"/>
              <w:adjustRightInd w:val="0"/>
              <w:spacing w:line="268" w:lineRule="exact"/>
              <w:rPr>
                <w:rFonts w:ascii="Times New Roman" w:hAnsi="Times New Roman" w:cs="Times New Roman"/>
                <w:b/>
                <w:szCs w:val="22"/>
              </w:rPr>
            </w:pPr>
          </w:p>
        </w:tc>
      </w:tr>
      <w:tr w:rsidRPr="005E120A" w:rsidR="005E120A" w:rsidTr="00C9165F" w14:paraId="1BF32E91" w14:textId="77777777">
        <w:tc>
          <w:tcPr>
            <w:tcW w:w="1168" w:type="dxa"/>
            <w:vAlign w:val="center"/>
          </w:tcPr>
          <w:p w:rsidRPr="005E120A" w:rsidR="005E120A" w:rsidP="005E120A" w:rsidRDefault="005E120A" w14:paraId="728F9AFB" w14:textId="77777777">
            <w:pPr>
              <w:widowControl w:val="0"/>
              <w:autoSpaceDE w:val="0"/>
              <w:autoSpaceDN w:val="0"/>
              <w:adjustRightInd w:val="0"/>
              <w:spacing w:line="268" w:lineRule="exact"/>
              <w:rPr>
                <w:rFonts w:ascii="Times New Roman" w:hAnsi="Times New Roman" w:cs="Times New Roman"/>
                <w:szCs w:val="22"/>
              </w:rPr>
            </w:pPr>
            <w:r w:rsidRPr="005E120A">
              <w:rPr>
                <w:rFonts w:ascii="Times New Roman" w:hAnsi="Times New Roman" w:cs="Times New Roman"/>
                <w:szCs w:val="22"/>
              </w:rPr>
              <w:t>10%</w:t>
            </w:r>
          </w:p>
        </w:tc>
        <w:tc>
          <w:tcPr>
            <w:tcW w:w="1169" w:type="dxa"/>
            <w:vAlign w:val="center"/>
          </w:tcPr>
          <w:p w:rsidRPr="005E120A" w:rsidR="005E120A" w:rsidP="005E120A" w:rsidRDefault="005E120A" w14:paraId="0A398A5F" w14:textId="77777777">
            <w:pPr>
              <w:widowControl w:val="0"/>
              <w:autoSpaceDE w:val="0"/>
              <w:autoSpaceDN w:val="0"/>
              <w:adjustRightInd w:val="0"/>
              <w:spacing w:line="268" w:lineRule="exact"/>
              <w:rPr>
                <w:rFonts w:ascii="Times New Roman" w:hAnsi="Times New Roman" w:cs="Times New Roman"/>
                <w:szCs w:val="22"/>
              </w:rPr>
            </w:pPr>
            <w:r w:rsidRPr="005E120A">
              <w:rPr>
                <w:rFonts w:ascii="Times New Roman" w:hAnsi="Times New Roman" w:cs="Times New Roman"/>
                <w:szCs w:val="22"/>
              </w:rPr>
              <w:t>$9.37</w:t>
            </w:r>
          </w:p>
        </w:tc>
        <w:tc>
          <w:tcPr>
            <w:tcW w:w="1169" w:type="dxa"/>
            <w:vAlign w:val="center"/>
          </w:tcPr>
          <w:p w:rsidRPr="005E120A" w:rsidR="005E120A" w:rsidP="005E120A" w:rsidRDefault="005E120A" w14:paraId="5C7E034D" w14:textId="77777777">
            <w:pPr>
              <w:widowControl w:val="0"/>
              <w:autoSpaceDE w:val="0"/>
              <w:autoSpaceDN w:val="0"/>
              <w:adjustRightInd w:val="0"/>
              <w:spacing w:line="268" w:lineRule="exact"/>
              <w:rPr>
                <w:rFonts w:ascii="Times New Roman" w:hAnsi="Times New Roman" w:cs="Times New Roman"/>
                <w:szCs w:val="22"/>
              </w:rPr>
            </w:pPr>
            <w:r w:rsidRPr="005E120A">
              <w:rPr>
                <w:rFonts w:ascii="Times New Roman" w:hAnsi="Times New Roman" w:cs="Times New Roman"/>
                <w:szCs w:val="22"/>
              </w:rPr>
              <w:t>30%</w:t>
            </w:r>
          </w:p>
        </w:tc>
        <w:tc>
          <w:tcPr>
            <w:tcW w:w="1169" w:type="dxa"/>
            <w:vAlign w:val="center"/>
          </w:tcPr>
          <w:p w:rsidRPr="005E120A" w:rsidR="005E120A" w:rsidP="005E120A" w:rsidRDefault="005E120A" w14:paraId="695181ED" w14:textId="77777777">
            <w:pPr>
              <w:widowControl w:val="0"/>
              <w:autoSpaceDE w:val="0"/>
              <w:autoSpaceDN w:val="0"/>
              <w:adjustRightInd w:val="0"/>
              <w:spacing w:line="268" w:lineRule="exact"/>
              <w:rPr>
                <w:rFonts w:ascii="Times New Roman" w:hAnsi="Times New Roman" w:cs="Times New Roman"/>
                <w:szCs w:val="22"/>
              </w:rPr>
            </w:pPr>
            <w:r w:rsidRPr="005E120A">
              <w:rPr>
                <w:rFonts w:ascii="Times New Roman" w:hAnsi="Times New Roman" w:cs="Times New Roman"/>
                <w:szCs w:val="22"/>
              </w:rPr>
              <w:t>$14.94</w:t>
            </w:r>
          </w:p>
        </w:tc>
        <w:tc>
          <w:tcPr>
            <w:tcW w:w="1530" w:type="dxa"/>
            <w:vAlign w:val="center"/>
          </w:tcPr>
          <w:p w:rsidRPr="005E120A" w:rsidR="005E120A" w:rsidP="005E120A" w:rsidRDefault="005E120A" w14:paraId="76F262F2" w14:textId="77777777">
            <w:pPr>
              <w:widowControl w:val="0"/>
              <w:autoSpaceDE w:val="0"/>
              <w:autoSpaceDN w:val="0"/>
              <w:adjustRightInd w:val="0"/>
              <w:spacing w:line="268" w:lineRule="exact"/>
              <w:rPr>
                <w:rFonts w:ascii="Times New Roman" w:hAnsi="Times New Roman" w:cs="Times New Roman"/>
                <w:szCs w:val="22"/>
              </w:rPr>
            </w:pPr>
            <w:r w:rsidRPr="005E120A">
              <w:rPr>
                <w:rFonts w:ascii="Times New Roman" w:hAnsi="Times New Roman" w:cs="Times New Roman"/>
                <w:szCs w:val="22"/>
              </w:rPr>
              <w:t>60%</w:t>
            </w:r>
          </w:p>
        </w:tc>
        <w:tc>
          <w:tcPr>
            <w:tcW w:w="1440" w:type="dxa"/>
            <w:vAlign w:val="center"/>
          </w:tcPr>
          <w:p w:rsidRPr="005E120A" w:rsidR="005E120A" w:rsidP="005E120A" w:rsidRDefault="005E120A" w14:paraId="4BCAD5CD" w14:textId="77777777">
            <w:pPr>
              <w:widowControl w:val="0"/>
              <w:autoSpaceDE w:val="0"/>
              <w:autoSpaceDN w:val="0"/>
              <w:adjustRightInd w:val="0"/>
              <w:spacing w:line="268" w:lineRule="exact"/>
              <w:rPr>
                <w:rFonts w:ascii="Times New Roman" w:hAnsi="Times New Roman" w:cs="Times New Roman"/>
                <w:szCs w:val="22"/>
              </w:rPr>
            </w:pPr>
            <w:r w:rsidRPr="005E120A">
              <w:rPr>
                <w:rFonts w:ascii="Times New Roman" w:hAnsi="Times New Roman" w:cs="Times New Roman"/>
                <w:szCs w:val="22"/>
              </w:rPr>
              <w:t>$18.36</w:t>
            </w:r>
          </w:p>
        </w:tc>
        <w:tc>
          <w:tcPr>
            <w:tcW w:w="1890" w:type="dxa"/>
            <w:vAlign w:val="center"/>
          </w:tcPr>
          <w:p w:rsidRPr="005E120A" w:rsidR="005E120A" w:rsidP="005E120A" w:rsidRDefault="005E120A" w14:paraId="3F78E4ED" w14:textId="77777777">
            <w:pPr>
              <w:widowControl w:val="0"/>
              <w:autoSpaceDE w:val="0"/>
              <w:autoSpaceDN w:val="0"/>
              <w:adjustRightInd w:val="0"/>
              <w:spacing w:line="268" w:lineRule="exact"/>
              <w:rPr>
                <w:rFonts w:ascii="Times New Roman" w:hAnsi="Times New Roman" w:cs="Times New Roman"/>
                <w:szCs w:val="22"/>
              </w:rPr>
            </w:pPr>
            <w:r w:rsidRPr="005E120A">
              <w:rPr>
                <w:rFonts w:ascii="Times New Roman" w:hAnsi="Times New Roman" w:cs="Times New Roman"/>
                <w:szCs w:val="22"/>
              </w:rPr>
              <w:t>$43.00</w:t>
            </w:r>
          </w:p>
        </w:tc>
      </w:tr>
    </w:tbl>
    <w:p w:rsidR="00A153C2" w:rsidP="00C9357B" w:rsidRDefault="005E120A" w14:paraId="0842A63B" w14:textId="77C044E9">
      <w:pPr>
        <w:widowControl w:val="0"/>
        <w:autoSpaceDE w:val="0"/>
        <w:autoSpaceDN w:val="0"/>
        <w:adjustRightInd w:val="0"/>
        <w:spacing w:line="268" w:lineRule="exact"/>
        <w:rPr>
          <w:szCs w:val="22"/>
        </w:rPr>
      </w:pPr>
      <w:r w:rsidRPr="005E120A">
        <w:rPr>
          <w:szCs w:val="22"/>
        </w:rPr>
        <w:t>$42.67 rounded to $43.00</w:t>
      </w:r>
    </w:p>
    <w:p w:rsidR="00A153C2" w:rsidP="00A153C2" w:rsidRDefault="00A153C2" w14:paraId="1D0F16BA" w14:textId="41A68A89">
      <w:pPr>
        <w:widowControl w:val="0"/>
        <w:autoSpaceDE w:val="0"/>
        <w:autoSpaceDN w:val="0"/>
        <w:adjustRightInd w:val="0"/>
        <w:spacing w:line="268" w:lineRule="exact"/>
        <w:jc w:val="both"/>
        <w:rPr>
          <w:szCs w:val="22"/>
        </w:rPr>
      </w:pPr>
    </w:p>
    <w:p w:rsidR="005E120A" w:rsidP="005E120A" w:rsidRDefault="005E120A" w14:paraId="7D98A25E" w14:textId="2A5F3FC5">
      <w:pPr>
        <w:widowControl w:val="0"/>
        <w:autoSpaceDE w:val="0"/>
        <w:autoSpaceDN w:val="0"/>
        <w:adjustRightInd w:val="0"/>
        <w:spacing w:line="268" w:lineRule="exact"/>
        <w:jc w:val="both"/>
        <w:rPr>
          <w:szCs w:val="22"/>
        </w:rPr>
      </w:pPr>
      <w:r w:rsidRPr="005E120A">
        <w:rPr>
          <w:szCs w:val="22"/>
        </w:rPr>
        <w:t>The total estimated cost</w:t>
      </w:r>
      <w:r w:rsidR="00DE120C">
        <w:rPr>
          <w:szCs w:val="22"/>
        </w:rPr>
        <w:t xml:space="preserve"> of the </w:t>
      </w:r>
      <w:r w:rsidR="00F670FC">
        <w:rPr>
          <w:szCs w:val="22"/>
        </w:rPr>
        <w:t xml:space="preserve">traditional </w:t>
      </w:r>
      <w:r w:rsidR="00DE120C">
        <w:rPr>
          <w:szCs w:val="22"/>
        </w:rPr>
        <w:t xml:space="preserve">annual </w:t>
      </w:r>
      <w:r w:rsidR="00F670FC">
        <w:rPr>
          <w:szCs w:val="22"/>
        </w:rPr>
        <w:t xml:space="preserve">PRA </w:t>
      </w:r>
      <w:r w:rsidR="00DE120C">
        <w:rPr>
          <w:szCs w:val="22"/>
        </w:rPr>
        <w:t>burden</w:t>
      </w:r>
      <w:r w:rsidR="00F670FC">
        <w:rPr>
          <w:szCs w:val="22"/>
        </w:rPr>
        <w:t xml:space="preserve"> is</w:t>
      </w:r>
      <w:r>
        <w:rPr>
          <w:szCs w:val="22"/>
        </w:rPr>
        <w:t xml:space="preserve"> </w:t>
      </w:r>
      <w:r w:rsidRPr="005E120A">
        <w:rPr>
          <w:szCs w:val="22"/>
        </w:rPr>
        <w:t>$780,063</w:t>
      </w:r>
      <w:r w:rsidR="0013772F">
        <w:rPr>
          <w:szCs w:val="22"/>
        </w:rPr>
        <w:t>, as set out below</w:t>
      </w:r>
      <w:r w:rsidR="00DE120C">
        <w:rPr>
          <w:szCs w:val="22"/>
        </w:rPr>
        <w:t>:</w:t>
      </w:r>
    </w:p>
    <w:p w:rsidRPr="005E120A" w:rsidR="005E120A" w:rsidP="005E120A" w:rsidRDefault="005E120A" w14:paraId="6399FC6A" w14:textId="4CB240AC">
      <w:pPr>
        <w:widowControl w:val="0"/>
        <w:autoSpaceDE w:val="0"/>
        <w:autoSpaceDN w:val="0"/>
        <w:adjustRightInd w:val="0"/>
        <w:spacing w:line="268" w:lineRule="exact"/>
        <w:jc w:val="both"/>
        <w:rPr>
          <w:szCs w:val="22"/>
        </w:rPr>
      </w:pPr>
    </w:p>
    <w:tbl>
      <w:tblPr>
        <w:tblStyle w:val="TableGrid"/>
        <w:tblW w:w="9540" w:type="dxa"/>
        <w:tblInd w:w="-5" w:type="dxa"/>
        <w:tblLook w:val="04A0" w:firstRow="1" w:lastRow="0" w:firstColumn="1" w:lastColumn="0" w:noHBand="0" w:noVBand="1"/>
      </w:tblPr>
      <w:tblGrid>
        <w:gridCol w:w="3493"/>
        <w:gridCol w:w="2248"/>
        <w:gridCol w:w="1915"/>
        <w:gridCol w:w="1884"/>
      </w:tblGrid>
      <w:tr w:rsidRPr="005E120A" w:rsidR="005E120A" w:rsidTr="00C9165F" w14:paraId="5EDDA443" w14:textId="77777777">
        <w:trPr>
          <w:tblHeader/>
        </w:trPr>
        <w:tc>
          <w:tcPr>
            <w:tcW w:w="3493" w:type="dxa"/>
            <w:vAlign w:val="center"/>
          </w:tcPr>
          <w:p w:rsidRPr="005E120A" w:rsidR="005E120A" w:rsidP="005E120A" w:rsidRDefault="005E120A" w14:paraId="2575498C" w14:textId="77777777">
            <w:pPr>
              <w:widowControl w:val="0"/>
              <w:autoSpaceDE w:val="0"/>
              <w:autoSpaceDN w:val="0"/>
              <w:adjustRightInd w:val="0"/>
              <w:spacing w:line="268" w:lineRule="exact"/>
              <w:jc w:val="both"/>
              <w:rPr>
                <w:rFonts w:ascii="Times New Roman" w:hAnsi="Times New Roman" w:cs="Times New Roman"/>
                <w:b/>
                <w:szCs w:val="22"/>
              </w:rPr>
            </w:pPr>
            <w:r w:rsidRPr="005E120A">
              <w:rPr>
                <w:rFonts w:ascii="Times New Roman" w:hAnsi="Times New Roman" w:cs="Times New Roman"/>
                <w:b/>
                <w:szCs w:val="22"/>
              </w:rPr>
              <w:t>Steps</w:t>
            </w:r>
          </w:p>
        </w:tc>
        <w:tc>
          <w:tcPr>
            <w:tcW w:w="2248" w:type="dxa"/>
          </w:tcPr>
          <w:p w:rsidRPr="005E120A" w:rsidR="005E120A" w:rsidP="005E120A" w:rsidRDefault="005E120A" w14:paraId="1F934DF0" w14:textId="77777777">
            <w:pPr>
              <w:widowControl w:val="0"/>
              <w:autoSpaceDE w:val="0"/>
              <w:autoSpaceDN w:val="0"/>
              <w:adjustRightInd w:val="0"/>
              <w:spacing w:line="268" w:lineRule="exact"/>
              <w:jc w:val="both"/>
              <w:rPr>
                <w:rFonts w:ascii="Times New Roman" w:hAnsi="Times New Roman" w:cs="Times New Roman"/>
                <w:b/>
                <w:szCs w:val="22"/>
              </w:rPr>
            </w:pPr>
            <w:r w:rsidRPr="005E120A">
              <w:rPr>
                <w:rFonts w:ascii="Times New Roman" w:hAnsi="Times New Roman" w:cs="Times New Roman"/>
                <w:b/>
                <w:szCs w:val="22"/>
              </w:rPr>
              <w:t xml:space="preserve">Hourly Burden </w:t>
            </w:r>
          </w:p>
        </w:tc>
        <w:tc>
          <w:tcPr>
            <w:tcW w:w="1915" w:type="dxa"/>
            <w:vAlign w:val="center"/>
          </w:tcPr>
          <w:p w:rsidRPr="005E120A" w:rsidR="005E120A" w:rsidP="005E120A" w:rsidRDefault="005E120A" w14:paraId="7121AE00" w14:textId="77777777">
            <w:pPr>
              <w:widowControl w:val="0"/>
              <w:autoSpaceDE w:val="0"/>
              <w:autoSpaceDN w:val="0"/>
              <w:adjustRightInd w:val="0"/>
              <w:spacing w:line="268" w:lineRule="exact"/>
              <w:jc w:val="both"/>
              <w:rPr>
                <w:rFonts w:ascii="Times New Roman" w:hAnsi="Times New Roman" w:cs="Times New Roman"/>
                <w:b/>
                <w:szCs w:val="22"/>
              </w:rPr>
            </w:pPr>
            <w:r w:rsidRPr="005E120A">
              <w:rPr>
                <w:rFonts w:ascii="Times New Roman" w:hAnsi="Times New Roman" w:cs="Times New Roman"/>
                <w:b/>
                <w:szCs w:val="22"/>
              </w:rPr>
              <w:t>Hourly Cost</w:t>
            </w:r>
          </w:p>
        </w:tc>
        <w:tc>
          <w:tcPr>
            <w:tcW w:w="1884" w:type="dxa"/>
            <w:vAlign w:val="center"/>
          </w:tcPr>
          <w:p w:rsidRPr="005E120A" w:rsidR="005E120A" w:rsidP="005E120A" w:rsidRDefault="005E120A" w14:paraId="341D3095" w14:textId="77777777">
            <w:pPr>
              <w:widowControl w:val="0"/>
              <w:autoSpaceDE w:val="0"/>
              <w:autoSpaceDN w:val="0"/>
              <w:adjustRightInd w:val="0"/>
              <w:spacing w:line="268" w:lineRule="exact"/>
              <w:jc w:val="both"/>
              <w:rPr>
                <w:rFonts w:ascii="Times New Roman" w:hAnsi="Times New Roman" w:cs="Times New Roman"/>
                <w:b/>
                <w:szCs w:val="22"/>
              </w:rPr>
            </w:pPr>
            <w:r w:rsidRPr="005E120A">
              <w:rPr>
                <w:rFonts w:ascii="Times New Roman" w:hAnsi="Times New Roman" w:cs="Times New Roman"/>
                <w:b/>
                <w:szCs w:val="22"/>
              </w:rPr>
              <w:t>Total Cost</w:t>
            </w:r>
          </w:p>
        </w:tc>
      </w:tr>
      <w:tr w:rsidRPr="005E120A" w:rsidR="005E120A" w:rsidTr="00C9165F" w14:paraId="76EDB1A1" w14:textId="77777777">
        <w:trPr>
          <w:trHeight w:val="339"/>
        </w:trPr>
        <w:tc>
          <w:tcPr>
            <w:tcW w:w="3493" w:type="dxa"/>
            <w:vAlign w:val="center"/>
          </w:tcPr>
          <w:p w:rsidRPr="005E120A" w:rsidR="005E120A" w:rsidP="002B198A" w:rsidRDefault="005E120A" w14:paraId="77F379E6" w14:textId="486A1BE9">
            <w:pPr>
              <w:widowControl w:val="0"/>
              <w:autoSpaceDE w:val="0"/>
              <w:autoSpaceDN w:val="0"/>
              <w:adjustRightInd w:val="0"/>
              <w:spacing w:line="268" w:lineRule="exact"/>
              <w:rPr>
                <w:rFonts w:ascii="Times New Roman" w:hAnsi="Times New Roman" w:cs="Times New Roman"/>
                <w:szCs w:val="22"/>
              </w:rPr>
            </w:pPr>
            <w:r w:rsidRPr="005E120A">
              <w:rPr>
                <w:rFonts w:ascii="Times New Roman" w:hAnsi="Times New Roman" w:cs="Times New Roman"/>
                <w:szCs w:val="22"/>
              </w:rPr>
              <w:t xml:space="preserve">Report </w:t>
            </w:r>
            <w:r w:rsidR="001A0F9A">
              <w:rPr>
                <w:rFonts w:ascii="Times New Roman" w:hAnsi="Times New Roman" w:cs="Times New Roman"/>
                <w:szCs w:val="22"/>
              </w:rPr>
              <w:t>C</w:t>
            </w:r>
            <w:r w:rsidRPr="005E120A">
              <w:rPr>
                <w:rFonts w:ascii="Times New Roman" w:hAnsi="Times New Roman" w:cs="Times New Roman"/>
                <w:szCs w:val="22"/>
              </w:rPr>
              <w:t xml:space="preserve">ompletion (divided between the roles listed </w:t>
            </w:r>
            <w:r w:rsidR="00583B56">
              <w:rPr>
                <w:rFonts w:ascii="Times New Roman" w:hAnsi="Times New Roman" w:cs="Times New Roman"/>
                <w:szCs w:val="22"/>
              </w:rPr>
              <w:t>above</w:t>
            </w:r>
            <w:r w:rsidRPr="005E120A">
              <w:rPr>
                <w:rFonts w:ascii="Times New Roman" w:hAnsi="Times New Roman" w:cs="Times New Roman"/>
                <w:szCs w:val="22"/>
              </w:rPr>
              <w:t>)</w:t>
            </w:r>
          </w:p>
        </w:tc>
        <w:tc>
          <w:tcPr>
            <w:tcW w:w="2248" w:type="dxa"/>
            <w:vAlign w:val="center"/>
          </w:tcPr>
          <w:p w:rsidRPr="005E120A" w:rsidR="005E120A" w:rsidP="00583B56" w:rsidRDefault="005E120A" w14:paraId="52986B68" w14:textId="10A3B4DC">
            <w:pPr>
              <w:widowControl w:val="0"/>
              <w:autoSpaceDE w:val="0"/>
              <w:autoSpaceDN w:val="0"/>
              <w:adjustRightInd w:val="0"/>
              <w:spacing w:line="268" w:lineRule="exact"/>
              <w:jc w:val="both"/>
              <w:rPr>
                <w:rFonts w:ascii="Times New Roman" w:hAnsi="Times New Roman" w:cs="Times New Roman"/>
                <w:szCs w:val="22"/>
              </w:rPr>
            </w:pPr>
            <w:r w:rsidRPr="005E120A">
              <w:rPr>
                <w:rFonts w:ascii="Times New Roman" w:hAnsi="Times New Roman" w:cs="Times New Roman"/>
                <w:szCs w:val="22"/>
              </w:rPr>
              <w:t>13,605.75</w:t>
            </w:r>
          </w:p>
        </w:tc>
        <w:tc>
          <w:tcPr>
            <w:tcW w:w="1915" w:type="dxa"/>
            <w:vAlign w:val="center"/>
          </w:tcPr>
          <w:p w:rsidRPr="005E120A" w:rsidR="005E120A" w:rsidP="00583B56" w:rsidRDefault="005E120A" w14:paraId="3C5D628D" w14:textId="6E5B6505">
            <w:pPr>
              <w:widowControl w:val="0"/>
              <w:autoSpaceDE w:val="0"/>
              <w:autoSpaceDN w:val="0"/>
              <w:adjustRightInd w:val="0"/>
              <w:spacing w:line="268" w:lineRule="exact"/>
              <w:jc w:val="both"/>
              <w:rPr>
                <w:rFonts w:ascii="Times New Roman" w:hAnsi="Times New Roman" w:cs="Times New Roman"/>
                <w:szCs w:val="22"/>
              </w:rPr>
            </w:pPr>
            <w:r w:rsidRPr="005E120A">
              <w:rPr>
                <w:rFonts w:ascii="Times New Roman" w:hAnsi="Times New Roman" w:cs="Times New Roman"/>
                <w:szCs w:val="22"/>
              </w:rPr>
              <w:t>$43.00</w:t>
            </w:r>
          </w:p>
        </w:tc>
        <w:tc>
          <w:tcPr>
            <w:tcW w:w="1884" w:type="dxa"/>
            <w:vAlign w:val="center"/>
          </w:tcPr>
          <w:p w:rsidRPr="005E120A" w:rsidR="005E120A" w:rsidP="005E120A" w:rsidRDefault="005E120A" w14:paraId="659A9908" w14:textId="77777777">
            <w:pPr>
              <w:widowControl w:val="0"/>
              <w:autoSpaceDE w:val="0"/>
              <w:autoSpaceDN w:val="0"/>
              <w:adjustRightInd w:val="0"/>
              <w:spacing w:line="268" w:lineRule="exact"/>
              <w:jc w:val="both"/>
              <w:rPr>
                <w:rFonts w:ascii="Times New Roman" w:hAnsi="Times New Roman" w:cs="Times New Roman"/>
                <w:szCs w:val="22"/>
              </w:rPr>
            </w:pPr>
            <w:r w:rsidRPr="005E120A">
              <w:rPr>
                <w:rFonts w:ascii="Times New Roman" w:hAnsi="Times New Roman" w:cs="Times New Roman"/>
                <w:szCs w:val="22"/>
              </w:rPr>
              <w:t>$585,047.25</w:t>
            </w:r>
          </w:p>
        </w:tc>
      </w:tr>
      <w:tr w:rsidRPr="005E120A" w:rsidR="005E120A" w:rsidTr="00C9165F" w14:paraId="643CFF66" w14:textId="77777777">
        <w:trPr>
          <w:trHeight w:val="339"/>
        </w:trPr>
        <w:tc>
          <w:tcPr>
            <w:tcW w:w="3493" w:type="dxa"/>
            <w:vAlign w:val="center"/>
          </w:tcPr>
          <w:p w:rsidRPr="005E120A" w:rsidR="005E120A" w:rsidP="005E120A" w:rsidRDefault="005E120A" w14:paraId="17C452A5" w14:textId="0B9DED7D">
            <w:pPr>
              <w:widowControl w:val="0"/>
              <w:autoSpaceDE w:val="0"/>
              <w:autoSpaceDN w:val="0"/>
              <w:adjustRightInd w:val="0"/>
              <w:spacing w:line="268" w:lineRule="exact"/>
              <w:jc w:val="both"/>
              <w:rPr>
                <w:rFonts w:ascii="Times New Roman" w:hAnsi="Times New Roman" w:cs="Times New Roman"/>
                <w:szCs w:val="22"/>
              </w:rPr>
            </w:pPr>
            <w:r w:rsidRPr="005E120A">
              <w:rPr>
                <w:rFonts w:ascii="Times New Roman" w:hAnsi="Times New Roman" w:cs="Times New Roman"/>
                <w:szCs w:val="22"/>
              </w:rPr>
              <w:t>Maintenance/</w:t>
            </w:r>
            <w:r w:rsidR="001A0F9A">
              <w:rPr>
                <w:rFonts w:ascii="Times New Roman" w:hAnsi="Times New Roman" w:cs="Times New Roman"/>
                <w:szCs w:val="22"/>
              </w:rPr>
              <w:t>R</w:t>
            </w:r>
            <w:r w:rsidRPr="005E120A">
              <w:rPr>
                <w:rFonts w:ascii="Times New Roman" w:hAnsi="Times New Roman" w:cs="Times New Roman"/>
                <w:szCs w:val="22"/>
              </w:rPr>
              <w:t xml:space="preserve">ecordkeeping </w:t>
            </w:r>
          </w:p>
        </w:tc>
        <w:tc>
          <w:tcPr>
            <w:tcW w:w="2248" w:type="dxa"/>
            <w:vAlign w:val="center"/>
          </w:tcPr>
          <w:p w:rsidRPr="005E120A" w:rsidR="005E120A" w:rsidP="005E120A" w:rsidRDefault="005E120A" w14:paraId="61A33FCF" w14:textId="77777777">
            <w:pPr>
              <w:widowControl w:val="0"/>
              <w:autoSpaceDE w:val="0"/>
              <w:autoSpaceDN w:val="0"/>
              <w:adjustRightInd w:val="0"/>
              <w:spacing w:line="268" w:lineRule="exact"/>
              <w:jc w:val="both"/>
              <w:rPr>
                <w:rFonts w:ascii="Times New Roman" w:hAnsi="Times New Roman" w:cs="Times New Roman"/>
                <w:szCs w:val="22"/>
              </w:rPr>
            </w:pPr>
            <w:r w:rsidRPr="005E120A">
              <w:rPr>
                <w:rFonts w:ascii="Times New Roman" w:hAnsi="Times New Roman" w:cs="Times New Roman"/>
                <w:szCs w:val="22"/>
              </w:rPr>
              <w:t>4,535.25</w:t>
            </w:r>
          </w:p>
        </w:tc>
        <w:tc>
          <w:tcPr>
            <w:tcW w:w="1915" w:type="dxa"/>
            <w:vAlign w:val="center"/>
          </w:tcPr>
          <w:p w:rsidRPr="005E120A" w:rsidR="005E120A" w:rsidP="005E120A" w:rsidRDefault="005E120A" w14:paraId="4ED3C70F" w14:textId="77777777">
            <w:pPr>
              <w:widowControl w:val="0"/>
              <w:autoSpaceDE w:val="0"/>
              <w:autoSpaceDN w:val="0"/>
              <w:adjustRightInd w:val="0"/>
              <w:spacing w:line="268" w:lineRule="exact"/>
              <w:jc w:val="both"/>
              <w:rPr>
                <w:rFonts w:ascii="Times New Roman" w:hAnsi="Times New Roman" w:cs="Times New Roman"/>
                <w:szCs w:val="22"/>
              </w:rPr>
            </w:pPr>
            <w:r w:rsidRPr="005E120A">
              <w:rPr>
                <w:rFonts w:ascii="Times New Roman" w:hAnsi="Times New Roman" w:cs="Times New Roman"/>
                <w:szCs w:val="22"/>
              </w:rPr>
              <w:t>$43.00</w:t>
            </w:r>
          </w:p>
        </w:tc>
        <w:tc>
          <w:tcPr>
            <w:tcW w:w="1884" w:type="dxa"/>
            <w:vAlign w:val="center"/>
          </w:tcPr>
          <w:p w:rsidRPr="005E120A" w:rsidR="005E120A" w:rsidP="005E120A" w:rsidRDefault="005E120A" w14:paraId="2D8862A4" w14:textId="77777777">
            <w:pPr>
              <w:widowControl w:val="0"/>
              <w:autoSpaceDE w:val="0"/>
              <w:autoSpaceDN w:val="0"/>
              <w:adjustRightInd w:val="0"/>
              <w:spacing w:line="268" w:lineRule="exact"/>
              <w:jc w:val="both"/>
              <w:rPr>
                <w:rFonts w:ascii="Times New Roman" w:hAnsi="Times New Roman" w:cs="Times New Roman"/>
                <w:szCs w:val="22"/>
              </w:rPr>
            </w:pPr>
            <w:r w:rsidRPr="005E120A">
              <w:rPr>
                <w:rFonts w:ascii="Times New Roman" w:hAnsi="Times New Roman" w:cs="Times New Roman"/>
                <w:szCs w:val="22"/>
              </w:rPr>
              <w:t>$195,015.75</w:t>
            </w:r>
          </w:p>
        </w:tc>
      </w:tr>
      <w:tr w:rsidRPr="005E120A" w:rsidR="005E120A" w:rsidTr="00C9165F" w14:paraId="397572FF" w14:textId="77777777">
        <w:trPr>
          <w:trHeight w:val="339"/>
        </w:trPr>
        <w:tc>
          <w:tcPr>
            <w:tcW w:w="7656" w:type="dxa"/>
            <w:gridSpan w:val="3"/>
          </w:tcPr>
          <w:p w:rsidRPr="005E120A" w:rsidR="005E120A" w:rsidP="005E120A" w:rsidRDefault="005E120A" w14:paraId="131ED362" w14:textId="27854030">
            <w:pPr>
              <w:widowControl w:val="0"/>
              <w:autoSpaceDE w:val="0"/>
              <w:autoSpaceDN w:val="0"/>
              <w:adjustRightInd w:val="0"/>
              <w:spacing w:line="268" w:lineRule="exact"/>
              <w:jc w:val="both"/>
              <w:rPr>
                <w:rFonts w:ascii="Times New Roman" w:hAnsi="Times New Roman" w:cs="Times New Roman"/>
                <w:b/>
                <w:szCs w:val="22"/>
              </w:rPr>
            </w:pPr>
            <w:r w:rsidRPr="005E120A">
              <w:rPr>
                <w:rFonts w:ascii="Times New Roman" w:hAnsi="Times New Roman" w:cs="Times New Roman"/>
                <w:b/>
                <w:szCs w:val="22"/>
              </w:rPr>
              <w:t xml:space="preserve">Total </w:t>
            </w:r>
            <w:r w:rsidR="001A0F9A">
              <w:rPr>
                <w:rFonts w:ascii="Times New Roman" w:hAnsi="Times New Roman" w:cs="Times New Roman"/>
                <w:b/>
                <w:szCs w:val="22"/>
              </w:rPr>
              <w:t>C</w:t>
            </w:r>
            <w:r w:rsidRPr="005E120A">
              <w:rPr>
                <w:rFonts w:ascii="Times New Roman" w:hAnsi="Times New Roman" w:cs="Times New Roman"/>
                <w:b/>
                <w:szCs w:val="22"/>
              </w:rPr>
              <w:t>ost</w:t>
            </w:r>
          </w:p>
        </w:tc>
        <w:tc>
          <w:tcPr>
            <w:tcW w:w="1884" w:type="dxa"/>
            <w:vAlign w:val="center"/>
          </w:tcPr>
          <w:p w:rsidRPr="005E120A" w:rsidR="005E120A" w:rsidP="005E120A" w:rsidRDefault="005E120A" w14:paraId="20A01C96" w14:textId="77777777">
            <w:pPr>
              <w:widowControl w:val="0"/>
              <w:autoSpaceDE w:val="0"/>
              <w:autoSpaceDN w:val="0"/>
              <w:adjustRightInd w:val="0"/>
              <w:spacing w:line="268" w:lineRule="exact"/>
              <w:jc w:val="both"/>
              <w:rPr>
                <w:rFonts w:ascii="Times New Roman" w:hAnsi="Times New Roman" w:cs="Times New Roman"/>
                <w:b/>
                <w:szCs w:val="22"/>
              </w:rPr>
            </w:pPr>
            <w:r w:rsidRPr="005E120A">
              <w:rPr>
                <w:rFonts w:ascii="Times New Roman" w:hAnsi="Times New Roman" w:cs="Times New Roman"/>
                <w:b/>
                <w:szCs w:val="22"/>
              </w:rPr>
              <w:t>$780,063</w:t>
            </w:r>
          </w:p>
        </w:tc>
      </w:tr>
    </w:tbl>
    <w:p w:rsidRPr="00A153C2" w:rsidR="00A153C2" w:rsidP="00A153C2" w:rsidRDefault="00A153C2" w14:paraId="5DA81A54" w14:textId="77777777">
      <w:pPr>
        <w:widowControl w:val="0"/>
        <w:autoSpaceDE w:val="0"/>
        <w:autoSpaceDN w:val="0"/>
        <w:adjustRightInd w:val="0"/>
        <w:spacing w:line="268" w:lineRule="exact"/>
        <w:jc w:val="both"/>
        <w:rPr>
          <w:b/>
          <w:szCs w:val="22"/>
        </w:rPr>
      </w:pPr>
    </w:p>
    <w:p w:rsidR="00125BE6" w:rsidP="00125BE6" w:rsidRDefault="00125BE6" w14:paraId="271560DA" w14:textId="313EB3DB">
      <w:pPr>
        <w:ind w:left="720"/>
        <w:rPr>
          <w:iCs/>
        </w:rPr>
      </w:pPr>
      <w:r w:rsidRPr="006D6DCF">
        <w:rPr>
          <w:iCs/>
        </w:rPr>
        <w:t>There are no non-labor costs associated with this collection of information.</w:t>
      </w:r>
    </w:p>
    <w:p w:rsidRPr="00AA6051" w:rsidR="009829C3" w:rsidP="009829C3" w:rsidRDefault="009829C3" w14:paraId="7FD3C98A" w14:textId="77777777">
      <w:pPr>
        <w:rPr>
          <w:szCs w:val="22"/>
        </w:rPr>
      </w:pPr>
    </w:p>
    <w:p w:rsidRPr="00AA6051" w:rsidR="00643252" w:rsidP="009829C3" w:rsidRDefault="00643252" w14:paraId="7AE7B940" w14:textId="77777777">
      <w:pPr>
        <w:rPr>
          <w:szCs w:val="22"/>
        </w:rPr>
      </w:pPr>
      <w:r w:rsidRPr="00D700D9">
        <w:rPr>
          <w:szCs w:val="22"/>
        </w:rPr>
        <w:t xml:space="preserve">14. </w:t>
      </w:r>
      <w:r w:rsidRPr="00D700D9">
        <w:rPr>
          <w:szCs w:val="22"/>
          <w:u w:val="single"/>
        </w:rPr>
        <w:t>Estima</w:t>
      </w:r>
      <w:r w:rsidRPr="00D700D9" w:rsidR="00D8554E">
        <w:rPr>
          <w:szCs w:val="22"/>
          <w:u w:val="single"/>
        </w:rPr>
        <w:t>ted annual cost to the Federal g</w:t>
      </w:r>
      <w:r w:rsidRPr="00D700D9">
        <w:rPr>
          <w:szCs w:val="22"/>
          <w:u w:val="single"/>
        </w:rPr>
        <w:t>overnment.</w:t>
      </w:r>
      <w:r w:rsidRPr="00AA6051">
        <w:rPr>
          <w:szCs w:val="22"/>
        </w:rPr>
        <w:t xml:space="preserve"> </w:t>
      </w:r>
    </w:p>
    <w:p w:rsidRPr="00AA6051" w:rsidR="009829C3" w:rsidP="009829C3" w:rsidRDefault="009829C3" w14:paraId="26BAD1D9" w14:textId="77777777">
      <w:pPr>
        <w:ind w:firstLine="720"/>
      </w:pPr>
    </w:p>
    <w:p w:rsidRPr="00C34A34" w:rsidR="00C34A34" w:rsidP="00C34A34" w:rsidRDefault="0007036C" w14:paraId="5A8EF3CB" w14:textId="1F6555EC">
      <w:pPr>
        <w:ind w:firstLine="720"/>
      </w:pPr>
      <w:r w:rsidRPr="00C34A34">
        <w:t>Electronic processing cost to the Federal Government</w:t>
      </w:r>
      <w:r>
        <w:t>:</w:t>
      </w:r>
      <w:r w:rsidRPr="00C34A34">
        <w:t xml:space="preserve"> </w:t>
      </w:r>
      <w:r w:rsidR="00DE120C">
        <w:t xml:space="preserve">18,141 DOEP </w:t>
      </w:r>
      <w:r w:rsidR="005E2869">
        <w:t>R</w:t>
      </w:r>
      <w:r w:rsidR="00DE120C">
        <w:t>eports</w:t>
      </w:r>
      <w:r w:rsidRPr="00C34A34">
        <w:t xml:space="preserve"> </w:t>
      </w:r>
      <w:r>
        <w:t>x</w:t>
      </w:r>
      <w:r w:rsidRPr="00C34A34">
        <w:t xml:space="preserve"> $0.10 per </w:t>
      </w:r>
      <w:r>
        <w:t>form</w:t>
      </w:r>
      <w:r w:rsidRPr="00C34A34">
        <w:t xml:space="preserve"> = </w:t>
      </w:r>
      <w:r>
        <w:t>$</w:t>
      </w:r>
      <w:r w:rsidR="00583B56">
        <w:t>1,814.10</w:t>
      </w:r>
      <w:r w:rsidR="00136C99">
        <w:t>.</w:t>
      </w:r>
      <w:r w:rsidRPr="00C34A34" w:rsidR="00C34A34">
        <w:rPr>
          <w:vertAlign w:val="superscript"/>
        </w:rPr>
        <w:footnoteReference w:id="17"/>
      </w:r>
    </w:p>
    <w:p w:rsidRPr="00AA6051" w:rsidR="009829C3" w:rsidP="009829C3" w:rsidRDefault="009829C3" w14:paraId="79CD5FF2" w14:textId="77777777">
      <w:pPr>
        <w:ind w:firstLine="720"/>
      </w:pPr>
    </w:p>
    <w:p w:rsidRPr="00AA6051" w:rsidR="00643252" w:rsidP="009829C3" w:rsidRDefault="00643252" w14:paraId="56E6D25B" w14:textId="77777777">
      <w:pPr>
        <w:rPr>
          <w:szCs w:val="22"/>
        </w:rPr>
      </w:pPr>
      <w:r w:rsidRPr="00AA6051">
        <w:rPr>
          <w:szCs w:val="22"/>
        </w:rPr>
        <w:t xml:space="preserve">15. </w:t>
      </w:r>
      <w:r w:rsidRPr="00AA6051" w:rsidR="00D8554E">
        <w:rPr>
          <w:szCs w:val="22"/>
          <w:u w:val="single"/>
        </w:rPr>
        <w:t xml:space="preserve">Reason </w:t>
      </w:r>
      <w:r w:rsidRPr="0028556F" w:rsidR="00D8554E">
        <w:rPr>
          <w:szCs w:val="22"/>
          <w:u w:val="single"/>
        </w:rPr>
        <w:t>for change</w:t>
      </w:r>
      <w:r w:rsidRPr="00AA6051" w:rsidR="00D8554E">
        <w:rPr>
          <w:szCs w:val="22"/>
          <w:u w:val="single"/>
        </w:rPr>
        <w:t xml:space="preserve"> in b</w:t>
      </w:r>
      <w:r w:rsidRPr="00AA6051">
        <w:rPr>
          <w:szCs w:val="22"/>
          <w:u w:val="single"/>
        </w:rPr>
        <w:t>urden.</w:t>
      </w:r>
      <w:r w:rsidRPr="00AA6051">
        <w:rPr>
          <w:szCs w:val="22"/>
        </w:rPr>
        <w:t xml:space="preserve"> </w:t>
      </w:r>
    </w:p>
    <w:p w:rsidRPr="00AA6051" w:rsidR="00F2243A" w:rsidP="009829C3" w:rsidRDefault="00553D43" w14:paraId="7020C83E" w14:textId="77777777">
      <w:pPr>
        <w:pStyle w:val="CommentText"/>
        <w:rPr>
          <w:szCs w:val="22"/>
        </w:rPr>
      </w:pPr>
      <w:r w:rsidRPr="00AA6051">
        <w:rPr>
          <w:szCs w:val="22"/>
        </w:rPr>
        <w:t xml:space="preserve"> </w:t>
      </w:r>
      <w:r w:rsidRPr="00AA6051">
        <w:rPr>
          <w:szCs w:val="22"/>
        </w:rPr>
        <w:tab/>
      </w:r>
    </w:p>
    <w:p w:rsidR="00147553" w:rsidP="00803C63" w:rsidRDefault="00803C63" w14:paraId="7CA6C5A0" w14:textId="615FD049">
      <w:pPr>
        <w:widowControl w:val="0"/>
        <w:ind w:firstLine="720"/>
        <w:rPr>
          <w:snapToGrid w:val="0"/>
        </w:rPr>
      </w:pPr>
      <w:r w:rsidRPr="00AA6051">
        <w:rPr>
          <w:snapToGrid w:val="0"/>
        </w:rPr>
        <w:t xml:space="preserve">The </w:t>
      </w:r>
      <w:r w:rsidRPr="00AA6051" w:rsidR="005C739E">
        <w:rPr>
          <w:snapToGrid w:val="0"/>
        </w:rPr>
        <w:t xml:space="preserve">estimated </w:t>
      </w:r>
      <w:r w:rsidRPr="00AA6051">
        <w:rPr>
          <w:snapToGrid w:val="0"/>
        </w:rPr>
        <w:t xml:space="preserve">total annual burden hours decreased </w:t>
      </w:r>
      <w:r w:rsidR="00B032D1">
        <w:rPr>
          <w:snapToGrid w:val="0"/>
        </w:rPr>
        <w:t xml:space="preserve">by </w:t>
      </w:r>
      <w:r w:rsidR="00687C47">
        <w:rPr>
          <w:snapToGrid w:val="0"/>
        </w:rPr>
        <w:t>8,899</w:t>
      </w:r>
      <w:r w:rsidR="00B032D1">
        <w:rPr>
          <w:snapToGrid w:val="0"/>
        </w:rPr>
        <w:t xml:space="preserve"> from </w:t>
      </w:r>
      <w:r w:rsidR="00687C47">
        <w:rPr>
          <w:snapToGrid w:val="0"/>
        </w:rPr>
        <w:t>27,040</w:t>
      </w:r>
      <w:r w:rsidR="00B032D1">
        <w:rPr>
          <w:snapToGrid w:val="0"/>
        </w:rPr>
        <w:t xml:space="preserve"> hours in 2017</w:t>
      </w:r>
      <w:r w:rsidR="00C9357B">
        <w:rPr>
          <w:snapToGrid w:val="0"/>
        </w:rPr>
        <w:t xml:space="preserve"> </w:t>
      </w:r>
      <w:r w:rsidR="00B032D1">
        <w:rPr>
          <w:snapToGrid w:val="0"/>
        </w:rPr>
        <w:t xml:space="preserve">to </w:t>
      </w:r>
      <w:r w:rsidR="00687C47">
        <w:rPr>
          <w:snapToGrid w:val="0"/>
        </w:rPr>
        <w:t>18,141</w:t>
      </w:r>
      <w:r w:rsidR="00B032D1">
        <w:rPr>
          <w:snapToGrid w:val="0"/>
        </w:rPr>
        <w:t xml:space="preserve"> </w:t>
      </w:r>
      <w:r w:rsidR="00F82FD9">
        <w:rPr>
          <w:snapToGrid w:val="0"/>
        </w:rPr>
        <w:t>hours in</w:t>
      </w:r>
      <w:r w:rsidR="00B032D1">
        <w:rPr>
          <w:snapToGrid w:val="0"/>
        </w:rPr>
        <w:t xml:space="preserve"> 2020</w:t>
      </w:r>
      <w:r w:rsidRPr="00B032D1" w:rsidR="00B032D1">
        <w:t xml:space="preserve"> </w:t>
      </w:r>
      <w:r w:rsidRPr="00B032D1" w:rsidR="00B032D1">
        <w:rPr>
          <w:snapToGrid w:val="0"/>
        </w:rPr>
        <w:t>although the annual hourly burden estimates per regulatory requirement remained the same as in 2017</w:t>
      </w:r>
      <w:r w:rsidR="00687C47">
        <w:rPr>
          <w:snapToGrid w:val="0"/>
        </w:rPr>
        <w:t xml:space="preserve"> (one hour per report)</w:t>
      </w:r>
      <w:r w:rsidRPr="00AA6051">
        <w:rPr>
          <w:snapToGrid w:val="0"/>
        </w:rPr>
        <w:t xml:space="preserve">. </w:t>
      </w:r>
      <w:r w:rsidRPr="00F82FD9" w:rsidR="00F82FD9">
        <w:rPr>
          <w:snapToGrid w:val="0"/>
        </w:rPr>
        <w:t xml:space="preserve">The reduction in burden is a result of a decrease in the number of </w:t>
      </w:r>
      <w:r w:rsidR="00961BCF">
        <w:rPr>
          <w:snapToGrid w:val="0"/>
        </w:rPr>
        <w:t>reports filed</w:t>
      </w:r>
      <w:r w:rsidRPr="00F82FD9" w:rsidR="00961BCF">
        <w:rPr>
          <w:snapToGrid w:val="0"/>
        </w:rPr>
        <w:t xml:space="preserve"> </w:t>
      </w:r>
      <w:r w:rsidRPr="00F82FD9" w:rsidR="00F82FD9">
        <w:rPr>
          <w:snapToGrid w:val="0"/>
        </w:rPr>
        <w:t xml:space="preserve">from </w:t>
      </w:r>
      <w:r w:rsidR="00961BCF">
        <w:rPr>
          <w:snapToGrid w:val="0"/>
        </w:rPr>
        <w:t>27,040</w:t>
      </w:r>
      <w:r w:rsidRPr="00F82FD9" w:rsidR="00F82FD9">
        <w:rPr>
          <w:snapToGrid w:val="0"/>
        </w:rPr>
        <w:t xml:space="preserve"> in 2017 to </w:t>
      </w:r>
      <w:r w:rsidR="00961BCF">
        <w:rPr>
          <w:snapToGrid w:val="0"/>
        </w:rPr>
        <w:t>18,141</w:t>
      </w:r>
      <w:r w:rsidRPr="00F82FD9" w:rsidR="00F82FD9">
        <w:rPr>
          <w:snapToGrid w:val="0"/>
        </w:rPr>
        <w:t xml:space="preserve"> in </w:t>
      </w:r>
      <w:r w:rsidR="00961BCF">
        <w:rPr>
          <w:snapToGrid w:val="0"/>
        </w:rPr>
        <w:t>2019.  Additionally, there was a reduction in</w:t>
      </w:r>
      <w:r w:rsidR="00147553">
        <w:rPr>
          <w:snapToGrid w:val="0"/>
        </w:rPr>
        <w:t xml:space="preserve"> the number of respondents since the last approval</w:t>
      </w:r>
      <w:r w:rsidR="00831EB4">
        <w:rPr>
          <w:snapToGrid w:val="0"/>
        </w:rPr>
        <w:t xml:space="preserve"> from 13,520 to 11,161 banks in 2019.</w:t>
      </w:r>
    </w:p>
    <w:p w:rsidRPr="00AA6051" w:rsidR="009829C3" w:rsidP="009829C3" w:rsidRDefault="009829C3" w14:paraId="36F5F77E" w14:textId="4773F00B">
      <w:pPr>
        <w:pStyle w:val="CommentText"/>
        <w:ind w:firstLine="720"/>
        <w:rPr>
          <w:sz w:val="24"/>
          <w:szCs w:val="24"/>
        </w:rPr>
      </w:pPr>
    </w:p>
    <w:p w:rsidRPr="00A16AFB" w:rsidR="00D8554E" w:rsidP="009829C3" w:rsidRDefault="00D8554E" w14:paraId="152471BF" w14:textId="77777777">
      <w:pPr>
        <w:rPr>
          <w:szCs w:val="22"/>
        </w:rPr>
      </w:pPr>
      <w:r w:rsidRPr="00A16AFB">
        <w:rPr>
          <w:szCs w:val="22"/>
        </w:rPr>
        <w:t xml:space="preserve">16. </w:t>
      </w:r>
      <w:r w:rsidRPr="00A16AFB">
        <w:rPr>
          <w:szCs w:val="22"/>
          <w:u w:val="single"/>
        </w:rPr>
        <w:t>Plans for tabulation, statistical analysis, and publication.</w:t>
      </w:r>
    </w:p>
    <w:p w:rsidRPr="00A16AFB" w:rsidR="009829C3" w:rsidP="009829C3" w:rsidRDefault="009829C3" w14:paraId="322C5F1D" w14:textId="77777777">
      <w:pPr>
        <w:ind w:firstLine="720"/>
      </w:pPr>
    </w:p>
    <w:p w:rsidRPr="00AA6051" w:rsidR="00D8554E" w:rsidP="009829C3" w:rsidRDefault="00D8554E" w14:paraId="6B49B43F" w14:textId="77777777">
      <w:pPr>
        <w:ind w:firstLine="720"/>
        <w:rPr>
          <w:szCs w:val="22"/>
        </w:rPr>
      </w:pPr>
      <w:r w:rsidRPr="00A16AFB">
        <w:t>This collection of information will not be published.</w:t>
      </w:r>
      <w:r w:rsidRPr="00AA6051">
        <w:rPr>
          <w:szCs w:val="22"/>
        </w:rPr>
        <w:t xml:space="preserve"> </w:t>
      </w:r>
    </w:p>
    <w:p w:rsidRPr="00AA6051" w:rsidR="009829C3" w:rsidP="009829C3" w:rsidRDefault="009829C3" w14:paraId="0594D77E" w14:textId="77777777">
      <w:pPr>
        <w:ind w:firstLine="720"/>
        <w:rPr>
          <w:szCs w:val="22"/>
        </w:rPr>
      </w:pPr>
    </w:p>
    <w:p w:rsidRPr="00D700D9" w:rsidR="00D8554E" w:rsidP="009829C3" w:rsidRDefault="00D8554E" w14:paraId="3A1BA0F7" w14:textId="77777777">
      <w:pPr>
        <w:rPr>
          <w:szCs w:val="22"/>
          <w:highlight w:val="lightGray"/>
        </w:rPr>
      </w:pPr>
      <w:r w:rsidRPr="00CA04F1">
        <w:rPr>
          <w:szCs w:val="22"/>
        </w:rPr>
        <w:t xml:space="preserve">17. </w:t>
      </w:r>
      <w:r w:rsidRPr="00CA04F1">
        <w:rPr>
          <w:u w:val="single"/>
        </w:rPr>
        <w:t>Request not to display the expiration date of the OMB control number.</w:t>
      </w:r>
    </w:p>
    <w:p w:rsidRPr="00D700D9" w:rsidR="009829C3" w:rsidP="009829C3" w:rsidRDefault="009829C3" w14:paraId="50FAF34E" w14:textId="77777777">
      <w:pPr>
        <w:ind w:firstLine="720"/>
        <w:rPr>
          <w:szCs w:val="22"/>
          <w:highlight w:val="lightGray"/>
        </w:rPr>
      </w:pPr>
    </w:p>
    <w:p w:rsidR="0089545E" w:rsidP="0089545E" w:rsidRDefault="0089545E" w14:paraId="1B923708" w14:textId="73958337">
      <w:pPr>
        <w:ind w:firstLine="720"/>
      </w:pPr>
      <w:r w:rsidRPr="001F7618">
        <w:t>FinCEN requests that the expiration date of th</w:t>
      </w:r>
      <w:r>
        <w:t xml:space="preserve">e control </w:t>
      </w:r>
      <w:r w:rsidR="002125F2">
        <w:t xml:space="preserve">number of the </w:t>
      </w:r>
      <w:r w:rsidRPr="00831EB4" w:rsidR="0007036C">
        <w:t>DOEP Report</w:t>
      </w:r>
      <w:r w:rsidRPr="001F7618">
        <w:t xml:space="preserve"> not be displayed on the report so that there is no c</w:t>
      </w:r>
      <w:r>
        <w:t>onfusion as to whether the</w:t>
      </w:r>
      <w:r w:rsidRPr="001F7618">
        <w:t xml:space="preserve"> report is still valid. This request will not affect the normal 3-year PRA renewal process.</w:t>
      </w:r>
    </w:p>
    <w:p w:rsidRPr="00AA6051" w:rsidR="00D8554E" w:rsidP="009829C3" w:rsidRDefault="00D8554E" w14:paraId="3E59C37C" w14:textId="144FC3C1">
      <w:pPr>
        <w:rPr>
          <w:szCs w:val="22"/>
        </w:rPr>
      </w:pPr>
    </w:p>
    <w:p w:rsidRPr="00A16AFB" w:rsidR="00D8554E" w:rsidP="009829C3" w:rsidRDefault="00D8554E" w14:paraId="14AD53AD" w14:textId="2E6607F6">
      <w:pPr>
        <w:widowControl w:val="0"/>
        <w:autoSpaceDE w:val="0"/>
        <w:autoSpaceDN w:val="0"/>
        <w:adjustRightInd w:val="0"/>
        <w:spacing w:line="240" w:lineRule="exact"/>
        <w:ind w:right="220"/>
        <w:jc w:val="both"/>
        <w:rPr>
          <w:szCs w:val="22"/>
          <w:u w:val="single"/>
        </w:rPr>
      </w:pPr>
      <w:r w:rsidRPr="00A16AFB">
        <w:rPr>
          <w:szCs w:val="22"/>
        </w:rPr>
        <w:t xml:space="preserve">18. </w:t>
      </w:r>
      <w:r w:rsidRPr="00A16AFB">
        <w:rPr>
          <w:szCs w:val="22"/>
          <w:u w:val="single"/>
        </w:rPr>
        <w:t>Exceptions to the certification statement.</w:t>
      </w:r>
    </w:p>
    <w:p w:rsidRPr="00A16AFB" w:rsidR="00D8554E" w:rsidP="009829C3" w:rsidRDefault="00D8554E" w14:paraId="586FCF57" w14:textId="77777777">
      <w:pPr>
        <w:widowControl w:val="0"/>
        <w:autoSpaceDE w:val="0"/>
        <w:autoSpaceDN w:val="0"/>
        <w:adjustRightInd w:val="0"/>
        <w:spacing w:line="240" w:lineRule="exact"/>
        <w:ind w:right="220"/>
        <w:jc w:val="both"/>
        <w:rPr>
          <w:szCs w:val="22"/>
        </w:rPr>
      </w:pPr>
    </w:p>
    <w:p w:rsidR="00643252" w:rsidP="009D1D5F" w:rsidRDefault="00D8554E" w14:paraId="6DE272F1" w14:textId="3F3DA067">
      <w:pPr>
        <w:ind w:firstLine="720"/>
      </w:pPr>
      <w:r w:rsidRPr="00A16AFB">
        <w:rPr>
          <w:szCs w:val="22"/>
        </w:rPr>
        <w:t>There are no exceptions to the certification statement.</w:t>
      </w:r>
    </w:p>
    <w:sectPr w:rsidR="00643252">
      <w:footerReference w:type="default" r:id="rId8"/>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FEC4F" w16cex:dateUtc="2021-07-19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249971" w16cid:durableId="249FEC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A37C8" w14:textId="77777777" w:rsidR="00CE5EFE" w:rsidRDefault="00CE5EFE">
      <w:r>
        <w:separator/>
      </w:r>
    </w:p>
  </w:endnote>
  <w:endnote w:type="continuationSeparator" w:id="0">
    <w:p w14:paraId="7036F68E" w14:textId="77777777" w:rsidR="00CE5EFE" w:rsidRDefault="00CE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270776"/>
      <w:docPartObj>
        <w:docPartGallery w:val="Page Numbers (Bottom of Page)"/>
        <w:docPartUnique/>
      </w:docPartObj>
    </w:sdtPr>
    <w:sdtEndPr>
      <w:rPr>
        <w:noProof/>
      </w:rPr>
    </w:sdtEndPr>
    <w:sdtContent>
      <w:p w14:paraId="70F19450" w14:textId="534B8983" w:rsidR="007750AF" w:rsidRDefault="007750AF">
        <w:pPr>
          <w:pStyle w:val="Footer"/>
          <w:jc w:val="center"/>
        </w:pPr>
        <w:r>
          <w:fldChar w:fldCharType="begin"/>
        </w:r>
        <w:r>
          <w:instrText xml:space="preserve"> PAGE   \* MERGEFORMAT </w:instrText>
        </w:r>
        <w:r>
          <w:fldChar w:fldCharType="separate"/>
        </w:r>
        <w:r w:rsidR="00F76673">
          <w:rPr>
            <w:noProof/>
          </w:rPr>
          <w:t>7</w:t>
        </w:r>
        <w:r>
          <w:rPr>
            <w:noProof/>
          </w:rPr>
          <w:fldChar w:fldCharType="end"/>
        </w:r>
      </w:p>
    </w:sdtContent>
  </w:sdt>
  <w:p w14:paraId="7ED3A517" w14:textId="77777777" w:rsidR="007750AF" w:rsidRDefault="00775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553D2" w14:textId="77777777" w:rsidR="00CE5EFE" w:rsidRDefault="00CE5EFE">
      <w:r>
        <w:separator/>
      </w:r>
    </w:p>
  </w:footnote>
  <w:footnote w:type="continuationSeparator" w:id="0">
    <w:p w14:paraId="348B47DA" w14:textId="77777777" w:rsidR="00CE5EFE" w:rsidRDefault="00CE5EFE">
      <w:r>
        <w:continuationSeparator/>
      </w:r>
    </w:p>
  </w:footnote>
  <w:footnote w:id="1">
    <w:p w14:paraId="1AB20B80" w14:textId="1E60C338" w:rsidR="007750AF" w:rsidRPr="00120B54" w:rsidRDefault="007750AF" w:rsidP="00D9645C">
      <w:pPr>
        <w:pStyle w:val="FootnoteText"/>
      </w:pPr>
      <w:r w:rsidRPr="008B5BD1">
        <w:rPr>
          <w:rStyle w:val="FootnoteReference"/>
        </w:rPr>
        <w:footnoteRef/>
      </w:r>
      <w:r w:rsidRPr="008B5BD1">
        <w:rPr>
          <w:vertAlign w:val="superscript"/>
        </w:rPr>
        <w:t xml:space="preserve"> </w:t>
      </w:r>
      <w:r w:rsidRPr="00120B54">
        <w:t xml:space="preserve">Section 358 of the USA PATRIOT Act added language expanding the scope of the BSA to intelligence or counter-intelligence activities to protect against international terrorism. Section 6101 of </w:t>
      </w:r>
      <w:r>
        <w:t>the AML Act</w:t>
      </w:r>
      <w:r w:rsidRPr="00120B54">
        <w:t xml:space="preserve"> added language further expanding the scope of the BSA but did not disturb these longstanding purposes.  </w:t>
      </w:r>
    </w:p>
  </w:footnote>
  <w:footnote w:id="2">
    <w:p w14:paraId="3B6FDE81" w14:textId="77777777" w:rsidR="007750AF" w:rsidRPr="00120B54" w:rsidRDefault="007750AF" w:rsidP="00D9645C">
      <w:pPr>
        <w:pStyle w:val="FootnoteText"/>
      </w:pPr>
      <w:r w:rsidRPr="008B5BD1">
        <w:rPr>
          <w:rStyle w:val="FootnoteReference"/>
        </w:rPr>
        <w:footnoteRef/>
      </w:r>
      <w:r w:rsidRPr="00120B54">
        <w:t xml:space="preserve"> Treasury Order 180-01 (re-affirmed Jan. 14, 2020). </w:t>
      </w:r>
    </w:p>
  </w:footnote>
  <w:footnote w:id="3">
    <w:p w14:paraId="2791CF16" w14:textId="77777777" w:rsidR="007750AF" w:rsidRPr="00AE4F88" w:rsidRDefault="007750AF" w:rsidP="00D122AC">
      <w:pPr>
        <w:pStyle w:val="FootnoteText"/>
      </w:pPr>
      <w:r w:rsidRPr="00AE4F88">
        <w:rPr>
          <w:rStyle w:val="FootnoteReference"/>
        </w:rPr>
        <w:footnoteRef/>
      </w:r>
      <w:r w:rsidRPr="00AE4F88">
        <w:t xml:space="preserve"> Public Law 91–508 (Oct. 26, 1970), 84 Stat. 1122.</w:t>
      </w:r>
      <w:r>
        <w:t xml:space="preserve"> </w:t>
      </w:r>
    </w:p>
  </w:footnote>
  <w:footnote w:id="4">
    <w:p w14:paraId="1FC24979" w14:textId="77777777" w:rsidR="007750AF" w:rsidRDefault="007750AF" w:rsidP="00D122AC">
      <w:pPr>
        <w:pStyle w:val="FootnoteText"/>
      </w:pPr>
      <w:r>
        <w:rPr>
          <w:rStyle w:val="FootnoteReference"/>
        </w:rPr>
        <w:footnoteRef/>
      </w:r>
      <w:r>
        <w:t xml:space="preserve"> </w:t>
      </w:r>
      <w:r w:rsidRPr="00AE4F88">
        <w:t>31 CFR 1010.311.</w:t>
      </w:r>
    </w:p>
  </w:footnote>
  <w:footnote w:id="5">
    <w:p w14:paraId="7B896F8F" w14:textId="77777777" w:rsidR="007750AF" w:rsidRPr="00AE4F88" w:rsidRDefault="007750AF" w:rsidP="00D122AC">
      <w:pPr>
        <w:pStyle w:val="FootnoteText"/>
      </w:pPr>
      <w:r w:rsidRPr="00AE4F88">
        <w:rPr>
          <w:rStyle w:val="FootnoteReference"/>
        </w:rPr>
        <w:footnoteRef/>
      </w:r>
      <w:r w:rsidRPr="00AE4F88">
        <w:t xml:space="preserve"> Public Law 103–325, Title IV, Section 402 (Sep. 23, 1994), 108 Stat. 2243. These authorities are codified at 31 U.S.C. 5313(d) (mandatory exemptions) and (e) (discretionary exemptions).</w:t>
      </w:r>
    </w:p>
  </w:footnote>
  <w:footnote w:id="6">
    <w:p w14:paraId="33996631" w14:textId="77777777" w:rsidR="007750AF" w:rsidRPr="00AE4F88" w:rsidRDefault="007750AF" w:rsidP="00F95630">
      <w:pPr>
        <w:pStyle w:val="FootnoteText"/>
      </w:pPr>
      <w:r w:rsidRPr="00AE4F88">
        <w:rPr>
          <w:rStyle w:val="FootnoteReference"/>
        </w:rPr>
        <w:footnoteRef/>
      </w:r>
      <w:r w:rsidRPr="00AE4F88">
        <w:t xml:space="preserve"> 31 CFR 1010.315(a). The exemption does not apply when the exempt person is acting as agent for another person who is the beneficial owner of the funds that are the subject of the transaction. 31 CFR 1010.315(f).</w:t>
      </w:r>
    </w:p>
  </w:footnote>
  <w:footnote w:id="7">
    <w:p w14:paraId="1EF23D05" w14:textId="77777777" w:rsidR="007750AF" w:rsidRPr="00B7525E" w:rsidRDefault="007750AF" w:rsidP="00F95630">
      <w:pPr>
        <w:pStyle w:val="FootnoteText"/>
      </w:pPr>
      <w:r w:rsidRPr="00B7525E">
        <w:rPr>
          <w:rStyle w:val="FootnoteReference"/>
        </w:rPr>
        <w:footnoteRef/>
      </w:r>
      <w:r w:rsidRPr="00B7525E">
        <w:t xml:space="preserve"> In certain circumstances, a limited exemption from the two month transaction account holding requirement may apply to non-listed business and payroll customers pursuant to the special rule at 31 CFR 1010.315(c)(2)(ii).</w:t>
      </w:r>
    </w:p>
  </w:footnote>
  <w:footnote w:id="8">
    <w:p w14:paraId="4E1BACC7" w14:textId="77777777" w:rsidR="007750AF" w:rsidRPr="00B7525E" w:rsidRDefault="007750AF" w:rsidP="00F95630">
      <w:pPr>
        <w:pStyle w:val="FootnoteText"/>
      </w:pPr>
      <w:r>
        <w:rPr>
          <w:rStyle w:val="FootnoteReference"/>
        </w:rPr>
        <w:footnoteRef/>
      </w:r>
      <w:r>
        <w:t xml:space="preserve"> </w:t>
      </w:r>
      <w:r w:rsidRPr="00B7525E">
        <w:t>This is referred to in the regulations as ‘‘FinCEN Form 110.’’ FinCEN has referred to its forms as ‘‘reports’’ since moving to electronic filing.</w:t>
      </w:r>
    </w:p>
  </w:footnote>
  <w:footnote w:id="9">
    <w:p w14:paraId="16C01E78" w14:textId="77777777" w:rsidR="007750AF" w:rsidRDefault="007750AF" w:rsidP="00F95630">
      <w:pPr>
        <w:pStyle w:val="FootnoteText"/>
      </w:pPr>
      <w:r>
        <w:rPr>
          <w:rStyle w:val="FootnoteReference"/>
        </w:rPr>
        <w:footnoteRef/>
      </w:r>
      <w:r>
        <w:t xml:space="preserve"> </w:t>
      </w:r>
      <w:r w:rsidRPr="00B7525E">
        <w:t>31 CFR 1020.315(c)(1) and (e)(6).</w:t>
      </w:r>
    </w:p>
  </w:footnote>
  <w:footnote w:id="10">
    <w:p w14:paraId="635DA2B4" w14:textId="77777777" w:rsidR="007750AF" w:rsidRDefault="007750AF" w:rsidP="00F95630">
      <w:pPr>
        <w:pStyle w:val="FootnoteText"/>
      </w:pPr>
      <w:r>
        <w:rPr>
          <w:rStyle w:val="FootnoteReference"/>
        </w:rPr>
        <w:footnoteRef/>
      </w:r>
      <w:r>
        <w:t xml:space="preserve"> </w:t>
      </w:r>
      <w:r w:rsidRPr="000F01CA">
        <w:t>31 CFR 1020.315(c)(2)(A) and (B).</w:t>
      </w:r>
    </w:p>
  </w:footnote>
  <w:footnote w:id="11">
    <w:p w14:paraId="469F9949" w14:textId="659F354B" w:rsidR="007750AF" w:rsidRDefault="007750AF" w:rsidP="00414797">
      <w:pPr>
        <w:pStyle w:val="FootnoteText"/>
      </w:pPr>
      <w:r>
        <w:rPr>
          <w:rStyle w:val="FootnoteReference"/>
        </w:rPr>
        <w:footnoteRef/>
      </w:r>
      <w:r>
        <w:t xml:space="preserve"> 86 FR 6964 at </w:t>
      </w:r>
      <w:hyperlink r:id="rId1" w:history="1">
        <w:r w:rsidRPr="00112B9A">
          <w:rPr>
            <w:rStyle w:val="Hyperlink"/>
          </w:rPr>
          <w:t>https://www.federalregister.gov/documents/2021/01/25/2021-01451/agency-information-collection-activities-proposed-renewal-comment-request-renewal-without-change-of</w:t>
        </w:r>
      </w:hyperlink>
      <w:r>
        <w:t xml:space="preserve">. </w:t>
      </w:r>
    </w:p>
  </w:footnote>
  <w:footnote w:id="12">
    <w:p w14:paraId="632FA2D7" w14:textId="77777777" w:rsidR="00C80BC9" w:rsidRDefault="00C80BC9" w:rsidP="00C80BC9">
      <w:pPr>
        <w:pStyle w:val="HTMLPreformatted"/>
        <w:shd w:val="clear" w:color="auto" w:fill="FFFFFF"/>
      </w:pPr>
      <w:r w:rsidRPr="001F7618">
        <w:rPr>
          <w:rStyle w:val="FootnoteReference"/>
          <w:rFonts w:ascii="Times New Roman" w:hAnsi="Times New Roman" w:cs="Times New Roman"/>
        </w:rPr>
        <w:footnoteRef/>
      </w:r>
      <w:r>
        <w:t xml:space="preserve"> </w:t>
      </w:r>
      <w:r w:rsidRPr="001F7618">
        <w:rPr>
          <w:rFonts w:ascii="Times New Roman" w:eastAsia="Courier New" w:hAnsi="Times New Roman"/>
          <w:lang w:val="x-none" w:eastAsia="x-none"/>
        </w:rPr>
        <w:t>See</w:t>
      </w:r>
      <w:r w:rsidRPr="001F7618">
        <w:rPr>
          <w:rFonts w:ascii="Times New Roman" w:eastAsia="Courier New" w:hAnsi="Times New Roman"/>
          <w:lang w:eastAsia="x-none"/>
        </w:rPr>
        <w:t xml:space="preserve"> </w:t>
      </w:r>
      <w:r w:rsidRPr="001F7618">
        <w:rPr>
          <w:rFonts w:ascii="Times New Roman" w:eastAsia="Courier New" w:hAnsi="Times New Roman"/>
          <w:color w:val="000000"/>
          <w:lang w:val="x-none" w:eastAsia="x-none"/>
        </w:rPr>
        <w:t>FinCEN's System of Records Notice for</w:t>
      </w:r>
      <w:r w:rsidRPr="001F7618">
        <w:rPr>
          <w:rFonts w:ascii="Times New Roman" w:eastAsia="Courier New" w:hAnsi="Times New Roman"/>
          <w:color w:val="000000"/>
          <w:lang w:eastAsia="x-none"/>
        </w:rPr>
        <w:t xml:space="preserve"> the</w:t>
      </w:r>
      <w:r w:rsidRPr="001F7618">
        <w:rPr>
          <w:rFonts w:ascii="Times New Roman" w:eastAsia="Courier New" w:hAnsi="Times New Roman"/>
          <w:color w:val="000000"/>
          <w:lang w:val="x-none" w:eastAsia="x-none"/>
        </w:rPr>
        <w:t xml:space="preserve"> BSA System at </w:t>
      </w:r>
      <w:r w:rsidRPr="001F7618">
        <w:rPr>
          <w:rFonts w:ascii="Times New Roman" w:eastAsia="Courier New" w:hAnsi="Times New Roman"/>
          <w:lang w:eastAsia="x-none"/>
        </w:rPr>
        <w:t>79 FR 20974, April 14, 2014.</w:t>
      </w:r>
      <w:hyperlink r:id="rId2" w:history="1">
        <w:r w:rsidRPr="001F7618">
          <w:rPr>
            <w:rFonts w:ascii="Times New Roman" w:eastAsia="Courier New" w:hAnsi="Times New Roman"/>
            <w:color w:val="0000FF"/>
            <w:u w:val="single"/>
            <w:lang w:val="x-none" w:eastAsia="x-none"/>
          </w:rPr>
          <w:t>https://www.federalregister.gov/documents/2014/04/14/2014-08254/privacy-act-of-1974-as-amended-system-of-records-notice</w:t>
        </w:r>
      </w:hyperlink>
      <w:r w:rsidRPr="001F7618">
        <w:rPr>
          <w:rFonts w:ascii="Times New Roman" w:eastAsia="Courier New" w:hAnsi="Times New Roman"/>
          <w:color w:val="000000"/>
          <w:lang w:eastAsia="x-none"/>
        </w:rPr>
        <w:t xml:space="preserve">. </w:t>
      </w:r>
    </w:p>
  </w:footnote>
  <w:footnote w:id="13">
    <w:p w14:paraId="045DFF5A" w14:textId="4C372A3A" w:rsidR="007750AF" w:rsidRPr="001B6495" w:rsidRDefault="007750AF" w:rsidP="001B6495">
      <w:pPr>
        <w:pStyle w:val="FootnoteText"/>
      </w:pPr>
      <w:r>
        <w:rPr>
          <w:rStyle w:val="FootnoteReference"/>
        </w:rPr>
        <w:footnoteRef/>
      </w:r>
      <w:r>
        <w:t xml:space="preserve"> </w:t>
      </w:r>
      <w:r w:rsidRPr="001B6495">
        <w:t>According to the Federal Deposit Insurance</w:t>
      </w:r>
      <w:r>
        <w:t xml:space="preserve"> </w:t>
      </w:r>
      <w:r w:rsidRPr="001B6495">
        <w:t>Corporation (FDIC) there were 5,103 FDIC-insured</w:t>
      </w:r>
    </w:p>
    <w:p w14:paraId="6ABE710B" w14:textId="1410450D" w:rsidR="007750AF" w:rsidRPr="001B6495" w:rsidRDefault="007750AF" w:rsidP="001B6495">
      <w:pPr>
        <w:pStyle w:val="FootnoteText"/>
      </w:pPr>
      <w:r w:rsidRPr="001B6495">
        <w:t>banks as of March 31, 2020. According to the</w:t>
      </w:r>
      <w:r>
        <w:t xml:space="preserve"> </w:t>
      </w:r>
      <w:r w:rsidRPr="001B6495">
        <w:t>Federal Reserve Board (FRB), there were 203 other</w:t>
      </w:r>
    </w:p>
    <w:p w14:paraId="5007CADA" w14:textId="49B8EBED" w:rsidR="007750AF" w:rsidRPr="001B6495" w:rsidRDefault="007750AF" w:rsidP="001B6495">
      <w:pPr>
        <w:pStyle w:val="FootnoteText"/>
      </w:pPr>
      <w:r w:rsidRPr="001B6495">
        <w:t>entities supervised by the FRB, as of June 16, 2020,</w:t>
      </w:r>
      <w:r>
        <w:t xml:space="preserve"> </w:t>
      </w:r>
      <w:r w:rsidRPr="001B6495">
        <w:t>that fall within the definition of bank (20 Edge Act</w:t>
      </w:r>
    </w:p>
    <w:p w14:paraId="080DFC06" w14:textId="76AF5FC7" w:rsidR="007750AF" w:rsidRPr="001B6495" w:rsidRDefault="007750AF" w:rsidP="001B6495">
      <w:pPr>
        <w:pStyle w:val="FootnoteText"/>
      </w:pPr>
      <w:r w:rsidRPr="001B6495">
        <w:t>institutions, 15 agreement corporations (as defined</w:t>
      </w:r>
      <w:r>
        <w:t xml:space="preserve"> </w:t>
      </w:r>
      <w:r w:rsidRPr="001B6495">
        <w:t>in 12 CFR 28.2), and 168 foreign banking</w:t>
      </w:r>
    </w:p>
    <w:p w14:paraId="1E0A0D40" w14:textId="42AE1397" w:rsidR="007750AF" w:rsidRPr="001B6495" w:rsidRDefault="007750AF" w:rsidP="001B6495">
      <w:pPr>
        <w:pStyle w:val="FootnoteText"/>
      </w:pPr>
      <w:r w:rsidRPr="001B6495">
        <w:t>organizations). According to the National Credit</w:t>
      </w:r>
      <w:r>
        <w:t xml:space="preserve"> </w:t>
      </w:r>
      <w:r w:rsidRPr="001B6495">
        <w:t>Union Administration there were 5,236 federally</w:t>
      </w:r>
    </w:p>
    <w:p w14:paraId="756D2BBB" w14:textId="142130F8" w:rsidR="007750AF" w:rsidRPr="001B6495" w:rsidRDefault="007750AF" w:rsidP="001B6495">
      <w:pPr>
        <w:pStyle w:val="FootnoteText"/>
      </w:pPr>
      <w:r w:rsidRPr="001B6495">
        <w:t>regulated credit unions as of December 31, 2019).</w:t>
      </w:r>
      <w:r>
        <w:t xml:space="preserve"> </w:t>
      </w:r>
      <w:r w:rsidRPr="001B6495">
        <w:t>Approximately 297 state-chartered non-depository</w:t>
      </w:r>
    </w:p>
    <w:p w14:paraId="6FAF3FD5" w14:textId="35607740" w:rsidR="007750AF" w:rsidRPr="001B6495" w:rsidRDefault="007750AF" w:rsidP="001B6495">
      <w:pPr>
        <w:pStyle w:val="FootnoteText"/>
      </w:pPr>
      <w:r w:rsidRPr="001B6495">
        <w:t>trust companies, 228 non-federally insured credit</w:t>
      </w:r>
      <w:r>
        <w:t xml:space="preserve"> </w:t>
      </w:r>
      <w:r w:rsidRPr="001B6495">
        <w:t>unions, 12 non-federally insured state-chartered</w:t>
      </w:r>
    </w:p>
    <w:p w14:paraId="38C837FF" w14:textId="51DCACC5" w:rsidR="007750AF" w:rsidRPr="001B6495" w:rsidRDefault="007750AF" w:rsidP="001B6495">
      <w:pPr>
        <w:pStyle w:val="FootnoteText"/>
      </w:pPr>
      <w:r w:rsidRPr="001B6495">
        <w:t>banks and savings and loan or building and loan</w:t>
      </w:r>
      <w:r>
        <w:t xml:space="preserve"> </w:t>
      </w:r>
      <w:r w:rsidRPr="001B6495">
        <w:t>associations, 1 private bank, 29 international</w:t>
      </w:r>
    </w:p>
    <w:p w14:paraId="7F8C7C7B" w14:textId="03111911" w:rsidR="007750AF" w:rsidRPr="001B6495" w:rsidRDefault="007750AF" w:rsidP="001B6495">
      <w:pPr>
        <w:pStyle w:val="FootnoteText"/>
      </w:pPr>
      <w:r w:rsidRPr="001B6495">
        <w:t>banking entities, and 52 international financial</w:t>
      </w:r>
      <w:r>
        <w:t xml:space="preserve"> </w:t>
      </w:r>
      <w:r w:rsidRPr="001B6495">
        <w:t>entities, all of which are required to implement</w:t>
      </w:r>
    </w:p>
    <w:p w14:paraId="17A9767A" w14:textId="7F1FDA24" w:rsidR="007750AF" w:rsidRDefault="007750AF" w:rsidP="001B6495">
      <w:pPr>
        <w:pStyle w:val="FootnoteText"/>
      </w:pPr>
      <w:r w:rsidRPr="001B6495">
        <w:t>written AML programs as a result of a final rule</w:t>
      </w:r>
      <w:r>
        <w:t xml:space="preserve"> </w:t>
      </w:r>
      <w:r w:rsidRPr="001B6495">
        <w:t>issued on September 15, 2020 (85 FR 57129), are</w:t>
      </w:r>
      <w:r w:rsidR="006D58D4">
        <w:t xml:space="preserve"> </w:t>
      </w:r>
      <w:r w:rsidRPr="001B6495">
        <w:t>also required to keep the records described in this</w:t>
      </w:r>
      <w:r>
        <w:t xml:space="preserve"> </w:t>
      </w:r>
      <w:r w:rsidR="00903B04">
        <w:t>supporting statement</w:t>
      </w:r>
      <w:r w:rsidR="00CC7BCE">
        <w:t>, if they choose to file DOEP Reports</w:t>
      </w:r>
      <w:r w:rsidRPr="001B6495">
        <w:t>.</w:t>
      </w:r>
    </w:p>
  </w:footnote>
  <w:footnote w:id="14">
    <w:p w14:paraId="1F1A9353" w14:textId="268495C5" w:rsidR="00DF227D" w:rsidRPr="00583B56" w:rsidRDefault="00DF227D" w:rsidP="00DF227D">
      <w:pPr>
        <w:pStyle w:val="FootnoteText"/>
      </w:pPr>
      <w:r w:rsidRPr="00583B56">
        <w:rPr>
          <w:rStyle w:val="FootnoteReference"/>
        </w:rPr>
        <w:footnoteRef/>
      </w:r>
      <w:r w:rsidRPr="00583B56">
        <w:t xml:space="preserve"> In the past PRA burden analysis, FinCEN estimated that the traditional burden to complete and file the DOEP Report for banks was 1 hour (45 minutes for completion of the form and 15 minutes for recordkeeping).  (18,141 x .75 minutes = 13,605.75 burden hours for completion of the report) + (18,141 x .25 minutes = 4,535.25 burden hours for maintenance). The total hourly burden is 18,141 hours (13,605.75 + 4,535.25). </w:t>
      </w:r>
      <w:r w:rsidR="00FA73E2">
        <w:t xml:space="preserve">In future renewals of this OMB control number </w:t>
      </w:r>
      <w:r w:rsidRPr="00583B56">
        <w:t xml:space="preserve">this estimate will be different because </w:t>
      </w:r>
      <w:r w:rsidR="00FA73E2">
        <w:t xml:space="preserve">FinCEN intends to </w:t>
      </w:r>
      <w:r w:rsidRPr="00583B56">
        <w:t xml:space="preserve">account for the initial eligibility determination, filling out and filing the report, annual review, maintenance of records, maintenance of the monitoring system, and monitoring accounts to report suspicious transactions. </w:t>
      </w:r>
    </w:p>
  </w:footnote>
  <w:footnote w:id="15">
    <w:p w14:paraId="16A83E2E" w14:textId="52456FE7" w:rsidR="007750AF" w:rsidRDefault="007750AF">
      <w:pPr>
        <w:pStyle w:val="FootnoteText"/>
      </w:pPr>
      <w:r w:rsidRPr="00583B56">
        <w:rPr>
          <w:rStyle w:val="FootnoteReference"/>
        </w:rPr>
        <w:footnoteRef/>
      </w:r>
      <w:r w:rsidRPr="00583B56">
        <w:t xml:space="preserve"> The U.S. Bureau of Labor Statistics, Occupational Employment Statistics</w:t>
      </w:r>
      <w:r w:rsidRPr="00B90564">
        <w:t xml:space="preserve">-National, May 2019, available at </w:t>
      </w:r>
      <w:hyperlink r:id="rId3" w:history="1">
        <w:r w:rsidRPr="00B90564">
          <w:rPr>
            <w:rStyle w:val="Hyperlink"/>
          </w:rPr>
          <w:t>https://www.bls.gov/oes/tables.htm</w:t>
        </w:r>
      </w:hyperlink>
      <w:r w:rsidRPr="00B90564">
        <w:rPr>
          <w:u w:val="single"/>
        </w:rPr>
        <w:t>.</w:t>
      </w:r>
      <w:r w:rsidRPr="00B90564">
        <w:t xml:space="preserve"> The most recent data from the BLS corresponds to May 2019. For the benefits component of total compensation, see U.S. Bureau of Labor Statistics, Employer’s Cost per Employee Compensation as of December 2019, available at </w:t>
      </w:r>
      <w:hyperlink r:id="rId4" w:history="1">
        <w:r w:rsidRPr="00B90564">
          <w:rPr>
            <w:rStyle w:val="Hyperlink"/>
          </w:rPr>
          <w:t>https://www.bls.gov/news.release/ecec.nr0.htm</w:t>
        </w:r>
      </w:hyperlink>
      <w:r w:rsidRPr="00B90564">
        <w:t>. The ratio between benefits and wages for financial activities is $15.95 (hourly benefits)/$32.05 (hourly wages) = 0.50. The benefit factor is 1 plus the benefit/wages ratio, or 1.50. Multiplying each hourly wage by the benefit factor produces the fully-loaded hourly wage per position.</w:t>
      </w:r>
    </w:p>
  </w:footnote>
  <w:footnote w:id="16">
    <w:p w14:paraId="1FE6E881" w14:textId="33C74E09" w:rsidR="005E120A" w:rsidRDefault="005E120A" w:rsidP="005E120A">
      <w:pPr>
        <w:pStyle w:val="FootnoteText"/>
      </w:pPr>
      <w:r w:rsidRPr="00D750EC">
        <w:rPr>
          <w:rStyle w:val="FootnoteReference"/>
        </w:rPr>
        <w:footnoteRef/>
      </w:r>
      <w:r w:rsidRPr="00D750EC">
        <w:t xml:space="preserve"> By “in general,” FinCEN means without regard to outliers. By “on average,” FinCEN means the mean of the distribution of each subset of the population.</w:t>
      </w:r>
      <w:r>
        <w:t xml:space="preserve"> </w:t>
      </w:r>
    </w:p>
  </w:footnote>
  <w:footnote w:id="17">
    <w:p w14:paraId="392B91FB" w14:textId="1F96612E" w:rsidR="007750AF" w:rsidRPr="00403FD1" w:rsidRDefault="007750AF" w:rsidP="00394FF7">
      <w:pPr>
        <w:pStyle w:val="FootnoteText"/>
      </w:pPr>
      <w:r>
        <w:rPr>
          <w:rStyle w:val="FootnoteReference"/>
        </w:rPr>
        <w:footnoteRef/>
      </w:r>
      <w:r>
        <w:t xml:space="preserve"> </w:t>
      </w:r>
      <w:r w:rsidRPr="008A536D">
        <w:rPr>
          <w:color w:val="000000" w:themeColor="text1"/>
        </w:rPr>
        <w:t xml:space="preserve">The estimated cost per electronic response </w:t>
      </w:r>
      <w:r w:rsidRPr="008A536D">
        <w:t>is calculated as part of an annual report FinCEN creates and provides to the Department of the Treasury and OMB, entitled the Cost per BSA Filing Transaction.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lowerLetter"/>
      <w:lvlText w:val="(%1)"/>
      <w:lvlJc w:val="left"/>
      <w:pPr>
        <w:ind w:left="412" w:hanging="301"/>
      </w:pPr>
      <w:rPr>
        <w:rFonts w:ascii="Arial" w:hAnsi="Arial" w:cs="Arial"/>
        <w:b w:val="0"/>
        <w:bCs w:val="0"/>
        <w:w w:val="100"/>
        <w:sz w:val="20"/>
        <w:szCs w:val="20"/>
      </w:rPr>
    </w:lvl>
    <w:lvl w:ilvl="1">
      <w:numFmt w:val="bullet"/>
      <w:lvlText w:val="•"/>
      <w:lvlJc w:val="left"/>
      <w:pPr>
        <w:ind w:left="1404" w:hanging="301"/>
      </w:pPr>
    </w:lvl>
    <w:lvl w:ilvl="2">
      <w:numFmt w:val="bullet"/>
      <w:lvlText w:val="•"/>
      <w:lvlJc w:val="left"/>
      <w:pPr>
        <w:ind w:left="2388" w:hanging="301"/>
      </w:pPr>
    </w:lvl>
    <w:lvl w:ilvl="3">
      <w:numFmt w:val="bullet"/>
      <w:lvlText w:val="•"/>
      <w:lvlJc w:val="left"/>
      <w:pPr>
        <w:ind w:left="3372" w:hanging="301"/>
      </w:pPr>
    </w:lvl>
    <w:lvl w:ilvl="4">
      <w:numFmt w:val="bullet"/>
      <w:lvlText w:val="•"/>
      <w:lvlJc w:val="left"/>
      <w:pPr>
        <w:ind w:left="4356" w:hanging="301"/>
      </w:pPr>
    </w:lvl>
    <w:lvl w:ilvl="5">
      <w:numFmt w:val="bullet"/>
      <w:lvlText w:val="•"/>
      <w:lvlJc w:val="left"/>
      <w:pPr>
        <w:ind w:left="5340" w:hanging="301"/>
      </w:pPr>
    </w:lvl>
    <w:lvl w:ilvl="6">
      <w:numFmt w:val="bullet"/>
      <w:lvlText w:val="•"/>
      <w:lvlJc w:val="left"/>
      <w:pPr>
        <w:ind w:left="6324" w:hanging="301"/>
      </w:pPr>
    </w:lvl>
    <w:lvl w:ilvl="7">
      <w:numFmt w:val="bullet"/>
      <w:lvlText w:val="•"/>
      <w:lvlJc w:val="left"/>
      <w:pPr>
        <w:ind w:left="7308" w:hanging="301"/>
      </w:pPr>
    </w:lvl>
    <w:lvl w:ilvl="8">
      <w:numFmt w:val="bullet"/>
      <w:lvlText w:val="•"/>
      <w:lvlJc w:val="left"/>
      <w:pPr>
        <w:ind w:left="8292" w:hanging="301"/>
      </w:pPr>
    </w:lvl>
  </w:abstractNum>
  <w:abstractNum w:abstractNumId="1" w15:restartNumberingAfterBreak="0">
    <w:nsid w:val="00000403"/>
    <w:multiLevelType w:val="multilevel"/>
    <w:tmpl w:val="00000886"/>
    <w:lvl w:ilvl="0">
      <w:start w:val="4"/>
      <w:numFmt w:val="lowerLetter"/>
      <w:lvlText w:val="(%1)"/>
      <w:lvlJc w:val="left"/>
      <w:pPr>
        <w:ind w:left="413" w:hanging="302"/>
      </w:pPr>
      <w:rPr>
        <w:rFonts w:ascii="Arial" w:hAnsi="Arial" w:cs="Arial"/>
        <w:b w:val="0"/>
        <w:bCs w:val="0"/>
        <w:w w:val="100"/>
        <w:sz w:val="20"/>
        <w:szCs w:val="20"/>
      </w:rPr>
    </w:lvl>
    <w:lvl w:ilvl="1">
      <w:start w:val="1"/>
      <w:numFmt w:val="lowerRoman"/>
      <w:lvlText w:val="(%2)"/>
      <w:lvlJc w:val="left"/>
      <w:pPr>
        <w:ind w:left="732" w:hanging="344"/>
      </w:pPr>
      <w:rPr>
        <w:rFonts w:ascii="Arial" w:hAnsi="Arial" w:cs="Arial"/>
        <w:b w:val="0"/>
        <w:bCs w:val="0"/>
        <w:spacing w:val="-1"/>
        <w:w w:val="100"/>
        <w:sz w:val="20"/>
        <w:szCs w:val="20"/>
      </w:rPr>
    </w:lvl>
    <w:lvl w:ilvl="2">
      <w:numFmt w:val="bullet"/>
      <w:lvlText w:val="•"/>
      <w:lvlJc w:val="left"/>
      <w:pPr>
        <w:ind w:left="1797" w:hanging="344"/>
      </w:pPr>
    </w:lvl>
    <w:lvl w:ilvl="3">
      <w:numFmt w:val="bullet"/>
      <w:lvlText w:val="•"/>
      <w:lvlJc w:val="left"/>
      <w:pPr>
        <w:ind w:left="2855" w:hanging="344"/>
      </w:pPr>
    </w:lvl>
    <w:lvl w:ilvl="4">
      <w:numFmt w:val="bullet"/>
      <w:lvlText w:val="•"/>
      <w:lvlJc w:val="left"/>
      <w:pPr>
        <w:ind w:left="3913" w:hanging="344"/>
      </w:pPr>
    </w:lvl>
    <w:lvl w:ilvl="5">
      <w:numFmt w:val="bullet"/>
      <w:lvlText w:val="•"/>
      <w:lvlJc w:val="left"/>
      <w:pPr>
        <w:ind w:left="4971" w:hanging="344"/>
      </w:pPr>
    </w:lvl>
    <w:lvl w:ilvl="6">
      <w:numFmt w:val="bullet"/>
      <w:lvlText w:val="•"/>
      <w:lvlJc w:val="left"/>
      <w:pPr>
        <w:ind w:left="6028" w:hanging="344"/>
      </w:pPr>
    </w:lvl>
    <w:lvl w:ilvl="7">
      <w:numFmt w:val="bullet"/>
      <w:lvlText w:val="•"/>
      <w:lvlJc w:val="left"/>
      <w:pPr>
        <w:ind w:left="7086" w:hanging="344"/>
      </w:pPr>
    </w:lvl>
    <w:lvl w:ilvl="8">
      <w:numFmt w:val="bullet"/>
      <w:lvlText w:val="•"/>
      <w:lvlJc w:val="left"/>
      <w:pPr>
        <w:ind w:left="8144" w:hanging="344"/>
      </w:pPr>
    </w:lvl>
  </w:abstractNum>
  <w:abstractNum w:abstractNumId="2" w15:restartNumberingAfterBreak="0">
    <w:nsid w:val="00000404"/>
    <w:multiLevelType w:val="multilevel"/>
    <w:tmpl w:val="00000887"/>
    <w:lvl w:ilvl="0">
      <w:start w:val="2"/>
      <w:numFmt w:val="lowerRoman"/>
      <w:lvlText w:val="(%1)"/>
      <w:lvlJc w:val="left"/>
      <w:pPr>
        <w:ind w:left="721" w:hanging="333"/>
      </w:pPr>
      <w:rPr>
        <w:rFonts w:ascii="Arial" w:hAnsi="Arial" w:cs="Arial"/>
        <w:b w:val="0"/>
        <w:bCs w:val="0"/>
        <w:spacing w:val="-1"/>
        <w:w w:val="100"/>
        <w:sz w:val="20"/>
        <w:szCs w:val="20"/>
      </w:rPr>
    </w:lvl>
    <w:lvl w:ilvl="1">
      <w:numFmt w:val="bullet"/>
      <w:lvlText w:val="•"/>
      <w:lvlJc w:val="left"/>
      <w:pPr>
        <w:ind w:left="1674" w:hanging="333"/>
      </w:pPr>
    </w:lvl>
    <w:lvl w:ilvl="2">
      <w:numFmt w:val="bullet"/>
      <w:lvlText w:val="•"/>
      <w:lvlJc w:val="left"/>
      <w:pPr>
        <w:ind w:left="2628" w:hanging="333"/>
      </w:pPr>
    </w:lvl>
    <w:lvl w:ilvl="3">
      <w:numFmt w:val="bullet"/>
      <w:lvlText w:val="•"/>
      <w:lvlJc w:val="left"/>
      <w:pPr>
        <w:ind w:left="3582" w:hanging="333"/>
      </w:pPr>
    </w:lvl>
    <w:lvl w:ilvl="4">
      <w:numFmt w:val="bullet"/>
      <w:lvlText w:val="•"/>
      <w:lvlJc w:val="left"/>
      <w:pPr>
        <w:ind w:left="4536" w:hanging="333"/>
      </w:pPr>
    </w:lvl>
    <w:lvl w:ilvl="5">
      <w:numFmt w:val="bullet"/>
      <w:lvlText w:val="•"/>
      <w:lvlJc w:val="left"/>
      <w:pPr>
        <w:ind w:left="5490" w:hanging="333"/>
      </w:pPr>
    </w:lvl>
    <w:lvl w:ilvl="6">
      <w:numFmt w:val="bullet"/>
      <w:lvlText w:val="•"/>
      <w:lvlJc w:val="left"/>
      <w:pPr>
        <w:ind w:left="6444" w:hanging="333"/>
      </w:pPr>
    </w:lvl>
    <w:lvl w:ilvl="7">
      <w:numFmt w:val="bullet"/>
      <w:lvlText w:val="•"/>
      <w:lvlJc w:val="left"/>
      <w:pPr>
        <w:ind w:left="7398" w:hanging="333"/>
      </w:pPr>
    </w:lvl>
    <w:lvl w:ilvl="8">
      <w:numFmt w:val="bullet"/>
      <w:lvlText w:val="•"/>
      <w:lvlJc w:val="left"/>
      <w:pPr>
        <w:ind w:left="8352" w:hanging="333"/>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s-AR" w:vendorID="64" w:dllVersion="6" w:nlCheck="1" w:checkStyle="0"/>
  <w:activeWritingStyle w:appName="MSWord" w:lang="en-US" w:vendorID="64" w:dllVersion="0" w:nlCheck="1" w:checkStyle="0"/>
  <w:activeWritingStyle w:appName="MSWord" w:lang="en-GB" w:vendorID="64" w:dllVersion="0" w:nlCheck="1" w:checkStyle="0"/>
  <w:activeWritingStyle w:appName="MSWord" w:lang="es-AR" w:vendorID="64" w:dllVersion="0" w:nlCheck="1" w:checkStyle="0"/>
  <w:activeWritingStyle w:appName="MSWord" w:lang="en-US" w:vendorID="64" w:dllVersion="131078" w:nlCheck="1" w:checkStyle="1"/>
  <w:activeWritingStyle w:appName="MSWord" w:lang="es-AR"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A1838"/>
    <w:rsid w:val="00002504"/>
    <w:rsid w:val="000046AB"/>
    <w:rsid w:val="000053C2"/>
    <w:rsid w:val="00006B4C"/>
    <w:rsid w:val="0000789D"/>
    <w:rsid w:val="00012EFF"/>
    <w:rsid w:val="00015AE3"/>
    <w:rsid w:val="000300DC"/>
    <w:rsid w:val="00033554"/>
    <w:rsid w:val="000377C7"/>
    <w:rsid w:val="000434A7"/>
    <w:rsid w:val="00045ECF"/>
    <w:rsid w:val="00047959"/>
    <w:rsid w:val="00053A47"/>
    <w:rsid w:val="00055942"/>
    <w:rsid w:val="000575B6"/>
    <w:rsid w:val="00060110"/>
    <w:rsid w:val="0007036C"/>
    <w:rsid w:val="0007127E"/>
    <w:rsid w:val="00073267"/>
    <w:rsid w:val="00073D6C"/>
    <w:rsid w:val="00077DB6"/>
    <w:rsid w:val="00080748"/>
    <w:rsid w:val="00081EE2"/>
    <w:rsid w:val="000821DE"/>
    <w:rsid w:val="00083C2F"/>
    <w:rsid w:val="00083C7B"/>
    <w:rsid w:val="00085C49"/>
    <w:rsid w:val="00097749"/>
    <w:rsid w:val="000A1838"/>
    <w:rsid w:val="000B126D"/>
    <w:rsid w:val="000B513E"/>
    <w:rsid w:val="000B5DD0"/>
    <w:rsid w:val="000D2B64"/>
    <w:rsid w:val="000D31D0"/>
    <w:rsid w:val="000D6DE3"/>
    <w:rsid w:val="000E0A10"/>
    <w:rsid w:val="000E1332"/>
    <w:rsid w:val="000E2C00"/>
    <w:rsid w:val="000E5EFC"/>
    <w:rsid w:val="000F0E89"/>
    <w:rsid w:val="00100905"/>
    <w:rsid w:val="00100D77"/>
    <w:rsid w:val="00100FD3"/>
    <w:rsid w:val="00104F2C"/>
    <w:rsid w:val="0010722B"/>
    <w:rsid w:val="00110493"/>
    <w:rsid w:val="00114579"/>
    <w:rsid w:val="00114F02"/>
    <w:rsid w:val="001168CE"/>
    <w:rsid w:val="00117650"/>
    <w:rsid w:val="00120A4D"/>
    <w:rsid w:val="001230A6"/>
    <w:rsid w:val="00123CA3"/>
    <w:rsid w:val="00125470"/>
    <w:rsid w:val="00125BE6"/>
    <w:rsid w:val="00127FAF"/>
    <w:rsid w:val="001352A8"/>
    <w:rsid w:val="00136C99"/>
    <w:rsid w:val="00136E39"/>
    <w:rsid w:val="0013772F"/>
    <w:rsid w:val="001406A8"/>
    <w:rsid w:val="00140F5C"/>
    <w:rsid w:val="001423FB"/>
    <w:rsid w:val="00147553"/>
    <w:rsid w:val="001517C2"/>
    <w:rsid w:val="001533D5"/>
    <w:rsid w:val="00154790"/>
    <w:rsid w:val="00155EC8"/>
    <w:rsid w:val="0015749B"/>
    <w:rsid w:val="00160621"/>
    <w:rsid w:val="00161621"/>
    <w:rsid w:val="001623E4"/>
    <w:rsid w:val="00170F67"/>
    <w:rsid w:val="0017516A"/>
    <w:rsid w:val="001801A2"/>
    <w:rsid w:val="00181256"/>
    <w:rsid w:val="00184BE7"/>
    <w:rsid w:val="0018713B"/>
    <w:rsid w:val="001A01B1"/>
    <w:rsid w:val="001A0F9A"/>
    <w:rsid w:val="001A271C"/>
    <w:rsid w:val="001A607A"/>
    <w:rsid w:val="001B0BFD"/>
    <w:rsid w:val="001B1740"/>
    <w:rsid w:val="001B4884"/>
    <w:rsid w:val="001B6495"/>
    <w:rsid w:val="001B7CC4"/>
    <w:rsid w:val="001C5B9B"/>
    <w:rsid w:val="001D4496"/>
    <w:rsid w:val="001D4B02"/>
    <w:rsid w:val="001D647A"/>
    <w:rsid w:val="001F4036"/>
    <w:rsid w:val="001F6A7C"/>
    <w:rsid w:val="0020076C"/>
    <w:rsid w:val="002015CC"/>
    <w:rsid w:val="0020343E"/>
    <w:rsid w:val="00211F04"/>
    <w:rsid w:val="002125F2"/>
    <w:rsid w:val="00212D01"/>
    <w:rsid w:val="00213F40"/>
    <w:rsid w:val="002205E0"/>
    <w:rsid w:val="00222771"/>
    <w:rsid w:val="002248E9"/>
    <w:rsid w:val="00226AF1"/>
    <w:rsid w:val="00240765"/>
    <w:rsid w:val="00241BD1"/>
    <w:rsid w:val="00242A50"/>
    <w:rsid w:val="0024739E"/>
    <w:rsid w:val="00250B4A"/>
    <w:rsid w:val="00256988"/>
    <w:rsid w:val="002646FA"/>
    <w:rsid w:val="00274354"/>
    <w:rsid w:val="0028556F"/>
    <w:rsid w:val="00293155"/>
    <w:rsid w:val="002A20A2"/>
    <w:rsid w:val="002A271A"/>
    <w:rsid w:val="002A446B"/>
    <w:rsid w:val="002A4A6F"/>
    <w:rsid w:val="002A6A00"/>
    <w:rsid w:val="002A7D1B"/>
    <w:rsid w:val="002B198A"/>
    <w:rsid w:val="002C2BFB"/>
    <w:rsid w:val="002C3647"/>
    <w:rsid w:val="002C658C"/>
    <w:rsid w:val="002E72EC"/>
    <w:rsid w:val="0030221B"/>
    <w:rsid w:val="00302EAE"/>
    <w:rsid w:val="00306F07"/>
    <w:rsid w:val="00307BBF"/>
    <w:rsid w:val="00307E1F"/>
    <w:rsid w:val="00314E8B"/>
    <w:rsid w:val="00324A84"/>
    <w:rsid w:val="00325298"/>
    <w:rsid w:val="0032568B"/>
    <w:rsid w:val="00334808"/>
    <w:rsid w:val="003359D8"/>
    <w:rsid w:val="00335FA8"/>
    <w:rsid w:val="00336586"/>
    <w:rsid w:val="003408A6"/>
    <w:rsid w:val="00340D0E"/>
    <w:rsid w:val="00353A24"/>
    <w:rsid w:val="00354599"/>
    <w:rsid w:val="0037370B"/>
    <w:rsid w:val="00381A59"/>
    <w:rsid w:val="00392AE3"/>
    <w:rsid w:val="00392EA3"/>
    <w:rsid w:val="00394327"/>
    <w:rsid w:val="00394FF7"/>
    <w:rsid w:val="00395D42"/>
    <w:rsid w:val="003A525C"/>
    <w:rsid w:val="003A7D55"/>
    <w:rsid w:val="003B53D6"/>
    <w:rsid w:val="003C1A61"/>
    <w:rsid w:val="003C3D66"/>
    <w:rsid w:val="003C5B92"/>
    <w:rsid w:val="003D0EAC"/>
    <w:rsid w:val="003D54B7"/>
    <w:rsid w:val="003D5A80"/>
    <w:rsid w:val="003E1728"/>
    <w:rsid w:val="003E69DC"/>
    <w:rsid w:val="003E7BF2"/>
    <w:rsid w:val="003F25C8"/>
    <w:rsid w:val="003F54D0"/>
    <w:rsid w:val="003F5AA4"/>
    <w:rsid w:val="00407A8D"/>
    <w:rsid w:val="00410409"/>
    <w:rsid w:val="00412FE3"/>
    <w:rsid w:val="00414797"/>
    <w:rsid w:val="00415C3E"/>
    <w:rsid w:val="00417F2A"/>
    <w:rsid w:val="00422AC0"/>
    <w:rsid w:val="0042337C"/>
    <w:rsid w:val="0042486C"/>
    <w:rsid w:val="004277FD"/>
    <w:rsid w:val="00435364"/>
    <w:rsid w:val="0043638D"/>
    <w:rsid w:val="004423A6"/>
    <w:rsid w:val="004459B3"/>
    <w:rsid w:val="00446329"/>
    <w:rsid w:val="00450F3E"/>
    <w:rsid w:val="00452B2C"/>
    <w:rsid w:val="00456E96"/>
    <w:rsid w:val="00461D10"/>
    <w:rsid w:val="00461F7C"/>
    <w:rsid w:val="00464257"/>
    <w:rsid w:val="004811B1"/>
    <w:rsid w:val="00482709"/>
    <w:rsid w:val="004827E5"/>
    <w:rsid w:val="004841EC"/>
    <w:rsid w:val="00485FF0"/>
    <w:rsid w:val="00491091"/>
    <w:rsid w:val="00492399"/>
    <w:rsid w:val="0049415C"/>
    <w:rsid w:val="00496D32"/>
    <w:rsid w:val="004975D0"/>
    <w:rsid w:val="004A4EB5"/>
    <w:rsid w:val="004B32BE"/>
    <w:rsid w:val="004B373F"/>
    <w:rsid w:val="004B4B43"/>
    <w:rsid w:val="004B4B68"/>
    <w:rsid w:val="004C2D27"/>
    <w:rsid w:val="004C4791"/>
    <w:rsid w:val="004C4B62"/>
    <w:rsid w:val="004C7594"/>
    <w:rsid w:val="004D15F4"/>
    <w:rsid w:val="004D2C40"/>
    <w:rsid w:val="004D66F6"/>
    <w:rsid w:val="004E042A"/>
    <w:rsid w:val="004E5C06"/>
    <w:rsid w:val="004E7AA2"/>
    <w:rsid w:val="004F3B43"/>
    <w:rsid w:val="004F7737"/>
    <w:rsid w:val="004F77C1"/>
    <w:rsid w:val="005014FE"/>
    <w:rsid w:val="00501DC2"/>
    <w:rsid w:val="0050501F"/>
    <w:rsid w:val="0050625B"/>
    <w:rsid w:val="00507566"/>
    <w:rsid w:val="005164C2"/>
    <w:rsid w:val="0051798E"/>
    <w:rsid w:val="00527A6E"/>
    <w:rsid w:val="0053693B"/>
    <w:rsid w:val="00544A40"/>
    <w:rsid w:val="00545D32"/>
    <w:rsid w:val="0055123D"/>
    <w:rsid w:val="00551A6C"/>
    <w:rsid w:val="00553D43"/>
    <w:rsid w:val="00554F9B"/>
    <w:rsid w:val="005609B3"/>
    <w:rsid w:val="00562228"/>
    <w:rsid w:val="00563FE6"/>
    <w:rsid w:val="0056442E"/>
    <w:rsid w:val="00567616"/>
    <w:rsid w:val="00571B1F"/>
    <w:rsid w:val="005721E0"/>
    <w:rsid w:val="00572D22"/>
    <w:rsid w:val="005778A3"/>
    <w:rsid w:val="005815DA"/>
    <w:rsid w:val="00583B56"/>
    <w:rsid w:val="00590FF8"/>
    <w:rsid w:val="005923DE"/>
    <w:rsid w:val="00592436"/>
    <w:rsid w:val="00592B1D"/>
    <w:rsid w:val="00594904"/>
    <w:rsid w:val="005A7DEE"/>
    <w:rsid w:val="005B2B77"/>
    <w:rsid w:val="005B617B"/>
    <w:rsid w:val="005C065F"/>
    <w:rsid w:val="005C6114"/>
    <w:rsid w:val="005C62B0"/>
    <w:rsid w:val="005C739E"/>
    <w:rsid w:val="005D0671"/>
    <w:rsid w:val="005D18FC"/>
    <w:rsid w:val="005E120A"/>
    <w:rsid w:val="005E23FA"/>
    <w:rsid w:val="005E2869"/>
    <w:rsid w:val="005E2A5B"/>
    <w:rsid w:val="005E5DA8"/>
    <w:rsid w:val="005F09CC"/>
    <w:rsid w:val="005F57F6"/>
    <w:rsid w:val="00603DE7"/>
    <w:rsid w:val="0060596B"/>
    <w:rsid w:val="0061083D"/>
    <w:rsid w:val="00616FDD"/>
    <w:rsid w:val="00622D68"/>
    <w:rsid w:val="0063375B"/>
    <w:rsid w:val="006356D5"/>
    <w:rsid w:val="006365F6"/>
    <w:rsid w:val="00642110"/>
    <w:rsid w:val="00642760"/>
    <w:rsid w:val="00643252"/>
    <w:rsid w:val="00646D87"/>
    <w:rsid w:val="00655FD2"/>
    <w:rsid w:val="006606CD"/>
    <w:rsid w:val="00670C7F"/>
    <w:rsid w:val="00671888"/>
    <w:rsid w:val="0067540B"/>
    <w:rsid w:val="0067734C"/>
    <w:rsid w:val="00681794"/>
    <w:rsid w:val="00687C34"/>
    <w:rsid w:val="00687C47"/>
    <w:rsid w:val="00692CAE"/>
    <w:rsid w:val="006936CB"/>
    <w:rsid w:val="006A48AC"/>
    <w:rsid w:val="006A5B07"/>
    <w:rsid w:val="006A60EB"/>
    <w:rsid w:val="006A63A8"/>
    <w:rsid w:val="006C5EF4"/>
    <w:rsid w:val="006D0A90"/>
    <w:rsid w:val="006D4A97"/>
    <w:rsid w:val="006D58D4"/>
    <w:rsid w:val="006E3962"/>
    <w:rsid w:val="006E609E"/>
    <w:rsid w:val="006E7A9B"/>
    <w:rsid w:val="006F29C7"/>
    <w:rsid w:val="006F3925"/>
    <w:rsid w:val="00700E3B"/>
    <w:rsid w:val="0070383B"/>
    <w:rsid w:val="007070F2"/>
    <w:rsid w:val="0071417F"/>
    <w:rsid w:val="00714FE5"/>
    <w:rsid w:val="0071519C"/>
    <w:rsid w:val="00716BE2"/>
    <w:rsid w:val="007257E4"/>
    <w:rsid w:val="00726BA4"/>
    <w:rsid w:val="00734FA7"/>
    <w:rsid w:val="007458BE"/>
    <w:rsid w:val="00746F61"/>
    <w:rsid w:val="007502E7"/>
    <w:rsid w:val="00751E07"/>
    <w:rsid w:val="007534B0"/>
    <w:rsid w:val="00755229"/>
    <w:rsid w:val="00755252"/>
    <w:rsid w:val="00755302"/>
    <w:rsid w:val="00766F62"/>
    <w:rsid w:val="00773249"/>
    <w:rsid w:val="007750AF"/>
    <w:rsid w:val="007764F3"/>
    <w:rsid w:val="007976A1"/>
    <w:rsid w:val="007A28A6"/>
    <w:rsid w:val="007A5948"/>
    <w:rsid w:val="007A6454"/>
    <w:rsid w:val="007B27F1"/>
    <w:rsid w:val="007B3D19"/>
    <w:rsid w:val="007B3EFD"/>
    <w:rsid w:val="007B770B"/>
    <w:rsid w:val="007D3406"/>
    <w:rsid w:val="007D7305"/>
    <w:rsid w:val="007D7E85"/>
    <w:rsid w:val="007E568B"/>
    <w:rsid w:val="007F6DDB"/>
    <w:rsid w:val="007F754A"/>
    <w:rsid w:val="00803ABB"/>
    <w:rsid w:val="00803C63"/>
    <w:rsid w:val="00803FF5"/>
    <w:rsid w:val="00811A5F"/>
    <w:rsid w:val="00816D07"/>
    <w:rsid w:val="008174B5"/>
    <w:rsid w:val="00821391"/>
    <w:rsid w:val="00831EB4"/>
    <w:rsid w:val="00832239"/>
    <w:rsid w:val="0083259B"/>
    <w:rsid w:val="0083337A"/>
    <w:rsid w:val="008342C4"/>
    <w:rsid w:val="008412E7"/>
    <w:rsid w:val="00844128"/>
    <w:rsid w:val="00845225"/>
    <w:rsid w:val="00847B93"/>
    <w:rsid w:val="0085254E"/>
    <w:rsid w:val="00852936"/>
    <w:rsid w:val="0086040B"/>
    <w:rsid w:val="008657F9"/>
    <w:rsid w:val="008722D3"/>
    <w:rsid w:val="008745C3"/>
    <w:rsid w:val="00874CE3"/>
    <w:rsid w:val="00877CBB"/>
    <w:rsid w:val="008807FB"/>
    <w:rsid w:val="0088143A"/>
    <w:rsid w:val="00885FC7"/>
    <w:rsid w:val="008872D8"/>
    <w:rsid w:val="008903AF"/>
    <w:rsid w:val="0089545E"/>
    <w:rsid w:val="008965A2"/>
    <w:rsid w:val="00897FFD"/>
    <w:rsid w:val="008A5BC7"/>
    <w:rsid w:val="008A6F4A"/>
    <w:rsid w:val="008A7CB3"/>
    <w:rsid w:val="008B0EB3"/>
    <w:rsid w:val="008C299E"/>
    <w:rsid w:val="008C3360"/>
    <w:rsid w:val="008C54F0"/>
    <w:rsid w:val="008D36AB"/>
    <w:rsid w:val="008D5A03"/>
    <w:rsid w:val="008D785C"/>
    <w:rsid w:val="008E0229"/>
    <w:rsid w:val="008E323C"/>
    <w:rsid w:val="008E721A"/>
    <w:rsid w:val="008F0894"/>
    <w:rsid w:val="008F7673"/>
    <w:rsid w:val="00901485"/>
    <w:rsid w:val="00903B04"/>
    <w:rsid w:val="0090605F"/>
    <w:rsid w:val="00915695"/>
    <w:rsid w:val="009206B1"/>
    <w:rsid w:val="00930573"/>
    <w:rsid w:val="00933877"/>
    <w:rsid w:val="00942AFC"/>
    <w:rsid w:val="00946774"/>
    <w:rsid w:val="00952BEC"/>
    <w:rsid w:val="00961725"/>
    <w:rsid w:val="00961BCF"/>
    <w:rsid w:val="00970915"/>
    <w:rsid w:val="009748B8"/>
    <w:rsid w:val="00975778"/>
    <w:rsid w:val="009821B4"/>
    <w:rsid w:val="009829C3"/>
    <w:rsid w:val="00982B62"/>
    <w:rsid w:val="00983FCE"/>
    <w:rsid w:val="00984FDE"/>
    <w:rsid w:val="0098532F"/>
    <w:rsid w:val="00985453"/>
    <w:rsid w:val="009903B8"/>
    <w:rsid w:val="00990BF5"/>
    <w:rsid w:val="00993F48"/>
    <w:rsid w:val="0099567F"/>
    <w:rsid w:val="00995764"/>
    <w:rsid w:val="00995B77"/>
    <w:rsid w:val="009A0B37"/>
    <w:rsid w:val="009A22A3"/>
    <w:rsid w:val="009A405A"/>
    <w:rsid w:val="009A5F8C"/>
    <w:rsid w:val="009A6C50"/>
    <w:rsid w:val="009B26A9"/>
    <w:rsid w:val="009B5E03"/>
    <w:rsid w:val="009C3005"/>
    <w:rsid w:val="009C4C6C"/>
    <w:rsid w:val="009C6CDB"/>
    <w:rsid w:val="009D1D5F"/>
    <w:rsid w:val="009D4E08"/>
    <w:rsid w:val="009E0F28"/>
    <w:rsid w:val="009E75DB"/>
    <w:rsid w:val="009F04CE"/>
    <w:rsid w:val="009F7312"/>
    <w:rsid w:val="009F7703"/>
    <w:rsid w:val="009F7758"/>
    <w:rsid w:val="00A11208"/>
    <w:rsid w:val="00A1429B"/>
    <w:rsid w:val="00A153C2"/>
    <w:rsid w:val="00A16AFB"/>
    <w:rsid w:val="00A17DAB"/>
    <w:rsid w:val="00A30B6E"/>
    <w:rsid w:val="00A32382"/>
    <w:rsid w:val="00A3749C"/>
    <w:rsid w:val="00A406C0"/>
    <w:rsid w:val="00A509FD"/>
    <w:rsid w:val="00A64806"/>
    <w:rsid w:val="00A6557A"/>
    <w:rsid w:val="00A665E7"/>
    <w:rsid w:val="00A67F9F"/>
    <w:rsid w:val="00A71303"/>
    <w:rsid w:val="00A83301"/>
    <w:rsid w:val="00A87124"/>
    <w:rsid w:val="00A91DFC"/>
    <w:rsid w:val="00A921D0"/>
    <w:rsid w:val="00A939D9"/>
    <w:rsid w:val="00A93AE0"/>
    <w:rsid w:val="00A9710A"/>
    <w:rsid w:val="00AA6051"/>
    <w:rsid w:val="00AA6D89"/>
    <w:rsid w:val="00AB5DDE"/>
    <w:rsid w:val="00AB5E47"/>
    <w:rsid w:val="00AC4543"/>
    <w:rsid w:val="00AC5340"/>
    <w:rsid w:val="00AC6DA4"/>
    <w:rsid w:val="00AC7753"/>
    <w:rsid w:val="00AD1062"/>
    <w:rsid w:val="00AE0CE1"/>
    <w:rsid w:val="00AE6BFA"/>
    <w:rsid w:val="00AE7EE8"/>
    <w:rsid w:val="00AF152A"/>
    <w:rsid w:val="00AF3DAE"/>
    <w:rsid w:val="00AF4B96"/>
    <w:rsid w:val="00B00EA7"/>
    <w:rsid w:val="00B00FFF"/>
    <w:rsid w:val="00B02D80"/>
    <w:rsid w:val="00B032D1"/>
    <w:rsid w:val="00B15D6B"/>
    <w:rsid w:val="00B1626E"/>
    <w:rsid w:val="00B209B2"/>
    <w:rsid w:val="00B21FFF"/>
    <w:rsid w:val="00B371E1"/>
    <w:rsid w:val="00B41559"/>
    <w:rsid w:val="00B42608"/>
    <w:rsid w:val="00B4709E"/>
    <w:rsid w:val="00B50B8D"/>
    <w:rsid w:val="00B50EA2"/>
    <w:rsid w:val="00B512E2"/>
    <w:rsid w:val="00B6644C"/>
    <w:rsid w:val="00B67F2D"/>
    <w:rsid w:val="00B7246F"/>
    <w:rsid w:val="00B739C1"/>
    <w:rsid w:val="00B83216"/>
    <w:rsid w:val="00B90564"/>
    <w:rsid w:val="00B96C39"/>
    <w:rsid w:val="00B96E9D"/>
    <w:rsid w:val="00B970D7"/>
    <w:rsid w:val="00BA144F"/>
    <w:rsid w:val="00BA2C75"/>
    <w:rsid w:val="00BA381A"/>
    <w:rsid w:val="00BA552A"/>
    <w:rsid w:val="00BB0F0A"/>
    <w:rsid w:val="00BB31F6"/>
    <w:rsid w:val="00BB3954"/>
    <w:rsid w:val="00BB6976"/>
    <w:rsid w:val="00BB7C05"/>
    <w:rsid w:val="00BC061C"/>
    <w:rsid w:val="00BC086C"/>
    <w:rsid w:val="00BC127C"/>
    <w:rsid w:val="00BC1675"/>
    <w:rsid w:val="00BC1C24"/>
    <w:rsid w:val="00BC2C11"/>
    <w:rsid w:val="00BC33EF"/>
    <w:rsid w:val="00BC3EEA"/>
    <w:rsid w:val="00BD47AF"/>
    <w:rsid w:val="00BD6354"/>
    <w:rsid w:val="00BF4B59"/>
    <w:rsid w:val="00C0248A"/>
    <w:rsid w:val="00C03111"/>
    <w:rsid w:val="00C0338C"/>
    <w:rsid w:val="00C03484"/>
    <w:rsid w:val="00C05B2A"/>
    <w:rsid w:val="00C07C5C"/>
    <w:rsid w:val="00C111B4"/>
    <w:rsid w:val="00C13E8A"/>
    <w:rsid w:val="00C241A6"/>
    <w:rsid w:val="00C24AA8"/>
    <w:rsid w:val="00C24EF8"/>
    <w:rsid w:val="00C2534D"/>
    <w:rsid w:val="00C339FC"/>
    <w:rsid w:val="00C34A34"/>
    <w:rsid w:val="00C34B95"/>
    <w:rsid w:val="00C400D5"/>
    <w:rsid w:val="00C41175"/>
    <w:rsid w:val="00C4238E"/>
    <w:rsid w:val="00C42394"/>
    <w:rsid w:val="00C43F70"/>
    <w:rsid w:val="00C45315"/>
    <w:rsid w:val="00C45D1A"/>
    <w:rsid w:val="00C5326A"/>
    <w:rsid w:val="00C538B7"/>
    <w:rsid w:val="00C6267A"/>
    <w:rsid w:val="00C633BA"/>
    <w:rsid w:val="00C70EA9"/>
    <w:rsid w:val="00C80BC9"/>
    <w:rsid w:val="00C879E5"/>
    <w:rsid w:val="00C90EF6"/>
    <w:rsid w:val="00C910F4"/>
    <w:rsid w:val="00C92FD2"/>
    <w:rsid w:val="00C9357B"/>
    <w:rsid w:val="00C96B45"/>
    <w:rsid w:val="00C97510"/>
    <w:rsid w:val="00CA04F1"/>
    <w:rsid w:val="00CA11F0"/>
    <w:rsid w:val="00CA1AC7"/>
    <w:rsid w:val="00CA6948"/>
    <w:rsid w:val="00CB237E"/>
    <w:rsid w:val="00CB59D2"/>
    <w:rsid w:val="00CC0D17"/>
    <w:rsid w:val="00CC22E5"/>
    <w:rsid w:val="00CC377C"/>
    <w:rsid w:val="00CC7B8B"/>
    <w:rsid w:val="00CC7BCE"/>
    <w:rsid w:val="00CD7306"/>
    <w:rsid w:val="00CD7498"/>
    <w:rsid w:val="00CE0096"/>
    <w:rsid w:val="00CE1B91"/>
    <w:rsid w:val="00CE3E82"/>
    <w:rsid w:val="00CE5EFE"/>
    <w:rsid w:val="00CF52D5"/>
    <w:rsid w:val="00CF7CFF"/>
    <w:rsid w:val="00D01527"/>
    <w:rsid w:val="00D04CB2"/>
    <w:rsid w:val="00D05303"/>
    <w:rsid w:val="00D06181"/>
    <w:rsid w:val="00D06A32"/>
    <w:rsid w:val="00D06EA5"/>
    <w:rsid w:val="00D122AC"/>
    <w:rsid w:val="00D1485B"/>
    <w:rsid w:val="00D17EF3"/>
    <w:rsid w:val="00D20750"/>
    <w:rsid w:val="00D26691"/>
    <w:rsid w:val="00D2761F"/>
    <w:rsid w:val="00D34104"/>
    <w:rsid w:val="00D34F2E"/>
    <w:rsid w:val="00D3774C"/>
    <w:rsid w:val="00D47FF1"/>
    <w:rsid w:val="00D52D6F"/>
    <w:rsid w:val="00D53ED6"/>
    <w:rsid w:val="00D546A8"/>
    <w:rsid w:val="00D608B9"/>
    <w:rsid w:val="00D60B5B"/>
    <w:rsid w:val="00D6157C"/>
    <w:rsid w:val="00D700D9"/>
    <w:rsid w:val="00D761EF"/>
    <w:rsid w:val="00D77E1D"/>
    <w:rsid w:val="00D844A4"/>
    <w:rsid w:val="00D845E8"/>
    <w:rsid w:val="00D8554E"/>
    <w:rsid w:val="00D87A8B"/>
    <w:rsid w:val="00D90DDF"/>
    <w:rsid w:val="00D95B43"/>
    <w:rsid w:val="00D9645C"/>
    <w:rsid w:val="00DB1137"/>
    <w:rsid w:val="00DB22A3"/>
    <w:rsid w:val="00DB6B70"/>
    <w:rsid w:val="00DC351A"/>
    <w:rsid w:val="00DC6851"/>
    <w:rsid w:val="00DD2C65"/>
    <w:rsid w:val="00DD5DE6"/>
    <w:rsid w:val="00DE120C"/>
    <w:rsid w:val="00DF0F7A"/>
    <w:rsid w:val="00DF2016"/>
    <w:rsid w:val="00DF227D"/>
    <w:rsid w:val="00DF594D"/>
    <w:rsid w:val="00E0252C"/>
    <w:rsid w:val="00E02797"/>
    <w:rsid w:val="00E05BAF"/>
    <w:rsid w:val="00E06083"/>
    <w:rsid w:val="00E13A83"/>
    <w:rsid w:val="00E155B1"/>
    <w:rsid w:val="00E156C7"/>
    <w:rsid w:val="00E23A40"/>
    <w:rsid w:val="00E25824"/>
    <w:rsid w:val="00E35061"/>
    <w:rsid w:val="00E46C31"/>
    <w:rsid w:val="00E52698"/>
    <w:rsid w:val="00E61555"/>
    <w:rsid w:val="00E6449E"/>
    <w:rsid w:val="00E667ED"/>
    <w:rsid w:val="00E667FB"/>
    <w:rsid w:val="00E74816"/>
    <w:rsid w:val="00E76A9F"/>
    <w:rsid w:val="00E8723F"/>
    <w:rsid w:val="00E9072D"/>
    <w:rsid w:val="00E91D80"/>
    <w:rsid w:val="00EA2F26"/>
    <w:rsid w:val="00EA41CE"/>
    <w:rsid w:val="00EB0B5B"/>
    <w:rsid w:val="00EB2CBC"/>
    <w:rsid w:val="00EB6516"/>
    <w:rsid w:val="00EB7764"/>
    <w:rsid w:val="00EC4954"/>
    <w:rsid w:val="00ED0358"/>
    <w:rsid w:val="00ED0685"/>
    <w:rsid w:val="00ED0AB9"/>
    <w:rsid w:val="00ED0BE9"/>
    <w:rsid w:val="00ED21FB"/>
    <w:rsid w:val="00EE1121"/>
    <w:rsid w:val="00EE5400"/>
    <w:rsid w:val="00EF7C39"/>
    <w:rsid w:val="00F02EA6"/>
    <w:rsid w:val="00F03E0D"/>
    <w:rsid w:val="00F1271B"/>
    <w:rsid w:val="00F13112"/>
    <w:rsid w:val="00F2243A"/>
    <w:rsid w:val="00F22B68"/>
    <w:rsid w:val="00F231D7"/>
    <w:rsid w:val="00F326B9"/>
    <w:rsid w:val="00F367FB"/>
    <w:rsid w:val="00F36DD1"/>
    <w:rsid w:val="00F47494"/>
    <w:rsid w:val="00F50EE6"/>
    <w:rsid w:val="00F56074"/>
    <w:rsid w:val="00F6507B"/>
    <w:rsid w:val="00F653B9"/>
    <w:rsid w:val="00F670FC"/>
    <w:rsid w:val="00F6712B"/>
    <w:rsid w:val="00F70029"/>
    <w:rsid w:val="00F70456"/>
    <w:rsid w:val="00F76673"/>
    <w:rsid w:val="00F80F5C"/>
    <w:rsid w:val="00F8126F"/>
    <w:rsid w:val="00F82FD9"/>
    <w:rsid w:val="00F837A8"/>
    <w:rsid w:val="00F84FBD"/>
    <w:rsid w:val="00F913B5"/>
    <w:rsid w:val="00F91C42"/>
    <w:rsid w:val="00F95630"/>
    <w:rsid w:val="00F97FE0"/>
    <w:rsid w:val="00FA20D9"/>
    <w:rsid w:val="00FA668C"/>
    <w:rsid w:val="00FA73E2"/>
    <w:rsid w:val="00FA7C44"/>
    <w:rsid w:val="00FB077C"/>
    <w:rsid w:val="00FB493C"/>
    <w:rsid w:val="00FC195D"/>
    <w:rsid w:val="00FD004B"/>
    <w:rsid w:val="00FD0573"/>
    <w:rsid w:val="00FD49E4"/>
    <w:rsid w:val="00FD4DAC"/>
    <w:rsid w:val="00FF3C88"/>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49157"/>
  <w15:docId w15:val="{83DB78AD-E59F-459B-BD04-7853874D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uiPriority w:val="9"/>
    <w:semiHidden/>
    <w:unhideWhenUsed/>
    <w:qFormat/>
    <w:rsid w:val="00184BE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r,12"/>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character" w:styleId="Hyperlink">
    <w:name w:val="Hyperlink"/>
    <w:rsid w:val="008C299E"/>
    <w:rPr>
      <w:color w:val="0563C1"/>
      <w:u w:val="single"/>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uiPriority w:val="99"/>
    <w:unhideWhenUsed/>
    <w:rsid w:val="003E69DC"/>
    <w:rPr>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uiPriority w:val="99"/>
    <w:rsid w:val="003E69DC"/>
  </w:style>
  <w:style w:type="character" w:styleId="CommentReference">
    <w:name w:val="annotation reference"/>
    <w:uiPriority w:val="99"/>
    <w:unhideWhenUsed/>
    <w:rsid w:val="00A93AE0"/>
    <w:rPr>
      <w:sz w:val="16"/>
      <w:szCs w:val="16"/>
    </w:rPr>
  </w:style>
  <w:style w:type="paragraph" w:styleId="CommentText">
    <w:name w:val="annotation text"/>
    <w:basedOn w:val="Normal"/>
    <w:link w:val="CommentTextChar"/>
    <w:uiPriority w:val="99"/>
    <w:unhideWhenUsed/>
    <w:rsid w:val="00A93AE0"/>
    <w:rPr>
      <w:sz w:val="20"/>
      <w:szCs w:val="20"/>
    </w:rPr>
  </w:style>
  <w:style w:type="character" w:customStyle="1" w:styleId="CommentTextChar">
    <w:name w:val="Comment Text Char"/>
    <w:basedOn w:val="DefaultParagraphFont"/>
    <w:link w:val="CommentText"/>
    <w:uiPriority w:val="99"/>
    <w:rsid w:val="00A93AE0"/>
  </w:style>
  <w:style w:type="paragraph" w:styleId="CommentSubject">
    <w:name w:val="annotation subject"/>
    <w:basedOn w:val="CommentText"/>
    <w:next w:val="CommentText"/>
    <w:link w:val="CommentSubjectChar"/>
    <w:uiPriority w:val="99"/>
    <w:semiHidden/>
    <w:unhideWhenUsed/>
    <w:rsid w:val="00A93AE0"/>
    <w:rPr>
      <w:b/>
      <w:bCs/>
    </w:rPr>
  </w:style>
  <w:style w:type="character" w:customStyle="1" w:styleId="CommentSubjectChar">
    <w:name w:val="Comment Subject Char"/>
    <w:link w:val="CommentSubject"/>
    <w:uiPriority w:val="99"/>
    <w:semiHidden/>
    <w:rsid w:val="00A93AE0"/>
    <w:rPr>
      <w:b/>
      <w:bCs/>
    </w:rPr>
  </w:style>
  <w:style w:type="character" w:customStyle="1" w:styleId="PlainTextChar">
    <w:name w:val="Plain Text Char"/>
    <w:link w:val="PlainText"/>
    <w:rsid w:val="00F22B68"/>
    <w:rPr>
      <w:rFonts w:ascii="Courier New" w:hAnsi="Courier New" w:cs="Courier New"/>
    </w:rPr>
  </w:style>
  <w:style w:type="paragraph" w:styleId="NormalWeb">
    <w:name w:val="Normal (Web)"/>
    <w:basedOn w:val="Normal"/>
    <w:uiPriority w:val="99"/>
    <w:unhideWhenUsed/>
    <w:rsid w:val="005A7DEE"/>
    <w:pPr>
      <w:spacing w:before="100" w:beforeAutospacing="1" w:after="100" w:afterAutospacing="1"/>
    </w:pPr>
  </w:style>
  <w:style w:type="paragraph" w:styleId="ListParagraph">
    <w:name w:val="List Paragraph"/>
    <w:basedOn w:val="Normal"/>
    <w:uiPriority w:val="34"/>
    <w:qFormat/>
    <w:rsid w:val="00414797"/>
    <w:pPr>
      <w:ind w:left="720"/>
      <w:contextualSpacing/>
    </w:pPr>
  </w:style>
  <w:style w:type="table" w:styleId="TableGrid">
    <w:name w:val="Table Grid"/>
    <w:basedOn w:val="TableNormal"/>
    <w:uiPriority w:val="39"/>
    <w:rsid w:val="007F6DDB"/>
    <w:rPr>
      <w:rFonts w:asciiTheme="minorHAnsi" w:eastAsiaTheme="minorHAnsi" w:hAnsiTheme="minorHAnsi" w:cstheme="minorBid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F02"/>
    <w:pPr>
      <w:tabs>
        <w:tab w:val="center" w:pos="4680"/>
        <w:tab w:val="right" w:pos="9360"/>
      </w:tabs>
    </w:pPr>
  </w:style>
  <w:style w:type="character" w:customStyle="1" w:styleId="HeaderChar">
    <w:name w:val="Header Char"/>
    <w:basedOn w:val="DefaultParagraphFont"/>
    <w:link w:val="Header"/>
    <w:uiPriority w:val="99"/>
    <w:rsid w:val="00114F02"/>
    <w:rPr>
      <w:sz w:val="24"/>
      <w:szCs w:val="24"/>
    </w:rPr>
  </w:style>
  <w:style w:type="paragraph" w:styleId="Footer">
    <w:name w:val="footer"/>
    <w:basedOn w:val="Normal"/>
    <w:link w:val="FooterChar"/>
    <w:uiPriority w:val="99"/>
    <w:unhideWhenUsed/>
    <w:rsid w:val="00114F02"/>
    <w:pPr>
      <w:tabs>
        <w:tab w:val="center" w:pos="4680"/>
        <w:tab w:val="right" w:pos="9360"/>
      </w:tabs>
    </w:pPr>
  </w:style>
  <w:style w:type="character" w:customStyle="1" w:styleId="FooterChar">
    <w:name w:val="Footer Char"/>
    <w:basedOn w:val="DefaultParagraphFont"/>
    <w:link w:val="Footer"/>
    <w:uiPriority w:val="99"/>
    <w:rsid w:val="00114F02"/>
    <w:rPr>
      <w:sz w:val="24"/>
      <w:szCs w:val="24"/>
    </w:rPr>
  </w:style>
  <w:style w:type="paragraph" w:styleId="BodyTextIndent">
    <w:name w:val="Body Text Indent"/>
    <w:basedOn w:val="Normal"/>
    <w:link w:val="BodyTextIndentChar"/>
    <w:uiPriority w:val="99"/>
    <w:unhideWhenUsed/>
    <w:rsid w:val="000821DE"/>
    <w:pPr>
      <w:spacing w:after="120"/>
      <w:ind w:left="360"/>
    </w:pPr>
  </w:style>
  <w:style w:type="character" w:customStyle="1" w:styleId="BodyTextIndentChar">
    <w:name w:val="Body Text Indent Char"/>
    <w:basedOn w:val="DefaultParagraphFont"/>
    <w:link w:val="BodyTextIndent"/>
    <w:uiPriority w:val="99"/>
    <w:rsid w:val="000821DE"/>
    <w:rPr>
      <w:sz w:val="24"/>
      <w:szCs w:val="24"/>
    </w:rPr>
  </w:style>
  <w:style w:type="character" w:styleId="FollowedHyperlink">
    <w:name w:val="FollowedHyperlink"/>
    <w:basedOn w:val="DefaultParagraphFont"/>
    <w:uiPriority w:val="99"/>
    <w:semiHidden/>
    <w:unhideWhenUsed/>
    <w:rsid w:val="009A405A"/>
    <w:rPr>
      <w:color w:val="800080" w:themeColor="followedHyperlink"/>
      <w:u w:val="single"/>
    </w:rPr>
  </w:style>
  <w:style w:type="paragraph" w:styleId="BodyTextIndent3">
    <w:name w:val="Body Text Indent 3"/>
    <w:basedOn w:val="Normal"/>
    <w:link w:val="BodyTextIndent3Char"/>
    <w:uiPriority w:val="99"/>
    <w:unhideWhenUsed/>
    <w:rsid w:val="004277FD"/>
    <w:pPr>
      <w:spacing w:after="120"/>
      <w:ind w:left="360"/>
    </w:pPr>
    <w:rPr>
      <w:sz w:val="16"/>
      <w:szCs w:val="16"/>
    </w:rPr>
  </w:style>
  <w:style w:type="character" w:customStyle="1" w:styleId="BodyTextIndent3Char">
    <w:name w:val="Body Text Indent 3 Char"/>
    <w:basedOn w:val="DefaultParagraphFont"/>
    <w:link w:val="BodyTextIndent3"/>
    <w:uiPriority w:val="99"/>
    <w:rsid w:val="004277FD"/>
    <w:rPr>
      <w:sz w:val="16"/>
      <w:szCs w:val="16"/>
    </w:rPr>
  </w:style>
  <w:style w:type="paragraph" w:styleId="HTMLPreformatted">
    <w:name w:val="HTML Preformatted"/>
    <w:basedOn w:val="Normal"/>
    <w:link w:val="HTMLPreformattedChar"/>
    <w:unhideWhenUsed/>
    <w:rsid w:val="008D785C"/>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8D785C"/>
    <w:rPr>
      <w:rFonts w:ascii="Consolas" w:hAnsi="Consolas" w:cs="Consolas"/>
    </w:rPr>
  </w:style>
  <w:style w:type="character" w:customStyle="1" w:styleId="Heading3Char">
    <w:name w:val="Heading 3 Char"/>
    <w:basedOn w:val="DefaultParagraphFont"/>
    <w:link w:val="Heading3"/>
    <w:uiPriority w:val="9"/>
    <w:semiHidden/>
    <w:rsid w:val="00184BE7"/>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B0B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4384">
      <w:bodyDiv w:val="1"/>
      <w:marLeft w:val="0"/>
      <w:marRight w:val="0"/>
      <w:marTop w:val="0"/>
      <w:marBottom w:val="0"/>
      <w:divBdr>
        <w:top w:val="none" w:sz="0" w:space="0" w:color="auto"/>
        <w:left w:val="none" w:sz="0" w:space="0" w:color="auto"/>
        <w:bottom w:val="none" w:sz="0" w:space="0" w:color="auto"/>
        <w:right w:val="none" w:sz="0" w:space="0" w:color="auto"/>
      </w:divBdr>
    </w:div>
    <w:div w:id="17094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tables.htm" TargetMode="External"/><Relationship Id="rId2" Type="http://schemas.openxmlformats.org/officeDocument/2006/relationships/hyperlink" Target="https://www.federalregister.gov/documents/2014/04/14/2014-08254/privacy-act-of-1974-as-amended-system-of-records-notice" TargetMode="External"/><Relationship Id="rId1" Type="http://schemas.openxmlformats.org/officeDocument/2006/relationships/hyperlink" Target="https://www.federalregister.gov/documents/2021/01/25/2021-01451/agency-information-collection-activities-proposed-renewal-comment-request-renewal-without-change-of" TargetMode="External"/><Relationship Id="rId4"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74598-4E38-4F6C-B216-FAD0A46B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2597</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16809</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3</cp:revision>
  <cp:lastPrinted>2017-05-18T13:14:00Z</cp:lastPrinted>
  <dcterms:created xsi:type="dcterms:W3CDTF">2021-07-26T15:32:00Z</dcterms:created>
  <dcterms:modified xsi:type="dcterms:W3CDTF">2021-07-26T15:36:00Z</dcterms:modified>
</cp:coreProperties>
</file>