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40E4" w:rsidR="00B3102B" w:rsidRDefault="00FC7032" w14:paraId="67C7B92F" w14:textId="3E00B6A7">
      <w:pPr>
        <w:tabs>
          <w:tab w:val="center" w:pos="4680"/>
        </w:tabs>
        <w:rPr>
          <w:rFonts w:asciiTheme="majorHAnsi" w:hAnsiTheme="majorHAnsi" w:cstheme="majorHAnsi"/>
        </w:rPr>
      </w:pPr>
      <w:r w:rsidRPr="00D112D0">
        <w:rPr>
          <w:rFonts w:ascii="Calibri" w:hAnsi="Calibri" w:cs="Calibri"/>
          <w:b/>
          <w:bCs/>
        </w:rPr>
        <w:t xml:space="preserve">                       </w:t>
      </w:r>
      <w:r w:rsidRPr="00D112D0">
        <w:rPr>
          <w:rFonts w:ascii="Calibri" w:hAnsi="Calibri" w:cs="Calibri"/>
          <w:b/>
          <w:bCs/>
        </w:rPr>
        <w:tab/>
      </w:r>
      <w:r w:rsidRPr="003D40E4" w:rsidR="00B3102B">
        <w:rPr>
          <w:rFonts w:asciiTheme="majorHAnsi" w:hAnsiTheme="majorHAnsi" w:cstheme="majorHAnsi"/>
        </w:rPr>
        <w:t>Internal Revenue Service</w:t>
      </w:r>
    </w:p>
    <w:p w:rsidRPr="003D40E4" w:rsidR="00FC7032" w:rsidRDefault="00B3102B" w14:paraId="736E3934" w14:textId="11D89FEE">
      <w:pPr>
        <w:tabs>
          <w:tab w:val="center" w:pos="4680"/>
        </w:tabs>
        <w:rPr>
          <w:rFonts w:asciiTheme="majorHAnsi" w:hAnsiTheme="majorHAnsi" w:cstheme="majorHAnsi"/>
        </w:rPr>
      </w:pPr>
      <w:r w:rsidRPr="003D40E4">
        <w:rPr>
          <w:rFonts w:asciiTheme="majorHAnsi" w:hAnsiTheme="majorHAnsi" w:cstheme="majorHAnsi"/>
        </w:rPr>
        <w:t xml:space="preserve">                                                              </w:t>
      </w:r>
      <w:r w:rsidRPr="003D40E4" w:rsidR="00FC7032">
        <w:rPr>
          <w:rFonts w:asciiTheme="majorHAnsi" w:hAnsiTheme="majorHAnsi" w:cstheme="majorHAnsi"/>
        </w:rPr>
        <w:t>SUPPORTING STATEMENT</w:t>
      </w:r>
    </w:p>
    <w:p w:rsidRPr="003D40E4" w:rsidR="000E06B8" w:rsidP="006E33CA" w:rsidRDefault="00EF235B" w14:paraId="0F4BF6E2" w14:textId="77777777">
      <w:pPr>
        <w:tabs>
          <w:tab w:val="center" w:pos="4680"/>
        </w:tabs>
        <w:jc w:val="center"/>
        <w:rPr>
          <w:rFonts w:asciiTheme="majorHAnsi" w:hAnsiTheme="majorHAnsi" w:cstheme="majorHAnsi"/>
        </w:rPr>
      </w:pPr>
      <w:r w:rsidRPr="003D40E4">
        <w:rPr>
          <w:rFonts w:asciiTheme="majorHAnsi" w:hAnsiTheme="majorHAnsi" w:cstheme="majorHAnsi"/>
        </w:rPr>
        <w:t xml:space="preserve">(Form </w:t>
      </w:r>
      <w:r w:rsidRPr="003D40E4" w:rsidR="00DB7AC0">
        <w:rPr>
          <w:rFonts w:asciiTheme="majorHAnsi" w:hAnsiTheme="majorHAnsi" w:cstheme="majorHAnsi"/>
        </w:rPr>
        <w:t>5884-D</w:t>
      </w:r>
      <w:r w:rsidRPr="003D40E4" w:rsidR="00FC7032">
        <w:rPr>
          <w:rFonts w:asciiTheme="majorHAnsi" w:hAnsiTheme="majorHAnsi" w:cstheme="majorHAnsi"/>
        </w:rPr>
        <w:t>)</w:t>
      </w:r>
      <w:r w:rsidRPr="003D40E4" w:rsidR="000E06B8">
        <w:rPr>
          <w:rFonts w:asciiTheme="majorHAnsi" w:hAnsiTheme="majorHAnsi" w:cstheme="majorHAnsi"/>
        </w:rPr>
        <w:t xml:space="preserve"> </w:t>
      </w:r>
    </w:p>
    <w:p w:rsidRPr="003D40E4" w:rsidR="00FC7032" w:rsidP="000B6A7E" w:rsidRDefault="00DB7AC0" w14:paraId="704B0215" w14:textId="77777777">
      <w:pPr>
        <w:tabs>
          <w:tab w:val="center" w:pos="4680"/>
        </w:tabs>
        <w:jc w:val="center"/>
        <w:rPr>
          <w:rFonts w:asciiTheme="majorHAnsi" w:hAnsiTheme="majorHAnsi" w:cstheme="majorHAnsi"/>
        </w:rPr>
      </w:pPr>
      <w:r w:rsidRPr="003D40E4">
        <w:rPr>
          <w:rFonts w:asciiTheme="majorHAnsi" w:hAnsiTheme="majorHAnsi" w:cstheme="majorHAnsi"/>
        </w:rPr>
        <w:t>Employee Retention Credit for Certain Tax-Exempt Organizations Affected by Qualified Disasters</w:t>
      </w:r>
    </w:p>
    <w:p w:rsidRPr="003D40E4" w:rsidR="00F569AA" w:rsidP="00F569AA" w:rsidRDefault="00EF235B" w14:paraId="089BD27F" w14:textId="530AA463">
      <w:pPr>
        <w:tabs>
          <w:tab w:val="center" w:pos="4680"/>
        </w:tabs>
        <w:jc w:val="center"/>
        <w:rPr>
          <w:rFonts w:asciiTheme="majorHAnsi" w:hAnsiTheme="majorHAnsi" w:cstheme="majorHAnsi"/>
        </w:rPr>
      </w:pPr>
      <w:r w:rsidRPr="003D40E4">
        <w:rPr>
          <w:rFonts w:asciiTheme="majorHAnsi" w:hAnsiTheme="majorHAnsi" w:cstheme="majorHAnsi"/>
        </w:rPr>
        <w:t xml:space="preserve">OMB </w:t>
      </w:r>
      <w:r w:rsidRPr="003D40E4" w:rsidR="000B6A7E">
        <w:rPr>
          <w:rFonts w:asciiTheme="majorHAnsi" w:hAnsiTheme="majorHAnsi" w:cstheme="majorHAnsi"/>
        </w:rPr>
        <w:t>Control Number</w:t>
      </w:r>
      <w:r w:rsidRPr="003D40E4">
        <w:rPr>
          <w:rFonts w:asciiTheme="majorHAnsi" w:hAnsiTheme="majorHAnsi" w:cstheme="majorHAnsi"/>
        </w:rPr>
        <w:t xml:space="preserve"> 1545-</w:t>
      </w:r>
      <w:r w:rsidRPr="003D40E4" w:rsidR="003F1DA5">
        <w:rPr>
          <w:rFonts w:asciiTheme="majorHAnsi" w:hAnsiTheme="majorHAnsi" w:cstheme="majorHAnsi"/>
        </w:rPr>
        <w:t>2298</w:t>
      </w:r>
    </w:p>
    <w:p w:rsidRPr="003D40E4" w:rsidR="00FC7032" w:rsidRDefault="00FC7032" w14:paraId="5CE71725" w14:textId="77777777">
      <w:pPr>
        <w:rPr>
          <w:rFonts w:asciiTheme="majorHAnsi" w:hAnsiTheme="majorHAnsi" w:cstheme="majorHAnsi"/>
        </w:rPr>
      </w:pPr>
    </w:p>
    <w:p w:rsidRPr="003D40E4" w:rsidR="00FC7032" w:rsidRDefault="00FC7032" w14:paraId="286FCB72" w14:textId="77777777">
      <w:pPr>
        <w:pStyle w:val="Level1"/>
        <w:tabs>
          <w:tab w:val="left" w:pos="-1440"/>
          <w:tab w:val="num" w:pos="720"/>
        </w:tabs>
        <w:rPr>
          <w:rFonts w:asciiTheme="majorHAnsi" w:hAnsiTheme="majorHAnsi" w:cstheme="majorHAnsi"/>
        </w:rPr>
      </w:pPr>
      <w:r w:rsidRPr="003D40E4">
        <w:rPr>
          <w:rFonts w:asciiTheme="majorHAnsi" w:hAnsiTheme="majorHAnsi" w:cstheme="majorHAnsi"/>
          <w:u w:val="single"/>
        </w:rPr>
        <w:t>CIRCUMSTANCES NECESSITATING COLLECTION OF INFORMATION</w:t>
      </w:r>
    </w:p>
    <w:p w:rsidRPr="003D40E4" w:rsidR="00941B5E" w:rsidP="00941B5E" w:rsidRDefault="00941B5E" w14:paraId="63DCA88F" w14:textId="77777777">
      <w:pPr>
        <w:pStyle w:val="Level1"/>
        <w:numPr>
          <w:ilvl w:val="0"/>
          <w:numId w:val="0"/>
        </w:numPr>
        <w:tabs>
          <w:tab w:val="left" w:pos="-1440"/>
        </w:tabs>
        <w:ind w:left="720"/>
        <w:rPr>
          <w:rFonts w:asciiTheme="majorHAnsi" w:hAnsiTheme="majorHAnsi" w:cstheme="majorHAnsi"/>
        </w:rPr>
      </w:pPr>
    </w:p>
    <w:p w:rsidR="00482655" w:rsidP="00482655" w:rsidRDefault="00482655" w14:paraId="530BF613" w14:textId="44A39294">
      <w:pPr>
        <w:ind w:left="720"/>
        <w:rPr>
          <w:rFonts w:ascii="Calibri Light" w:hAnsi="Calibri Light" w:cs="Calibri Light"/>
        </w:rPr>
      </w:pPr>
      <w:bookmarkStart w:name="_Hlk66569173" w:id="0"/>
      <w:bookmarkStart w:name="_Hlk520366657" w:id="1"/>
      <w:r>
        <w:rPr>
          <w:rFonts w:ascii="Calibri Light" w:hAnsi="Calibri Light" w:cs="Calibri Light"/>
        </w:rPr>
        <w:t>Public Law 116-260 (Consolidated Appropriations Act, 2021), Division EE, Section 30</w:t>
      </w:r>
      <w:r>
        <w:rPr>
          <w:rFonts w:ascii="Calibri Light" w:hAnsi="Calibri Light" w:cs="Calibri Light"/>
        </w:rPr>
        <w:t>3(d)</w:t>
      </w:r>
      <w:r>
        <w:rPr>
          <w:rFonts w:ascii="Calibri Light" w:hAnsi="Calibri Light" w:cs="Calibri Light"/>
        </w:rPr>
        <w:t>; provide</w:t>
      </w:r>
      <w:r>
        <w:rPr>
          <w:rFonts w:ascii="Calibri Light" w:hAnsi="Calibri Light" w:cs="Calibri Light"/>
        </w:rPr>
        <w:t>s</w:t>
      </w:r>
      <w:r>
        <w:rPr>
          <w:rFonts w:ascii="Calibri Light" w:hAnsi="Calibri Light" w:cs="Calibri Light"/>
        </w:rPr>
        <w:t xml:space="preserve"> guidance regarding </w:t>
      </w:r>
      <w:r w:rsidRPr="00482655">
        <w:rPr>
          <w:rFonts w:ascii="Calibri Light" w:hAnsi="Calibri Light" w:cs="Calibri Light"/>
        </w:rPr>
        <w:t>qualified tax-exempt organization</w:t>
      </w:r>
      <w:r>
        <w:rPr>
          <w:rFonts w:ascii="Calibri Light" w:hAnsi="Calibri Light" w:cs="Calibri Light"/>
        </w:rPr>
        <w:t>s</w:t>
      </w:r>
      <w:r w:rsidRPr="00482655">
        <w:rPr>
          <w:rFonts w:ascii="Calibri Light" w:hAnsi="Calibri Light" w:cs="Calibri Light"/>
        </w:rPr>
        <w:t xml:space="preserve">, </w:t>
      </w:r>
      <w:r>
        <w:rPr>
          <w:rFonts w:ascii="Calibri Light" w:hAnsi="Calibri Light" w:cs="Calibri Light"/>
        </w:rPr>
        <w:t xml:space="preserve">claiming </w:t>
      </w:r>
      <w:r w:rsidRPr="00482655">
        <w:rPr>
          <w:rFonts w:ascii="Calibri Light" w:hAnsi="Calibri Light" w:cs="Calibri Light"/>
        </w:rPr>
        <w:t xml:space="preserve">a credit against the tax on wages paid with respect to employment of all employees of the organization during the calendar quarter </w:t>
      </w:r>
      <w:r>
        <w:rPr>
          <w:rFonts w:ascii="Calibri Light" w:hAnsi="Calibri Light" w:cs="Calibri Light"/>
        </w:rPr>
        <w:t xml:space="preserve">for </w:t>
      </w:r>
      <w:r w:rsidRPr="00482655">
        <w:rPr>
          <w:rFonts w:ascii="Calibri Light" w:hAnsi="Calibri Light" w:cs="Calibri Light"/>
        </w:rPr>
        <w:t>an amount equal to 40 percent of the qualified wages paid to eligible employees of such organization during such calendar quarter.</w:t>
      </w:r>
    </w:p>
    <w:p w:rsidRPr="003D40E4" w:rsidR="008775BA" w:rsidP="00356B7C" w:rsidRDefault="000B6A7E" w14:paraId="233B4F1E" w14:textId="77777777">
      <w:pPr>
        <w:ind w:left="720"/>
        <w:jc w:val="both"/>
        <w:rPr>
          <w:rFonts w:asciiTheme="majorHAnsi" w:hAnsiTheme="majorHAnsi" w:cstheme="majorHAnsi"/>
        </w:rPr>
      </w:pPr>
      <w:r w:rsidRPr="003D40E4">
        <w:rPr>
          <w:rFonts w:asciiTheme="majorHAnsi" w:hAnsiTheme="majorHAnsi" w:cstheme="majorHAnsi"/>
        </w:rPr>
        <w:t>Internal Revenue Code (IRC), Section 3</w:t>
      </w:r>
      <w:r w:rsidRPr="003D40E4" w:rsidR="00356B7C">
        <w:rPr>
          <w:rFonts w:asciiTheme="majorHAnsi" w:hAnsiTheme="majorHAnsi" w:cstheme="majorHAnsi"/>
        </w:rPr>
        <w:t>03</w:t>
      </w:r>
      <w:r w:rsidRPr="003D40E4">
        <w:rPr>
          <w:rFonts w:asciiTheme="majorHAnsi" w:hAnsiTheme="majorHAnsi" w:cstheme="majorHAnsi"/>
        </w:rPr>
        <w:t>(</w:t>
      </w:r>
      <w:r w:rsidRPr="003D40E4" w:rsidR="00356B7C">
        <w:rPr>
          <w:rFonts w:asciiTheme="majorHAnsi" w:hAnsiTheme="majorHAnsi" w:cstheme="majorHAnsi"/>
        </w:rPr>
        <w:t>d</w:t>
      </w:r>
      <w:r w:rsidRPr="003D40E4">
        <w:rPr>
          <w:rFonts w:asciiTheme="majorHAnsi" w:hAnsiTheme="majorHAnsi" w:cstheme="majorHAnsi"/>
        </w:rPr>
        <w:t xml:space="preserve">) </w:t>
      </w:r>
      <w:r w:rsidRPr="003D40E4" w:rsidR="00356B7C">
        <w:rPr>
          <w:rFonts w:asciiTheme="majorHAnsi" w:hAnsiTheme="majorHAnsi" w:cstheme="majorHAnsi"/>
        </w:rPr>
        <w:t xml:space="preserve">of the Taxpayer Certainty and Disaster Tax Relief Act of 2020 allows for a new payroll tax credit for certain tax-exempt organization affected by certain qualified disasters.  </w:t>
      </w:r>
      <w:r w:rsidRPr="003D40E4" w:rsidR="008775BA">
        <w:rPr>
          <w:rFonts w:asciiTheme="majorHAnsi" w:hAnsiTheme="majorHAnsi" w:cstheme="majorHAnsi"/>
        </w:rPr>
        <w:t xml:space="preserve">Form </w:t>
      </w:r>
      <w:r w:rsidRPr="003D40E4" w:rsidR="007831A9">
        <w:rPr>
          <w:rFonts w:asciiTheme="majorHAnsi" w:hAnsiTheme="majorHAnsi" w:cstheme="majorHAnsi"/>
        </w:rPr>
        <w:t>5884-D</w:t>
      </w:r>
      <w:r w:rsidRPr="003D40E4" w:rsidR="008775BA">
        <w:rPr>
          <w:rFonts w:asciiTheme="majorHAnsi" w:hAnsiTheme="majorHAnsi" w:cstheme="majorHAnsi"/>
        </w:rPr>
        <w:t>- Employe</w:t>
      </w:r>
      <w:r w:rsidRPr="003D40E4" w:rsidR="007831A9">
        <w:rPr>
          <w:rFonts w:asciiTheme="majorHAnsi" w:hAnsiTheme="majorHAnsi" w:cstheme="majorHAnsi"/>
        </w:rPr>
        <w:t xml:space="preserve">r Retention Credit for Certain </w:t>
      </w:r>
      <w:r w:rsidRPr="003D40E4" w:rsidR="00BE37BB">
        <w:rPr>
          <w:rFonts w:asciiTheme="majorHAnsi" w:hAnsiTheme="majorHAnsi" w:cstheme="majorHAnsi"/>
        </w:rPr>
        <w:t>Tax-Exempt</w:t>
      </w:r>
      <w:r w:rsidRPr="003D40E4" w:rsidR="007831A9">
        <w:rPr>
          <w:rFonts w:asciiTheme="majorHAnsi" w:hAnsiTheme="majorHAnsi" w:cstheme="majorHAnsi"/>
        </w:rPr>
        <w:t xml:space="preserve"> Organizations Affected by Qualified Disasters</w:t>
      </w:r>
      <w:r w:rsidRPr="003D40E4" w:rsidR="008775BA">
        <w:rPr>
          <w:rFonts w:asciiTheme="majorHAnsi" w:hAnsiTheme="majorHAnsi" w:cstheme="majorHAnsi"/>
        </w:rPr>
        <w:t xml:space="preserve">, </w:t>
      </w:r>
      <w:r w:rsidRPr="003D40E4" w:rsidR="00356B7C">
        <w:rPr>
          <w:rFonts w:asciiTheme="majorHAnsi" w:hAnsiTheme="majorHAnsi" w:cstheme="majorHAnsi"/>
        </w:rPr>
        <w:t xml:space="preserve">will be </w:t>
      </w:r>
      <w:r w:rsidRPr="003D40E4" w:rsidR="008775BA">
        <w:rPr>
          <w:rFonts w:asciiTheme="majorHAnsi" w:hAnsiTheme="majorHAnsi" w:cstheme="majorHAnsi"/>
        </w:rPr>
        <w:t>used by a</w:t>
      </w:r>
      <w:r w:rsidRPr="003D40E4" w:rsidR="00BE37BB">
        <w:rPr>
          <w:rFonts w:asciiTheme="majorHAnsi" w:hAnsiTheme="majorHAnsi" w:cstheme="majorHAnsi"/>
        </w:rPr>
        <w:t xml:space="preserve"> qualified tax-exempt organization (including certain governmental entities)</w:t>
      </w:r>
      <w:r w:rsidRPr="003D40E4" w:rsidR="008775BA">
        <w:rPr>
          <w:rFonts w:asciiTheme="majorHAnsi" w:hAnsiTheme="majorHAnsi" w:cstheme="majorHAnsi"/>
        </w:rPr>
        <w:t xml:space="preserve"> to figure and claim a credit </w:t>
      </w:r>
      <w:r w:rsidRPr="003D40E4" w:rsidR="00BE37BB">
        <w:rPr>
          <w:rFonts w:asciiTheme="majorHAnsi" w:hAnsiTheme="majorHAnsi" w:cstheme="majorHAnsi"/>
        </w:rPr>
        <w:t>against certain payroll taxes</w:t>
      </w:r>
      <w:r w:rsidRPr="003D40E4" w:rsidR="008775BA">
        <w:rPr>
          <w:rFonts w:asciiTheme="majorHAnsi" w:hAnsiTheme="majorHAnsi" w:cstheme="majorHAnsi"/>
        </w:rPr>
        <w:t xml:space="preserve">. </w:t>
      </w:r>
      <w:r w:rsidRPr="003D40E4" w:rsidR="00BE37BB">
        <w:rPr>
          <w:rFonts w:asciiTheme="majorHAnsi" w:hAnsiTheme="majorHAnsi" w:cstheme="majorHAnsi"/>
        </w:rPr>
        <w:t>A qualified tax-exempt organization (including certain governmental entities) that continued to pay or incur wages after acti</w:t>
      </w:r>
      <w:r w:rsidRPr="003D40E4" w:rsidR="00C24BE7">
        <w:rPr>
          <w:rFonts w:asciiTheme="majorHAnsi" w:hAnsiTheme="majorHAnsi" w:cstheme="majorHAnsi"/>
        </w:rPr>
        <w:t xml:space="preserve">vities of the organization became inoperable because of damage from a qualified disaster may be able to </w:t>
      </w:r>
      <w:r w:rsidRPr="003D40E4" w:rsidR="00356B7C">
        <w:rPr>
          <w:rFonts w:asciiTheme="majorHAnsi" w:hAnsiTheme="majorHAnsi" w:cstheme="majorHAnsi"/>
        </w:rPr>
        <w:t>c</w:t>
      </w:r>
      <w:r w:rsidRPr="003D40E4" w:rsidR="00C24BE7">
        <w:rPr>
          <w:rFonts w:asciiTheme="majorHAnsi" w:hAnsiTheme="majorHAnsi" w:cstheme="majorHAnsi"/>
        </w:rPr>
        <w:t xml:space="preserve">laim the 2020 qualified disaster employee retention credit against certain payroll taxes. </w:t>
      </w:r>
      <w:bookmarkEnd w:id="0"/>
      <w:r w:rsidRPr="003D40E4" w:rsidR="00C24BE7">
        <w:rPr>
          <w:rFonts w:asciiTheme="majorHAnsi" w:hAnsiTheme="majorHAnsi" w:cstheme="majorHAnsi"/>
        </w:rPr>
        <w:t>The credit is equal to</w:t>
      </w:r>
      <w:r w:rsidRPr="003D40E4" w:rsidR="008775BA">
        <w:rPr>
          <w:rFonts w:asciiTheme="majorHAnsi" w:hAnsiTheme="majorHAnsi" w:cstheme="majorHAnsi"/>
        </w:rPr>
        <w:t>:</w:t>
      </w:r>
    </w:p>
    <w:p w:rsidRPr="003D40E4" w:rsidR="00C24BE7" w:rsidP="008775BA" w:rsidRDefault="00C24BE7" w14:paraId="3556EB38" w14:textId="77777777">
      <w:pPr>
        <w:ind w:left="720"/>
        <w:jc w:val="both"/>
        <w:rPr>
          <w:rFonts w:asciiTheme="majorHAnsi" w:hAnsiTheme="majorHAnsi" w:cstheme="majorHAnsi"/>
        </w:rPr>
      </w:pPr>
    </w:p>
    <w:p w:rsidRPr="003D40E4" w:rsidR="008775BA" w:rsidP="00356B7C" w:rsidRDefault="00C24BE7" w14:paraId="628A9B75" w14:textId="77777777">
      <w:pPr>
        <w:pStyle w:val="ListParagraph"/>
        <w:numPr>
          <w:ilvl w:val="0"/>
          <w:numId w:val="6"/>
        </w:numPr>
        <w:spacing w:after="0"/>
        <w:jc w:val="both"/>
        <w:rPr>
          <w:rFonts w:asciiTheme="majorHAnsi" w:hAnsiTheme="majorHAnsi" w:cstheme="majorHAnsi"/>
          <w:sz w:val="24"/>
          <w:szCs w:val="24"/>
        </w:rPr>
      </w:pPr>
      <w:r w:rsidRPr="003D40E4">
        <w:rPr>
          <w:rFonts w:asciiTheme="majorHAnsi" w:hAnsiTheme="majorHAnsi" w:cstheme="majorHAnsi"/>
          <w:sz w:val="24"/>
          <w:szCs w:val="24"/>
        </w:rPr>
        <w:t>40% of up to $6,000 of qualified wages paid to or incurred for each eligible employee</w:t>
      </w:r>
      <w:r w:rsidRPr="003D40E4" w:rsidR="008775BA">
        <w:rPr>
          <w:rFonts w:asciiTheme="majorHAnsi" w:hAnsiTheme="majorHAnsi" w:cstheme="majorHAnsi"/>
          <w:sz w:val="24"/>
          <w:szCs w:val="24"/>
        </w:rPr>
        <w:t xml:space="preserve">, </w:t>
      </w:r>
      <w:r w:rsidRPr="003D40E4">
        <w:rPr>
          <w:rFonts w:asciiTheme="majorHAnsi" w:hAnsiTheme="majorHAnsi" w:cstheme="majorHAnsi"/>
          <w:sz w:val="24"/>
          <w:szCs w:val="24"/>
        </w:rPr>
        <w:t>and</w:t>
      </w:r>
    </w:p>
    <w:p w:rsidRPr="003D40E4" w:rsidR="00C24BE7" w:rsidP="00356B7C" w:rsidRDefault="008775BA" w14:paraId="7A7AC8B8" w14:textId="77777777">
      <w:pPr>
        <w:pStyle w:val="ListParagraph"/>
        <w:numPr>
          <w:ilvl w:val="0"/>
          <w:numId w:val="6"/>
        </w:numPr>
        <w:spacing w:after="0"/>
        <w:jc w:val="both"/>
        <w:rPr>
          <w:rFonts w:asciiTheme="majorHAnsi" w:hAnsiTheme="majorHAnsi" w:cstheme="majorHAnsi"/>
          <w:sz w:val="24"/>
          <w:szCs w:val="24"/>
        </w:rPr>
      </w:pPr>
      <w:r w:rsidRPr="003D40E4">
        <w:rPr>
          <w:rFonts w:asciiTheme="majorHAnsi" w:hAnsiTheme="majorHAnsi" w:cstheme="majorHAnsi"/>
          <w:sz w:val="24"/>
          <w:szCs w:val="24"/>
        </w:rPr>
        <w:t xml:space="preserve">The </w:t>
      </w:r>
      <w:r w:rsidRPr="003D40E4" w:rsidR="00C24BE7">
        <w:rPr>
          <w:rFonts w:asciiTheme="majorHAnsi" w:hAnsiTheme="majorHAnsi" w:cstheme="majorHAnsi"/>
          <w:sz w:val="24"/>
          <w:szCs w:val="24"/>
        </w:rPr>
        <w:t xml:space="preserve">credit is claimed against the employer portion of social security tax on    </w:t>
      </w:r>
    </w:p>
    <w:p w:rsidRPr="003D40E4" w:rsidR="00C24BE7" w:rsidP="00C24BE7" w:rsidRDefault="00C24BE7" w14:paraId="5373264A" w14:textId="77777777">
      <w:pPr>
        <w:pStyle w:val="ListParagraph"/>
        <w:spacing w:after="0"/>
        <w:ind w:left="1080"/>
        <w:jc w:val="both"/>
        <w:rPr>
          <w:rFonts w:asciiTheme="majorHAnsi" w:hAnsiTheme="majorHAnsi" w:cstheme="majorHAnsi"/>
          <w:sz w:val="24"/>
          <w:szCs w:val="24"/>
        </w:rPr>
      </w:pPr>
      <w:r w:rsidRPr="003D40E4">
        <w:rPr>
          <w:rFonts w:asciiTheme="majorHAnsi" w:hAnsiTheme="majorHAnsi" w:cstheme="majorHAnsi"/>
          <w:sz w:val="24"/>
          <w:szCs w:val="24"/>
        </w:rPr>
        <w:t xml:space="preserve">      wages paid to all employees during an employment tax period</w:t>
      </w:r>
      <w:r w:rsidRPr="003D40E4" w:rsidR="008775BA">
        <w:rPr>
          <w:rFonts w:asciiTheme="majorHAnsi" w:hAnsiTheme="majorHAnsi" w:cstheme="majorHAnsi"/>
          <w:sz w:val="24"/>
          <w:szCs w:val="24"/>
        </w:rPr>
        <w:t>.</w:t>
      </w:r>
      <w:r w:rsidRPr="003D40E4">
        <w:rPr>
          <w:rFonts w:asciiTheme="majorHAnsi" w:hAnsiTheme="majorHAnsi" w:cstheme="majorHAnsi"/>
          <w:sz w:val="24"/>
          <w:szCs w:val="24"/>
        </w:rPr>
        <w:t xml:space="preserve"> A list of </w:t>
      </w:r>
    </w:p>
    <w:p w:rsidRPr="003D40E4" w:rsidR="00C24BE7" w:rsidP="00C24BE7" w:rsidRDefault="00C24BE7" w14:paraId="0390D102" w14:textId="77777777">
      <w:pPr>
        <w:pStyle w:val="ListParagraph"/>
        <w:spacing w:after="0"/>
        <w:ind w:left="1080"/>
        <w:jc w:val="both"/>
        <w:rPr>
          <w:rFonts w:asciiTheme="majorHAnsi" w:hAnsiTheme="majorHAnsi" w:cstheme="majorHAnsi"/>
          <w:sz w:val="24"/>
          <w:szCs w:val="24"/>
        </w:rPr>
      </w:pPr>
      <w:r w:rsidRPr="003D40E4">
        <w:rPr>
          <w:rFonts w:asciiTheme="majorHAnsi" w:hAnsiTheme="majorHAnsi" w:cstheme="majorHAnsi"/>
          <w:sz w:val="24"/>
          <w:szCs w:val="24"/>
        </w:rPr>
        <w:t xml:space="preserve">      qualified disasters </w:t>
      </w:r>
      <w:r w:rsidRPr="003D40E4" w:rsidR="00DF4545">
        <w:rPr>
          <w:rFonts w:asciiTheme="majorHAnsi" w:hAnsiTheme="majorHAnsi" w:cstheme="majorHAnsi"/>
          <w:sz w:val="24"/>
          <w:szCs w:val="24"/>
        </w:rPr>
        <w:t>are</w:t>
      </w:r>
      <w:r w:rsidRPr="003D40E4">
        <w:rPr>
          <w:rFonts w:asciiTheme="majorHAnsi" w:hAnsiTheme="majorHAnsi" w:cstheme="majorHAnsi"/>
          <w:sz w:val="24"/>
          <w:szCs w:val="24"/>
        </w:rPr>
        <w:t xml:space="preserve"> available in the instructions.</w:t>
      </w:r>
    </w:p>
    <w:bookmarkEnd w:id="1"/>
    <w:p w:rsidRPr="003D40E4" w:rsidR="00ED70E3" w:rsidRDefault="008775BA" w14:paraId="65AEF152" w14:textId="77777777">
      <w:pPr>
        <w:rPr>
          <w:rFonts w:asciiTheme="majorHAnsi" w:hAnsiTheme="majorHAnsi" w:cstheme="majorHAnsi"/>
        </w:rPr>
      </w:pPr>
      <w:r w:rsidRPr="003D40E4">
        <w:rPr>
          <w:rFonts w:asciiTheme="majorHAnsi" w:hAnsiTheme="majorHAnsi" w:cstheme="majorHAnsi"/>
        </w:rPr>
        <w:t xml:space="preserve">         </w:t>
      </w:r>
    </w:p>
    <w:p w:rsidRPr="003D40E4" w:rsidR="00FC7032" w:rsidRDefault="00FC7032" w14:paraId="036CCE74" w14:textId="77777777">
      <w:pPr>
        <w:pStyle w:val="Level1"/>
        <w:tabs>
          <w:tab w:val="left" w:pos="-1440"/>
          <w:tab w:val="num" w:pos="720"/>
        </w:tabs>
        <w:rPr>
          <w:rFonts w:asciiTheme="majorHAnsi" w:hAnsiTheme="majorHAnsi" w:cstheme="majorHAnsi"/>
        </w:rPr>
      </w:pPr>
      <w:r w:rsidRPr="003D40E4">
        <w:rPr>
          <w:rFonts w:asciiTheme="majorHAnsi" w:hAnsiTheme="majorHAnsi" w:cstheme="majorHAnsi"/>
          <w:u w:val="single"/>
        </w:rPr>
        <w:t>USE OF DATA</w:t>
      </w:r>
      <w:r w:rsidRPr="003D40E4">
        <w:rPr>
          <w:rFonts w:asciiTheme="majorHAnsi" w:hAnsiTheme="majorHAnsi" w:cstheme="majorHAnsi"/>
        </w:rPr>
        <w:t xml:space="preserve">              </w:t>
      </w:r>
    </w:p>
    <w:p w:rsidRPr="003D40E4" w:rsidR="00FC7032" w:rsidRDefault="00FC7032" w14:paraId="0038EEB1" w14:textId="77777777">
      <w:pPr>
        <w:rPr>
          <w:rFonts w:asciiTheme="majorHAnsi" w:hAnsiTheme="majorHAnsi" w:cstheme="majorHAnsi"/>
        </w:rPr>
      </w:pPr>
    </w:p>
    <w:p w:rsidRPr="003D40E4" w:rsidR="00FC7032" w:rsidP="00356B7C" w:rsidRDefault="00B65972" w14:paraId="2329B8C5" w14:textId="66BD8528">
      <w:pPr>
        <w:tabs>
          <w:tab w:val="center" w:pos="4680"/>
        </w:tabs>
        <w:ind w:left="720"/>
        <w:rPr>
          <w:rFonts w:asciiTheme="majorHAnsi" w:hAnsiTheme="majorHAnsi" w:cstheme="majorHAnsi"/>
        </w:rPr>
      </w:pPr>
      <w:r w:rsidRPr="003D40E4">
        <w:rPr>
          <w:rFonts w:asciiTheme="majorHAnsi" w:hAnsiTheme="majorHAnsi" w:cstheme="majorHAnsi"/>
        </w:rPr>
        <w:t xml:space="preserve">IRS has developed Form </w:t>
      </w:r>
      <w:r w:rsidRPr="003D40E4" w:rsidR="00252E16">
        <w:rPr>
          <w:rFonts w:asciiTheme="majorHAnsi" w:hAnsiTheme="majorHAnsi" w:cstheme="majorHAnsi"/>
        </w:rPr>
        <w:t>5884-D</w:t>
      </w:r>
      <w:r w:rsidRPr="003D40E4">
        <w:rPr>
          <w:rFonts w:asciiTheme="majorHAnsi" w:hAnsiTheme="majorHAnsi" w:cstheme="majorHAnsi"/>
        </w:rPr>
        <w:t>,</w:t>
      </w:r>
      <w:r w:rsidRPr="003D40E4" w:rsidR="00252E16">
        <w:rPr>
          <w:rFonts w:asciiTheme="majorHAnsi" w:hAnsiTheme="majorHAnsi" w:cstheme="majorHAnsi"/>
        </w:rPr>
        <w:t xml:space="preserve"> Employee Retention Credit for Certain Tax-Exempt Organizations Affected by Qualified Disasters, </w:t>
      </w:r>
      <w:r w:rsidRPr="003D40E4">
        <w:rPr>
          <w:rFonts w:asciiTheme="majorHAnsi" w:hAnsiTheme="majorHAnsi" w:cstheme="majorHAnsi"/>
        </w:rPr>
        <w:t>for taxpayers claiming the</w:t>
      </w:r>
      <w:r w:rsidRPr="003D40E4" w:rsidR="00252E16">
        <w:rPr>
          <w:rFonts w:asciiTheme="majorHAnsi" w:hAnsiTheme="majorHAnsi" w:cstheme="majorHAnsi"/>
        </w:rPr>
        <w:t xml:space="preserve"> </w:t>
      </w:r>
      <w:r w:rsidRPr="003D40E4">
        <w:rPr>
          <w:rFonts w:asciiTheme="majorHAnsi" w:hAnsiTheme="majorHAnsi" w:cstheme="majorHAnsi"/>
        </w:rPr>
        <w:t xml:space="preserve">credit. </w:t>
      </w:r>
      <w:r w:rsidRPr="003D40E4" w:rsidR="008B6C36">
        <w:rPr>
          <w:rFonts w:asciiTheme="majorHAnsi" w:hAnsiTheme="majorHAnsi" w:cstheme="majorHAnsi"/>
        </w:rPr>
        <w:t xml:space="preserve">This is a new </w:t>
      </w:r>
      <w:r w:rsidRPr="003D40E4" w:rsidR="00072B84">
        <w:rPr>
          <w:rFonts w:asciiTheme="majorHAnsi" w:hAnsiTheme="majorHAnsi" w:cstheme="majorHAnsi"/>
        </w:rPr>
        <w:t>credit and</w:t>
      </w:r>
      <w:r w:rsidRPr="003D40E4" w:rsidR="008B6C36">
        <w:rPr>
          <w:rFonts w:asciiTheme="majorHAnsi" w:hAnsiTheme="majorHAnsi" w:cstheme="majorHAnsi"/>
        </w:rPr>
        <w:t xml:space="preserve"> will only be viable for one tax year.</w:t>
      </w:r>
    </w:p>
    <w:p w:rsidRPr="003D40E4" w:rsidR="00B65972" w:rsidRDefault="00B65972" w14:paraId="12A22773" w14:textId="77777777">
      <w:pPr>
        <w:rPr>
          <w:rFonts w:asciiTheme="majorHAnsi" w:hAnsiTheme="majorHAnsi" w:cstheme="majorHAnsi"/>
        </w:rPr>
      </w:pPr>
    </w:p>
    <w:p w:rsidRPr="003D40E4" w:rsidR="00FC7032" w:rsidRDefault="00FC7032" w14:paraId="71D02C62" w14:textId="77777777">
      <w:pPr>
        <w:pStyle w:val="Level1"/>
        <w:tabs>
          <w:tab w:val="left" w:pos="-1440"/>
          <w:tab w:val="num" w:pos="720"/>
        </w:tabs>
        <w:rPr>
          <w:rFonts w:asciiTheme="majorHAnsi" w:hAnsiTheme="majorHAnsi" w:cstheme="majorHAnsi"/>
        </w:rPr>
      </w:pPr>
      <w:r w:rsidRPr="003D40E4">
        <w:rPr>
          <w:rFonts w:asciiTheme="majorHAnsi" w:hAnsiTheme="majorHAnsi" w:cstheme="majorHAnsi"/>
          <w:u w:val="single"/>
        </w:rPr>
        <w:t>USE OF IMPROVED INFORMATION TECHNOLOGY TO REDUCE BURDEN</w:t>
      </w:r>
    </w:p>
    <w:p w:rsidRPr="003D40E4" w:rsidR="00FC7032" w:rsidRDefault="00FC7032" w14:paraId="5A43A1FD" w14:textId="77777777">
      <w:pPr>
        <w:rPr>
          <w:rFonts w:asciiTheme="majorHAnsi" w:hAnsiTheme="majorHAnsi" w:cstheme="majorHAnsi"/>
        </w:rPr>
      </w:pPr>
    </w:p>
    <w:p w:rsidRPr="003D40E4" w:rsidR="00FC7032" w:rsidRDefault="008B6C36" w14:paraId="6FAA4072" w14:textId="61F6FCBC">
      <w:pPr>
        <w:ind w:left="720"/>
        <w:rPr>
          <w:rFonts w:asciiTheme="majorHAnsi" w:hAnsiTheme="majorHAnsi" w:cstheme="majorHAnsi"/>
        </w:rPr>
      </w:pPr>
      <w:r w:rsidRPr="003D40E4">
        <w:rPr>
          <w:rFonts w:asciiTheme="majorHAnsi" w:hAnsiTheme="majorHAnsi" w:cstheme="majorHAnsi"/>
        </w:rPr>
        <w:t xml:space="preserve">Form 5884-D will </w:t>
      </w:r>
      <w:r w:rsidRPr="003D40E4" w:rsidR="005E33DD">
        <w:rPr>
          <w:rFonts w:asciiTheme="majorHAnsi" w:hAnsiTheme="majorHAnsi" w:cstheme="majorHAnsi"/>
        </w:rPr>
        <w:t>be filed on paper as it is not practical to electronically enable the form given the time-sensitivity in issuing it and the short-term nature of its use.</w:t>
      </w:r>
      <w:r w:rsidRPr="003D40E4" w:rsidR="00072B84">
        <w:rPr>
          <w:rFonts w:asciiTheme="majorHAnsi" w:hAnsiTheme="majorHAnsi" w:cstheme="majorHAnsi"/>
        </w:rPr>
        <w:t xml:space="preserve">  </w:t>
      </w:r>
      <w:r w:rsidRPr="003D40E4" w:rsidR="005E33DD">
        <w:rPr>
          <w:rFonts w:asciiTheme="majorHAnsi" w:hAnsiTheme="majorHAnsi" w:cstheme="majorHAnsi"/>
        </w:rPr>
        <w:t>P</w:t>
      </w:r>
      <w:r w:rsidRPr="003D40E4">
        <w:rPr>
          <w:rFonts w:asciiTheme="majorHAnsi" w:hAnsiTheme="majorHAnsi" w:cstheme="majorHAnsi"/>
        </w:rPr>
        <w:t>aper versions of this form must be sent to: Department of the Treasury, Internal Revenue Service, Ogden UT, 84201.</w:t>
      </w:r>
    </w:p>
    <w:p w:rsidRPr="003D40E4" w:rsidR="00072B84" w:rsidRDefault="00072B84" w14:paraId="5B4AA577" w14:textId="59BAB905">
      <w:pPr>
        <w:ind w:left="720"/>
        <w:rPr>
          <w:rFonts w:asciiTheme="majorHAnsi" w:hAnsiTheme="majorHAnsi" w:cstheme="majorHAnsi"/>
        </w:rPr>
      </w:pPr>
    </w:p>
    <w:p w:rsidRPr="003D40E4" w:rsidR="00FC7032" w:rsidRDefault="00FC7032" w14:paraId="0A757C37" w14:textId="77777777">
      <w:pPr>
        <w:pStyle w:val="Level1"/>
        <w:tabs>
          <w:tab w:val="left" w:pos="-1440"/>
          <w:tab w:val="num" w:pos="720"/>
        </w:tabs>
        <w:rPr>
          <w:rFonts w:asciiTheme="majorHAnsi" w:hAnsiTheme="majorHAnsi" w:cstheme="majorHAnsi"/>
        </w:rPr>
      </w:pPr>
      <w:r w:rsidRPr="003D40E4">
        <w:rPr>
          <w:rFonts w:asciiTheme="majorHAnsi" w:hAnsiTheme="majorHAnsi" w:cstheme="majorHAnsi"/>
          <w:u w:val="single"/>
        </w:rPr>
        <w:t>EFFORTS TO IDENTIFY DUPLICATION</w:t>
      </w:r>
    </w:p>
    <w:p w:rsidRPr="00D12D23" w:rsidR="00FC7032" w:rsidRDefault="00FC7032" w14:paraId="582AFE5B" w14:textId="77777777">
      <w:pPr>
        <w:rPr>
          <w:rFonts w:asciiTheme="minorHAnsi" w:hAnsiTheme="minorHAnsi" w:cstheme="minorHAnsi"/>
        </w:rPr>
      </w:pPr>
    </w:p>
    <w:p w:rsidRPr="00D12D23" w:rsidR="00FC7032" w:rsidP="008B6C36" w:rsidRDefault="000E06B8" w14:paraId="046CC1A1" w14:textId="01102C38">
      <w:pPr>
        <w:ind w:left="720"/>
        <w:rPr>
          <w:rFonts w:asciiTheme="minorHAnsi" w:hAnsiTheme="minorHAnsi" w:cstheme="minorHAnsi"/>
          <w:iCs/>
        </w:rPr>
      </w:pPr>
      <w:r w:rsidRPr="00D12D23">
        <w:rPr>
          <w:rFonts w:asciiTheme="minorHAnsi" w:hAnsiTheme="minorHAnsi" w:cstheme="minorHAnsi"/>
          <w:iCs/>
        </w:rPr>
        <w:t>The information obtained through this collection is unique and is not already available for use or adaptation from another source.</w:t>
      </w:r>
    </w:p>
    <w:p w:rsidRPr="00D12D23" w:rsidR="005E33DD" w:rsidP="008B6C36" w:rsidRDefault="005E33DD" w14:paraId="647D0F06" w14:textId="77777777">
      <w:pPr>
        <w:ind w:left="720"/>
        <w:rPr>
          <w:rFonts w:asciiTheme="minorHAnsi" w:hAnsiTheme="minorHAnsi" w:cstheme="minorHAnsi"/>
          <w:iCs/>
        </w:rPr>
      </w:pPr>
    </w:p>
    <w:p w:rsidRPr="003D40E4" w:rsidR="00FC7032" w:rsidRDefault="00FC7032" w14:paraId="5B4CE56C" w14:textId="77777777">
      <w:pPr>
        <w:pStyle w:val="Level1"/>
        <w:tabs>
          <w:tab w:val="left" w:pos="-1440"/>
          <w:tab w:val="num" w:pos="720"/>
        </w:tabs>
        <w:rPr>
          <w:rFonts w:asciiTheme="majorHAnsi" w:hAnsiTheme="majorHAnsi" w:cstheme="majorHAnsi"/>
        </w:rPr>
      </w:pPr>
      <w:r w:rsidRPr="003D40E4">
        <w:rPr>
          <w:rFonts w:asciiTheme="majorHAnsi" w:hAnsiTheme="majorHAnsi" w:cstheme="majorHAnsi"/>
          <w:u w:val="single"/>
        </w:rPr>
        <w:t>METHODS TO MINIMIZE BURDEN ON SMALL BUSINESSES OR OTHER</w:t>
      </w:r>
      <w:r w:rsidRPr="003D40E4" w:rsidR="008B6C36">
        <w:rPr>
          <w:rFonts w:asciiTheme="majorHAnsi" w:hAnsiTheme="majorHAnsi" w:cstheme="majorHAnsi"/>
          <w:u w:val="single"/>
        </w:rPr>
        <w:t xml:space="preserve"> </w:t>
      </w:r>
      <w:r w:rsidRPr="003D40E4">
        <w:rPr>
          <w:rFonts w:asciiTheme="majorHAnsi" w:hAnsiTheme="majorHAnsi" w:cstheme="majorHAnsi"/>
          <w:u w:val="single"/>
        </w:rPr>
        <w:t>SMALL ENTITIES</w:t>
      </w:r>
    </w:p>
    <w:p w:rsidRPr="003D40E4" w:rsidR="00FC7032" w:rsidRDefault="00FC7032" w14:paraId="300A5952" w14:textId="77777777">
      <w:pPr>
        <w:rPr>
          <w:rFonts w:asciiTheme="majorHAnsi" w:hAnsiTheme="majorHAnsi" w:cstheme="majorHAnsi"/>
        </w:rPr>
      </w:pPr>
    </w:p>
    <w:p w:rsidRPr="003D40E4" w:rsidR="00072B84" w:rsidP="00072B84" w:rsidRDefault="00072B84" w14:paraId="52962102" w14:textId="7002D193">
      <w:pPr>
        <w:spacing w:line="276" w:lineRule="auto"/>
        <w:ind w:left="720"/>
        <w:rPr>
          <w:rFonts w:asciiTheme="majorHAnsi" w:hAnsiTheme="majorHAnsi" w:cstheme="majorHAnsi"/>
        </w:rPr>
      </w:pPr>
      <w:r w:rsidRPr="003D40E4">
        <w:rPr>
          <w:rFonts w:asciiTheme="majorHAnsi" w:hAnsiTheme="majorHAnsi" w:cstheme="majorHAnsi"/>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information requested is the minimum required to claim the credit and there is no provision to further reduce the burden for small entities. </w:t>
      </w:r>
    </w:p>
    <w:p w:rsidRPr="003D40E4" w:rsidR="00740672" w:rsidRDefault="00740672" w14:paraId="55EA2E28" w14:textId="77777777">
      <w:pPr>
        <w:rPr>
          <w:rFonts w:asciiTheme="majorHAnsi" w:hAnsiTheme="majorHAnsi" w:cstheme="majorHAnsi"/>
        </w:rPr>
      </w:pPr>
    </w:p>
    <w:p w:rsidRPr="003D40E4" w:rsidR="00FC7032" w:rsidRDefault="00FC7032" w14:paraId="13F98874" w14:textId="77777777">
      <w:pPr>
        <w:pStyle w:val="Level1"/>
        <w:tabs>
          <w:tab w:val="left" w:pos="-1440"/>
          <w:tab w:val="num" w:pos="720"/>
        </w:tabs>
        <w:rPr>
          <w:rFonts w:asciiTheme="majorHAnsi" w:hAnsiTheme="majorHAnsi" w:cstheme="majorHAnsi"/>
        </w:rPr>
      </w:pPr>
      <w:r w:rsidRPr="003D40E4">
        <w:rPr>
          <w:rFonts w:asciiTheme="majorHAnsi" w:hAnsiTheme="majorHAnsi" w:cstheme="majorHAnsi"/>
          <w:u w:val="single"/>
        </w:rPr>
        <w:t>CONSEQUENCES OF LESS FREQUENT COLLECTION ON FEDERAL PROGRAMS OR POLICY ACTIVITIES</w:t>
      </w:r>
    </w:p>
    <w:p w:rsidRPr="003D40E4" w:rsidR="00FC7032" w:rsidRDefault="00FC7032" w14:paraId="66F48E66" w14:textId="77777777">
      <w:pPr>
        <w:rPr>
          <w:rFonts w:asciiTheme="majorHAnsi" w:hAnsiTheme="majorHAnsi" w:cstheme="majorHAnsi"/>
        </w:rPr>
      </w:pPr>
    </w:p>
    <w:p w:rsidRPr="003D40E4" w:rsidR="00FC7032" w:rsidP="00A859FA" w:rsidRDefault="00740672" w14:paraId="79077B6F" w14:textId="6B05A2F2">
      <w:pPr>
        <w:ind w:left="720"/>
        <w:rPr>
          <w:rFonts w:asciiTheme="majorHAnsi" w:hAnsiTheme="majorHAnsi" w:cstheme="majorHAnsi"/>
        </w:rPr>
      </w:pPr>
      <w:r w:rsidRPr="003D40E4">
        <w:rPr>
          <w:rFonts w:asciiTheme="majorHAnsi" w:hAnsiTheme="majorHAnsi" w:cstheme="majorHAnsi"/>
        </w:rPr>
        <w:t xml:space="preserve">This a new program and it is voluntary. </w:t>
      </w:r>
      <w:r w:rsidRPr="003D40E4" w:rsidR="008B6C36">
        <w:rPr>
          <w:rFonts w:asciiTheme="majorHAnsi" w:hAnsiTheme="majorHAnsi" w:cstheme="majorHAnsi"/>
        </w:rPr>
        <w:t>Employers</w:t>
      </w:r>
      <w:r w:rsidRPr="003D40E4">
        <w:rPr>
          <w:rFonts w:asciiTheme="majorHAnsi" w:hAnsiTheme="majorHAnsi" w:cstheme="majorHAnsi"/>
        </w:rPr>
        <w:t xml:space="preserve"> can claim or elect not to claim the employe</w:t>
      </w:r>
      <w:r w:rsidRPr="003D40E4" w:rsidR="00DC1D23">
        <w:rPr>
          <w:rFonts w:asciiTheme="majorHAnsi" w:hAnsiTheme="majorHAnsi" w:cstheme="majorHAnsi"/>
        </w:rPr>
        <w:t xml:space="preserve">e retention credit for certain tax-exempt organizations affected by qualified disasters. </w:t>
      </w:r>
    </w:p>
    <w:p w:rsidRPr="003D40E4" w:rsidR="00A859FA" w:rsidP="00A859FA" w:rsidRDefault="00A859FA" w14:paraId="52491486" w14:textId="77777777">
      <w:pPr>
        <w:ind w:left="720"/>
        <w:rPr>
          <w:rFonts w:asciiTheme="majorHAnsi" w:hAnsiTheme="majorHAnsi" w:cstheme="majorHAnsi"/>
          <w:color w:val="FF0000"/>
        </w:rPr>
      </w:pPr>
    </w:p>
    <w:p w:rsidRPr="003D40E4" w:rsidR="00811877" w:rsidRDefault="00811877" w14:paraId="2F174D1B" w14:textId="77777777">
      <w:pPr>
        <w:rPr>
          <w:rFonts w:asciiTheme="majorHAnsi" w:hAnsiTheme="majorHAnsi" w:cstheme="majorHAnsi"/>
        </w:rPr>
        <w:sectPr w:rsidRPr="003D40E4" w:rsidR="00811877" w:rsidSect="00025331">
          <w:footerReference w:type="default" r:id="rId8"/>
          <w:pgSz w:w="12240" w:h="15840"/>
          <w:pgMar w:top="1440" w:right="1440" w:bottom="1440" w:left="1440" w:header="1152" w:footer="1152" w:gutter="0"/>
          <w:cols w:space="720"/>
          <w:noEndnote/>
          <w:docGrid w:linePitch="326"/>
        </w:sectPr>
      </w:pPr>
    </w:p>
    <w:p w:rsidRPr="003D40E4" w:rsidR="00FC7032" w:rsidRDefault="00FC7032" w14:paraId="2BF5E159" w14:textId="77777777">
      <w:pPr>
        <w:pStyle w:val="Level1"/>
        <w:tabs>
          <w:tab w:val="left" w:pos="-1440"/>
          <w:tab w:val="num" w:pos="720"/>
        </w:tabs>
        <w:rPr>
          <w:rFonts w:asciiTheme="majorHAnsi" w:hAnsiTheme="majorHAnsi" w:cstheme="majorHAnsi"/>
        </w:rPr>
      </w:pPr>
      <w:r w:rsidRPr="003D40E4">
        <w:rPr>
          <w:rFonts w:asciiTheme="majorHAnsi" w:hAnsiTheme="majorHAnsi" w:cstheme="majorHAnsi"/>
          <w:u w:val="single"/>
        </w:rPr>
        <w:t>SPECIAL CIRCUMSTANCES REQUIRING DATA COLLECTION TO BE</w:t>
      </w:r>
      <w:r w:rsidRPr="003D40E4" w:rsidR="008B6C36">
        <w:rPr>
          <w:rFonts w:asciiTheme="majorHAnsi" w:hAnsiTheme="majorHAnsi" w:cstheme="majorHAnsi"/>
          <w:u w:val="single"/>
        </w:rPr>
        <w:t xml:space="preserve"> </w:t>
      </w:r>
      <w:r w:rsidRPr="003D40E4">
        <w:rPr>
          <w:rFonts w:asciiTheme="majorHAnsi" w:hAnsiTheme="majorHAnsi" w:cstheme="majorHAnsi"/>
          <w:u w:val="single"/>
        </w:rPr>
        <w:t>INCONSISTENT WITH GUIDELINES IN 5 CFR 1320.5(d)(2)</w:t>
      </w:r>
    </w:p>
    <w:p w:rsidRPr="003D40E4" w:rsidR="00FC7032" w:rsidRDefault="00FC7032" w14:paraId="12D2D353" w14:textId="77777777">
      <w:pPr>
        <w:rPr>
          <w:rFonts w:asciiTheme="majorHAnsi" w:hAnsiTheme="majorHAnsi" w:cstheme="majorHAnsi"/>
        </w:rPr>
      </w:pPr>
    </w:p>
    <w:p w:rsidRPr="003D40E4" w:rsidR="00FC7032" w:rsidRDefault="00722639" w14:paraId="3D01CF46" w14:textId="77777777">
      <w:pPr>
        <w:ind w:left="720"/>
        <w:rPr>
          <w:rFonts w:asciiTheme="majorHAnsi" w:hAnsiTheme="majorHAnsi" w:cstheme="majorHAnsi"/>
        </w:rPr>
      </w:pPr>
      <w:r w:rsidRPr="003D40E4">
        <w:rPr>
          <w:rFonts w:asciiTheme="majorHAnsi" w:hAnsiTheme="majorHAnsi" w:cstheme="majorHAnsi"/>
        </w:rPr>
        <w:t>There are no special circumstances requiring data collection to be inconsistent with guidelines in 5 CFR 1320.5(d)(2)</w:t>
      </w:r>
      <w:r w:rsidRPr="003D40E4" w:rsidR="00FC7032">
        <w:rPr>
          <w:rFonts w:asciiTheme="majorHAnsi" w:hAnsiTheme="majorHAnsi" w:cstheme="majorHAnsi"/>
        </w:rPr>
        <w:t>.</w:t>
      </w:r>
    </w:p>
    <w:p w:rsidRPr="003D40E4" w:rsidR="005B35CC" w:rsidRDefault="005B35CC" w14:paraId="09798C25" w14:textId="77777777">
      <w:pPr>
        <w:ind w:left="720"/>
        <w:rPr>
          <w:rFonts w:asciiTheme="majorHAnsi" w:hAnsiTheme="majorHAnsi" w:cstheme="majorHAnsi"/>
        </w:rPr>
      </w:pPr>
    </w:p>
    <w:p w:rsidRPr="003D40E4" w:rsidR="00FC7032" w:rsidRDefault="00FC7032" w14:paraId="17022782" w14:textId="77777777">
      <w:pPr>
        <w:pStyle w:val="Level1"/>
        <w:tabs>
          <w:tab w:val="left" w:pos="-1440"/>
          <w:tab w:val="num" w:pos="720"/>
        </w:tabs>
        <w:rPr>
          <w:rFonts w:asciiTheme="majorHAnsi" w:hAnsiTheme="majorHAnsi" w:cstheme="majorHAnsi"/>
        </w:rPr>
      </w:pPr>
      <w:r w:rsidRPr="003D40E4">
        <w:rPr>
          <w:rFonts w:asciiTheme="majorHAnsi" w:hAnsiTheme="majorHAnsi" w:cstheme="majorHAnsi"/>
          <w:u w:val="single"/>
        </w:rPr>
        <w:t>CONSULTATION WITH INDIVIDUALS OUTSIDE OF THE AGENCY ON</w:t>
      </w:r>
      <w:r w:rsidRPr="003D40E4">
        <w:rPr>
          <w:rFonts w:asciiTheme="majorHAnsi" w:hAnsiTheme="majorHAnsi" w:cstheme="majorHAnsi"/>
        </w:rPr>
        <w:t xml:space="preserve">     </w:t>
      </w:r>
      <w:r w:rsidRPr="003D40E4">
        <w:rPr>
          <w:rFonts w:asciiTheme="majorHAnsi" w:hAnsiTheme="majorHAnsi" w:cstheme="majorHAnsi"/>
          <w:u w:val="single"/>
        </w:rPr>
        <w:t>AVAILABILITY OF DATA, FREQUENCY OF COLLECTION, CLARITY OF INSTRUCTIONS AND FORMS, AND DATA ELEMENTS</w:t>
      </w:r>
    </w:p>
    <w:p w:rsidRPr="003D40E4" w:rsidR="00FC7032" w:rsidRDefault="00FC7032" w14:paraId="48B26551" w14:textId="77777777">
      <w:pPr>
        <w:rPr>
          <w:rFonts w:asciiTheme="majorHAnsi" w:hAnsiTheme="majorHAnsi" w:cstheme="majorHAnsi"/>
        </w:rPr>
      </w:pPr>
    </w:p>
    <w:p w:rsidRPr="003D40E4" w:rsidR="00BC16CD" w:rsidP="005259C2" w:rsidRDefault="005259C2" w14:paraId="30F3CDFA" w14:textId="77777777">
      <w:pPr>
        <w:ind w:left="720"/>
        <w:jc w:val="both"/>
        <w:rPr>
          <w:rFonts w:asciiTheme="majorHAnsi" w:hAnsiTheme="majorHAnsi" w:cstheme="majorHAnsi"/>
        </w:rPr>
      </w:pPr>
      <w:r w:rsidRPr="003D40E4">
        <w:rPr>
          <w:rFonts w:asciiTheme="majorHAnsi" w:hAnsiTheme="majorHAnsi" w:cstheme="majorHAnsi"/>
        </w:rPr>
        <w:t xml:space="preserve">In </w:t>
      </w:r>
      <w:r w:rsidRPr="003D40E4" w:rsidR="00BC16CD">
        <w:rPr>
          <w:rFonts w:asciiTheme="majorHAnsi" w:hAnsiTheme="majorHAnsi" w:cstheme="majorHAnsi"/>
        </w:rPr>
        <w:t xml:space="preserve">response to the </w:t>
      </w:r>
      <w:r w:rsidRPr="003D40E4">
        <w:rPr>
          <w:rFonts w:asciiTheme="majorHAnsi" w:hAnsiTheme="majorHAnsi" w:cstheme="majorHAnsi"/>
        </w:rPr>
        <w:t>Federal Register</w:t>
      </w:r>
      <w:r w:rsidRPr="003D40E4" w:rsidR="00BC16CD">
        <w:rPr>
          <w:rFonts w:asciiTheme="majorHAnsi" w:hAnsiTheme="majorHAnsi" w:cstheme="majorHAnsi"/>
        </w:rPr>
        <w:t xml:space="preserve"> notice dated July 08, 2021 (86 FR 36187), we received </w:t>
      </w:r>
    </w:p>
    <w:p w:rsidRPr="003D40E4" w:rsidR="005259C2" w:rsidP="005259C2" w:rsidRDefault="00BC16CD" w14:paraId="7EE5AC03" w14:textId="5444D17B">
      <w:pPr>
        <w:ind w:left="720"/>
        <w:jc w:val="both"/>
        <w:rPr>
          <w:rFonts w:asciiTheme="majorHAnsi" w:hAnsiTheme="majorHAnsi" w:cstheme="majorHAnsi"/>
        </w:rPr>
      </w:pPr>
      <w:r w:rsidRPr="003D40E4">
        <w:rPr>
          <w:rFonts w:asciiTheme="majorHAnsi" w:hAnsiTheme="majorHAnsi" w:cstheme="majorHAnsi"/>
        </w:rPr>
        <w:t xml:space="preserve">no </w:t>
      </w:r>
      <w:r w:rsidRPr="003D40E4" w:rsidR="005259C2">
        <w:rPr>
          <w:rFonts w:asciiTheme="majorHAnsi" w:hAnsiTheme="majorHAnsi" w:cstheme="majorHAnsi"/>
        </w:rPr>
        <w:t>comment</w:t>
      </w:r>
      <w:r w:rsidRPr="003D40E4">
        <w:rPr>
          <w:rFonts w:asciiTheme="majorHAnsi" w:hAnsiTheme="majorHAnsi" w:cstheme="majorHAnsi"/>
        </w:rPr>
        <w:t>s</w:t>
      </w:r>
      <w:r w:rsidRPr="003D40E4" w:rsidR="005259C2">
        <w:rPr>
          <w:rFonts w:asciiTheme="majorHAnsi" w:hAnsiTheme="majorHAnsi" w:cstheme="majorHAnsi"/>
        </w:rPr>
        <w:t xml:space="preserve"> during the</w:t>
      </w:r>
      <w:r w:rsidRPr="003D40E4">
        <w:rPr>
          <w:rFonts w:asciiTheme="majorHAnsi" w:hAnsiTheme="majorHAnsi" w:cstheme="majorHAnsi"/>
        </w:rPr>
        <w:t xml:space="preserve"> comment </w:t>
      </w:r>
      <w:r w:rsidRPr="003D40E4" w:rsidR="005259C2">
        <w:rPr>
          <w:rFonts w:asciiTheme="majorHAnsi" w:hAnsiTheme="majorHAnsi" w:cstheme="majorHAnsi"/>
        </w:rPr>
        <w:t xml:space="preserve">period </w:t>
      </w:r>
      <w:r w:rsidRPr="003D40E4">
        <w:rPr>
          <w:rFonts w:asciiTheme="majorHAnsi" w:hAnsiTheme="majorHAnsi" w:cstheme="majorHAnsi"/>
        </w:rPr>
        <w:t>regarding form 5664-D.</w:t>
      </w:r>
    </w:p>
    <w:p w:rsidRPr="003D40E4" w:rsidR="00FC7032" w:rsidP="00AB11B9" w:rsidRDefault="00DB3D7C" w14:paraId="4C04FC41" w14:textId="77777777">
      <w:pPr>
        <w:ind w:left="720"/>
        <w:jc w:val="both"/>
        <w:rPr>
          <w:rFonts w:asciiTheme="majorHAnsi" w:hAnsiTheme="majorHAnsi" w:cstheme="majorHAnsi"/>
        </w:rPr>
      </w:pPr>
      <w:r w:rsidRPr="003D40E4">
        <w:rPr>
          <w:rFonts w:asciiTheme="majorHAnsi" w:hAnsiTheme="majorHAnsi" w:cstheme="majorHAnsi"/>
        </w:rPr>
        <w:t xml:space="preserve"> </w:t>
      </w:r>
    </w:p>
    <w:p w:rsidRPr="003D40E4" w:rsidR="00FC7032" w:rsidRDefault="00FC7032" w14:paraId="764E2B8B" w14:textId="77777777">
      <w:pPr>
        <w:pStyle w:val="Level1"/>
        <w:tabs>
          <w:tab w:val="left" w:pos="-1440"/>
          <w:tab w:val="num" w:pos="720"/>
        </w:tabs>
        <w:jc w:val="both"/>
        <w:rPr>
          <w:rFonts w:asciiTheme="majorHAnsi" w:hAnsiTheme="majorHAnsi" w:cstheme="majorHAnsi"/>
        </w:rPr>
      </w:pPr>
      <w:r w:rsidRPr="003D40E4">
        <w:rPr>
          <w:rFonts w:asciiTheme="majorHAnsi" w:hAnsiTheme="majorHAnsi" w:cstheme="majorHAnsi"/>
          <w:u w:val="single"/>
        </w:rPr>
        <w:t>EXPLANATION OF DECISION TO PROVIDE ANY PAYMENT OR GIFT TO</w:t>
      </w:r>
      <w:r w:rsidRPr="003D40E4" w:rsidR="00DD72BA">
        <w:rPr>
          <w:rFonts w:asciiTheme="majorHAnsi" w:hAnsiTheme="majorHAnsi" w:cstheme="majorHAnsi"/>
          <w:u w:val="single"/>
        </w:rPr>
        <w:t xml:space="preserve"> </w:t>
      </w:r>
      <w:r w:rsidRPr="003D40E4">
        <w:rPr>
          <w:rFonts w:asciiTheme="majorHAnsi" w:hAnsiTheme="majorHAnsi" w:cstheme="majorHAnsi"/>
          <w:u w:val="single"/>
        </w:rPr>
        <w:t>RESPONDENTS</w:t>
      </w:r>
    </w:p>
    <w:p w:rsidRPr="003D40E4" w:rsidR="00FC7032" w:rsidRDefault="00FC7032" w14:paraId="2FE95CD9" w14:textId="77777777">
      <w:pPr>
        <w:jc w:val="both"/>
        <w:rPr>
          <w:rFonts w:asciiTheme="majorHAnsi" w:hAnsiTheme="majorHAnsi" w:cstheme="majorHAnsi"/>
        </w:rPr>
      </w:pPr>
    </w:p>
    <w:p w:rsidRPr="003D40E4" w:rsidR="00AB11B9" w:rsidP="00AB11B9" w:rsidRDefault="00AB11B9" w14:paraId="269BB34C" w14:textId="77777777">
      <w:pPr>
        <w:ind w:firstLine="720"/>
        <w:jc w:val="both"/>
        <w:rPr>
          <w:rFonts w:asciiTheme="majorHAnsi" w:hAnsiTheme="majorHAnsi" w:cstheme="majorHAnsi"/>
        </w:rPr>
      </w:pPr>
      <w:r w:rsidRPr="003D40E4">
        <w:rPr>
          <w:rFonts w:asciiTheme="majorHAnsi" w:hAnsiTheme="majorHAnsi" w:cstheme="majorHAnsi"/>
        </w:rPr>
        <w:t>No payment or gift will be provided to any respondents.</w:t>
      </w:r>
    </w:p>
    <w:p w:rsidRPr="003D40E4" w:rsidR="00FC7032" w:rsidRDefault="00FC7032" w14:paraId="3E3A2282" w14:textId="403DB96D">
      <w:pPr>
        <w:jc w:val="both"/>
        <w:rPr>
          <w:rFonts w:asciiTheme="majorHAnsi" w:hAnsiTheme="majorHAnsi" w:cstheme="majorHAnsi"/>
        </w:rPr>
      </w:pPr>
    </w:p>
    <w:p w:rsidRPr="003D40E4" w:rsidR="00FC7032" w:rsidRDefault="00FC7032" w14:paraId="574A9C08" w14:textId="77777777">
      <w:pPr>
        <w:pStyle w:val="Level1"/>
        <w:tabs>
          <w:tab w:val="left" w:pos="-1440"/>
          <w:tab w:val="num" w:pos="720"/>
        </w:tabs>
        <w:jc w:val="both"/>
        <w:rPr>
          <w:rFonts w:asciiTheme="majorHAnsi" w:hAnsiTheme="majorHAnsi" w:cstheme="majorHAnsi"/>
        </w:rPr>
      </w:pPr>
      <w:r w:rsidRPr="003D40E4">
        <w:rPr>
          <w:rFonts w:asciiTheme="majorHAnsi" w:hAnsiTheme="majorHAnsi" w:cstheme="majorHAnsi"/>
          <w:u w:val="single"/>
        </w:rPr>
        <w:t>ASSURANCE OF CONFIDENTIALITY OF RESPONSES</w:t>
      </w:r>
    </w:p>
    <w:p w:rsidRPr="003D40E4" w:rsidR="00FC7032" w:rsidRDefault="00FC7032" w14:paraId="6450D1B2" w14:textId="77777777">
      <w:pPr>
        <w:jc w:val="both"/>
        <w:rPr>
          <w:rFonts w:asciiTheme="majorHAnsi" w:hAnsiTheme="majorHAnsi" w:cstheme="majorHAnsi"/>
        </w:rPr>
      </w:pPr>
    </w:p>
    <w:p w:rsidRPr="003D40E4" w:rsidR="00FC7032" w:rsidRDefault="00FC7032" w14:paraId="0B897DFF" w14:textId="77777777">
      <w:pPr>
        <w:ind w:left="720"/>
        <w:jc w:val="both"/>
        <w:rPr>
          <w:rFonts w:asciiTheme="majorHAnsi" w:hAnsiTheme="majorHAnsi" w:cstheme="majorHAnsi"/>
        </w:rPr>
      </w:pPr>
      <w:r w:rsidRPr="003D40E4">
        <w:rPr>
          <w:rFonts w:asciiTheme="majorHAnsi" w:hAnsiTheme="majorHAnsi" w:cstheme="majorHAnsi"/>
        </w:rPr>
        <w:t>Generally, tax returns and tax return information are confidential as required by 26 USC 6103.</w:t>
      </w:r>
    </w:p>
    <w:p w:rsidRPr="003D40E4" w:rsidR="00FC7032" w:rsidRDefault="00FC7032" w14:paraId="34B35B6E" w14:textId="77777777">
      <w:pPr>
        <w:jc w:val="both"/>
        <w:rPr>
          <w:rFonts w:asciiTheme="majorHAnsi" w:hAnsiTheme="majorHAnsi" w:cstheme="majorHAnsi"/>
        </w:rPr>
      </w:pPr>
    </w:p>
    <w:p w:rsidRPr="003D40E4" w:rsidR="00FC7032" w:rsidRDefault="00FC7032" w14:paraId="5FC762DA" w14:textId="77777777">
      <w:pPr>
        <w:pStyle w:val="Level1"/>
        <w:tabs>
          <w:tab w:val="left" w:pos="-1440"/>
          <w:tab w:val="num" w:pos="720"/>
        </w:tabs>
        <w:jc w:val="both"/>
        <w:rPr>
          <w:rFonts w:asciiTheme="majorHAnsi" w:hAnsiTheme="majorHAnsi" w:cstheme="majorHAnsi"/>
          <w:u w:val="single"/>
        </w:rPr>
      </w:pPr>
      <w:r w:rsidRPr="003D40E4">
        <w:rPr>
          <w:rFonts w:asciiTheme="majorHAnsi" w:hAnsiTheme="majorHAnsi" w:cstheme="majorHAnsi"/>
          <w:u w:val="single"/>
        </w:rPr>
        <w:lastRenderedPageBreak/>
        <w:t>JUSTIFICATION OF SENSITIVE QUESTIONS</w:t>
      </w:r>
    </w:p>
    <w:p w:rsidRPr="003D40E4" w:rsidR="00AE1930" w:rsidP="003D294A" w:rsidRDefault="00AE1930" w14:paraId="7F282181" w14:textId="77777777">
      <w:pPr>
        <w:pStyle w:val="Level1"/>
        <w:numPr>
          <w:ilvl w:val="0"/>
          <w:numId w:val="0"/>
        </w:numPr>
        <w:tabs>
          <w:tab w:val="left" w:pos="-1440"/>
        </w:tabs>
        <w:ind w:left="720"/>
        <w:jc w:val="both"/>
        <w:rPr>
          <w:rFonts w:asciiTheme="majorHAnsi" w:hAnsiTheme="majorHAnsi" w:cstheme="majorHAnsi"/>
          <w:u w:val="single"/>
        </w:rPr>
      </w:pPr>
    </w:p>
    <w:p w:rsidRPr="003D40E4" w:rsidR="00AB11B9" w:rsidP="00AB11B9" w:rsidRDefault="00AB11B9" w14:paraId="419A49AD" w14:textId="77777777">
      <w:pPr>
        <w:ind w:left="720"/>
        <w:jc w:val="both"/>
        <w:rPr>
          <w:rFonts w:asciiTheme="majorHAnsi" w:hAnsiTheme="majorHAnsi" w:cstheme="majorHAnsi"/>
          <w:bCs/>
        </w:rPr>
      </w:pPr>
      <w:r w:rsidRPr="003D40E4">
        <w:rPr>
          <w:rFonts w:asciiTheme="majorHAnsi" w:hAnsiTheme="majorHAnsi" w:cstheme="majorHAnsi"/>
          <w:bCs/>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Treasury/IRS 50.222 Tax Exempt and Government Entities (TE/GE) Case Management. The Internal Revenue Service PIA’s can be found at </w:t>
      </w:r>
      <w:hyperlink w:history="1" r:id="rId9">
        <w:r w:rsidRPr="003D40E4">
          <w:rPr>
            <w:rStyle w:val="Hyperlink"/>
            <w:rFonts w:asciiTheme="majorHAnsi" w:hAnsiTheme="majorHAnsi" w:cstheme="majorHAnsi"/>
            <w:bCs/>
          </w:rPr>
          <w:t>https://www.irs.gov/uac/Privacy-Impact-Assessments-PIA</w:t>
        </w:r>
      </w:hyperlink>
      <w:r w:rsidRPr="003D40E4">
        <w:rPr>
          <w:rFonts w:asciiTheme="majorHAnsi" w:hAnsiTheme="majorHAnsi" w:cstheme="majorHAnsi"/>
          <w:bCs/>
        </w:rPr>
        <w:t>.</w:t>
      </w:r>
    </w:p>
    <w:p w:rsidRPr="003D40E4" w:rsidR="00AB11B9" w:rsidP="00AB11B9" w:rsidRDefault="00AB11B9" w14:paraId="57093668" w14:textId="77777777">
      <w:pPr>
        <w:ind w:left="720"/>
        <w:jc w:val="both"/>
        <w:rPr>
          <w:rFonts w:asciiTheme="majorHAnsi" w:hAnsiTheme="majorHAnsi" w:cstheme="majorHAnsi"/>
          <w:bCs/>
        </w:rPr>
      </w:pPr>
    </w:p>
    <w:p w:rsidRPr="003D40E4" w:rsidR="00AB11B9" w:rsidP="00AB11B9" w:rsidRDefault="00AB11B9" w14:paraId="17791557" w14:textId="77777777">
      <w:pPr>
        <w:ind w:left="720"/>
        <w:jc w:val="both"/>
        <w:rPr>
          <w:rFonts w:asciiTheme="majorHAnsi" w:hAnsiTheme="majorHAnsi" w:cstheme="majorHAnsi"/>
          <w:bCs/>
        </w:rPr>
      </w:pPr>
      <w:r w:rsidRPr="003D40E4">
        <w:rPr>
          <w:rFonts w:asciiTheme="majorHAnsi" w:hAnsiTheme="majorHAnsi" w:cstheme="majorHAnsi"/>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3D40E4" w:rsidR="00FC7032" w:rsidP="00CA66AE" w:rsidRDefault="00FC7032" w14:paraId="1B34711E" w14:textId="77777777">
      <w:pPr>
        <w:ind w:left="720"/>
        <w:jc w:val="both"/>
        <w:rPr>
          <w:rFonts w:asciiTheme="majorHAnsi" w:hAnsiTheme="majorHAnsi" w:cstheme="majorHAnsi"/>
        </w:rPr>
      </w:pPr>
    </w:p>
    <w:p w:rsidRPr="003D40E4" w:rsidR="00FC7032" w:rsidRDefault="00FC7032" w14:paraId="45E43C74" w14:textId="77777777">
      <w:pPr>
        <w:pStyle w:val="Level1"/>
        <w:tabs>
          <w:tab w:val="left" w:pos="-1440"/>
          <w:tab w:val="num" w:pos="720"/>
        </w:tabs>
        <w:jc w:val="both"/>
        <w:rPr>
          <w:rFonts w:asciiTheme="majorHAnsi" w:hAnsiTheme="majorHAnsi" w:cstheme="majorHAnsi"/>
          <w:u w:val="single"/>
        </w:rPr>
      </w:pPr>
      <w:r w:rsidRPr="003D40E4">
        <w:rPr>
          <w:rFonts w:asciiTheme="majorHAnsi" w:hAnsiTheme="majorHAnsi" w:cstheme="majorHAnsi"/>
          <w:u w:val="single"/>
        </w:rPr>
        <w:t>ESTIMATED BURDEN OF INFORMATION COLLECTION</w:t>
      </w:r>
    </w:p>
    <w:p w:rsidRPr="003D40E4" w:rsidR="00654CB3" w:rsidP="00AB11B9" w:rsidRDefault="00FC7032" w14:paraId="5FEFFC97" w14:textId="299B3924">
      <w:pPr>
        <w:jc w:val="both"/>
        <w:rPr>
          <w:rFonts w:asciiTheme="majorHAnsi" w:hAnsiTheme="majorHAnsi" w:cstheme="majorHAnsi"/>
        </w:rPr>
      </w:pPr>
      <w:r w:rsidRPr="003D40E4">
        <w:rPr>
          <w:rFonts w:asciiTheme="majorHAnsi" w:hAnsiTheme="majorHAnsi" w:cstheme="majorHAnsi"/>
        </w:rPr>
        <w:t xml:space="preserve">    </w:t>
      </w:r>
      <w:r w:rsidRPr="003D40E4" w:rsidR="00D00E89">
        <w:rPr>
          <w:rFonts w:asciiTheme="majorHAnsi" w:hAnsiTheme="majorHAnsi" w:cstheme="majorHAnsi"/>
        </w:rPr>
        <w:t xml:space="preserve">     </w:t>
      </w:r>
    </w:p>
    <w:p w:rsidRPr="003D40E4" w:rsidR="00D00E89" w:rsidP="00D00E89" w:rsidRDefault="00D00E89" w14:paraId="7D8EB9F4" w14:textId="4FD35255">
      <w:pPr>
        <w:ind w:left="576"/>
        <w:jc w:val="both"/>
        <w:rPr>
          <w:rFonts w:asciiTheme="majorHAnsi" w:hAnsiTheme="majorHAnsi" w:cstheme="majorHAnsi"/>
        </w:rPr>
      </w:pPr>
      <w:r w:rsidRPr="003D40E4">
        <w:rPr>
          <w:rFonts w:asciiTheme="majorHAnsi" w:hAnsiTheme="majorHAnsi" w:cstheme="majorHAnsi"/>
        </w:rPr>
        <w:t xml:space="preserve">Form 5884-D- Employer Retention Credit for Certain Tax-Exempt Organizations Affected                                                                                                   by Qualified Disasters, will be used by a qualified tax-exempt organization (including certain governmental entities) to figure and claim a credit against certain payroll taxes.  File form 5884-D after the organization has filed its employment tax return for the employment tax period for which it is claiming the credit.   </w:t>
      </w:r>
    </w:p>
    <w:p w:rsidRPr="003D40E4" w:rsidR="00633F81" w:rsidP="00D00E89" w:rsidRDefault="00633F81" w14:paraId="790A6DAD" w14:textId="201E8E25">
      <w:pPr>
        <w:ind w:left="576"/>
        <w:jc w:val="both"/>
        <w:rPr>
          <w:rFonts w:asciiTheme="majorHAnsi" w:hAnsiTheme="majorHAnsi" w:cstheme="majorHAnsi"/>
        </w:rPr>
      </w:pPr>
    </w:p>
    <w:p w:rsidRPr="003D40E4" w:rsidR="00633F81" w:rsidP="005D76FD" w:rsidRDefault="00633F81" w14:paraId="3FDB4949" w14:textId="5041088E">
      <w:pPr>
        <w:ind w:left="576" w:hanging="576"/>
        <w:rPr>
          <w:rFonts w:asciiTheme="majorHAnsi" w:hAnsiTheme="majorHAnsi" w:cstheme="majorHAnsi"/>
        </w:rPr>
      </w:pPr>
      <w:r w:rsidRPr="003D40E4">
        <w:rPr>
          <w:rFonts w:asciiTheme="majorHAnsi" w:hAnsiTheme="majorHAnsi" w:cstheme="majorHAnsi"/>
        </w:rPr>
        <w:t xml:space="preserve">  </w:t>
      </w:r>
      <w:r w:rsidRPr="003D40E4" w:rsidR="002E46E7">
        <w:rPr>
          <w:rFonts w:asciiTheme="majorHAnsi" w:hAnsiTheme="majorHAnsi" w:cstheme="majorHAnsi"/>
        </w:rPr>
        <w:t xml:space="preserve">      </w:t>
      </w:r>
      <w:r w:rsidRPr="003D40E4">
        <w:rPr>
          <w:rFonts w:asciiTheme="majorHAnsi" w:hAnsiTheme="majorHAnsi" w:cstheme="majorHAnsi"/>
        </w:rPr>
        <w:t xml:space="preserve">  The estimate of exempt organizations that could file Form </w:t>
      </w:r>
      <w:r w:rsidRPr="003D40E4" w:rsidR="001E5766">
        <w:rPr>
          <w:rFonts w:asciiTheme="majorHAnsi" w:hAnsiTheme="majorHAnsi" w:cstheme="majorHAnsi"/>
        </w:rPr>
        <w:t xml:space="preserve">5884-D is approximately 23,000. The numbers of potential governmental employers that could file Form 5884-D </w:t>
      </w:r>
      <w:proofErr w:type="gramStart"/>
      <w:r w:rsidRPr="003D40E4" w:rsidR="001E5766">
        <w:rPr>
          <w:rFonts w:asciiTheme="majorHAnsi" w:hAnsiTheme="majorHAnsi" w:cstheme="majorHAnsi"/>
        </w:rPr>
        <w:t>filers</w:t>
      </w:r>
      <w:r w:rsidRPr="003D40E4" w:rsidR="003D294A">
        <w:rPr>
          <w:rFonts w:asciiTheme="majorHAnsi" w:hAnsiTheme="majorHAnsi" w:cstheme="majorHAnsi"/>
        </w:rPr>
        <w:t xml:space="preserve">  </w:t>
      </w:r>
      <w:r w:rsidRPr="003D40E4" w:rsidR="002E46E7">
        <w:rPr>
          <w:rFonts w:asciiTheme="majorHAnsi" w:hAnsiTheme="majorHAnsi" w:cstheme="majorHAnsi"/>
        </w:rPr>
        <w:t>ar</w:t>
      </w:r>
      <w:r w:rsidRPr="003D40E4" w:rsidR="003D294A">
        <w:rPr>
          <w:rFonts w:asciiTheme="majorHAnsi" w:hAnsiTheme="majorHAnsi" w:cstheme="majorHAnsi"/>
        </w:rPr>
        <w:t>e</w:t>
      </w:r>
      <w:proofErr w:type="gramEnd"/>
      <w:r w:rsidRPr="003D40E4" w:rsidR="003D294A">
        <w:rPr>
          <w:rFonts w:asciiTheme="majorHAnsi" w:hAnsiTheme="majorHAnsi" w:cstheme="majorHAnsi"/>
        </w:rPr>
        <w:t xml:space="preserve"> </w:t>
      </w:r>
      <w:r w:rsidRPr="003D40E4" w:rsidR="001E5766">
        <w:rPr>
          <w:rFonts w:asciiTheme="majorHAnsi" w:hAnsiTheme="majorHAnsi" w:cstheme="majorHAnsi"/>
        </w:rPr>
        <w:t>100 and 3,200, respectively. Based upon</w:t>
      </w:r>
      <w:r w:rsidRPr="003D40E4" w:rsidR="003D294A">
        <w:rPr>
          <w:rFonts w:asciiTheme="majorHAnsi" w:hAnsiTheme="majorHAnsi" w:cstheme="majorHAnsi"/>
        </w:rPr>
        <w:t xml:space="preserve"> </w:t>
      </w:r>
      <w:r w:rsidRPr="003D40E4" w:rsidR="001E5766">
        <w:rPr>
          <w:rFonts w:asciiTheme="majorHAnsi" w:hAnsiTheme="majorHAnsi" w:cstheme="majorHAnsi"/>
        </w:rPr>
        <w:t>the rough</w:t>
      </w:r>
      <w:r w:rsidRPr="003D40E4" w:rsidR="005D76FD">
        <w:rPr>
          <w:rFonts w:asciiTheme="majorHAnsi" w:hAnsiTheme="majorHAnsi" w:cstheme="majorHAnsi"/>
        </w:rPr>
        <w:t xml:space="preserve"> </w:t>
      </w:r>
      <w:r w:rsidRPr="003D40E4" w:rsidR="003D294A">
        <w:rPr>
          <w:rFonts w:asciiTheme="majorHAnsi" w:hAnsiTheme="majorHAnsi" w:cstheme="majorHAnsi"/>
        </w:rPr>
        <w:t>estimates,</w:t>
      </w:r>
      <w:r w:rsidRPr="003D40E4" w:rsidR="005D76FD">
        <w:rPr>
          <w:rFonts w:asciiTheme="majorHAnsi" w:hAnsiTheme="majorHAnsi" w:cstheme="majorHAnsi"/>
        </w:rPr>
        <w:t xml:space="preserve"> </w:t>
      </w:r>
      <w:r w:rsidRPr="003D40E4" w:rsidR="003D294A">
        <w:rPr>
          <w:rFonts w:asciiTheme="majorHAnsi" w:hAnsiTheme="majorHAnsi" w:cstheme="majorHAnsi"/>
        </w:rPr>
        <w:t>the</w:t>
      </w:r>
      <w:r w:rsidRPr="003D40E4" w:rsidR="001E5766">
        <w:rPr>
          <w:rFonts w:asciiTheme="majorHAnsi" w:hAnsiTheme="majorHAnsi" w:cstheme="majorHAnsi"/>
        </w:rPr>
        <w:t xml:space="preserve"> potential number of Form 5884-D filers is 26,300</w:t>
      </w:r>
      <w:r w:rsidRPr="003D40E4" w:rsidR="003D294A">
        <w:rPr>
          <w:rFonts w:asciiTheme="majorHAnsi" w:hAnsiTheme="majorHAnsi" w:cstheme="majorHAnsi"/>
        </w:rPr>
        <w:t xml:space="preserve">. </w:t>
      </w:r>
      <w:r w:rsidRPr="003D40E4" w:rsidR="001E5766">
        <w:rPr>
          <w:rFonts w:asciiTheme="majorHAnsi" w:hAnsiTheme="majorHAnsi" w:cstheme="majorHAnsi"/>
        </w:rPr>
        <w:t xml:space="preserve">   </w:t>
      </w:r>
      <w:r w:rsidRPr="003D40E4">
        <w:rPr>
          <w:rFonts w:asciiTheme="majorHAnsi" w:hAnsiTheme="majorHAnsi" w:cstheme="majorHAnsi"/>
        </w:rPr>
        <w:t xml:space="preserve">                                                            </w:t>
      </w:r>
      <w:r w:rsidRPr="003D40E4" w:rsidR="001E5766">
        <w:rPr>
          <w:rFonts w:asciiTheme="majorHAnsi" w:hAnsiTheme="majorHAnsi" w:cstheme="majorHAnsi"/>
        </w:rPr>
        <w:t xml:space="preserve">                                                                             </w:t>
      </w:r>
    </w:p>
    <w:p w:rsidRPr="003D40E4" w:rsidR="00D4325D" w:rsidP="00D00E89" w:rsidRDefault="00D4325D" w14:paraId="0A71DDC1" w14:textId="77777777">
      <w:pPr>
        <w:ind w:left="576"/>
        <w:jc w:val="both"/>
        <w:rPr>
          <w:rFonts w:asciiTheme="majorHAnsi" w:hAnsiTheme="majorHAnsi" w:cstheme="majorHAnsi"/>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82"/>
        <w:gridCol w:w="1418"/>
        <w:gridCol w:w="1512"/>
        <w:gridCol w:w="1416"/>
        <w:gridCol w:w="1267"/>
        <w:gridCol w:w="1171"/>
        <w:gridCol w:w="968"/>
      </w:tblGrid>
      <w:tr w:rsidRPr="003D40E4" w:rsidR="00654CB3" w:rsidTr="00483E49" w14:paraId="7ED62002" w14:textId="77777777">
        <w:tc>
          <w:tcPr>
            <w:tcW w:w="1182" w:type="dxa"/>
            <w:shd w:val="clear" w:color="auto" w:fill="auto"/>
            <w:vAlign w:val="bottom"/>
          </w:tcPr>
          <w:p w:rsidRPr="003D40E4" w:rsidR="00654CB3" w:rsidP="008406F7" w:rsidRDefault="00654CB3" w14:paraId="14BA0D84" w14:textId="77777777">
            <w:pPr>
              <w:keepNext/>
              <w:keepLines/>
              <w:numPr>
                <w:ilvl w:val="12"/>
                <w:numId w:val="0"/>
              </w:numPr>
              <w:jc w:val="center"/>
              <w:rPr>
                <w:rFonts w:asciiTheme="majorHAnsi" w:hAnsiTheme="majorHAnsi" w:cstheme="majorHAnsi"/>
                <w:bCs/>
              </w:rPr>
            </w:pPr>
            <w:r w:rsidRPr="003D40E4">
              <w:rPr>
                <w:rFonts w:asciiTheme="majorHAnsi" w:hAnsiTheme="majorHAnsi" w:cstheme="majorHAnsi"/>
                <w:bCs/>
              </w:rPr>
              <w:t>Authority</w:t>
            </w:r>
          </w:p>
        </w:tc>
        <w:tc>
          <w:tcPr>
            <w:tcW w:w="1418" w:type="dxa"/>
            <w:vAlign w:val="bottom"/>
          </w:tcPr>
          <w:p w:rsidRPr="003D40E4" w:rsidR="00654CB3" w:rsidP="008406F7" w:rsidRDefault="00654CB3" w14:paraId="40A54091" w14:textId="77777777">
            <w:pPr>
              <w:keepNext/>
              <w:keepLines/>
              <w:numPr>
                <w:ilvl w:val="12"/>
                <w:numId w:val="0"/>
              </w:numPr>
              <w:jc w:val="center"/>
              <w:rPr>
                <w:rFonts w:asciiTheme="majorHAnsi" w:hAnsiTheme="majorHAnsi" w:cstheme="majorHAnsi"/>
                <w:bCs/>
              </w:rPr>
            </w:pPr>
            <w:r w:rsidRPr="003D40E4">
              <w:rPr>
                <w:rFonts w:asciiTheme="majorHAnsi" w:hAnsiTheme="majorHAnsi" w:cstheme="majorHAnsi"/>
                <w:bCs/>
              </w:rPr>
              <w:t>Description</w:t>
            </w:r>
          </w:p>
        </w:tc>
        <w:tc>
          <w:tcPr>
            <w:tcW w:w="1512" w:type="dxa"/>
            <w:vAlign w:val="bottom"/>
          </w:tcPr>
          <w:p w:rsidRPr="003D40E4" w:rsidR="00654CB3" w:rsidP="008406F7" w:rsidRDefault="00654CB3" w14:paraId="1EAADCAF" w14:textId="77777777">
            <w:pPr>
              <w:keepNext/>
              <w:keepLines/>
              <w:numPr>
                <w:ilvl w:val="12"/>
                <w:numId w:val="0"/>
              </w:numPr>
              <w:jc w:val="center"/>
              <w:rPr>
                <w:rFonts w:asciiTheme="majorHAnsi" w:hAnsiTheme="majorHAnsi" w:cstheme="majorHAnsi"/>
                <w:bCs/>
              </w:rPr>
            </w:pPr>
            <w:r w:rsidRPr="003D40E4">
              <w:rPr>
                <w:rFonts w:asciiTheme="majorHAnsi" w:hAnsiTheme="majorHAnsi" w:cstheme="majorHAnsi"/>
                <w:bCs/>
              </w:rPr>
              <w:t># of Respondents</w:t>
            </w:r>
          </w:p>
        </w:tc>
        <w:tc>
          <w:tcPr>
            <w:tcW w:w="1416" w:type="dxa"/>
            <w:vAlign w:val="bottom"/>
          </w:tcPr>
          <w:p w:rsidRPr="003D40E4" w:rsidR="00654CB3" w:rsidP="008406F7" w:rsidRDefault="00654CB3" w14:paraId="1BE0EF88" w14:textId="77777777">
            <w:pPr>
              <w:keepNext/>
              <w:keepLines/>
              <w:numPr>
                <w:ilvl w:val="12"/>
                <w:numId w:val="0"/>
              </w:numPr>
              <w:jc w:val="center"/>
              <w:rPr>
                <w:rFonts w:asciiTheme="majorHAnsi" w:hAnsiTheme="majorHAnsi" w:cstheme="majorHAnsi"/>
                <w:bCs/>
              </w:rPr>
            </w:pPr>
            <w:r w:rsidRPr="003D40E4">
              <w:rPr>
                <w:rFonts w:asciiTheme="majorHAnsi" w:hAnsiTheme="majorHAnsi" w:cstheme="majorHAnsi"/>
                <w:bCs/>
              </w:rPr>
              <w:t># Responses per Respondent</w:t>
            </w:r>
          </w:p>
        </w:tc>
        <w:tc>
          <w:tcPr>
            <w:tcW w:w="1267" w:type="dxa"/>
            <w:shd w:val="clear" w:color="auto" w:fill="auto"/>
            <w:vAlign w:val="bottom"/>
          </w:tcPr>
          <w:p w:rsidRPr="003D40E4" w:rsidR="00654CB3" w:rsidP="008406F7" w:rsidRDefault="00654CB3" w14:paraId="1F51F299" w14:textId="77777777">
            <w:pPr>
              <w:keepNext/>
              <w:keepLines/>
              <w:numPr>
                <w:ilvl w:val="12"/>
                <w:numId w:val="0"/>
              </w:numPr>
              <w:jc w:val="center"/>
              <w:rPr>
                <w:rFonts w:asciiTheme="majorHAnsi" w:hAnsiTheme="majorHAnsi" w:cstheme="majorHAnsi"/>
                <w:bCs/>
              </w:rPr>
            </w:pPr>
            <w:r w:rsidRPr="003D40E4">
              <w:rPr>
                <w:rFonts w:asciiTheme="majorHAnsi" w:hAnsiTheme="majorHAnsi" w:cstheme="majorHAnsi"/>
                <w:bCs/>
              </w:rPr>
              <w:t>Annual Responses</w:t>
            </w:r>
          </w:p>
        </w:tc>
        <w:tc>
          <w:tcPr>
            <w:tcW w:w="1171" w:type="dxa"/>
            <w:vAlign w:val="bottom"/>
          </w:tcPr>
          <w:p w:rsidRPr="003D40E4" w:rsidR="00654CB3" w:rsidP="008406F7" w:rsidRDefault="00654CB3" w14:paraId="25D4A848" w14:textId="77777777">
            <w:pPr>
              <w:keepNext/>
              <w:keepLines/>
              <w:numPr>
                <w:ilvl w:val="12"/>
                <w:numId w:val="0"/>
              </w:numPr>
              <w:jc w:val="center"/>
              <w:rPr>
                <w:rFonts w:asciiTheme="majorHAnsi" w:hAnsiTheme="majorHAnsi" w:cstheme="majorHAnsi"/>
                <w:bCs/>
              </w:rPr>
            </w:pPr>
            <w:r w:rsidRPr="003D40E4">
              <w:rPr>
                <w:rFonts w:asciiTheme="majorHAnsi" w:hAnsiTheme="majorHAnsi" w:cstheme="majorHAnsi"/>
                <w:bCs/>
              </w:rPr>
              <w:t>Hours per Response</w:t>
            </w:r>
          </w:p>
        </w:tc>
        <w:tc>
          <w:tcPr>
            <w:tcW w:w="968" w:type="dxa"/>
            <w:shd w:val="clear" w:color="auto" w:fill="auto"/>
            <w:vAlign w:val="bottom"/>
          </w:tcPr>
          <w:p w:rsidRPr="003D40E4" w:rsidR="00654CB3" w:rsidP="008406F7" w:rsidRDefault="00654CB3" w14:paraId="6A489DAF" w14:textId="77777777">
            <w:pPr>
              <w:keepNext/>
              <w:keepLines/>
              <w:numPr>
                <w:ilvl w:val="12"/>
                <w:numId w:val="0"/>
              </w:numPr>
              <w:jc w:val="center"/>
              <w:rPr>
                <w:rFonts w:asciiTheme="majorHAnsi" w:hAnsiTheme="majorHAnsi" w:cstheme="majorHAnsi"/>
                <w:bCs/>
              </w:rPr>
            </w:pPr>
            <w:r w:rsidRPr="003D40E4">
              <w:rPr>
                <w:rFonts w:asciiTheme="majorHAnsi" w:hAnsiTheme="majorHAnsi" w:cstheme="majorHAnsi"/>
                <w:bCs/>
              </w:rPr>
              <w:t>Total Burden</w:t>
            </w:r>
          </w:p>
        </w:tc>
      </w:tr>
      <w:tr w:rsidRPr="003D40E4" w:rsidR="00BC16CD" w:rsidTr="00483E49" w14:paraId="6821C3F7" w14:textId="77777777">
        <w:tc>
          <w:tcPr>
            <w:tcW w:w="1182" w:type="dxa"/>
            <w:shd w:val="clear" w:color="auto" w:fill="auto"/>
            <w:vAlign w:val="bottom"/>
          </w:tcPr>
          <w:p w:rsidRPr="003D40E4" w:rsidR="00654CB3" w:rsidP="008406F7" w:rsidRDefault="00654CB3" w14:paraId="7796D9F8" w14:textId="77777777">
            <w:pPr>
              <w:keepNext/>
              <w:keepLines/>
              <w:numPr>
                <w:ilvl w:val="12"/>
                <w:numId w:val="0"/>
              </w:numPr>
              <w:jc w:val="center"/>
              <w:rPr>
                <w:rFonts w:asciiTheme="majorHAnsi" w:hAnsiTheme="majorHAnsi" w:cstheme="majorHAnsi"/>
              </w:rPr>
            </w:pPr>
            <w:r w:rsidRPr="003D40E4">
              <w:rPr>
                <w:rFonts w:asciiTheme="majorHAnsi" w:hAnsiTheme="majorHAnsi" w:cstheme="majorHAnsi"/>
              </w:rPr>
              <w:t xml:space="preserve">IRC </w:t>
            </w:r>
            <w:r w:rsidRPr="003D40E4" w:rsidR="00D0435F">
              <w:rPr>
                <w:rFonts w:asciiTheme="majorHAnsi" w:hAnsiTheme="majorHAnsi" w:cstheme="majorHAnsi"/>
              </w:rPr>
              <w:t xml:space="preserve">§§ </w:t>
            </w:r>
            <w:r w:rsidRPr="003D40E4" w:rsidR="00DD10CF">
              <w:rPr>
                <w:rFonts w:asciiTheme="majorHAnsi" w:hAnsiTheme="majorHAnsi" w:cstheme="majorHAnsi"/>
              </w:rPr>
              <w:t>3111(a)</w:t>
            </w:r>
          </w:p>
        </w:tc>
        <w:tc>
          <w:tcPr>
            <w:tcW w:w="1418" w:type="dxa"/>
            <w:vAlign w:val="bottom"/>
          </w:tcPr>
          <w:p w:rsidRPr="003D40E4" w:rsidR="00654CB3" w:rsidP="008406F7" w:rsidRDefault="00D0435F" w14:paraId="7134F900" w14:textId="77777777">
            <w:pPr>
              <w:keepNext/>
              <w:keepLines/>
              <w:numPr>
                <w:ilvl w:val="12"/>
                <w:numId w:val="0"/>
              </w:numPr>
              <w:jc w:val="center"/>
              <w:rPr>
                <w:rFonts w:asciiTheme="majorHAnsi" w:hAnsiTheme="majorHAnsi" w:cstheme="majorHAnsi"/>
              </w:rPr>
            </w:pPr>
            <w:r w:rsidRPr="003D40E4">
              <w:rPr>
                <w:rFonts w:asciiTheme="majorHAnsi" w:hAnsiTheme="majorHAnsi" w:cstheme="majorHAnsi"/>
              </w:rPr>
              <w:t>F</w:t>
            </w:r>
            <w:r w:rsidRPr="003D40E4" w:rsidR="00DD10CF">
              <w:rPr>
                <w:rFonts w:asciiTheme="majorHAnsi" w:hAnsiTheme="majorHAnsi" w:cstheme="majorHAnsi"/>
              </w:rPr>
              <w:t>5884-D</w:t>
            </w:r>
          </w:p>
        </w:tc>
        <w:tc>
          <w:tcPr>
            <w:tcW w:w="1512" w:type="dxa"/>
            <w:vAlign w:val="bottom"/>
          </w:tcPr>
          <w:p w:rsidRPr="003D40E4" w:rsidR="00654CB3" w:rsidP="008406F7" w:rsidRDefault="005D4831" w14:paraId="18416339" w14:textId="3FF567F2">
            <w:pPr>
              <w:keepNext/>
              <w:keepLines/>
              <w:numPr>
                <w:ilvl w:val="12"/>
                <w:numId w:val="0"/>
              </w:numPr>
              <w:jc w:val="center"/>
              <w:rPr>
                <w:rFonts w:asciiTheme="majorHAnsi" w:hAnsiTheme="majorHAnsi" w:cstheme="majorHAnsi"/>
              </w:rPr>
            </w:pPr>
            <w:r w:rsidRPr="003D40E4">
              <w:rPr>
                <w:rFonts w:asciiTheme="majorHAnsi" w:hAnsiTheme="majorHAnsi" w:cstheme="majorHAnsi"/>
              </w:rPr>
              <w:t>2</w:t>
            </w:r>
            <w:r w:rsidRPr="003D40E4" w:rsidR="001A0263">
              <w:rPr>
                <w:rFonts w:asciiTheme="majorHAnsi" w:hAnsiTheme="majorHAnsi" w:cstheme="majorHAnsi"/>
              </w:rPr>
              <w:t>6,</w:t>
            </w:r>
            <w:r w:rsidRPr="003D40E4">
              <w:rPr>
                <w:rFonts w:asciiTheme="majorHAnsi" w:hAnsiTheme="majorHAnsi" w:cstheme="majorHAnsi"/>
              </w:rPr>
              <w:t>300</w:t>
            </w:r>
          </w:p>
        </w:tc>
        <w:tc>
          <w:tcPr>
            <w:tcW w:w="1416" w:type="dxa"/>
            <w:vAlign w:val="bottom"/>
          </w:tcPr>
          <w:p w:rsidRPr="003D40E4" w:rsidR="00654CB3" w:rsidP="008406F7" w:rsidRDefault="00513A02" w14:paraId="1F883CAE" w14:textId="77777777">
            <w:pPr>
              <w:keepNext/>
              <w:keepLines/>
              <w:numPr>
                <w:ilvl w:val="12"/>
                <w:numId w:val="0"/>
              </w:numPr>
              <w:jc w:val="center"/>
              <w:rPr>
                <w:rFonts w:asciiTheme="majorHAnsi" w:hAnsiTheme="majorHAnsi" w:cstheme="majorHAnsi"/>
              </w:rPr>
            </w:pPr>
            <w:r w:rsidRPr="003D40E4">
              <w:rPr>
                <w:rFonts w:asciiTheme="majorHAnsi" w:hAnsiTheme="majorHAnsi" w:cstheme="majorHAnsi"/>
              </w:rPr>
              <w:t>1</w:t>
            </w:r>
          </w:p>
        </w:tc>
        <w:tc>
          <w:tcPr>
            <w:tcW w:w="1267" w:type="dxa"/>
            <w:shd w:val="clear" w:color="auto" w:fill="auto"/>
            <w:vAlign w:val="bottom"/>
          </w:tcPr>
          <w:p w:rsidRPr="003D40E4" w:rsidR="00654CB3" w:rsidP="008406F7" w:rsidRDefault="005D4831" w14:paraId="488C90D0" w14:textId="7FE90FA9">
            <w:pPr>
              <w:keepNext/>
              <w:keepLines/>
              <w:numPr>
                <w:ilvl w:val="12"/>
                <w:numId w:val="0"/>
              </w:numPr>
              <w:jc w:val="center"/>
              <w:rPr>
                <w:rFonts w:asciiTheme="majorHAnsi" w:hAnsiTheme="majorHAnsi" w:cstheme="majorHAnsi"/>
              </w:rPr>
            </w:pPr>
            <w:r w:rsidRPr="003D40E4">
              <w:rPr>
                <w:rFonts w:asciiTheme="majorHAnsi" w:hAnsiTheme="majorHAnsi" w:cstheme="majorHAnsi"/>
              </w:rPr>
              <w:t>2</w:t>
            </w:r>
            <w:r w:rsidRPr="003D40E4" w:rsidR="001A0263">
              <w:rPr>
                <w:rFonts w:asciiTheme="majorHAnsi" w:hAnsiTheme="majorHAnsi" w:cstheme="majorHAnsi"/>
              </w:rPr>
              <w:t>6,</w:t>
            </w:r>
            <w:r w:rsidRPr="003D40E4">
              <w:rPr>
                <w:rFonts w:asciiTheme="majorHAnsi" w:hAnsiTheme="majorHAnsi" w:cstheme="majorHAnsi"/>
              </w:rPr>
              <w:t>300</w:t>
            </w:r>
          </w:p>
        </w:tc>
        <w:tc>
          <w:tcPr>
            <w:tcW w:w="1171" w:type="dxa"/>
            <w:vAlign w:val="bottom"/>
          </w:tcPr>
          <w:p w:rsidRPr="003D40E4" w:rsidR="00654CB3" w:rsidP="00EF3574" w:rsidRDefault="00EF3574" w14:paraId="539C5ED7" w14:textId="77777777">
            <w:pPr>
              <w:keepNext/>
              <w:keepLines/>
              <w:numPr>
                <w:ilvl w:val="12"/>
                <w:numId w:val="0"/>
              </w:numPr>
              <w:rPr>
                <w:rFonts w:asciiTheme="majorHAnsi" w:hAnsiTheme="majorHAnsi" w:cstheme="majorHAnsi"/>
              </w:rPr>
            </w:pPr>
            <w:r w:rsidRPr="003D40E4">
              <w:rPr>
                <w:rFonts w:asciiTheme="majorHAnsi" w:hAnsiTheme="majorHAnsi" w:cstheme="majorHAnsi"/>
              </w:rPr>
              <w:t xml:space="preserve">     2.23</w:t>
            </w:r>
          </w:p>
        </w:tc>
        <w:tc>
          <w:tcPr>
            <w:tcW w:w="968" w:type="dxa"/>
            <w:shd w:val="clear" w:color="auto" w:fill="auto"/>
            <w:vAlign w:val="bottom"/>
          </w:tcPr>
          <w:p w:rsidRPr="003D40E4" w:rsidR="00654CB3" w:rsidP="008406F7" w:rsidRDefault="00286BE4" w14:paraId="30EF51CC" w14:textId="66376EC2">
            <w:pPr>
              <w:keepNext/>
              <w:keepLines/>
              <w:numPr>
                <w:ilvl w:val="12"/>
                <w:numId w:val="0"/>
              </w:numPr>
              <w:jc w:val="center"/>
              <w:rPr>
                <w:rFonts w:asciiTheme="majorHAnsi" w:hAnsiTheme="majorHAnsi" w:cstheme="majorHAnsi"/>
              </w:rPr>
            </w:pPr>
            <w:r w:rsidRPr="003D40E4">
              <w:rPr>
                <w:rFonts w:asciiTheme="majorHAnsi" w:hAnsiTheme="majorHAnsi" w:cstheme="majorHAnsi"/>
              </w:rPr>
              <w:t>5</w:t>
            </w:r>
            <w:r w:rsidRPr="003D40E4" w:rsidR="005D4831">
              <w:rPr>
                <w:rFonts w:asciiTheme="majorHAnsi" w:hAnsiTheme="majorHAnsi" w:cstheme="majorHAnsi"/>
              </w:rPr>
              <w:t>8</w:t>
            </w:r>
            <w:r w:rsidRPr="003D40E4">
              <w:rPr>
                <w:rFonts w:asciiTheme="majorHAnsi" w:hAnsiTheme="majorHAnsi" w:cstheme="majorHAnsi"/>
              </w:rPr>
              <w:t>,</w:t>
            </w:r>
            <w:r w:rsidRPr="003D40E4" w:rsidR="005D4831">
              <w:rPr>
                <w:rFonts w:asciiTheme="majorHAnsi" w:hAnsiTheme="majorHAnsi" w:cstheme="majorHAnsi"/>
              </w:rPr>
              <w:t>649</w:t>
            </w:r>
          </w:p>
        </w:tc>
      </w:tr>
      <w:tr w:rsidRPr="003D40E4" w:rsidR="00BC16CD" w:rsidTr="00483E49" w14:paraId="76A728C3" w14:textId="77777777">
        <w:tc>
          <w:tcPr>
            <w:tcW w:w="1182" w:type="dxa"/>
            <w:shd w:val="clear" w:color="auto" w:fill="auto"/>
            <w:vAlign w:val="bottom"/>
          </w:tcPr>
          <w:p w:rsidRPr="003D40E4" w:rsidR="00654CB3" w:rsidP="008406F7" w:rsidRDefault="00654CB3" w14:paraId="7267D828" w14:textId="77777777">
            <w:pPr>
              <w:keepNext/>
              <w:keepLines/>
              <w:numPr>
                <w:ilvl w:val="12"/>
                <w:numId w:val="0"/>
              </w:numPr>
              <w:jc w:val="center"/>
              <w:rPr>
                <w:rFonts w:asciiTheme="majorHAnsi" w:hAnsiTheme="majorHAnsi" w:cstheme="majorHAnsi"/>
              </w:rPr>
            </w:pPr>
            <w:r w:rsidRPr="003D40E4">
              <w:rPr>
                <w:rFonts w:asciiTheme="majorHAnsi" w:hAnsiTheme="majorHAnsi" w:cstheme="majorHAnsi"/>
              </w:rPr>
              <w:t>Totals</w:t>
            </w:r>
          </w:p>
        </w:tc>
        <w:tc>
          <w:tcPr>
            <w:tcW w:w="1418" w:type="dxa"/>
            <w:vAlign w:val="bottom"/>
          </w:tcPr>
          <w:p w:rsidRPr="003D40E4" w:rsidR="00654CB3" w:rsidP="008406F7" w:rsidRDefault="00654CB3" w14:paraId="14DC7949" w14:textId="77777777">
            <w:pPr>
              <w:keepNext/>
              <w:keepLines/>
              <w:numPr>
                <w:ilvl w:val="12"/>
                <w:numId w:val="0"/>
              </w:numPr>
              <w:jc w:val="center"/>
              <w:rPr>
                <w:rFonts w:asciiTheme="majorHAnsi" w:hAnsiTheme="majorHAnsi" w:cstheme="majorHAnsi"/>
              </w:rPr>
            </w:pPr>
          </w:p>
        </w:tc>
        <w:tc>
          <w:tcPr>
            <w:tcW w:w="1512" w:type="dxa"/>
            <w:vAlign w:val="bottom"/>
          </w:tcPr>
          <w:p w:rsidRPr="003D40E4" w:rsidR="00654CB3" w:rsidP="008406F7" w:rsidRDefault="00483E49" w14:paraId="692597A5" w14:textId="48558A5F">
            <w:pPr>
              <w:keepNext/>
              <w:keepLines/>
              <w:numPr>
                <w:ilvl w:val="12"/>
                <w:numId w:val="0"/>
              </w:numPr>
              <w:jc w:val="center"/>
              <w:rPr>
                <w:rFonts w:asciiTheme="majorHAnsi" w:hAnsiTheme="majorHAnsi" w:cstheme="majorHAnsi"/>
              </w:rPr>
            </w:pPr>
            <w:r w:rsidRPr="003D40E4">
              <w:rPr>
                <w:rFonts w:asciiTheme="majorHAnsi" w:hAnsiTheme="majorHAnsi" w:cstheme="majorHAnsi"/>
              </w:rPr>
              <w:t>26,300</w:t>
            </w:r>
          </w:p>
        </w:tc>
        <w:tc>
          <w:tcPr>
            <w:tcW w:w="1416" w:type="dxa"/>
            <w:vAlign w:val="bottom"/>
          </w:tcPr>
          <w:p w:rsidRPr="003D40E4" w:rsidR="00654CB3" w:rsidP="008406F7" w:rsidRDefault="00654CB3" w14:paraId="623782A2" w14:textId="77777777">
            <w:pPr>
              <w:keepNext/>
              <w:keepLines/>
              <w:numPr>
                <w:ilvl w:val="12"/>
                <w:numId w:val="0"/>
              </w:numPr>
              <w:jc w:val="center"/>
              <w:rPr>
                <w:rFonts w:asciiTheme="majorHAnsi" w:hAnsiTheme="majorHAnsi" w:cstheme="majorHAnsi"/>
              </w:rPr>
            </w:pPr>
          </w:p>
        </w:tc>
        <w:tc>
          <w:tcPr>
            <w:tcW w:w="1267" w:type="dxa"/>
            <w:shd w:val="clear" w:color="auto" w:fill="auto"/>
            <w:vAlign w:val="bottom"/>
          </w:tcPr>
          <w:p w:rsidRPr="003D40E4" w:rsidR="00654CB3" w:rsidP="001A0263" w:rsidRDefault="00483E49" w14:paraId="069B7E10" w14:textId="6C8081E5">
            <w:pPr>
              <w:keepNext/>
              <w:keepLines/>
              <w:numPr>
                <w:ilvl w:val="12"/>
                <w:numId w:val="0"/>
              </w:numPr>
              <w:rPr>
                <w:rFonts w:asciiTheme="majorHAnsi" w:hAnsiTheme="majorHAnsi" w:cstheme="majorHAnsi"/>
              </w:rPr>
            </w:pPr>
            <w:r w:rsidRPr="003D40E4">
              <w:rPr>
                <w:rFonts w:asciiTheme="majorHAnsi" w:hAnsiTheme="majorHAnsi" w:cstheme="majorHAnsi"/>
              </w:rPr>
              <w:t xml:space="preserve">   26,300</w:t>
            </w:r>
          </w:p>
        </w:tc>
        <w:tc>
          <w:tcPr>
            <w:tcW w:w="1171" w:type="dxa"/>
            <w:vAlign w:val="bottom"/>
          </w:tcPr>
          <w:p w:rsidRPr="003D40E4" w:rsidR="00654CB3" w:rsidP="008406F7" w:rsidRDefault="00654CB3" w14:paraId="163FCCEF" w14:textId="77777777">
            <w:pPr>
              <w:keepNext/>
              <w:keepLines/>
              <w:numPr>
                <w:ilvl w:val="12"/>
                <w:numId w:val="0"/>
              </w:numPr>
              <w:jc w:val="center"/>
              <w:rPr>
                <w:rFonts w:asciiTheme="majorHAnsi" w:hAnsiTheme="majorHAnsi" w:cstheme="majorHAnsi"/>
              </w:rPr>
            </w:pPr>
          </w:p>
        </w:tc>
        <w:tc>
          <w:tcPr>
            <w:tcW w:w="968" w:type="dxa"/>
            <w:shd w:val="clear" w:color="auto" w:fill="auto"/>
            <w:vAlign w:val="bottom"/>
          </w:tcPr>
          <w:p w:rsidRPr="003D40E4" w:rsidR="00654CB3" w:rsidP="008406F7" w:rsidRDefault="00483E49" w14:paraId="28A5AB3E" w14:textId="2BE320C7">
            <w:pPr>
              <w:keepNext/>
              <w:keepLines/>
              <w:numPr>
                <w:ilvl w:val="12"/>
                <w:numId w:val="0"/>
              </w:numPr>
              <w:jc w:val="center"/>
              <w:rPr>
                <w:rFonts w:asciiTheme="majorHAnsi" w:hAnsiTheme="majorHAnsi" w:cstheme="majorHAnsi"/>
              </w:rPr>
            </w:pPr>
            <w:r w:rsidRPr="003D40E4">
              <w:rPr>
                <w:rFonts w:asciiTheme="majorHAnsi" w:hAnsiTheme="majorHAnsi" w:cstheme="majorHAnsi"/>
              </w:rPr>
              <w:t>58,649</w:t>
            </w:r>
          </w:p>
        </w:tc>
      </w:tr>
    </w:tbl>
    <w:p w:rsidRPr="003D40E4" w:rsidR="00654CB3" w:rsidP="00006919" w:rsidRDefault="00654CB3" w14:paraId="05D3A65F" w14:textId="35D0D69A">
      <w:pPr>
        <w:jc w:val="both"/>
        <w:rPr>
          <w:rFonts w:asciiTheme="majorHAnsi" w:hAnsiTheme="majorHAnsi" w:cstheme="majorHAnsi"/>
        </w:rPr>
      </w:pPr>
    </w:p>
    <w:p w:rsidR="00483E49" w:rsidRDefault="00483E49" w14:paraId="51D25440" w14:textId="523B04CB">
      <w:pPr>
        <w:ind w:left="720"/>
        <w:jc w:val="both"/>
        <w:rPr>
          <w:rFonts w:asciiTheme="majorHAnsi" w:hAnsiTheme="majorHAnsi" w:cstheme="majorHAnsi"/>
        </w:rPr>
      </w:pPr>
    </w:p>
    <w:p w:rsidR="00482655" w:rsidRDefault="00482655" w14:paraId="3D33AF18" w14:textId="02D11346">
      <w:pPr>
        <w:ind w:left="720"/>
        <w:jc w:val="both"/>
        <w:rPr>
          <w:rFonts w:asciiTheme="majorHAnsi" w:hAnsiTheme="majorHAnsi" w:cstheme="majorHAnsi"/>
        </w:rPr>
      </w:pPr>
    </w:p>
    <w:p w:rsidRPr="003D40E4" w:rsidR="00482655" w:rsidRDefault="00482655" w14:paraId="29DD18F5" w14:textId="77777777">
      <w:pPr>
        <w:ind w:left="720"/>
        <w:jc w:val="both"/>
        <w:rPr>
          <w:rFonts w:asciiTheme="majorHAnsi" w:hAnsiTheme="majorHAnsi" w:cstheme="majorHAnsi"/>
        </w:rPr>
      </w:pPr>
    </w:p>
    <w:p w:rsidRPr="003D40E4" w:rsidR="00FC7032" w:rsidRDefault="00FC7032" w14:paraId="23A242C9" w14:textId="77777777">
      <w:pPr>
        <w:pStyle w:val="Level1"/>
        <w:tabs>
          <w:tab w:val="left" w:pos="-1440"/>
          <w:tab w:val="num" w:pos="720"/>
        </w:tabs>
        <w:jc w:val="both"/>
        <w:rPr>
          <w:rFonts w:asciiTheme="majorHAnsi" w:hAnsiTheme="majorHAnsi" w:cstheme="majorHAnsi"/>
        </w:rPr>
      </w:pPr>
      <w:r w:rsidRPr="003D40E4">
        <w:rPr>
          <w:rFonts w:asciiTheme="majorHAnsi" w:hAnsiTheme="majorHAnsi" w:cstheme="majorHAnsi"/>
          <w:u w:val="single"/>
        </w:rPr>
        <w:lastRenderedPageBreak/>
        <w:t>ESTIMATED TOTAL ANNUAL COST BURDEN TO RESPONDENTS</w:t>
      </w:r>
    </w:p>
    <w:p w:rsidRPr="003D40E4" w:rsidR="00FC7032" w:rsidRDefault="00FC7032" w14:paraId="22E8DC4F" w14:textId="77777777">
      <w:pPr>
        <w:jc w:val="both"/>
        <w:rPr>
          <w:rFonts w:asciiTheme="majorHAnsi" w:hAnsiTheme="majorHAnsi" w:cstheme="majorHAnsi"/>
        </w:rPr>
      </w:pPr>
      <w:r w:rsidRPr="003D40E4">
        <w:rPr>
          <w:rFonts w:asciiTheme="majorHAnsi" w:hAnsiTheme="majorHAnsi" w:cstheme="majorHAnsi"/>
        </w:rPr>
        <w:t xml:space="preserve">    </w:t>
      </w:r>
    </w:p>
    <w:p w:rsidRPr="003D40E4" w:rsidR="00AB11B9" w:rsidP="00AB11B9" w:rsidRDefault="00AB11B9" w14:paraId="5A587A85" w14:textId="77777777">
      <w:pPr>
        <w:ind w:left="720"/>
        <w:jc w:val="both"/>
        <w:rPr>
          <w:rFonts w:asciiTheme="majorHAnsi" w:hAnsiTheme="majorHAnsi" w:cstheme="majorHAnsi"/>
        </w:rPr>
      </w:pPr>
      <w:r w:rsidRPr="003D40E4">
        <w:rPr>
          <w:rFonts w:asciiTheme="majorHAnsi" w:hAnsiTheme="majorHAnsi" w:cstheme="majorHAns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D40E4" w:rsidR="00072B84" w:rsidRDefault="00072B84" w14:paraId="48EE8A04" w14:textId="77777777">
      <w:pPr>
        <w:jc w:val="both"/>
        <w:rPr>
          <w:rFonts w:asciiTheme="majorHAnsi" w:hAnsiTheme="majorHAnsi" w:cstheme="majorHAnsi"/>
        </w:rPr>
      </w:pPr>
    </w:p>
    <w:p w:rsidRPr="003D40E4" w:rsidR="00FC7032" w:rsidRDefault="00FC7032" w14:paraId="1D0F8CDE" w14:textId="77777777">
      <w:pPr>
        <w:pStyle w:val="Level1"/>
        <w:tabs>
          <w:tab w:val="left" w:pos="-1440"/>
          <w:tab w:val="num" w:pos="720"/>
        </w:tabs>
        <w:jc w:val="both"/>
        <w:rPr>
          <w:rFonts w:asciiTheme="majorHAnsi" w:hAnsiTheme="majorHAnsi" w:cstheme="majorHAnsi"/>
        </w:rPr>
      </w:pPr>
      <w:r w:rsidRPr="003D40E4">
        <w:rPr>
          <w:rFonts w:asciiTheme="majorHAnsi" w:hAnsiTheme="majorHAnsi" w:cstheme="majorHAnsi"/>
          <w:u w:val="single"/>
        </w:rPr>
        <w:t>ESTIMATED ANNUALIZED COST TO THE FEDERAL GOVERNMENT</w:t>
      </w:r>
    </w:p>
    <w:p w:rsidRPr="003D40E4" w:rsidR="00FC7032" w:rsidRDefault="00FC7032" w14:paraId="789BDE3D" w14:textId="77777777">
      <w:pPr>
        <w:jc w:val="both"/>
        <w:rPr>
          <w:rFonts w:asciiTheme="majorHAnsi" w:hAnsiTheme="majorHAnsi" w:cstheme="majorHAnsi"/>
        </w:rPr>
      </w:pPr>
      <w:r w:rsidRPr="003D40E4">
        <w:rPr>
          <w:rFonts w:asciiTheme="majorHAnsi" w:hAnsiTheme="majorHAnsi" w:cstheme="majorHAnsi"/>
        </w:rPr>
        <w:t xml:space="preserve">    </w:t>
      </w:r>
    </w:p>
    <w:p w:rsidRPr="003D40E4" w:rsidR="00FC7032" w:rsidRDefault="00FC7032" w14:paraId="0EA9AFD7" w14:textId="62A1CC60">
      <w:pPr>
        <w:ind w:left="720"/>
        <w:jc w:val="both"/>
        <w:rPr>
          <w:rFonts w:asciiTheme="majorHAnsi" w:hAnsiTheme="majorHAnsi" w:cstheme="majorHAnsi"/>
        </w:rPr>
      </w:pPr>
      <w:r w:rsidRPr="003D40E4">
        <w:rPr>
          <w:rFonts w:asciiTheme="majorHAnsi" w:hAnsiTheme="majorHAnsi" w:cstheme="majorHAnsi"/>
        </w:rPr>
        <w:t>The primary cost to the government consists of the cost of printing Fo</w:t>
      </w:r>
      <w:r w:rsidRPr="003D40E4" w:rsidR="00C05C59">
        <w:rPr>
          <w:rFonts w:asciiTheme="majorHAnsi" w:hAnsiTheme="majorHAnsi" w:cstheme="majorHAnsi"/>
        </w:rPr>
        <w:t xml:space="preserve">rm </w:t>
      </w:r>
      <w:r w:rsidRPr="003D40E4" w:rsidR="00DD10CF">
        <w:rPr>
          <w:rFonts w:asciiTheme="majorHAnsi" w:hAnsiTheme="majorHAnsi" w:cstheme="majorHAnsi"/>
        </w:rPr>
        <w:t>5884-D</w:t>
      </w:r>
      <w:r w:rsidRPr="003D40E4" w:rsidR="00C05C59">
        <w:rPr>
          <w:rFonts w:asciiTheme="majorHAnsi" w:hAnsiTheme="majorHAnsi" w:cstheme="majorHAnsi"/>
        </w:rPr>
        <w:t xml:space="preserve"> and its instructions. </w:t>
      </w:r>
      <w:r w:rsidRPr="003D40E4">
        <w:rPr>
          <w:rFonts w:asciiTheme="majorHAnsi" w:hAnsiTheme="majorHAnsi" w:cstheme="majorHAnsi"/>
        </w:rPr>
        <w:t xml:space="preserve">We estimate that the cost of printing the form </w:t>
      </w:r>
      <w:r w:rsidRPr="003D40E4" w:rsidR="00D83794">
        <w:rPr>
          <w:rFonts w:asciiTheme="majorHAnsi" w:hAnsiTheme="majorHAnsi" w:cstheme="majorHAnsi"/>
        </w:rPr>
        <w:t xml:space="preserve">and instructions </w:t>
      </w:r>
      <w:r w:rsidRPr="003D40E4">
        <w:rPr>
          <w:rFonts w:asciiTheme="majorHAnsi" w:hAnsiTheme="majorHAnsi" w:cstheme="majorHAnsi"/>
        </w:rPr>
        <w:t>is $</w:t>
      </w:r>
      <w:r w:rsidRPr="003D40E4" w:rsidR="00D83794">
        <w:rPr>
          <w:rFonts w:asciiTheme="majorHAnsi" w:hAnsiTheme="majorHAnsi" w:cstheme="majorHAnsi"/>
        </w:rPr>
        <w:t>14</w:t>
      </w:r>
      <w:r w:rsidRPr="003D40E4">
        <w:rPr>
          <w:rFonts w:asciiTheme="majorHAnsi" w:hAnsiTheme="majorHAnsi" w:cstheme="majorHAnsi"/>
        </w:rPr>
        <w:t>,</w:t>
      </w:r>
      <w:r w:rsidRPr="003D40E4" w:rsidR="00D83794">
        <w:rPr>
          <w:rFonts w:asciiTheme="majorHAnsi" w:hAnsiTheme="majorHAnsi" w:cstheme="majorHAnsi"/>
        </w:rPr>
        <w:t>835</w:t>
      </w:r>
      <w:r w:rsidRPr="003D40E4">
        <w:rPr>
          <w:rFonts w:asciiTheme="majorHAnsi" w:hAnsiTheme="majorHAnsi" w:cstheme="majorHAnsi"/>
        </w:rPr>
        <w:t>.</w:t>
      </w:r>
    </w:p>
    <w:p w:rsidRPr="003D40E4" w:rsidR="00E32F3D" w:rsidP="00E32F3D" w:rsidRDefault="00E32F3D" w14:paraId="3B8CCFBE" w14:textId="77777777">
      <w:pPr>
        <w:ind w:left="720"/>
        <w:rPr>
          <w:rFonts w:asciiTheme="majorHAnsi" w:hAnsiTheme="majorHAnsi" w:cstheme="majorHAnsi"/>
        </w:rPr>
      </w:pPr>
      <w:r w:rsidRPr="003D40E4">
        <w:rPr>
          <w:rFonts w:asciiTheme="majorHAnsi" w:hAnsiTheme="majorHAnsi" w:cstheme="majorHAnsi"/>
        </w:rPr>
        <w:t xml:space="preserve">The estimated annualized cost to the Federal Government is based on a model that considers the following three factors for each information product:  aggregate labor costs for development, including annualized start -up expenses, operating and maintenance expenses, and distribution of the product that collects the information.  </w:t>
      </w:r>
    </w:p>
    <w:p w:rsidRPr="003D40E4" w:rsidR="00E32F3D" w:rsidP="00E32F3D" w:rsidRDefault="00E32F3D" w14:paraId="240A75E8" w14:textId="77777777">
      <w:pPr>
        <w:ind w:left="720"/>
        <w:rPr>
          <w:rFonts w:asciiTheme="majorHAnsi" w:hAnsiTheme="majorHAnsi" w:cstheme="majorHAnsi"/>
        </w:rPr>
      </w:pPr>
    </w:p>
    <w:p w:rsidRPr="003D40E4" w:rsidR="00E32F3D" w:rsidP="00E32F3D" w:rsidRDefault="00E32F3D" w14:paraId="4059FC81" w14:textId="77FC12A1">
      <w:pPr>
        <w:ind w:left="720"/>
        <w:rPr>
          <w:rFonts w:asciiTheme="majorHAnsi" w:hAnsiTheme="majorHAnsi" w:cstheme="majorHAnsi"/>
        </w:rPr>
      </w:pPr>
      <w:r w:rsidRPr="003D40E4">
        <w:rPr>
          <w:rFonts w:asciiTheme="majorHAnsi" w:hAnsiTheme="majorHAnsi" w:cstheme="majorHAnsi"/>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3D40E4" w:rsidR="00F76D52">
        <w:rPr>
          <w:rFonts w:asciiTheme="majorHAnsi" w:hAnsiTheme="majorHAnsi" w:cstheme="majorHAnsi"/>
        </w:rPr>
        <w:t>libraries,</w:t>
      </w:r>
      <w:r w:rsidRPr="003D40E4">
        <w:rPr>
          <w:rFonts w:asciiTheme="majorHAnsi" w:hAnsiTheme="majorHAnsi" w:cstheme="majorHAnsi"/>
        </w:rPr>
        <w:t xml:space="preserve"> and other outlets. The result is the Federal Government estimated annualized cost per product.</w:t>
      </w:r>
    </w:p>
    <w:p w:rsidRPr="003D40E4" w:rsidR="00E32F3D" w:rsidP="00E32F3D" w:rsidRDefault="00E32F3D" w14:paraId="5738B5AE" w14:textId="4CDDE604">
      <w:pPr>
        <w:ind w:left="720"/>
        <w:rPr>
          <w:rFonts w:asciiTheme="majorHAnsi" w:hAnsiTheme="majorHAnsi" w:cstheme="majorHAnsi"/>
          <w:bCs/>
        </w:rPr>
      </w:pPr>
    </w:p>
    <w:p w:rsidR="00E32F3D" w:rsidP="00E32F3D" w:rsidRDefault="00E32F3D" w14:paraId="27145188" w14:textId="746C50B8">
      <w:pPr>
        <w:ind w:left="720"/>
        <w:rPr>
          <w:rFonts w:asciiTheme="majorHAnsi" w:hAnsiTheme="majorHAnsi" w:cstheme="majorHAnsi"/>
        </w:rPr>
      </w:pPr>
      <w:r w:rsidRPr="003D40E4">
        <w:rPr>
          <w:rFonts w:asciiTheme="majorHAnsi" w:hAnsiTheme="majorHAnsi" w:cstheme="majorHAnsi"/>
        </w:rPr>
        <w:t>The federal government estimated annualized cost is as follows:</w:t>
      </w:r>
    </w:p>
    <w:p w:rsidRPr="003D40E4" w:rsidR="00006919" w:rsidP="00E32F3D" w:rsidRDefault="00006919" w14:paraId="7A619747" w14:textId="77777777">
      <w:pPr>
        <w:ind w:left="720"/>
        <w:rPr>
          <w:rFonts w:asciiTheme="majorHAnsi" w:hAnsiTheme="majorHAnsi" w:cstheme="majorHAnsi"/>
        </w:rPr>
      </w:pPr>
    </w:p>
    <w:tbl>
      <w:tblPr>
        <w:tblW w:w="10327" w:type="dxa"/>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0"/>
        <w:gridCol w:w="2070"/>
        <w:gridCol w:w="397"/>
        <w:gridCol w:w="1894"/>
        <w:gridCol w:w="716"/>
        <w:gridCol w:w="3690"/>
      </w:tblGrid>
      <w:tr w:rsidRPr="008C58E6" w:rsidR="00E32F3D" w:rsidTr="00F76D52" w14:paraId="2374A050" w14:textId="77777777">
        <w:trPr>
          <w:trHeight w:val="827"/>
        </w:trPr>
        <w:tc>
          <w:tcPr>
            <w:tcW w:w="1560" w:type="dxa"/>
            <w:vAlign w:val="bottom"/>
          </w:tcPr>
          <w:p w:rsidRPr="008C58E6" w:rsidR="00E32F3D" w:rsidP="008346E4" w:rsidRDefault="00483E49" w14:paraId="51888388" w14:textId="3641CF03">
            <w:pPr>
              <w:keepNext/>
              <w:keepLines/>
              <w:numPr>
                <w:ilvl w:val="12"/>
                <w:numId w:val="0"/>
              </w:numPr>
              <w:jc w:val="center"/>
              <w:rPr>
                <w:rFonts w:ascii="Calibri Light" w:hAnsi="Calibri Light" w:cs="Calibri Light"/>
                <w:bCs/>
              </w:rPr>
            </w:pPr>
            <w:r>
              <w:rPr>
                <w:rFonts w:ascii="Calibri Light" w:hAnsi="Calibri Light" w:cs="Calibri Light"/>
                <w:bCs/>
              </w:rPr>
              <w:t>D</w:t>
            </w:r>
            <w:r w:rsidRPr="008C58E6" w:rsidR="00E32F3D">
              <w:rPr>
                <w:rFonts w:ascii="Calibri Light" w:hAnsi="Calibri Light" w:cs="Calibri Light"/>
                <w:bCs/>
              </w:rPr>
              <w:t>ocuments</w:t>
            </w:r>
          </w:p>
        </w:tc>
        <w:tc>
          <w:tcPr>
            <w:tcW w:w="2070" w:type="dxa"/>
            <w:vAlign w:val="bottom"/>
          </w:tcPr>
          <w:p w:rsidRPr="008C58E6" w:rsidR="00E32F3D" w:rsidP="008346E4" w:rsidRDefault="00E32F3D" w14:paraId="7D2AC9ED" w14:textId="77777777">
            <w:pPr>
              <w:keepNext/>
              <w:keepLines/>
              <w:numPr>
                <w:ilvl w:val="12"/>
                <w:numId w:val="0"/>
              </w:numPr>
              <w:jc w:val="center"/>
              <w:rPr>
                <w:rFonts w:ascii="Calibri Light" w:hAnsi="Calibri Light" w:cs="Calibri Light"/>
                <w:b/>
              </w:rPr>
            </w:pPr>
            <w:r w:rsidRPr="008C58E6">
              <w:rPr>
                <w:rFonts w:ascii="Calibri Light" w:hAnsi="Calibri Light" w:cs="Calibri Light"/>
                <w:bCs/>
                <w:u w:val="single"/>
              </w:rPr>
              <w:t>Aggregate Cost per Product (factor applied)</w:t>
            </w:r>
          </w:p>
        </w:tc>
        <w:tc>
          <w:tcPr>
            <w:tcW w:w="397" w:type="dxa"/>
          </w:tcPr>
          <w:p w:rsidRPr="008C58E6" w:rsidR="00E32F3D" w:rsidP="008346E4" w:rsidRDefault="00E32F3D" w14:paraId="6D917AE9" w14:textId="77777777">
            <w:pPr>
              <w:keepNext/>
              <w:keepLines/>
              <w:numPr>
                <w:ilvl w:val="12"/>
                <w:numId w:val="0"/>
              </w:numPr>
              <w:jc w:val="center"/>
              <w:rPr>
                <w:rFonts w:ascii="Calibri Light" w:hAnsi="Calibri Light" w:cs="Calibri Light"/>
                <w:bCs/>
              </w:rPr>
            </w:pPr>
          </w:p>
        </w:tc>
        <w:tc>
          <w:tcPr>
            <w:tcW w:w="1894" w:type="dxa"/>
            <w:vAlign w:val="bottom"/>
          </w:tcPr>
          <w:p w:rsidRPr="008C58E6" w:rsidR="00E32F3D" w:rsidP="008346E4" w:rsidRDefault="00E32F3D" w14:paraId="0125398E" w14:textId="77777777">
            <w:pPr>
              <w:keepNext/>
              <w:keepLines/>
              <w:numPr>
                <w:ilvl w:val="12"/>
                <w:numId w:val="0"/>
              </w:numPr>
              <w:jc w:val="center"/>
              <w:rPr>
                <w:rFonts w:ascii="Calibri Light" w:hAnsi="Calibri Light" w:cs="Calibri Light"/>
                <w:bCs/>
              </w:rPr>
            </w:pPr>
            <w:r w:rsidRPr="008C58E6">
              <w:rPr>
                <w:rFonts w:ascii="Calibri Light" w:hAnsi="Calibri Light" w:cs="Calibri Light"/>
                <w:bCs/>
              </w:rPr>
              <w:t>Printing and Distribution</w:t>
            </w:r>
          </w:p>
        </w:tc>
        <w:tc>
          <w:tcPr>
            <w:tcW w:w="716" w:type="dxa"/>
          </w:tcPr>
          <w:p w:rsidRPr="008C58E6" w:rsidR="00E32F3D" w:rsidP="008346E4" w:rsidRDefault="00E32F3D" w14:paraId="0C1DA846" w14:textId="77777777">
            <w:pPr>
              <w:keepNext/>
              <w:keepLines/>
              <w:numPr>
                <w:ilvl w:val="12"/>
                <w:numId w:val="0"/>
              </w:numPr>
              <w:jc w:val="center"/>
              <w:rPr>
                <w:rFonts w:ascii="Calibri Light" w:hAnsi="Calibri Light" w:cs="Calibri Light"/>
                <w:bCs/>
                <w:u w:val="single"/>
              </w:rPr>
            </w:pPr>
          </w:p>
        </w:tc>
        <w:tc>
          <w:tcPr>
            <w:tcW w:w="3690" w:type="dxa"/>
            <w:shd w:val="clear" w:color="auto" w:fill="auto"/>
            <w:vAlign w:val="bottom"/>
          </w:tcPr>
          <w:p w:rsidRPr="008C58E6" w:rsidR="00E32F3D" w:rsidP="008346E4" w:rsidRDefault="00E32F3D" w14:paraId="68CD34EF" w14:textId="77777777">
            <w:pPr>
              <w:keepNext/>
              <w:keepLines/>
              <w:numPr>
                <w:ilvl w:val="12"/>
                <w:numId w:val="0"/>
              </w:numPr>
              <w:jc w:val="center"/>
              <w:rPr>
                <w:rFonts w:ascii="Calibri Light" w:hAnsi="Calibri Light" w:cs="Calibri Light"/>
                <w:bCs/>
              </w:rPr>
            </w:pPr>
            <w:r w:rsidRPr="008C58E6">
              <w:rPr>
                <w:rFonts w:ascii="Calibri Light" w:hAnsi="Calibri Light" w:cs="Calibri Light"/>
                <w:bCs/>
                <w:u w:val="single"/>
              </w:rPr>
              <w:t>Government Cost Estimate per Product</w:t>
            </w:r>
          </w:p>
        </w:tc>
      </w:tr>
      <w:tr w:rsidRPr="008C58E6" w:rsidR="00E32F3D" w:rsidTr="00006919" w14:paraId="0DD79573" w14:textId="77777777">
        <w:trPr>
          <w:trHeight w:val="467"/>
        </w:trPr>
        <w:tc>
          <w:tcPr>
            <w:tcW w:w="1560" w:type="dxa"/>
            <w:vAlign w:val="bottom"/>
          </w:tcPr>
          <w:p w:rsidRPr="008C58E6" w:rsidR="00E32F3D" w:rsidP="00025331" w:rsidRDefault="00E32F3D" w14:paraId="6E49EB89" w14:textId="146E22A3">
            <w:pPr>
              <w:keepNext/>
              <w:keepLines/>
              <w:numPr>
                <w:ilvl w:val="12"/>
                <w:numId w:val="0"/>
              </w:numPr>
              <w:jc w:val="center"/>
              <w:rPr>
                <w:rFonts w:ascii="Calibri Light" w:hAnsi="Calibri Light" w:cs="Calibri Light"/>
              </w:rPr>
            </w:pPr>
            <w:r w:rsidRPr="008C58E6">
              <w:rPr>
                <w:rFonts w:ascii="Calibri Light" w:hAnsi="Calibri Light" w:cs="Calibri Light"/>
              </w:rPr>
              <w:t>Form 5884-A</w:t>
            </w:r>
          </w:p>
        </w:tc>
        <w:tc>
          <w:tcPr>
            <w:tcW w:w="2070" w:type="dxa"/>
            <w:vAlign w:val="bottom"/>
          </w:tcPr>
          <w:p w:rsidRPr="008C58E6" w:rsidR="00E32F3D" w:rsidP="008346E4" w:rsidRDefault="00E32F3D" w14:paraId="0DD120C3" w14:textId="111324CF">
            <w:pPr>
              <w:keepNext/>
              <w:keepLines/>
              <w:numPr>
                <w:ilvl w:val="12"/>
                <w:numId w:val="0"/>
              </w:numPr>
              <w:jc w:val="center"/>
              <w:rPr>
                <w:rFonts w:ascii="Calibri Light" w:hAnsi="Calibri Light" w:cs="Calibri Light"/>
              </w:rPr>
            </w:pPr>
            <w:r w:rsidRPr="008C58E6">
              <w:rPr>
                <w:rFonts w:ascii="Calibri Light" w:hAnsi="Calibri Light" w:cs="Calibri Light"/>
              </w:rPr>
              <w:t>$8</w:t>
            </w:r>
            <w:r w:rsidR="00D83794">
              <w:rPr>
                <w:rFonts w:ascii="Calibri Light" w:hAnsi="Calibri Light" w:cs="Calibri Light"/>
              </w:rPr>
              <w:t>,000</w:t>
            </w:r>
          </w:p>
        </w:tc>
        <w:tc>
          <w:tcPr>
            <w:tcW w:w="397" w:type="dxa"/>
            <w:vAlign w:val="bottom"/>
          </w:tcPr>
          <w:p w:rsidRPr="008C58E6" w:rsidR="00E32F3D" w:rsidP="00025331" w:rsidRDefault="00E32F3D" w14:paraId="1C5D9A5E"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p>
        </w:tc>
        <w:tc>
          <w:tcPr>
            <w:tcW w:w="1894" w:type="dxa"/>
            <w:vAlign w:val="bottom"/>
          </w:tcPr>
          <w:p w:rsidRPr="008C58E6" w:rsidR="00E32F3D" w:rsidP="008346E4" w:rsidRDefault="00E32F3D" w14:paraId="4DF7BDDF" w14:textId="77777777">
            <w:pPr>
              <w:keepNext/>
              <w:keepLines/>
              <w:numPr>
                <w:ilvl w:val="12"/>
                <w:numId w:val="0"/>
              </w:numPr>
              <w:jc w:val="center"/>
              <w:rPr>
                <w:rFonts w:ascii="Calibri Light" w:hAnsi="Calibri Light" w:cs="Calibri Light"/>
              </w:rPr>
            </w:pPr>
            <w:r w:rsidRPr="008C58E6">
              <w:rPr>
                <w:rFonts w:ascii="Calibri Light" w:hAnsi="Calibri Light" w:cs="Calibri Light"/>
              </w:rPr>
              <w:t>0</w:t>
            </w:r>
          </w:p>
        </w:tc>
        <w:tc>
          <w:tcPr>
            <w:tcW w:w="716" w:type="dxa"/>
            <w:vAlign w:val="bottom"/>
          </w:tcPr>
          <w:p w:rsidRPr="008C58E6" w:rsidR="00E32F3D" w:rsidP="008346E4" w:rsidRDefault="00E32F3D" w14:paraId="62E11F64"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p>
        </w:tc>
        <w:tc>
          <w:tcPr>
            <w:tcW w:w="3690" w:type="dxa"/>
            <w:shd w:val="clear" w:color="auto" w:fill="auto"/>
            <w:vAlign w:val="bottom"/>
          </w:tcPr>
          <w:p w:rsidRPr="008C58E6" w:rsidR="00E32F3D" w:rsidP="008346E4" w:rsidRDefault="00E32F3D" w14:paraId="717E1AD0" w14:textId="35D6E572">
            <w:pPr>
              <w:keepNext/>
              <w:keepLines/>
              <w:numPr>
                <w:ilvl w:val="12"/>
                <w:numId w:val="0"/>
              </w:numPr>
              <w:jc w:val="center"/>
              <w:rPr>
                <w:rFonts w:ascii="Calibri Light" w:hAnsi="Calibri Light" w:cs="Calibri Light"/>
              </w:rPr>
            </w:pPr>
            <w:r w:rsidRPr="008C58E6">
              <w:rPr>
                <w:rFonts w:ascii="Calibri Light" w:hAnsi="Calibri Light" w:cs="Calibri Light"/>
              </w:rPr>
              <w:t>$</w:t>
            </w:r>
            <w:r w:rsidR="00D83794">
              <w:rPr>
                <w:rFonts w:ascii="Calibri Light" w:hAnsi="Calibri Light" w:cs="Calibri Light"/>
              </w:rPr>
              <w:t>8</w:t>
            </w:r>
            <w:r w:rsidRPr="008C58E6">
              <w:rPr>
                <w:rFonts w:ascii="Calibri Light" w:hAnsi="Calibri Light" w:cs="Calibri Light"/>
              </w:rPr>
              <w:t>,</w:t>
            </w:r>
            <w:r w:rsidR="00D83794">
              <w:rPr>
                <w:rFonts w:ascii="Calibri Light" w:hAnsi="Calibri Light" w:cs="Calibri Light"/>
              </w:rPr>
              <w:t>000</w:t>
            </w:r>
          </w:p>
        </w:tc>
      </w:tr>
      <w:tr w:rsidRPr="008C58E6" w:rsidR="00E32F3D" w:rsidTr="00F76D52" w14:paraId="4083A005" w14:textId="77777777">
        <w:tc>
          <w:tcPr>
            <w:tcW w:w="1560" w:type="dxa"/>
            <w:vAlign w:val="bottom"/>
          </w:tcPr>
          <w:p w:rsidRPr="008C58E6" w:rsidR="00E32F3D" w:rsidP="008346E4" w:rsidRDefault="00E32F3D" w14:paraId="228D283B" w14:textId="77777777">
            <w:pPr>
              <w:keepNext/>
              <w:keepLines/>
              <w:numPr>
                <w:ilvl w:val="12"/>
                <w:numId w:val="0"/>
              </w:numPr>
              <w:jc w:val="center"/>
              <w:rPr>
                <w:rFonts w:ascii="Calibri Light" w:hAnsi="Calibri Light" w:cs="Calibri Light"/>
              </w:rPr>
            </w:pPr>
            <w:r w:rsidRPr="008C58E6">
              <w:rPr>
                <w:rFonts w:ascii="Calibri Light" w:hAnsi="Calibri Light" w:cs="Calibri Light"/>
              </w:rPr>
              <w:t>Instructions</w:t>
            </w:r>
          </w:p>
        </w:tc>
        <w:tc>
          <w:tcPr>
            <w:tcW w:w="2070" w:type="dxa"/>
            <w:vAlign w:val="bottom"/>
          </w:tcPr>
          <w:p w:rsidRPr="008C58E6" w:rsidR="00E32F3D" w:rsidP="008346E4" w:rsidRDefault="00E32F3D" w14:paraId="1C4D35E7" w14:textId="409C8ED0">
            <w:pPr>
              <w:keepNext/>
              <w:keepLines/>
              <w:numPr>
                <w:ilvl w:val="12"/>
                <w:numId w:val="0"/>
              </w:numPr>
              <w:jc w:val="center"/>
              <w:rPr>
                <w:rFonts w:ascii="Calibri Light" w:hAnsi="Calibri Light" w:cs="Calibri Light"/>
              </w:rPr>
            </w:pPr>
            <w:r w:rsidRPr="008C58E6">
              <w:rPr>
                <w:rFonts w:ascii="Calibri Light" w:hAnsi="Calibri Light" w:cs="Calibri Light"/>
              </w:rPr>
              <w:t xml:space="preserve">  $6,835</w:t>
            </w:r>
          </w:p>
        </w:tc>
        <w:tc>
          <w:tcPr>
            <w:tcW w:w="397" w:type="dxa"/>
          </w:tcPr>
          <w:p w:rsidRPr="008C58E6" w:rsidR="00E32F3D" w:rsidP="008346E4" w:rsidRDefault="00E32F3D" w14:paraId="5919A9EC" w14:textId="77777777">
            <w:pPr>
              <w:keepNext/>
              <w:keepLines/>
              <w:numPr>
                <w:ilvl w:val="12"/>
                <w:numId w:val="0"/>
              </w:numPr>
              <w:jc w:val="center"/>
              <w:rPr>
                <w:rFonts w:ascii="Calibri Light" w:hAnsi="Calibri Light" w:cs="Calibri Light"/>
              </w:rPr>
            </w:pPr>
          </w:p>
        </w:tc>
        <w:tc>
          <w:tcPr>
            <w:tcW w:w="1894" w:type="dxa"/>
            <w:vAlign w:val="bottom"/>
          </w:tcPr>
          <w:p w:rsidRPr="008C58E6" w:rsidR="00E32F3D" w:rsidP="008346E4" w:rsidRDefault="00E32F3D" w14:paraId="489895C1" w14:textId="77777777">
            <w:pPr>
              <w:keepNext/>
              <w:keepLines/>
              <w:numPr>
                <w:ilvl w:val="12"/>
                <w:numId w:val="0"/>
              </w:numPr>
              <w:jc w:val="center"/>
              <w:rPr>
                <w:rFonts w:ascii="Calibri Light" w:hAnsi="Calibri Light" w:cs="Calibri Light"/>
              </w:rPr>
            </w:pPr>
            <w:r w:rsidRPr="008C58E6">
              <w:rPr>
                <w:rFonts w:ascii="Calibri Light" w:hAnsi="Calibri Light" w:cs="Calibri Light"/>
              </w:rPr>
              <w:t>0</w:t>
            </w:r>
          </w:p>
        </w:tc>
        <w:tc>
          <w:tcPr>
            <w:tcW w:w="716" w:type="dxa"/>
          </w:tcPr>
          <w:p w:rsidRPr="008C58E6" w:rsidR="00E32F3D" w:rsidP="008346E4" w:rsidRDefault="00E32F3D" w14:paraId="20B5F0D8" w14:textId="77777777">
            <w:pPr>
              <w:keepNext/>
              <w:keepLines/>
              <w:numPr>
                <w:ilvl w:val="12"/>
                <w:numId w:val="0"/>
              </w:numPr>
              <w:jc w:val="center"/>
              <w:rPr>
                <w:rFonts w:ascii="Calibri Light" w:hAnsi="Calibri Light" w:cs="Calibri Light"/>
              </w:rPr>
            </w:pPr>
          </w:p>
        </w:tc>
        <w:tc>
          <w:tcPr>
            <w:tcW w:w="3690" w:type="dxa"/>
            <w:shd w:val="clear" w:color="auto" w:fill="auto"/>
            <w:vAlign w:val="bottom"/>
          </w:tcPr>
          <w:p w:rsidRPr="008C58E6" w:rsidR="00E32F3D" w:rsidP="008346E4" w:rsidRDefault="00E32F3D" w14:paraId="7EE55F3D" w14:textId="0B11B013">
            <w:pPr>
              <w:keepNext/>
              <w:keepLines/>
              <w:numPr>
                <w:ilvl w:val="12"/>
                <w:numId w:val="0"/>
              </w:numPr>
              <w:jc w:val="center"/>
              <w:rPr>
                <w:rFonts w:ascii="Calibri Light" w:hAnsi="Calibri Light" w:cs="Calibri Light"/>
              </w:rPr>
            </w:pPr>
            <w:r w:rsidRPr="008C58E6">
              <w:rPr>
                <w:rFonts w:ascii="Calibri Light" w:hAnsi="Calibri Light" w:cs="Calibri Light"/>
              </w:rPr>
              <w:t xml:space="preserve"> $6,835</w:t>
            </w:r>
          </w:p>
        </w:tc>
      </w:tr>
      <w:tr w:rsidRPr="008C58E6" w:rsidR="00E32F3D" w:rsidTr="00006919" w14:paraId="5E56D6D0" w14:textId="77777777">
        <w:trPr>
          <w:trHeight w:val="404"/>
        </w:trPr>
        <w:tc>
          <w:tcPr>
            <w:tcW w:w="1560" w:type="dxa"/>
            <w:vAlign w:val="bottom"/>
          </w:tcPr>
          <w:p w:rsidRPr="008C58E6" w:rsidR="00E32F3D" w:rsidP="008346E4" w:rsidRDefault="00E32F3D" w14:paraId="2833F47B" w14:textId="77777777">
            <w:pPr>
              <w:keepNext/>
              <w:keepLines/>
              <w:numPr>
                <w:ilvl w:val="12"/>
                <w:numId w:val="0"/>
              </w:numPr>
              <w:jc w:val="center"/>
              <w:rPr>
                <w:rFonts w:ascii="Calibri Light" w:hAnsi="Calibri Light" w:cs="Calibri Light"/>
              </w:rPr>
            </w:pPr>
            <w:r w:rsidRPr="008C58E6">
              <w:rPr>
                <w:rFonts w:ascii="Calibri Light" w:hAnsi="Calibri Light" w:cs="Calibri Light"/>
              </w:rPr>
              <w:t>Grand Total</w:t>
            </w:r>
          </w:p>
        </w:tc>
        <w:tc>
          <w:tcPr>
            <w:tcW w:w="2070" w:type="dxa"/>
            <w:vAlign w:val="bottom"/>
          </w:tcPr>
          <w:p w:rsidRPr="008C58E6" w:rsidR="00E32F3D" w:rsidP="008346E4" w:rsidRDefault="00E32F3D" w14:paraId="6C36DE6F" w14:textId="0F9610DD">
            <w:pPr>
              <w:keepNext/>
              <w:keepLines/>
              <w:numPr>
                <w:ilvl w:val="12"/>
                <w:numId w:val="0"/>
              </w:numPr>
              <w:jc w:val="center"/>
              <w:rPr>
                <w:rFonts w:ascii="Calibri Light" w:hAnsi="Calibri Light" w:cs="Calibri Light"/>
              </w:rPr>
            </w:pPr>
            <w:r w:rsidRPr="008C58E6">
              <w:rPr>
                <w:rFonts w:ascii="Calibri Light" w:hAnsi="Calibri Light" w:cs="Calibri Light"/>
              </w:rPr>
              <w:t>$</w:t>
            </w:r>
            <w:r w:rsidR="00D83794">
              <w:rPr>
                <w:rFonts w:ascii="Calibri Light" w:hAnsi="Calibri Light" w:cs="Calibri Light"/>
              </w:rPr>
              <w:t>14,835</w:t>
            </w:r>
          </w:p>
        </w:tc>
        <w:tc>
          <w:tcPr>
            <w:tcW w:w="397" w:type="dxa"/>
            <w:vAlign w:val="bottom"/>
          </w:tcPr>
          <w:p w:rsidRPr="008C58E6" w:rsidR="00E32F3D" w:rsidP="008346E4" w:rsidRDefault="00E32F3D" w14:paraId="73D76CCA"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p>
        </w:tc>
        <w:tc>
          <w:tcPr>
            <w:tcW w:w="1894" w:type="dxa"/>
            <w:vAlign w:val="bottom"/>
          </w:tcPr>
          <w:p w:rsidRPr="008C58E6" w:rsidR="00E32F3D" w:rsidP="008346E4" w:rsidRDefault="00E32F3D" w14:paraId="2A7563D7" w14:textId="77777777">
            <w:pPr>
              <w:keepNext/>
              <w:keepLines/>
              <w:numPr>
                <w:ilvl w:val="12"/>
                <w:numId w:val="0"/>
              </w:numPr>
              <w:jc w:val="center"/>
              <w:rPr>
                <w:rFonts w:ascii="Calibri Light" w:hAnsi="Calibri Light" w:cs="Calibri Light"/>
              </w:rPr>
            </w:pPr>
            <w:r w:rsidRPr="008C58E6">
              <w:rPr>
                <w:rFonts w:ascii="Calibri Light" w:hAnsi="Calibri Light" w:cs="Calibri Light"/>
              </w:rPr>
              <w:t>0</w:t>
            </w:r>
          </w:p>
        </w:tc>
        <w:tc>
          <w:tcPr>
            <w:tcW w:w="716" w:type="dxa"/>
            <w:vAlign w:val="bottom"/>
          </w:tcPr>
          <w:p w:rsidRPr="008C58E6" w:rsidR="00E32F3D" w:rsidP="008346E4" w:rsidRDefault="00E32F3D" w14:paraId="068092CD" w14:textId="77777777">
            <w:pPr>
              <w:keepNext/>
              <w:keepLines/>
              <w:numPr>
                <w:ilvl w:val="12"/>
                <w:numId w:val="0"/>
              </w:numPr>
              <w:jc w:val="center"/>
              <w:rPr>
                <w:rFonts w:ascii="Calibri Light" w:hAnsi="Calibri Light" w:cs="Calibri Light"/>
              </w:rPr>
            </w:pPr>
            <w:r w:rsidRPr="008C58E6">
              <w:rPr>
                <w:rFonts w:ascii="Calibri Light" w:hAnsi="Calibri Light" w:cs="Calibri Light"/>
              </w:rPr>
              <w:t>=</w:t>
            </w:r>
          </w:p>
        </w:tc>
        <w:tc>
          <w:tcPr>
            <w:tcW w:w="3690" w:type="dxa"/>
            <w:shd w:val="clear" w:color="auto" w:fill="auto"/>
            <w:vAlign w:val="bottom"/>
          </w:tcPr>
          <w:p w:rsidRPr="008C58E6" w:rsidR="00E32F3D" w:rsidP="008346E4" w:rsidRDefault="00E32F3D" w14:paraId="0D8C66F7" w14:textId="1E96B0DE">
            <w:pPr>
              <w:keepNext/>
              <w:keepLines/>
              <w:numPr>
                <w:ilvl w:val="12"/>
                <w:numId w:val="0"/>
              </w:numPr>
              <w:jc w:val="center"/>
              <w:rPr>
                <w:rFonts w:ascii="Calibri Light" w:hAnsi="Calibri Light" w:cs="Calibri Light"/>
              </w:rPr>
            </w:pPr>
            <w:r w:rsidRPr="008C58E6">
              <w:rPr>
                <w:rFonts w:ascii="Calibri Light" w:hAnsi="Calibri Light" w:cs="Calibri Light"/>
              </w:rPr>
              <w:t>$</w:t>
            </w:r>
            <w:r w:rsidR="00D83794">
              <w:rPr>
                <w:rFonts w:ascii="Calibri Light" w:hAnsi="Calibri Light" w:cs="Calibri Light"/>
              </w:rPr>
              <w:t>14,835</w:t>
            </w:r>
          </w:p>
        </w:tc>
      </w:tr>
      <w:tr w:rsidRPr="008C58E6" w:rsidR="00E32F3D" w:rsidTr="00006919" w14:paraId="5D4955AE" w14:textId="77777777">
        <w:trPr>
          <w:trHeight w:val="530"/>
        </w:trPr>
        <w:tc>
          <w:tcPr>
            <w:tcW w:w="10327" w:type="dxa"/>
            <w:gridSpan w:val="6"/>
            <w:vAlign w:val="bottom"/>
          </w:tcPr>
          <w:p w:rsidRPr="008C58E6" w:rsidR="00E32F3D" w:rsidP="00006919" w:rsidRDefault="00E32F3D" w14:paraId="05AD1D4A" w14:textId="4DDED231">
            <w:pPr>
              <w:keepNext/>
              <w:keepLines/>
              <w:numPr>
                <w:ilvl w:val="12"/>
                <w:numId w:val="0"/>
              </w:numPr>
              <w:rPr>
                <w:rFonts w:ascii="Calibri Light" w:hAnsi="Calibri Light" w:cs="Calibri Light"/>
              </w:rPr>
            </w:pPr>
            <w:r w:rsidRPr="008C58E6">
              <w:rPr>
                <w:rFonts w:ascii="Calibri Light" w:hAnsi="Calibri Light" w:cs="Calibri Light"/>
              </w:rPr>
              <w:t xml:space="preserve">Table Costs are based on actuals obtained from IRS Chief Financial Office and Media and Publications </w:t>
            </w:r>
          </w:p>
        </w:tc>
      </w:tr>
    </w:tbl>
    <w:p w:rsidR="00E32F3D" w:rsidRDefault="00E32F3D" w14:paraId="1BD7FAB8" w14:textId="735545B5">
      <w:pPr>
        <w:ind w:left="720"/>
        <w:jc w:val="both"/>
        <w:rPr>
          <w:rFonts w:ascii="Calibri" w:hAnsi="Calibri" w:cs="Calibri"/>
        </w:rPr>
      </w:pPr>
    </w:p>
    <w:p w:rsidRPr="003D40E4" w:rsidR="00FC7032" w:rsidRDefault="00FC7032" w14:paraId="02928B79" w14:textId="77777777">
      <w:pPr>
        <w:pStyle w:val="Level1"/>
        <w:tabs>
          <w:tab w:val="left" w:pos="-1440"/>
          <w:tab w:val="num" w:pos="720"/>
        </w:tabs>
        <w:jc w:val="both"/>
        <w:rPr>
          <w:rFonts w:asciiTheme="majorHAnsi" w:hAnsiTheme="majorHAnsi" w:cstheme="majorHAnsi"/>
        </w:rPr>
      </w:pPr>
      <w:r w:rsidRPr="003D40E4">
        <w:rPr>
          <w:rFonts w:asciiTheme="majorHAnsi" w:hAnsiTheme="majorHAnsi" w:cstheme="majorHAnsi"/>
          <w:u w:val="single"/>
        </w:rPr>
        <w:lastRenderedPageBreak/>
        <w:t>REASONS FOR CHANGE IN BURDEN</w:t>
      </w:r>
    </w:p>
    <w:p w:rsidRPr="003D40E4" w:rsidR="00FC7032" w:rsidRDefault="00FC7032" w14:paraId="4AFD5987" w14:textId="77777777">
      <w:pPr>
        <w:jc w:val="both"/>
        <w:rPr>
          <w:rFonts w:asciiTheme="majorHAnsi" w:hAnsiTheme="majorHAnsi" w:cstheme="majorHAnsi"/>
        </w:rPr>
      </w:pPr>
    </w:p>
    <w:p w:rsidRPr="003D40E4" w:rsidR="00CC4A61" w:rsidP="00CC4A61" w:rsidRDefault="00CC4A61" w14:paraId="6DEE2646" w14:textId="716721A1">
      <w:pPr>
        <w:ind w:left="720"/>
        <w:rPr>
          <w:rFonts w:asciiTheme="majorHAnsi" w:hAnsiTheme="majorHAnsi" w:cstheme="majorHAnsi"/>
        </w:rPr>
      </w:pPr>
      <w:r w:rsidRPr="003D40E4">
        <w:rPr>
          <w:rFonts w:asciiTheme="majorHAnsi" w:hAnsiTheme="majorHAnsi" w:cstheme="majorHAnsi"/>
        </w:rPr>
        <w:t>The change in burden previously approved by OMB, resulted from an adjustment to estimates made by the Department in the decreased number of responses based on its most recent data on Form 5884-D filings, from 516,266, to 26300. The total annual burden hours decreased from 1,151,273 to 58,649.</w:t>
      </w:r>
    </w:p>
    <w:p w:rsidRPr="003D40E4" w:rsidR="009912E8" w:rsidP="00CC4A61" w:rsidRDefault="009912E8" w14:paraId="1C820E1C" w14:textId="4463FBF3">
      <w:pPr>
        <w:ind w:left="720"/>
        <w:rPr>
          <w:rFonts w:asciiTheme="majorHAnsi" w:hAnsiTheme="majorHAnsi" w:cstheme="majorHAnsi"/>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40"/>
        <w:gridCol w:w="1349"/>
        <w:gridCol w:w="1349"/>
        <w:gridCol w:w="1349"/>
        <w:gridCol w:w="1349"/>
        <w:gridCol w:w="1348"/>
        <w:gridCol w:w="1348"/>
      </w:tblGrid>
      <w:tr w:rsidRPr="003D40E4" w:rsidR="009912E8" w:rsidTr="00FB5F2C" w14:paraId="17E51F09" w14:textId="77777777">
        <w:tc>
          <w:tcPr>
            <w:tcW w:w="799" w:type="pct"/>
            <w:tcBorders>
              <w:top w:val="outset" w:color="auto" w:sz="6" w:space="0"/>
              <w:left w:val="outset" w:color="auto" w:sz="6" w:space="0"/>
              <w:bottom w:val="outset" w:color="auto" w:sz="6" w:space="0"/>
              <w:right w:val="outset" w:color="auto" w:sz="6" w:space="0"/>
            </w:tcBorders>
            <w:vAlign w:val="center"/>
            <w:hideMark/>
          </w:tcPr>
          <w:p w:rsidRPr="003D40E4" w:rsidR="009912E8" w:rsidP="009912E8" w:rsidRDefault="009912E8" w14:paraId="062DC827" w14:textId="77777777">
            <w:pPr>
              <w:widowControl/>
              <w:numPr>
                <w:ilvl w:val="0"/>
                <w:numId w:val="7"/>
              </w:numPr>
              <w:pBdr>
                <w:top w:val="single" w:color="DFDFDF" w:sz="6" w:space="0"/>
                <w:left w:val="single" w:color="DFDFDF" w:sz="6" w:space="0"/>
                <w:bottom w:val="single" w:color="DFDFDF" w:sz="6" w:space="0"/>
                <w:right w:val="single" w:color="DFDFDF" w:sz="6" w:space="0"/>
              </w:pBdr>
              <w:shd w:val="clear" w:color="auto" w:fill="FFFFFF"/>
              <w:autoSpaceDE/>
              <w:autoSpaceDN/>
              <w:adjustRightInd/>
              <w:spacing w:after="15" w:line="270" w:lineRule="atLeast"/>
              <w:ind w:left="0"/>
              <w:textAlignment w:val="center"/>
              <w:rPr>
                <w:rFonts w:asciiTheme="majorHAnsi" w:hAnsiTheme="majorHAnsi" w:cstheme="majorHAnsi"/>
                <w:color w:val="000000"/>
                <w:sz w:val="18"/>
                <w:szCs w:val="18"/>
              </w:rPr>
            </w:pPr>
          </w:p>
        </w:tc>
        <w:tc>
          <w:tcPr>
            <w:tcW w:w="700" w:type="pct"/>
            <w:tcBorders>
              <w:top w:val="outset" w:color="auto" w:sz="6" w:space="0"/>
              <w:left w:val="outset" w:color="auto" w:sz="6" w:space="0"/>
              <w:bottom w:val="outset" w:color="auto" w:sz="6" w:space="0"/>
              <w:right w:val="outset" w:color="auto" w:sz="6" w:space="0"/>
            </w:tcBorders>
            <w:vAlign w:val="center"/>
            <w:hideMark/>
          </w:tcPr>
          <w:p w:rsidRPr="003D40E4" w:rsidR="009912E8" w:rsidP="00FB5F2C" w:rsidRDefault="009912E8" w14:paraId="25644122" w14:textId="77777777">
            <w:pPr>
              <w:widowControl/>
              <w:jc w:val="center"/>
              <w:rPr>
                <w:rFonts w:asciiTheme="majorHAnsi" w:hAnsiTheme="majorHAnsi" w:cstheme="majorHAnsi"/>
                <w:color w:val="000000"/>
                <w:sz w:val="18"/>
                <w:szCs w:val="18"/>
              </w:rPr>
            </w:pPr>
            <w:r w:rsidRPr="003D40E4">
              <w:rPr>
                <w:rFonts w:asciiTheme="majorHAnsi" w:hAnsiTheme="majorHAnsi" w:cstheme="majorHAnsi"/>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D40E4" w:rsidR="009912E8" w:rsidP="00FB5F2C" w:rsidRDefault="009912E8" w14:paraId="12237B56" w14:textId="77777777">
            <w:pPr>
              <w:widowControl/>
              <w:jc w:val="center"/>
              <w:rPr>
                <w:rFonts w:asciiTheme="majorHAnsi" w:hAnsiTheme="majorHAnsi" w:cstheme="majorHAnsi"/>
                <w:color w:val="000000"/>
                <w:sz w:val="18"/>
                <w:szCs w:val="18"/>
              </w:rPr>
            </w:pPr>
            <w:r w:rsidRPr="003D40E4">
              <w:rPr>
                <w:rFonts w:asciiTheme="majorHAnsi" w:hAnsiTheme="majorHAnsi" w:cstheme="majorHAnsi"/>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D40E4" w:rsidR="009912E8" w:rsidP="00FB5F2C" w:rsidRDefault="009912E8" w14:paraId="763F5EBE" w14:textId="77777777">
            <w:pPr>
              <w:widowControl/>
              <w:jc w:val="center"/>
              <w:rPr>
                <w:rFonts w:asciiTheme="majorHAnsi" w:hAnsiTheme="majorHAnsi" w:cstheme="majorHAnsi"/>
                <w:color w:val="000000"/>
                <w:sz w:val="18"/>
                <w:szCs w:val="18"/>
              </w:rPr>
            </w:pPr>
            <w:r w:rsidRPr="003D40E4">
              <w:rPr>
                <w:rFonts w:asciiTheme="majorHAnsi" w:hAnsiTheme="majorHAnsi" w:cstheme="majorHAnsi"/>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D40E4" w:rsidR="009912E8" w:rsidP="00FB5F2C" w:rsidRDefault="009912E8" w14:paraId="78228A51" w14:textId="77777777">
            <w:pPr>
              <w:widowControl/>
              <w:jc w:val="center"/>
              <w:rPr>
                <w:rFonts w:asciiTheme="majorHAnsi" w:hAnsiTheme="majorHAnsi" w:cstheme="majorHAnsi"/>
                <w:color w:val="000000"/>
                <w:sz w:val="18"/>
                <w:szCs w:val="18"/>
              </w:rPr>
            </w:pPr>
            <w:r w:rsidRPr="003D40E4">
              <w:rPr>
                <w:rFonts w:asciiTheme="majorHAnsi" w:hAnsiTheme="majorHAnsi" w:cstheme="majorHAnsi"/>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D40E4" w:rsidR="009912E8" w:rsidP="00FB5F2C" w:rsidRDefault="009912E8" w14:paraId="602149D3" w14:textId="77777777">
            <w:pPr>
              <w:widowControl/>
              <w:jc w:val="center"/>
              <w:rPr>
                <w:rFonts w:asciiTheme="majorHAnsi" w:hAnsiTheme="majorHAnsi" w:cstheme="majorHAnsi"/>
                <w:color w:val="000000"/>
                <w:sz w:val="18"/>
                <w:szCs w:val="18"/>
              </w:rPr>
            </w:pPr>
            <w:r w:rsidRPr="003D40E4">
              <w:rPr>
                <w:rFonts w:asciiTheme="majorHAnsi" w:hAnsiTheme="majorHAnsi" w:cstheme="majorHAnsi"/>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D40E4" w:rsidR="009912E8" w:rsidP="00FB5F2C" w:rsidRDefault="009912E8" w14:paraId="7819FBFD" w14:textId="77777777">
            <w:pPr>
              <w:widowControl/>
              <w:jc w:val="center"/>
              <w:rPr>
                <w:rFonts w:asciiTheme="majorHAnsi" w:hAnsiTheme="majorHAnsi" w:cstheme="majorHAnsi"/>
                <w:color w:val="000000"/>
                <w:sz w:val="18"/>
                <w:szCs w:val="18"/>
              </w:rPr>
            </w:pPr>
            <w:r w:rsidRPr="003D40E4">
              <w:rPr>
                <w:rFonts w:asciiTheme="majorHAnsi" w:hAnsiTheme="majorHAnsi" w:cstheme="majorHAnsi"/>
                <w:color w:val="000000"/>
                <w:sz w:val="18"/>
                <w:szCs w:val="18"/>
              </w:rPr>
              <w:t>Previously Approved</w:t>
            </w:r>
          </w:p>
        </w:tc>
      </w:tr>
      <w:tr w:rsidRPr="003D40E4" w:rsidR="009912E8" w:rsidTr="00FB5F2C" w14:paraId="1B2F4B8A" w14:textId="77777777">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4BE45524" w14:textId="77777777">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11A31AC0" w14:textId="1766ABE8">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26,300</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3945F4F8" w14:textId="77777777">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4BD390EE" w14:textId="77777777">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0E6BD534" w14:textId="67FE0C20">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-489,966</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59DEDE17" w14:textId="77777777">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55FB0D05" w14:textId="051CDB92">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516,266</w:t>
            </w:r>
          </w:p>
        </w:tc>
      </w:tr>
      <w:tr w:rsidRPr="003D40E4" w:rsidR="009912E8" w:rsidTr="00FB5F2C" w14:paraId="2F0E9160" w14:textId="77777777">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0071B4FE" w14:textId="49934340">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Annual Time Burden (Hr</w:t>
            </w:r>
            <w:r w:rsidR="00045EA6">
              <w:rPr>
                <w:rFonts w:asciiTheme="majorHAnsi" w:hAnsiTheme="majorHAnsi" w:cstheme="majorHAnsi"/>
                <w:color w:val="000000"/>
                <w:sz w:val="18"/>
                <w:szCs w:val="18"/>
              </w:rPr>
              <w:t>.</w:t>
            </w:r>
            <w:r w:rsidRPr="003D40E4">
              <w:rPr>
                <w:rFonts w:asciiTheme="majorHAnsi" w:hAnsiTheme="majorHAnsi" w:cstheme="majorHAnsi"/>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25392F2B" w14:textId="7C02146A">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58,649</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1DD3559F" w14:textId="77777777">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4F88814D" w14:textId="77777777">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42D54293" w14:textId="059BB3EE">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-1,092,624</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0A67CA3C" w14:textId="77777777">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3D40E4" w:rsidR="009912E8" w:rsidP="00FB5F2C" w:rsidRDefault="009912E8" w14:paraId="4AC6288D" w14:textId="2075588E">
            <w:pPr>
              <w:widowControl/>
              <w:rPr>
                <w:rFonts w:asciiTheme="majorHAnsi" w:hAnsiTheme="majorHAnsi" w:cstheme="majorHAnsi"/>
                <w:color w:val="000000"/>
                <w:sz w:val="18"/>
                <w:szCs w:val="18"/>
              </w:rPr>
            </w:pPr>
            <w:r w:rsidRPr="003D40E4">
              <w:rPr>
                <w:rFonts w:asciiTheme="majorHAnsi" w:hAnsiTheme="majorHAnsi" w:cstheme="majorHAnsi"/>
                <w:color w:val="000000"/>
                <w:sz w:val="18"/>
                <w:szCs w:val="18"/>
              </w:rPr>
              <w:t>  1,151,273</w:t>
            </w:r>
          </w:p>
        </w:tc>
      </w:tr>
    </w:tbl>
    <w:p w:rsidRPr="003D40E4" w:rsidR="00CC4A61" w:rsidP="00CC4A61" w:rsidRDefault="00CC4A61" w14:paraId="643F3873" w14:textId="77777777">
      <w:pPr>
        <w:ind w:left="720"/>
        <w:rPr>
          <w:rFonts w:asciiTheme="majorHAnsi" w:hAnsiTheme="majorHAnsi" w:cstheme="majorHAnsi"/>
        </w:rPr>
      </w:pPr>
    </w:p>
    <w:p w:rsidRPr="003D40E4" w:rsidR="00CC4A61" w:rsidP="00CC4A61" w:rsidRDefault="00CC4A61" w14:paraId="686578B4" w14:textId="519E8BCE">
      <w:pPr>
        <w:ind w:left="720"/>
        <w:rPr>
          <w:rFonts w:asciiTheme="majorHAnsi" w:hAnsiTheme="majorHAnsi" w:cstheme="majorHAnsi"/>
        </w:rPr>
      </w:pPr>
      <w:r w:rsidRPr="003D40E4">
        <w:rPr>
          <w:rFonts w:asciiTheme="majorHAnsi" w:hAnsiTheme="majorHAnsi" w:cstheme="majorHAnsi"/>
        </w:rPr>
        <w:t>Also, we are making this submission to renew the OMB approval.</w:t>
      </w:r>
    </w:p>
    <w:p w:rsidRPr="003D40E4" w:rsidR="00AF4B36" w:rsidP="00AF4B36" w:rsidRDefault="008B14D6" w14:paraId="32970298" w14:textId="3918467F">
      <w:pPr>
        <w:ind w:left="720"/>
        <w:jc w:val="both"/>
        <w:rPr>
          <w:rFonts w:asciiTheme="majorHAnsi" w:hAnsiTheme="majorHAnsi" w:cstheme="majorHAnsi"/>
        </w:rPr>
      </w:pPr>
      <w:r w:rsidRPr="003D40E4">
        <w:rPr>
          <w:rFonts w:asciiTheme="majorHAnsi" w:hAnsiTheme="majorHAnsi" w:cstheme="majorHAnsi"/>
        </w:rPr>
        <w:t xml:space="preserve">  </w:t>
      </w:r>
      <w:r w:rsidRPr="003D40E4" w:rsidR="009F7DA2">
        <w:rPr>
          <w:rFonts w:asciiTheme="majorHAnsi" w:hAnsiTheme="majorHAnsi" w:cstheme="majorHAnsi"/>
        </w:rPr>
        <w:t xml:space="preserve"> </w:t>
      </w:r>
    </w:p>
    <w:p w:rsidRPr="003D40E4" w:rsidR="00FC7032" w:rsidRDefault="00FC7032" w14:paraId="664B5FDA" w14:textId="77777777">
      <w:pPr>
        <w:pStyle w:val="Level1"/>
        <w:tabs>
          <w:tab w:val="left" w:pos="-1440"/>
          <w:tab w:val="num" w:pos="720"/>
        </w:tabs>
        <w:jc w:val="both"/>
        <w:rPr>
          <w:rFonts w:asciiTheme="majorHAnsi" w:hAnsiTheme="majorHAnsi" w:cstheme="majorHAnsi"/>
        </w:rPr>
      </w:pPr>
      <w:r w:rsidRPr="003D40E4">
        <w:rPr>
          <w:rFonts w:asciiTheme="majorHAnsi" w:hAnsiTheme="majorHAnsi" w:cstheme="majorHAnsi"/>
          <w:u w:val="single"/>
        </w:rPr>
        <w:t>PLANS FOR TABULATION, STATISTICAL ANALYSIS AND PUBLICATION</w:t>
      </w:r>
    </w:p>
    <w:p w:rsidRPr="003D40E4" w:rsidR="00FC7032" w:rsidRDefault="00FC7032" w14:paraId="74A917D7" w14:textId="77777777">
      <w:pPr>
        <w:jc w:val="both"/>
        <w:rPr>
          <w:rFonts w:asciiTheme="majorHAnsi" w:hAnsiTheme="majorHAnsi" w:cstheme="majorHAnsi"/>
        </w:rPr>
      </w:pPr>
    </w:p>
    <w:p w:rsidRPr="003D40E4" w:rsidR="00FC7032" w:rsidRDefault="00F9173E" w14:paraId="160497A8" w14:textId="650459B9">
      <w:pPr>
        <w:ind w:left="720"/>
        <w:jc w:val="both"/>
        <w:rPr>
          <w:rFonts w:asciiTheme="majorHAnsi" w:hAnsiTheme="majorHAnsi" w:cstheme="majorHAnsi"/>
        </w:rPr>
      </w:pPr>
      <w:r w:rsidRPr="003D40E4">
        <w:rPr>
          <w:rFonts w:asciiTheme="majorHAnsi" w:hAnsiTheme="majorHAnsi" w:cstheme="majorHAnsi"/>
        </w:rPr>
        <w:t>There are no plans for tabulation, statistical analysis, and publication</w:t>
      </w:r>
      <w:r w:rsidRPr="003D40E4" w:rsidR="00FC7032">
        <w:rPr>
          <w:rFonts w:asciiTheme="majorHAnsi" w:hAnsiTheme="majorHAnsi" w:cstheme="majorHAnsi"/>
        </w:rPr>
        <w:t>.</w:t>
      </w:r>
    </w:p>
    <w:p w:rsidRPr="003D40E4" w:rsidR="00CF3DE3" w:rsidRDefault="00CF3DE3" w14:paraId="72F2ED97" w14:textId="77777777">
      <w:pPr>
        <w:ind w:left="720"/>
        <w:jc w:val="both"/>
        <w:rPr>
          <w:rFonts w:asciiTheme="majorHAnsi" w:hAnsiTheme="majorHAnsi" w:cstheme="majorHAnsi"/>
        </w:rPr>
      </w:pPr>
    </w:p>
    <w:p w:rsidRPr="003D40E4" w:rsidR="00FC7032" w:rsidRDefault="00FC7032" w14:paraId="493AC7F2" w14:textId="77777777">
      <w:pPr>
        <w:pStyle w:val="Level1"/>
        <w:tabs>
          <w:tab w:val="left" w:pos="-1440"/>
          <w:tab w:val="num" w:pos="720"/>
        </w:tabs>
        <w:jc w:val="both"/>
        <w:rPr>
          <w:rFonts w:asciiTheme="majorHAnsi" w:hAnsiTheme="majorHAnsi" w:cstheme="majorHAnsi"/>
        </w:rPr>
      </w:pPr>
      <w:r w:rsidRPr="003D40E4">
        <w:rPr>
          <w:rFonts w:asciiTheme="majorHAnsi" w:hAnsiTheme="majorHAnsi" w:cstheme="majorHAnsi"/>
          <w:u w:val="single"/>
        </w:rPr>
        <w:t>REASONS WHY DISPLAYING THE OMB EXPIRATION DATE IS</w:t>
      </w:r>
      <w:r w:rsidRPr="003D40E4" w:rsidR="00DD72BA">
        <w:rPr>
          <w:rFonts w:asciiTheme="majorHAnsi" w:hAnsiTheme="majorHAnsi" w:cstheme="majorHAnsi"/>
          <w:u w:val="single"/>
        </w:rPr>
        <w:t xml:space="preserve"> </w:t>
      </w:r>
      <w:r w:rsidRPr="003D40E4">
        <w:rPr>
          <w:rFonts w:asciiTheme="majorHAnsi" w:hAnsiTheme="majorHAnsi" w:cstheme="majorHAnsi"/>
          <w:u w:val="single"/>
        </w:rPr>
        <w:t>INAPPROPRIATE</w:t>
      </w:r>
    </w:p>
    <w:p w:rsidRPr="003D40E4" w:rsidR="00FC7032" w:rsidRDefault="00FC7032" w14:paraId="6F15666E" w14:textId="77777777">
      <w:pPr>
        <w:jc w:val="both"/>
        <w:rPr>
          <w:rFonts w:asciiTheme="majorHAnsi" w:hAnsiTheme="majorHAnsi" w:cstheme="majorHAnsi"/>
        </w:rPr>
      </w:pPr>
    </w:p>
    <w:p w:rsidRPr="003D40E4" w:rsidR="00BB42E9" w:rsidP="00BB42E9" w:rsidRDefault="00BB42E9" w14:paraId="230769CC" w14:textId="77777777">
      <w:pPr>
        <w:ind w:left="720"/>
        <w:jc w:val="both"/>
        <w:rPr>
          <w:rFonts w:asciiTheme="majorHAnsi" w:hAnsiTheme="majorHAnsi" w:cstheme="majorHAnsi"/>
        </w:rPr>
      </w:pPr>
      <w:r w:rsidRPr="003D40E4">
        <w:rPr>
          <w:rFonts w:asciiTheme="majorHAnsi" w:hAnsiTheme="majorHAnsi" w:cstheme="majorHAnsi"/>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3D40E4" w:rsidR="00713FD7" w:rsidRDefault="00713FD7" w14:paraId="6E7276DF" w14:textId="77777777">
      <w:pPr>
        <w:jc w:val="both"/>
        <w:rPr>
          <w:rFonts w:asciiTheme="majorHAnsi" w:hAnsiTheme="majorHAnsi" w:cstheme="majorHAnsi"/>
        </w:rPr>
      </w:pPr>
    </w:p>
    <w:p w:rsidRPr="003D40E4" w:rsidR="00FC7032" w:rsidRDefault="00FC7032" w14:paraId="384738F5" w14:textId="77777777">
      <w:pPr>
        <w:pStyle w:val="Level1"/>
        <w:tabs>
          <w:tab w:val="left" w:pos="-1440"/>
          <w:tab w:val="num" w:pos="720"/>
        </w:tabs>
        <w:jc w:val="both"/>
        <w:rPr>
          <w:rFonts w:asciiTheme="majorHAnsi" w:hAnsiTheme="majorHAnsi" w:cstheme="majorHAnsi"/>
        </w:rPr>
      </w:pPr>
      <w:r w:rsidRPr="003D40E4">
        <w:rPr>
          <w:rFonts w:asciiTheme="majorHAnsi" w:hAnsiTheme="majorHAnsi" w:cstheme="majorHAnsi"/>
          <w:u w:val="single"/>
        </w:rPr>
        <w:t>EXCEPTIONS TO THE CERTIFICATION STATEMENT</w:t>
      </w:r>
    </w:p>
    <w:p w:rsidRPr="003D40E4" w:rsidR="00FC7032" w:rsidRDefault="00FC7032" w14:paraId="1F60D0DE" w14:textId="77777777">
      <w:pPr>
        <w:jc w:val="both"/>
        <w:rPr>
          <w:rFonts w:asciiTheme="majorHAnsi" w:hAnsiTheme="majorHAnsi" w:cstheme="majorHAnsi"/>
        </w:rPr>
      </w:pPr>
    </w:p>
    <w:p w:rsidRPr="003D40E4" w:rsidR="00FC7032" w:rsidRDefault="00F9173E" w14:paraId="6039A186" w14:textId="77777777">
      <w:pPr>
        <w:ind w:left="720"/>
        <w:jc w:val="both"/>
        <w:rPr>
          <w:rFonts w:asciiTheme="majorHAnsi" w:hAnsiTheme="majorHAnsi" w:cstheme="majorHAnsi"/>
        </w:rPr>
      </w:pPr>
      <w:r w:rsidRPr="003D40E4">
        <w:rPr>
          <w:rFonts w:asciiTheme="majorHAnsi" w:hAnsiTheme="majorHAnsi" w:cstheme="majorHAnsi"/>
        </w:rPr>
        <w:t>There are no exceptions to the certification statement</w:t>
      </w:r>
      <w:r w:rsidRPr="003D40E4" w:rsidR="00FC7032">
        <w:rPr>
          <w:rFonts w:asciiTheme="majorHAnsi" w:hAnsiTheme="majorHAnsi" w:cstheme="majorHAnsi"/>
        </w:rPr>
        <w:t>.</w:t>
      </w:r>
    </w:p>
    <w:p w:rsidRPr="003D40E4" w:rsidR="00FC7032" w:rsidRDefault="00FC7032" w14:paraId="1DF67975" w14:textId="77777777">
      <w:pPr>
        <w:jc w:val="both"/>
        <w:rPr>
          <w:rFonts w:asciiTheme="majorHAnsi" w:hAnsiTheme="majorHAnsi" w:cstheme="majorHAnsi"/>
        </w:rPr>
      </w:pPr>
    </w:p>
    <w:p w:rsidRPr="003D40E4" w:rsidR="00FC7032" w:rsidP="00025331" w:rsidRDefault="00FC7032" w14:paraId="139E46F0" w14:textId="77777777">
      <w:pPr>
        <w:ind w:left="720"/>
        <w:jc w:val="both"/>
        <w:rPr>
          <w:rFonts w:asciiTheme="majorHAnsi" w:hAnsiTheme="majorHAnsi" w:cstheme="majorHAnsi"/>
        </w:rPr>
      </w:pPr>
      <w:r w:rsidRPr="003D40E4">
        <w:rPr>
          <w:rFonts w:asciiTheme="majorHAnsi" w:hAnsiTheme="majorHAnsi" w:cstheme="majorHAnsi"/>
          <w:b/>
          <w:bCs/>
          <w:u w:val="single"/>
        </w:rPr>
        <w:t>Note:</w:t>
      </w:r>
      <w:r w:rsidRPr="003D40E4">
        <w:rPr>
          <w:rFonts w:asciiTheme="majorHAnsi" w:hAnsiTheme="majorHAnsi" w:cstheme="majorHAnsi"/>
        </w:rPr>
        <w:t xml:space="preserve">  The following paragraph applies to </w:t>
      </w:r>
      <w:r w:rsidRPr="003D40E4" w:rsidR="008F3286">
        <w:rPr>
          <w:rFonts w:asciiTheme="majorHAnsi" w:hAnsiTheme="majorHAnsi" w:cstheme="majorHAnsi"/>
        </w:rPr>
        <w:t>all</w:t>
      </w:r>
      <w:r w:rsidRPr="003D40E4">
        <w:rPr>
          <w:rFonts w:asciiTheme="majorHAnsi" w:hAnsiTheme="majorHAnsi" w:cstheme="majorHAnsi"/>
        </w:rPr>
        <w:t xml:space="preserve"> the collections of information in this submission:</w:t>
      </w:r>
    </w:p>
    <w:p w:rsidRPr="003D40E4" w:rsidR="00FC7032" w:rsidRDefault="00FC7032" w14:paraId="3A1418F7" w14:textId="77777777">
      <w:pPr>
        <w:jc w:val="both"/>
        <w:rPr>
          <w:rFonts w:asciiTheme="majorHAnsi" w:hAnsiTheme="majorHAnsi" w:cstheme="majorHAnsi"/>
        </w:rPr>
      </w:pPr>
    </w:p>
    <w:p w:rsidRPr="003D40E4" w:rsidR="00FC7032" w:rsidP="00025331" w:rsidRDefault="00FC7032" w14:paraId="300E82EA" w14:textId="51249A7B">
      <w:pPr>
        <w:ind w:left="720"/>
        <w:jc w:val="both"/>
        <w:rPr>
          <w:rFonts w:asciiTheme="majorHAnsi" w:hAnsiTheme="majorHAnsi" w:cstheme="majorHAnsi"/>
        </w:rPr>
      </w:pPr>
      <w:r w:rsidRPr="003D40E4">
        <w:rPr>
          <w:rFonts w:asciiTheme="majorHAnsi" w:hAnsiTheme="majorHAnsi" w:cstheme="majorHAnsi"/>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3D40E4" w:rsidR="008F3286">
        <w:rPr>
          <w:rFonts w:asciiTheme="majorHAnsi" w:hAnsiTheme="majorHAnsi" w:cstheme="majorHAnsi"/>
        </w:rPr>
        <w:t>if</w:t>
      </w:r>
      <w:r w:rsidRPr="003D40E4">
        <w:rPr>
          <w:rFonts w:asciiTheme="majorHAnsi" w:hAnsiTheme="majorHAnsi" w:cstheme="majorHAnsi"/>
        </w:rPr>
        <w:t xml:space="preserve"> their contents may become material in the administration of any internal revenue law.  Generally, tax returns and tax return information are confidential, as required by 26 U.S.C. 6103.</w:t>
      </w:r>
    </w:p>
    <w:sectPr w:rsidRPr="003D40E4" w:rsidR="00FC7032" w:rsidSect="00025331">
      <w:headerReference w:type="default" r:id="rId10"/>
      <w:type w:val="continuous"/>
      <w:pgSz w:w="12240" w:h="15840"/>
      <w:pgMar w:top="1152" w:right="1440" w:bottom="1440" w:left="115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D7E7B" w14:textId="77777777" w:rsidR="00C34D19" w:rsidRDefault="00C34D19">
      <w:r>
        <w:separator/>
      </w:r>
    </w:p>
  </w:endnote>
  <w:endnote w:type="continuationSeparator" w:id="0">
    <w:p w14:paraId="40C263FB" w14:textId="77777777" w:rsidR="00C34D19" w:rsidRDefault="00C3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47ADE" w14:textId="77777777" w:rsidR="0038173A" w:rsidRDefault="0038173A">
    <w:pPr>
      <w:pStyle w:val="Footer"/>
      <w:jc w:val="right"/>
    </w:pPr>
    <w:r>
      <w:fldChar w:fldCharType="begin"/>
    </w:r>
    <w:r>
      <w:instrText xml:space="preserve"> PAGE   \* MERGEFORMAT </w:instrText>
    </w:r>
    <w:r>
      <w:fldChar w:fldCharType="separate"/>
    </w:r>
    <w:r>
      <w:rPr>
        <w:noProof/>
      </w:rPr>
      <w:t>2</w:t>
    </w:r>
    <w:r>
      <w:rPr>
        <w:noProof/>
      </w:rPr>
      <w:fldChar w:fldCharType="end"/>
    </w:r>
  </w:p>
  <w:p w14:paraId="7CFA5E6D" w14:textId="77777777" w:rsidR="0038173A" w:rsidRDefault="00381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5A386" w14:textId="77777777" w:rsidR="00C34D19" w:rsidRDefault="00C34D19">
      <w:r>
        <w:separator/>
      </w:r>
    </w:p>
  </w:footnote>
  <w:footnote w:type="continuationSeparator" w:id="0">
    <w:p w14:paraId="62E36F5D" w14:textId="77777777" w:rsidR="00C34D19" w:rsidRDefault="00C3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C7871" w14:textId="77777777" w:rsidR="00A3387C" w:rsidRDefault="00A3387C" w:rsidP="0038173A">
    <w:pPr>
      <w:framePr w:w="9361" w:wrap="notBeside" w:vAnchor="text" w:hAnchor="text" w:x="1" w:y="1"/>
      <w:rPr>
        <w:rFonts w:cs="Courier"/>
        <w:b/>
        <w:bCs/>
      </w:rPr>
    </w:pPr>
  </w:p>
  <w:p w14:paraId="6725750B" w14:textId="77777777" w:rsidR="00A3387C" w:rsidRDefault="00A3387C"/>
  <w:p w14:paraId="230819B7" w14:textId="77777777" w:rsidR="00A3387C" w:rsidRDefault="00A3387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3in;height:3in" o:bullet="t"/>
    </w:pict>
  </w:numPicBullet>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B84687"/>
    <w:multiLevelType w:val="hybridMultilevel"/>
    <w:tmpl w:val="CC0EF1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28713E"/>
    <w:multiLevelType w:val="multilevel"/>
    <w:tmpl w:val="4210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84FB5"/>
    <w:multiLevelType w:val="hybridMultilevel"/>
    <w:tmpl w:val="56F80192"/>
    <w:lvl w:ilvl="0" w:tplc="80E668F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1A1986"/>
    <w:multiLevelType w:val="hybridMultilevel"/>
    <w:tmpl w:val="04D2595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6227BF"/>
    <w:multiLevelType w:val="hybridMultilevel"/>
    <w:tmpl w:val="2E62C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8C6E6F"/>
    <w:multiLevelType w:val="hybridMultilevel"/>
    <w:tmpl w:val="A04AB2EA"/>
    <w:lvl w:ilvl="0" w:tplc="8F4E2046">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32"/>
    <w:rsid w:val="00006919"/>
    <w:rsid w:val="00025331"/>
    <w:rsid w:val="00030370"/>
    <w:rsid w:val="00045EA6"/>
    <w:rsid w:val="00072B84"/>
    <w:rsid w:val="00086F79"/>
    <w:rsid w:val="000B6A7E"/>
    <w:rsid w:val="000E06B8"/>
    <w:rsid w:val="00133020"/>
    <w:rsid w:val="001450C4"/>
    <w:rsid w:val="00153931"/>
    <w:rsid w:val="001A0263"/>
    <w:rsid w:val="001A4956"/>
    <w:rsid w:val="001C0C49"/>
    <w:rsid w:val="001E502E"/>
    <w:rsid w:val="001E5766"/>
    <w:rsid w:val="00200C38"/>
    <w:rsid w:val="00213521"/>
    <w:rsid w:val="0023649E"/>
    <w:rsid w:val="00252E16"/>
    <w:rsid w:val="00267C84"/>
    <w:rsid w:val="00286BE4"/>
    <w:rsid w:val="0029449D"/>
    <w:rsid w:val="002E46E7"/>
    <w:rsid w:val="00311BEF"/>
    <w:rsid w:val="00340054"/>
    <w:rsid w:val="00355DDA"/>
    <w:rsid w:val="00356B7C"/>
    <w:rsid w:val="00360EA5"/>
    <w:rsid w:val="0036420C"/>
    <w:rsid w:val="0038173A"/>
    <w:rsid w:val="003865EE"/>
    <w:rsid w:val="003927A1"/>
    <w:rsid w:val="003D294A"/>
    <w:rsid w:val="003D40E4"/>
    <w:rsid w:val="003F1DA5"/>
    <w:rsid w:val="00402E19"/>
    <w:rsid w:val="00406872"/>
    <w:rsid w:val="00417F9B"/>
    <w:rsid w:val="00421FBE"/>
    <w:rsid w:val="00482655"/>
    <w:rsid w:val="00483E49"/>
    <w:rsid w:val="00513A02"/>
    <w:rsid w:val="00524537"/>
    <w:rsid w:val="005259C2"/>
    <w:rsid w:val="00545D07"/>
    <w:rsid w:val="00597AD9"/>
    <w:rsid w:val="005A188D"/>
    <w:rsid w:val="005B1602"/>
    <w:rsid w:val="005B35CC"/>
    <w:rsid w:val="005D4831"/>
    <w:rsid w:val="005D76FD"/>
    <w:rsid w:val="005E33DD"/>
    <w:rsid w:val="00633F81"/>
    <w:rsid w:val="00654309"/>
    <w:rsid w:val="00654CB3"/>
    <w:rsid w:val="006E33CA"/>
    <w:rsid w:val="00713FD7"/>
    <w:rsid w:val="00721EAD"/>
    <w:rsid w:val="00722639"/>
    <w:rsid w:val="007355EF"/>
    <w:rsid w:val="00740672"/>
    <w:rsid w:val="00761598"/>
    <w:rsid w:val="007831A9"/>
    <w:rsid w:val="007B03BE"/>
    <w:rsid w:val="007E6795"/>
    <w:rsid w:val="00811877"/>
    <w:rsid w:val="0081530A"/>
    <w:rsid w:val="008406F7"/>
    <w:rsid w:val="00842671"/>
    <w:rsid w:val="00846543"/>
    <w:rsid w:val="008775BA"/>
    <w:rsid w:val="008B14D6"/>
    <w:rsid w:val="008B51E5"/>
    <w:rsid w:val="008B6C36"/>
    <w:rsid w:val="008C4B37"/>
    <w:rsid w:val="008F3286"/>
    <w:rsid w:val="009045A9"/>
    <w:rsid w:val="00926F50"/>
    <w:rsid w:val="00941B5E"/>
    <w:rsid w:val="00942A84"/>
    <w:rsid w:val="009912E8"/>
    <w:rsid w:val="009974DB"/>
    <w:rsid w:val="009F7DA2"/>
    <w:rsid w:val="00A05723"/>
    <w:rsid w:val="00A3387C"/>
    <w:rsid w:val="00A74536"/>
    <w:rsid w:val="00A859FA"/>
    <w:rsid w:val="00AB11B9"/>
    <w:rsid w:val="00AE1930"/>
    <w:rsid w:val="00AF4B36"/>
    <w:rsid w:val="00B3102B"/>
    <w:rsid w:val="00B40C38"/>
    <w:rsid w:val="00B65972"/>
    <w:rsid w:val="00B84C37"/>
    <w:rsid w:val="00BB42E9"/>
    <w:rsid w:val="00BC16CD"/>
    <w:rsid w:val="00BE37BB"/>
    <w:rsid w:val="00BF0BA5"/>
    <w:rsid w:val="00BF2A8E"/>
    <w:rsid w:val="00C05C59"/>
    <w:rsid w:val="00C13B17"/>
    <w:rsid w:val="00C24BE7"/>
    <w:rsid w:val="00C34D19"/>
    <w:rsid w:val="00C46E48"/>
    <w:rsid w:val="00CA66AE"/>
    <w:rsid w:val="00CC4A61"/>
    <w:rsid w:val="00CF3DE3"/>
    <w:rsid w:val="00D00E89"/>
    <w:rsid w:val="00D0435F"/>
    <w:rsid w:val="00D10CB2"/>
    <w:rsid w:val="00D112D0"/>
    <w:rsid w:val="00D12D23"/>
    <w:rsid w:val="00D4325D"/>
    <w:rsid w:val="00D443F8"/>
    <w:rsid w:val="00D83794"/>
    <w:rsid w:val="00D91DDE"/>
    <w:rsid w:val="00DB3B7C"/>
    <w:rsid w:val="00DB3D7C"/>
    <w:rsid w:val="00DB7AC0"/>
    <w:rsid w:val="00DC1D23"/>
    <w:rsid w:val="00DD10CF"/>
    <w:rsid w:val="00DD72BA"/>
    <w:rsid w:val="00DF4545"/>
    <w:rsid w:val="00E034DA"/>
    <w:rsid w:val="00E05B02"/>
    <w:rsid w:val="00E155B9"/>
    <w:rsid w:val="00E3172F"/>
    <w:rsid w:val="00E32F3D"/>
    <w:rsid w:val="00EB43A5"/>
    <w:rsid w:val="00ED70E3"/>
    <w:rsid w:val="00EF235B"/>
    <w:rsid w:val="00EF3574"/>
    <w:rsid w:val="00F027B6"/>
    <w:rsid w:val="00F24070"/>
    <w:rsid w:val="00F558DC"/>
    <w:rsid w:val="00F569AA"/>
    <w:rsid w:val="00F76D52"/>
    <w:rsid w:val="00F9173E"/>
    <w:rsid w:val="00FA1F80"/>
    <w:rsid w:val="00FC7032"/>
    <w:rsid w:val="00FE17C3"/>
    <w:rsid w:val="00FF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8A65EB"/>
  <w15:chartTrackingRefBased/>
  <w15:docId w15:val="{DC14766F-6DD5-4279-94B6-F2408733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417F9B"/>
    <w:rPr>
      <w:rFonts w:ascii="Tahoma" w:hAnsi="Tahoma" w:cs="Tahoma"/>
      <w:sz w:val="16"/>
      <w:szCs w:val="16"/>
    </w:rPr>
  </w:style>
  <w:style w:type="character" w:styleId="Hyperlink">
    <w:name w:val="Hyperlink"/>
    <w:rsid w:val="00CA66AE"/>
    <w:rPr>
      <w:color w:val="0000FF"/>
      <w:u w:val="single"/>
    </w:rPr>
  </w:style>
  <w:style w:type="paragraph" w:styleId="ListParagraph">
    <w:name w:val="List Paragraph"/>
    <w:basedOn w:val="Normal"/>
    <w:uiPriority w:val="34"/>
    <w:qFormat/>
    <w:rsid w:val="008775BA"/>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38173A"/>
    <w:pPr>
      <w:tabs>
        <w:tab w:val="center" w:pos="4680"/>
        <w:tab w:val="right" w:pos="9360"/>
      </w:tabs>
    </w:pPr>
  </w:style>
  <w:style w:type="character" w:customStyle="1" w:styleId="HeaderChar">
    <w:name w:val="Header Char"/>
    <w:link w:val="Header"/>
    <w:uiPriority w:val="99"/>
    <w:rsid w:val="0038173A"/>
    <w:rPr>
      <w:rFonts w:ascii="Courier" w:hAnsi="Courier"/>
      <w:sz w:val="24"/>
      <w:szCs w:val="24"/>
    </w:rPr>
  </w:style>
  <w:style w:type="paragraph" w:styleId="Footer">
    <w:name w:val="footer"/>
    <w:basedOn w:val="Normal"/>
    <w:link w:val="FooterChar"/>
    <w:uiPriority w:val="99"/>
    <w:rsid w:val="0038173A"/>
    <w:pPr>
      <w:tabs>
        <w:tab w:val="center" w:pos="4680"/>
        <w:tab w:val="right" w:pos="9360"/>
      </w:tabs>
    </w:pPr>
  </w:style>
  <w:style w:type="character" w:customStyle="1" w:styleId="FooterChar">
    <w:name w:val="Footer Char"/>
    <w:link w:val="Footer"/>
    <w:uiPriority w:val="99"/>
    <w:rsid w:val="0038173A"/>
    <w:rPr>
      <w:rFonts w:ascii="Courier" w:hAnsi="Courier"/>
      <w:sz w:val="24"/>
      <w:szCs w:val="24"/>
    </w:rPr>
  </w:style>
  <w:style w:type="character" w:styleId="UnresolvedMention">
    <w:name w:val="Unresolved Mention"/>
    <w:uiPriority w:val="99"/>
    <w:semiHidden/>
    <w:unhideWhenUsed/>
    <w:rsid w:val="00AB11B9"/>
    <w:rPr>
      <w:color w:val="605E5C"/>
      <w:shd w:val="clear" w:color="auto" w:fill="E1DFDD"/>
    </w:rPr>
  </w:style>
  <w:style w:type="character" w:styleId="FollowedHyperlink">
    <w:name w:val="FollowedHyperlink"/>
    <w:rsid w:val="00AB11B9"/>
    <w:rPr>
      <w:color w:val="954F72"/>
      <w:u w:val="single"/>
    </w:rPr>
  </w:style>
  <w:style w:type="character" w:styleId="CommentReference">
    <w:name w:val="annotation reference"/>
    <w:basedOn w:val="DefaultParagraphFont"/>
    <w:rsid w:val="00926F50"/>
    <w:rPr>
      <w:sz w:val="16"/>
      <w:szCs w:val="16"/>
    </w:rPr>
  </w:style>
  <w:style w:type="paragraph" w:styleId="CommentText">
    <w:name w:val="annotation text"/>
    <w:basedOn w:val="Normal"/>
    <w:link w:val="CommentTextChar"/>
    <w:rsid w:val="00926F50"/>
    <w:rPr>
      <w:sz w:val="20"/>
      <w:szCs w:val="20"/>
    </w:rPr>
  </w:style>
  <w:style w:type="character" w:customStyle="1" w:styleId="CommentTextChar">
    <w:name w:val="Comment Text Char"/>
    <w:basedOn w:val="DefaultParagraphFont"/>
    <w:link w:val="CommentText"/>
    <w:rsid w:val="00926F50"/>
    <w:rPr>
      <w:rFonts w:ascii="Courier" w:hAnsi="Courier"/>
    </w:rPr>
  </w:style>
  <w:style w:type="paragraph" w:styleId="CommentSubject">
    <w:name w:val="annotation subject"/>
    <w:basedOn w:val="CommentText"/>
    <w:next w:val="CommentText"/>
    <w:link w:val="CommentSubjectChar"/>
    <w:rsid w:val="00926F50"/>
    <w:rPr>
      <w:b/>
      <w:bCs/>
    </w:rPr>
  </w:style>
  <w:style w:type="character" w:customStyle="1" w:styleId="CommentSubjectChar">
    <w:name w:val="Comment Subject Char"/>
    <w:basedOn w:val="CommentTextChar"/>
    <w:link w:val="CommentSubject"/>
    <w:rsid w:val="00926F5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446836">
      <w:bodyDiv w:val="1"/>
      <w:marLeft w:val="0"/>
      <w:marRight w:val="0"/>
      <w:marTop w:val="0"/>
      <w:marBottom w:val="0"/>
      <w:divBdr>
        <w:top w:val="none" w:sz="0" w:space="0" w:color="auto"/>
        <w:left w:val="none" w:sz="0" w:space="0" w:color="auto"/>
        <w:bottom w:val="none" w:sz="0" w:space="0" w:color="auto"/>
        <w:right w:val="none" w:sz="0" w:space="0" w:color="auto"/>
      </w:divBdr>
    </w:div>
    <w:div w:id="180369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D54EE-7D4F-487A-BF9B-E546BA1E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10573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RJDurb00</dc:creator>
  <cp:keywords/>
  <cp:lastModifiedBy>Adams Paul D</cp:lastModifiedBy>
  <cp:revision>2</cp:revision>
  <cp:lastPrinted>2005-03-11T18:51:00Z</cp:lastPrinted>
  <dcterms:created xsi:type="dcterms:W3CDTF">2021-09-02T20:45:00Z</dcterms:created>
  <dcterms:modified xsi:type="dcterms:W3CDTF">2021-09-02T20:45:00Z</dcterms:modified>
</cp:coreProperties>
</file>