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8074F4" w:rsidRDefault="00320387">
      <w:pPr>
        <w:pStyle w:val="Title"/>
        <w:keepNext w:val="0"/>
        <w:keepLines w:val="0"/>
        <w:pBdr>
          <w:top w:val="none" w:color="auto" w:sz="0" w:space="0"/>
        </w:pBdr>
        <w:spacing w:before="0" w:after="0" w:line="240" w:lineRule="auto"/>
        <w:rPr>
          <w:rFonts w:ascii="Times New Roman" w:hAnsi="Times New Roman"/>
          <w:spacing w:val="0"/>
          <w:sz w:val="24"/>
        </w:rPr>
      </w:pPr>
    </w:p>
    <w:p w:rsidR="00320387" w:rsidP="008074F4" w:rsidRDefault="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8074F4" w:rsidRDefault="00320387">
      <w:pPr>
        <w:keepNext/>
        <w:numPr>
          <w:ilvl w:val="12"/>
          <w:numId w:val="0"/>
        </w:numPr>
        <w:ind w:left="360"/>
      </w:pPr>
    </w:p>
    <w:p w:rsidR="00D40BEA" w:rsidP="008074F4" w:rsidRDefault="00C86DF2">
      <w:pPr>
        <w:tabs>
          <w:tab w:val="left" w:pos="360"/>
        </w:tabs>
        <w:ind w:left="360"/>
      </w:pPr>
      <w:r>
        <w:t>The Transportation Security Administration (</w:t>
      </w:r>
      <w:r w:rsidR="009A5224">
        <w:t>TSA</w:t>
      </w:r>
      <w:r>
        <w:t>)</w:t>
      </w:r>
      <w:r w:rsidR="009A5224">
        <w:t xml:space="preserve"> first sought approval</w:t>
      </w:r>
      <w:r w:rsidR="0018081F">
        <w:t xml:space="preserve"> from </w:t>
      </w:r>
      <w:r>
        <w:t>the Office of Management and Budget (</w:t>
      </w:r>
      <w:r w:rsidR="0018081F">
        <w:t>OMB</w:t>
      </w:r>
      <w:r>
        <w:t>)</w:t>
      </w:r>
      <w:r w:rsidR="009A5224">
        <w:t xml:space="preserve"> for its Customer Comment Card in 2005.  </w:t>
      </w:r>
      <w:r w:rsidR="005904EB">
        <w:t>TSA’s</w:t>
      </w:r>
      <w:r w:rsidR="00805702">
        <w:t xml:space="preserve"> initiatives, processes, and procedures are constantly evolving and it is critical to offer an avenue for feedback from the public.  </w:t>
      </w:r>
      <w:r w:rsidR="009A5224">
        <w:t>Feedback received through the</w:t>
      </w:r>
      <w:r w:rsidR="005C3900">
        <w:t xml:space="preserve"> TSA</w:t>
      </w:r>
      <w:r w:rsidR="009A5224">
        <w:t xml:space="preserve"> Contact Center</w:t>
      </w:r>
      <w:r w:rsidR="005C3900">
        <w:t xml:space="preserve"> (TCC)</w:t>
      </w:r>
      <w:r w:rsidR="00805702">
        <w:t xml:space="preserve"> via the online submission forms, calls, and emails</w:t>
      </w:r>
      <w:r w:rsidR="009A5224">
        <w:t xml:space="preserve">, and </w:t>
      </w:r>
      <w:r w:rsidR="00805702">
        <w:t xml:space="preserve">feedback from </w:t>
      </w:r>
      <w:r w:rsidR="009A5224">
        <w:t>the airports</w:t>
      </w:r>
      <w:r w:rsidR="00805702">
        <w:t xml:space="preserve"> via the paper comment cards</w:t>
      </w:r>
      <w:r w:rsidR="004232B6">
        <w:t>,</w:t>
      </w:r>
      <w:r w:rsidR="00805702">
        <w:t xml:space="preserve"> provide</w:t>
      </w:r>
      <w:r w:rsidR="009A5224">
        <w:t xml:space="preserve"> critical input </w:t>
      </w:r>
      <w:r w:rsidR="00805702">
        <w:t>use</w:t>
      </w:r>
      <w:r w:rsidR="005904EB">
        <w:t>d</w:t>
      </w:r>
      <w:r w:rsidR="00805702">
        <w:t xml:space="preserve"> to make </w:t>
      </w:r>
      <w:r w:rsidR="009A5224">
        <w:t xml:space="preserve">revisions to </w:t>
      </w:r>
      <w:r w:rsidR="005904EB">
        <w:t>TSA’s</w:t>
      </w:r>
      <w:r w:rsidR="00805702">
        <w:t xml:space="preserve"> </w:t>
      </w:r>
      <w:r w:rsidR="009A5224">
        <w:t>procedure</w:t>
      </w:r>
      <w:r w:rsidR="00805702">
        <w:t>s</w:t>
      </w:r>
      <w:r w:rsidR="009A5224">
        <w:t xml:space="preserve">.  </w:t>
      </w:r>
      <w:r w:rsidR="005904EB">
        <w:t>TSA’s</w:t>
      </w:r>
      <w:r w:rsidR="00805702">
        <w:t xml:space="preserve"> screening procedures will </w:t>
      </w:r>
      <w:r w:rsidR="00157C22">
        <w:t>continue to change and evolve</w:t>
      </w:r>
      <w:r w:rsidR="009A5224">
        <w:t xml:space="preserve"> </w:t>
      </w:r>
      <w:r w:rsidR="00157C22">
        <w:t>over time</w:t>
      </w:r>
      <w:r w:rsidR="00805702">
        <w:t xml:space="preserve"> and</w:t>
      </w:r>
      <w:r w:rsidR="009A5224">
        <w:t xml:space="preserve"> TSA needs to be able to collect comprehensive feedback in a timely manner and respond appropriately.  TSA’s goal is to adopt an analytical, collaborative framework to ensure that </w:t>
      </w:r>
      <w:r w:rsidR="00805702">
        <w:t>the impact on the public</w:t>
      </w:r>
      <w:r w:rsidR="009A5224">
        <w:t xml:space="preserve"> is considered when </w:t>
      </w:r>
      <w:r w:rsidR="00805702">
        <w:t>implement</w:t>
      </w:r>
      <w:r w:rsidR="005904EB">
        <w:t>ing</w:t>
      </w:r>
      <w:r w:rsidR="00805702">
        <w:t xml:space="preserve"> or propos</w:t>
      </w:r>
      <w:r w:rsidR="005904EB">
        <w:t>ing</w:t>
      </w:r>
      <w:r w:rsidR="00805702">
        <w:t xml:space="preserve"> </w:t>
      </w:r>
      <w:r w:rsidR="009A5224">
        <w:t xml:space="preserve">changes to operations and policies.  The TSA Customer Comment </w:t>
      </w:r>
      <w:r w:rsidR="004D0FC2">
        <w:t>t</w:t>
      </w:r>
      <w:r w:rsidR="006C1B2F">
        <w:t>ools are</w:t>
      </w:r>
      <w:r w:rsidR="009A5224">
        <w:t xml:space="preserve"> </w:t>
      </w:r>
      <w:r w:rsidR="006C1B2F">
        <w:t>critical</w:t>
      </w:r>
      <w:r w:rsidR="009A5224">
        <w:t xml:space="preserve"> in facilitating this goal.</w:t>
      </w:r>
    </w:p>
    <w:p w:rsidR="00D40BEA" w:rsidP="008074F4" w:rsidRDefault="00D40BEA">
      <w:pPr>
        <w:tabs>
          <w:tab w:val="left" w:pos="360"/>
        </w:tabs>
        <w:ind w:left="360"/>
      </w:pPr>
    </w:p>
    <w:p w:rsidR="00535EAF" w:rsidP="00535EAF" w:rsidRDefault="005C3900">
      <w:pPr>
        <w:tabs>
          <w:tab w:val="left" w:pos="360"/>
        </w:tabs>
        <w:ind w:left="360"/>
      </w:pPr>
      <w:r>
        <w:t>The TCC</w:t>
      </w:r>
      <w:r w:rsidR="00805702">
        <w:t xml:space="preserve"> </w:t>
      </w:r>
      <w:r w:rsidR="00D40BEA">
        <w:t>continues to</w:t>
      </w:r>
      <w:r>
        <w:t xml:space="preserve"> serve as the main portal of communication for the traveling public. </w:t>
      </w:r>
      <w:r w:rsidR="00E85E12">
        <w:t xml:space="preserve"> </w:t>
      </w:r>
      <w:r w:rsidR="008052DF">
        <w:t>T</w:t>
      </w:r>
      <w:r w:rsidR="00F10D8A">
        <w:t xml:space="preserve">he public may </w:t>
      </w:r>
      <w:r>
        <w:t xml:space="preserve">contact the TCC via email </w:t>
      </w:r>
      <w:r w:rsidR="006C1B2F">
        <w:t xml:space="preserve">or phone </w:t>
      </w:r>
      <w:r>
        <w:t>to request information, file a complaint</w:t>
      </w:r>
      <w:r w:rsidR="005904EB">
        <w:t xml:space="preserve"> (</w:t>
      </w:r>
      <w:r w:rsidR="00FB652F">
        <w:t>general or Civil Rights and Liberties</w:t>
      </w:r>
      <w:r w:rsidR="005904EB">
        <w:t>)</w:t>
      </w:r>
      <w:r>
        <w:t xml:space="preserve">, </w:t>
      </w:r>
      <w:r w:rsidR="00FB652F">
        <w:t>compliment, or provide general feedback</w:t>
      </w:r>
      <w:r>
        <w:t xml:space="preserve">.  With over </w:t>
      </w:r>
      <w:r w:rsidR="00FB652F">
        <w:t>one million</w:t>
      </w:r>
      <w:r>
        <w:t xml:space="preserve"> contacts per year, it is crucial for TSA to have the ability to capture this information.  </w:t>
      </w:r>
      <w:r w:rsidR="00D57126">
        <w:t xml:space="preserve">As a result of the U.S. Government Accountability Office (GAO) audit on Passenger Screening </w:t>
      </w:r>
      <w:r w:rsidR="00535EAF">
        <w:t>Complaints</w:t>
      </w:r>
      <w:r w:rsidR="00535EAF">
        <w:rPr>
          <w:rStyle w:val="FootnoteReference"/>
        </w:rPr>
        <w:footnoteReference w:id="1"/>
      </w:r>
      <w:r w:rsidR="00535EAF">
        <w:t>,</w:t>
      </w:r>
      <w:r w:rsidR="00D57126">
        <w:t xml:space="preserve"> GAO recommended that TSA streamline the methods by which individuals can contact TSA and make those avenues more visible.  Additionally, as part of the Department</w:t>
      </w:r>
      <w:r w:rsidRPr="0018081F" w:rsidR="00D57126">
        <w:t xml:space="preserve"> of Homeland Security</w:t>
      </w:r>
      <w:r w:rsidR="00D57126">
        <w:t xml:space="preserve">’s initiative to “Improve the Traveler Experience,” TSA must facilitate a highly visible, user friendly mechanism by which individuals can contact the agency.  To that end, we have created several online submission forms that are readily available from the Customer Service portion of tsa.gov.  </w:t>
      </w:r>
      <w:r w:rsidR="00FB652F">
        <w:t xml:space="preserve">The online forms are easy to use and offer several dropdown menu choices to reduce the burden on the public and increase the quality of data for TSA. </w:t>
      </w:r>
      <w:r w:rsidR="009E661B">
        <w:t xml:space="preserve"> Dropdown menus are available for the category of the complaint, compliment, </w:t>
      </w:r>
      <w:r w:rsidR="00926611">
        <w:t xml:space="preserve">request for assistance, </w:t>
      </w:r>
      <w:r w:rsidR="009E661B">
        <w:t>request for information</w:t>
      </w:r>
      <w:r w:rsidR="004232B6">
        <w:t>,</w:t>
      </w:r>
      <w:r w:rsidRPr="002C1B65" w:rsidR="002C1B65">
        <w:t xml:space="preserve"> </w:t>
      </w:r>
      <w:r w:rsidR="002C1B65">
        <w:t>or security issue</w:t>
      </w:r>
      <w:r w:rsidR="009E661B">
        <w:t xml:space="preserve">.  </w:t>
      </w:r>
      <w:r w:rsidRPr="0033385B" w:rsidR="0033385B">
        <w:t xml:space="preserve">All the above mentioned actions are in support of </w:t>
      </w:r>
      <w:r w:rsidR="005B43FD">
        <w:t>OMB</w:t>
      </w:r>
      <w:r w:rsidR="003C104C">
        <w:t>’s</w:t>
      </w:r>
      <w:r w:rsidR="005B43FD">
        <w:t xml:space="preserve"> terms of clearance</w:t>
      </w:r>
      <w:r w:rsidR="00926611">
        <w:t xml:space="preserve"> and</w:t>
      </w:r>
      <w:r w:rsidR="005B43FD">
        <w:t xml:space="preserve"> </w:t>
      </w:r>
      <w:r w:rsidR="003C104C">
        <w:t xml:space="preserve">the </w:t>
      </w:r>
      <w:r w:rsidRPr="0033385B" w:rsidR="0033385B">
        <w:t xml:space="preserve">GAO </w:t>
      </w:r>
      <w:r w:rsidR="003C104C">
        <w:t xml:space="preserve">audit </w:t>
      </w:r>
      <w:r w:rsidRPr="0033385B" w:rsidR="0033385B">
        <w:t>report recommendations.</w:t>
      </w:r>
      <w:r w:rsidR="00376B56">
        <w:t xml:space="preserve">  </w:t>
      </w:r>
      <w:r w:rsidR="00B4642B">
        <w:t>TCC provides a receipt to any person who submits an online form</w:t>
      </w:r>
      <w:r w:rsidR="00535EAF">
        <w:t>.</w:t>
      </w:r>
      <w:r w:rsidR="00535EAF">
        <w:rPr>
          <w:rStyle w:val="FootnoteReference"/>
        </w:rPr>
        <w:footnoteReference w:id="2"/>
      </w:r>
      <w:r w:rsidR="00535EAF">
        <w:t xml:space="preserve"> </w:t>
      </w:r>
    </w:p>
    <w:p w:rsidR="00CF1D57" w:rsidP="008074F4" w:rsidRDefault="002D277E">
      <w:pPr>
        <w:tabs>
          <w:tab w:val="left" w:pos="360"/>
        </w:tabs>
        <w:ind w:left="360"/>
      </w:pPr>
      <w:r>
        <w:t>.</w:t>
      </w:r>
    </w:p>
    <w:p w:rsidR="00320387" w:rsidP="008074F4" w:rsidRDefault="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8074F4" w:rsidRDefault="00320387">
      <w:pPr>
        <w:keepNext/>
        <w:numPr>
          <w:ilvl w:val="12"/>
          <w:numId w:val="0"/>
        </w:numPr>
        <w:ind w:left="360"/>
      </w:pPr>
    </w:p>
    <w:p w:rsidR="004D0FC2" w:rsidP="008074F4" w:rsidRDefault="007B1D7C">
      <w:pPr>
        <w:autoSpaceDE w:val="0"/>
        <w:autoSpaceDN w:val="0"/>
        <w:adjustRightInd w:val="0"/>
        <w:ind w:left="360"/>
        <w:rPr>
          <w:bCs/>
        </w:rPr>
      </w:pPr>
      <w:r w:rsidRPr="007B1D7C">
        <w:t xml:space="preserve">Respondents </w:t>
      </w:r>
      <w:r w:rsidR="00FD352F">
        <w:t>may</w:t>
      </w:r>
      <w:r w:rsidRPr="007B1D7C">
        <w:t xml:space="preserve"> submit their </w:t>
      </w:r>
      <w:r w:rsidR="00FD352F">
        <w:t>feedback</w:t>
      </w:r>
      <w:r w:rsidRPr="007B1D7C" w:rsidR="00FD352F">
        <w:t xml:space="preserve"> </w:t>
      </w:r>
      <w:r>
        <w:t>through</w:t>
      </w:r>
      <w:r w:rsidRPr="007B1D7C">
        <w:t xml:space="preserve"> electronic means via </w:t>
      </w:r>
      <w:r w:rsidR="007B0521">
        <w:t>the online submission forms</w:t>
      </w:r>
      <w:r w:rsidRPr="007B1D7C">
        <w:t xml:space="preserve">, which </w:t>
      </w:r>
      <w:r w:rsidR="00FD352F">
        <w:t>serve as the primary TSA Customer Comment Tool</w:t>
      </w:r>
      <w:r w:rsidRPr="007B1D7C">
        <w:t xml:space="preserve">. </w:t>
      </w:r>
      <w:r w:rsidR="00DB1BBF">
        <w:t>Currently, t</w:t>
      </w:r>
      <w:r w:rsidR="004B0766">
        <w:t xml:space="preserve">here are </w:t>
      </w:r>
      <w:r w:rsidR="00DB1BBF">
        <w:t xml:space="preserve">four </w:t>
      </w:r>
      <w:r w:rsidR="004B0766">
        <w:t xml:space="preserve">options for online forms: </w:t>
      </w:r>
      <w:r w:rsidR="00926611">
        <w:t xml:space="preserve">complaint and </w:t>
      </w:r>
      <w:r w:rsidR="004B0766">
        <w:t xml:space="preserve">compliment, </w:t>
      </w:r>
      <w:r w:rsidR="00926611">
        <w:t>request for assistance</w:t>
      </w:r>
      <w:r w:rsidR="004B0766">
        <w:t>, request for information, and security issue</w:t>
      </w:r>
      <w:r w:rsidR="00926611">
        <w:t>s</w:t>
      </w:r>
      <w:r w:rsidR="004B0766">
        <w:t xml:space="preserve">. The option to file a civil rights complaint is within the general complaint form. </w:t>
      </w:r>
      <w:r w:rsidR="00FD352F">
        <w:t xml:space="preserve">TSA collects feedback on the physical paper TSA Customer Comment Card from passenger respondents at airports.  Respondents </w:t>
      </w:r>
      <w:r w:rsidR="0034412F">
        <w:rPr>
          <w:bCs/>
        </w:rPr>
        <w:t>may request paper TSA Customer Comment Cards to provide feedback, complaints, or compliments.  For passengers who deposit their cards in the designated drop-boxes, TSA staff at airports collect the cards, categorize comments, enter the results into an online system for reporting, and respond to passengers as appropriate.</w:t>
      </w:r>
      <w:r w:rsidRPr="0071662B" w:rsidR="0034412F">
        <w:rPr>
          <w:bCs/>
        </w:rPr>
        <w:t xml:space="preserve"> </w:t>
      </w:r>
      <w:r w:rsidR="0034412F">
        <w:rPr>
          <w:bCs/>
        </w:rPr>
        <w:t>If the passenger voluntarily provides contact information, TSA will use the contact information to respond to passenger</w:t>
      </w:r>
      <w:r w:rsidR="002D0AFE">
        <w:rPr>
          <w:bCs/>
        </w:rPr>
        <w:t>s as appropriate</w:t>
      </w:r>
      <w:r w:rsidR="0034412F">
        <w:rPr>
          <w:bCs/>
        </w:rPr>
        <w:t xml:space="preserve">.  </w:t>
      </w:r>
    </w:p>
    <w:p w:rsidR="004D0FC2" w:rsidP="008074F4" w:rsidRDefault="004D0FC2">
      <w:pPr>
        <w:autoSpaceDE w:val="0"/>
        <w:autoSpaceDN w:val="0"/>
        <w:adjustRightInd w:val="0"/>
        <w:ind w:left="360"/>
        <w:rPr>
          <w:bCs/>
        </w:rPr>
      </w:pPr>
    </w:p>
    <w:p w:rsidR="00DB1BBF" w:rsidP="008074F4" w:rsidRDefault="00864C07">
      <w:pPr>
        <w:autoSpaceDE w:val="0"/>
        <w:autoSpaceDN w:val="0"/>
        <w:adjustRightInd w:val="0"/>
        <w:ind w:left="360"/>
        <w:rPr>
          <w:bCs/>
        </w:rPr>
      </w:pPr>
      <w:r w:rsidRPr="00864C07">
        <w:rPr>
          <w:bCs/>
        </w:rPr>
        <w:t>TSA is revising the information collection</w:t>
      </w:r>
      <w:r w:rsidR="005904EB">
        <w:rPr>
          <w:bCs/>
        </w:rPr>
        <w:t xml:space="preserve"> </w:t>
      </w:r>
      <w:r w:rsidRPr="00864C07">
        <w:rPr>
          <w:bCs/>
        </w:rPr>
        <w:t>from four to six online forms.  The Complaint and Compliment online form ha</w:t>
      </w:r>
      <w:r>
        <w:rPr>
          <w:bCs/>
        </w:rPr>
        <w:t>s</w:t>
      </w:r>
      <w:r w:rsidRPr="00864C07">
        <w:rPr>
          <w:bCs/>
        </w:rPr>
        <w:t xml:space="preserve"> been broken into two forms</w:t>
      </w:r>
      <w:r>
        <w:rPr>
          <w:bCs/>
        </w:rPr>
        <w:t xml:space="preserve">.  </w:t>
      </w:r>
      <w:r w:rsidR="005904EB">
        <w:rPr>
          <w:bCs/>
        </w:rPr>
        <w:t xml:space="preserve">Additionally, </w:t>
      </w:r>
      <w:r w:rsidR="00F9756A">
        <w:rPr>
          <w:bCs/>
        </w:rPr>
        <w:t xml:space="preserve">TSA PreCheck® </w:t>
      </w:r>
      <w:r w:rsidRPr="00864C07">
        <w:rPr>
          <w:bCs/>
        </w:rPr>
        <w:t>ha</w:t>
      </w:r>
      <w:r>
        <w:rPr>
          <w:bCs/>
        </w:rPr>
        <w:t>s</w:t>
      </w:r>
      <w:r w:rsidRPr="00864C07">
        <w:rPr>
          <w:bCs/>
        </w:rPr>
        <w:t xml:space="preserve"> been pulled out of the drop down menu of Complaint and given its own form.  </w:t>
      </w:r>
      <w:r w:rsidR="005904EB">
        <w:rPr>
          <w:bCs/>
        </w:rPr>
        <w:t xml:space="preserve">Finally, the </w:t>
      </w:r>
      <w:r w:rsidRPr="00864C07">
        <w:rPr>
          <w:bCs/>
        </w:rPr>
        <w:t>Request for Assistance</w:t>
      </w:r>
      <w:r>
        <w:rPr>
          <w:bCs/>
        </w:rPr>
        <w:t xml:space="preserve"> online form</w:t>
      </w:r>
      <w:r w:rsidRPr="00864C07">
        <w:rPr>
          <w:bCs/>
        </w:rPr>
        <w:t xml:space="preserve"> has been renamed TSA Cares.  The 6 online forms are as follows:</w:t>
      </w:r>
      <w:r w:rsidR="00DB1BBF">
        <w:rPr>
          <w:bCs/>
        </w:rPr>
        <w:t xml:space="preserve"> </w:t>
      </w:r>
    </w:p>
    <w:p w:rsidR="00DB1BBF" w:rsidP="008074F4" w:rsidRDefault="00DB1BBF">
      <w:pPr>
        <w:autoSpaceDE w:val="0"/>
        <w:autoSpaceDN w:val="0"/>
        <w:adjustRightInd w:val="0"/>
        <w:ind w:left="360"/>
        <w:rPr>
          <w:bCs/>
        </w:rPr>
      </w:pPr>
    </w:p>
    <w:p w:rsidR="00DB1BBF" w:rsidP="00DB1BBF" w:rsidRDefault="00DB1BBF">
      <w:pPr>
        <w:pStyle w:val="ListParagraph"/>
        <w:numPr>
          <w:ilvl w:val="0"/>
          <w:numId w:val="3"/>
        </w:numPr>
        <w:autoSpaceDE w:val="0"/>
        <w:autoSpaceDN w:val="0"/>
        <w:adjustRightInd w:val="0"/>
        <w:rPr>
          <w:bCs/>
        </w:rPr>
      </w:pPr>
      <w:r w:rsidRPr="00DB1BBF">
        <w:rPr>
          <w:bCs/>
        </w:rPr>
        <w:t>Complaint</w:t>
      </w:r>
      <w:r>
        <w:rPr>
          <w:bCs/>
        </w:rPr>
        <w:t xml:space="preserve"> – passengers may provide a complaint indicating why TSA did not meet their expectations.</w:t>
      </w:r>
    </w:p>
    <w:p w:rsidR="005904EB" w:rsidP="005904EB" w:rsidRDefault="005904EB">
      <w:pPr>
        <w:pStyle w:val="ListParagraph"/>
        <w:numPr>
          <w:ilvl w:val="0"/>
          <w:numId w:val="3"/>
        </w:numPr>
        <w:autoSpaceDE w:val="0"/>
        <w:autoSpaceDN w:val="0"/>
        <w:adjustRightInd w:val="0"/>
      </w:pPr>
      <w:r>
        <w:t>Compliment – passengers may share how TSA exceeded their expectations.</w:t>
      </w:r>
    </w:p>
    <w:p w:rsidR="00DB1BBF" w:rsidP="00DB1BBF" w:rsidRDefault="00DB1BBF">
      <w:pPr>
        <w:pStyle w:val="ListParagraph"/>
        <w:numPr>
          <w:ilvl w:val="0"/>
          <w:numId w:val="3"/>
        </w:numPr>
        <w:autoSpaceDE w:val="0"/>
        <w:autoSpaceDN w:val="0"/>
        <w:adjustRightInd w:val="0"/>
      </w:pPr>
      <w:r>
        <w:rPr>
          <w:bCs/>
        </w:rPr>
        <w:t>T</w:t>
      </w:r>
      <w:r>
        <w:t>SA PreCheck</w:t>
      </w:r>
      <w:r w:rsidR="00F9756A">
        <w:t>®</w:t>
      </w:r>
      <w:r>
        <w:t xml:space="preserve"> - passengers may share concerns about not receiv</w:t>
      </w:r>
      <w:r w:rsidR="004232B6">
        <w:t>ing</w:t>
      </w:r>
      <w:r>
        <w:t xml:space="preserve"> TSA Pre</w:t>
      </w:r>
      <w:r w:rsidR="001C13EE">
        <w:t>C</w:t>
      </w:r>
      <w:r>
        <w:t>heck on their boarding pass or other concerns.</w:t>
      </w:r>
    </w:p>
    <w:p w:rsidR="00DB1BBF" w:rsidP="00DB1BBF" w:rsidRDefault="00DB1BBF">
      <w:pPr>
        <w:pStyle w:val="ListParagraph"/>
        <w:numPr>
          <w:ilvl w:val="0"/>
          <w:numId w:val="3"/>
        </w:numPr>
        <w:autoSpaceDE w:val="0"/>
        <w:autoSpaceDN w:val="0"/>
        <w:adjustRightInd w:val="0"/>
      </w:pPr>
      <w:r>
        <w:t xml:space="preserve">Request for Information – passengers may submit a request for information about TSA policies and procedures, </w:t>
      </w:r>
      <w:r w:rsidRPr="00DB1BBF">
        <w:t>such as traveling with medical conditions, prohibited &amp; permitted items, security screening</w:t>
      </w:r>
      <w:r w:rsidR="004232B6">
        <w:t>,</w:t>
      </w:r>
      <w:r w:rsidRPr="00DB1BBF">
        <w:t xml:space="preserve"> and more.</w:t>
      </w:r>
    </w:p>
    <w:p w:rsidR="00DB1BBF" w:rsidP="00DB1BBF" w:rsidRDefault="00DB1BBF">
      <w:pPr>
        <w:pStyle w:val="ListParagraph"/>
        <w:numPr>
          <w:ilvl w:val="0"/>
          <w:numId w:val="3"/>
        </w:numPr>
        <w:autoSpaceDE w:val="0"/>
        <w:autoSpaceDN w:val="0"/>
        <w:adjustRightInd w:val="0"/>
      </w:pPr>
      <w:r>
        <w:t>TSA Cares – passengers may submit a request for assistance through the TSA screening checkpoint.</w:t>
      </w:r>
    </w:p>
    <w:p w:rsidR="00AF788E" w:rsidP="00DB1BBF" w:rsidRDefault="00DB1BBF">
      <w:pPr>
        <w:pStyle w:val="ListParagraph"/>
        <w:numPr>
          <w:ilvl w:val="0"/>
          <w:numId w:val="3"/>
        </w:numPr>
        <w:autoSpaceDE w:val="0"/>
        <w:autoSpaceDN w:val="0"/>
        <w:adjustRightInd w:val="0"/>
      </w:pPr>
      <w:r>
        <w:t xml:space="preserve">Security Issue </w:t>
      </w:r>
      <w:r w:rsidR="00AF788E">
        <w:t>–</w:t>
      </w:r>
      <w:r>
        <w:t xml:space="preserve"> </w:t>
      </w:r>
      <w:r w:rsidR="00AF788E">
        <w:t xml:space="preserve">passengers </w:t>
      </w:r>
      <w:r w:rsidR="003F401C">
        <w:t>may</w:t>
      </w:r>
      <w:r w:rsidR="00AF788E">
        <w:t xml:space="preserve"> identify and report suspicious activities and threats.</w:t>
      </w:r>
    </w:p>
    <w:p w:rsidR="00AF788E" w:rsidP="00AF788E" w:rsidRDefault="00AF788E">
      <w:pPr>
        <w:autoSpaceDE w:val="0"/>
        <w:autoSpaceDN w:val="0"/>
        <w:adjustRightInd w:val="0"/>
        <w:ind w:left="360"/>
        <w:rPr>
          <w:bCs/>
        </w:rPr>
      </w:pPr>
    </w:p>
    <w:p w:rsidR="007154EA" w:rsidP="00AF788E" w:rsidRDefault="00CA3971">
      <w:pPr>
        <w:autoSpaceDE w:val="0"/>
        <w:autoSpaceDN w:val="0"/>
        <w:adjustRightInd w:val="0"/>
        <w:ind w:left="360"/>
      </w:pPr>
      <w:r w:rsidRPr="00AF788E">
        <w:rPr>
          <w:bCs/>
        </w:rPr>
        <w:t>Also, TSA is changing t</w:t>
      </w:r>
      <w:r w:rsidR="00AF788E">
        <w:rPr>
          <w:bCs/>
        </w:rPr>
        <w:t>he name of OMB control number 1652-0030 from “</w:t>
      </w:r>
      <w:r w:rsidRPr="001C13EE" w:rsidR="00AF788E">
        <w:rPr>
          <w:bCs/>
          <w:i/>
        </w:rPr>
        <w:t>TSA Custom</w:t>
      </w:r>
      <w:r w:rsidRPr="001C13EE">
        <w:rPr>
          <w:bCs/>
          <w:i/>
        </w:rPr>
        <w:t>er Comment Card</w:t>
      </w:r>
      <w:r w:rsidR="00AF788E">
        <w:rPr>
          <w:bCs/>
        </w:rPr>
        <w:t>”</w:t>
      </w:r>
      <w:r w:rsidRPr="00AF788E">
        <w:rPr>
          <w:bCs/>
        </w:rPr>
        <w:t xml:space="preserve"> to </w:t>
      </w:r>
      <w:r w:rsidR="00AF788E">
        <w:rPr>
          <w:bCs/>
        </w:rPr>
        <w:t>“</w:t>
      </w:r>
      <w:r w:rsidRPr="001C13EE">
        <w:rPr>
          <w:bCs/>
          <w:i/>
        </w:rPr>
        <w:t>TSA Customer Comment Tool</w:t>
      </w:r>
      <w:r w:rsidRPr="001C13EE" w:rsidR="004D0FC2">
        <w:rPr>
          <w:bCs/>
          <w:i/>
        </w:rPr>
        <w:t>s</w:t>
      </w:r>
      <w:r w:rsidR="00AF788E">
        <w:rPr>
          <w:bCs/>
        </w:rPr>
        <w:t>”</w:t>
      </w:r>
      <w:r w:rsidRPr="00AF788E">
        <w:rPr>
          <w:bCs/>
        </w:rPr>
        <w:t xml:space="preserve"> to </w:t>
      </w:r>
      <w:r w:rsidRPr="00AF788E" w:rsidR="004D0FC2">
        <w:rPr>
          <w:bCs/>
        </w:rPr>
        <w:t>more accurately represent the information collection.</w:t>
      </w:r>
      <w:r w:rsidRPr="00AF788E" w:rsidR="00AF788E">
        <w:rPr>
          <w:bCs/>
        </w:rPr>
        <w:t xml:space="preserve"> </w:t>
      </w:r>
      <w:r w:rsidR="00AF788E">
        <w:rPr>
          <w:bCs/>
        </w:rPr>
        <w:t xml:space="preserve">TSA is also </w:t>
      </w:r>
      <w:r w:rsidRPr="00AF788E" w:rsidR="00AF788E">
        <w:rPr>
          <w:bCs/>
        </w:rPr>
        <w:t xml:space="preserve">making non-substantive changes to the paper comment card, </w:t>
      </w:r>
      <w:r w:rsidR="005904EB">
        <w:rPr>
          <w:bCs/>
        </w:rPr>
        <w:t xml:space="preserve">by </w:t>
      </w:r>
      <w:r w:rsidRPr="00AF788E" w:rsidR="00AF788E">
        <w:rPr>
          <w:bCs/>
        </w:rPr>
        <w:t>updating font, TSA insignia</w:t>
      </w:r>
      <w:r w:rsidR="004232B6">
        <w:rPr>
          <w:bCs/>
        </w:rPr>
        <w:t>,</w:t>
      </w:r>
      <w:r w:rsidRPr="00AF788E" w:rsidR="00AF788E">
        <w:rPr>
          <w:bCs/>
        </w:rPr>
        <w:t xml:space="preserve"> and spacing.  </w:t>
      </w:r>
    </w:p>
    <w:p w:rsidR="007154EA" w:rsidP="008074F4" w:rsidRDefault="007154EA">
      <w:pPr>
        <w:autoSpaceDE w:val="0"/>
        <w:autoSpaceDN w:val="0"/>
        <w:adjustRightInd w:val="0"/>
        <w:ind w:left="360"/>
      </w:pPr>
    </w:p>
    <w:p w:rsidR="009A5224" w:rsidP="007154EA" w:rsidRDefault="007154EA">
      <w:pPr>
        <w:autoSpaceDE w:val="0"/>
        <w:autoSpaceDN w:val="0"/>
        <w:adjustRightInd w:val="0"/>
        <w:ind w:left="360"/>
      </w:pPr>
      <w:r>
        <w:t>The TSA Customer Service Branch u</w:t>
      </w:r>
      <w:r w:rsidR="009A5224">
        <w:t>se</w:t>
      </w:r>
      <w:r w:rsidR="00822740">
        <w:t>s</w:t>
      </w:r>
      <w:r w:rsidR="009A5224">
        <w:t xml:space="preserve"> the data collected to prepare </w:t>
      </w:r>
      <w:r>
        <w:t>reports for TSA senior leadership and for reporting to other Federal agencies on TSA’s customer experience work, such as O</w:t>
      </w:r>
      <w:r w:rsidR="0034412F">
        <w:t>MB</w:t>
      </w:r>
      <w:r>
        <w:t>. The internal</w:t>
      </w:r>
      <w:r w:rsidR="009A5224">
        <w:t xml:space="preserve"> reports </w:t>
      </w:r>
      <w:r>
        <w:t>are used to</w:t>
      </w:r>
      <w:r w:rsidR="009A5224">
        <w:t xml:space="preserve"> develop measures required by the </w:t>
      </w:r>
      <w:r w:rsidR="009A5224">
        <w:rPr>
          <w:rFonts w:cs="Times New Roman"/>
          <w:color w:val="auto"/>
          <w:szCs w:val="24"/>
        </w:rPr>
        <w:t>Government Performance and Results Act (GPRA), which requires all Federal agencies to define performance goals, and measure agency and program performance in the achievement of these goals</w:t>
      </w:r>
      <w:r w:rsidR="00F309E6">
        <w:rPr>
          <w:rFonts w:cs="Times New Roman"/>
          <w:color w:val="auto"/>
          <w:szCs w:val="24"/>
        </w:rPr>
        <w:t xml:space="preserve">; the reports are also used </w:t>
      </w:r>
      <w:r w:rsidR="009A5224">
        <w:t xml:space="preserve">for measuring customer satisfaction.  </w:t>
      </w:r>
      <w:r>
        <w:t xml:space="preserve">TSA will use the data for trend analysis, with a focus on Civil Rights-related complaints and alleged violations. The information obtained via this mechanism will be used to inform the traveling public in various ways, such as top areas of complaints; the most frequently asked questions will be posted on the TSA website. </w:t>
      </w:r>
      <w:r w:rsidR="009A5224">
        <w:t>Th</w:t>
      </w:r>
      <w:r>
        <w:t xml:space="preserve">ese feedback tools </w:t>
      </w:r>
      <w:r w:rsidR="009A5224">
        <w:t>enhance the accuracy of the data being reported and place</w:t>
      </w:r>
      <w:r w:rsidR="00822740">
        <w:t>s</w:t>
      </w:r>
      <w:r w:rsidR="009A5224">
        <w:t xml:space="preserve"> TSA in a better position to quickly respond to citizens’ concerns.</w:t>
      </w:r>
    </w:p>
    <w:p w:rsidR="00320387" w:rsidP="008074F4" w:rsidRDefault="00320387">
      <w:pPr>
        <w:numPr>
          <w:ilvl w:val="12"/>
          <w:numId w:val="0"/>
        </w:numPr>
      </w:pPr>
    </w:p>
    <w:p w:rsidR="00320387" w:rsidP="008074F4" w:rsidRDefault="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8074F4" w:rsidRDefault="00320387">
      <w:pPr>
        <w:keepNext/>
        <w:numPr>
          <w:ilvl w:val="12"/>
          <w:numId w:val="0"/>
        </w:numPr>
        <w:ind w:left="360"/>
      </w:pPr>
    </w:p>
    <w:p w:rsidR="009A5224" w:rsidP="008074F4" w:rsidRDefault="00290C73">
      <w:pPr>
        <w:autoSpaceDE w:val="0"/>
        <w:autoSpaceDN w:val="0"/>
        <w:adjustRightInd w:val="0"/>
        <w:ind w:left="360"/>
      </w:pPr>
      <w:r>
        <w:t>The online submission forms</w:t>
      </w:r>
      <w:r w:rsidR="00D9159E">
        <w:t>,</w:t>
      </w:r>
      <w:r>
        <w:t xml:space="preserve"> </w:t>
      </w:r>
      <w:r w:rsidR="00D9159E">
        <w:t xml:space="preserve">available at </w:t>
      </w:r>
      <w:hyperlink w:history="1" r:id="rId13">
        <w:r w:rsidRPr="007D198E" w:rsidR="00D9159E">
          <w:rPr>
            <w:rStyle w:val="Hyperlink"/>
          </w:rPr>
          <w:t>www.tsa.gov/contact</w:t>
        </w:r>
        <w:r w:rsidRPr="007D198E" w:rsidR="00C7049F">
          <w:rPr>
            <w:rStyle w:val="Hyperlink"/>
          </w:rPr>
          <w:t>/contact-forms</w:t>
        </w:r>
      </w:hyperlink>
      <w:r w:rsidR="00D9159E">
        <w:t xml:space="preserve">, </w:t>
      </w:r>
      <w:r w:rsidR="00334628">
        <w:t>will provide a fully electronic means for the public to provide feedback. A paper version of the Customer Comment Card will be made available at airport locations</w:t>
      </w:r>
      <w:r w:rsidR="007154EA">
        <w:t xml:space="preserve"> upon request</w:t>
      </w:r>
      <w:r w:rsidR="00334628">
        <w:t xml:space="preserve">. </w:t>
      </w:r>
      <w:r w:rsidR="009A5224">
        <w:t>TSA’s intent is to make the feedback process accessible to all passengers, including those who do not have access to the Internet.</w:t>
      </w:r>
      <w:r w:rsidR="005E3707">
        <w:t xml:space="preserve"> </w:t>
      </w:r>
    </w:p>
    <w:p w:rsidR="00320387" w:rsidP="008074F4" w:rsidRDefault="00320387">
      <w:pPr>
        <w:numPr>
          <w:ilvl w:val="12"/>
          <w:numId w:val="0"/>
        </w:numPr>
      </w:pPr>
    </w:p>
    <w:p w:rsidR="00320387" w:rsidP="008074F4" w:rsidRDefault="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8074F4" w:rsidRDefault="00320387">
      <w:pPr>
        <w:keepNext/>
        <w:numPr>
          <w:ilvl w:val="12"/>
          <w:numId w:val="0"/>
        </w:numPr>
        <w:ind w:left="360"/>
      </w:pPr>
    </w:p>
    <w:p w:rsidR="009A5224" w:rsidP="008074F4" w:rsidRDefault="009A5224">
      <w:pPr>
        <w:pStyle w:val="BodyTextIndent"/>
        <w:numPr>
          <w:ilvl w:val="12"/>
          <w:numId w:val="0"/>
        </w:numPr>
        <w:ind w:left="360"/>
        <w:rPr>
          <w:sz w:val="24"/>
        </w:rPr>
      </w:pPr>
      <w:r>
        <w:rPr>
          <w:sz w:val="24"/>
        </w:rPr>
        <w:t>This information collection will not be a duplication of any existing collections.</w:t>
      </w:r>
    </w:p>
    <w:p w:rsidR="00320387" w:rsidP="008074F4" w:rsidRDefault="00320387">
      <w:pPr>
        <w:numPr>
          <w:ilvl w:val="12"/>
          <w:numId w:val="0"/>
        </w:numPr>
      </w:pPr>
    </w:p>
    <w:p w:rsidR="00320387" w:rsidP="008074F4" w:rsidRDefault="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8074F4" w:rsidRDefault="00320387">
      <w:pPr>
        <w:keepNext/>
        <w:numPr>
          <w:ilvl w:val="12"/>
          <w:numId w:val="0"/>
        </w:numPr>
        <w:ind w:left="360"/>
      </w:pPr>
    </w:p>
    <w:p w:rsidR="009A5224" w:rsidP="008074F4" w:rsidRDefault="009A5224">
      <w:pPr>
        <w:numPr>
          <w:ilvl w:val="12"/>
          <w:numId w:val="0"/>
        </w:numPr>
        <w:ind w:left="360"/>
      </w:pPr>
      <w:r>
        <w:t>The collection will not have an impact on small businesses or other small entities.</w:t>
      </w:r>
    </w:p>
    <w:p w:rsidR="00320387" w:rsidP="008074F4" w:rsidRDefault="00320387">
      <w:pPr>
        <w:numPr>
          <w:ilvl w:val="12"/>
          <w:numId w:val="0"/>
        </w:numPr>
      </w:pPr>
    </w:p>
    <w:p w:rsidR="00320387" w:rsidP="008074F4" w:rsidRDefault="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8074F4" w:rsidRDefault="00320387">
      <w:pPr>
        <w:keepNext/>
        <w:numPr>
          <w:ilvl w:val="12"/>
          <w:numId w:val="0"/>
        </w:numPr>
        <w:ind w:left="360"/>
      </w:pPr>
    </w:p>
    <w:p w:rsidR="009A5224" w:rsidP="008074F4" w:rsidRDefault="009A5224">
      <w:pPr>
        <w:numPr>
          <w:ilvl w:val="12"/>
          <w:numId w:val="0"/>
        </w:numPr>
        <w:ind w:left="360"/>
      </w:pPr>
      <w:r>
        <w:t>Without this collection, TSA will not have a mechanism for the expeditious daily collection of customer feedback.  Such an instrument is needed to facilitate addressing and resolving these concerns as quickly as possible.  Inevitably, new security threats will arise that will influence the screening process in the future.</w:t>
      </w:r>
      <w:r w:rsidR="007B1D7C">
        <w:t xml:space="preserve"> </w:t>
      </w:r>
      <w:r w:rsidR="00C857EF">
        <w:t xml:space="preserve">This information collection enables TSA </w:t>
      </w:r>
      <w:r>
        <w:t>to quickly and efficiently gauge public reaction to the changes and respond appropriately, including conducting public education activity.</w:t>
      </w:r>
    </w:p>
    <w:p w:rsidR="00320387" w:rsidP="008074F4" w:rsidRDefault="00320387">
      <w:pPr>
        <w:numPr>
          <w:ilvl w:val="12"/>
          <w:numId w:val="0"/>
        </w:numPr>
      </w:pPr>
    </w:p>
    <w:p w:rsidR="00320387" w:rsidP="008074F4" w:rsidRDefault="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8074F4" w:rsidRDefault="00320387">
      <w:pPr>
        <w:keepNext/>
        <w:numPr>
          <w:ilvl w:val="12"/>
          <w:numId w:val="0"/>
        </w:numPr>
        <w:ind w:left="360"/>
      </w:pPr>
    </w:p>
    <w:p w:rsidR="009A5224" w:rsidP="008074F4" w:rsidRDefault="009A5224">
      <w:pPr>
        <w:numPr>
          <w:ilvl w:val="12"/>
          <w:numId w:val="0"/>
        </w:numPr>
        <w:ind w:left="360"/>
      </w:pPr>
      <w:r>
        <w:t>The collection will be conducted in a manner consistent with the general information collection guidelines.</w:t>
      </w:r>
    </w:p>
    <w:p w:rsidR="00320387" w:rsidP="008074F4" w:rsidRDefault="00320387">
      <w:pPr>
        <w:numPr>
          <w:ilvl w:val="12"/>
          <w:numId w:val="0"/>
        </w:numPr>
      </w:pPr>
    </w:p>
    <w:p w:rsidR="00320387" w:rsidP="008074F4" w:rsidRDefault="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8074F4" w:rsidRDefault="00320387">
      <w:pPr>
        <w:keepNext/>
        <w:numPr>
          <w:ilvl w:val="12"/>
          <w:numId w:val="0"/>
        </w:numPr>
        <w:ind w:left="360"/>
      </w:pPr>
    </w:p>
    <w:p w:rsidR="00A9462F" w:rsidP="00A9462F" w:rsidRDefault="009A5224">
      <w:pPr>
        <w:pStyle w:val="Default"/>
        <w:ind w:left="360"/>
      </w:pPr>
      <w:r>
        <w:t>TSA published a 60</w:t>
      </w:r>
      <w:r w:rsidR="00964A34">
        <w:t>-</w:t>
      </w:r>
      <w:r>
        <w:t xml:space="preserve">Day renewal notice in the </w:t>
      </w:r>
      <w:r w:rsidRPr="005C3E73">
        <w:rPr>
          <w:i/>
        </w:rPr>
        <w:t>Federal Register</w:t>
      </w:r>
      <w:r>
        <w:t xml:space="preserve"> on </w:t>
      </w:r>
      <w:r w:rsidR="00CA3971">
        <w:t xml:space="preserve">April 13, 2021 </w:t>
      </w:r>
      <w:r w:rsidRPr="00FC403A" w:rsidR="00956D6B">
        <w:t>(</w:t>
      </w:r>
      <w:r w:rsidRPr="00FC403A" w:rsidR="005B43FD">
        <w:t>8</w:t>
      </w:r>
      <w:r w:rsidR="00CA3971">
        <w:t>6</w:t>
      </w:r>
      <w:r w:rsidRPr="00FC403A" w:rsidR="005B43FD">
        <w:t xml:space="preserve"> </w:t>
      </w:r>
      <w:r w:rsidRPr="00FC403A" w:rsidR="00956D6B">
        <w:t xml:space="preserve">FR </w:t>
      </w:r>
      <w:r w:rsidRPr="00CA3971" w:rsidR="00CA3971">
        <w:t>19276</w:t>
      </w:r>
      <w:r w:rsidRPr="00FC403A" w:rsidR="00956D6B">
        <w:t>)</w:t>
      </w:r>
      <w:r w:rsidRPr="00FC403A" w:rsidR="00CA5D32">
        <w:t>, and a 30</w:t>
      </w:r>
      <w:r w:rsidRPr="00FC403A" w:rsidR="00964A34">
        <w:t>-</w:t>
      </w:r>
      <w:r w:rsidRPr="00FC403A" w:rsidR="00CA5D32">
        <w:t xml:space="preserve">Day renewal notice on </w:t>
      </w:r>
      <w:r w:rsidR="00637E66">
        <w:t>July</w:t>
      </w:r>
      <w:r w:rsidRPr="007E7B12" w:rsidR="00637E66">
        <w:t xml:space="preserve"> </w:t>
      </w:r>
      <w:r w:rsidRPr="007E7B12" w:rsidR="007E7B12">
        <w:t>13</w:t>
      </w:r>
      <w:r w:rsidRPr="007E7B12" w:rsidR="00822DA4">
        <w:t>, 20</w:t>
      </w:r>
      <w:r w:rsidRPr="007E7B12" w:rsidR="00CA3971">
        <w:t>2</w:t>
      </w:r>
      <w:r w:rsidRPr="007E7B12" w:rsidR="00822DA4">
        <w:t>1</w:t>
      </w:r>
      <w:r w:rsidRPr="007E7B12" w:rsidR="008C2F10">
        <w:t xml:space="preserve"> (</w:t>
      </w:r>
      <w:r w:rsidRPr="007E7B12" w:rsidR="00856A6D">
        <w:t>8</w:t>
      </w:r>
      <w:r w:rsidRPr="007E7B12" w:rsidR="00CA3971">
        <w:t>6</w:t>
      </w:r>
      <w:r w:rsidRPr="007E7B12" w:rsidR="00856A6D">
        <w:t xml:space="preserve"> </w:t>
      </w:r>
      <w:r w:rsidRPr="007E7B12" w:rsidR="008C2F10">
        <w:t xml:space="preserve">FR </w:t>
      </w:r>
      <w:r w:rsidR="00637E66">
        <w:t>36758</w:t>
      </w:r>
      <w:r w:rsidRPr="001E5737" w:rsidR="008C2F10">
        <w:t>)</w:t>
      </w:r>
      <w:r w:rsidRPr="00732532" w:rsidR="00964A34">
        <w:t xml:space="preserve">.  </w:t>
      </w:r>
      <w:r w:rsidR="00CA3971">
        <w:t>The agency received no comments.</w:t>
      </w:r>
    </w:p>
    <w:p w:rsidR="00320387" w:rsidP="008074F4" w:rsidRDefault="00320387">
      <w:pPr>
        <w:pStyle w:val="IndexHeading"/>
        <w:keepNext w:val="0"/>
        <w:numPr>
          <w:ilvl w:val="12"/>
          <w:numId w:val="0"/>
        </w:numPr>
        <w:spacing w:line="240" w:lineRule="auto"/>
        <w:rPr>
          <w:rFonts w:ascii="Times New Roman" w:hAnsi="Times New Roman"/>
          <w:spacing w:val="0"/>
        </w:rPr>
      </w:pPr>
    </w:p>
    <w:p w:rsidR="00320387" w:rsidP="008074F4" w:rsidRDefault="0032038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8074F4" w:rsidRDefault="00320387">
      <w:pPr>
        <w:keepNext/>
        <w:numPr>
          <w:ilvl w:val="12"/>
          <w:numId w:val="0"/>
        </w:numPr>
        <w:ind w:left="360"/>
      </w:pPr>
    </w:p>
    <w:p w:rsidR="009A5224" w:rsidP="008074F4" w:rsidRDefault="009A5224">
      <w:pPr>
        <w:numPr>
          <w:ilvl w:val="12"/>
          <w:numId w:val="0"/>
        </w:numPr>
        <w:ind w:left="360"/>
      </w:pPr>
      <w:r>
        <w:t xml:space="preserve">The respondents will not be paid for their </w:t>
      </w:r>
      <w:r w:rsidR="00964A34">
        <w:t xml:space="preserve">voluntary </w:t>
      </w:r>
      <w:r>
        <w:t xml:space="preserve">participation in the feedback activity. </w:t>
      </w:r>
    </w:p>
    <w:p w:rsidR="00320387" w:rsidP="008074F4" w:rsidRDefault="00320387">
      <w:pPr>
        <w:numPr>
          <w:ilvl w:val="12"/>
          <w:numId w:val="0"/>
        </w:numPr>
      </w:pPr>
    </w:p>
    <w:p w:rsidR="00320387" w:rsidP="008074F4" w:rsidRDefault="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8074F4" w:rsidRDefault="00320387">
      <w:pPr>
        <w:keepNext/>
        <w:numPr>
          <w:ilvl w:val="12"/>
          <w:numId w:val="0"/>
        </w:numPr>
        <w:ind w:left="360"/>
      </w:pPr>
    </w:p>
    <w:p w:rsidR="009A5224" w:rsidP="008074F4" w:rsidRDefault="00164287">
      <w:pPr>
        <w:numPr>
          <w:ilvl w:val="12"/>
          <w:numId w:val="0"/>
        </w:numPr>
        <w:ind w:left="360"/>
        <w:rPr>
          <w:rFonts w:cs="Times New Roman"/>
        </w:rPr>
      </w:pPr>
      <w:r w:rsidRPr="00164287">
        <w:rPr>
          <w:rFonts w:cs="Times New Roman"/>
        </w:rPr>
        <w:t>TSA does not provide any assurances of confidentiality to respondents.  To the extent applicable, information provided by respondents will be protected in accordance with the Privacy Act</w:t>
      </w:r>
      <w:r w:rsidR="0044233A">
        <w:rPr>
          <w:rFonts w:cs="Times New Roman"/>
        </w:rPr>
        <w:t xml:space="preserve"> and TSA privacy and information technology policy</w:t>
      </w:r>
      <w:r w:rsidRPr="00164287">
        <w:rPr>
          <w:rFonts w:cs="Times New Roman"/>
        </w:rPr>
        <w:t xml:space="preserve">.  The applicable system of records notices </w:t>
      </w:r>
      <w:r w:rsidR="00486C38">
        <w:rPr>
          <w:rFonts w:cs="Times New Roman"/>
        </w:rPr>
        <w:t xml:space="preserve">(SORNs) </w:t>
      </w:r>
      <w:r w:rsidRPr="00164287">
        <w:rPr>
          <w:rFonts w:cs="Times New Roman"/>
        </w:rPr>
        <w:t xml:space="preserve">are DHS/TSA-006, Correspondence and Matters Tracking Records, last published in the </w:t>
      </w:r>
      <w:r w:rsidRPr="005C3E73">
        <w:rPr>
          <w:rFonts w:cs="Times New Roman"/>
          <w:i/>
        </w:rPr>
        <w:t>Federal Register</w:t>
      </w:r>
      <w:r w:rsidRPr="00164287">
        <w:rPr>
          <w:rFonts w:cs="Times New Roman"/>
        </w:rPr>
        <w:t xml:space="preserve"> on April 13, 2010</w:t>
      </w:r>
      <w:r w:rsidR="00486C38">
        <w:rPr>
          <w:rFonts w:cs="Times New Roman"/>
        </w:rPr>
        <w:t xml:space="preserve"> (75</w:t>
      </w:r>
      <w:r w:rsidR="005C3E73">
        <w:rPr>
          <w:rFonts w:cs="Times New Roman"/>
        </w:rPr>
        <w:t xml:space="preserve"> </w:t>
      </w:r>
      <w:r w:rsidR="00486C38">
        <w:rPr>
          <w:rFonts w:cs="Times New Roman"/>
        </w:rPr>
        <w:t>FR 18863);</w:t>
      </w:r>
      <w:r w:rsidRPr="00164287">
        <w:rPr>
          <w:rFonts w:cs="Times New Roman"/>
        </w:rPr>
        <w:t xml:space="preserve"> </w:t>
      </w:r>
      <w:r w:rsidRPr="00486C38" w:rsidR="00486C38">
        <w:rPr>
          <w:rFonts w:cs="Times New Roman"/>
        </w:rPr>
        <w:t>DHS/ALL 002, Mailing and Other Lists System</w:t>
      </w:r>
      <w:r w:rsidR="00486C38">
        <w:rPr>
          <w:rFonts w:cs="Times New Roman"/>
        </w:rPr>
        <w:t xml:space="preserve">, last published in the </w:t>
      </w:r>
      <w:r w:rsidRPr="005C3E73" w:rsidR="00486C38">
        <w:rPr>
          <w:rFonts w:cs="Times New Roman"/>
          <w:i/>
        </w:rPr>
        <w:t>Federal Register</w:t>
      </w:r>
      <w:r w:rsidR="00486C38">
        <w:rPr>
          <w:rFonts w:cs="Times New Roman"/>
        </w:rPr>
        <w:t xml:space="preserve"> on November 25, 2008</w:t>
      </w:r>
      <w:r w:rsidRPr="00486C38" w:rsidR="00486C38">
        <w:rPr>
          <w:rFonts w:cs="Times New Roman"/>
        </w:rPr>
        <w:t xml:space="preserve"> (73 FR 71659</w:t>
      </w:r>
      <w:r w:rsidR="00486C38">
        <w:rPr>
          <w:rFonts w:cs="Times New Roman"/>
        </w:rPr>
        <w:t xml:space="preserve">; </w:t>
      </w:r>
      <w:r w:rsidRPr="00164287">
        <w:rPr>
          <w:rFonts w:cs="Times New Roman"/>
        </w:rPr>
        <w:t xml:space="preserve">and DHS/ALL-029 Civil Rights and Civil Liberties Records System of Records, last published in the </w:t>
      </w:r>
      <w:r w:rsidRPr="005C3E73">
        <w:rPr>
          <w:rFonts w:cs="Times New Roman"/>
          <w:i/>
        </w:rPr>
        <w:t>Federal Register</w:t>
      </w:r>
      <w:r w:rsidRPr="00164287">
        <w:rPr>
          <w:rFonts w:cs="Times New Roman"/>
        </w:rPr>
        <w:t xml:space="preserve"> on July 8, 2010</w:t>
      </w:r>
      <w:r w:rsidR="00486C38">
        <w:rPr>
          <w:rFonts w:cs="Times New Roman"/>
        </w:rPr>
        <w:t xml:space="preserve"> (75FR 39266)</w:t>
      </w:r>
      <w:r w:rsidRPr="00164287">
        <w:rPr>
          <w:rFonts w:cs="Times New Roman"/>
        </w:rPr>
        <w:t xml:space="preserve">. </w:t>
      </w:r>
      <w:r w:rsidR="005C3E73">
        <w:rPr>
          <w:rFonts w:cs="Times New Roman"/>
        </w:rPr>
        <w:t xml:space="preserve"> </w:t>
      </w:r>
      <w:r w:rsidRPr="00486C38" w:rsidR="00486C38">
        <w:rPr>
          <w:rFonts w:cs="Times New Roman"/>
        </w:rPr>
        <w:t>A Privacy Impact Assessment (PIA) for the TSA Contact Center is provided by DHS/ALL/PIA-006, General Contact Lists. (June 15, 2017)</w:t>
      </w:r>
      <w:r w:rsidRPr="008F5019" w:rsidR="008F5019">
        <w:t xml:space="preserve"> </w:t>
      </w:r>
      <w:r w:rsidRPr="008F5019" w:rsidR="008F5019">
        <w:rPr>
          <w:rFonts w:cs="Times New Roman"/>
        </w:rPr>
        <w:t>and the forthcoming TSA Contact Center PIA</w:t>
      </w:r>
      <w:r w:rsidRPr="00486C38" w:rsidR="00486C38">
        <w:rPr>
          <w:rFonts w:cs="Times New Roman"/>
        </w:rPr>
        <w:t>.</w:t>
      </w:r>
    </w:p>
    <w:p w:rsidR="004F47E5" w:rsidP="008074F4" w:rsidRDefault="004F47E5">
      <w:pPr>
        <w:numPr>
          <w:ilvl w:val="12"/>
          <w:numId w:val="0"/>
        </w:numPr>
        <w:ind w:left="360"/>
      </w:pPr>
    </w:p>
    <w:p w:rsidR="00320387" w:rsidP="008074F4" w:rsidRDefault="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8074F4" w:rsidRDefault="00320387">
      <w:pPr>
        <w:numPr>
          <w:ilvl w:val="12"/>
          <w:numId w:val="0"/>
        </w:numPr>
        <w:ind w:left="360"/>
      </w:pPr>
    </w:p>
    <w:p w:rsidR="009A5224" w:rsidP="008074F4" w:rsidRDefault="009A5224">
      <w:pPr>
        <w:numPr>
          <w:ilvl w:val="12"/>
          <w:numId w:val="0"/>
        </w:numPr>
        <w:ind w:left="360"/>
      </w:pPr>
      <w:r>
        <w:t>No questions that could be considered sensitive are included in this collection.</w:t>
      </w:r>
    </w:p>
    <w:p w:rsidR="00320387" w:rsidP="008074F4" w:rsidRDefault="00320387">
      <w:pPr>
        <w:numPr>
          <w:ilvl w:val="12"/>
          <w:numId w:val="0"/>
        </w:numPr>
      </w:pPr>
    </w:p>
    <w:p w:rsidR="00320387" w:rsidP="008074F4" w:rsidRDefault="00320387">
      <w:pPr>
        <w:keepNext/>
        <w:numPr>
          <w:ilvl w:val="0"/>
          <w:numId w:val="1"/>
        </w:numPr>
        <w:tabs>
          <w:tab w:val="left" w:pos="360"/>
        </w:tabs>
        <w:rPr>
          <w:b/>
          <w:i/>
        </w:rPr>
      </w:pPr>
      <w:r>
        <w:rPr>
          <w:b/>
          <w:i/>
        </w:rPr>
        <w:t xml:space="preserve">Provide estimates of hour </w:t>
      </w:r>
      <w:r w:rsidR="00B93A84">
        <w:rPr>
          <w:b/>
          <w:i/>
        </w:rPr>
        <w:t xml:space="preserve">and time cost </w:t>
      </w:r>
      <w:r>
        <w:rPr>
          <w:b/>
          <w:i/>
        </w:rPr>
        <w:t>burden of the collection of information.</w:t>
      </w:r>
    </w:p>
    <w:p w:rsidR="00320387" w:rsidP="008074F4" w:rsidRDefault="00320387">
      <w:pPr>
        <w:keepNext/>
        <w:numPr>
          <w:ilvl w:val="12"/>
          <w:numId w:val="0"/>
        </w:numPr>
        <w:ind w:left="360"/>
      </w:pPr>
    </w:p>
    <w:p w:rsidR="00B878EC" w:rsidP="00B878EC" w:rsidRDefault="00B878EC">
      <w:pPr>
        <w:pStyle w:val="BodyTextIndent2"/>
        <w:autoSpaceDE w:val="0"/>
        <w:autoSpaceDN w:val="0"/>
        <w:adjustRightInd w:val="0"/>
        <w:spacing w:after="0" w:line="240" w:lineRule="auto"/>
        <w:rPr>
          <w:rFonts w:cs="Times New Roman"/>
          <w:bCs/>
          <w:iCs/>
        </w:rPr>
      </w:pPr>
      <w:r>
        <w:rPr>
          <w:rFonts w:cs="Times New Roman"/>
          <w:bCs/>
          <w:iCs/>
        </w:rPr>
        <w:t>TSA estimates the hour burdens and costs to the individual respondents providing comments and civil rights and disability related complaints using customer comment cards or electronic submissions.</w:t>
      </w:r>
    </w:p>
    <w:p w:rsidR="00B878EC" w:rsidP="00B878EC" w:rsidRDefault="00B878EC">
      <w:pPr>
        <w:pStyle w:val="BodyTextIndent2"/>
        <w:autoSpaceDE w:val="0"/>
        <w:autoSpaceDN w:val="0"/>
        <w:adjustRightInd w:val="0"/>
        <w:spacing w:after="0" w:line="240" w:lineRule="auto"/>
        <w:rPr>
          <w:rFonts w:cs="Times New Roman"/>
          <w:bCs/>
          <w:iCs/>
        </w:rPr>
      </w:pPr>
    </w:p>
    <w:p w:rsidR="00B878EC" w:rsidP="00B878EC" w:rsidRDefault="00B878EC">
      <w:pPr>
        <w:pStyle w:val="BodyTextIndent2"/>
        <w:keepNext/>
        <w:autoSpaceDE w:val="0"/>
        <w:autoSpaceDN w:val="0"/>
        <w:adjustRightInd w:val="0"/>
        <w:spacing w:after="0" w:line="240" w:lineRule="auto"/>
        <w:rPr>
          <w:rFonts w:cs="Times New Roman"/>
          <w:bCs/>
          <w:iCs/>
        </w:rPr>
      </w:pPr>
      <w:r>
        <w:rPr>
          <w:rFonts w:cs="Times New Roman"/>
          <w:bCs/>
          <w:i/>
          <w:iCs/>
          <w:u w:val="single"/>
        </w:rPr>
        <w:t>Comment Cards</w:t>
      </w:r>
    </w:p>
    <w:p w:rsidR="00B878EC" w:rsidP="00B878EC" w:rsidRDefault="00B878EC">
      <w:pPr>
        <w:pStyle w:val="BodyTextIndent2"/>
        <w:keepNext/>
        <w:autoSpaceDE w:val="0"/>
        <w:autoSpaceDN w:val="0"/>
        <w:adjustRightInd w:val="0"/>
        <w:spacing w:after="0" w:line="240" w:lineRule="auto"/>
      </w:pPr>
    </w:p>
    <w:p w:rsidR="00B878EC" w:rsidP="00B878EC" w:rsidRDefault="00B878EC">
      <w:pPr>
        <w:pStyle w:val="BodyTextIndent2"/>
        <w:autoSpaceDE w:val="0"/>
        <w:autoSpaceDN w:val="0"/>
        <w:adjustRightInd w:val="0"/>
        <w:spacing w:after="0" w:line="240" w:lineRule="auto"/>
        <w:rPr>
          <w:rFonts w:cs="Times New Roman"/>
        </w:rPr>
      </w:pPr>
      <w:r>
        <w:t xml:space="preserve">TSA estimates that on average 6,950 individuals will respond via the </w:t>
      </w:r>
      <w:r>
        <w:rPr>
          <w:rFonts w:cs="Times New Roman"/>
        </w:rPr>
        <w:t xml:space="preserve">paper Customer Comment Card on an annual basis.  TSA estimates that it would take approximately 5 minutes (0.08333 hours) to complete the card, resulting in an estimated average annual burden of 579 hours.  Table 1 shows the hour burden estimates by year. </w:t>
      </w:r>
    </w:p>
    <w:tbl>
      <w:tblPr>
        <w:tblW w:w="9411" w:type="dxa"/>
        <w:tblLook w:val="04A0" w:firstRow="1" w:lastRow="0" w:firstColumn="1" w:lastColumn="0" w:noHBand="0" w:noVBand="1"/>
      </w:tblPr>
      <w:tblGrid>
        <w:gridCol w:w="1800"/>
        <w:gridCol w:w="2070"/>
        <w:gridCol w:w="2340"/>
        <w:gridCol w:w="1440"/>
        <w:gridCol w:w="1761"/>
      </w:tblGrid>
      <w:tr w:rsidR="00B878EC" w:rsidTr="00B878EC">
        <w:trPr>
          <w:trHeight w:val="345"/>
        </w:trPr>
        <w:tc>
          <w:tcPr>
            <w:tcW w:w="9411" w:type="dxa"/>
            <w:gridSpan w:val="5"/>
            <w:tcBorders>
              <w:top w:val="nil"/>
              <w:left w:val="nil"/>
              <w:bottom w:val="single" w:color="auto" w:sz="8" w:space="0"/>
              <w:right w:val="nil"/>
            </w:tcBorders>
            <w:noWrap/>
            <w:vAlign w:val="bottom"/>
            <w:hideMark/>
          </w:tcPr>
          <w:p w:rsidR="00B878EC" w:rsidRDefault="00B878EC">
            <w:pPr>
              <w:rPr>
                <w:rFonts w:cs="Times New Roman"/>
                <w:b/>
                <w:bCs/>
                <w:szCs w:val="24"/>
              </w:rPr>
            </w:pPr>
            <w:r>
              <w:rPr>
                <w:rFonts w:cs="Times New Roman"/>
                <w:b/>
                <w:bCs/>
                <w:szCs w:val="24"/>
              </w:rPr>
              <w:t>Table 1: Total Hour Burden Estimates for Paper Customer Comment Card Submissions</w:t>
            </w:r>
          </w:p>
        </w:tc>
      </w:tr>
      <w:tr w:rsidR="00B878EC" w:rsidTr="00B878EC">
        <w:trPr>
          <w:trHeight w:val="871"/>
        </w:trPr>
        <w:tc>
          <w:tcPr>
            <w:tcW w:w="1800" w:type="dxa"/>
            <w:vMerge w:val="restart"/>
            <w:tcBorders>
              <w:top w:val="nil"/>
              <w:left w:val="single" w:color="auto" w:sz="8" w:space="0"/>
              <w:bottom w:val="single" w:color="000000" w:sz="4" w:space="0"/>
              <w:right w:val="single" w:color="auto" w:sz="4" w:space="0"/>
            </w:tcBorders>
            <w:noWrap/>
            <w:vAlign w:val="center"/>
            <w:hideMark/>
          </w:tcPr>
          <w:p w:rsidR="00B878EC" w:rsidRDefault="00B878EC">
            <w:pPr>
              <w:jc w:val="center"/>
              <w:rPr>
                <w:rFonts w:cs="Times New Roman"/>
                <w:b/>
                <w:bCs/>
                <w:sz w:val="22"/>
                <w:szCs w:val="22"/>
              </w:rPr>
            </w:pPr>
            <w:r>
              <w:rPr>
                <w:rFonts w:cs="Times New Roman"/>
                <w:b/>
                <w:bCs/>
                <w:sz w:val="22"/>
                <w:szCs w:val="22"/>
              </w:rPr>
              <w:t> </w:t>
            </w:r>
          </w:p>
        </w:tc>
        <w:tc>
          <w:tcPr>
            <w:tcW w:w="2070" w:type="dxa"/>
            <w:tcBorders>
              <w:top w:val="nil"/>
              <w:left w:val="nil"/>
              <w:bottom w:val="single" w:color="auto" w:sz="4" w:space="0"/>
              <w:right w:val="single" w:color="auto" w:sz="4" w:space="0"/>
            </w:tcBorders>
            <w:vAlign w:val="center"/>
            <w:hideMark/>
          </w:tcPr>
          <w:p w:rsidR="00B878EC" w:rsidRDefault="00B878EC">
            <w:pPr>
              <w:jc w:val="center"/>
              <w:rPr>
                <w:rFonts w:cs="Times New Roman"/>
                <w:b/>
                <w:bCs/>
                <w:sz w:val="22"/>
                <w:szCs w:val="22"/>
              </w:rPr>
            </w:pPr>
            <w:r>
              <w:rPr>
                <w:rFonts w:cs="Times New Roman"/>
                <w:b/>
                <w:bCs/>
                <w:sz w:val="22"/>
                <w:szCs w:val="22"/>
              </w:rPr>
              <w:t>Respondents (Paper Card)</w:t>
            </w:r>
          </w:p>
        </w:tc>
        <w:tc>
          <w:tcPr>
            <w:tcW w:w="2340" w:type="dxa"/>
            <w:tcBorders>
              <w:top w:val="nil"/>
              <w:left w:val="nil"/>
              <w:bottom w:val="single" w:color="auto" w:sz="4" w:space="0"/>
              <w:right w:val="single" w:color="auto" w:sz="4" w:space="0"/>
            </w:tcBorders>
            <w:vAlign w:val="center"/>
            <w:hideMark/>
          </w:tcPr>
          <w:p w:rsidR="00B878EC" w:rsidRDefault="00B878EC">
            <w:pPr>
              <w:jc w:val="center"/>
              <w:rPr>
                <w:rFonts w:cs="Times New Roman"/>
                <w:b/>
                <w:bCs/>
                <w:sz w:val="22"/>
                <w:szCs w:val="22"/>
              </w:rPr>
            </w:pPr>
            <w:r>
              <w:rPr>
                <w:rFonts w:cs="Times New Roman"/>
                <w:b/>
                <w:bCs/>
                <w:sz w:val="22"/>
                <w:szCs w:val="22"/>
              </w:rPr>
              <w:t>Average Annual Responses per Respondent</w:t>
            </w:r>
          </w:p>
        </w:tc>
        <w:tc>
          <w:tcPr>
            <w:tcW w:w="1440" w:type="dxa"/>
            <w:tcBorders>
              <w:top w:val="nil"/>
              <w:left w:val="nil"/>
              <w:bottom w:val="single" w:color="auto" w:sz="4" w:space="0"/>
              <w:right w:val="single" w:color="auto" w:sz="4" w:space="0"/>
            </w:tcBorders>
            <w:vAlign w:val="center"/>
            <w:hideMark/>
          </w:tcPr>
          <w:p w:rsidR="00B878EC" w:rsidRDefault="00B878EC">
            <w:pPr>
              <w:jc w:val="center"/>
              <w:rPr>
                <w:rFonts w:cs="Times New Roman"/>
                <w:b/>
                <w:bCs/>
                <w:sz w:val="22"/>
                <w:szCs w:val="22"/>
              </w:rPr>
            </w:pPr>
            <w:r>
              <w:rPr>
                <w:rFonts w:cs="Times New Roman"/>
                <w:b/>
                <w:bCs/>
                <w:sz w:val="22"/>
                <w:szCs w:val="22"/>
              </w:rPr>
              <w:t xml:space="preserve">Hour Burden per response </w:t>
            </w:r>
          </w:p>
        </w:tc>
        <w:tc>
          <w:tcPr>
            <w:tcW w:w="1761" w:type="dxa"/>
            <w:tcBorders>
              <w:top w:val="nil"/>
              <w:left w:val="nil"/>
              <w:bottom w:val="single" w:color="auto" w:sz="4" w:space="0"/>
              <w:right w:val="single" w:color="auto" w:sz="8" w:space="0"/>
            </w:tcBorders>
            <w:vAlign w:val="center"/>
            <w:hideMark/>
          </w:tcPr>
          <w:p w:rsidR="00B878EC" w:rsidRDefault="00B878EC">
            <w:pPr>
              <w:jc w:val="center"/>
              <w:rPr>
                <w:rFonts w:cs="Times New Roman"/>
                <w:b/>
                <w:bCs/>
                <w:sz w:val="22"/>
                <w:szCs w:val="22"/>
              </w:rPr>
            </w:pPr>
            <w:r>
              <w:rPr>
                <w:rFonts w:cs="Times New Roman"/>
                <w:b/>
                <w:bCs/>
                <w:sz w:val="22"/>
                <w:szCs w:val="22"/>
              </w:rPr>
              <w:t>Total Annual Hour Burden</w:t>
            </w:r>
          </w:p>
        </w:tc>
      </w:tr>
      <w:tr w:rsidR="00B878EC" w:rsidTr="00B878EC">
        <w:trPr>
          <w:trHeight w:val="260"/>
        </w:trPr>
        <w:tc>
          <w:tcPr>
            <w:tcW w:w="0" w:type="auto"/>
            <w:vMerge/>
            <w:tcBorders>
              <w:top w:val="nil"/>
              <w:left w:val="single" w:color="auto" w:sz="8" w:space="0"/>
              <w:bottom w:val="single" w:color="000000" w:sz="4" w:space="0"/>
              <w:right w:val="single" w:color="auto" w:sz="4" w:space="0"/>
            </w:tcBorders>
            <w:vAlign w:val="center"/>
            <w:hideMark/>
          </w:tcPr>
          <w:p w:rsidR="00B878EC" w:rsidRDefault="00B878EC">
            <w:pPr>
              <w:rPr>
                <w:rFonts w:cs="Times New Roman"/>
                <w:b/>
                <w:bCs/>
                <w:sz w:val="22"/>
                <w:szCs w:val="22"/>
              </w:rPr>
            </w:pPr>
          </w:p>
        </w:tc>
        <w:tc>
          <w:tcPr>
            <w:tcW w:w="2070" w:type="dxa"/>
            <w:tcBorders>
              <w:top w:val="nil"/>
              <w:left w:val="nil"/>
              <w:bottom w:val="single" w:color="auto" w:sz="4" w:space="0"/>
              <w:right w:val="single" w:color="auto" w:sz="4" w:space="0"/>
            </w:tcBorders>
            <w:noWrap/>
            <w:vAlign w:val="bottom"/>
            <w:hideMark/>
          </w:tcPr>
          <w:p w:rsidR="00B878EC" w:rsidRDefault="00B878EC">
            <w:pPr>
              <w:jc w:val="center"/>
              <w:rPr>
                <w:rFonts w:cs="Times New Roman"/>
                <w:b/>
                <w:sz w:val="22"/>
                <w:szCs w:val="22"/>
              </w:rPr>
            </w:pPr>
            <w:r>
              <w:rPr>
                <w:rFonts w:cs="Times New Roman"/>
                <w:b/>
                <w:sz w:val="22"/>
                <w:szCs w:val="22"/>
              </w:rPr>
              <w:t>A</w:t>
            </w:r>
          </w:p>
        </w:tc>
        <w:tc>
          <w:tcPr>
            <w:tcW w:w="2340" w:type="dxa"/>
            <w:tcBorders>
              <w:top w:val="nil"/>
              <w:left w:val="nil"/>
              <w:bottom w:val="single" w:color="auto" w:sz="4" w:space="0"/>
              <w:right w:val="single" w:color="auto" w:sz="4" w:space="0"/>
            </w:tcBorders>
            <w:noWrap/>
            <w:vAlign w:val="bottom"/>
            <w:hideMark/>
          </w:tcPr>
          <w:p w:rsidR="00B878EC" w:rsidRDefault="00B878EC">
            <w:pPr>
              <w:jc w:val="center"/>
              <w:rPr>
                <w:rFonts w:cs="Times New Roman"/>
                <w:b/>
                <w:sz w:val="22"/>
                <w:szCs w:val="22"/>
              </w:rPr>
            </w:pPr>
            <w:r>
              <w:rPr>
                <w:rFonts w:cs="Times New Roman"/>
                <w:b/>
                <w:sz w:val="22"/>
                <w:szCs w:val="22"/>
              </w:rPr>
              <w:t>B</w:t>
            </w:r>
          </w:p>
        </w:tc>
        <w:tc>
          <w:tcPr>
            <w:tcW w:w="1440" w:type="dxa"/>
            <w:tcBorders>
              <w:top w:val="nil"/>
              <w:left w:val="nil"/>
              <w:bottom w:val="single" w:color="auto" w:sz="4" w:space="0"/>
              <w:right w:val="single" w:color="auto" w:sz="4" w:space="0"/>
            </w:tcBorders>
            <w:noWrap/>
            <w:vAlign w:val="bottom"/>
            <w:hideMark/>
          </w:tcPr>
          <w:p w:rsidR="00B878EC" w:rsidRDefault="00B878EC">
            <w:pPr>
              <w:jc w:val="center"/>
              <w:rPr>
                <w:rFonts w:cs="Times New Roman"/>
                <w:b/>
                <w:sz w:val="22"/>
                <w:szCs w:val="22"/>
              </w:rPr>
            </w:pPr>
            <w:r>
              <w:rPr>
                <w:rFonts w:cs="Times New Roman"/>
                <w:b/>
                <w:sz w:val="22"/>
                <w:szCs w:val="22"/>
              </w:rPr>
              <w:t xml:space="preserve">C </w:t>
            </w:r>
          </w:p>
        </w:tc>
        <w:tc>
          <w:tcPr>
            <w:tcW w:w="1761" w:type="dxa"/>
            <w:tcBorders>
              <w:top w:val="nil"/>
              <w:left w:val="nil"/>
              <w:bottom w:val="single" w:color="auto" w:sz="4" w:space="0"/>
              <w:right w:val="single" w:color="auto" w:sz="8" w:space="0"/>
            </w:tcBorders>
            <w:vAlign w:val="bottom"/>
            <w:hideMark/>
          </w:tcPr>
          <w:p w:rsidR="00B878EC" w:rsidRDefault="00B878EC">
            <w:pPr>
              <w:jc w:val="center"/>
              <w:rPr>
                <w:rFonts w:cs="Times New Roman"/>
                <w:b/>
                <w:sz w:val="22"/>
                <w:szCs w:val="22"/>
              </w:rPr>
            </w:pPr>
            <w:r>
              <w:rPr>
                <w:rFonts w:cs="Times New Roman"/>
                <w:b/>
                <w:sz w:val="22"/>
                <w:szCs w:val="22"/>
              </w:rPr>
              <w:t>D = A x B x C</w:t>
            </w:r>
          </w:p>
        </w:tc>
      </w:tr>
      <w:tr w:rsidR="00B878EC" w:rsidTr="00B878EC">
        <w:trPr>
          <w:trHeight w:val="260"/>
        </w:trPr>
        <w:tc>
          <w:tcPr>
            <w:tcW w:w="1800" w:type="dxa"/>
            <w:tcBorders>
              <w:top w:val="nil"/>
              <w:left w:val="single" w:color="auto" w:sz="8" w:space="0"/>
              <w:bottom w:val="single" w:color="auto" w:sz="8" w:space="0"/>
              <w:right w:val="single" w:color="auto" w:sz="4" w:space="0"/>
            </w:tcBorders>
            <w:noWrap/>
            <w:vAlign w:val="bottom"/>
            <w:hideMark/>
          </w:tcPr>
          <w:p w:rsidR="00B878EC" w:rsidRDefault="00B878EC">
            <w:pPr>
              <w:rPr>
                <w:rFonts w:cs="Times New Roman"/>
                <w:sz w:val="22"/>
                <w:szCs w:val="22"/>
              </w:rPr>
            </w:pPr>
            <w:r>
              <w:rPr>
                <w:rFonts w:cs="Times New Roman"/>
                <w:sz w:val="22"/>
                <w:szCs w:val="22"/>
              </w:rPr>
              <w:t>Annual Average</w:t>
            </w:r>
          </w:p>
        </w:tc>
        <w:tc>
          <w:tcPr>
            <w:tcW w:w="2070" w:type="dxa"/>
            <w:tcBorders>
              <w:top w:val="nil"/>
              <w:left w:val="nil"/>
              <w:bottom w:val="single" w:color="auto" w:sz="8" w:space="0"/>
              <w:right w:val="single" w:color="auto" w:sz="4" w:space="0"/>
            </w:tcBorders>
            <w:noWrap/>
            <w:vAlign w:val="bottom"/>
            <w:hideMark/>
          </w:tcPr>
          <w:p w:rsidR="00B878EC" w:rsidRDefault="00B878EC">
            <w:pPr>
              <w:jc w:val="center"/>
              <w:rPr>
                <w:rFonts w:cs="Times New Roman"/>
                <w:sz w:val="22"/>
                <w:szCs w:val="22"/>
              </w:rPr>
            </w:pPr>
            <w:r>
              <w:rPr>
                <w:rFonts w:cs="Times New Roman"/>
                <w:sz w:val="22"/>
                <w:szCs w:val="22"/>
              </w:rPr>
              <w:t>6,950</w:t>
            </w:r>
          </w:p>
        </w:tc>
        <w:tc>
          <w:tcPr>
            <w:tcW w:w="2340" w:type="dxa"/>
            <w:tcBorders>
              <w:top w:val="nil"/>
              <w:left w:val="nil"/>
              <w:bottom w:val="single" w:color="auto" w:sz="8" w:space="0"/>
              <w:right w:val="single" w:color="auto" w:sz="4" w:space="0"/>
            </w:tcBorders>
            <w:noWrap/>
            <w:vAlign w:val="bottom"/>
            <w:hideMark/>
          </w:tcPr>
          <w:p w:rsidR="00B878EC" w:rsidRDefault="00B878EC">
            <w:pPr>
              <w:jc w:val="center"/>
              <w:rPr>
                <w:rFonts w:cs="Times New Roman"/>
                <w:sz w:val="22"/>
                <w:szCs w:val="22"/>
              </w:rPr>
            </w:pPr>
            <w:r>
              <w:rPr>
                <w:rFonts w:cs="Times New Roman"/>
                <w:sz w:val="22"/>
                <w:szCs w:val="22"/>
              </w:rPr>
              <w:t>1</w:t>
            </w:r>
          </w:p>
        </w:tc>
        <w:tc>
          <w:tcPr>
            <w:tcW w:w="1440" w:type="dxa"/>
            <w:tcBorders>
              <w:top w:val="nil"/>
              <w:left w:val="nil"/>
              <w:bottom w:val="single" w:color="auto" w:sz="8" w:space="0"/>
              <w:right w:val="single" w:color="auto" w:sz="4" w:space="0"/>
            </w:tcBorders>
            <w:noWrap/>
            <w:vAlign w:val="bottom"/>
            <w:hideMark/>
          </w:tcPr>
          <w:p w:rsidR="00B878EC" w:rsidRDefault="00B878EC">
            <w:pPr>
              <w:jc w:val="center"/>
              <w:rPr>
                <w:rFonts w:cs="Times New Roman"/>
                <w:sz w:val="22"/>
                <w:szCs w:val="22"/>
              </w:rPr>
            </w:pPr>
            <w:r>
              <w:rPr>
                <w:rFonts w:cs="Times New Roman"/>
                <w:sz w:val="22"/>
                <w:szCs w:val="22"/>
              </w:rPr>
              <w:t>0.08333</w:t>
            </w:r>
          </w:p>
        </w:tc>
        <w:tc>
          <w:tcPr>
            <w:tcW w:w="1761" w:type="dxa"/>
            <w:tcBorders>
              <w:top w:val="nil"/>
              <w:left w:val="nil"/>
              <w:bottom w:val="single" w:color="auto" w:sz="8" w:space="0"/>
              <w:right w:val="single" w:color="auto" w:sz="8" w:space="0"/>
            </w:tcBorders>
            <w:noWrap/>
            <w:vAlign w:val="bottom"/>
            <w:hideMark/>
          </w:tcPr>
          <w:p w:rsidR="00B878EC" w:rsidRDefault="00B878EC">
            <w:pPr>
              <w:jc w:val="right"/>
              <w:rPr>
                <w:rFonts w:cs="Times New Roman"/>
                <w:sz w:val="22"/>
                <w:szCs w:val="22"/>
              </w:rPr>
            </w:pPr>
            <w:r>
              <w:rPr>
                <w:rFonts w:cs="Times New Roman"/>
                <w:sz w:val="22"/>
                <w:szCs w:val="22"/>
              </w:rPr>
              <w:t>579</w:t>
            </w:r>
          </w:p>
        </w:tc>
      </w:tr>
    </w:tbl>
    <w:p w:rsidR="00B878EC" w:rsidP="00B878EC" w:rsidRDefault="00B878EC">
      <w:pPr>
        <w:numPr>
          <w:ilvl w:val="12"/>
          <w:numId w:val="0"/>
        </w:numPr>
        <w:ind w:left="270"/>
        <w:rPr>
          <w:rFonts w:cs="Times New Roman"/>
          <w:sz w:val="22"/>
          <w:szCs w:val="22"/>
        </w:rPr>
      </w:pPr>
      <w:r>
        <w:rPr>
          <w:rFonts w:cs="Times New Roman"/>
          <w:sz w:val="22"/>
          <w:szCs w:val="22"/>
        </w:rPr>
        <w:t>Note: Calculations may not be exact due to rounding in the table.</w:t>
      </w:r>
    </w:p>
    <w:p w:rsidR="00B878EC" w:rsidP="00B878EC" w:rsidRDefault="00B878EC">
      <w:pPr>
        <w:numPr>
          <w:ilvl w:val="12"/>
          <w:numId w:val="0"/>
        </w:numPr>
        <w:rPr>
          <w:rFonts w:cs="Times New Roman"/>
        </w:rPr>
      </w:pPr>
    </w:p>
    <w:p w:rsidR="00B878EC" w:rsidP="00B878EC" w:rsidRDefault="00B878EC">
      <w:pPr>
        <w:keepNext/>
        <w:numPr>
          <w:ilvl w:val="12"/>
          <w:numId w:val="0"/>
        </w:numPr>
        <w:autoSpaceDE w:val="0"/>
        <w:autoSpaceDN w:val="0"/>
        <w:adjustRightInd w:val="0"/>
        <w:ind w:left="360"/>
        <w:rPr>
          <w:rFonts w:cs="Times New Roman"/>
          <w:bCs/>
          <w:i/>
          <w:iCs/>
          <w:u w:val="single"/>
        </w:rPr>
      </w:pPr>
      <w:r>
        <w:rPr>
          <w:rFonts w:cs="Times New Roman"/>
          <w:bCs/>
          <w:i/>
          <w:iCs/>
          <w:u w:val="single"/>
        </w:rPr>
        <w:t>Electronic Submissions</w:t>
      </w:r>
    </w:p>
    <w:p w:rsidR="00B878EC" w:rsidP="00B878EC" w:rsidRDefault="00B878EC">
      <w:pPr>
        <w:keepNext/>
        <w:numPr>
          <w:ilvl w:val="12"/>
          <w:numId w:val="0"/>
        </w:numPr>
        <w:ind w:left="360"/>
        <w:rPr>
          <w:rFonts w:cs="Times New Roman"/>
        </w:rPr>
      </w:pPr>
    </w:p>
    <w:p w:rsidR="00B878EC" w:rsidP="00B878EC" w:rsidRDefault="00B878EC">
      <w:pPr>
        <w:numPr>
          <w:ilvl w:val="12"/>
          <w:numId w:val="0"/>
        </w:numPr>
        <w:ind w:left="360"/>
        <w:rPr>
          <w:rFonts w:cs="Times New Roman"/>
        </w:rPr>
      </w:pPr>
      <w:r>
        <w:rPr>
          <w:rFonts w:cs="Times New Roman"/>
        </w:rPr>
        <w:t xml:space="preserve">TSA used historic data to estimate the number of responses via electronic submissions (i.e. emails and online tool).  </w:t>
      </w:r>
      <w:r w:rsidR="00A75B2A">
        <w:rPr>
          <w:rFonts w:cs="Times New Roman"/>
        </w:rPr>
        <w:t>With the revision of the information collection, t</w:t>
      </w:r>
      <w:r>
        <w:rPr>
          <w:rFonts w:cs="Times New Roman"/>
        </w:rPr>
        <w:t xml:space="preserve">he electronic responses </w:t>
      </w:r>
      <w:r w:rsidR="00A75B2A">
        <w:rPr>
          <w:rFonts w:cs="Times New Roman"/>
        </w:rPr>
        <w:t xml:space="preserve">now </w:t>
      </w:r>
      <w:r>
        <w:rPr>
          <w:rFonts w:cs="Times New Roman"/>
        </w:rPr>
        <w:t xml:space="preserve">include the </w:t>
      </w:r>
      <w:r w:rsidR="008D1EBE">
        <w:rPr>
          <w:rFonts w:cs="Times New Roman"/>
        </w:rPr>
        <w:t xml:space="preserve">Compliment, Complaint, </w:t>
      </w:r>
      <w:r>
        <w:rPr>
          <w:rFonts w:cs="Times New Roman"/>
        </w:rPr>
        <w:t xml:space="preserve">Security Issue, Request for Information, </w:t>
      </w:r>
      <w:r w:rsidR="008D1EBE">
        <w:rPr>
          <w:rFonts w:cs="Times New Roman"/>
        </w:rPr>
        <w:t>TSA PreCheck</w:t>
      </w:r>
      <w:r w:rsidR="004232B6">
        <w:rPr>
          <w:rFonts w:cs="Times New Roman"/>
        </w:rPr>
        <w:t>,</w:t>
      </w:r>
      <w:r w:rsidR="008D1EBE">
        <w:rPr>
          <w:rFonts w:cs="Times New Roman"/>
        </w:rPr>
        <w:t xml:space="preserve"> and TSA Cares</w:t>
      </w:r>
      <w:r w:rsidR="00875757">
        <w:rPr>
          <w:rFonts w:cs="Times New Roman"/>
        </w:rPr>
        <w:t xml:space="preserve"> forms</w:t>
      </w:r>
      <w:r>
        <w:rPr>
          <w:rFonts w:cs="Times New Roman"/>
        </w:rPr>
        <w:t>.  TSA estimates that from 2017 to 2019, it received an average of 76,739 of these electronic submissions annually. TSA multiplies the estimated annual average number of electronic submissions by 5 minutes (0.08333 hours) per submission to get an estimated average annual burden of 6,395 hours.  Table 2 displays the estimated burden hours.</w:t>
      </w:r>
    </w:p>
    <w:tbl>
      <w:tblPr>
        <w:tblW w:w="10168" w:type="dxa"/>
        <w:tblLook w:val="04A0" w:firstRow="1" w:lastRow="0" w:firstColumn="1" w:lastColumn="0" w:noHBand="0" w:noVBand="1"/>
      </w:tblPr>
      <w:tblGrid>
        <w:gridCol w:w="2399"/>
        <w:gridCol w:w="2251"/>
        <w:gridCol w:w="1963"/>
        <w:gridCol w:w="1992"/>
        <w:gridCol w:w="1563"/>
      </w:tblGrid>
      <w:tr w:rsidR="00B878EC" w:rsidTr="00B878EC">
        <w:trPr>
          <w:trHeight w:val="338"/>
        </w:trPr>
        <w:tc>
          <w:tcPr>
            <w:tcW w:w="10168" w:type="dxa"/>
            <w:gridSpan w:val="5"/>
            <w:tcBorders>
              <w:top w:val="nil"/>
              <w:left w:val="nil"/>
              <w:bottom w:val="single" w:color="auto" w:sz="8" w:space="0"/>
              <w:right w:val="nil"/>
            </w:tcBorders>
            <w:noWrap/>
            <w:vAlign w:val="bottom"/>
            <w:hideMark/>
          </w:tcPr>
          <w:p w:rsidR="00B878EC" w:rsidRDefault="00B878EC">
            <w:pPr>
              <w:keepNext/>
              <w:keepLines/>
              <w:rPr>
                <w:rFonts w:cs="Times New Roman"/>
                <w:b/>
                <w:bCs/>
                <w:szCs w:val="24"/>
              </w:rPr>
            </w:pPr>
            <w:r>
              <w:rPr>
                <w:rFonts w:cs="Times New Roman"/>
                <w:b/>
                <w:bCs/>
                <w:szCs w:val="24"/>
              </w:rPr>
              <w:t>Table 2: Total Hour Burden Estimates for Electronic Comment Submissions</w:t>
            </w:r>
          </w:p>
        </w:tc>
      </w:tr>
      <w:tr w:rsidR="00B878EC" w:rsidTr="00B878EC">
        <w:trPr>
          <w:trHeight w:val="898"/>
        </w:trPr>
        <w:tc>
          <w:tcPr>
            <w:tcW w:w="2399" w:type="dxa"/>
            <w:vMerge w:val="restart"/>
            <w:tcBorders>
              <w:top w:val="nil"/>
              <w:left w:val="single" w:color="auto" w:sz="8" w:space="0"/>
              <w:bottom w:val="single" w:color="000000" w:sz="4" w:space="0"/>
              <w:right w:val="single" w:color="auto" w:sz="4" w:space="0"/>
            </w:tcBorders>
            <w:vAlign w:val="center"/>
            <w:hideMark/>
          </w:tcPr>
          <w:p w:rsidR="00B878EC" w:rsidRDefault="00B878EC">
            <w:pPr>
              <w:keepNext/>
              <w:keepLines/>
              <w:jc w:val="center"/>
              <w:rPr>
                <w:rFonts w:cs="Times New Roman"/>
                <w:b/>
                <w:bCs/>
                <w:sz w:val="22"/>
                <w:szCs w:val="22"/>
              </w:rPr>
            </w:pPr>
            <w:r>
              <w:rPr>
                <w:rFonts w:cs="Times New Roman"/>
                <w:b/>
                <w:bCs/>
                <w:sz w:val="22"/>
                <w:szCs w:val="22"/>
              </w:rPr>
              <w:t> </w:t>
            </w:r>
          </w:p>
        </w:tc>
        <w:tc>
          <w:tcPr>
            <w:tcW w:w="2251" w:type="dxa"/>
            <w:tcBorders>
              <w:top w:val="nil"/>
              <w:left w:val="nil"/>
              <w:bottom w:val="single" w:color="auto" w:sz="4" w:space="0"/>
              <w:right w:val="single" w:color="auto" w:sz="4" w:space="0"/>
            </w:tcBorders>
            <w:vAlign w:val="center"/>
            <w:hideMark/>
          </w:tcPr>
          <w:p w:rsidR="00B878EC" w:rsidRDefault="00B878EC">
            <w:pPr>
              <w:keepNext/>
              <w:keepLines/>
              <w:jc w:val="center"/>
              <w:rPr>
                <w:rFonts w:cs="Times New Roman"/>
                <w:b/>
                <w:bCs/>
                <w:sz w:val="22"/>
                <w:szCs w:val="22"/>
              </w:rPr>
            </w:pPr>
            <w:r>
              <w:rPr>
                <w:rFonts w:cs="Times New Roman"/>
                <w:b/>
                <w:bCs/>
                <w:sz w:val="22"/>
                <w:szCs w:val="22"/>
              </w:rPr>
              <w:t>Respondents (Electronic Submissions)</w:t>
            </w:r>
          </w:p>
        </w:tc>
        <w:tc>
          <w:tcPr>
            <w:tcW w:w="1963" w:type="dxa"/>
            <w:tcBorders>
              <w:top w:val="nil"/>
              <w:left w:val="nil"/>
              <w:bottom w:val="single" w:color="auto" w:sz="4" w:space="0"/>
              <w:right w:val="single" w:color="auto" w:sz="4" w:space="0"/>
            </w:tcBorders>
            <w:vAlign w:val="center"/>
            <w:hideMark/>
          </w:tcPr>
          <w:p w:rsidR="00B878EC" w:rsidRDefault="00B878EC">
            <w:pPr>
              <w:keepNext/>
              <w:keepLines/>
              <w:jc w:val="center"/>
              <w:rPr>
                <w:rFonts w:cs="Times New Roman"/>
                <w:b/>
                <w:bCs/>
                <w:sz w:val="22"/>
                <w:szCs w:val="22"/>
              </w:rPr>
            </w:pPr>
            <w:r>
              <w:rPr>
                <w:rFonts w:cs="Times New Roman"/>
                <w:b/>
                <w:bCs/>
                <w:sz w:val="22"/>
                <w:szCs w:val="22"/>
              </w:rPr>
              <w:t>Average Annual Responses per Respondent</w:t>
            </w:r>
          </w:p>
        </w:tc>
        <w:tc>
          <w:tcPr>
            <w:tcW w:w="1992" w:type="dxa"/>
            <w:tcBorders>
              <w:top w:val="nil"/>
              <w:left w:val="nil"/>
              <w:bottom w:val="single" w:color="auto" w:sz="4" w:space="0"/>
              <w:right w:val="single" w:color="auto" w:sz="4" w:space="0"/>
            </w:tcBorders>
            <w:vAlign w:val="center"/>
            <w:hideMark/>
          </w:tcPr>
          <w:p w:rsidR="00B878EC" w:rsidRDefault="00B878EC">
            <w:pPr>
              <w:keepNext/>
              <w:keepLines/>
              <w:jc w:val="center"/>
              <w:rPr>
                <w:rFonts w:cs="Times New Roman"/>
                <w:b/>
                <w:bCs/>
                <w:sz w:val="22"/>
                <w:szCs w:val="22"/>
              </w:rPr>
            </w:pPr>
            <w:r>
              <w:rPr>
                <w:rFonts w:cs="Times New Roman"/>
                <w:b/>
                <w:bCs/>
                <w:sz w:val="22"/>
                <w:szCs w:val="22"/>
              </w:rPr>
              <w:t>Hour Burden per Response</w:t>
            </w:r>
          </w:p>
        </w:tc>
        <w:tc>
          <w:tcPr>
            <w:tcW w:w="1560" w:type="dxa"/>
            <w:tcBorders>
              <w:top w:val="nil"/>
              <w:left w:val="nil"/>
              <w:bottom w:val="single" w:color="auto" w:sz="4" w:space="0"/>
              <w:right w:val="single" w:color="auto" w:sz="8" w:space="0"/>
            </w:tcBorders>
            <w:vAlign w:val="center"/>
            <w:hideMark/>
          </w:tcPr>
          <w:p w:rsidR="00B878EC" w:rsidRDefault="00B878EC">
            <w:pPr>
              <w:keepNext/>
              <w:keepLines/>
              <w:jc w:val="center"/>
              <w:rPr>
                <w:rFonts w:cs="Times New Roman"/>
                <w:b/>
                <w:bCs/>
                <w:sz w:val="22"/>
                <w:szCs w:val="22"/>
              </w:rPr>
            </w:pPr>
            <w:r>
              <w:rPr>
                <w:rFonts w:cs="Times New Roman"/>
                <w:b/>
                <w:bCs/>
                <w:sz w:val="22"/>
                <w:szCs w:val="22"/>
              </w:rPr>
              <w:t>Total Annual Hour Burden</w:t>
            </w:r>
          </w:p>
        </w:tc>
      </w:tr>
      <w:tr w:rsidR="00B878EC" w:rsidTr="00B878EC">
        <w:trPr>
          <w:trHeight w:val="338"/>
        </w:trPr>
        <w:tc>
          <w:tcPr>
            <w:tcW w:w="0" w:type="auto"/>
            <w:vMerge/>
            <w:tcBorders>
              <w:top w:val="nil"/>
              <w:left w:val="single" w:color="auto" w:sz="8" w:space="0"/>
              <w:bottom w:val="single" w:color="000000" w:sz="4" w:space="0"/>
              <w:right w:val="single" w:color="auto" w:sz="4" w:space="0"/>
            </w:tcBorders>
            <w:vAlign w:val="center"/>
            <w:hideMark/>
          </w:tcPr>
          <w:p w:rsidR="00B878EC" w:rsidRDefault="00B878EC">
            <w:pPr>
              <w:rPr>
                <w:rFonts w:cs="Times New Roman"/>
                <w:b/>
                <w:bCs/>
                <w:sz w:val="22"/>
                <w:szCs w:val="22"/>
              </w:rPr>
            </w:pPr>
          </w:p>
        </w:tc>
        <w:tc>
          <w:tcPr>
            <w:tcW w:w="2251" w:type="dxa"/>
            <w:tcBorders>
              <w:top w:val="nil"/>
              <w:left w:val="nil"/>
              <w:bottom w:val="single" w:color="auto" w:sz="4" w:space="0"/>
              <w:right w:val="single" w:color="auto" w:sz="4" w:space="0"/>
            </w:tcBorders>
            <w:vAlign w:val="bottom"/>
            <w:hideMark/>
          </w:tcPr>
          <w:p w:rsidR="00B878EC" w:rsidRDefault="00B878EC">
            <w:pPr>
              <w:keepNext/>
              <w:keepLines/>
              <w:jc w:val="center"/>
              <w:rPr>
                <w:rFonts w:cs="Times New Roman"/>
                <w:b/>
                <w:sz w:val="22"/>
                <w:szCs w:val="22"/>
              </w:rPr>
            </w:pPr>
            <w:r>
              <w:rPr>
                <w:rFonts w:cs="Times New Roman"/>
                <w:b/>
                <w:sz w:val="22"/>
                <w:szCs w:val="22"/>
              </w:rPr>
              <w:t>A</w:t>
            </w:r>
          </w:p>
        </w:tc>
        <w:tc>
          <w:tcPr>
            <w:tcW w:w="1963" w:type="dxa"/>
            <w:tcBorders>
              <w:top w:val="nil"/>
              <w:left w:val="nil"/>
              <w:bottom w:val="nil"/>
              <w:right w:val="single" w:color="auto" w:sz="4" w:space="0"/>
            </w:tcBorders>
            <w:vAlign w:val="bottom"/>
            <w:hideMark/>
          </w:tcPr>
          <w:p w:rsidR="00B878EC" w:rsidRDefault="00B878EC">
            <w:pPr>
              <w:keepNext/>
              <w:keepLines/>
              <w:jc w:val="center"/>
              <w:rPr>
                <w:rFonts w:cs="Times New Roman"/>
                <w:b/>
                <w:sz w:val="22"/>
                <w:szCs w:val="22"/>
              </w:rPr>
            </w:pPr>
            <w:r>
              <w:rPr>
                <w:rFonts w:cs="Times New Roman"/>
                <w:b/>
                <w:sz w:val="22"/>
                <w:szCs w:val="22"/>
              </w:rPr>
              <w:t>B</w:t>
            </w:r>
          </w:p>
        </w:tc>
        <w:tc>
          <w:tcPr>
            <w:tcW w:w="1992" w:type="dxa"/>
            <w:tcBorders>
              <w:top w:val="nil"/>
              <w:left w:val="nil"/>
              <w:bottom w:val="nil"/>
              <w:right w:val="single" w:color="auto" w:sz="4" w:space="0"/>
            </w:tcBorders>
            <w:vAlign w:val="bottom"/>
            <w:hideMark/>
          </w:tcPr>
          <w:p w:rsidR="00B878EC" w:rsidRDefault="00B878EC">
            <w:pPr>
              <w:keepNext/>
              <w:keepLines/>
              <w:jc w:val="center"/>
              <w:rPr>
                <w:rFonts w:cs="Times New Roman"/>
                <w:b/>
                <w:sz w:val="22"/>
                <w:szCs w:val="22"/>
              </w:rPr>
            </w:pPr>
            <w:r>
              <w:rPr>
                <w:rFonts w:cs="Times New Roman"/>
                <w:b/>
                <w:sz w:val="22"/>
                <w:szCs w:val="22"/>
              </w:rPr>
              <w:t>C</w:t>
            </w:r>
          </w:p>
        </w:tc>
        <w:tc>
          <w:tcPr>
            <w:tcW w:w="1560" w:type="dxa"/>
            <w:tcBorders>
              <w:top w:val="nil"/>
              <w:left w:val="nil"/>
              <w:bottom w:val="single" w:color="auto" w:sz="4" w:space="0"/>
              <w:right w:val="single" w:color="auto" w:sz="8" w:space="0"/>
            </w:tcBorders>
            <w:vAlign w:val="bottom"/>
            <w:hideMark/>
          </w:tcPr>
          <w:p w:rsidR="00B878EC" w:rsidRDefault="00B878EC">
            <w:pPr>
              <w:keepNext/>
              <w:keepLines/>
              <w:jc w:val="center"/>
              <w:rPr>
                <w:rFonts w:cs="Times New Roman"/>
                <w:b/>
                <w:sz w:val="22"/>
                <w:szCs w:val="22"/>
              </w:rPr>
            </w:pPr>
            <w:r>
              <w:rPr>
                <w:rFonts w:cs="Times New Roman"/>
                <w:b/>
                <w:sz w:val="22"/>
                <w:szCs w:val="22"/>
              </w:rPr>
              <w:t>D = A x B x C</w:t>
            </w:r>
          </w:p>
        </w:tc>
      </w:tr>
      <w:tr w:rsidR="00B878EC" w:rsidTr="00B878EC">
        <w:trPr>
          <w:trHeight w:val="317"/>
        </w:trPr>
        <w:tc>
          <w:tcPr>
            <w:tcW w:w="2399" w:type="dxa"/>
            <w:tcBorders>
              <w:top w:val="nil"/>
              <w:left w:val="single" w:color="auto" w:sz="8" w:space="0"/>
              <w:bottom w:val="single" w:color="auto" w:sz="8" w:space="0"/>
              <w:right w:val="single" w:color="auto" w:sz="4" w:space="0"/>
            </w:tcBorders>
            <w:noWrap/>
            <w:vAlign w:val="bottom"/>
            <w:hideMark/>
          </w:tcPr>
          <w:p w:rsidR="00B878EC" w:rsidRDefault="00B878EC">
            <w:pPr>
              <w:keepNext/>
              <w:keepLines/>
              <w:rPr>
                <w:rFonts w:cs="Times New Roman"/>
                <w:sz w:val="22"/>
                <w:szCs w:val="22"/>
              </w:rPr>
            </w:pPr>
            <w:r>
              <w:rPr>
                <w:rFonts w:cs="Times New Roman"/>
                <w:sz w:val="22"/>
                <w:szCs w:val="22"/>
              </w:rPr>
              <w:t>Annual Average</w:t>
            </w:r>
          </w:p>
        </w:tc>
        <w:tc>
          <w:tcPr>
            <w:tcW w:w="2251" w:type="dxa"/>
            <w:tcBorders>
              <w:top w:val="nil"/>
              <w:left w:val="nil"/>
              <w:bottom w:val="single" w:color="auto" w:sz="8" w:space="0"/>
              <w:right w:val="single" w:color="auto" w:sz="4" w:space="0"/>
            </w:tcBorders>
            <w:noWrap/>
            <w:vAlign w:val="bottom"/>
            <w:hideMark/>
          </w:tcPr>
          <w:p w:rsidR="00B878EC" w:rsidRDefault="00B878EC">
            <w:pPr>
              <w:keepNext/>
              <w:keepLines/>
              <w:jc w:val="center"/>
              <w:rPr>
                <w:rFonts w:cs="Times New Roman"/>
                <w:sz w:val="22"/>
                <w:szCs w:val="22"/>
              </w:rPr>
            </w:pPr>
            <w:r>
              <w:rPr>
                <w:rFonts w:cs="Times New Roman"/>
                <w:sz w:val="22"/>
                <w:szCs w:val="22"/>
              </w:rPr>
              <w:t>76,739</w:t>
            </w:r>
          </w:p>
        </w:tc>
        <w:tc>
          <w:tcPr>
            <w:tcW w:w="1963" w:type="dxa"/>
            <w:tcBorders>
              <w:top w:val="single" w:color="auto" w:sz="4" w:space="0"/>
              <w:left w:val="nil"/>
              <w:bottom w:val="single" w:color="auto" w:sz="8" w:space="0"/>
              <w:right w:val="single" w:color="auto" w:sz="4" w:space="0"/>
            </w:tcBorders>
            <w:noWrap/>
            <w:vAlign w:val="center"/>
            <w:hideMark/>
          </w:tcPr>
          <w:p w:rsidR="00B878EC" w:rsidRDefault="00B878EC">
            <w:pPr>
              <w:keepNext/>
              <w:keepLines/>
              <w:jc w:val="center"/>
              <w:rPr>
                <w:rFonts w:cs="Times New Roman"/>
                <w:sz w:val="22"/>
                <w:szCs w:val="22"/>
              </w:rPr>
            </w:pPr>
            <w:r>
              <w:rPr>
                <w:rFonts w:cs="Times New Roman"/>
                <w:sz w:val="22"/>
                <w:szCs w:val="22"/>
              </w:rPr>
              <w:t>1</w:t>
            </w:r>
          </w:p>
        </w:tc>
        <w:tc>
          <w:tcPr>
            <w:tcW w:w="1992" w:type="dxa"/>
            <w:tcBorders>
              <w:top w:val="single" w:color="auto" w:sz="4" w:space="0"/>
              <w:left w:val="nil"/>
              <w:bottom w:val="single" w:color="auto" w:sz="8" w:space="0"/>
              <w:right w:val="single" w:color="auto" w:sz="4" w:space="0"/>
            </w:tcBorders>
            <w:noWrap/>
            <w:vAlign w:val="center"/>
            <w:hideMark/>
          </w:tcPr>
          <w:p w:rsidR="00B878EC" w:rsidRDefault="00B878EC">
            <w:pPr>
              <w:keepNext/>
              <w:keepLines/>
              <w:jc w:val="center"/>
              <w:rPr>
                <w:rFonts w:cs="Times New Roman"/>
                <w:sz w:val="22"/>
                <w:szCs w:val="22"/>
              </w:rPr>
            </w:pPr>
            <w:r>
              <w:rPr>
                <w:rFonts w:cs="Times New Roman"/>
                <w:sz w:val="22"/>
                <w:szCs w:val="22"/>
              </w:rPr>
              <w:t>0.08333</w:t>
            </w:r>
          </w:p>
        </w:tc>
        <w:tc>
          <w:tcPr>
            <w:tcW w:w="1560" w:type="dxa"/>
            <w:tcBorders>
              <w:top w:val="nil"/>
              <w:left w:val="nil"/>
              <w:bottom w:val="single" w:color="auto" w:sz="8" w:space="0"/>
              <w:right w:val="single" w:color="auto" w:sz="8" w:space="0"/>
            </w:tcBorders>
            <w:noWrap/>
            <w:vAlign w:val="bottom"/>
            <w:hideMark/>
          </w:tcPr>
          <w:p w:rsidR="00B878EC" w:rsidRDefault="00B878EC">
            <w:pPr>
              <w:keepNext/>
              <w:keepLines/>
              <w:jc w:val="right"/>
              <w:rPr>
                <w:rFonts w:cs="Times New Roman"/>
                <w:sz w:val="22"/>
                <w:szCs w:val="22"/>
              </w:rPr>
            </w:pPr>
            <w:r>
              <w:rPr>
                <w:rFonts w:cs="Times New Roman"/>
                <w:sz w:val="22"/>
                <w:szCs w:val="22"/>
              </w:rPr>
              <w:t>6,395</w:t>
            </w:r>
          </w:p>
        </w:tc>
      </w:tr>
    </w:tbl>
    <w:p w:rsidR="00B878EC" w:rsidP="00B878EC" w:rsidRDefault="00B878EC">
      <w:pPr>
        <w:numPr>
          <w:ilvl w:val="12"/>
          <w:numId w:val="0"/>
        </w:numPr>
        <w:ind w:left="180"/>
        <w:rPr>
          <w:sz w:val="22"/>
          <w:szCs w:val="22"/>
        </w:rPr>
      </w:pPr>
      <w:r>
        <w:rPr>
          <w:sz w:val="22"/>
          <w:szCs w:val="22"/>
        </w:rPr>
        <w:t>Note: Calculations may not be exact due to rounding in the table.</w:t>
      </w:r>
    </w:p>
    <w:p w:rsidR="00B878EC" w:rsidP="00B878EC" w:rsidRDefault="00B878EC">
      <w:pPr>
        <w:numPr>
          <w:ilvl w:val="12"/>
          <w:numId w:val="0"/>
        </w:numPr>
      </w:pPr>
    </w:p>
    <w:p w:rsidR="00B878EC" w:rsidP="00B878EC" w:rsidRDefault="00B878EC">
      <w:pPr>
        <w:keepNext/>
        <w:numPr>
          <w:ilvl w:val="12"/>
          <w:numId w:val="0"/>
        </w:numPr>
        <w:ind w:left="360"/>
        <w:rPr>
          <w:rFonts w:cs="Times New Roman"/>
        </w:rPr>
      </w:pPr>
      <w:r>
        <w:rPr>
          <w:rFonts w:cs="Times New Roman"/>
        </w:rPr>
        <w:t>TSA uses historic data to estimate an annual rate of change based on the number of civil rights and disability submissions between 2017 to 2019.  Using this data, TSA estimates an average of 4,663 civil rights and disability complaints annually.  TSA estimates 7 minutes (0.1167 hours) for the civil rights and disability submissions, with an estimated average annual burden of 544 hours (4,663 responses x 0.1167 hours).  Table 3 displays the estimated hour burdens by year.</w:t>
      </w:r>
    </w:p>
    <w:p w:rsidR="00B878EC" w:rsidP="00B878EC" w:rsidRDefault="00B878EC">
      <w:pPr>
        <w:keepNext/>
        <w:numPr>
          <w:ilvl w:val="12"/>
          <w:numId w:val="0"/>
        </w:numPr>
        <w:ind w:left="360"/>
        <w:rPr>
          <w:rFonts w:cs="Times New Roman"/>
          <w:sz w:val="22"/>
          <w:szCs w:val="22"/>
        </w:rPr>
      </w:pPr>
    </w:p>
    <w:tbl>
      <w:tblPr>
        <w:tblW w:w="10119" w:type="dxa"/>
        <w:tblLook w:val="04A0" w:firstRow="1" w:lastRow="0" w:firstColumn="1" w:lastColumn="0" w:noHBand="0" w:noVBand="1"/>
      </w:tblPr>
      <w:tblGrid>
        <w:gridCol w:w="2474"/>
        <w:gridCol w:w="2297"/>
        <w:gridCol w:w="1922"/>
        <w:gridCol w:w="1819"/>
        <w:gridCol w:w="1607"/>
      </w:tblGrid>
      <w:tr w:rsidR="00B878EC" w:rsidTr="00B878EC">
        <w:trPr>
          <w:trHeight w:val="348"/>
        </w:trPr>
        <w:tc>
          <w:tcPr>
            <w:tcW w:w="10119" w:type="dxa"/>
            <w:gridSpan w:val="5"/>
            <w:tcBorders>
              <w:top w:val="nil"/>
              <w:left w:val="nil"/>
              <w:bottom w:val="single" w:color="auto" w:sz="8" w:space="0"/>
              <w:right w:val="nil"/>
            </w:tcBorders>
            <w:noWrap/>
            <w:vAlign w:val="bottom"/>
            <w:hideMark/>
          </w:tcPr>
          <w:p w:rsidR="00B878EC" w:rsidRDefault="00B878EC">
            <w:pPr>
              <w:rPr>
                <w:rFonts w:cs="Times New Roman"/>
                <w:b/>
                <w:bCs/>
                <w:szCs w:val="24"/>
              </w:rPr>
            </w:pPr>
            <w:r>
              <w:rPr>
                <w:rFonts w:cs="Times New Roman"/>
                <w:b/>
                <w:bCs/>
                <w:szCs w:val="24"/>
              </w:rPr>
              <w:t xml:space="preserve">Table 3: Total Hour Burden for Civil Rights and Disability Submissions </w:t>
            </w:r>
          </w:p>
        </w:tc>
      </w:tr>
      <w:tr w:rsidR="00B878EC" w:rsidTr="00B878EC">
        <w:trPr>
          <w:trHeight w:val="898"/>
        </w:trPr>
        <w:tc>
          <w:tcPr>
            <w:tcW w:w="2474" w:type="dxa"/>
            <w:vMerge w:val="restart"/>
            <w:tcBorders>
              <w:top w:val="nil"/>
              <w:left w:val="single" w:color="auto" w:sz="8" w:space="0"/>
              <w:bottom w:val="single" w:color="000000" w:sz="4" w:space="0"/>
              <w:right w:val="single" w:color="auto" w:sz="4" w:space="0"/>
            </w:tcBorders>
            <w:vAlign w:val="center"/>
            <w:hideMark/>
          </w:tcPr>
          <w:p w:rsidR="00B878EC" w:rsidRDefault="00B878EC">
            <w:pPr>
              <w:jc w:val="center"/>
              <w:rPr>
                <w:rFonts w:cs="Times New Roman"/>
                <w:b/>
                <w:bCs/>
                <w:sz w:val="22"/>
                <w:szCs w:val="22"/>
              </w:rPr>
            </w:pPr>
            <w:r>
              <w:rPr>
                <w:rFonts w:cs="Times New Roman"/>
                <w:b/>
                <w:bCs/>
                <w:sz w:val="22"/>
                <w:szCs w:val="22"/>
              </w:rPr>
              <w:t> </w:t>
            </w:r>
          </w:p>
        </w:tc>
        <w:tc>
          <w:tcPr>
            <w:tcW w:w="2297" w:type="dxa"/>
            <w:tcBorders>
              <w:top w:val="nil"/>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Respondents (Civil Rights and Disability)</w:t>
            </w:r>
          </w:p>
        </w:tc>
        <w:tc>
          <w:tcPr>
            <w:tcW w:w="1922" w:type="dxa"/>
            <w:tcBorders>
              <w:top w:val="nil"/>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Average Annual Responses per Year</w:t>
            </w:r>
          </w:p>
        </w:tc>
        <w:tc>
          <w:tcPr>
            <w:tcW w:w="1819" w:type="dxa"/>
            <w:tcBorders>
              <w:top w:val="nil"/>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Hour Burden per response</w:t>
            </w:r>
          </w:p>
        </w:tc>
        <w:tc>
          <w:tcPr>
            <w:tcW w:w="1605" w:type="dxa"/>
            <w:tcBorders>
              <w:top w:val="nil"/>
              <w:left w:val="nil"/>
              <w:bottom w:val="single" w:color="auto" w:sz="4" w:space="0"/>
              <w:right w:val="single" w:color="auto" w:sz="8" w:space="0"/>
            </w:tcBorders>
            <w:vAlign w:val="bottom"/>
            <w:hideMark/>
          </w:tcPr>
          <w:p w:rsidR="00B878EC" w:rsidRDefault="00B878EC">
            <w:pPr>
              <w:jc w:val="center"/>
              <w:rPr>
                <w:rFonts w:cs="Times New Roman"/>
                <w:b/>
                <w:bCs/>
                <w:sz w:val="22"/>
                <w:szCs w:val="22"/>
              </w:rPr>
            </w:pPr>
            <w:r>
              <w:rPr>
                <w:rFonts w:cs="Times New Roman"/>
                <w:b/>
                <w:bCs/>
                <w:sz w:val="22"/>
                <w:szCs w:val="22"/>
              </w:rPr>
              <w:t>Total Annual Hour Burden</w:t>
            </w:r>
          </w:p>
        </w:tc>
      </w:tr>
      <w:tr w:rsidR="00B878EC" w:rsidTr="00B878EC">
        <w:trPr>
          <w:trHeight w:val="80"/>
        </w:trPr>
        <w:tc>
          <w:tcPr>
            <w:tcW w:w="0" w:type="auto"/>
            <w:vMerge/>
            <w:tcBorders>
              <w:top w:val="nil"/>
              <w:left w:val="single" w:color="auto" w:sz="8" w:space="0"/>
              <w:bottom w:val="single" w:color="000000" w:sz="4" w:space="0"/>
              <w:right w:val="single" w:color="auto" w:sz="4" w:space="0"/>
            </w:tcBorders>
            <w:vAlign w:val="center"/>
            <w:hideMark/>
          </w:tcPr>
          <w:p w:rsidR="00B878EC" w:rsidRDefault="00B878EC">
            <w:pPr>
              <w:rPr>
                <w:rFonts w:cs="Times New Roman"/>
                <w:b/>
                <w:bCs/>
                <w:sz w:val="22"/>
                <w:szCs w:val="22"/>
              </w:rPr>
            </w:pPr>
          </w:p>
        </w:tc>
        <w:tc>
          <w:tcPr>
            <w:tcW w:w="2297" w:type="dxa"/>
            <w:tcBorders>
              <w:top w:val="nil"/>
              <w:left w:val="nil"/>
              <w:bottom w:val="single" w:color="auto" w:sz="4" w:space="0"/>
              <w:right w:val="single" w:color="auto" w:sz="4" w:space="0"/>
            </w:tcBorders>
            <w:vAlign w:val="bottom"/>
            <w:hideMark/>
          </w:tcPr>
          <w:p w:rsidR="00B878EC" w:rsidRDefault="00B878EC">
            <w:pPr>
              <w:jc w:val="center"/>
              <w:rPr>
                <w:rFonts w:cs="Times New Roman"/>
                <w:sz w:val="22"/>
                <w:szCs w:val="22"/>
              </w:rPr>
            </w:pPr>
            <w:r>
              <w:rPr>
                <w:rFonts w:cs="Times New Roman"/>
                <w:sz w:val="22"/>
                <w:szCs w:val="22"/>
              </w:rPr>
              <w:t>A</w:t>
            </w:r>
          </w:p>
        </w:tc>
        <w:tc>
          <w:tcPr>
            <w:tcW w:w="1922" w:type="dxa"/>
            <w:tcBorders>
              <w:top w:val="nil"/>
              <w:left w:val="nil"/>
              <w:bottom w:val="nil"/>
              <w:right w:val="single" w:color="auto" w:sz="4" w:space="0"/>
            </w:tcBorders>
            <w:vAlign w:val="bottom"/>
            <w:hideMark/>
          </w:tcPr>
          <w:p w:rsidR="00B878EC" w:rsidRDefault="00B878EC">
            <w:pPr>
              <w:jc w:val="center"/>
              <w:rPr>
                <w:rFonts w:cs="Times New Roman"/>
                <w:sz w:val="22"/>
                <w:szCs w:val="22"/>
              </w:rPr>
            </w:pPr>
            <w:r>
              <w:rPr>
                <w:rFonts w:cs="Times New Roman"/>
                <w:sz w:val="22"/>
                <w:szCs w:val="22"/>
              </w:rPr>
              <w:t>B</w:t>
            </w:r>
          </w:p>
        </w:tc>
        <w:tc>
          <w:tcPr>
            <w:tcW w:w="1819" w:type="dxa"/>
            <w:tcBorders>
              <w:top w:val="nil"/>
              <w:left w:val="nil"/>
              <w:bottom w:val="nil"/>
              <w:right w:val="single" w:color="auto" w:sz="4" w:space="0"/>
            </w:tcBorders>
            <w:vAlign w:val="bottom"/>
            <w:hideMark/>
          </w:tcPr>
          <w:p w:rsidR="00B878EC" w:rsidRDefault="00B878EC">
            <w:pPr>
              <w:jc w:val="center"/>
              <w:rPr>
                <w:rFonts w:cs="Times New Roman"/>
                <w:sz w:val="22"/>
                <w:szCs w:val="22"/>
              </w:rPr>
            </w:pPr>
            <w:r>
              <w:rPr>
                <w:rFonts w:cs="Times New Roman"/>
                <w:sz w:val="22"/>
                <w:szCs w:val="22"/>
              </w:rPr>
              <w:t>C</w:t>
            </w:r>
          </w:p>
        </w:tc>
        <w:tc>
          <w:tcPr>
            <w:tcW w:w="1605" w:type="dxa"/>
            <w:tcBorders>
              <w:top w:val="nil"/>
              <w:left w:val="nil"/>
              <w:bottom w:val="single" w:color="auto" w:sz="4" w:space="0"/>
              <w:right w:val="single" w:color="auto" w:sz="8" w:space="0"/>
            </w:tcBorders>
            <w:vAlign w:val="bottom"/>
            <w:hideMark/>
          </w:tcPr>
          <w:p w:rsidR="00B878EC" w:rsidRDefault="00B878EC">
            <w:pPr>
              <w:jc w:val="center"/>
              <w:rPr>
                <w:rFonts w:cs="Times New Roman"/>
                <w:sz w:val="22"/>
                <w:szCs w:val="22"/>
              </w:rPr>
            </w:pPr>
            <w:r>
              <w:rPr>
                <w:rFonts w:cs="Times New Roman"/>
                <w:sz w:val="22"/>
                <w:szCs w:val="22"/>
              </w:rPr>
              <w:t>D = A x B x C</w:t>
            </w:r>
          </w:p>
        </w:tc>
      </w:tr>
      <w:tr w:rsidR="00B878EC" w:rsidTr="00B878EC">
        <w:trPr>
          <w:trHeight w:val="326"/>
        </w:trPr>
        <w:tc>
          <w:tcPr>
            <w:tcW w:w="2474" w:type="dxa"/>
            <w:tcBorders>
              <w:top w:val="nil"/>
              <w:left w:val="single" w:color="auto" w:sz="8" w:space="0"/>
              <w:bottom w:val="single" w:color="auto" w:sz="8" w:space="0"/>
              <w:right w:val="single" w:color="auto" w:sz="4" w:space="0"/>
            </w:tcBorders>
            <w:noWrap/>
            <w:vAlign w:val="bottom"/>
            <w:hideMark/>
          </w:tcPr>
          <w:p w:rsidR="00B878EC" w:rsidRDefault="00B878EC">
            <w:pPr>
              <w:rPr>
                <w:rFonts w:cs="Times New Roman"/>
                <w:sz w:val="22"/>
                <w:szCs w:val="22"/>
              </w:rPr>
            </w:pPr>
            <w:r>
              <w:rPr>
                <w:rFonts w:cs="Times New Roman"/>
                <w:sz w:val="22"/>
                <w:szCs w:val="22"/>
              </w:rPr>
              <w:t>Annual Average</w:t>
            </w:r>
          </w:p>
        </w:tc>
        <w:tc>
          <w:tcPr>
            <w:tcW w:w="2297" w:type="dxa"/>
            <w:tcBorders>
              <w:top w:val="nil"/>
              <w:left w:val="nil"/>
              <w:bottom w:val="single" w:color="auto" w:sz="8" w:space="0"/>
              <w:right w:val="single" w:color="auto" w:sz="4" w:space="0"/>
            </w:tcBorders>
            <w:noWrap/>
            <w:vAlign w:val="bottom"/>
            <w:hideMark/>
          </w:tcPr>
          <w:p w:rsidR="00B878EC" w:rsidRDefault="00B878EC">
            <w:pPr>
              <w:jc w:val="center"/>
              <w:rPr>
                <w:rFonts w:cs="Times New Roman"/>
                <w:sz w:val="22"/>
                <w:szCs w:val="22"/>
              </w:rPr>
            </w:pPr>
            <w:r>
              <w:rPr>
                <w:rFonts w:cs="Times New Roman"/>
                <w:sz w:val="22"/>
                <w:szCs w:val="22"/>
              </w:rPr>
              <w:t>4,663</w:t>
            </w:r>
          </w:p>
        </w:tc>
        <w:tc>
          <w:tcPr>
            <w:tcW w:w="1922" w:type="dxa"/>
            <w:tcBorders>
              <w:top w:val="single" w:color="auto" w:sz="4" w:space="0"/>
              <w:left w:val="nil"/>
              <w:bottom w:val="single" w:color="auto" w:sz="8" w:space="0"/>
              <w:right w:val="single" w:color="auto" w:sz="4" w:space="0"/>
            </w:tcBorders>
            <w:noWrap/>
            <w:vAlign w:val="center"/>
            <w:hideMark/>
          </w:tcPr>
          <w:p w:rsidR="00B878EC" w:rsidRDefault="00B878EC">
            <w:pPr>
              <w:jc w:val="center"/>
              <w:rPr>
                <w:rFonts w:cs="Times New Roman"/>
                <w:sz w:val="22"/>
                <w:szCs w:val="22"/>
              </w:rPr>
            </w:pPr>
            <w:r>
              <w:rPr>
                <w:rFonts w:cs="Times New Roman"/>
                <w:sz w:val="22"/>
                <w:szCs w:val="22"/>
              </w:rPr>
              <w:t>1</w:t>
            </w:r>
          </w:p>
        </w:tc>
        <w:tc>
          <w:tcPr>
            <w:tcW w:w="1819" w:type="dxa"/>
            <w:tcBorders>
              <w:top w:val="single" w:color="auto" w:sz="4" w:space="0"/>
              <w:left w:val="nil"/>
              <w:bottom w:val="single" w:color="auto" w:sz="8" w:space="0"/>
              <w:right w:val="single" w:color="auto" w:sz="4" w:space="0"/>
            </w:tcBorders>
            <w:noWrap/>
            <w:vAlign w:val="center"/>
            <w:hideMark/>
          </w:tcPr>
          <w:p w:rsidR="00B878EC" w:rsidRDefault="00B878EC">
            <w:pPr>
              <w:jc w:val="center"/>
              <w:rPr>
                <w:rFonts w:cs="Times New Roman"/>
                <w:sz w:val="22"/>
                <w:szCs w:val="22"/>
              </w:rPr>
            </w:pPr>
            <w:r>
              <w:rPr>
                <w:rFonts w:cs="Times New Roman"/>
                <w:sz w:val="22"/>
                <w:szCs w:val="22"/>
              </w:rPr>
              <w:t>0.1167</w:t>
            </w:r>
          </w:p>
        </w:tc>
        <w:tc>
          <w:tcPr>
            <w:tcW w:w="1605" w:type="dxa"/>
            <w:tcBorders>
              <w:top w:val="nil"/>
              <w:left w:val="nil"/>
              <w:bottom w:val="single" w:color="auto" w:sz="8" w:space="0"/>
              <w:right w:val="single" w:color="auto" w:sz="8" w:space="0"/>
            </w:tcBorders>
            <w:noWrap/>
            <w:vAlign w:val="bottom"/>
            <w:hideMark/>
          </w:tcPr>
          <w:p w:rsidR="00B878EC" w:rsidRDefault="00B878EC">
            <w:pPr>
              <w:jc w:val="right"/>
              <w:rPr>
                <w:rFonts w:cs="Times New Roman"/>
                <w:sz w:val="22"/>
                <w:szCs w:val="22"/>
              </w:rPr>
            </w:pPr>
            <w:r>
              <w:rPr>
                <w:rFonts w:cs="Times New Roman"/>
                <w:sz w:val="22"/>
                <w:szCs w:val="22"/>
              </w:rPr>
              <w:t>544</w:t>
            </w:r>
          </w:p>
        </w:tc>
      </w:tr>
    </w:tbl>
    <w:p w:rsidR="00B878EC" w:rsidP="00B878EC" w:rsidRDefault="00B878EC">
      <w:pPr>
        <w:numPr>
          <w:ilvl w:val="12"/>
          <w:numId w:val="0"/>
        </w:numPr>
        <w:ind w:left="180"/>
        <w:rPr>
          <w:sz w:val="22"/>
          <w:szCs w:val="22"/>
        </w:rPr>
      </w:pPr>
      <w:r>
        <w:rPr>
          <w:sz w:val="22"/>
          <w:szCs w:val="22"/>
        </w:rPr>
        <w:t>Note: Calculations may not be exact due to rounding in the table.</w:t>
      </w:r>
    </w:p>
    <w:p w:rsidR="00B878EC" w:rsidP="00B878EC" w:rsidRDefault="00B878EC">
      <w:pPr>
        <w:numPr>
          <w:ilvl w:val="12"/>
          <w:numId w:val="0"/>
        </w:numPr>
      </w:pPr>
    </w:p>
    <w:p w:rsidR="00B878EC" w:rsidP="00B878EC" w:rsidRDefault="00B878EC">
      <w:pPr>
        <w:tabs>
          <w:tab w:val="left" w:pos="360"/>
        </w:tabs>
        <w:ind w:left="360"/>
      </w:pPr>
      <w:r>
        <w:t>TSA estimates the total annual burden of 7,518.07 hours by adding the average annual hour burdens for comment cards (Table 1), emails and online tool (Table 2), and civil rights and disability submissions (Table 3).  TSA multiplies this total average annual hour burden by a fully loaded hourly wage rate of $38.60</w:t>
      </w:r>
      <w:r>
        <w:rPr>
          <w:rStyle w:val="FootnoteReference"/>
        </w:rPr>
        <w:footnoteReference w:id="3"/>
      </w:r>
      <w:r>
        <w:t xml:space="preserve"> to estimate an average annual hour burden cost of $290,198 for purposes of this Information Collection Request (ICR).  </w:t>
      </w:r>
    </w:p>
    <w:p w:rsidR="00B878EC" w:rsidP="00B878EC" w:rsidRDefault="00B878EC">
      <w:pPr>
        <w:tabs>
          <w:tab w:val="left" w:pos="360"/>
        </w:tabs>
        <w:ind w:left="360"/>
      </w:pPr>
    </w:p>
    <w:p w:rsidR="00320387" w:rsidP="008074F4" w:rsidRDefault="00320387">
      <w:pPr>
        <w:keepNext/>
        <w:numPr>
          <w:ilvl w:val="0"/>
          <w:numId w:val="1"/>
        </w:numPr>
        <w:tabs>
          <w:tab w:val="left" w:pos="360"/>
        </w:tabs>
        <w:rPr>
          <w:b/>
          <w:i/>
        </w:rPr>
      </w:pPr>
      <w:r>
        <w:rPr>
          <w:b/>
          <w:i/>
        </w:rPr>
        <w:t>Provide an estimate of the total annual cost burden to respondents or record</w:t>
      </w:r>
      <w:r w:rsidR="001F31FF">
        <w:rPr>
          <w:b/>
          <w:i/>
        </w:rPr>
        <w:t xml:space="preserve"> </w:t>
      </w:r>
      <w:r>
        <w:rPr>
          <w:b/>
          <w:i/>
        </w:rPr>
        <w:t>keepers resulting from the collection of information.</w:t>
      </w:r>
    </w:p>
    <w:p w:rsidRPr="007209A6" w:rsidR="00440465" w:rsidP="008074F4" w:rsidRDefault="00440465">
      <w:pPr>
        <w:keepNext/>
        <w:tabs>
          <w:tab w:val="left" w:pos="360"/>
        </w:tabs>
        <w:ind w:left="360"/>
      </w:pPr>
    </w:p>
    <w:p w:rsidR="00440465" w:rsidP="008074F4" w:rsidRDefault="00440465">
      <w:pPr>
        <w:numPr>
          <w:ilvl w:val="12"/>
          <w:numId w:val="0"/>
        </w:numPr>
        <w:ind w:left="360"/>
      </w:pPr>
      <w:r>
        <w:t xml:space="preserve">TSA assumes </w:t>
      </w:r>
      <w:r w:rsidR="007456E2">
        <w:t>all</w:t>
      </w:r>
      <w:r>
        <w:t xml:space="preserve"> respondents </w:t>
      </w:r>
      <w:r w:rsidR="00570740">
        <w:t xml:space="preserve">submitting </w:t>
      </w:r>
      <w:r w:rsidR="0073268A">
        <w:t xml:space="preserve">paper customer </w:t>
      </w:r>
      <w:r w:rsidR="00570740">
        <w:t xml:space="preserve">comment cards </w:t>
      </w:r>
      <w:r w:rsidR="00833C7D">
        <w:t xml:space="preserve">will </w:t>
      </w:r>
      <w:r>
        <w:t>provide the card to TSA at airports.</w:t>
      </w:r>
      <w:r w:rsidR="00B516BF">
        <w:t xml:space="preserve">  There are no costs to respondents for online responses</w:t>
      </w:r>
      <w:r w:rsidR="00166A51">
        <w:t xml:space="preserve"> via </w:t>
      </w:r>
      <w:r w:rsidR="00A21A12">
        <w:t>the online submission forms</w:t>
      </w:r>
      <w:r w:rsidR="00B516BF">
        <w:t>.</w:t>
      </w:r>
    </w:p>
    <w:p w:rsidR="00320387" w:rsidP="008074F4" w:rsidRDefault="00320387">
      <w:pPr>
        <w:pStyle w:val="IndexHeading"/>
        <w:keepNext w:val="0"/>
        <w:numPr>
          <w:ilvl w:val="12"/>
          <w:numId w:val="0"/>
        </w:numPr>
        <w:spacing w:line="240" w:lineRule="auto"/>
        <w:rPr>
          <w:rFonts w:ascii="Times New Roman" w:hAnsi="Times New Roman"/>
          <w:spacing w:val="0"/>
        </w:rPr>
      </w:pPr>
    </w:p>
    <w:p w:rsidR="00320387" w:rsidP="008074F4" w:rsidRDefault="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8074F4" w:rsidRDefault="00320387">
      <w:pPr>
        <w:keepNext/>
        <w:numPr>
          <w:ilvl w:val="12"/>
          <w:numId w:val="0"/>
        </w:numPr>
        <w:ind w:left="360"/>
      </w:pPr>
    </w:p>
    <w:p w:rsidR="007209A6" w:rsidP="008074F4" w:rsidRDefault="001F31FF">
      <w:pPr>
        <w:autoSpaceDE w:val="0"/>
        <w:autoSpaceDN w:val="0"/>
        <w:adjustRightInd w:val="0"/>
        <w:ind w:left="360"/>
        <w:rPr>
          <w:rFonts w:cs="Times New Roman"/>
          <w:bCs/>
          <w:iCs/>
        </w:rPr>
      </w:pPr>
      <w:r w:rsidRPr="001F31FF">
        <w:rPr>
          <w:rFonts w:cs="Times New Roman"/>
          <w:bCs/>
          <w:iCs/>
        </w:rPr>
        <w:t xml:space="preserve">TSA estimates the hour burdens and costs to the </w:t>
      </w:r>
      <w:r w:rsidR="006C0BC2">
        <w:rPr>
          <w:rFonts w:cs="Times New Roman"/>
          <w:bCs/>
          <w:iCs/>
        </w:rPr>
        <w:t>F</w:t>
      </w:r>
      <w:r w:rsidRPr="001F31FF">
        <w:rPr>
          <w:rFonts w:cs="Times New Roman"/>
          <w:bCs/>
          <w:iCs/>
        </w:rPr>
        <w:t xml:space="preserve">ederal </w:t>
      </w:r>
      <w:r w:rsidR="006C0BC2">
        <w:rPr>
          <w:rFonts w:cs="Times New Roman"/>
          <w:bCs/>
          <w:iCs/>
        </w:rPr>
        <w:t>G</w:t>
      </w:r>
      <w:r w:rsidRPr="001F31FF">
        <w:rPr>
          <w:rFonts w:cs="Times New Roman"/>
          <w:bCs/>
          <w:iCs/>
        </w:rPr>
        <w:t xml:space="preserve">overnment based on the type of submission and whether the </w:t>
      </w:r>
      <w:r w:rsidR="006C0BC2">
        <w:rPr>
          <w:rFonts w:cs="Times New Roman"/>
          <w:bCs/>
          <w:iCs/>
        </w:rPr>
        <w:t>F</w:t>
      </w:r>
      <w:r w:rsidRPr="001F31FF">
        <w:rPr>
          <w:rFonts w:cs="Times New Roman"/>
          <w:bCs/>
          <w:iCs/>
        </w:rPr>
        <w:t xml:space="preserve">ederal </w:t>
      </w:r>
      <w:r w:rsidR="006C0BC2">
        <w:rPr>
          <w:rFonts w:cs="Times New Roman"/>
          <w:bCs/>
          <w:iCs/>
        </w:rPr>
        <w:t>G</w:t>
      </w:r>
      <w:r w:rsidRPr="001F31FF">
        <w:rPr>
          <w:rFonts w:cs="Times New Roman"/>
          <w:bCs/>
          <w:iCs/>
        </w:rPr>
        <w:t xml:space="preserve">overnment uses a contractor or </w:t>
      </w:r>
      <w:r w:rsidR="006C0BC2">
        <w:rPr>
          <w:rFonts w:cs="Times New Roman"/>
          <w:bCs/>
          <w:iCs/>
        </w:rPr>
        <w:t>F</w:t>
      </w:r>
      <w:r w:rsidRPr="001F31FF">
        <w:rPr>
          <w:rFonts w:cs="Times New Roman"/>
          <w:bCs/>
          <w:iCs/>
        </w:rPr>
        <w:t>ederal employee to review and respond to customer comments.</w:t>
      </w:r>
    </w:p>
    <w:p w:rsidRPr="001F31FF" w:rsidR="001F31FF" w:rsidP="008074F4" w:rsidRDefault="001F31FF">
      <w:pPr>
        <w:autoSpaceDE w:val="0"/>
        <w:autoSpaceDN w:val="0"/>
        <w:adjustRightInd w:val="0"/>
        <w:ind w:left="360"/>
        <w:rPr>
          <w:rFonts w:cs="Times New Roman"/>
          <w:bCs/>
          <w:iCs/>
        </w:rPr>
      </w:pPr>
    </w:p>
    <w:p w:rsidR="001F31FF" w:rsidP="008074F4" w:rsidRDefault="007209A6">
      <w:pPr>
        <w:autoSpaceDE w:val="0"/>
        <w:autoSpaceDN w:val="0"/>
        <w:adjustRightInd w:val="0"/>
        <w:ind w:left="360"/>
        <w:rPr>
          <w:rFonts w:cs="Times New Roman"/>
          <w:bCs/>
          <w:iCs/>
        </w:rPr>
      </w:pPr>
      <w:r>
        <w:rPr>
          <w:rFonts w:cs="Times New Roman"/>
          <w:bCs/>
          <w:iCs/>
        </w:rPr>
        <w:t xml:space="preserve">(a) </w:t>
      </w:r>
      <w:r w:rsidRPr="001F31FF" w:rsidR="001F31FF">
        <w:rPr>
          <w:rFonts w:cs="Times New Roman"/>
          <w:bCs/>
          <w:iCs/>
        </w:rPr>
        <w:t>Hour Burden Estimation</w:t>
      </w:r>
    </w:p>
    <w:p w:rsidRPr="001F31FF" w:rsidR="007209A6" w:rsidP="008074F4" w:rsidRDefault="007209A6">
      <w:pPr>
        <w:autoSpaceDE w:val="0"/>
        <w:autoSpaceDN w:val="0"/>
        <w:adjustRightInd w:val="0"/>
        <w:ind w:left="720"/>
        <w:rPr>
          <w:rFonts w:cs="Times New Roman"/>
          <w:bCs/>
          <w:iCs/>
        </w:rPr>
      </w:pPr>
    </w:p>
    <w:p w:rsidRPr="001F31FF" w:rsidR="001F31FF" w:rsidP="008074F4" w:rsidRDefault="001F31FF">
      <w:pPr>
        <w:keepNext/>
        <w:autoSpaceDE w:val="0"/>
        <w:autoSpaceDN w:val="0"/>
        <w:adjustRightInd w:val="0"/>
        <w:ind w:left="360"/>
        <w:rPr>
          <w:rFonts w:cs="Times New Roman"/>
          <w:bCs/>
          <w:i/>
          <w:iCs/>
          <w:u w:val="single"/>
        </w:rPr>
      </w:pPr>
      <w:r w:rsidRPr="001F31FF">
        <w:rPr>
          <w:rFonts w:cs="Times New Roman"/>
          <w:bCs/>
          <w:i/>
          <w:iCs/>
          <w:u w:val="single"/>
        </w:rPr>
        <w:t>Comment Cards</w:t>
      </w:r>
    </w:p>
    <w:p w:rsidR="007209A6" w:rsidP="008074F4" w:rsidRDefault="007209A6">
      <w:pPr>
        <w:keepNext/>
        <w:autoSpaceDE w:val="0"/>
        <w:autoSpaceDN w:val="0"/>
        <w:adjustRightInd w:val="0"/>
        <w:ind w:left="360"/>
        <w:rPr>
          <w:rFonts w:cs="Times New Roman"/>
          <w:bCs/>
          <w:iCs/>
        </w:rPr>
      </w:pPr>
    </w:p>
    <w:p w:rsidR="00B878EC" w:rsidP="00B878EC" w:rsidRDefault="00B878EC">
      <w:pPr>
        <w:autoSpaceDE w:val="0"/>
        <w:autoSpaceDN w:val="0"/>
        <w:adjustRightInd w:val="0"/>
        <w:ind w:left="360"/>
      </w:pPr>
      <w:r>
        <w:rPr>
          <w:rFonts w:cs="Times New Roman"/>
          <w:bCs/>
          <w:iCs/>
        </w:rPr>
        <w:t>TSA estimates that it takes a federal employee 5 minutes (0.08333 hours) to review comments on a paper card. TSA multiplies 6,950 average annual paper card responses by 0.08333 hours to obtain an annual burden estimate of 579.17 hours for TSA to review comments on paper cards.  TSA applies a wage rate of $48.24</w:t>
      </w:r>
      <w:r>
        <w:rPr>
          <w:rStyle w:val="FootnoteReference"/>
          <w:rFonts w:cs="Times New Roman"/>
          <w:bCs/>
          <w:iCs/>
        </w:rPr>
        <w:footnoteReference w:id="4"/>
      </w:r>
      <w:r>
        <w:rPr>
          <w:rFonts w:cs="Times New Roman"/>
          <w:bCs/>
          <w:iCs/>
        </w:rPr>
        <w:t xml:space="preserve"> to calculate the annual hour burden cost.  Paper comment cards are only reviewed by a Federal employee because they are turned in at the airport and do not go to the </w:t>
      </w:r>
      <w:r>
        <w:t>TSA Contact Center</w:t>
      </w:r>
      <w:r>
        <w:rPr>
          <w:rFonts w:cs="Times New Roman"/>
          <w:bCs/>
          <w:iCs/>
        </w:rPr>
        <w:t xml:space="preserve"> (TCC), where both contractors and Federal employees review all electronic submissions.  </w:t>
      </w:r>
      <w:r>
        <w:t xml:space="preserve">Table 4 shows the TSA annual hour cost burden estimate for comment cards. </w:t>
      </w:r>
    </w:p>
    <w:p w:rsidR="00B878EC" w:rsidP="00B878EC" w:rsidRDefault="00B878EC">
      <w:pPr>
        <w:autoSpaceDE w:val="0"/>
        <w:autoSpaceDN w:val="0"/>
        <w:adjustRightInd w:val="0"/>
        <w:ind w:left="360"/>
      </w:pPr>
    </w:p>
    <w:tbl>
      <w:tblPr>
        <w:tblW w:w="9217" w:type="dxa"/>
        <w:tblLook w:val="04A0" w:firstRow="1" w:lastRow="0" w:firstColumn="1" w:lastColumn="0" w:noHBand="0" w:noVBand="1"/>
      </w:tblPr>
      <w:tblGrid>
        <w:gridCol w:w="1772"/>
        <w:gridCol w:w="1838"/>
        <w:gridCol w:w="1771"/>
        <w:gridCol w:w="1971"/>
        <w:gridCol w:w="1865"/>
      </w:tblGrid>
      <w:tr w:rsidR="00B878EC" w:rsidTr="00B878EC">
        <w:trPr>
          <w:trHeight w:val="320"/>
        </w:trPr>
        <w:tc>
          <w:tcPr>
            <w:tcW w:w="9217" w:type="dxa"/>
            <w:gridSpan w:val="5"/>
            <w:tcBorders>
              <w:top w:val="nil"/>
              <w:left w:val="nil"/>
              <w:bottom w:val="single" w:color="auto" w:sz="8" w:space="0"/>
              <w:right w:val="nil"/>
            </w:tcBorders>
            <w:noWrap/>
            <w:vAlign w:val="bottom"/>
            <w:hideMark/>
          </w:tcPr>
          <w:p w:rsidR="00B878EC" w:rsidRDefault="00B878EC">
            <w:pPr>
              <w:rPr>
                <w:rFonts w:cs="Times New Roman"/>
                <w:b/>
                <w:bCs/>
                <w:szCs w:val="24"/>
              </w:rPr>
            </w:pPr>
            <w:r>
              <w:rPr>
                <w:rFonts w:cs="Times New Roman"/>
                <w:b/>
                <w:bCs/>
                <w:szCs w:val="24"/>
              </w:rPr>
              <w:t>Table 4: TSA Hour Burden for Comment Cards</w:t>
            </w:r>
          </w:p>
        </w:tc>
      </w:tr>
      <w:tr w:rsidR="00B878EC" w:rsidTr="00B878EC">
        <w:trPr>
          <w:trHeight w:val="850"/>
        </w:trPr>
        <w:tc>
          <w:tcPr>
            <w:tcW w:w="1772" w:type="dxa"/>
            <w:vMerge w:val="restart"/>
            <w:tcBorders>
              <w:top w:val="nil"/>
              <w:left w:val="single" w:color="auto" w:sz="8" w:space="0"/>
              <w:bottom w:val="single" w:color="000000" w:sz="8" w:space="0"/>
              <w:right w:val="single" w:color="auto" w:sz="4" w:space="0"/>
            </w:tcBorders>
            <w:noWrap/>
            <w:vAlign w:val="center"/>
            <w:hideMark/>
          </w:tcPr>
          <w:p w:rsidR="00B878EC" w:rsidRDefault="00B878EC">
            <w:pPr>
              <w:jc w:val="center"/>
              <w:rPr>
                <w:rFonts w:cs="Times New Roman"/>
                <w:b/>
                <w:bCs/>
                <w:sz w:val="22"/>
                <w:szCs w:val="22"/>
              </w:rPr>
            </w:pPr>
            <w:r>
              <w:rPr>
                <w:rFonts w:cs="Times New Roman"/>
                <w:b/>
                <w:bCs/>
                <w:sz w:val="22"/>
                <w:szCs w:val="22"/>
              </w:rPr>
              <w:t> </w:t>
            </w:r>
          </w:p>
        </w:tc>
        <w:tc>
          <w:tcPr>
            <w:tcW w:w="1838" w:type="dxa"/>
            <w:tcBorders>
              <w:top w:val="nil"/>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Average Annual Responses</w:t>
            </w:r>
          </w:p>
        </w:tc>
        <w:tc>
          <w:tcPr>
            <w:tcW w:w="1771" w:type="dxa"/>
            <w:tcBorders>
              <w:top w:val="nil"/>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 xml:space="preserve">Hour Burden per Response </w:t>
            </w:r>
          </w:p>
        </w:tc>
        <w:tc>
          <w:tcPr>
            <w:tcW w:w="1971" w:type="dxa"/>
            <w:tcBorders>
              <w:top w:val="nil"/>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Annual Hour Burden (Federal Employees)</w:t>
            </w:r>
          </w:p>
        </w:tc>
        <w:tc>
          <w:tcPr>
            <w:tcW w:w="1865" w:type="dxa"/>
            <w:tcBorders>
              <w:top w:val="nil"/>
              <w:left w:val="nil"/>
              <w:bottom w:val="single" w:color="auto" w:sz="4" w:space="0"/>
              <w:right w:val="single" w:color="auto" w:sz="8" w:space="0"/>
            </w:tcBorders>
            <w:vAlign w:val="bottom"/>
            <w:hideMark/>
          </w:tcPr>
          <w:p w:rsidR="00B878EC" w:rsidRDefault="00B878EC">
            <w:pPr>
              <w:jc w:val="center"/>
              <w:rPr>
                <w:rFonts w:cs="Times New Roman"/>
                <w:b/>
                <w:bCs/>
                <w:szCs w:val="24"/>
              </w:rPr>
            </w:pPr>
            <w:r>
              <w:rPr>
                <w:rFonts w:cs="Times New Roman"/>
                <w:b/>
                <w:bCs/>
                <w:szCs w:val="24"/>
              </w:rPr>
              <w:t>Annual Hour Burden Cost</w:t>
            </w:r>
          </w:p>
        </w:tc>
      </w:tr>
      <w:tr w:rsidR="00B878EC" w:rsidTr="00B878EC">
        <w:trPr>
          <w:trHeight w:val="320"/>
        </w:trPr>
        <w:tc>
          <w:tcPr>
            <w:tcW w:w="0" w:type="auto"/>
            <w:vMerge/>
            <w:tcBorders>
              <w:top w:val="nil"/>
              <w:left w:val="single" w:color="auto" w:sz="8" w:space="0"/>
              <w:bottom w:val="single" w:color="000000" w:sz="8" w:space="0"/>
              <w:right w:val="single" w:color="auto" w:sz="4" w:space="0"/>
            </w:tcBorders>
            <w:vAlign w:val="center"/>
            <w:hideMark/>
          </w:tcPr>
          <w:p w:rsidR="00B878EC" w:rsidRDefault="00B878EC">
            <w:pPr>
              <w:rPr>
                <w:rFonts w:cs="Times New Roman"/>
                <w:b/>
                <w:bCs/>
                <w:sz w:val="22"/>
                <w:szCs w:val="22"/>
              </w:rPr>
            </w:pPr>
          </w:p>
        </w:tc>
        <w:tc>
          <w:tcPr>
            <w:tcW w:w="1838" w:type="dxa"/>
            <w:tcBorders>
              <w:top w:val="nil"/>
              <w:left w:val="nil"/>
              <w:bottom w:val="single" w:color="auto" w:sz="8" w:space="0"/>
              <w:right w:val="single" w:color="auto" w:sz="4" w:space="0"/>
            </w:tcBorders>
            <w:noWrap/>
            <w:vAlign w:val="bottom"/>
            <w:hideMark/>
          </w:tcPr>
          <w:p w:rsidR="00B878EC" w:rsidRDefault="00B878EC">
            <w:pPr>
              <w:jc w:val="center"/>
              <w:rPr>
                <w:rFonts w:cs="Times New Roman"/>
                <w:sz w:val="22"/>
                <w:szCs w:val="22"/>
              </w:rPr>
            </w:pPr>
            <w:r>
              <w:rPr>
                <w:rFonts w:cs="Times New Roman"/>
                <w:sz w:val="22"/>
                <w:szCs w:val="22"/>
              </w:rPr>
              <w:t>A</w:t>
            </w:r>
          </w:p>
        </w:tc>
        <w:tc>
          <w:tcPr>
            <w:tcW w:w="1771" w:type="dxa"/>
            <w:tcBorders>
              <w:top w:val="nil"/>
              <w:left w:val="nil"/>
              <w:bottom w:val="single" w:color="auto" w:sz="8" w:space="0"/>
              <w:right w:val="single" w:color="auto" w:sz="4" w:space="0"/>
            </w:tcBorders>
            <w:noWrap/>
            <w:vAlign w:val="bottom"/>
            <w:hideMark/>
          </w:tcPr>
          <w:p w:rsidR="00B878EC" w:rsidRDefault="00B878EC">
            <w:pPr>
              <w:jc w:val="center"/>
              <w:rPr>
                <w:rFonts w:cs="Times New Roman"/>
                <w:sz w:val="22"/>
                <w:szCs w:val="22"/>
              </w:rPr>
            </w:pPr>
            <w:r>
              <w:rPr>
                <w:rFonts w:cs="Times New Roman"/>
                <w:sz w:val="22"/>
                <w:szCs w:val="22"/>
              </w:rPr>
              <w:t>B</w:t>
            </w:r>
          </w:p>
        </w:tc>
        <w:tc>
          <w:tcPr>
            <w:tcW w:w="1971" w:type="dxa"/>
            <w:tcBorders>
              <w:top w:val="nil"/>
              <w:left w:val="nil"/>
              <w:bottom w:val="single" w:color="auto" w:sz="8" w:space="0"/>
              <w:right w:val="single" w:color="auto" w:sz="4" w:space="0"/>
            </w:tcBorders>
            <w:noWrap/>
            <w:vAlign w:val="bottom"/>
            <w:hideMark/>
          </w:tcPr>
          <w:p w:rsidR="00B878EC" w:rsidRDefault="00B878EC">
            <w:pPr>
              <w:jc w:val="center"/>
              <w:rPr>
                <w:rFonts w:cs="Times New Roman"/>
                <w:sz w:val="22"/>
                <w:szCs w:val="22"/>
              </w:rPr>
            </w:pPr>
            <w:r>
              <w:rPr>
                <w:rFonts w:cs="Times New Roman"/>
                <w:sz w:val="22"/>
                <w:szCs w:val="22"/>
              </w:rPr>
              <w:t>C = A × B</w:t>
            </w:r>
          </w:p>
        </w:tc>
        <w:tc>
          <w:tcPr>
            <w:tcW w:w="1865" w:type="dxa"/>
            <w:tcBorders>
              <w:top w:val="nil"/>
              <w:left w:val="nil"/>
              <w:bottom w:val="single" w:color="auto" w:sz="8" w:space="0"/>
              <w:right w:val="single" w:color="auto" w:sz="8" w:space="0"/>
            </w:tcBorders>
            <w:noWrap/>
            <w:vAlign w:val="bottom"/>
            <w:hideMark/>
          </w:tcPr>
          <w:p w:rsidR="00B878EC" w:rsidRDefault="00B878EC">
            <w:pPr>
              <w:jc w:val="center"/>
              <w:rPr>
                <w:rFonts w:cs="Times New Roman"/>
                <w:szCs w:val="24"/>
              </w:rPr>
            </w:pPr>
            <w:r>
              <w:rPr>
                <w:rFonts w:cs="Times New Roman"/>
                <w:szCs w:val="24"/>
              </w:rPr>
              <w:t>D = C × $48.24</w:t>
            </w:r>
          </w:p>
        </w:tc>
      </w:tr>
      <w:tr w:rsidR="00B878EC" w:rsidTr="00B878EC">
        <w:trPr>
          <w:trHeight w:val="300"/>
        </w:trPr>
        <w:tc>
          <w:tcPr>
            <w:tcW w:w="1772" w:type="dxa"/>
            <w:tcBorders>
              <w:top w:val="nil"/>
              <w:left w:val="single" w:color="auto" w:sz="8" w:space="0"/>
              <w:bottom w:val="single" w:color="auto" w:sz="8" w:space="0"/>
              <w:right w:val="single" w:color="auto" w:sz="4" w:space="0"/>
            </w:tcBorders>
            <w:noWrap/>
            <w:vAlign w:val="bottom"/>
            <w:hideMark/>
          </w:tcPr>
          <w:p w:rsidR="00B878EC" w:rsidRDefault="00B878EC">
            <w:pPr>
              <w:rPr>
                <w:rFonts w:cs="Times New Roman"/>
                <w:sz w:val="22"/>
                <w:szCs w:val="22"/>
              </w:rPr>
            </w:pPr>
            <w:r>
              <w:rPr>
                <w:rFonts w:cs="Times New Roman"/>
                <w:sz w:val="22"/>
                <w:szCs w:val="22"/>
              </w:rPr>
              <w:t>Annual Average</w:t>
            </w:r>
          </w:p>
        </w:tc>
        <w:tc>
          <w:tcPr>
            <w:tcW w:w="1838" w:type="dxa"/>
            <w:tcBorders>
              <w:top w:val="nil"/>
              <w:left w:val="nil"/>
              <w:bottom w:val="single" w:color="auto" w:sz="8" w:space="0"/>
              <w:right w:val="single" w:color="auto" w:sz="4" w:space="0"/>
            </w:tcBorders>
            <w:noWrap/>
            <w:vAlign w:val="bottom"/>
            <w:hideMark/>
          </w:tcPr>
          <w:p w:rsidR="00B878EC" w:rsidRDefault="00B878EC">
            <w:pPr>
              <w:jc w:val="center"/>
              <w:rPr>
                <w:rFonts w:cs="Times New Roman"/>
                <w:sz w:val="22"/>
                <w:szCs w:val="22"/>
              </w:rPr>
            </w:pPr>
            <w:r>
              <w:rPr>
                <w:rFonts w:cs="Times New Roman"/>
                <w:sz w:val="22"/>
                <w:szCs w:val="22"/>
              </w:rPr>
              <w:t>6,950</w:t>
            </w:r>
          </w:p>
        </w:tc>
        <w:tc>
          <w:tcPr>
            <w:tcW w:w="1771" w:type="dxa"/>
            <w:tcBorders>
              <w:top w:val="nil"/>
              <w:left w:val="nil"/>
              <w:bottom w:val="single" w:color="auto" w:sz="8" w:space="0"/>
              <w:right w:val="single" w:color="auto" w:sz="4" w:space="0"/>
            </w:tcBorders>
            <w:noWrap/>
            <w:vAlign w:val="center"/>
            <w:hideMark/>
          </w:tcPr>
          <w:p w:rsidR="00B878EC" w:rsidRDefault="00B878EC">
            <w:pPr>
              <w:jc w:val="center"/>
              <w:rPr>
                <w:rFonts w:cs="Times New Roman"/>
                <w:sz w:val="22"/>
                <w:szCs w:val="22"/>
              </w:rPr>
            </w:pPr>
            <w:r>
              <w:rPr>
                <w:rFonts w:cs="Times New Roman"/>
                <w:sz w:val="22"/>
                <w:szCs w:val="22"/>
              </w:rPr>
              <w:t>0.083333</w:t>
            </w:r>
          </w:p>
        </w:tc>
        <w:tc>
          <w:tcPr>
            <w:tcW w:w="1971" w:type="dxa"/>
            <w:tcBorders>
              <w:top w:val="nil"/>
              <w:left w:val="nil"/>
              <w:bottom w:val="single" w:color="auto" w:sz="8" w:space="0"/>
              <w:right w:val="single" w:color="auto" w:sz="4" w:space="0"/>
            </w:tcBorders>
            <w:noWrap/>
            <w:vAlign w:val="bottom"/>
            <w:hideMark/>
          </w:tcPr>
          <w:p w:rsidR="00B878EC" w:rsidRDefault="00B878EC">
            <w:pPr>
              <w:rPr>
                <w:rFonts w:cs="Times New Roman"/>
                <w:sz w:val="22"/>
                <w:szCs w:val="22"/>
              </w:rPr>
            </w:pPr>
            <w:r>
              <w:rPr>
                <w:rFonts w:cs="Times New Roman"/>
                <w:sz w:val="22"/>
                <w:szCs w:val="22"/>
              </w:rPr>
              <w:t xml:space="preserve">                  579.17 </w:t>
            </w:r>
          </w:p>
        </w:tc>
        <w:tc>
          <w:tcPr>
            <w:tcW w:w="1865" w:type="dxa"/>
            <w:tcBorders>
              <w:top w:val="nil"/>
              <w:left w:val="nil"/>
              <w:bottom w:val="single" w:color="auto" w:sz="8" w:space="0"/>
              <w:right w:val="single" w:color="auto" w:sz="8" w:space="0"/>
            </w:tcBorders>
            <w:noWrap/>
            <w:vAlign w:val="bottom"/>
            <w:hideMark/>
          </w:tcPr>
          <w:p w:rsidR="00B878EC" w:rsidRDefault="00B878EC">
            <w:pPr>
              <w:jc w:val="right"/>
              <w:rPr>
                <w:rFonts w:cs="Times New Roman"/>
                <w:sz w:val="22"/>
                <w:szCs w:val="22"/>
              </w:rPr>
            </w:pPr>
            <w:r>
              <w:rPr>
                <w:rFonts w:cs="Times New Roman"/>
                <w:sz w:val="22"/>
                <w:szCs w:val="22"/>
              </w:rPr>
              <w:t>$27,939.50</w:t>
            </w:r>
          </w:p>
        </w:tc>
      </w:tr>
    </w:tbl>
    <w:p w:rsidR="00B878EC" w:rsidP="00B878EC" w:rsidRDefault="00B878EC">
      <w:pPr>
        <w:autoSpaceDE w:val="0"/>
        <w:autoSpaceDN w:val="0"/>
        <w:adjustRightInd w:val="0"/>
        <w:ind w:left="180"/>
        <w:rPr>
          <w:rFonts w:cs="Times New Roman"/>
          <w:bCs/>
          <w:iCs/>
          <w:sz w:val="22"/>
          <w:szCs w:val="22"/>
        </w:rPr>
      </w:pPr>
      <w:r>
        <w:rPr>
          <w:rFonts w:cs="Times New Roman"/>
          <w:bCs/>
          <w:iCs/>
          <w:sz w:val="22"/>
          <w:szCs w:val="22"/>
        </w:rPr>
        <w:t>Note: Calculations may not be exact due to rounding in the table.</w:t>
      </w:r>
    </w:p>
    <w:p w:rsidR="00B878EC" w:rsidP="00B878EC" w:rsidRDefault="00B878EC">
      <w:pPr>
        <w:autoSpaceDE w:val="0"/>
        <w:autoSpaceDN w:val="0"/>
        <w:adjustRightInd w:val="0"/>
        <w:ind w:left="360"/>
        <w:rPr>
          <w:rFonts w:cs="Times New Roman"/>
          <w:bCs/>
          <w:iCs/>
          <w:szCs w:val="24"/>
        </w:rPr>
      </w:pPr>
    </w:p>
    <w:p w:rsidR="00B878EC" w:rsidP="00B878EC" w:rsidRDefault="00B878EC">
      <w:pPr>
        <w:keepNext/>
        <w:autoSpaceDE w:val="0"/>
        <w:autoSpaceDN w:val="0"/>
        <w:adjustRightInd w:val="0"/>
        <w:ind w:left="360"/>
        <w:rPr>
          <w:rFonts w:cs="Times New Roman"/>
          <w:bCs/>
          <w:i/>
          <w:iCs/>
          <w:szCs w:val="24"/>
          <w:u w:val="single"/>
        </w:rPr>
      </w:pPr>
      <w:r>
        <w:rPr>
          <w:rFonts w:cs="Times New Roman"/>
          <w:bCs/>
          <w:i/>
          <w:iCs/>
          <w:szCs w:val="24"/>
          <w:u w:val="single"/>
        </w:rPr>
        <w:t>Electronic Submissions</w:t>
      </w:r>
    </w:p>
    <w:p w:rsidR="00B878EC" w:rsidP="00B878EC" w:rsidRDefault="00B878EC">
      <w:pPr>
        <w:keepNext/>
        <w:autoSpaceDE w:val="0"/>
        <w:autoSpaceDN w:val="0"/>
        <w:adjustRightInd w:val="0"/>
        <w:ind w:left="360"/>
        <w:rPr>
          <w:rFonts w:cs="Times New Roman"/>
          <w:bCs/>
          <w:iCs/>
          <w:szCs w:val="24"/>
        </w:rPr>
      </w:pPr>
    </w:p>
    <w:p w:rsidR="00B878EC" w:rsidP="00B878EC" w:rsidRDefault="00B878EC">
      <w:pPr>
        <w:autoSpaceDE w:val="0"/>
        <w:autoSpaceDN w:val="0"/>
        <w:adjustRightInd w:val="0"/>
        <w:ind w:left="360"/>
        <w:rPr>
          <w:rFonts w:cs="Times New Roman"/>
          <w:bCs/>
          <w:iCs/>
          <w:szCs w:val="24"/>
        </w:rPr>
      </w:pPr>
      <w:r>
        <w:rPr>
          <w:rFonts w:cs="Times New Roman"/>
          <w:bCs/>
          <w:iCs/>
          <w:szCs w:val="24"/>
        </w:rPr>
        <w:t xml:space="preserve">TSA estimates that each electronic submission (via emails and online tool) takes 5 minutes (0.08333 hours) for a contractor and 30 seconds (0.00833 hours) for a Federal employee to review.  The Federal employee takes less time because he or she is only looking at the TSA Comment Card to determine if it contains a security threat.  The contractor (TCC agent) takes more time because the review process involves reading the electronic submission, selecting the appropriate template response, and sending it back to the passenger.  TSA multiplies </w:t>
      </w:r>
      <w:r>
        <w:rPr>
          <w:szCs w:val="24"/>
        </w:rPr>
        <w:t>76,739</w:t>
      </w:r>
      <w:r>
        <w:rPr>
          <w:sz w:val="22"/>
          <w:szCs w:val="22"/>
        </w:rPr>
        <w:t xml:space="preserve"> </w:t>
      </w:r>
      <w:r>
        <w:rPr>
          <w:rFonts w:cs="Times New Roman"/>
          <w:bCs/>
          <w:iCs/>
          <w:szCs w:val="24"/>
        </w:rPr>
        <w:t>average annual responses by 0.08333 hours to obtain an estimated annual burden of 6,395 hours, then multiplies that amount by a wage rate of $25.81</w:t>
      </w:r>
      <w:r>
        <w:rPr>
          <w:rStyle w:val="FootnoteReference"/>
          <w:rFonts w:cs="Times New Roman"/>
          <w:bCs/>
          <w:iCs/>
          <w:szCs w:val="24"/>
        </w:rPr>
        <w:footnoteReference w:id="5"/>
      </w:r>
      <w:r>
        <w:rPr>
          <w:rFonts w:cs="Times New Roman"/>
          <w:bCs/>
          <w:iCs/>
          <w:szCs w:val="24"/>
        </w:rPr>
        <w:t xml:space="preserve"> to get the annual contractor cost for electronic submissions. TSA multiplies </w:t>
      </w:r>
      <w:r>
        <w:rPr>
          <w:szCs w:val="24"/>
        </w:rPr>
        <w:t>76,739</w:t>
      </w:r>
      <w:r>
        <w:rPr>
          <w:sz w:val="22"/>
          <w:szCs w:val="22"/>
        </w:rPr>
        <w:t xml:space="preserve"> </w:t>
      </w:r>
      <w:r>
        <w:rPr>
          <w:rFonts w:cs="Times New Roman"/>
          <w:bCs/>
          <w:iCs/>
          <w:szCs w:val="24"/>
        </w:rPr>
        <w:t>average annual responses by 0.00833 hours to obtain an annual burden estimate of 639.5 hours, then multiplies that amount by a wage rate of $48.24</w:t>
      </w:r>
      <w:r>
        <w:rPr>
          <w:rStyle w:val="FootnoteReference"/>
          <w:rFonts w:cs="Times New Roman"/>
          <w:bCs/>
          <w:iCs/>
          <w:szCs w:val="24"/>
        </w:rPr>
        <w:footnoteReference w:id="6"/>
      </w:r>
      <w:r>
        <w:rPr>
          <w:rFonts w:cs="Times New Roman"/>
          <w:bCs/>
          <w:iCs/>
          <w:szCs w:val="24"/>
        </w:rPr>
        <w:t xml:space="preserve"> to get the annual cost for federal government employees. </w:t>
      </w:r>
      <w:r>
        <w:t>Table 5 shows the TSA hour burden costs for electronic submissions.</w:t>
      </w:r>
    </w:p>
    <w:p w:rsidR="00B878EC" w:rsidP="00B878EC" w:rsidRDefault="00B878EC">
      <w:pPr>
        <w:rPr>
          <w:rFonts w:cs="Times New Roman"/>
          <w:b/>
          <w:bCs/>
          <w:szCs w:val="24"/>
        </w:rPr>
        <w:sectPr w:rsidR="00B878EC">
          <w:headerReference w:type="default" r:id="rId14"/>
          <w:pgSz w:w="12240" w:h="15840"/>
          <w:pgMar w:top="1440" w:right="1440" w:bottom="1440" w:left="1440" w:header="720" w:footer="720" w:gutter="0"/>
          <w:pgNumType w:start="1"/>
          <w:cols w:space="720"/>
        </w:sectPr>
      </w:pPr>
    </w:p>
    <w:tbl>
      <w:tblPr>
        <w:tblW w:w="12971" w:type="dxa"/>
        <w:jc w:val="center"/>
        <w:tblLook w:val="04A0" w:firstRow="1" w:lastRow="0" w:firstColumn="1" w:lastColumn="0" w:noHBand="0" w:noVBand="1"/>
      </w:tblPr>
      <w:tblGrid>
        <w:gridCol w:w="1103"/>
        <w:gridCol w:w="1280"/>
        <w:gridCol w:w="1532"/>
        <w:gridCol w:w="1642"/>
        <w:gridCol w:w="1426"/>
        <w:gridCol w:w="1320"/>
        <w:gridCol w:w="1354"/>
        <w:gridCol w:w="1462"/>
        <w:gridCol w:w="1852"/>
      </w:tblGrid>
      <w:tr w:rsidR="00B878EC" w:rsidTr="00B878EC">
        <w:trPr>
          <w:trHeight w:val="294"/>
          <w:jc w:val="center"/>
        </w:trPr>
        <w:tc>
          <w:tcPr>
            <w:tcW w:w="9657" w:type="dxa"/>
            <w:gridSpan w:val="7"/>
            <w:noWrap/>
            <w:vAlign w:val="bottom"/>
            <w:hideMark/>
          </w:tcPr>
          <w:p w:rsidR="00B878EC" w:rsidRDefault="00B878EC">
            <w:pPr>
              <w:rPr>
                <w:rFonts w:cs="Times New Roman"/>
                <w:color w:val="auto"/>
                <w:sz w:val="20"/>
              </w:rPr>
            </w:pPr>
            <w:r>
              <w:rPr>
                <w:rFonts w:cs="Times New Roman"/>
                <w:b/>
                <w:bCs/>
                <w:szCs w:val="24"/>
              </w:rPr>
              <w:t xml:space="preserve">Table 5: TSA Hour Burden for Electronic Comment Submissions </w:t>
            </w:r>
          </w:p>
        </w:tc>
        <w:tc>
          <w:tcPr>
            <w:tcW w:w="1462" w:type="dxa"/>
            <w:noWrap/>
            <w:vAlign w:val="bottom"/>
            <w:hideMark/>
          </w:tcPr>
          <w:p w:rsidR="00B878EC" w:rsidRDefault="00B878EC">
            <w:pPr>
              <w:rPr>
                <w:rFonts w:cs="Times New Roman"/>
                <w:color w:val="auto"/>
                <w:sz w:val="20"/>
              </w:rPr>
            </w:pPr>
          </w:p>
        </w:tc>
        <w:tc>
          <w:tcPr>
            <w:tcW w:w="1852" w:type="dxa"/>
            <w:noWrap/>
            <w:vAlign w:val="bottom"/>
            <w:hideMark/>
          </w:tcPr>
          <w:p w:rsidR="00B878EC" w:rsidRDefault="00B878EC">
            <w:pPr>
              <w:rPr>
                <w:rFonts w:cs="Times New Roman"/>
                <w:color w:val="auto"/>
                <w:sz w:val="20"/>
              </w:rPr>
            </w:pPr>
          </w:p>
        </w:tc>
      </w:tr>
      <w:tr w:rsidR="00B878EC" w:rsidTr="00B878EC">
        <w:trPr>
          <w:trHeight w:val="491"/>
          <w:jc w:val="center"/>
        </w:trPr>
        <w:tc>
          <w:tcPr>
            <w:tcW w:w="1103" w:type="dxa"/>
            <w:vMerge w:val="restart"/>
            <w:tcBorders>
              <w:top w:val="single" w:color="auto" w:sz="8" w:space="0"/>
              <w:left w:val="single" w:color="auto" w:sz="8" w:space="0"/>
              <w:bottom w:val="single" w:color="000000" w:sz="8" w:space="0"/>
              <w:right w:val="single" w:color="auto" w:sz="4" w:space="0"/>
            </w:tcBorders>
            <w:vAlign w:val="center"/>
            <w:hideMark/>
          </w:tcPr>
          <w:p w:rsidR="00B878EC" w:rsidRDefault="00B878EC">
            <w:pPr>
              <w:jc w:val="center"/>
              <w:rPr>
                <w:rFonts w:cs="Times New Roman"/>
                <w:b/>
                <w:bCs/>
                <w:sz w:val="22"/>
                <w:szCs w:val="22"/>
              </w:rPr>
            </w:pPr>
            <w:r>
              <w:rPr>
                <w:rFonts w:cs="Times New Roman"/>
                <w:b/>
                <w:bCs/>
                <w:sz w:val="22"/>
                <w:szCs w:val="22"/>
              </w:rPr>
              <w:t> </w:t>
            </w:r>
          </w:p>
        </w:tc>
        <w:tc>
          <w:tcPr>
            <w:tcW w:w="1280" w:type="dxa"/>
            <w:tcBorders>
              <w:top w:val="single" w:color="auto" w:sz="8" w:space="0"/>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Annual Responses</w:t>
            </w:r>
          </w:p>
        </w:tc>
        <w:tc>
          <w:tcPr>
            <w:tcW w:w="1532" w:type="dxa"/>
            <w:tcBorders>
              <w:top w:val="single" w:color="auto" w:sz="8" w:space="0"/>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Hour Burden per Response (Contractor)</w:t>
            </w:r>
          </w:p>
        </w:tc>
        <w:tc>
          <w:tcPr>
            <w:tcW w:w="1642" w:type="dxa"/>
            <w:tcBorders>
              <w:top w:val="single" w:color="auto" w:sz="8" w:space="0"/>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Total Annual Hour Burden (Contractor)</w:t>
            </w:r>
          </w:p>
        </w:tc>
        <w:tc>
          <w:tcPr>
            <w:tcW w:w="1426" w:type="dxa"/>
            <w:tcBorders>
              <w:top w:val="single" w:color="auto" w:sz="8" w:space="0"/>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Annual Hour Burden Cost for Contractor</w:t>
            </w:r>
          </w:p>
        </w:tc>
        <w:tc>
          <w:tcPr>
            <w:tcW w:w="1320" w:type="dxa"/>
            <w:tcBorders>
              <w:top w:val="single" w:color="auto" w:sz="8" w:space="0"/>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Hour Burden per Response (Federal Employee)</w:t>
            </w:r>
          </w:p>
        </w:tc>
        <w:tc>
          <w:tcPr>
            <w:tcW w:w="1352" w:type="dxa"/>
            <w:tcBorders>
              <w:top w:val="single" w:color="auto" w:sz="8" w:space="0"/>
              <w:left w:val="nil"/>
              <w:bottom w:val="single" w:color="auto" w:sz="4" w:space="0"/>
              <w:right w:val="single" w:color="auto" w:sz="4" w:space="0"/>
            </w:tcBorders>
            <w:vAlign w:val="bottom"/>
            <w:hideMark/>
          </w:tcPr>
          <w:p w:rsidR="00B878EC" w:rsidRDefault="00B878EC">
            <w:pPr>
              <w:jc w:val="center"/>
              <w:rPr>
                <w:rFonts w:cs="Times New Roman"/>
                <w:b/>
                <w:bCs/>
                <w:sz w:val="22"/>
                <w:szCs w:val="22"/>
              </w:rPr>
            </w:pPr>
            <w:r>
              <w:rPr>
                <w:rFonts w:cs="Times New Roman"/>
                <w:b/>
                <w:bCs/>
                <w:sz w:val="22"/>
                <w:szCs w:val="22"/>
              </w:rPr>
              <w:t>Total Annual Hour Burden (Federal Employee)</w:t>
            </w:r>
          </w:p>
        </w:tc>
        <w:tc>
          <w:tcPr>
            <w:tcW w:w="1462" w:type="dxa"/>
            <w:tcBorders>
              <w:top w:val="single" w:color="auto" w:sz="8" w:space="0"/>
              <w:left w:val="nil"/>
              <w:bottom w:val="single" w:color="auto" w:sz="4" w:space="0"/>
              <w:right w:val="nil"/>
            </w:tcBorders>
            <w:vAlign w:val="bottom"/>
            <w:hideMark/>
          </w:tcPr>
          <w:p w:rsidR="00B878EC" w:rsidRDefault="00B878EC">
            <w:pPr>
              <w:jc w:val="center"/>
              <w:rPr>
                <w:rFonts w:cs="Times New Roman"/>
                <w:b/>
                <w:sz w:val="22"/>
                <w:szCs w:val="22"/>
              </w:rPr>
            </w:pPr>
            <w:r>
              <w:rPr>
                <w:rFonts w:cs="Times New Roman"/>
                <w:b/>
                <w:sz w:val="22"/>
                <w:szCs w:val="22"/>
              </w:rPr>
              <w:t>Total Annual Hour Burden Cost (Federal Employee)</w:t>
            </w:r>
          </w:p>
        </w:tc>
        <w:tc>
          <w:tcPr>
            <w:tcW w:w="1852" w:type="dxa"/>
            <w:tcBorders>
              <w:top w:val="single" w:color="auto" w:sz="8" w:space="0"/>
              <w:left w:val="single" w:color="auto" w:sz="4" w:space="0"/>
              <w:bottom w:val="single" w:color="auto" w:sz="4" w:space="0"/>
              <w:right w:val="single" w:color="auto" w:sz="8" w:space="0"/>
            </w:tcBorders>
            <w:vAlign w:val="bottom"/>
            <w:hideMark/>
          </w:tcPr>
          <w:p w:rsidR="00B878EC" w:rsidRDefault="00B878EC">
            <w:pPr>
              <w:jc w:val="center"/>
              <w:rPr>
                <w:rFonts w:cs="Times New Roman"/>
                <w:b/>
                <w:sz w:val="22"/>
                <w:szCs w:val="22"/>
              </w:rPr>
            </w:pPr>
            <w:r>
              <w:rPr>
                <w:rFonts w:cs="Times New Roman"/>
                <w:b/>
                <w:sz w:val="22"/>
                <w:szCs w:val="22"/>
              </w:rPr>
              <w:t>Total Annual Hour Burden Cost (Contractor plus Federal Employee)</w:t>
            </w:r>
          </w:p>
        </w:tc>
      </w:tr>
      <w:tr w:rsidR="00B878EC" w:rsidTr="00B878EC">
        <w:trPr>
          <w:trHeight w:val="173"/>
          <w:jc w:val="center"/>
        </w:trPr>
        <w:tc>
          <w:tcPr>
            <w:tcW w:w="0" w:type="auto"/>
            <w:vMerge/>
            <w:tcBorders>
              <w:top w:val="single" w:color="auto" w:sz="8" w:space="0"/>
              <w:left w:val="single" w:color="auto" w:sz="8" w:space="0"/>
              <w:bottom w:val="single" w:color="000000" w:sz="8" w:space="0"/>
              <w:right w:val="single" w:color="auto" w:sz="4" w:space="0"/>
            </w:tcBorders>
            <w:vAlign w:val="center"/>
            <w:hideMark/>
          </w:tcPr>
          <w:p w:rsidR="00B878EC" w:rsidRDefault="00B878EC">
            <w:pPr>
              <w:rPr>
                <w:rFonts w:cs="Times New Roman"/>
                <w:b/>
                <w:bCs/>
                <w:sz w:val="22"/>
                <w:szCs w:val="22"/>
              </w:rPr>
            </w:pPr>
          </w:p>
        </w:tc>
        <w:tc>
          <w:tcPr>
            <w:tcW w:w="1280" w:type="dxa"/>
            <w:tcBorders>
              <w:top w:val="nil"/>
              <w:left w:val="nil"/>
              <w:bottom w:val="single" w:color="auto" w:sz="8" w:space="0"/>
              <w:right w:val="single" w:color="auto" w:sz="4" w:space="0"/>
            </w:tcBorders>
            <w:vAlign w:val="bottom"/>
            <w:hideMark/>
          </w:tcPr>
          <w:p w:rsidR="00B878EC" w:rsidRDefault="00B878EC">
            <w:pPr>
              <w:jc w:val="center"/>
              <w:rPr>
                <w:rFonts w:cs="Times New Roman"/>
                <w:b/>
                <w:sz w:val="22"/>
                <w:szCs w:val="22"/>
              </w:rPr>
            </w:pPr>
            <w:r>
              <w:rPr>
                <w:rFonts w:cs="Times New Roman"/>
                <w:b/>
                <w:sz w:val="22"/>
                <w:szCs w:val="22"/>
              </w:rPr>
              <w:t>A</w:t>
            </w:r>
          </w:p>
        </w:tc>
        <w:tc>
          <w:tcPr>
            <w:tcW w:w="1532" w:type="dxa"/>
            <w:tcBorders>
              <w:top w:val="nil"/>
              <w:left w:val="nil"/>
              <w:bottom w:val="single" w:color="auto" w:sz="8" w:space="0"/>
              <w:right w:val="single" w:color="auto" w:sz="4" w:space="0"/>
            </w:tcBorders>
            <w:vAlign w:val="bottom"/>
            <w:hideMark/>
          </w:tcPr>
          <w:p w:rsidR="00B878EC" w:rsidRDefault="00B878EC">
            <w:pPr>
              <w:jc w:val="center"/>
              <w:rPr>
                <w:rFonts w:cs="Times New Roman"/>
                <w:b/>
                <w:sz w:val="22"/>
                <w:szCs w:val="22"/>
              </w:rPr>
            </w:pPr>
            <w:r>
              <w:rPr>
                <w:rFonts w:cs="Times New Roman"/>
                <w:b/>
                <w:sz w:val="22"/>
                <w:szCs w:val="22"/>
              </w:rPr>
              <w:t>B</w:t>
            </w:r>
          </w:p>
        </w:tc>
        <w:tc>
          <w:tcPr>
            <w:tcW w:w="1642" w:type="dxa"/>
            <w:tcBorders>
              <w:top w:val="nil"/>
              <w:left w:val="nil"/>
              <w:bottom w:val="single" w:color="auto" w:sz="8" w:space="0"/>
              <w:right w:val="single" w:color="auto" w:sz="4" w:space="0"/>
            </w:tcBorders>
            <w:vAlign w:val="bottom"/>
            <w:hideMark/>
          </w:tcPr>
          <w:p w:rsidR="00B878EC" w:rsidRDefault="00B878EC">
            <w:pPr>
              <w:jc w:val="center"/>
              <w:rPr>
                <w:rFonts w:cs="Times New Roman"/>
                <w:b/>
                <w:sz w:val="22"/>
                <w:szCs w:val="22"/>
              </w:rPr>
            </w:pPr>
            <w:r>
              <w:rPr>
                <w:rFonts w:cs="Times New Roman"/>
                <w:b/>
                <w:sz w:val="22"/>
                <w:szCs w:val="22"/>
              </w:rPr>
              <w:t>C = A × B</w:t>
            </w:r>
          </w:p>
        </w:tc>
        <w:tc>
          <w:tcPr>
            <w:tcW w:w="1426" w:type="dxa"/>
            <w:tcBorders>
              <w:top w:val="nil"/>
              <w:left w:val="nil"/>
              <w:bottom w:val="single" w:color="auto" w:sz="8" w:space="0"/>
              <w:right w:val="single" w:color="auto" w:sz="4" w:space="0"/>
            </w:tcBorders>
            <w:vAlign w:val="bottom"/>
            <w:hideMark/>
          </w:tcPr>
          <w:p w:rsidR="00B878EC" w:rsidRDefault="00B878EC">
            <w:pPr>
              <w:jc w:val="center"/>
              <w:rPr>
                <w:rFonts w:cs="Times New Roman"/>
                <w:b/>
                <w:sz w:val="22"/>
                <w:szCs w:val="22"/>
              </w:rPr>
            </w:pPr>
            <w:r>
              <w:rPr>
                <w:rFonts w:cs="Times New Roman"/>
                <w:b/>
                <w:sz w:val="22"/>
                <w:szCs w:val="22"/>
              </w:rPr>
              <w:t xml:space="preserve">D = C </w:t>
            </w:r>
            <w:r>
              <w:rPr>
                <w:rFonts w:ascii="Calibri" w:hAnsi="Calibri" w:cs="Times New Roman"/>
                <w:b/>
                <w:sz w:val="22"/>
                <w:szCs w:val="22"/>
              </w:rPr>
              <w:t>×</w:t>
            </w:r>
            <w:r>
              <w:rPr>
                <w:rFonts w:cs="Times New Roman"/>
                <w:b/>
                <w:sz w:val="22"/>
                <w:szCs w:val="22"/>
              </w:rPr>
              <w:t xml:space="preserve"> $25.81</w:t>
            </w:r>
          </w:p>
        </w:tc>
        <w:tc>
          <w:tcPr>
            <w:tcW w:w="1320" w:type="dxa"/>
            <w:tcBorders>
              <w:top w:val="nil"/>
              <w:left w:val="nil"/>
              <w:bottom w:val="single" w:color="auto" w:sz="8" w:space="0"/>
              <w:right w:val="single" w:color="auto" w:sz="4" w:space="0"/>
            </w:tcBorders>
            <w:vAlign w:val="bottom"/>
            <w:hideMark/>
          </w:tcPr>
          <w:p w:rsidR="00B878EC" w:rsidRDefault="00B878EC">
            <w:pPr>
              <w:jc w:val="center"/>
              <w:rPr>
                <w:rFonts w:cs="Times New Roman"/>
                <w:b/>
                <w:sz w:val="22"/>
                <w:szCs w:val="22"/>
              </w:rPr>
            </w:pPr>
            <w:r>
              <w:rPr>
                <w:rFonts w:cs="Times New Roman"/>
                <w:b/>
                <w:sz w:val="22"/>
                <w:szCs w:val="22"/>
              </w:rPr>
              <w:t>E</w:t>
            </w:r>
          </w:p>
        </w:tc>
        <w:tc>
          <w:tcPr>
            <w:tcW w:w="1352" w:type="dxa"/>
            <w:tcBorders>
              <w:top w:val="nil"/>
              <w:left w:val="nil"/>
              <w:bottom w:val="single" w:color="auto" w:sz="8" w:space="0"/>
              <w:right w:val="single" w:color="auto" w:sz="4" w:space="0"/>
            </w:tcBorders>
            <w:vAlign w:val="bottom"/>
            <w:hideMark/>
          </w:tcPr>
          <w:p w:rsidR="00B878EC" w:rsidRDefault="00B878EC">
            <w:pPr>
              <w:jc w:val="center"/>
              <w:rPr>
                <w:rFonts w:cs="Times New Roman"/>
                <w:b/>
                <w:sz w:val="22"/>
                <w:szCs w:val="22"/>
              </w:rPr>
            </w:pPr>
            <w:r>
              <w:rPr>
                <w:rFonts w:cs="Times New Roman"/>
                <w:b/>
                <w:sz w:val="22"/>
                <w:szCs w:val="22"/>
              </w:rPr>
              <w:t xml:space="preserve">F = A </w:t>
            </w:r>
            <w:r>
              <w:rPr>
                <w:rFonts w:ascii="Calibri" w:hAnsi="Calibri" w:cs="Times New Roman"/>
                <w:b/>
                <w:sz w:val="22"/>
                <w:szCs w:val="22"/>
              </w:rPr>
              <w:t>×</w:t>
            </w:r>
            <w:r>
              <w:rPr>
                <w:rFonts w:cs="Times New Roman"/>
                <w:b/>
                <w:sz w:val="22"/>
                <w:szCs w:val="22"/>
              </w:rPr>
              <w:t xml:space="preserve"> E</w:t>
            </w:r>
          </w:p>
        </w:tc>
        <w:tc>
          <w:tcPr>
            <w:tcW w:w="1462" w:type="dxa"/>
            <w:tcBorders>
              <w:top w:val="nil"/>
              <w:left w:val="nil"/>
              <w:bottom w:val="single" w:color="auto" w:sz="8" w:space="0"/>
              <w:right w:val="nil"/>
            </w:tcBorders>
            <w:vAlign w:val="bottom"/>
            <w:hideMark/>
          </w:tcPr>
          <w:p w:rsidR="00B878EC" w:rsidRDefault="00B878EC">
            <w:pPr>
              <w:jc w:val="center"/>
              <w:rPr>
                <w:rFonts w:cs="Times New Roman"/>
                <w:b/>
                <w:bCs/>
                <w:sz w:val="22"/>
                <w:szCs w:val="22"/>
              </w:rPr>
            </w:pPr>
            <w:r>
              <w:rPr>
                <w:rFonts w:cs="Times New Roman"/>
                <w:b/>
                <w:bCs/>
                <w:sz w:val="22"/>
                <w:szCs w:val="22"/>
              </w:rPr>
              <w:t xml:space="preserve">G = F </w:t>
            </w:r>
            <w:r>
              <w:rPr>
                <w:rFonts w:ascii="Calibri" w:hAnsi="Calibri" w:cs="Times New Roman"/>
                <w:b/>
                <w:bCs/>
                <w:sz w:val="22"/>
                <w:szCs w:val="22"/>
              </w:rPr>
              <w:t>×</w:t>
            </w:r>
            <w:r>
              <w:rPr>
                <w:rFonts w:cs="Times New Roman"/>
                <w:b/>
                <w:bCs/>
                <w:sz w:val="22"/>
                <w:szCs w:val="22"/>
              </w:rPr>
              <w:t xml:space="preserve"> $48.24</w:t>
            </w:r>
          </w:p>
        </w:tc>
        <w:tc>
          <w:tcPr>
            <w:tcW w:w="1852" w:type="dxa"/>
            <w:tcBorders>
              <w:top w:val="nil"/>
              <w:left w:val="single" w:color="auto" w:sz="4" w:space="0"/>
              <w:bottom w:val="single" w:color="auto" w:sz="8" w:space="0"/>
              <w:right w:val="single" w:color="auto" w:sz="8" w:space="0"/>
            </w:tcBorders>
            <w:vAlign w:val="bottom"/>
            <w:hideMark/>
          </w:tcPr>
          <w:p w:rsidR="00B878EC" w:rsidRDefault="00B878EC">
            <w:pPr>
              <w:jc w:val="center"/>
              <w:rPr>
                <w:rFonts w:cs="Times New Roman"/>
                <w:b/>
                <w:bCs/>
                <w:sz w:val="22"/>
                <w:szCs w:val="22"/>
              </w:rPr>
            </w:pPr>
            <w:r>
              <w:rPr>
                <w:rFonts w:cs="Times New Roman"/>
                <w:b/>
                <w:bCs/>
                <w:sz w:val="22"/>
                <w:szCs w:val="22"/>
              </w:rPr>
              <w:t>H = D + G</w:t>
            </w:r>
          </w:p>
        </w:tc>
      </w:tr>
      <w:tr w:rsidR="00B878EC" w:rsidTr="00B878EC">
        <w:trPr>
          <w:trHeight w:val="58"/>
          <w:jc w:val="center"/>
        </w:trPr>
        <w:tc>
          <w:tcPr>
            <w:tcW w:w="1103" w:type="dxa"/>
            <w:tcBorders>
              <w:top w:val="nil"/>
              <w:left w:val="single" w:color="auto" w:sz="8" w:space="0"/>
              <w:bottom w:val="single" w:color="auto" w:sz="8" w:space="0"/>
              <w:right w:val="single" w:color="auto" w:sz="4" w:space="0"/>
            </w:tcBorders>
            <w:noWrap/>
            <w:vAlign w:val="bottom"/>
            <w:hideMark/>
          </w:tcPr>
          <w:p w:rsidR="00B878EC" w:rsidRDefault="00B878EC">
            <w:pPr>
              <w:rPr>
                <w:rFonts w:cs="Times New Roman"/>
                <w:sz w:val="22"/>
                <w:szCs w:val="22"/>
              </w:rPr>
            </w:pPr>
            <w:r>
              <w:rPr>
                <w:rFonts w:cs="Times New Roman"/>
                <w:sz w:val="22"/>
                <w:szCs w:val="22"/>
              </w:rPr>
              <w:t>Annual Average</w:t>
            </w:r>
          </w:p>
        </w:tc>
        <w:tc>
          <w:tcPr>
            <w:tcW w:w="1280" w:type="dxa"/>
            <w:tcBorders>
              <w:top w:val="single" w:color="auto" w:sz="8" w:space="0"/>
              <w:left w:val="single" w:color="auto" w:sz="4" w:space="0"/>
              <w:bottom w:val="single" w:color="auto" w:sz="8" w:space="0"/>
              <w:right w:val="single" w:color="auto" w:sz="4" w:space="0"/>
            </w:tcBorders>
            <w:noWrap/>
            <w:vAlign w:val="bottom"/>
            <w:hideMark/>
          </w:tcPr>
          <w:p w:rsidR="00B878EC" w:rsidRDefault="00B878EC">
            <w:pPr>
              <w:jc w:val="right"/>
              <w:rPr>
                <w:rFonts w:cs="Times New Roman"/>
                <w:sz w:val="22"/>
                <w:szCs w:val="22"/>
              </w:rPr>
            </w:pPr>
            <w:r>
              <w:rPr>
                <w:sz w:val="22"/>
                <w:szCs w:val="22"/>
              </w:rPr>
              <w:t>76,739</w:t>
            </w:r>
          </w:p>
        </w:tc>
        <w:tc>
          <w:tcPr>
            <w:tcW w:w="1532" w:type="dxa"/>
            <w:tcBorders>
              <w:top w:val="single" w:color="auto" w:sz="8" w:space="0"/>
              <w:left w:val="nil"/>
              <w:bottom w:val="single" w:color="auto" w:sz="8" w:space="0"/>
              <w:right w:val="single" w:color="auto" w:sz="4" w:space="0"/>
            </w:tcBorders>
            <w:noWrap/>
            <w:vAlign w:val="center"/>
          </w:tcPr>
          <w:p w:rsidR="00B878EC" w:rsidRDefault="00B878EC">
            <w:pPr>
              <w:jc w:val="right"/>
              <w:rPr>
                <w:rFonts w:cs="Times New Roman"/>
                <w:sz w:val="22"/>
                <w:szCs w:val="22"/>
              </w:rPr>
            </w:pPr>
          </w:p>
          <w:p w:rsidR="00B878EC" w:rsidRDefault="00B878EC">
            <w:pPr>
              <w:jc w:val="right"/>
              <w:rPr>
                <w:rFonts w:cs="Times New Roman"/>
                <w:sz w:val="22"/>
                <w:szCs w:val="22"/>
              </w:rPr>
            </w:pPr>
            <w:r>
              <w:rPr>
                <w:rFonts w:cs="Times New Roman"/>
                <w:sz w:val="22"/>
                <w:szCs w:val="22"/>
              </w:rPr>
              <w:t>0.083333</w:t>
            </w:r>
          </w:p>
        </w:tc>
        <w:tc>
          <w:tcPr>
            <w:tcW w:w="1642" w:type="dxa"/>
            <w:tcBorders>
              <w:top w:val="single" w:color="auto" w:sz="8" w:space="0"/>
              <w:left w:val="nil"/>
              <w:bottom w:val="single" w:color="auto" w:sz="8" w:space="0"/>
              <w:right w:val="single" w:color="auto" w:sz="4" w:space="0"/>
            </w:tcBorders>
            <w:noWrap/>
            <w:vAlign w:val="bottom"/>
            <w:hideMark/>
          </w:tcPr>
          <w:p w:rsidR="00B878EC" w:rsidRDefault="00B878EC">
            <w:pPr>
              <w:jc w:val="right"/>
              <w:rPr>
                <w:rFonts w:cs="Times New Roman"/>
                <w:sz w:val="22"/>
                <w:szCs w:val="22"/>
              </w:rPr>
            </w:pPr>
            <w:r>
              <w:rPr>
                <w:sz w:val="22"/>
                <w:szCs w:val="22"/>
              </w:rPr>
              <w:t>6,394.9</w:t>
            </w:r>
          </w:p>
        </w:tc>
        <w:tc>
          <w:tcPr>
            <w:tcW w:w="1426" w:type="dxa"/>
            <w:tcBorders>
              <w:top w:val="single" w:color="auto" w:sz="8" w:space="0"/>
              <w:left w:val="nil"/>
              <w:bottom w:val="single" w:color="auto" w:sz="8" w:space="0"/>
              <w:right w:val="single" w:color="auto" w:sz="4" w:space="0"/>
            </w:tcBorders>
            <w:noWrap/>
            <w:vAlign w:val="bottom"/>
            <w:hideMark/>
          </w:tcPr>
          <w:p w:rsidR="00B878EC" w:rsidRDefault="00B878EC">
            <w:pPr>
              <w:jc w:val="right"/>
              <w:rPr>
                <w:rFonts w:cs="Times New Roman"/>
                <w:sz w:val="22"/>
                <w:szCs w:val="22"/>
              </w:rPr>
            </w:pPr>
            <w:r>
              <w:rPr>
                <w:sz w:val="22"/>
                <w:szCs w:val="22"/>
              </w:rPr>
              <w:t>$165,052</w:t>
            </w:r>
          </w:p>
        </w:tc>
        <w:tc>
          <w:tcPr>
            <w:tcW w:w="1320" w:type="dxa"/>
            <w:tcBorders>
              <w:top w:val="single" w:color="auto" w:sz="8" w:space="0"/>
              <w:left w:val="nil"/>
              <w:bottom w:val="single" w:color="auto" w:sz="8" w:space="0"/>
              <w:right w:val="single" w:color="auto" w:sz="4" w:space="0"/>
            </w:tcBorders>
            <w:noWrap/>
            <w:vAlign w:val="center"/>
          </w:tcPr>
          <w:p w:rsidR="00B878EC" w:rsidRDefault="00B878EC">
            <w:pPr>
              <w:jc w:val="right"/>
              <w:rPr>
                <w:rFonts w:cs="Times New Roman"/>
                <w:sz w:val="22"/>
                <w:szCs w:val="22"/>
              </w:rPr>
            </w:pPr>
          </w:p>
          <w:p w:rsidR="00B878EC" w:rsidRDefault="00B878EC">
            <w:pPr>
              <w:jc w:val="right"/>
              <w:rPr>
                <w:rFonts w:cs="Times New Roman"/>
                <w:sz w:val="22"/>
                <w:szCs w:val="22"/>
              </w:rPr>
            </w:pPr>
            <w:r>
              <w:rPr>
                <w:rFonts w:cs="Times New Roman"/>
                <w:sz w:val="22"/>
                <w:szCs w:val="22"/>
              </w:rPr>
              <w:t>0.008333</w:t>
            </w:r>
          </w:p>
        </w:tc>
        <w:tc>
          <w:tcPr>
            <w:tcW w:w="1352" w:type="dxa"/>
            <w:tcBorders>
              <w:top w:val="single" w:color="auto" w:sz="8" w:space="0"/>
              <w:left w:val="nil"/>
              <w:bottom w:val="single" w:color="auto" w:sz="8" w:space="0"/>
              <w:right w:val="nil"/>
            </w:tcBorders>
            <w:noWrap/>
            <w:vAlign w:val="bottom"/>
            <w:hideMark/>
          </w:tcPr>
          <w:p w:rsidR="00B878EC" w:rsidRDefault="00B878EC">
            <w:pPr>
              <w:jc w:val="right"/>
              <w:rPr>
                <w:rFonts w:cs="Times New Roman"/>
                <w:sz w:val="22"/>
                <w:szCs w:val="22"/>
              </w:rPr>
            </w:pPr>
            <w:r>
              <w:rPr>
                <w:sz w:val="22"/>
                <w:szCs w:val="22"/>
              </w:rPr>
              <w:t>639.49</w:t>
            </w:r>
          </w:p>
        </w:tc>
        <w:tc>
          <w:tcPr>
            <w:tcW w:w="1462" w:type="dxa"/>
            <w:tcBorders>
              <w:top w:val="single" w:color="auto" w:sz="8" w:space="0"/>
              <w:left w:val="single" w:color="auto" w:sz="4" w:space="0"/>
              <w:bottom w:val="single" w:color="auto" w:sz="8" w:space="0"/>
              <w:right w:val="nil"/>
            </w:tcBorders>
            <w:vAlign w:val="bottom"/>
            <w:hideMark/>
          </w:tcPr>
          <w:p w:rsidR="00B878EC" w:rsidRDefault="00B878EC">
            <w:pPr>
              <w:jc w:val="right"/>
              <w:rPr>
                <w:rFonts w:cs="Times New Roman"/>
                <w:sz w:val="22"/>
                <w:szCs w:val="22"/>
              </w:rPr>
            </w:pPr>
            <w:r>
              <w:rPr>
                <w:sz w:val="22"/>
                <w:szCs w:val="22"/>
              </w:rPr>
              <w:t>$30,849.49</w:t>
            </w:r>
          </w:p>
        </w:tc>
        <w:tc>
          <w:tcPr>
            <w:tcW w:w="1852" w:type="dxa"/>
            <w:tcBorders>
              <w:top w:val="single" w:color="auto" w:sz="8" w:space="0"/>
              <w:left w:val="single" w:color="auto" w:sz="4" w:space="0"/>
              <w:bottom w:val="single" w:color="auto" w:sz="8" w:space="0"/>
              <w:right w:val="single" w:color="auto" w:sz="8" w:space="0"/>
            </w:tcBorders>
            <w:vAlign w:val="bottom"/>
            <w:hideMark/>
          </w:tcPr>
          <w:p w:rsidR="00B878EC" w:rsidRDefault="00B878EC">
            <w:pPr>
              <w:jc w:val="right"/>
              <w:rPr>
                <w:rFonts w:cs="Times New Roman"/>
                <w:sz w:val="22"/>
                <w:szCs w:val="22"/>
              </w:rPr>
            </w:pPr>
            <w:r>
              <w:rPr>
                <w:sz w:val="22"/>
                <w:szCs w:val="22"/>
              </w:rPr>
              <w:t>$195,901</w:t>
            </w:r>
          </w:p>
        </w:tc>
      </w:tr>
    </w:tbl>
    <w:p w:rsidR="00B878EC" w:rsidP="00B878EC" w:rsidRDefault="00B878EC">
      <w:pPr>
        <w:autoSpaceDE w:val="0"/>
        <w:autoSpaceDN w:val="0"/>
        <w:adjustRightInd w:val="0"/>
        <w:ind w:left="180"/>
        <w:rPr>
          <w:rFonts w:cs="Times New Roman"/>
          <w:bCs/>
          <w:iCs/>
          <w:sz w:val="22"/>
          <w:szCs w:val="22"/>
        </w:rPr>
      </w:pPr>
      <w:r>
        <w:rPr>
          <w:rFonts w:cs="Times New Roman"/>
          <w:bCs/>
          <w:iCs/>
          <w:sz w:val="22"/>
          <w:szCs w:val="22"/>
        </w:rPr>
        <w:t>Note: Calculations may not be exact due to rounding in the table.</w:t>
      </w:r>
    </w:p>
    <w:p w:rsidR="00B878EC" w:rsidP="00B878EC" w:rsidRDefault="00B878EC">
      <w:pPr>
        <w:keepNext/>
        <w:rPr>
          <w:bCs/>
          <w:szCs w:val="24"/>
        </w:rPr>
      </w:pPr>
    </w:p>
    <w:p w:rsidR="00B878EC" w:rsidP="00B878EC" w:rsidRDefault="00B878EC">
      <w:pPr>
        <w:keepNext/>
        <w:ind w:left="180"/>
        <w:rPr>
          <w:bCs/>
          <w:i/>
          <w:szCs w:val="24"/>
        </w:rPr>
      </w:pPr>
      <w:r>
        <w:rPr>
          <w:bCs/>
          <w:i/>
          <w:szCs w:val="24"/>
        </w:rPr>
        <w:t>Civil Rights and Disabilities Related Comments Submissions</w:t>
      </w:r>
    </w:p>
    <w:p w:rsidR="00B878EC" w:rsidP="00B878EC" w:rsidRDefault="00B878EC">
      <w:pPr>
        <w:keepNext/>
        <w:ind w:left="180"/>
        <w:rPr>
          <w:bCs/>
          <w:szCs w:val="24"/>
        </w:rPr>
      </w:pPr>
    </w:p>
    <w:p w:rsidR="00B878EC" w:rsidP="00B878EC" w:rsidRDefault="00B878EC">
      <w:pPr>
        <w:autoSpaceDE w:val="0"/>
        <w:autoSpaceDN w:val="0"/>
        <w:adjustRightInd w:val="0"/>
        <w:spacing w:after="120"/>
        <w:ind w:left="360"/>
        <w:rPr>
          <w:rFonts w:cs="Times New Roman"/>
          <w:bCs/>
          <w:iCs/>
        </w:rPr>
      </w:pPr>
      <w:r>
        <w:rPr>
          <w:rFonts w:cs="Times New Roman"/>
          <w:bCs/>
          <w:iCs/>
        </w:rPr>
        <w:t>TSA estimates that each civil rights and disabilities-related comment submission takes 5 minutes (0.08333 hours) for a contractor and 30 seconds (0.00833 hours) for a federal employee to review.</w:t>
      </w:r>
      <w:r>
        <w:rPr>
          <w:rFonts w:cs="Times New Roman"/>
          <w:bCs/>
          <w:iCs/>
          <w:szCs w:val="24"/>
        </w:rPr>
        <w:t xml:space="preserve">  The Federal employee takes less time because he or she is only looking at the TSA Comment Card to determine if it contains a security threat.  The contractor (TCC agent) takes more time because the review process involves reading the electronic submission, selecting the appropriate template response, and sending it back to the passenger. </w:t>
      </w:r>
      <w:r>
        <w:rPr>
          <w:rFonts w:cs="Times New Roman"/>
          <w:bCs/>
          <w:iCs/>
        </w:rPr>
        <w:t xml:space="preserve">TSA multiplies 4,663 average annual responses by 0.08333 hours to obtain an annual burden estimate of 388.6 hours for contractors, </w:t>
      </w:r>
      <w:r>
        <w:rPr>
          <w:rFonts w:cs="Times New Roman"/>
          <w:bCs/>
          <w:iCs/>
          <w:szCs w:val="24"/>
        </w:rPr>
        <w:t>then multiplies that amount by a wage rate of $25.81 to get the annual hour burden cost for contractors for civil rights and disabilities related comments.</w:t>
      </w:r>
      <w:r>
        <w:rPr>
          <w:rFonts w:cs="Times New Roman"/>
          <w:bCs/>
          <w:iCs/>
        </w:rPr>
        <w:t xml:space="preserve"> TSA multiplies 4,663 average annual responses by 0.0083 hours to obtain an annual burden estimate of 38.9 hours for federal government employees, </w:t>
      </w:r>
      <w:r>
        <w:rPr>
          <w:rFonts w:cs="Times New Roman"/>
          <w:bCs/>
          <w:iCs/>
          <w:szCs w:val="24"/>
        </w:rPr>
        <w:t>then multiplies that amount by a wage rate of $48.24 to get the annual hour burden cost for federal government employees for civil rights and disabilities related comments.</w:t>
      </w:r>
      <w:r>
        <w:rPr>
          <w:rFonts w:cs="Times New Roman"/>
          <w:bCs/>
          <w:iCs/>
        </w:rPr>
        <w:t xml:space="preserve"> </w:t>
      </w:r>
      <w:r>
        <w:t>Table 6 shows the TSA hour burden estimate for civil rights and disability related comments.</w:t>
      </w:r>
    </w:p>
    <w:p w:rsidR="00B878EC" w:rsidP="00B878EC" w:rsidRDefault="00B878EC">
      <w:pPr>
        <w:keepNext/>
        <w:keepLines/>
        <w:rPr>
          <w:bCs/>
          <w:szCs w:val="24"/>
        </w:rPr>
      </w:pPr>
    </w:p>
    <w:tbl>
      <w:tblPr>
        <w:tblW w:w="0" w:type="dxa"/>
        <w:tblLayout w:type="fixed"/>
        <w:tblLook w:val="04A0" w:firstRow="1" w:lastRow="0" w:firstColumn="1" w:lastColumn="0" w:noHBand="0" w:noVBand="1"/>
      </w:tblPr>
      <w:tblGrid>
        <w:gridCol w:w="1715"/>
        <w:gridCol w:w="1444"/>
        <w:gridCol w:w="1444"/>
        <w:gridCol w:w="1444"/>
        <w:gridCol w:w="1535"/>
        <w:gridCol w:w="1264"/>
        <w:gridCol w:w="1715"/>
        <w:gridCol w:w="1715"/>
        <w:gridCol w:w="1903"/>
        <w:gridCol w:w="16"/>
      </w:tblGrid>
      <w:tr w:rsidR="00B878EC" w:rsidTr="00B878EC">
        <w:trPr>
          <w:trHeight w:val="419"/>
        </w:trPr>
        <w:tc>
          <w:tcPr>
            <w:tcW w:w="14195" w:type="dxa"/>
            <w:gridSpan w:val="10"/>
            <w:tcBorders>
              <w:top w:val="nil"/>
              <w:left w:val="nil"/>
              <w:bottom w:val="single" w:color="auto" w:sz="8" w:space="0"/>
              <w:right w:val="nil"/>
            </w:tcBorders>
            <w:noWrap/>
            <w:vAlign w:val="bottom"/>
            <w:hideMark/>
          </w:tcPr>
          <w:p w:rsidR="00B878EC" w:rsidRDefault="00B878EC">
            <w:pPr>
              <w:keepNext/>
              <w:keepLines/>
              <w:rPr>
                <w:rFonts w:cs="Times New Roman"/>
                <w:b/>
                <w:bCs/>
                <w:sz w:val="22"/>
                <w:szCs w:val="22"/>
              </w:rPr>
            </w:pPr>
            <w:r>
              <w:rPr>
                <w:rFonts w:cs="Times New Roman"/>
                <w:b/>
                <w:bCs/>
                <w:sz w:val="22"/>
                <w:szCs w:val="22"/>
              </w:rPr>
              <w:t xml:space="preserve">Table 6: Civil Rights and Disabilities Related Comments TSA Hour Burden </w:t>
            </w:r>
          </w:p>
        </w:tc>
      </w:tr>
      <w:tr w:rsidR="00B878EC" w:rsidTr="00B878EC">
        <w:trPr>
          <w:gridAfter w:val="1"/>
          <w:wAfter w:w="16" w:type="dxa"/>
          <w:trHeight w:val="1116"/>
        </w:trPr>
        <w:tc>
          <w:tcPr>
            <w:tcW w:w="1715" w:type="dxa"/>
            <w:vMerge w:val="restart"/>
            <w:tcBorders>
              <w:top w:val="nil"/>
              <w:left w:val="single" w:color="auto" w:sz="8" w:space="0"/>
              <w:bottom w:val="nil"/>
              <w:right w:val="single" w:color="auto" w:sz="4" w:space="0"/>
            </w:tcBorders>
            <w:vAlign w:val="center"/>
            <w:hideMark/>
          </w:tcPr>
          <w:p w:rsidR="00B878EC" w:rsidRDefault="00B878EC">
            <w:pPr>
              <w:keepNext/>
              <w:keepLines/>
              <w:jc w:val="center"/>
              <w:rPr>
                <w:rFonts w:cs="Times New Roman"/>
                <w:b/>
                <w:bCs/>
                <w:sz w:val="22"/>
                <w:szCs w:val="22"/>
              </w:rPr>
            </w:pPr>
            <w:r>
              <w:rPr>
                <w:rFonts w:cs="Times New Roman"/>
                <w:b/>
                <w:bCs/>
                <w:sz w:val="22"/>
                <w:szCs w:val="22"/>
              </w:rPr>
              <w:t> </w:t>
            </w:r>
          </w:p>
        </w:tc>
        <w:tc>
          <w:tcPr>
            <w:tcW w:w="1444" w:type="dxa"/>
            <w:tcBorders>
              <w:top w:val="nil"/>
              <w:left w:val="nil"/>
              <w:bottom w:val="single" w:color="auto" w:sz="4" w:space="0"/>
              <w:right w:val="single" w:color="auto" w:sz="4" w:space="0"/>
            </w:tcBorders>
            <w:vAlign w:val="bottom"/>
            <w:hideMark/>
          </w:tcPr>
          <w:p w:rsidR="00B878EC" w:rsidRDefault="00B878EC">
            <w:pPr>
              <w:keepNext/>
              <w:keepLines/>
              <w:jc w:val="center"/>
              <w:rPr>
                <w:rFonts w:cs="Times New Roman"/>
                <w:b/>
                <w:bCs/>
                <w:sz w:val="22"/>
                <w:szCs w:val="22"/>
              </w:rPr>
            </w:pPr>
            <w:r>
              <w:rPr>
                <w:rFonts w:cs="Times New Roman"/>
                <w:b/>
                <w:bCs/>
                <w:sz w:val="22"/>
                <w:szCs w:val="22"/>
              </w:rPr>
              <w:t>Annual Responses</w:t>
            </w:r>
          </w:p>
        </w:tc>
        <w:tc>
          <w:tcPr>
            <w:tcW w:w="1444" w:type="dxa"/>
            <w:tcBorders>
              <w:top w:val="nil"/>
              <w:left w:val="nil"/>
              <w:bottom w:val="single" w:color="auto" w:sz="4" w:space="0"/>
              <w:right w:val="single" w:color="auto" w:sz="4" w:space="0"/>
            </w:tcBorders>
            <w:vAlign w:val="bottom"/>
            <w:hideMark/>
          </w:tcPr>
          <w:p w:rsidR="00B878EC" w:rsidRDefault="00B878EC">
            <w:pPr>
              <w:keepNext/>
              <w:keepLines/>
              <w:jc w:val="center"/>
              <w:rPr>
                <w:rFonts w:cs="Times New Roman"/>
                <w:b/>
                <w:bCs/>
                <w:sz w:val="22"/>
                <w:szCs w:val="22"/>
              </w:rPr>
            </w:pPr>
            <w:r>
              <w:rPr>
                <w:rFonts w:cs="Times New Roman"/>
                <w:b/>
                <w:bCs/>
                <w:sz w:val="22"/>
                <w:szCs w:val="22"/>
              </w:rPr>
              <w:t>Hour Burden per response (Contractor)</w:t>
            </w:r>
          </w:p>
        </w:tc>
        <w:tc>
          <w:tcPr>
            <w:tcW w:w="1444" w:type="dxa"/>
            <w:tcBorders>
              <w:top w:val="nil"/>
              <w:left w:val="nil"/>
              <w:bottom w:val="single" w:color="auto" w:sz="4" w:space="0"/>
              <w:right w:val="single" w:color="auto" w:sz="4" w:space="0"/>
            </w:tcBorders>
            <w:vAlign w:val="bottom"/>
            <w:hideMark/>
          </w:tcPr>
          <w:p w:rsidR="00B878EC" w:rsidRDefault="00B878EC">
            <w:pPr>
              <w:keepNext/>
              <w:keepLines/>
              <w:jc w:val="center"/>
              <w:rPr>
                <w:rFonts w:cs="Times New Roman"/>
                <w:b/>
                <w:bCs/>
                <w:sz w:val="22"/>
                <w:szCs w:val="22"/>
              </w:rPr>
            </w:pPr>
            <w:r>
              <w:rPr>
                <w:rFonts w:cs="Times New Roman"/>
                <w:b/>
                <w:bCs/>
                <w:sz w:val="22"/>
                <w:szCs w:val="22"/>
              </w:rPr>
              <w:t>Total Annual Hour Burden (Contractor)</w:t>
            </w:r>
          </w:p>
        </w:tc>
        <w:tc>
          <w:tcPr>
            <w:tcW w:w="1535" w:type="dxa"/>
            <w:tcBorders>
              <w:top w:val="nil"/>
              <w:left w:val="nil"/>
              <w:bottom w:val="single" w:color="auto" w:sz="4" w:space="0"/>
              <w:right w:val="single" w:color="auto" w:sz="4" w:space="0"/>
            </w:tcBorders>
            <w:vAlign w:val="bottom"/>
            <w:hideMark/>
          </w:tcPr>
          <w:p w:rsidR="00B878EC" w:rsidRDefault="00B878EC">
            <w:pPr>
              <w:keepNext/>
              <w:keepLines/>
              <w:jc w:val="center"/>
              <w:rPr>
                <w:rFonts w:cs="Times New Roman"/>
                <w:b/>
                <w:bCs/>
                <w:sz w:val="22"/>
                <w:szCs w:val="22"/>
              </w:rPr>
            </w:pPr>
            <w:r>
              <w:rPr>
                <w:rFonts w:cs="Times New Roman"/>
                <w:b/>
                <w:bCs/>
                <w:sz w:val="22"/>
                <w:szCs w:val="22"/>
              </w:rPr>
              <w:t>Annual Hour Burden Cost for Contractor</w:t>
            </w:r>
          </w:p>
        </w:tc>
        <w:tc>
          <w:tcPr>
            <w:tcW w:w="1264" w:type="dxa"/>
            <w:tcBorders>
              <w:top w:val="nil"/>
              <w:left w:val="nil"/>
              <w:bottom w:val="single" w:color="auto" w:sz="4" w:space="0"/>
              <w:right w:val="single" w:color="auto" w:sz="4" w:space="0"/>
            </w:tcBorders>
            <w:vAlign w:val="bottom"/>
            <w:hideMark/>
          </w:tcPr>
          <w:p w:rsidR="00B878EC" w:rsidRDefault="00B878EC">
            <w:pPr>
              <w:keepNext/>
              <w:keepLines/>
              <w:jc w:val="center"/>
              <w:rPr>
                <w:rFonts w:cs="Times New Roman"/>
                <w:b/>
                <w:bCs/>
                <w:sz w:val="22"/>
                <w:szCs w:val="22"/>
              </w:rPr>
            </w:pPr>
            <w:r>
              <w:rPr>
                <w:rFonts w:cs="Times New Roman"/>
                <w:b/>
                <w:bCs/>
                <w:sz w:val="22"/>
                <w:szCs w:val="22"/>
              </w:rPr>
              <w:t>Hour Burden per Response (Federal Employee)</w:t>
            </w:r>
          </w:p>
        </w:tc>
        <w:tc>
          <w:tcPr>
            <w:tcW w:w="1715" w:type="dxa"/>
            <w:tcBorders>
              <w:top w:val="nil"/>
              <w:left w:val="nil"/>
              <w:bottom w:val="single" w:color="auto" w:sz="4" w:space="0"/>
              <w:right w:val="nil"/>
            </w:tcBorders>
            <w:vAlign w:val="bottom"/>
            <w:hideMark/>
          </w:tcPr>
          <w:p w:rsidR="00B878EC" w:rsidRDefault="00B878EC">
            <w:pPr>
              <w:keepNext/>
              <w:keepLines/>
              <w:jc w:val="center"/>
              <w:rPr>
                <w:rFonts w:cs="Times New Roman"/>
                <w:b/>
                <w:bCs/>
                <w:sz w:val="22"/>
                <w:szCs w:val="22"/>
              </w:rPr>
            </w:pPr>
            <w:r>
              <w:rPr>
                <w:rFonts w:cs="Times New Roman"/>
                <w:b/>
                <w:bCs/>
                <w:sz w:val="22"/>
                <w:szCs w:val="22"/>
              </w:rPr>
              <w:t>Total Annual Hour Burden (Federal Employees)</w:t>
            </w:r>
          </w:p>
        </w:tc>
        <w:tc>
          <w:tcPr>
            <w:tcW w:w="1715" w:type="dxa"/>
            <w:tcBorders>
              <w:top w:val="nil"/>
              <w:left w:val="single" w:color="auto" w:sz="4" w:space="0"/>
              <w:bottom w:val="single" w:color="auto" w:sz="4" w:space="0"/>
              <w:right w:val="single" w:color="auto" w:sz="4" w:space="0"/>
            </w:tcBorders>
            <w:vAlign w:val="bottom"/>
            <w:hideMark/>
          </w:tcPr>
          <w:p w:rsidR="00B878EC" w:rsidRDefault="00B878EC">
            <w:pPr>
              <w:keepNext/>
              <w:keepLines/>
              <w:jc w:val="center"/>
              <w:rPr>
                <w:rFonts w:cs="Times New Roman"/>
                <w:b/>
                <w:sz w:val="22"/>
                <w:szCs w:val="22"/>
              </w:rPr>
            </w:pPr>
            <w:r>
              <w:rPr>
                <w:rFonts w:cs="Times New Roman"/>
                <w:b/>
                <w:sz w:val="22"/>
                <w:szCs w:val="22"/>
              </w:rPr>
              <w:t>Total Annual Hour Burden Cost (Federal Employee)</w:t>
            </w:r>
          </w:p>
        </w:tc>
        <w:tc>
          <w:tcPr>
            <w:tcW w:w="1903" w:type="dxa"/>
            <w:tcBorders>
              <w:top w:val="nil"/>
              <w:left w:val="nil"/>
              <w:bottom w:val="single" w:color="auto" w:sz="4" w:space="0"/>
              <w:right w:val="single" w:color="auto" w:sz="8" w:space="0"/>
            </w:tcBorders>
            <w:vAlign w:val="bottom"/>
            <w:hideMark/>
          </w:tcPr>
          <w:p w:rsidR="00B878EC" w:rsidRDefault="00B878EC">
            <w:pPr>
              <w:keepNext/>
              <w:keepLines/>
              <w:jc w:val="center"/>
              <w:rPr>
                <w:rFonts w:cs="Times New Roman"/>
                <w:b/>
                <w:sz w:val="22"/>
                <w:szCs w:val="22"/>
              </w:rPr>
            </w:pPr>
            <w:r>
              <w:rPr>
                <w:rFonts w:cs="Times New Roman"/>
                <w:b/>
                <w:sz w:val="22"/>
                <w:szCs w:val="22"/>
              </w:rPr>
              <w:t>Total Annual Hour Burden Cost (Contractor plus Federal Employee)</w:t>
            </w:r>
          </w:p>
        </w:tc>
      </w:tr>
      <w:tr w:rsidR="00B878EC" w:rsidTr="00B878EC">
        <w:trPr>
          <w:gridAfter w:val="1"/>
          <w:wAfter w:w="16" w:type="dxa"/>
          <w:trHeight w:val="392"/>
        </w:trPr>
        <w:tc>
          <w:tcPr>
            <w:tcW w:w="14195" w:type="dxa"/>
            <w:vMerge/>
            <w:tcBorders>
              <w:top w:val="nil"/>
              <w:left w:val="single" w:color="auto" w:sz="8" w:space="0"/>
              <w:bottom w:val="nil"/>
              <w:right w:val="single" w:color="auto" w:sz="4" w:space="0"/>
            </w:tcBorders>
            <w:vAlign w:val="center"/>
            <w:hideMark/>
          </w:tcPr>
          <w:p w:rsidR="00B878EC" w:rsidRDefault="00B878EC">
            <w:pPr>
              <w:rPr>
                <w:rFonts w:cs="Times New Roman"/>
                <w:b/>
                <w:bCs/>
                <w:sz w:val="22"/>
                <w:szCs w:val="22"/>
              </w:rPr>
            </w:pPr>
          </w:p>
        </w:tc>
        <w:tc>
          <w:tcPr>
            <w:tcW w:w="1444" w:type="dxa"/>
            <w:tcBorders>
              <w:top w:val="nil"/>
              <w:left w:val="nil"/>
              <w:bottom w:val="nil"/>
              <w:right w:val="single" w:color="auto" w:sz="4" w:space="0"/>
            </w:tcBorders>
            <w:vAlign w:val="bottom"/>
            <w:hideMark/>
          </w:tcPr>
          <w:p w:rsidR="00B878EC" w:rsidRDefault="00B878EC">
            <w:pPr>
              <w:keepNext/>
              <w:keepLines/>
              <w:jc w:val="center"/>
              <w:rPr>
                <w:rFonts w:cs="Times New Roman"/>
                <w:b/>
                <w:sz w:val="22"/>
                <w:szCs w:val="22"/>
              </w:rPr>
            </w:pPr>
            <w:r>
              <w:rPr>
                <w:rFonts w:cs="Times New Roman"/>
                <w:b/>
                <w:sz w:val="22"/>
                <w:szCs w:val="22"/>
              </w:rPr>
              <w:t>A</w:t>
            </w:r>
          </w:p>
        </w:tc>
        <w:tc>
          <w:tcPr>
            <w:tcW w:w="1444" w:type="dxa"/>
            <w:tcBorders>
              <w:top w:val="nil"/>
              <w:left w:val="nil"/>
              <w:bottom w:val="nil"/>
              <w:right w:val="single" w:color="auto" w:sz="4" w:space="0"/>
            </w:tcBorders>
            <w:vAlign w:val="bottom"/>
            <w:hideMark/>
          </w:tcPr>
          <w:p w:rsidR="00B878EC" w:rsidRDefault="00B878EC">
            <w:pPr>
              <w:keepNext/>
              <w:keepLines/>
              <w:jc w:val="center"/>
              <w:rPr>
                <w:rFonts w:cs="Times New Roman"/>
                <w:b/>
                <w:sz w:val="22"/>
                <w:szCs w:val="22"/>
              </w:rPr>
            </w:pPr>
            <w:r>
              <w:rPr>
                <w:rFonts w:cs="Times New Roman"/>
                <w:b/>
                <w:sz w:val="22"/>
                <w:szCs w:val="22"/>
              </w:rPr>
              <w:t>B</w:t>
            </w:r>
          </w:p>
        </w:tc>
        <w:tc>
          <w:tcPr>
            <w:tcW w:w="1444" w:type="dxa"/>
            <w:tcBorders>
              <w:top w:val="nil"/>
              <w:left w:val="nil"/>
              <w:bottom w:val="nil"/>
              <w:right w:val="single" w:color="auto" w:sz="4" w:space="0"/>
            </w:tcBorders>
            <w:vAlign w:val="bottom"/>
            <w:hideMark/>
          </w:tcPr>
          <w:p w:rsidR="00B878EC" w:rsidRDefault="00B878EC">
            <w:pPr>
              <w:keepNext/>
              <w:keepLines/>
              <w:jc w:val="center"/>
              <w:rPr>
                <w:rFonts w:cs="Times New Roman"/>
                <w:b/>
                <w:sz w:val="22"/>
                <w:szCs w:val="22"/>
              </w:rPr>
            </w:pPr>
            <w:r>
              <w:rPr>
                <w:rFonts w:cs="Times New Roman"/>
                <w:b/>
                <w:sz w:val="22"/>
                <w:szCs w:val="22"/>
              </w:rPr>
              <w:t>C = A x B</w:t>
            </w:r>
          </w:p>
        </w:tc>
        <w:tc>
          <w:tcPr>
            <w:tcW w:w="1535" w:type="dxa"/>
            <w:tcBorders>
              <w:top w:val="nil"/>
              <w:left w:val="nil"/>
              <w:bottom w:val="nil"/>
              <w:right w:val="single" w:color="auto" w:sz="4" w:space="0"/>
            </w:tcBorders>
            <w:vAlign w:val="bottom"/>
            <w:hideMark/>
          </w:tcPr>
          <w:p w:rsidR="00B878EC" w:rsidRDefault="00B878EC">
            <w:pPr>
              <w:keepNext/>
              <w:keepLines/>
              <w:jc w:val="center"/>
              <w:rPr>
                <w:rFonts w:cs="Times New Roman"/>
                <w:b/>
                <w:sz w:val="22"/>
                <w:szCs w:val="22"/>
              </w:rPr>
            </w:pPr>
            <w:r>
              <w:rPr>
                <w:rFonts w:cs="Times New Roman"/>
                <w:b/>
                <w:sz w:val="22"/>
                <w:szCs w:val="22"/>
              </w:rPr>
              <w:t>D = C × $25.81</w:t>
            </w:r>
          </w:p>
        </w:tc>
        <w:tc>
          <w:tcPr>
            <w:tcW w:w="1264" w:type="dxa"/>
            <w:tcBorders>
              <w:top w:val="nil"/>
              <w:left w:val="nil"/>
              <w:bottom w:val="nil"/>
              <w:right w:val="single" w:color="auto" w:sz="4" w:space="0"/>
            </w:tcBorders>
            <w:vAlign w:val="bottom"/>
            <w:hideMark/>
          </w:tcPr>
          <w:p w:rsidR="00B878EC" w:rsidRDefault="00B878EC">
            <w:pPr>
              <w:keepNext/>
              <w:keepLines/>
              <w:jc w:val="center"/>
              <w:rPr>
                <w:rFonts w:cs="Times New Roman"/>
                <w:b/>
                <w:sz w:val="22"/>
                <w:szCs w:val="22"/>
              </w:rPr>
            </w:pPr>
            <w:r>
              <w:rPr>
                <w:rFonts w:cs="Times New Roman"/>
                <w:b/>
                <w:sz w:val="22"/>
                <w:szCs w:val="22"/>
              </w:rPr>
              <w:t>E</w:t>
            </w:r>
          </w:p>
        </w:tc>
        <w:tc>
          <w:tcPr>
            <w:tcW w:w="1715" w:type="dxa"/>
            <w:vAlign w:val="bottom"/>
            <w:hideMark/>
          </w:tcPr>
          <w:p w:rsidR="00B878EC" w:rsidRDefault="00B878EC">
            <w:pPr>
              <w:keepNext/>
              <w:keepLines/>
              <w:jc w:val="center"/>
              <w:rPr>
                <w:rFonts w:cs="Times New Roman"/>
                <w:b/>
                <w:sz w:val="22"/>
                <w:szCs w:val="22"/>
              </w:rPr>
            </w:pPr>
            <w:r>
              <w:rPr>
                <w:rFonts w:cs="Times New Roman"/>
                <w:b/>
                <w:sz w:val="22"/>
                <w:szCs w:val="22"/>
              </w:rPr>
              <w:t>F = A x E</w:t>
            </w:r>
          </w:p>
        </w:tc>
        <w:tc>
          <w:tcPr>
            <w:tcW w:w="1715" w:type="dxa"/>
            <w:tcBorders>
              <w:top w:val="nil"/>
              <w:left w:val="single" w:color="auto" w:sz="4" w:space="0"/>
              <w:bottom w:val="nil"/>
              <w:right w:val="single" w:color="auto" w:sz="4" w:space="0"/>
            </w:tcBorders>
            <w:vAlign w:val="bottom"/>
            <w:hideMark/>
          </w:tcPr>
          <w:p w:rsidR="00B878EC" w:rsidRDefault="00B878EC">
            <w:pPr>
              <w:keepNext/>
              <w:keepLines/>
              <w:jc w:val="center"/>
              <w:rPr>
                <w:rFonts w:cs="Times New Roman"/>
                <w:b/>
                <w:bCs/>
                <w:sz w:val="22"/>
                <w:szCs w:val="22"/>
              </w:rPr>
            </w:pPr>
            <w:r>
              <w:rPr>
                <w:rFonts w:cs="Times New Roman"/>
                <w:b/>
                <w:bCs/>
                <w:sz w:val="22"/>
                <w:szCs w:val="22"/>
              </w:rPr>
              <w:t>G = F × $48.24</w:t>
            </w:r>
          </w:p>
        </w:tc>
        <w:tc>
          <w:tcPr>
            <w:tcW w:w="1903" w:type="dxa"/>
            <w:tcBorders>
              <w:top w:val="nil"/>
              <w:left w:val="nil"/>
              <w:bottom w:val="nil"/>
              <w:right w:val="single" w:color="auto" w:sz="8" w:space="0"/>
            </w:tcBorders>
            <w:vAlign w:val="bottom"/>
            <w:hideMark/>
          </w:tcPr>
          <w:p w:rsidR="00B878EC" w:rsidRDefault="00B878EC">
            <w:pPr>
              <w:keepNext/>
              <w:keepLines/>
              <w:jc w:val="center"/>
              <w:rPr>
                <w:rFonts w:cs="Times New Roman"/>
                <w:b/>
                <w:bCs/>
                <w:sz w:val="22"/>
                <w:szCs w:val="22"/>
              </w:rPr>
            </w:pPr>
            <w:r>
              <w:rPr>
                <w:rFonts w:cs="Times New Roman"/>
                <w:b/>
                <w:bCs/>
                <w:sz w:val="22"/>
                <w:szCs w:val="22"/>
              </w:rPr>
              <w:t>H = D + G</w:t>
            </w:r>
          </w:p>
        </w:tc>
      </w:tr>
      <w:tr w:rsidR="00B878EC" w:rsidTr="00B878EC">
        <w:trPr>
          <w:gridAfter w:val="1"/>
          <w:wAfter w:w="16" w:type="dxa"/>
          <w:trHeight w:val="392"/>
        </w:trPr>
        <w:tc>
          <w:tcPr>
            <w:tcW w:w="1715" w:type="dxa"/>
            <w:tcBorders>
              <w:top w:val="single" w:color="auto" w:sz="8" w:space="0"/>
              <w:left w:val="single" w:color="auto" w:sz="8" w:space="0"/>
              <w:bottom w:val="single" w:color="auto" w:sz="8" w:space="0"/>
              <w:right w:val="single" w:color="auto" w:sz="4" w:space="0"/>
            </w:tcBorders>
            <w:noWrap/>
            <w:vAlign w:val="bottom"/>
            <w:hideMark/>
          </w:tcPr>
          <w:p w:rsidR="00B878EC" w:rsidRDefault="00B878EC">
            <w:pPr>
              <w:keepNext/>
              <w:keepLines/>
              <w:rPr>
                <w:rFonts w:cs="Times New Roman"/>
                <w:sz w:val="22"/>
                <w:szCs w:val="22"/>
              </w:rPr>
            </w:pPr>
            <w:r>
              <w:rPr>
                <w:rFonts w:cs="Times New Roman"/>
                <w:sz w:val="22"/>
                <w:szCs w:val="22"/>
              </w:rPr>
              <w:t>Annual Average</w:t>
            </w:r>
          </w:p>
        </w:tc>
        <w:tc>
          <w:tcPr>
            <w:tcW w:w="1444" w:type="dxa"/>
            <w:tcBorders>
              <w:top w:val="single" w:color="auto" w:sz="8" w:space="0"/>
              <w:left w:val="single" w:color="auto" w:sz="4" w:space="0"/>
              <w:bottom w:val="single" w:color="auto" w:sz="8" w:space="0"/>
              <w:right w:val="single" w:color="auto" w:sz="4" w:space="0"/>
            </w:tcBorders>
            <w:noWrap/>
            <w:vAlign w:val="bottom"/>
            <w:hideMark/>
          </w:tcPr>
          <w:p w:rsidR="00B878EC" w:rsidRDefault="00B878EC">
            <w:pPr>
              <w:keepNext/>
              <w:keepLines/>
              <w:jc w:val="right"/>
              <w:rPr>
                <w:rFonts w:cs="Times New Roman"/>
                <w:sz w:val="22"/>
                <w:szCs w:val="22"/>
              </w:rPr>
            </w:pPr>
            <w:r>
              <w:rPr>
                <w:sz w:val="22"/>
                <w:szCs w:val="22"/>
              </w:rPr>
              <w:t>4,663</w:t>
            </w:r>
          </w:p>
        </w:tc>
        <w:tc>
          <w:tcPr>
            <w:tcW w:w="1444" w:type="dxa"/>
            <w:tcBorders>
              <w:top w:val="single" w:color="auto" w:sz="8" w:space="0"/>
              <w:left w:val="nil"/>
              <w:bottom w:val="single" w:color="auto" w:sz="8" w:space="0"/>
              <w:right w:val="single" w:color="auto" w:sz="4" w:space="0"/>
            </w:tcBorders>
            <w:noWrap/>
            <w:vAlign w:val="center"/>
            <w:hideMark/>
          </w:tcPr>
          <w:p w:rsidR="00B878EC" w:rsidRDefault="00B878EC">
            <w:pPr>
              <w:keepNext/>
              <w:keepLines/>
              <w:jc w:val="right"/>
              <w:rPr>
                <w:rFonts w:cs="Times New Roman"/>
                <w:sz w:val="22"/>
                <w:szCs w:val="22"/>
              </w:rPr>
            </w:pPr>
            <w:r>
              <w:rPr>
                <w:sz w:val="22"/>
                <w:szCs w:val="22"/>
              </w:rPr>
              <w:t>0.083333</w:t>
            </w:r>
          </w:p>
        </w:tc>
        <w:tc>
          <w:tcPr>
            <w:tcW w:w="1444" w:type="dxa"/>
            <w:tcBorders>
              <w:top w:val="single" w:color="auto" w:sz="8" w:space="0"/>
              <w:left w:val="nil"/>
              <w:bottom w:val="single" w:color="auto" w:sz="8" w:space="0"/>
              <w:right w:val="single" w:color="auto" w:sz="4" w:space="0"/>
            </w:tcBorders>
            <w:noWrap/>
            <w:vAlign w:val="bottom"/>
            <w:hideMark/>
          </w:tcPr>
          <w:p w:rsidR="00B878EC" w:rsidRDefault="00B878EC">
            <w:pPr>
              <w:keepNext/>
              <w:keepLines/>
              <w:jc w:val="right"/>
              <w:rPr>
                <w:rFonts w:cs="Times New Roman"/>
                <w:sz w:val="22"/>
                <w:szCs w:val="22"/>
              </w:rPr>
            </w:pPr>
            <w:r>
              <w:rPr>
                <w:sz w:val="22"/>
                <w:szCs w:val="22"/>
              </w:rPr>
              <w:t>388.58</w:t>
            </w:r>
          </w:p>
        </w:tc>
        <w:tc>
          <w:tcPr>
            <w:tcW w:w="1535" w:type="dxa"/>
            <w:tcBorders>
              <w:top w:val="single" w:color="auto" w:sz="8" w:space="0"/>
              <w:left w:val="nil"/>
              <w:bottom w:val="single" w:color="auto" w:sz="8" w:space="0"/>
              <w:right w:val="single" w:color="auto" w:sz="4" w:space="0"/>
            </w:tcBorders>
            <w:noWrap/>
            <w:vAlign w:val="bottom"/>
            <w:hideMark/>
          </w:tcPr>
          <w:p w:rsidR="00B878EC" w:rsidRDefault="00B878EC">
            <w:pPr>
              <w:keepNext/>
              <w:keepLines/>
              <w:jc w:val="right"/>
              <w:rPr>
                <w:rFonts w:cs="Times New Roman"/>
                <w:sz w:val="22"/>
                <w:szCs w:val="22"/>
              </w:rPr>
            </w:pPr>
            <w:r>
              <w:rPr>
                <w:sz w:val="22"/>
                <w:szCs w:val="22"/>
              </w:rPr>
              <w:t>$10,028.13</w:t>
            </w:r>
          </w:p>
        </w:tc>
        <w:tc>
          <w:tcPr>
            <w:tcW w:w="1264" w:type="dxa"/>
            <w:tcBorders>
              <w:top w:val="single" w:color="auto" w:sz="8" w:space="0"/>
              <w:left w:val="nil"/>
              <w:bottom w:val="single" w:color="auto" w:sz="8" w:space="0"/>
              <w:right w:val="single" w:color="auto" w:sz="4" w:space="0"/>
            </w:tcBorders>
            <w:noWrap/>
            <w:vAlign w:val="center"/>
            <w:hideMark/>
          </w:tcPr>
          <w:p w:rsidR="00B878EC" w:rsidRDefault="00B878EC">
            <w:pPr>
              <w:keepNext/>
              <w:keepLines/>
              <w:jc w:val="right"/>
              <w:rPr>
                <w:rFonts w:cs="Times New Roman"/>
                <w:sz w:val="22"/>
                <w:szCs w:val="22"/>
              </w:rPr>
            </w:pPr>
            <w:r>
              <w:rPr>
                <w:sz w:val="22"/>
                <w:szCs w:val="22"/>
              </w:rPr>
              <w:t>0.0083333</w:t>
            </w:r>
          </w:p>
        </w:tc>
        <w:tc>
          <w:tcPr>
            <w:tcW w:w="1715" w:type="dxa"/>
            <w:tcBorders>
              <w:top w:val="single" w:color="auto" w:sz="8" w:space="0"/>
              <w:left w:val="nil"/>
              <w:bottom w:val="single" w:color="auto" w:sz="8" w:space="0"/>
              <w:right w:val="nil"/>
            </w:tcBorders>
            <w:noWrap/>
            <w:vAlign w:val="bottom"/>
            <w:hideMark/>
          </w:tcPr>
          <w:p w:rsidR="00B878EC" w:rsidRDefault="00B878EC">
            <w:pPr>
              <w:keepNext/>
              <w:keepLines/>
              <w:jc w:val="right"/>
              <w:rPr>
                <w:rFonts w:cs="Times New Roman"/>
                <w:sz w:val="22"/>
                <w:szCs w:val="22"/>
              </w:rPr>
            </w:pPr>
            <w:r>
              <w:rPr>
                <w:sz w:val="22"/>
                <w:szCs w:val="22"/>
              </w:rPr>
              <w:t>38.9</w:t>
            </w:r>
          </w:p>
        </w:tc>
        <w:tc>
          <w:tcPr>
            <w:tcW w:w="1715" w:type="dxa"/>
            <w:tcBorders>
              <w:top w:val="single" w:color="auto" w:sz="8" w:space="0"/>
              <w:left w:val="single" w:color="auto" w:sz="4" w:space="0"/>
              <w:bottom w:val="single" w:color="auto" w:sz="8" w:space="0"/>
              <w:right w:val="single" w:color="auto" w:sz="4" w:space="0"/>
            </w:tcBorders>
            <w:vAlign w:val="bottom"/>
            <w:hideMark/>
          </w:tcPr>
          <w:p w:rsidR="00B878EC" w:rsidRDefault="00B878EC">
            <w:pPr>
              <w:keepNext/>
              <w:keepLines/>
              <w:jc w:val="right"/>
              <w:rPr>
                <w:rFonts w:cs="Times New Roman"/>
                <w:sz w:val="22"/>
                <w:szCs w:val="22"/>
              </w:rPr>
            </w:pPr>
            <w:r>
              <w:rPr>
                <w:sz w:val="22"/>
                <w:szCs w:val="22"/>
              </w:rPr>
              <w:t>$1,874.56</w:t>
            </w:r>
          </w:p>
        </w:tc>
        <w:tc>
          <w:tcPr>
            <w:tcW w:w="1903" w:type="dxa"/>
            <w:tcBorders>
              <w:top w:val="single" w:color="auto" w:sz="8" w:space="0"/>
              <w:left w:val="nil"/>
              <w:bottom w:val="single" w:color="auto" w:sz="8" w:space="0"/>
              <w:right w:val="single" w:color="auto" w:sz="8" w:space="0"/>
            </w:tcBorders>
            <w:vAlign w:val="bottom"/>
            <w:hideMark/>
          </w:tcPr>
          <w:p w:rsidR="00B878EC" w:rsidRDefault="00B878EC">
            <w:pPr>
              <w:keepNext/>
              <w:keepLines/>
              <w:jc w:val="right"/>
              <w:rPr>
                <w:rFonts w:cs="Times New Roman"/>
                <w:sz w:val="22"/>
                <w:szCs w:val="22"/>
              </w:rPr>
            </w:pPr>
            <w:r>
              <w:rPr>
                <w:sz w:val="22"/>
                <w:szCs w:val="22"/>
              </w:rPr>
              <w:t>$11,902.69</w:t>
            </w:r>
          </w:p>
        </w:tc>
      </w:tr>
    </w:tbl>
    <w:p w:rsidR="00B878EC" w:rsidP="00B878EC" w:rsidRDefault="00B878EC">
      <w:pPr>
        <w:keepNext/>
        <w:keepLines/>
        <w:rPr>
          <w:bCs/>
          <w:szCs w:val="24"/>
        </w:rPr>
      </w:pPr>
      <w:r>
        <w:rPr>
          <w:rFonts w:cs="Times New Roman"/>
          <w:bCs/>
          <w:iCs/>
          <w:sz w:val="22"/>
          <w:szCs w:val="22"/>
        </w:rPr>
        <w:t xml:space="preserve">  Note: Calculations may not be exact due to rounding in the table.</w:t>
      </w:r>
    </w:p>
    <w:p w:rsidR="00B878EC" w:rsidP="00B878EC" w:rsidRDefault="00B878EC">
      <w:pPr>
        <w:rPr>
          <w:bCs/>
          <w:szCs w:val="24"/>
        </w:rPr>
        <w:sectPr w:rsidR="00B878EC">
          <w:pgSz w:w="15840" w:h="12240" w:orient="landscape"/>
          <w:pgMar w:top="1440" w:right="1440" w:bottom="1440" w:left="1440" w:header="720" w:footer="720" w:gutter="0"/>
          <w:pgNumType w:start="1"/>
          <w:cols w:space="720"/>
        </w:sectPr>
      </w:pPr>
    </w:p>
    <w:p w:rsidR="00B878EC" w:rsidP="00B878EC" w:rsidRDefault="00B878EC">
      <w:pPr>
        <w:autoSpaceDE w:val="0"/>
        <w:autoSpaceDN w:val="0"/>
        <w:adjustRightInd w:val="0"/>
        <w:ind w:left="360"/>
        <w:rPr>
          <w:rFonts w:cs="Times New Roman"/>
          <w:bCs/>
          <w:iCs/>
          <w:sz w:val="20"/>
        </w:rPr>
      </w:pPr>
    </w:p>
    <w:p w:rsidR="00B878EC" w:rsidP="00B878EC" w:rsidRDefault="00B878EC">
      <w:pPr>
        <w:autoSpaceDE w:val="0"/>
        <w:autoSpaceDN w:val="0"/>
        <w:adjustRightInd w:val="0"/>
        <w:ind w:left="360"/>
        <w:rPr>
          <w:rFonts w:cs="Times New Roman"/>
          <w:bCs/>
          <w:i/>
          <w:iCs/>
          <w:u w:val="single"/>
        </w:rPr>
      </w:pPr>
      <w:r>
        <w:rPr>
          <w:rFonts w:cs="Times New Roman"/>
          <w:bCs/>
          <w:iCs/>
        </w:rPr>
        <w:t xml:space="preserve"> </w:t>
      </w:r>
      <w:r>
        <w:rPr>
          <w:rFonts w:cs="Times New Roman"/>
          <w:bCs/>
          <w:i/>
          <w:iCs/>
          <w:u w:val="single"/>
        </w:rPr>
        <w:t>Printing Costs for Comment Cards</w:t>
      </w:r>
    </w:p>
    <w:p w:rsidR="00B878EC" w:rsidP="00B878EC" w:rsidRDefault="00B878EC">
      <w:pPr>
        <w:keepNext/>
        <w:autoSpaceDE w:val="0"/>
        <w:autoSpaceDN w:val="0"/>
        <w:adjustRightInd w:val="0"/>
        <w:ind w:left="360"/>
        <w:rPr>
          <w:rFonts w:cs="Times New Roman"/>
          <w:bCs/>
          <w:iCs/>
        </w:rPr>
      </w:pPr>
    </w:p>
    <w:p w:rsidR="00B878EC" w:rsidP="00B878EC" w:rsidRDefault="00B878EC">
      <w:pPr>
        <w:autoSpaceDE w:val="0"/>
        <w:autoSpaceDN w:val="0"/>
        <w:adjustRightInd w:val="0"/>
        <w:ind w:left="360"/>
        <w:rPr>
          <w:rFonts w:cs="Times New Roman"/>
          <w:bCs/>
          <w:iCs/>
          <w:sz w:val="22"/>
          <w:szCs w:val="22"/>
        </w:rPr>
      </w:pPr>
      <w:r>
        <w:rPr>
          <w:rFonts w:cs="Times New Roman"/>
          <w:bCs/>
          <w:iCs/>
        </w:rPr>
        <w:t>TSA estimates an estimated annual cost of $347.50</w:t>
      </w:r>
      <w:r>
        <w:rPr>
          <w:rFonts w:cs="Times New Roman"/>
          <w:bCs/>
          <w:sz w:val="22"/>
          <w:szCs w:val="22"/>
          <w:vertAlign w:val="superscript"/>
        </w:rPr>
        <w:footnoteReference w:id="7"/>
      </w:r>
      <w:r>
        <w:rPr>
          <w:rFonts w:cs="Times New Roman"/>
          <w:bCs/>
          <w:iCs/>
        </w:rPr>
        <w:t xml:space="preserve"> to the Federal government for printing comment cards.</w:t>
      </w:r>
      <w:r>
        <w:rPr>
          <w:rFonts w:cs="Times New Roman"/>
          <w:bCs/>
          <w:iCs/>
          <w:sz w:val="22"/>
          <w:szCs w:val="22"/>
        </w:rPr>
        <w:t xml:space="preserve">  </w:t>
      </w:r>
      <w:r>
        <w:rPr>
          <w:rFonts w:cs="Times New Roman"/>
          <w:bCs/>
          <w:iCs/>
          <w:szCs w:val="24"/>
        </w:rPr>
        <w:t xml:space="preserve"> </w:t>
      </w:r>
    </w:p>
    <w:p w:rsidR="00B878EC" w:rsidP="00B878EC" w:rsidRDefault="00B878EC">
      <w:pPr>
        <w:pStyle w:val="BodyTextIndent2"/>
        <w:autoSpaceDE w:val="0"/>
        <w:autoSpaceDN w:val="0"/>
        <w:adjustRightInd w:val="0"/>
        <w:spacing w:after="0" w:line="240" w:lineRule="auto"/>
        <w:rPr>
          <w:rFonts w:cs="Times New Roman"/>
          <w:bCs/>
          <w:iCs/>
        </w:rPr>
      </w:pPr>
    </w:p>
    <w:p w:rsidR="00B878EC" w:rsidP="00875757" w:rsidRDefault="00B878EC">
      <w:pPr>
        <w:ind w:left="360"/>
        <w:rPr>
          <w:rFonts w:cs="Times New Roman"/>
          <w:szCs w:val="24"/>
        </w:rPr>
      </w:pPr>
      <w:r>
        <w:rPr>
          <w:rFonts w:cs="Times New Roman"/>
          <w:bCs/>
          <w:iCs/>
          <w:szCs w:val="24"/>
        </w:rPr>
        <w:t xml:space="preserve">The total annual cost of this collection to the federal government is </w:t>
      </w:r>
      <w:r>
        <w:rPr>
          <w:rFonts w:cs="Times New Roman"/>
          <w:szCs w:val="24"/>
        </w:rPr>
        <w:t xml:space="preserve">$27,939.50 + </w:t>
      </w:r>
      <w:r>
        <w:rPr>
          <w:szCs w:val="24"/>
        </w:rPr>
        <w:t xml:space="preserve">$195,901.49 + </w:t>
      </w:r>
      <w:r>
        <w:rPr>
          <w:sz w:val="22"/>
          <w:szCs w:val="22"/>
        </w:rPr>
        <w:t>$11,902.69</w:t>
      </w:r>
      <w:r>
        <w:rPr>
          <w:szCs w:val="24"/>
        </w:rPr>
        <w:t xml:space="preserve"> + </w:t>
      </w:r>
      <w:r>
        <w:rPr>
          <w:rFonts w:cs="Times New Roman"/>
          <w:bCs/>
          <w:iCs/>
          <w:szCs w:val="24"/>
        </w:rPr>
        <w:t>$347.50</w:t>
      </w:r>
      <w:r>
        <w:rPr>
          <w:szCs w:val="24"/>
        </w:rPr>
        <w:t xml:space="preserve"> </w:t>
      </w:r>
      <w:r>
        <w:rPr>
          <w:rFonts w:cs="Times New Roman"/>
          <w:szCs w:val="24"/>
        </w:rPr>
        <w:t>= $236,091.18.</w:t>
      </w:r>
    </w:p>
    <w:p w:rsidR="00CA3971" w:rsidP="00875757" w:rsidRDefault="00CA3971">
      <w:pPr>
        <w:ind w:left="360"/>
        <w:rPr>
          <w:rFonts w:ascii="Calibri" w:hAnsi="Calibri" w:cs="Calibri"/>
          <w:sz w:val="22"/>
          <w:szCs w:val="22"/>
        </w:rPr>
      </w:pPr>
    </w:p>
    <w:p w:rsidR="00320387" w:rsidP="008074F4" w:rsidRDefault="00320387">
      <w:pPr>
        <w:numPr>
          <w:ilvl w:val="0"/>
          <w:numId w:val="1"/>
        </w:numPr>
        <w:tabs>
          <w:tab w:val="left" w:pos="360"/>
        </w:tabs>
        <w:rPr>
          <w:b/>
          <w:i/>
        </w:rPr>
      </w:pPr>
      <w:r>
        <w:rPr>
          <w:b/>
          <w:i/>
        </w:rPr>
        <w:t>Explain the reasons for any program changes or adjustments reported in Items 13 or 14 of the OMB Form 83-I.</w:t>
      </w:r>
    </w:p>
    <w:p w:rsidR="00320387" w:rsidP="008074F4" w:rsidRDefault="00320387">
      <w:pPr>
        <w:numPr>
          <w:ilvl w:val="12"/>
          <w:numId w:val="0"/>
        </w:numPr>
        <w:ind w:left="360"/>
      </w:pPr>
    </w:p>
    <w:p w:rsidR="00440465" w:rsidP="008074F4" w:rsidRDefault="00FC4B18">
      <w:pPr>
        <w:numPr>
          <w:ilvl w:val="12"/>
          <w:numId w:val="0"/>
        </w:numPr>
        <w:ind w:left="360"/>
      </w:pPr>
      <w:r>
        <w:t xml:space="preserve">There have been no program changes or adjustments.  However, TSA has moved from 4 to 6 online forms.  </w:t>
      </w:r>
      <w:r w:rsidR="00A53A1E">
        <w:t>These online submission forms</w:t>
      </w:r>
      <w:r>
        <w:t>,</w:t>
      </w:r>
      <w:r w:rsidR="00A53A1E">
        <w:t xml:space="preserve"> </w:t>
      </w:r>
      <w:r>
        <w:t xml:space="preserve">as discussed in the response to Question 2, </w:t>
      </w:r>
      <w:r w:rsidR="00A53A1E">
        <w:t xml:space="preserve">include the </w:t>
      </w:r>
      <w:r>
        <w:t>Complaint, Compliment, TSA PreCheck, Request for Information, TSA Cares</w:t>
      </w:r>
      <w:r w:rsidR="001A5607">
        <w:t>,</w:t>
      </w:r>
      <w:r>
        <w:t xml:space="preserve"> and </w:t>
      </w:r>
      <w:r w:rsidR="00A53A1E">
        <w:t>Security Issue.</w:t>
      </w:r>
    </w:p>
    <w:p w:rsidR="00320387" w:rsidP="008074F4" w:rsidRDefault="00320387">
      <w:pPr>
        <w:pStyle w:val="IndexHeading"/>
        <w:keepNext w:val="0"/>
        <w:numPr>
          <w:ilvl w:val="12"/>
          <w:numId w:val="0"/>
        </w:numPr>
        <w:spacing w:line="240" w:lineRule="auto"/>
        <w:rPr>
          <w:rFonts w:ascii="Times New Roman" w:hAnsi="Times New Roman"/>
          <w:spacing w:val="0"/>
        </w:rPr>
      </w:pPr>
    </w:p>
    <w:p w:rsidR="00320387" w:rsidP="008074F4" w:rsidRDefault="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8074F4" w:rsidRDefault="00320387">
      <w:pPr>
        <w:keepNext/>
        <w:numPr>
          <w:ilvl w:val="12"/>
          <w:numId w:val="0"/>
        </w:numPr>
        <w:ind w:left="360"/>
      </w:pPr>
    </w:p>
    <w:p w:rsidR="00440465" w:rsidP="008074F4" w:rsidRDefault="00440465">
      <w:pPr>
        <w:numPr>
          <w:ilvl w:val="12"/>
          <w:numId w:val="0"/>
        </w:numPr>
        <w:ind w:left="360"/>
      </w:pPr>
      <w:r>
        <w:t>TSA will not publish this information.</w:t>
      </w:r>
    </w:p>
    <w:p w:rsidR="00320387" w:rsidP="008074F4" w:rsidRDefault="00320387">
      <w:pPr>
        <w:pStyle w:val="IndexHeading"/>
        <w:keepNext w:val="0"/>
        <w:numPr>
          <w:ilvl w:val="12"/>
          <w:numId w:val="0"/>
        </w:numPr>
        <w:spacing w:line="240" w:lineRule="auto"/>
        <w:rPr>
          <w:rFonts w:ascii="Times New Roman" w:hAnsi="Times New Roman"/>
          <w:spacing w:val="0"/>
        </w:rPr>
      </w:pPr>
    </w:p>
    <w:p w:rsidR="00320387" w:rsidP="008074F4" w:rsidRDefault="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8074F4" w:rsidRDefault="00320387">
      <w:pPr>
        <w:keepNext/>
        <w:numPr>
          <w:ilvl w:val="12"/>
          <w:numId w:val="0"/>
        </w:numPr>
        <w:ind w:left="360"/>
      </w:pPr>
    </w:p>
    <w:p w:rsidR="00440465" w:rsidP="008074F4" w:rsidRDefault="007E3DC8">
      <w:pPr>
        <w:numPr>
          <w:ilvl w:val="12"/>
          <w:numId w:val="0"/>
        </w:numPr>
        <w:ind w:left="360"/>
      </w:pPr>
      <w:r>
        <w:t>TSA is not seeking such approval</w:t>
      </w:r>
      <w:r w:rsidR="00440465">
        <w:t>.</w:t>
      </w:r>
    </w:p>
    <w:p w:rsidR="00320387" w:rsidP="008074F4" w:rsidRDefault="00320387">
      <w:pPr>
        <w:numPr>
          <w:ilvl w:val="12"/>
          <w:numId w:val="0"/>
        </w:numPr>
        <w:tabs>
          <w:tab w:val="left" w:pos="360"/>
        </w:tabs>
      </w:pPr>
    </w:p>
    <w:p w:rsidR="00320387" w:rsidP="008074F4" w:rsidRDefault="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8074F4" w:rsidRDefault="00320387">
      <w:pPr>
        <w:keepNext/>
        <w:numPr>
          <w:ilvl w:val="12"/>
          <w:numId w:val="0"/>
        </w:numPr>
        <w:ind w:left="360"/>
      </w:pPr>
    </w:p>
    <w:p w:rsidR="003C0F11" w:rsidP="008074F4" w:rsidRDefault="00440465">
      <w:pPr>
        <w:ind w:firstLine="360"/>
      </w:pPr>
      <w:r>
        <w:t>TSA is not seeking any exceptions to the certification statement.</w:t>
      </w:r>
    </w:p>
    <w:sectPr w:rsidR="003C0F11" w:rsidSect="008074F4">
      <w:head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86C" w:rsidRDefault="0021686C">
      <w:r>
        <w:separator/>
      </w:r>
    </w:p>
  </w:endnote>
  <w:endnote w:type="continuationSeparator" w:id="0">
    <w:p w:rsidR="0021686C" w:rsidRDefault="0021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01C" w:rsidRDefault="003F401C">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86C" w:rsidRDefault="0021686C">
      <w:r>
        <w:separator/>
      </w:r>
    </w:p>
  </w:footnote>
  <w:footnote w:type="continuationSeparator" w:id="0">
    <w:p w:rsidR="0021686C" w:rsidRDefault="0021686C">
      <w:r>
        <w:continuationSeparator/>
      </w:r>
    </w:p>
  </w:footnote>
  <w:footnote w:id="1">
    <w:p w:rsidR="00535EAF" w:rsidRDefault="00535EAF" w:rsidP="00535EAF">
      <w:pPr>
        <w:pStyle w:val="FootnoteText"/>
      </w:pPr>
      <w:r>
        <w:rPr>
          <w:rStyle w:val="FootnoteReference"/>
        </w:rPr>
        <w:footnoteRef/>
      </w:r>
      <w:r>
        <w:t xml:space="preserve"> </w:t>
      </w:r>
      <w:r w:rsidRPr="000E1ADE">
        <w:t xml:space="preserve">GAO, Air Passenger Screening: Transportation Security Administration Could Improve Complaint Processes, </w:t>
      </w:r>
      <w:r w:rsidRPr="0010466D">
        <w:t>GAO-13-43 (Washington, D.C.: Nov. 15, 2012)</w:t>
      </w:r>
      <w:r>
        <w:t>,</w:t>
      </w:r>
      <w:r w:rsidRPr="0010466D">
        <w:t xml:space="preserve"> </w:t>
      </w:r>
      <w:hyperlink r:id="rId1" w:history="1">
        <w:r w:rsidRPr="007D198E">
          <w:rPr>
            <w:rStyle w:val="Hyperlink"/>
          </w:rPr>
          <w:t>http://www.gao.gov/products/GAO-13-43</w:t>
        </w:r>
      </w:hyperlink>
      <w:r w:rsidRPr="0010466D">
        <w:t>.</w:t>
      </w:r>
    </w:p>
  </w:footnote>
  <w:footnote w:id="2">
    <w:p w:rsidR="00535EAF" w:rsidRDefault="00535EAF" w:rsidP="00535EAF">
      <w:pPr>
        <w:pStyle w:val="FootnoteText"/>
      </w:pPr>
      <w:r>
        <w:rPr>
          <w:rStyle w:val="FootnoteReference"/>
        </w:rPr>
        <w:footnoteRef/>
      </w:r>
      <w:r>
        <w:t xml:space="preserve"> Under 49 CFR 1503.3(a), TSA is required to provide a receipt to any person who reports a security problem, deficiency or vulnerability</w:t>
      </w:r>
      <w:r w:rsidRPr="00B4642B">
        <w:t>.</w:t>
      </w:r>
    </w:p>
  </w:footnote>
  <w:footnote w:id="3">
    <w:p w:rsidR="00D57126" w:rsidRDefault="00D57126" w:rsidP="00D57126">
      <w:pPr>
        <w:pStyle w:val="FootnoteText"/>
      </w:pPr>
      <w:r>
        <w:rPr>
          <w:rStyle w:val="FootnoteReference"/>
        </w:rPr>
        <w:t>1</w:t>
      </w:r>
      <w:r w:rsidRPr="000E1ADE">
        <w:t xml:space="preserve">GAO, Air Passenger Screening: Transportation Security Administration Could Improve Complaint Processes, </w:t>
      </w:r>
      <w:r w:rsidRPr="0010466D">
        <w:t>GAO-13-43 (Washington, D.C.: Nov. 15, 2012)</w:t>
      </w:r>
      <w:r>
        <w:t>,</w:t>
      </w:r>
      <w:r w:rsidRPr="0010466D">
        <w:t xml:space="preserve"> </w:t>
      </w:r>
      <w:hyperlink r:id="rId2" w:history="1">
        <w:r w:rsidRPr="007D198E">
          <w:rPr>
            <w:rStyle w:val="Hyperlink"/>
          </w:rPr>
          <w:t>http://www.gao.gov/products/GAO-13-43</w:t>
        </w:r>
      </w:hyperlink>
      <w:r w:rsidRPr="0010466D">
        <w:t>.</w:t>
      </w:r>
    </w:p>
    <w:p w:rsidR="003F401C" w:rsidRDefault="003F401C" w:rsidP="00B878EC">
      <w:pPr>
        <w:pStyle w:val="FootnoteText"/>
      </w:pPr>
      <w:r>
        <w:rPr>
          <w:rStyle w:val="FootnoteReference"/>
        </w:rPr>
        <w:footnoteRef/>
      </w:r>
      <w:r>
        <w:t xml:space="preserve"> For all workers in the private nonfarm economy, except those in private households, and workers in the public sector, except the Federal government total compensation, is $35.28.  Source: BLS Economic News Release, Employer Costs for Employee Compensation December 2020).  Table 1.   Employer costs per hour worked for employee compensation and costs as a percent of total compensation: civilian workers, by major occupational and industry group.  Data as of December 2020, Released March 18, 2021.   </w:t>
      </w:r>
      <w:hyperlink r:id="rId3" w:history="1">
        <w:r>
          <w:rPr>
            <w:rStyle w:val="Hyperlink"/>
          </w:rPr>
          <w:t>https://www.bls.gov/news.release/archives/ecec_03182021.htm</w:t>
        </w:r>
      </w:hyperlink>
      <w:r>
        <w:t xml:space="preserve"> </w:t>
      </w:r>
    </w:p>
  </w:footnote>
  <w:footnote w:id="4">
    <w:p w:rsidR="003F401C" w:rsidRDefault="003F401C" w:rsidP="00B878EC">
      <w:pPr>
        <w:pStyle w:val="FootnoteText"/>
      </w:pPr>
      <w:r>
        <w:rPr>
          <w:rStyle w:val="FootnoteReference"/>
        </w:rPr>
        <w:footnoteRef/>
      </w:r>
      <w:r>
        <w:t xml:space="preserve"> The federal employee reviewing the cards could be a Pay</w:t>
      </w:r>
      <w:r w:rsidR="0021726F">
        <w:t xml:space="preserve"> </w:t>
      </w:r>
      <w:r>
        <w:t>band G, H, or I level employee, so TSA calculates a blended wage rate of $28.78 + $43.21 + $72.73 = $48.24.</w:t>
      </w:r>
    </w:p>
  </w:footnote>
  <w:footnote w:id="5">
    <w:p w:rsidR="003F401C" w:rsidRDefault="003F401C" w:rsidP="00B878EC">
      <w:pPr>
        <w:pStyle w:val="FootnoteText"/>
      </w:pPr>
      <w:r>
        <w:rPr>
          <w:rStyle w:val="FootnoteReference"/>
        </w:rPr>
        <w:footnoteRef/>
      </w:r>
      <w:r>
        <w:t xml:space="preserve"> The contractor wage rate is equivalent to a Pay</w:t>
      </w:r>
      <w:r w:rsidR="0021726F">
        <w:t xml:space="preserve"> </w:t>
      </w:r>
      <w:r>
        <w:t>band D TSA employee.</w:t>
      </w:r>
    </w:p>
  </w:footnote>
  <w:footnote w:id="6">
    <w:p w:rsidR="003F401C" w:rsidRDefault="003F401C" w:rsidP="00B878EC">
      <w:pPr>
        <w:pStyle w:val="FootnoteText"/>
      </w:pPr>
      <w:r>
        <w:rPr>
          <w:rStyle w:val="FootnoteReference"/>
        </w:rPr>
        <w:footnoteRef/>
      </w:r>
      <w:r>
        <w:t xml:space="preserve"> See footnote 5.</w:t>
      </w:r>
    </w:p>
  </w:footnote>
  <w:footnote w:id="7">
    <w:p w:rsidR="003F401C" w:rsidRDefault="003F401C" w:rsidP="00B878EC">
      <w:pPr>
        <w:pStyle w:val="FootnoteText"/>
        <w:ind w:left="180" w:hanging="180"/>
      </w:pPr>
      <w:r>
        <w:rPr>
          <w:rStyle w:val="FootnoteReference"/>
        </w:rPr>
        <w:footnoteRef/>
      </w:r>
      <w:r>
        <w:t xml:space="preserve"> TSA assumes the number of comment cards printed for each year is equal to the number of respondents in each year. According to a TSA subject matter expert, it costs $0.05 to print a comment card.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01C" w:rsidRDefault="003F401C" w:rsidP="004D0FC2">
    <w:pPr>
      <w:pStyle w:val="Title"/>
      <w:keepNext w:val="0"/>
      <w:keepLines w:val="0"/>
      <w:pBdr>
        <w:top w:val="none" w:sz="0" w:space="0" w:color="auto"/>
      </w:pBdr>
      <w:spacing w:before="0" w:after="0" w:line="240" w:lineRule="auto"/>
      <w:jc w:val="center"/>
    </w:pPr>
    <w:r>
      <w:rPr>
        <w:rFonts w:ascii="Times New Roman" w:hAnsi="Times New Roman"/>
        <w:b/>
        <w:i/>
        <w:spacing w:val="0"/>
        <w:sz w:val="28"/>
      </w:rPr>
      <w:t>INFORMATION COLLECTION SUPPORTING STATEMENT</w:t>
    </w:r>
  </w:p>
  <w:p w:rsidR="003F401C" w:rsidRDefault="003F401C" w:rsidP="004D0FC2">
    <w:pPr>
      <w:jc w:val="center"/>
      <w:rPr>
        <w:rFonts w:cs="Times New Roman"/>
        <w:b/>
        <w:sz w:val="28"/>
      </w:rPr>
    </w:pPr>
  </w:p>
  <w:p w:rsidR="003F401C" w:rsidRDefault="003F401C" w:rsidP="004D0FC2">
    <w:pPr>
      <w:jc w:val="center"/>
      <w:rPr>
        <w:rFonts w:cs="Times New Roman"/>
        <w:b/>
      </w:rPr>
    </w:pPr>
    <w:r>
      <w:rPr>
        <w:rFonts w:cs="Times New Roman"/>
        <w:b/>
      </w:rPr>
      <w:t>TSA Customer Comment Tools</w:t>
    </w:r>
  </w:p>
  <w:p w:rsidR="003F401C" w:rsidRDefault="003F401C" w:rsidP="004D0FC2">
    <w:pPr>
      <w:jc w:val="center"/>
      <w:rPr>
        <w:rFonts w:cs="Times New Roman"/>
        <w:b/>
      </w:rPr>
    </w:pPr>
    <w:r>
      <w:rPr>
        <w:rFonts w:cs="Times New Roman"/>
        <w:b/>
      </w:rPr>
      <w:t>OMB Control Number 1652-0030</w:t>
    </w:r>
  </w:p>
  <w:p w:rsidR="003F401C" w:rsidRDefault="003F401C" w:rsidP="004D0FC2">
    <w:pPr>
      <w:jc w:val="center"/>
      <w:rPr>
        <w:rFonts w:cs="Times New Roman"/>
        <w:b/>
      </w:rPr>
    </w:pPr>
    <w:r>
      <w:rPr>
        <w:rFonts w:cs="Times New Roman"/>
        <w:b/>
      </w:rPr>
      <w:t>Exp. 4/30/2022</w:t>
    </w:r>
  </w:p>
  <w:p w:rsidR="003F401C" w:rsidRDefault="003F4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01C" w:rsidRDefault="003F401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Pr>
        <w:rStyle w:val="PageNumber"/>
        <w:rFonts w:ascii="Times New Roman" w:hAnsi="Times New Roman"/>
        <w:noProof/>
        <w:sz w:val="24"/>
      </w:rPr>
      <w:t>14</w:t>
    </w:r>
    <w:r>
      <w:rPr>
        <w:rStyle w:val="PageNumber"/>
        <w:rFonts w:ascii="Times New Roman" w:hAnsi="Times New Roman"/>
        <w:sz w:val="24"/>
      </w:rPr>
      <w:fldChar w:fldCharType="end"/>
    </w:r>
  </w:p>
  <w:p w:rsidR="003F401C" w:rsidRPr="00320387" w:rsidRDefault="003F401C">
    <w:pPr>
      <w:pStyle w:val="Header"/>
      <w:keepLines w:val="0"/>
      <w:spacing w:line="240" w:lineRule="auto"/>
      <w:ind w:left="0"/>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01C" w:rsidRPr="008074F4" w:rsidRDefault="003F401C" w:rsidP="009A5224">
    <w:pPr>
      <w:pStyle w:val="Title"/>
      <w:keepNext w:val="0"/>
      <w:keepLines w:val="0"/>
      <w:pBdr>
        <w:top w:val="none" w:sz="0" w:space="0" w:color="auto"/>
      </w:pBdr>
      <w:spacing w:before="0" w:after="0" w:line="240" w:lineRule="auto"/>
      <w:jc w:val="center"/>
      <w:rPr>
        <w:rFonts w:ascii="Times New Roman" w:hAnsi="Times New Roman"/>
        <w:b/>
        <w:spacing w:val="0"/>
        <w:sz w:val="24"/>
        <w:szCs w:val="24"/>
      </w:rPr>
    </w:pPr>
    <w:r w:rsidRPr="008074F4">
      <w:rPr>
        <w:rFonts w:ascii="Times New Roman" w:hAnsi="Times New Roman"/>
        <w:b/>
        <w:spacing w:val="0"/>
        <w:sz w:val="24"/>
        <w:szCs w:val="24"/>
      </w:rPr>
      <w:t>INFORMATION COLLECTION SUPPORTING STATEMENT</w:t>
    </w:r>
  </w:p>
  <w:p w:rsidR="003F401C" w:rsidRPr="008074F4" w:rsidRDefault="003F401C" w:rsidP="009A5224">
    <w:pPr>
      <w:jc w:val="center"/>
      <w:rPr>
        <w:rFonts w:cs="Times New Roman"/>
        <w:b/>
        <w:szCs w:val="24"/>
      </w:rPr>
    </w:pPr>
  </w:p>
  <w:p w:rsidR="003F401C" w:rsidRPr="008074F4" w:rsidRDefault="003F401C" w:rsidP="009A5224">
    <w:pPr>
      <w:jc w:val="center"/>
      <w:rPr>
        <w:rFonts w:cs="Times New Roman"/>
        <w:iCs/>
        <w:szCs w:val="24"/>
      </w:rPr>
    </w:pPr>
    <w:r w:rsidRPr="008074F4">
      <w:rPr>
        <w:rFonts w:cs="Times New Roman"/>
        <w:bCs/>
        <w:szCs w:val="24"/>
      </w:rPr>
      <w:t>REVISION OF A CURRENTLY APPROVED COLLECTION</w:t>
    </w:r>
  </w:p>
  <w:p w:rsidR="003F401C" w:rsidRPr="008074F4" w:rsidRDefault="003F401C" w:rsidP="009A5224">
    <w:pPr>
      <w:jc w:val="center"/>
      <w:rPr>
        <w:rFonts w:cs="Times New Roman"/>
        <w:b/>
        <w:szCs w:val="24"/>
      </w:rPr>
    </w:pPr>
  </w:p>
  <w:p w:rsidR="003F401C" w:rsidRPr="008074F4" w:rsidRDefault="003F401C" w:rsidP="009A5224">
    <w:pPr>
      <w:jc w:val="center"/>
      <w:rPr>
        <w:rFonts w:cs="Times New Roman"/>
        <w:b/>
        <w:iCs/>
        <w:szCs w:val="24"/>
      </w:rPr>
    </w:pPr>
    <w:r w:rsidRPr="008074F4">
      <w:rPr>
        <w:rFonts w:cs="Times New Roman"/>
        <w:b/>
        <w:iCs/>
        <w:szCs w:val="24"/>
      </w:rPr>
      <w:t xml:space="preserve">TSA CUSTOMER </w:t>
    </w:r>
    <w:r>
      <w:rPr>
        <w:rFonts w:cs="Times New Roman"/>
        <w:b/>
        <w:iCs/>
        <w:szCs w:val="24"/>
      </w:rPr>
      <w:t>COMMENT TOOLS</w:t>
    </w:r>
  </w:p>
  <w:p w:rsidR="003F401C" w:rsidRPr="008074F4" w:rsidRDefault="003F401C" w:rsidP="009A5224">
    <w:pPr>
      <w:jc w:val="center"/>
      <w:rPr>
        <w:rFonts w:cs="Times New Roman"/>
        <w:b/>
        <w:iCs/>
        <w:szCs w:val="24"/>
      </w:rPr>
    </w:pPr>
  </w:p>
  <w:p w:rsidR="003F401C" w:rsidRPr="008074F4" w:rsidRDefault="003F401C" w:rsidP="009A5224">
    <w:pPr>
      <w:jc w:val="center"/>
      <w:rPr>
        <w:rFonts w:cs="Times New Roman"/>
        <w:b/>
        <w:iCs/>
        <w:szCs w:val="24"/>
      </w:rPr>
    </w:pPr>
    <w:r w:rsidRPr="008074F4">
      <w:rPr>
        <w:rFonts w:cs="Times New Roman"/>
        <w:b/>
        <w:iCs/>
        <w:szCs w:val="24"/>
      </w:rPr>
      <w:t>1652-0030</w:t>
    </w:r>
  </w:p>
  <w:p w:rsidR="003F401C" w:rsidRDefault="003F401C" w:rsidP="005C3E73">
    <w:pPr>
      <w:pStyle w:val="Header"/>
      <w:keepLines w:val="0"/>
      <w:ind w:firstLine="72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15:restartNumberingAfterBreak="0">
    <w:nsid w:val="1FE01703"/>
    <w:multiLevelType w:val="hybridMultilevel"/>
    <w:tmpl w:val="885E29D4"/>
    <w:lvl w:ilvl="0" w:tplc="2746E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D7A1B"/>
    <w:multiLevelType w:val="hybridMultilevel"/>
    <w:tmpl w:val="6F384B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0704"/>
    <w:rsid w:val="00007275"/>
    <w:rsid w:val="00011F66"/>
    <w:rsid w:val="00015E23"/>
    <w:rsid w:val="000163DE"/>
    <w:rsid w:val="00016A2D"/>
    <w:rsid w:val="000173B5"/>
    <w:rsid w:val="00021DA3"/>
    <w:rsid w:val="000243B7"/>
    <w:rsid w:val="0003406E"/>
    <w:rsid w:val="0003681C"/>
    <w:rsid w:val="000423C3"/>
    <w:rsid w:val="00054C5A"/>
    <w:rsid w:val="00057AEB"/>
    <w:rsid w:val="000635EF"/>
    <w:rsid w:val="0006480C"/>
    <w:rsid w:val="00065765"/>
    <w:rsid w:val="00066A4D"/>
    <w:rsid w:val="000732B0"/>
    <w:rsid w:val="000740C5"/>
    <w:rsid w:val="00074538"/>
    <w:rsid w:val="00074EF3"/>
    <w:rsid w:val="00075A75"/>
    <w:rsid w:val="0008275F"/>
    <w:rsid w:val="00086CAD"/>
    <w:rsid w:val="00087F14"/>
    <w:rsid w:val="00091F2A"/>
    <w:rsid w:val="00092447"/>
    <w:rsid w:val="00093043"/>
    <w:rsid w:val="000A29FB"/>
    <w:rsid w:val="000A3DD5"/>
    <w:rsid w:val="000A4946"/>
    <w:rsid w:val="000A5B51"/>
    <w:rsid w:val="000B594B"/>
    <w:rsid w:val="000B5CB2"/>
    <w:rsid w:val="000B74A5"/>
    <w:rsid w:val="000C0469"/>
    <w:rsid w:val="000C0A75"/>
    <w:rsid w:val="000C3CA5"/>
    <w:rsid w:val="000D22C2"/>
    <w:rsid w:val="000D715C"/>
    <w:rsid w:val="000E1ADE"/>
    <w:rsid w:val="000F44C0"/>
    <w:rsid w:val="000F7683"/>
    <w:rsid w:val="0010466D"/>
    <w:rsid w:val="00106482"/>
    <w:rsid w:val="0011371A"/>
    <w:rsid w:val="001157FB"/>
    <w:rsid w:val="00120A21"/>
    <w:rsid w:val="00123A72"/>
    <w:rsid w:val="00124587"/>
    <w:rsid w:val="00124B6B"/>
    <w:rsid w:val="00133BBA"/>
    <w:rsid w:val="001369CA"/>
    <w:rsid w:val="00137813"/>
    <w:rsid w:val="00140044"/>
    <w:rsid w:val="00141D20"/>
    <w:rsid w:val="001429F6"/>
    <w:rsid w:val="001451CF"/>
    <w:rsid w:val="00145CE2"/>
    <w:rsid w:val="00156318"/>
    <w:rsid w:val="00157C22"/>
    <w:rsid w:val="00160FE4"/>
    <w:rsid w:val="00164287"/>
    <w:rsid w:val="0016498B"/>
    <w:rsid w:val="00164DF6"/>
    <w:rsid w:val="00166A51"/>
    <w:rsid w:val="00176E1A"/>
    <w:rsid w:val="0018081F"/>
    <w:rsid w:val="00180823"/>
    <w:rsid w:val="0018121E"/>
    <w:rsid w:val="00182CBC"/>
    <w:rsid w:val="00183FEF"/>
    <w:rsid w:val="00184DFC"/>
    <w:rsid w:val="00186598"/>
    <w:rsid w:val="001865C8"/>
    <w:rsid w:val="00186C03"/>
    <w:rsid w:val="00187F0B"/>
    <w:rsid w:val="0019213E"/>
    <w:rsid w:val="001A0216"/>
    <w:rsid w:val="001A30AA"/>
    <w:rsid w:val="001A5607"/>
    <w:rsid w:val="001A7ADD"/>
    <w:rsid w:val="001B2060"/>
    <w:rsid w:val="001B42CB"/>
    <w:rsid w:val="001B509A"/>
    <w:rsid w:val="001C0C39"/>
    <w:rsid w:val="001C13EE"/>
    <w:rsid w:val="001C460D"/>
    <w:rsid w:val="001C6BFB"/>
    <w:rsid w:val="001D0B3B"/>
    <w:rsid w:val="001E5737"/>
    <w:rsid w:val="001E5CB9"/>
    <w:rsid w:val="001F0603"/>
    <w:rsid w:val="001F0CA1"/>
    <w:rsid w:val="001F31FF"/>
    <w:rsid w:val="001F40AF"/>
    <w:rsid w:val="00206411"/>
    <w:rsid w:val="0021087E"/>
    <w:rsid w:val="0021686C"/>
    <w:rsid w:val="0021726F"/>
    <w:rsid w:val="00217B92"/>
    <w:rsid w:val="00220589"/>
    <w:rsid w:val="00222E48"/>
    <w:rsid w:val="002275A7"/>
    <w:rsid w:val="00235332"/>
    <w:rsid w:val="00235F18"/>
    <w:rsid w:val="00236B9D"/>
    <w:rsid w:val="0024480B"/>
    <w:rsid w:val="00252DAD"/>
    <w:rsid w:val="0026027D"/>
    <w:rsid w:val="00262AEE"/>
    <w:rsid w:val="00263523"/>
    <w:rsid w:val="002643DB"/>
    <w:rsid w:val="00264B21"/>
    <w:rsid w:val="002669D6"/>
    <w:rsid w:val="00272B60"/>
    <w:rsid w:val="002856DD"/>
    <w:rsid w:val="002860F2"/>
    <w:rsid w:val="00290C73"/>
    <w:rsid w:val="002A7040"/>
    <w:rsid w:val="002B5572"/>
    <w:rsid w:val="002B64E1"/>
    <w:rsid w:val="002B6872"/>
    <w:rsid w:val="002C1B65"/>
    <w:rsid w:val="002D0AFE"/>
    <w:rsid w:val="002D0B5F"/>
    <w:rsid w:val="002D0D93"/>
    <w:rsid w:val="002D277E"/>
    <w:rsid w:val="002D3BC0"/>
    <w:rsid w:val="002E05D7"/>
    <w:rsid w:val="002E13A3"/>
    <w:rsid w:val="002E1AFE"/>
    <w:rsid w:val="002E636E"/>
    <w:rsid w:val="002F120C"/>
    <w:rsid w:val="002F3D8F"/>
    <w:rsid w:val="003054FE"/>
    <w:rsid w:val="00305DBB"/>
    <w:rsid w:val="00307132"/>
    <w:rsid w:val="00320387"/>
    <w:rsid w:val="0032127F"/>
    <w:rsid w:val="00332418"/>
    <w:rsid w:val="0033385B"/>
    <w:rsid w:val="00334628"/>
    <w:rsid w:val="00336597"/>
    <w:rsid w:val="00337F79"/>
    <w:rsid w:val="0034412F"/>
    <w:rsid w:val="00362736"/>
    <w:rsid w:val="00362A91"/>
    <w:rsid w:val="00367EFF"/>
    <w:rsid w:val="00370224"/>
    <w:rsid w:val="00376B56"/>
    <w:rsid w:val="00387A25"/>
    <w:rsid w:val="003A20E3"/>
    <w:rsid w:val="003A2E7A"/>
    <w:rsid w:val="003A5714"/>
    <w:rsid w:val="003C0631"/>
    <w:rsid w:val="003C0F11"/>
    <w:rsid w:val="003C104C"/>
    <w:rsid w:val="003C2CD1"/>
    <w:rsid w:val="003D083D"/>
    <w:rsid w:val="003D2B8C"/>
    <w:rsid w:val="003D52A0"/>
    <w:rsid w:val="003D6146"/>
    <w:rsid w:val="003E0410"/>
    <w:rsid w:val="003E12F7"/>
    <w:rsid w:val="003E53AE"/>
    <w:rsid w:val="003E63F4"/>
    <w:rsid w:val="003E74C0"/>
    <w:rsid w:val="003F141A"/>
    <w:rsid w:val="003F401C"/>
    <w:rsid w:val="003F5B90"/>
    <w:rsid w:val="00402BB6"/>
    <w:rsid w:val="00403C7E"/>
    <w:rsid w:val="00406100"/>
    <w:rsid w:val="004071C7"/>
    <w:rsid w:val="004106A2"/>
    <w:rsid w:val="004156B2"/>
    <w:rsid w:val="00421D89"/>
    <w:rsid w:val="004232B6"/>
    <w:rsid w:val="00424174"/>
    <w:rsid w:val="004243D1"/>
    <w:rsid w:val="00433CF4"/>
    <w:rsid w:val="004341B7"/>
    <w:rsid w:val="00440107"/>
    <w:rsid w:val="00440465"/>
    <w:rsid w:val="0044233A"/>
    <w:rsid w:val="00443BA5"/>
    <w:rsid w:val="00443DD8"/>
    <w:rsid w:val="00445CE6"/>
    <w:rsid w:val="00446FBA"/>
    <w:rsid w:val="00457DC9"/>
    <w:rsid w:val="00463411"/>
    <w:rsid w:val="00472349"/>
    <w:rsid w:val="004748B9"/>
    <w:rsid w:val="00476B43"/>
    <w:rsid w:val="00477708"/>
    <w:rsid w:val="004826E3"/>
    <w:rsid w:val="00486C38"/>
    <w:rsid w:val="004969B7"/>
    <w:rsid w:val="00497C7D"/>
    <w:rsid w:val="004A0EF8"/>
    <w:rsid w:val="004A5766"/>
    <w:rsid w:val="004A7D90"/>
    <w:rsid w:val="004B0766"/>
    <w:rsid w:val="004C49E4"/>
    <w:rsid w:val="004C5DD0"/>
    <w:rsid w:val="004D0FC2"/>
    <w:rsid w:val="004F4468"/>
    <w:rsid w:val="004F47E5"/>
    <w:rsid w:val="0050345D"/>
    <w:rsid w:val="005079AF"/>
    <w:rsid w:val="00510217"/>
    <w:rsid w:val="00512D64"/>
    <w:rsid w:val="00526142"/>
    <w:rsid w:val="00526EF5"/>
    <w:rsid w:val="00531144"/>
    <w:rsid w:val="00535EAF"/>
    <w:rsid w:val="00535EED"/>
    <w:rsid w:val="00544E02"/>
    <w:rsid w:val="005467F4"/>
    <w:rsid w:val="005576B1"/>
    <w:rsid w:val="00566154"/>
    <w:rsid w:val="00570740"/>
    <w:rsid w:val="00582A6D"/>
    <w:rsid w:val="005904EB"/>
    <w:rsid w:val="0059300C"/>
    <w:rsid w:val="00594411"/>
    <w:rsid w:val="00594741"/>
    <w:rsid w:val="00596219"/>
    <w:rsid w:val="00597C7C"/>
    <w:rsid w:val="005A0A36"/>
    <w:rsid w:val="005A10D1"/>
    <w:rsid w:val="005A16D4"/>
    <w:rsid w:val="005A5A42"/>
    <w:rsid w:val="005B4285"/>
    <w:rsid w:val="005B43FD"/>
    <w:rsid w:val="005C19ED"/>
    <w:rsid w:val="005C1B7A"/>
    <w:rsid w:val="005C2D22"/>
    <w:rsid w:val="005C3900"/>
    <w:rsid w:val="005C3E73"/>
    <w:rsid w:val="005C4503"/>
    <w:rsid w:val="005D2468"/>
    <w:rsid w:val="005E3707"/>
    <w:rsid w:val="005F12D4"/>
    <w:rsid w:val="00602F95"/>
    <w:rsid w:val="00603B34"/>
    <w:rsid w:val="00604D01"/>
    <w:rsid w:val="006059FC"/>
    <w:rsid w:val="0060680F"/>
    <w:rsid w:val="00612C08"/>
    <w:rsid w:val="00612F34"/>
    <w:rsid w:val="00614167"/>
    <w:rsid w:val="00615961"/>
    <w:rsid w:val="0062021D"/>
    <w:rsid w:val="00621002"/>
    <w:rsid w:val="00627ADC"/>
    <w:rsid w:val="006336D8"/>
    <w:rsid w:val="00634188"/>
    <w:rsid w:val="0063436A"/>
    <w:rsid w:val="00637E66"/>
    <w:rsid w:val="0064233F"/>
    <w:rsid w:val="006573E0"/>
    <w:rsid w:val="00670FB6"/>
    <w:rsid w:val="00671114"/>
    <w:rsid w:val="00674DEF"/>
    <w:rsid w:val="00675A50"/>
    <w:rsid w:val="00676532"/>
    <w:rsid w:val="006A35A3"/>
    <w:rsid w:val="006A7750"/>
    <w:rsid w:val="006C0BC2"/>
    <w:rsid w:val="006C10B1"/>
    <w:rsid w:val="006C1B2F"/>
    <w:rsid w:val="006C2678"/>
    <w:rsid w:val="006E6A12"/>
    <w:rsid w:val="006E6DE3"/>
    <w:rsid w:val="006F2011"/>
    <w:rsid w:val="0070177A"/>
    <w:rsid w:val="00705B41"/>
    <w:rsid w:val="007110B0"/>
    <w:rsid w:val="007154EA"/>
    <w:rsid w:val="007209A6"/>
    <w:rsid w:val="00721FCF"/>
    <w:rsid w:val="007313F6"/>
    <w:rsid w:val="00732532"/>
    <w:rsid w:val="0073268A"/>
    <w:rsid w:val="00737047"/>
    <w:rsid w:val="007425D3"/>
    <w:rsid w:val="007427D7"/>
    <w:rsid w:val="007456E2"/>
    <w:rsid w:val="00745FFD"/>
    <w:rsid w:val="007710BF"/>
    <w:rsid w:val="00773955"/>
    <w:rsid w:val="007839DF"/>
    <w:rsid w:val="0078771D"/>
    <w:rsid w:val="00787D82"/>
    <w:rsid w:val="0079555E"/>
    <w:rsid w:val="00795844"/>
    <w:rsid w:val="00796DF6"/>
    <w:rsid w:val="007A0218"/>
    <w:rsid w:val="007A08BE"/>
    <w:rsid w:val="007A23C6"/>
    <w:rsid w:val="007A48D9"/>
    <w:rsid w:val="007B0521"/>
    <w:rsid w:val="007B0BDE"/>
    <w:rsid w:val="007B1D7C"/>
    <w:rsid w:val="007B382C"/>
    <w:rsid w:val="007B6F02"/>
    <w:rsid w:val="007D07FE"/>
    <w:rsid w:val="007D198E"/>
    <w:rsid w:val="007D4791"/>
    <w:rsid w:val="007D5C92"/>
    <w:rsid w:val="007E3DC8"/>
    <w:rsid w:val="007E7B12"/>
    <w:rsid w:val="007F0794"/>
    <w:rsid w:val="007F3C64"/>
    <w:rsid w:val="007F514A"/>
    <w:rsid w:val="0080201F"/>
    <w:rsid w:val="008024DF"/>
    <w:rsid w:val="008052DF"/>
    <w:rsid w:val="00805702"/>
    <w:rsid w:val="008074F4"/>
    <w:rsid w:val="00816904"/>
    <w:rsid w:val="00820055"/>
    <w:rsid w:val="00822740"/>
    <w:rsid w:val="00822DA4"/>
    <w:rsid w:val="00822F13"/>
    <w:rsid w:val="00832462"/>
    <w:rsid w:val="00833C7D"/>
    <w:rsid w:val="00837142"/>
    <w:rsid w:val="008414C1"/>
    <w:rsid w:val="008417C1"/>
    <w:rsid w:val="00843488"/>
    <w:rsid w:val="008470F2"/>
    <w:rsid w:val="00855ADE"/>
    <w:rsid w:val="00856A6D"/>
    <w:rsid w:val="00862CE4"/>
    <w:rsid w:val="00864C07"/>
    <w:rsid w:val="00865B30"/>
    <w:rsid w:val="00866644"/>
    <w:rsid w:val="00871D0D"/>
    <w:rsid w:val="008754A4"/>
    <w:rsid w:val="00875757"/>
    <w:rsid w:val="00877238"/>
    <w:rsid w:val="0088520E"/>
    <w:rsid w:val="00885E35"/>
    <w:rsid w:val="008929D7"/>
    <w:rsid w:val="00892D2C"/>
    <w:rsid w:val="0089551B"/>
    <w:rsid w:val="00895716"/>
    <w:rsid w:val="00896471"/>
    <w:rsid w:val="00896792"/>
    <w:rsid w:val="0089778A"/>
    <w:rsid w:val="008A1268"/>
    <w:rsid w:val="008A72C9"/>
    <w:rsid w:val="008B5089"/>
    <w:rsid w:val="008B656D"/>
    <w:rsid w:val="008C2F10"/>
    <w:rsid w:val="008C57D1"/>
    <w:rsid w:val="008C68B1"/>
    <w:rsid w:val="008D1EBE"/>
    <w:rsid w:val="008D39DA"/>
    <w:rsid w:val="008D4C69"/>
    <w:rsid w:val="008E1C64"/>
    <w:rsid w:val="008E37F7"/>
    <w:rsid w:val="008F122F"/>
    <w:rsid w:val="008F1B37"/>
    <w:rsid w:val="008F49E2"/>
    <w:rsid w:val="008F5019"/>
    <w:rsid w:val="008F5A6F"/>
    <w:rsid w:val="00902274"/>
    <w:rsid w:val="0090263D"/>
    <w:rsid w:val="00903702"/>
    <w:rsid w:val="00907ADA"/>
    <w:rsid w:val="009107D9"/>
    <w:rsid w:val="00916584"/>
    <w:rsid w:val="00917871"/>
    <w:rsid w:val="00920611"/>
    <w:rsid w:val="00921627"/>
    <w:rsid w:val="00926611"/>
    <w:rsid w:val="009279C4"/>
    <w:rsid w:val="00927C69"/>
    <w:rsid w:val="00930409"/>
    <w:rsid w:val="009319E8"/>
    <w:rsid w:val="00940FC6"/>
    <w:rsid w:val="009475A5"/>
    <w:rsid w:val="00950989"/>
    <w:rsid w:val="00956D6B"/>
    <w:rsid w:val="00962AA5"/>
    <w:rsid w:val="00963472"/>
    <w:rsid w:val="00964A34"/>
    <w:rsid w:val="009759EC"/>
    <w:rsid w:val="00984959"/>
    <w:rsid w:val="00993059"/>
    <w:rsid w:val="009951B3"/>
    <w:rsid w:val="009A300F"/>
    <w:rsid w:val="009A5224"/>
    <w:rsid w:val="009B573C"/>
    <w:rsid w:val="009B67CE"/>
    <w:rsid w:val="009C4DB3"/>
    <w:rsid w:val="009C682E"/>
    <w:rsid w:val="009D6120"/>
    <w:rsid w:val="009D616E"/>
    <w:rsid w:val="009D6FF7"/>
    <w:rsid w:val="009E0F2F"/>
    <w:rsid w:val="009E14F1"/>
    <w:rsid w:val="009E4E7D"/>
    <w:rsid w:val="009E661B"/>
    <w:rsid w:val="009F12C4"/>
    <w:rsid w:val="00A030FA"/>
    <w:rsid w:val="00A10452"/>
    <w:rsid w:val="00A1162D"/>
    <w:rsid w:val="00A11C5B"/>
    <w:rsid w:val="00A21A12"/>
    <w:rsid w:val="00A34070"/>
    <w:rsid w:val="00A34C3B"/>
    <w:rsid w:val="00A35BA1"/>
    <w:rsid w:val="00A427B2"/>
    <w:rsid w:val="00A53A1E"/>
    <w:rsid w:val="00A61B67"/>
    <w:rsid w:val="00A65555"/>
    <w:rsid w:val="00A6563E"/>
    <w:rsid w:val="00A70E38"/>
    <w:rsid w:val="00A75B2A"/>
    <w:rsid w:val="00A771F4"/>
    <w:rsid w:val="00A80F96"/>
    <w:rsid w:val="00A83974"/>
    <w:rsid w:val="00A87E37"/>
    <w:rsid w:val="00A90490"/>
    <w:rsid w:val="00A9462F"/>
    <w:rsid w:val="00AA0DAE"/>
    <w:rsid w:val="00AA0E0A"/>
    <w:rsid w:val="00AA764E"/>
    <w:rsid w:val="00AC04AB"/>
    <w:rsid w:val="00AC0DC9"/>
    <w:rsid w:val="00AC3657"/>
    <w:rsid w:val="00AC610E"/>
    <w:rsid w:val="00AD5C73"/>
    <w:rsid w:val="00AD6741"/>
    <w:rsid w:val="00AE0E36"/>
    <w:rsid w:val="00AE3AE7"/>
    <w:rsid w:val="00AE4FC7"/>
    <w:rsid w:val="00AE7526"/>
    <w:rsid w:val="00AF23C9"/>
    <w:rsid w:val="00AF7252"/>
    <w:rsid w:val="00AF788E"/>
    <w:rsid w:val="00AF7BEB"/>
    <w:rsid w:val="00B01017"/>
    <w:rsid w:val="00B07CFF"/>
    <w:rsid w:val="00B1302F"/>
    <w:rsid w:val="00B205DB"/>
    <w:rsid w:val="00B30261"/>
    <w:rsid w:val="00B30593"/>
    <w:rsid w:val="00B314B1"/>
    <w:rsid w:val="00B42AFD"/>
    <w:rsid w:val="00B4642B"/>
    <w:rsid w:val="00B47B0A"/>
    <w:rsid w:val="00B47F75"/>
    <w:rsid w:val="00B516BF"/>
    <w:rsid w:val="00B768DE"/>
    <w:rsid w:val="00B77769"/>
    <w:rsid w:val="00B77F94"/>
    <w:rsid w:val="00B81864"/>
    <w:rsid w:val="00B8322A"/>
    <w:rsid w:val="00B878EC"/>
    <w:rsid w:val="00B93A84"/>
    <w:rsid w:val="00B93AA6"/>
    <w:rsid w:val="00B95056"/>
    <w:rsid w:val="00B97633"/>
    <w:rsid w:val="00BA29F4"/>
    <w:rsid w:val="00BA4E08"/>
    <w:rsid w:val="00BA55C4"/>
    <w:rsid w:val="00BB15C8"/>
    <w:rsid w:val="00BB731D"/>
    <w:rsid w:val="00BC0BC4"/>
    <w:rsid w:val="00BC30FC"/>
    <w:rsid w:val="00BC32DF"/>
    <w:rsid w:val="00BD45E3"/>
    <w:rsid w:val="00BD51C4"/>
    <w:rsid w:val="00BE535A"/>
    <w:rsid w:val="00BE7B81"/>
    <w:rsid w:val="00BF76F8"/>
    <w:rsid w:val="00C03554"/>
    <w:rsid w:val="00C05AAE"/>
    <w:rsid w:val="00C05EC6"/>
    <w:rsid w:val="00C11F26"/>
    <w:rsid w:val="00C143F9"/>
    <w:rsid w:val="00C25FDF"/>
    <w:rsid w:val="00C27094"/>
    <w:rsid w:val="00C312AB"/>
    <w:rsid w:val="00C33B32"/>
    <w:rsid w:val="00C35A19"/>
    <w:rsid w:val="00C36043"/>
    <w:rsid w:val="00C370D7"/>
    <w:rsid w:val="00C40B83"/>
    <w:rsid w:val="00C436F2"/>
    <w:rsid w:val="00C44EA2"/>
    <w:rsid w:val="00C60F73"/>
    <w:rsid w:val="00C648FF"/>
    <w:rsid w:val="00C67FF5"/>
    <w:rsid w:val="00C7049F"/>
    <w:rsid w:val="00C77E67"/>
    <w:rsid w:val="00C8547E"/>
    <w:rsid w:val="00C857EF"/>
    <w:rsid w:val="00C86DF2"/>
    <w:rsid w:val="00C949E3"/>
    <w:rsid w:val="00C95693"/>
    <w:rsid w:val="00CA3971"/>
    <w:rsid w:val="00CA5381"/>
    <w:rsid w:val="00CA5D32"/>
    <w:rsid w:val="00CC1C33"/>
    <w:rsid w:val="00CD13AC"/>
    <w:rsid w:val="00CE2D22"/>
    <w:rsid w:val="00CE5F05"/>
    <w:rsid w:val="00CF1D57"/>
    <w:rsid w:val="00CF213B"/>
    <w:rsid w:val="00CF59A9"/>
    <w:rsid w:val="00D01B85"/>
    <w:rsid w:val="00D026EC"/>
    <w:rsid w:val="00D04248"/>
    <w:rsid w:val="00D10EB8"/>
    <w:rsid w:val="00D14557"/>
    <w:rsid w:val="00D20620"/>
    <w:rsid w:val="00D20FC8"/>
    <w:rsid w:val="00D2447E"/>
    <w:rsid w:val="00D24F82"/>
    <w:rsid w:val="00D26138"/>
    <w:rsid w:val="00D32902"/>
    <w:rsid w:val="00D35E6E"/>
    <w:rsid w:val="00D40BEA"/>
    <w:rsid w:val="00D43DF7"/>
    <w:rsid w:val="00D51209"/>
    <w:rsid w:val="00D535F8"/>
    <w:rsid w:val="00D53835"/>
    <w:rsid w:val="00D542AC"/>
    <w:rsid w:val="00D54E74"/>
    <w:rsid w:val="00D57126"/>
    <w:rsid w:val="00D62B07"/>
    <w:rsid w:val="00D80FAD"/>
    <w:rsid w:val="00D859E4"/>
    <w:rsid w:val="00D9159E"/>
    <w:rsid w:val="00D93252"/>
    <w:rsid w:val="00D93FE1"/>
    <w:rsid w:val="00D95458"/>
    <w:rsid w:val="00DB1963"/>
    <w:rsid w:val="00DB1BBF"/>
    <w:rsid w:val="00DB33DA"/>
    <w:rsid w:val="00DB4EF0"/>
    <w:rsid w:val="00DC0862"/>
    <w:rsid w:val="00DC5B6C"/>
    <w:rsid w:val="00DD47AF"/>
    <w:rsid w:val="00DE4A0C"/>
    <w:rsid w:val="00DE71B7"/>
    <w:rsid w:val="00DF6BF9"/>
    <w:rsid w:val="00E015C6"/>
    <w:rsid w:val="00E0166C"/>
    <w:rsid w:val="00E043AA"/>
    <w:rsid w:val="00E12FA3"/>
    <w:rsid w:val="00E13C15"/>
    <w:rsid w:val="00E166C5"/>
    <w:rsid w:val="00E23727"/>
    <w:rsid w:val="00E2627D"/>
    <w:rsid w:val="00E278F6"/>
    <w:rsid w:val="00E27A81"/>
    <w:rsid w:val="00E31CE2"/>
    <w:rsid w:val="00E35C94"/>
    <w:rsid w:val="00E420DB"/>
    <w:rsid w:val="00E43523"/>
    <w:rsid w:val="00E43F0C"/>
    <w:rsid w:val="00E47D28"/>
    <w:rsid w:val="00E55CF6"/>
    <w:rsid w:val="00E57333"/>
    <w:rsid w:val="00E77259"/>
    <w:rsid w:val="00E8064B"/>
    <w:rsid w:val="00E8448F"/>
    <w:rsid w:val="00E85055"/>
    <w:rsid w:val="00E85E12"/>
    <w:rsid w:val="00E91ADE"/>
    <w:rsid w:val="00E95DDB"/>
    <w:rsid w:val="00E96B97"/>
    <w:rsid w:val="00E97616"/>
    <w:rsid w:val="00EA0682"/>
    <w:rsid w:val="00EA0975"/>
    <w:rsid w:val="00EA0D46"/>
    <w:rsid w:val="00EA2C76"/>
    <w:rsid w:val="00EA4989"/>
    <w:rsid w:val="00EB68A1"/>
    <w:rsid w:val="00EC02FF"/>
    <w:rsid w:val="00ED4BBC"/>
    <w:rsid w:val="00EE1FA7"/>
    <w:rsid w:val="00EF26AC"/>
    <w:rsid w:val="00EF7AE9"/>
    <w:rsid w:val="00EF7ED5"/>
    <w:rsid w:val="00F00C69"/>
    <w:rsid w:val="00F05A4B"/>
    <w:rsid w:val="00F07C3B"/>
    <w:rsid w:val="00F10D8A"/>
    <w:rsid w:val="00F215B5"/>
    <w:rsid w:val="00F23707"/>
    <w:rsid w:val="00F309E6"/>
    <w:rsid w:val="00F448AB"/>
    <w:rsid w:val="00F6026B"/>
    <w:rsid w:val="00F643CA"/>
    <w:rsid w:val="00F737C6"/>
    <w:rsid w:val="00F81ED2"/>
    <w:rsid w:val="00F83251"/>
    <w:rsid w:val="00F83E8D"/>
    <w:rsid w:val="00F8449C"/>
    <w:rsid w:val="00F90BFA"/>
    <w:rsid w:val="00F91D55"/>
    <w:rsid w:val="00F92F99"/>
    <w:rsid w:val="00F9756A"/>
    <w:rsid w:val="00FA00DB"/>
    <w:rsid w:val="00FB16B1"/>
    <w:rsid w:val="00FB652F"/>
    <w:rsid w:val="00FB7185"/>
    <w:rsid w:val="00FB7C7D"/>
    <w:rsid w:val="00FC3B96"/>
    <w:rsid w:val="00FC403A"/>
    <w:rsid w:val="00FC4B18"/>
    <w:rsid w:val="00FC6C0D"/>
    <w:rsid w:val="00FD2A9E"/>
    <w:rsid w:val="00FD352F"/>
    <w:rsid w:val="00FD7E5E"/>
    <w:rsid w:val="00FE7E3B"/>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FF791"/>
  <w15:chartTrackingRefBased/>
  <w15:docId w15:val="{68ED4A07-DA7A-4645-84E6-9C8F3582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64B"/>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odyTextIndent">
    <w:name w:val="Body Text Indent"/>
    <w:basedOn w:val="Normal"/>
    <w:link w:val="BodyTextIndentChar"/>
    <w:rsid w:val="009A5224"/>
    <w:pPr>
      <w:ind w:left="360"/>
    </w:pPr>
    <w:rPr>
      <w:bCs/>
      <w:iCs/>
      <w:color w:val="auto"/>
      <w:sz w:val="22"/>
      <w:szCs w:val="28"/>
    </w:rPr>
  </w:style>
  <w:style w:type="character" w:customStyle="1" w:styleId="BodyTextIndentChar">
    <w:name w:val="Body Text Indent Char"/>
    <w:link w:val="BodyTextIndent"/>
    <w:rsid w:val="009A5224"/>
    <w:rPr>
      <w:rFonts w:cs="Arial"/>
      <w:bCs/>
      <w:iCs/>
      <w:sz w:val="22"/>
      <w:szCs w:val="28"/>
    </w:rPr>
  </w:style>
  <w:style w:type="paragraph" w:styleId="BodyTextIndent2">
    <w:name w:val="Body Text Indent 2"/>
    <w:basedOn w:val="Normal"/>
    <w:link w:val="BodyTextIndent2Char"/>
    <w:rsid w:val="009A5224"/>
    <w:pPr>
      <w:spacing w:after="120" w:line="480" w:lineRule="auto"/>
      <w:ind w:left="360"/>
    </w:pPr>
  </w:style>
  <w:style w:type="character" w:customStyle="1" w:styleId="BodyTextIndent2Char">
    <w:name w:val="Body Text Indent 2 Char"/>
    <w:link w:val="BodyTextIndent2"/>
    <w:rsid w:val="009A5224"/>
    <w:rPr>
      <w:rFonts w:cs="Arial"/>
      <w:color w:val="000000"/>
      <w:sz w:val="24"/>
    </w:rPr>
  </w:style>
  <w:style w:type="character" w:styleId="CommentReference">
    <w:name w:val="annotation reference"/>
    <w:rsid w:val="00FC6C0D"/>
    <w:rPr>
      <w:sz w:val="16"/>
      <w:szCs w:val="16"/>
    </w:rPr>
  </w:style>
  <w:style w:type="paragraph" w:styleId="CommentText">
    <w:name w:val="annotation text"/>
    <w:basedOn w:val="Normal"/>
    <w:link w:val="CommentTextChar"/>
    <w:rsid w:val="00FC6C0D"/>
    <w:rPr>
      <w:sz w:val="20"/>
    </w:rPr>
  </w:style>
  <w:style w:type="character" w:customStyle="1" w:styleId="CommentTextChar">
    <w:name w:val="Comment Text Char"/>
    <w:link w:val="CommentText"/>
    <w:rsid w:val="00FC6C0D"/>
    <w:rPr>
      <w:rFonts w:cs="Arial"/>
      <w:color w:val="000000"/>
    </w:rPr>
  </w:style>
  <w:style w:type="paragraph" w:styleId="CommentSubject">
    <w:name w:val="annotation subject"/>
    <w:basedOn w:val="CommentText"/>
    <w:next w:val="CommentText"/>
    <w:link w:val="CommentSubjectChar"/>
    <w:rsid w:val="00FC6C0D"/>
    <w:rPr>
      <w:b/>
      <w:bCs/>
    </w:rPr>
  </w:style>
  <w:style w:type="character" w:customStyle="1" w:styleId="CommentSubjectChar">
    <w:name w:val="Comment Subject Char"/>
    <w:link w:val="CommentSubject"/>
    <w:rsid w:val="00FC6C0D"/>
    <w:rPr>
      <w:rFonts w:cs="Arial"/>
      <w:b/>
      <w:bCs/>
      <w:color w:val="000000"/>
    </w:rPr>
  </w:style>
  <w:style w:type="paragraph" w:styleId="BalloonText">
    <w:name w:val="Balloon Text"/>
    <w:basedOn w:val="Normal"/>
    <w:link w:val="BalloonTextChar"/>
    <w:rsid w:val="00FC6C0D"/>
    <w:rPr>
      <w:rFonts w:ascii="Tahoma" w:hAnsi="Tahoma" w:cs="Tahoma"/>
      <w:sz w:val="16"/>
      <w:szCs w:val="16"/>
    </w:rPr>
  </w:style>
  <w:style w:type="character" w:customStyle="1" w:styleId="BalloonTextChar">
    <w:name w:val="Balloon Text Char"/>
    <w:link w:val="BalloonText"/>
    <w:rsid w:val="00FC6C0D"/>
    <w:rPr>
      <w:rFonts w:ascii="Tahoma" w:hAnsi="Tahoma" w:cs="Tahoma"/>
      <w:color w:val="000000"/>
      <w:sz w:val="16"/>
      <w:szCs w:val="16"/>
    </w:rPr>
  </w:style>
  <w:style w:type="table" w:styleId="TableGrid">
    <w:name w:val="Table Grid"/>
    <w:basedOn w:val="TableNormal"/>
    <w:uiPriority w:val="59"/>
    <w:rsid w:val="00B516B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C857EF"/>
    <w:rPr>
      <w:sz w:val="20"/>
    </w:rPr>
  </w:style>
  <w:style w:type="character" w:customStyle="1" w:styleId="FootnoteTextChar">
    <w:name w:val="Footnote Text Char"/>
    <w:link w:val="FootnoteText"/>
    <w:uiPriority w:val="99"/>
    <w:rsid w:val="00C857EF"/>
    <w:rPr>
      <w:rFonts w:cs="Arial"/>
      <w:color w:val="000000"/>
    </w:rPr>
  </w:style>
  <w:style w:type="character" w:styleId="FootnoteReference">
    <w:name w:val="footnote reference"/>
    <w:rsid w:val="00C857EF"/>
    <w:rPr>
      <w:vertAlign w:val="superscript"/>
    </w:rPr>
  </w:style>
  <w:style w:type="character" w:styleId="Hyperlink">
    <w:name w:val="Hyperlink"/>
    <w:rsid w:val="00C857EF"/>
    <w:rPr>
      <w:color w:val="0000FF"/>
      <w:u w:val="single"/>
    </w:rPr>
  </w:style>
  <w:style w:type="character" w:styleId="FollowedHyperlink">
    <w:name w:val="FollowedHyperlink"/>
    <w:rsid w:val="009D6FF7"/>
    <w:rPr>
      <w:color w:val="954F72"/>
      <w:u w:val="single"/>
    </w:rPr>
  </w:style>
  <w:style w:type="paragraph" w:styleId="HTMLPreformatted">
    <w:name w:val="HTML Preformatted"/>
    <w:basedOn w:val="Normal"/>
    <w:link w:val="HTMLPreformattedChar"/>
    <w:uiPriority w:val="99"/>
    <w:rsid w:val="001157FB"/>
    <w:rPr>
      <w:rFonts w:ascii="Courier New" w:hAnsi="Courier New" w:cs="Courier New"/>
      <w:sz w:val="20"/>
    </w:rPr>
  </w:style>
  <w:style w:type="character" w:customStyle="1" w:styleId="HTMLPreformattedChar">
    <w:name w:val="HTML Preformatted Char"/>
    <w:link w:val="HTMLPreformatted"/>
    <w:uiPriority w:val="99"/>
    <w:rsid w:val="001157FB"/>
    <w:rPr>
      <w:rFonts w:ascii="Courier New" w:hAnsi="Courier New" w:cs="Courier New"/>
      <w:color w:val="000000"/>
    </w:rPr>
  </w:style>
  <w:style w:type="paragraph" w:styleId="Quote">
    <w:name w:val="Quote"/>
    <w:basedOn w:val="Normal"/>
    <w:next w:val="Normal"/>
    <w:link w:val="QuoteChar"/>
    <w:uiPriority w:val="29"/>
    <w:qFormat/>
    <w:rsid w:val="00596219"/>
    <w:pPr>
      <w:spacing w:before="200" w:after="160"/>
      <w:ind w:left="864" w:right="864"/>
      <w:jc w:val="center"/>
    </w:pPr>
    <w:rPr>
      <w:i/>
      <w:iCs/>
      <w:color w:val="404040"/>
    </w:rPr>
  </w:style>
  <w:style w:type="character" w:customStyle="1" w:styleId="QuoteChar">
    <w:name w:val="Quote Char"/>
    <w:link w:val="Quote"/>
    <w:uiPriority w:val="29"/>
    <w:rsid w:val="00596219"/>
    <w:rPr>
      <w:rFonts w:cs="Arial"/>
      <w:i/>
      <w:iCs/>
      <w:color w:val="404040"/>
      <w:sz w:val="24"/>
    </w:rPr>
  </w:style>
  <w:style w:type="paragraph" w:styleId="Caption">
    <w:name w:val="caption"/>
    <w:basedOn w:val="Normal"/>
    <w:next w:val="Normal"/>
    <w:unhideWhenUsed/>
    <w:qFormat/>
    <w:rsid w:val="00C436F2"/>
    <w:rPr>
      <w:b/>
      <w:bCs/>
      <w:sz w:val="20"/>
    </w:rPr>
  </w:style>
  <w:style w:type="paragraph" w:styleId="Revision">
    <w:name w:val="Revision"/>
    <w:hidden/>
    <w:uiPriority w:val="99"/>
    <w:semiHidden/>
    <w:rsid w:val="008F49E2"/>
    <w:rPr>
      <w:rFonts w:cs="Arial"/>
      <w:color w:val="000000"/>
      <w:sz w:val="24"/>
    </w:rPr>
  </w:style>
  <w:style w:type="paragraph" w:customStyle="1" w:styleId="Default">
    <w:name w:val="Default"/>
    <w:rsid w:val="00A9462F"/>
    <w:pPr>
      <w:autoSpaceDE w:val="0"/>
      <w:autoSpaceDN w:val="0"/>
      <w:adjustRightInd w:val="0"/>
    </w:pPr>
    <w:rPr>
      <w:color w:val="000000"/>
      <w:sz w:val="24"/>
      <w:szCs w:val="24"/>
    </w:rPr>
  </w:style>
  <w:style w:type="paragraph" w:styleId="ListParagraph">
    <w:name w:val="List Paragraph"/>
    <w:basedOn w:val="Normal"/>
    <w:uiPriority w:val="34"/>
    <w:qFormat/>
    <w:rsid w:val="00DB1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063">
      <w:bodyDiv w:val="1"/>
      <w:marLeft w:val="0"/>
      <w:marRight w:val="0"/>
      <w:marTop w:val="0"/>
      <w:marBottom w:val="0"/>
      <w:divBdr>
        <w:top w:val="none" w:sz="0" w:space="0" w:color="auto"/>
        <w:left w:val="none" w:sz="0" w:space="0" w:color="auto"/>
        <w:bottom w:val="none" w:sz="0" w:space="0" w:color="auto"/>
        <w:right w:val="none" w:sz="0" w:space="0" w:color="auto"/>
      </w:divBdr>
    </w:div>
    <w:div w:id="209270083">
      <w:bodyDiv w:val="1"/>
      <w:marLeft w:val="0"/>
      <w:marRight w:val="0"/>
      <w:marTop w:val="0"/>
      <w:marBottom w:val="0"/>
      <w:divBdr>
        <w:top w:val="none" w:sz="0" w:space="0" w:color="auto"/>
        <w:left w:val="none" w:sz="0" w:space="0" w:color="auto"/>
        <w:bottom w:val="none" w:sz="0" w:space="0" w:color="auto"/>
        <w:right w:val="none" w:sz="0" w:space="0" w:color="auto"/>
      </w:divBdr>
    </w:div>
    <w:div w:id="238487265">
      <w:bodyDiv w:val="1"/>
      <w:marLeft w:val="0"/>
      <w:marRight w:val="0"/>
      <w:marTop w:val="0"/>
      <w:marBottom w:val="0"/>
      <w:divBdr>
        <w:top w:val="none" w:sz="0" w:space="0" w:color="auto"/>
        <w:left w:val="none" w:sz="0" w:space="0" w:color="auto"/>
        <w:bottom w:val="none" w:sz="0" w:space="0" w:color="auto"/>
        <w:right w:val="none" w:sz="0" w:space="0" w:color="auto"/>
      </w:divBdr>
    </w:div>
    <w:div w:id="294797858">
      <w:bodyDiv w:val="1"/>
      <w:marLeft w:val="0"/>
      <w:marRight w:val="0"/>
      <w:marTop w:val="0"/>
      <w:marBottom w:val="0"/>
      <w:divBdr>
        <w:top w:val="none" w:sz="0" w:space="0" w:color="auto"/>
        <w:left w:val="none" w:sz="0" w:space="0" w:color="auto"/>
        <w:bottom w:val="none" w:sz="0" w:space="0" w:color="auto"/>
        <w:right w:val="none" w:sz="0" w:space="0" w:color="auto"/>
      </w:divBdr>
    </w:div>
    <w:div w:id="310598811">
      <w:bodyDiv w:val="1"/>
      <w:marLeft w:val="0"/>
      <w:marRight w:val="0"/>
      <w:marTop w:val="0"/>
      <w:marBottom w:val="0"/>
      <w:divBdr>
        <w:top w:val="none" w:sz="0" w:space="0" w:color="auto"/>
        <w:left w:val="none" w:sz="0" w:space="0" w:color="auto"/>
        <w:bottom w:val="none" w:sz="0" w:space="0" w:color="auto"/>
        <w:right w:val="none" w:sz="0" w:space="0" w:color="auto"/>
      </w:divBdr>
    </w:div>
    <w:div w:id="370154662">
      <w:bodyDiv w:val="1"/>
      <w:marLeft w:val="0"/>
      <w:marRight w:val="0"/>
      <w:marTop w:val="0"/>
      <w:marBottom w:val="0"/>
      <w:divBdr>
        <w:top w:val="none" w:sz="0" w:space="0" w:color="auto"/>
        <w:left w:val="none" w:sz="0" w:space="0" w:color="auto"/>
        <w:bottom w:val="none" w:sz="0" w:space="0" w:color="auto"/>
        <w:right w:val="none" w:sz="0" w:space="0" w:color="auto"/>
      </w:divBdr>
    </w:div>
    <w:div w:id="527642232">
      <w:bodyDiv w:val="1"/>
      <w:marLeft w:val="0"/>
      <w:marRight w:val="0"/>
      <w:marTop w:val="0"/>
      <w:marBottom w:val="0"/>
      <w:divBdr>
        <w:top w:val="none" w:sz="0" w:space="0" w:color="auto"/>
        <w:left w:val="none" w:sz="0" w:space="0" w:color="auto"/>
        <w:bottom w:val="none" w:sz="0" w:space="0" w:color="auto"/>
        <w:right w:val="none" w:sz="0" w:space="0" w:color="auto"/>
      </w:divBdr>
    </w:div>
    <w:div w:id="597179196">
      <w:bodyDiv w:val="1"/>
      <w:marLeft w:val="0"/>
      <w:marRight w:val="0"/>
      <w:marTop w:val="0"/>
      <w:marBottom w:val="0"/>
      <w:divBdr>
        <w:top w:val="none" w:sz="0" w:space="0" w:color="auto"/>
        <w:left w:val="none" w:sz="0" w:space="0" w:color="auto"/>
        <w:bottom w:val="none" w:sz="0" w:space="0" w:color="auto"/>
        <w:right w:val="none" w:sz="0" w:space="0" w:color="auto"/>
      </w:divBdr>
    </w:div>
    <w:div w:id="616327097">
      <w:bodyDiv w:val="1"/>
      <w:marLeft w:val="0"/>
      <w:marRight w:val="0"/>
      <w:marTop w:val="0"/>
      <w:marBottom w:val="0"/>
      <w:divBdr>
        <w:top w:val="none" w:sz="0" w:space="0" w:color="auto"/>
        <w:left w:val="none" w:sz="0" w:space="0" w:color="auto"/>
        <w:bottom w:val="none" w:sz="0" w:space="0" w:color="auto"/>
        <w:right w:val="none" w:sz="0" w:space="0" w:color="auto"/>
      </w:divBdr>
    </w:div>
    <w:div w:id="624776824">
      <w:bodyDiv w:val="1"/>
      <w:marLeft w:val="0"/>
      <w:marRight w:val="0"/>
      <w:marTop w:val="0"/>
      <w:marBottom w:val="0"/>
      <w:divBdr>
        <w:top w:val="none" w:sz="0" w:space="0" w:color="auto"/>
        <w:left w:val="none" w:sz="0" w:space="0" w:color="auto"/>
        <w:bottom w:val="none" w:sz="0" w:space="0" w:color="auto"/>
        <w:right w:val="none" w:sz="0" w:space="0" w:color="auto"/>
      </w:divBdr>
    </w:div>
    <w:div w:id="630332368">
      <w:bodyDiv w:val="1"/>
      <w:marLeft w:val="0"/>
      <w:marRight w:val="0"/>
      <w:marTop w:val="0"/>
      <w:marBottom w:val="0"/>
      <w:divBdr>
        <w:top w:val="none" w:sz="0" w:space="0" w:color="auto"/>
        <w:left w:val="none" w:sz="0" w:space="0" w:color="auto"/>
        <w:bottom w:val="none" w:sz="0" w:space="0" w:color="auto"/>
        <w:right w:val="none" w:sz="0" w:space="0" w:color="auto"/>
      </w:divBdr>
    </w:div>
    <w:div w:id="695614465">
      <w:bodyDiv w:val="1"/>
      <w:marLeft w:val="0"/>
      <w:marRight w:val="0"/>
      <w:marTop w:val="0"/>
      <w:marBottom w:val="0"/>
      <w:divBdr>
        <w:top w:val="none" w:sz="0" w:space="0" w:color="auto"/>
        <w:left w:val="none" w:sz="0" w:space="0" w:color="auto"/>
        <w:bottom w:val="none" w:sz="0" w:space="0" w:color="auto"/>
        <w:right w:val="none" w:sz="0" w:space="0" w:color="auto"/>
      </w:divBdr>
    </w:div>
    <w:div w:id="792330287">
      <w:bodyDiv w:val="1"/>
      <w:marLeft w:val="0"/>
      <w:marRight w:val="0"/>
      <w:marTop w:val="0"/>
      <w:marBottom w:val="0"/>
      <w:divBdr>
        <w:top w:val="none" w:sz="0" w:space="0" w:color="auto"/>
        <w:left w:val="none" w:sz="0" w:space="0" w:color="auto"/>
        <w:bottom w:val="none" w:sz="0" w:space="0" w:color="auto"/>
        <w:right w:val="none" w:sz="0" w:space="0" w:color="auto"/>
      </w:divBdr>
    </w:div>
    <w:div w:id="809978098">
      <w:bodyDiv w:val="1"/>
      <w:marLeft w:val="0"/>
      <w:marRight w:val="0"/>
      <w:marTop w:val="0"/>
      <w:marBottom w:val="0"/>
      <w:divBdr>
        <w:top w:val="none" w:sz="0" w:space="0" w:color="auto"/>
        <w:left w:val="none" w:sz="0" w:space="0" w:color="auto"/>
        <w:bottom w:val="none" w:sz="0" w:space="0" w:color="auto"/>
        <w:right w:val="none" w:sz="0" w:space="0" w:color="auto"/>
      </w:divBdr>
    </w:div>
    <w:div w:id="874780594">
      <w:bodyDiv w:val="1"/>
      <w:marLeft w:val="0"/>
      <w:marRight w:val="0"/>
      <w:marTop w:val="0"/>
      <w:marBottom w:val="0"/>
      <w:divBdr>
        <w:top w:val="none" w:sz="0" w:space="0" w:color="auto"/>
        <w:left w:val="none" w:sz="0" w:space="0" w:color="auto"/>
        <w:bottom w:val="none" w:sz="0" w:space="0" w:color="auto"/>
        <w:right w:val="none" w:sz="0" w:space="0" w:color="auto"/>
      </w:divBdr>
    </w:div>
    <w:div w:id="880239954">
      <w:bodyDiv w:val="1"/>
      <w:marLeft w:val="0"/>
      <w:marRight w:val="0"/>
      <w:marTop w:val="0"/>
      <w:marBottom w:val="0"/>
      <w:divBdr>
        <w:top w:val="none" w:sz="0" w:space="0" w:color="auto"/>
        <w:left w:val="none" w:sz="0" w:space="0" w:color="auto"/>
        <w:bottom w:val="none" w:sz="0" w:space="0" w:color="auto"/>
        <w:right w:val="none" w:sz="0" w:space="0" w:color="auto"/>
      </w:divBdr>
    </w:div>
    <w:div w:id="957948054">
      <w:bodyDiv w:val="1"/>
      <w:marLeft w:val="0"/>
      <w:marRight w:val="0"/>
      <w:marTop w:val="0"/>
      <w:marBottom w:val="0"/>
      <w:divBdr>
        <w:top w:val="none" w:sz="0" w:space="0" w:color="auto"/>
        <w:left w:val="none" w:sz="0" w:space="0" w:color="auto"/>
        <w:bottom w:val="none" w:sz="0" w:space="0" w:color="auto"/>
        <w:right w:val="none" w:sz="0" w:space="0" w:color="auto"/>
      </w:divBdr>
    </w:div>
    <w:div w:id="975254972">
      <w:bodyDiv w:val="1"/>
      <w:marLeft w:val="0"/>
      <w:marRight w:val="0"/>
      <w:marTop w:val="0"/>
      <w:marBottom w:val="0"/>
      <w:divBdr>
        <w:top w:val="none" w:sz="0" w:space="0" w:color="auto"/>
        <w:left w:val="none" w:sz="0" w:space="0" w:color="auto"/>
        <w:bottom w:val="none" w:sz="0" w:space="0" w:color="auto"/>
        <w:right w:val="none" w:sz="0" w:space="0" w:color="auto"/>
      </w:divBdr>
    </w:div>
    <w:div w:id="996688222">
      <w:bodyDiv w:val="1"/>
      <w:marLeft w:val="0"/>
      <w:marRight w:val="0"/>
      <w:marTop w:val="0"/>
      <w:marBottom w:val="0"/>
      <w:divBdr>
        <w:top w:val="none" w:sz="0" w:space="0" w:color="auto"/>
        <w:left w:val="none" w:sz="0" w:space="0" w:color="auto"/>
        <w:bottom w:val="none" w:sz="0" w:space="0" w:color="auto"/>
        <w:right w:val="none" w:sz="0" w:space="0" w:color="auto"/>
      </w:divBdr>
    </w:div>
    <w:div w:id="1048603446">
      <w:bodyDiv w:val="1"/>
      <w:marLeft w:val="0"/>
      <w:marRight w:val="0"/>
      <w:marTop w:val="0"/>
      <w:marBottom w:val="0"/>
      <w:divBdr>
        <w:top w:val="none" w:sz="0" w:space="0" w:color="auto"/>
        <w:left w:val="none" w:sz="0" w:space="0" w:color="auto"/>
        <w:bottom w:val="none" w:sz="0" w:space="0" w:color="auto"/>
        <w:right w:val="none" w:sz="0" w:space="0" w:color="auto"/>
      </w:divBdr>
    </w:div>
    <w:div w:id="1156649412">
      <w:bodyDiv w:val="1"/>
      <w:marLeft w:val="0"/>
      <w:marRight w:val="0"/>
      <w:marTop w:val="0"/>
      <w:marBottom w:val="0"/>
      <w:divBdr>
        <w:top w:val="none" w:sz="0" w:space="0" w:color="auto"/>
        <w:left w:val="none" w:sz="0" w:space="0" w:color="auto"/>
        <w:bottom w:val="none" w:sz="0" w:space="0" w:color="auto"/>
        <w:right w:val="none" w:sz="0" w:space="0" w:color="auto"/>
      </w:divBdr>
    </w:div>
    <w:div w:id="1165975201">
      <w:bodyDiv w:val="1"/>
      <w:marLeft w:val="0"/>
      <w:marRight w:val="0"/>
      <w:marTop w:val="0"/>
      <w:marBottom w:val="0"/>
      <w:divBdr>
        <w:top w:val="none" w:sz="0" w:space="0" w:color="auto"/>
        <w:left w:val="none" w:sz="0" w:space="0" w:color="auto"/>
        <w:bottom w:val="none" w:sz="0" w:space="0" w:color="auto"/>
        <w:right w:val="none" w:sz="0" w:space="0" w:color="auto"/>
      </w:divBdr>
    </w:div>
    <w:div w:id="1169519759">
      <w:bodyDiv w:val="1"/>
      <w:marLeft w:val="0"/>
      <w:marRight w:val="0"/>
      <w:marTop w:val="0"/>
      <w:marBottom w:val="0"/>
      <w:divBdr>
        <w:top w:val="none" w:sz="0" w:space="0" w:color="auto"/>
        <w:left w:val="none" w:sz="0" w:space="0" w:color="auto"/>
        <w:bottom w:val="none" w:sz="0" w:space="0" w:color="auto"/>
        <w:right w:val="none" w:sz="0" w:space="0" w:color="auto"/>
      </w:divBdr>
    </w:div>
    <w:div w:id="1224490514">
      <w:bodyDiv w:val="1"/>
      <w:marLeft w:val="0"/>
      <w:marRight w:val="0"/>
      <w:marTop w:val="0"/>
      <w:marBottom w:val="0"/>
      <w:divBdr>
        <w:top w:val="none" w:sz="0" w:space="0" w:color="auto"/>
        <w:left w:val="none" w:sz="0" w:space="0" w:color="auto"/>
        <w:bottom w:val="none" w:sz="0" w:space="0" w:color="auto"/>
        <w:right w:val="none" w:sz="0" w:space="0" w:color="auto"/>
      </w:divBdr>
    </w:div>
    <w:div w:id="1250581459">
      <w:bodyDiv w:val="1"/>
      <w:marLeft w:val="0"/>
      <w:marRight w:val="0"/>
      <w:marTop w:val="0"/>
      <w:marBottom w:val="0"/>
      <w:divBdr>
        <w:top w:val="none" w:sz="0" w:space="0" w:color="auto"/>
        <w:left w:val="none" w:sz="0" w:space="0" w:color="auto"/>
        <w:bottom w:val="none" w:sz="0" w:space="0" w:color="auto"/>
        <w:right w:val="none" w:sz="0" w:space="0" w:color="auto"/>
      </w:divBdr>
    </w:div>
    <w:div w:id="1297101940">
      <w:bodyDiv w:val="1"/>
      <w:marLeft w:val="0"/>
      <w:marRight w:val="0"/>
      <w:marTop w:val="0"/>
      <w:marBottom w:val="0"/>
      <w:divBdr>
        <w:top w:val="none" w:sz="0" w:space="0" w:color="auto"/>
        <w:left w:val="none" w:sz="0" w:space="0" w:color="auto"/>
        <w:bottom w:val="none" w:sz="0" w:space="0" w:color="auto"/>
        <w:right w:val="none" w:sz="0" w:space="0" w:color="auto"/>
      </w:divBdr>
    </w:div>
    <w:div w:id="1360012209">
      <w:bodyDiv w:val="1"/>
      <w:marLeft w:val="0"/>
      <w:marRight w:val="0"/>
      <w:marTop w:val="0"/>
      <w:marBottom w:val="0"/>
      <w:divBdr>
        <w:top w:val="none" w:sz="0" w:space="0" w:color="auto"/>
        <w:left w:val="none" w:sz="0" w:space="0" w:color="auto"/>
        <w:bottom w:val="none" w:sz="0" w:space="0" w:color="auto"/>
        <w:right w:val="none" w:sz="0" w:space="0" w:color="auto"/>
      </w:divBdr>
    </w:div>
    <w:div w:id="1362785820">
      <w:bodyDiv w:val="1"/>
      <w:marLeft w:val="0"/>
      <w:marRight w:val="0"/>
      <w:marTop w:val="0"/>
      <w:marBottom w:val="0"/>
      <w:divBdr>
        <w:top w:val="none" w:sz="0" w:space="0" w:color="auto"/>
        <w:left w:val="none" w:sz="0" w:space="0" w:color="auto"/>
        <w:bottom w:val="none" w:sz="0" w:space="0" w:color="auto"/>
        <w:right w:val="none" w:sz="0" w:space="0" w:color="auto"/>
      </w:divBdr>
    </w:div>
    <w:div w:id="1397048438">
      <w:bodyDiv w:val="1"/>
      <w:marLeft w:val="0"/>
      <w:marRight w:val="0"/>
      <w:marTop w:val="0"/>
      <w:marBottom w:val="0"/>
      <w:divBdr>
        <w:top w:val="none" w:sz="0" w:space="0" w:color="auto"/>
        <w:left w:val="none" w:sz="0" w:space="0" w:color="auto"/>
        <w:bottom w:val="none" w:sz="0" w:space="0" w:color="auto"/>
        <w:right w:val="none" w:sz="0" w:space="0" w:color="auto"/>
      </w:divBdr>
    </w:div>
    <w:div w:id="1412123432">
      <w:bodyDiv w:val="1"/>
      <w:marLeft w:val="0"/>
      <w:marRight w:val="0"/>
      <w:marTop w:val="0"/>
      <w:marBottom w:val="0"/>
      <w:divBdr>
        <w:top w:val="none" w:sz="0" w:space="0" w:color="auto"/>
        <w:left w:val="none" w:sz="0" w:space="0" w:color="auto"/>
        <w:bottom w:val="none" w:sz="0" w:space="0" w:color="auto"/>
        <w:right w:val="none" w:sz="0" w:space="0" w:color="auto"/>
      </w:divBdr>
    </w:div>
    <w:div w:id="1416824624">
      <w:bodyDiv w:val="1"/>
      <w:marLeft w:val="0"/>
      <w:marRight w:val="0"/>
      <w:marTop w:val="0"/>
      <w:marBottom w:val="0"/>
      <w:divBdr>
        <w:top w:val="none" w:sz="0" w:space="0" w:color="auto"/>
        <w:left w:val="none" w:sz="0" w:space="0" w:color="auto"/>
        <w:bottom w:val="none" w:sz="0" w:space="0" w:color="auto"/>
        <w:right w:val="none" w:sz="0" w:space="0" w:color="auto"/>
      </w:divBdr>
    </w:div>
    <w:div w:id="1466242894">
      <w:bodyDiv w:val="1"/>
      <w:marLeft w:val="0"/>
      <w:marRight w:val="0"/>
      <w:marTop w:val="0"/>
      <w:marBottom w:val="0"/>
      <w:divBdr>
        <w:top w:val="none" w:sz="0" w:space="0" w:color="auto"/>
        <w:left w:val="none" w:sz="0" w:space="0" w:color="auto"/>
        <w:bottom w:val="none" w:sz="0" w:space="0" w:color="auto"/>
        <w:right w:val="none" w:sz="0" w:space="0" w:color="auto"/>
      </w:divBdr>
    </w:div>
    <w:div w:id="1508402225">
      <w:bodyDiv w:val="1"/>
      <w:marLeft w:val="0"/>
      <w:marRight w:val="0"/>
      <w:marTop w:val="0"/>
      <w:marBottom w:val="0"/>
      <w:divBdr>
        <w:top w:val="none" w:sz="0" w:space="0" w:color="auto"/>
        <w:left w:val="none" w:sz="0" w:space="0" w:color="auto"/>
        <w:bottom w:val="none" w:sz="0" w:space="0" w:color="auto"/>
        <w:right w:val="none" w:sz="0" w:space="0" w:color="auto"/>
      </w:divBdr>
    </w:div>
    <w:div w:id="1556431793">
      <w:bodyDiv w:val="1"/>
      <w:marLeft w:val="0"/>
      <w:marRight w:val="0"/>
      <w:marTop w:val="0"/>
      <w:marBottom w:val="0"/>
      <w:divBdr>
        <w:top w:val="none" w:sz="0" w:space="0" w:color="auto"/>
        <w:left w:val="none" w:sz="0" w:space="0" w:color="auto"/>
        <w:bottom w:val="none" w:sz="0" w:space="0" w:color="auto"/>
        <w:right w:val="none" w:sz="0" w:space="0" w:color="auto"/>
      </w:divBdr>
    </w:div>
    <w:div w:id="1587685633">
      <w:bodyDiv w:val="1"/>
      <w:marLeft w:val="0"/>
      <w:marRight w:val="0"/>
      <w:marTop w:val="0"/>
      <w:marBottom w:val="0"/>
      <w:divBdr>
        <w:top w:val="none" w:sz="0" w:space="0" w:color="auto"/>
        <w:left w:val="none" w:sz="0" w:space="0" w:color="auto"/>
        <w:bottom w:val="none" w:sz="0" w:space="0" w:color="auto"/>
        <w:right w:val="none" w:sz="0" w:space="0" w:color="auto"/>
      </w:divBdr>
    </w:div>
    <w:div w:id="1709060913">
      <w:bodyDiv w:val="1"/>
      <w:marLeft w:val="0"/>
      <w:marRight w:val="0"/>
      <w:marTop w:val="0"/>
      <w:marBottom w:val="0"/>
      <w:divBdr>
        <w:top w:val="none" w:sz="0" w:space="0" w:color="auto"/>
        <w:left w:val="none" w:sz="0" w:space="0" w:color="auto"/>
        <w:bottom w:val="none" w:sz="0" w:space="0" w:color="auto"/>
        <w:right w:val="none" w:sz="0" w:space="0" w:color="auto"/>
      </w:divBdr>
    </w:div>
    <w:div w:id="1719816308">
      <w:bodyDiv w:val="1"/>
      <w:marLeft w:val="0"/>
      <w:marRight w:val="0"/>
      <w:marTop w:val="0"/>
      <w:marBottom w:val="0"/>
      <w:divBdr>
        <w:top w:val="none" w:sz="0" w:space="0" w:color="auto"/>
        <w:left w:val="none" w:sz="0" w:space="0" w:color="auto"/>
        <w:bottom w:val="none" w:sz="0" w:space="0" w:color="auto"/>
        <w:right w:val="none" w:sz="0" w:space="0" w:color="auto"/>
      </w:divBdr>
    </w:div>
    <w:div w:id="1724015203">
      <w:bodyDiv w:val="1"/>
      <w:marLeft w:val="0"/>
      <w:marRight w:val="0"/>
      <w:marTop w:val="0"/>
      <w:marBottom w:val="0"/>
      <w:divBdr>
        <w:top w:val="none" w:sz="0" w:space="0" w:color="auto"/>
        <w:left w:val="none" w:sz="0" w:space="0" w:color="auto"/>
        <w:bottom w:val="none" w:sz="0" w:space="0" w:color="auto"/>
        <w:right w:val="none" w:sz="0" w:space="0" w:color="auto"/>
      </w:divBdr>
    </w:div>
    <w:div w:id="1781489525">
      <w:bodyDiv w:val="1"/>
      <w:marLeft w:val="0"/>
      <w:marRight w:val="0"/>
      <w:marTop w:val="0"/>
      <w:marBottom w:val="0"/>
      <w:divBdr>
        <w:top w:val="none" w:sz="0" w:space="0" w:color="auto"/>
        <w:left w:val="none" w:sz="0" w:space="0" w:color="auto"/>
        <w:bottom w:val="none" w:sz="0" w:space="0" w:color="auto"/>
        <w:right w:val="none" w:sz="0" w:space="0" w:color="auto"/>
      </w:divBdr>
    </w:div>
    <w:div w:id="1858424938">
      <w:bodyDiv w:val="1"/>
      <w:marLeft w:val="0"/>
      <w:marRight w:val="0"/>
      <w:marTop w:val="0"/>
      <w:marBottom w:val="0"/>
      <w:divBdr>
        <w:top w:val="none" w:sz="0" w:space="0" w:color="auto"/>
        <w:left w:val="none" w:sz="0" w:space="0" w:color="auto"/>
        <w:bottom w:val="none" w:sz="0" w:space="0" w:color="auto"/>
        <w:right w:val="none" w:sz="0" w:space="0" w:color="auto"/>
      </w:divBdr>
    </w:div>
    <w:div w:id="1923878846">
      <w:bodyDiv w:val="1"/>
      <w:marLeft w:val="0"/>
      <w:marRight w:val="0"/>
      <w:marTop w:val="0"/>
      <w:marBottom w:val="0"/>
      <w:divBdr>
        <w:top w:val="none" w:sz="0" w:space="0" w:color="auto"/>
        <w:left w:val="none" w:sz="0" w:space="0" w:color="auto"/>
        <w:bottom w:val="none" w:sz="0" w:space="0" w:color="auto"/>
        <w:right w:val="none" w:sz="0" w:space="0" w:color="auto"/>
      </w:divBdr>
    </w:div>
    <w:div w:id="1939481640">
      <w:bodyDiv w:val="1"/>
      <w:marLeft w:val="0"/>
      <w:marRight w:val="0"/>
      <w:marTop w:val="0"/>
      <w:marBottom w:val="0"/>
      <w:divBdr>
        <w:top w:val="none" w:sz="0" w:space="0" w:color="auto"/>
        <w:left w:val="none" w:sz="0" w:space="0" w:color="auto"/>
        <w:bottom w:val="none" w:sz="0" w:space="0" w:color="auto"/>
        <w:right w:val="none" w:sz="0" w:space="0" w:color="auto"/>
      </w:divBdr>
    </w:div>
    <w:div w:id="1999069705">
      <w:bodyDiv w:val="1"/>
      <w:marLeft w:val="0"/>
      <w:marRight w:val="0"/>
      <w:marTop w:val="0"/>
      <w:marBottom w:val="0"/>
      <w:divBdr>
        <w:top w:val="none" w:sz="0" w:space="0" w:color="auto"/>
        <w:left w:val="none" w:sz="0" w:space="0" w:color="auto"/>
        <w:bottom w:val="none" w:sz="0" w:space="0" w:color="auto"/>
        <w:right w:val="none" w:sz="0" w:space="0" w:color="auto"/>
      </w:divBdr>
    </w:div>
    <w:div w:id="2077243536">
      <w:bodyDiv w:val="1"/>
      <w:marLeft w:val="0"/>
      <w:marRight w:val="0"/>
      <w:marTop w:val="0"/>
      <w:marBottom w:val="0"/>
      <w:divBdr>
        <w:top w:val="none" w:sz="0" w:space="0" w:color="auto"/>
        <w:left w:val="none" w:sz="0" w:space="0" w:color="auto"/>
        <w:bottom w:val="none" w:sz="0" w:space="0" w:color="auto"/>
        <w:right w:val="none" w:sz="0" w:space="0" w:color="auto"/>
      </w:divBdr>
    </w:div>
    <w:div w:id="2111117473">
      <w:bodyDiv w:val="1"/>
      <w:marLeft w:val="0"/>
      <w:marRight w:val="0"/>
      <w:marTop w:val="0"/>
      <w:marBottom w:val="0"/>
      <w:divBdr>
        <w:top w:val="none" w:sz="0" w:space="0" w:color="auto"/>
        <w:left w:val="none" w:sz="0" w:space="0" w:color="auto"/>
        <w:bottom w:val="none" w:sz="0" w:space="0" w:color="auto"/>
        <w:right w:val="none" w:sz="0" w:space="0" w:color="auto"/>
      </w:divBdr>
    </w:div>
    <w:div w:id="2115326005">
      <w:bodyDiv w:val="1"/>
      <w:marLeft w:val="0"/>
      <w:marRight w:val="0"/>
      <w:marTop w:val="0"/>
      <w:marBottom w:val="0"/>
      <w:divBdr>
        <w:top w:val="none" w:sz="0" w:space="0" w:color="auto"/>
        <w:left w:val="none" w:sz="0" w:space="0" w:color="auto"/>
        <w:bottom w:val="none" w:sz="0" w:space="0" w:color="auto"/>
        <w:right w:val="none" w:sz="0" w:space="0" w:color="auto"/>
      </w:divBdr>
    </w:div>
    <w:div w:id="21322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ffice.ishare.tsa.dhs.gov/sites/oit/bmo/pra/PRA%20Projects2/1652-0030,%20TSA%20CC%20Card/2018%20Rev/www.tsa.gov/contact/contact-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3182021.htm" TargetMode="External"/><Relationship Id="rId2" Type="http://schemas.openxmlformats.org/officeDocument/2006/relationships/hyperlink" Target="http://www.gao.gov/products/GAO-13-43" TargetMode="External"/><Relationship Id="rId1" Type="http://schemas.openxmlformats.org/officeDocument/2006/relationships/hyperlink" Target="http://www.gao.gov/products/GAO-1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2MNXFYDWMX7Y-1832746947-507</_dlc_DocId>
    <_dlc_DocIdUrl xmlns="dcc26ded-df53-40e4-b0ec-50f0378640d6">
      <Url>https://office.ishare.tsa.dhs.gov/sites/oit/bmo/pra/_layouts/15/DocIdRedir.aspx?ID=2MNXFYDWMX7Y-1832746947-507</Url>
      <Description>2MNXFYDWMX7Y-1832746947-507</Description>
    </_dlc_DocIdUrl>
    <Col_x002e__x0020_Yr_x002e_ xmlns="351d9c43-df41-4f76-8579-34e6da0a12cb">FY21</Col_x002e__x0020_Yr_x002e_>
    <Doc_x002e__x0020_Type xmlns="351d9c43-df41-4f76-8579-34e6da0a12cb">SS Pt. A</Doc_x002e__x0020_Type>
    <Reviewer_x0020_Cmt_x0028_s_x0029_ xmlns="351d9c43-df41-4f76-8579-34e6da0a12cb">Due 5/12/2021</Reviewer_x0020_Cmt_x0028_s_x0029_>
    <Prog_x002e__x0020_Office xmlns="351d9c43-df41-4f76-8579-34e6da0a12cb">CRL/OTE</Prog_x002e__x0020_Office>
    <Other_x0020_Actions xmlns="351d9c43-df41-4f76-8579-34e6da0a12cb">PO/EAB Review</Other_x0020_Actions>
    <Request_x0020_Type xmlns="351d9c43-df41-4f76-8579-34e6da0a12cb">EXT</Reques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7312-C467-4FBA-98E6-2BF9B8502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3E110-E438-49AD-ADD9-0AE5578A62A7}">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3.xml><?xml version="1.0" encoding="utf-8"?>
<ds:datastoreItem xmlns:ds="http://schemas.openxmlformats.org/officeDocument/2006/customXml" ds:itemID="{F4DDEB73-EECB-4341-AED4-CFAB34C902DB}">
  <ds:schemaRefs>
    <ds:schemaRef ds:uri="http://schemas.microsoft.com/sharepoint/events"/>
  </ds:schemaRefs>
</ds:datastoreItem>
</file>

<file path=customXml/itemProps4.xml><?xml version="1.0" encoding="utf-8"?>
<ds:datastoreItem xmlns:ds="http://schemas.openxmlformats.org/officeDocument/2006/customXml" ds:itemID="{BEA5D4B7-0265-4447-91AD-7DCF27E7EF64}">
  <ds:schemaRefs>
    <ds:schemaRef ds:uri="http://schemas.microsoft.com/office/2006/metadata/longProperties"/>
  </ds:schemaRefs>
</ds:datastoreItem>
</file>

<file path=customXml/itemProps5.xml><?xml version="1.0" encoding="utf-8"?>
<ds:datastoreItem xmlns:ds="http://schemas.openxmlformats.org/officeDocument/2006/customXml" ds:itemID="{65493E49-72F8-4EA7-AA3B-6B91B97A0ABB}">
  <ds:schemaRefs>
    <ds:schemaRef ds:uri="http://schemas.microsoft.com/sharepoint/v3/contenttype/forms"/>
  </ds:schemaRefs>
</ds:datastoreItem>
</file>

<file path=customXml/itemProps6.xml><?xml version="1.0" encoding="utf-8"?>
<ds:datastoreItem xmlns:ds="http://schemas.openxmlformats.org/officeDocument/2006/customXml" ds:itemID="{46003848-5681-4D9A-86A5-502C2926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3234</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subject/>
  <dc:creator>Marisa Mullen</dc:creator>
  <cp:keywords>5000.22</cp:keywords>
  <cp:lastModifiedBy>Walsh, Christina</cp:lastModifiedBy>
  <cp:revision>2</cp:revision>
  <cp:lastPrinted>2017-06-19T15:48:00Z</cp:lastPrinted>
  <dcterms:created xsi:type="dcterms:W3CDTF">2021-07-20T17:01:00Z</dcterms:created>
  <dcterms:modified xsi:type="dcterms:W3CDTF">2021-07-20T17:01:00Z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Mullen, Marisa &lt;TSA OCC&gt;</vt:lpwstr>
  </property>
  <property fmtid="{D5CDD505-2E9C-101B-9397-08002B2CF9AE}" pid="4" name="display_urn:schemas-microsoft-com:office:office#Author">
    <vt:lpwstr>Mullen, Marisa &lt;TSA OCC&gt;</vt:lpwstr>
  </property>
  <property fmtid="{D5CDD505-2E9C-101B-9397-08002B2CF9AE}" pid="5" name="TemplateUrl">
    <vt:lpwstr/>
  </property>
  <property fmtid="{D5CDD505-2E9C-101B-9397-08002B2CF9AE}" pid="6" name="xd_ProgID">
    <vt:lpwstr/>
  </property>
  <property fmtid="{D5CDD505-2E9C-101B-9397-08002B2CF9AE}" pid="7" name="ContentType">
    <vt:lpwstr>Project Workspace Document</vt:lpwstr>
  </property>
  <property fmtid="{D5CDD505-2E9C-101B-9397-08002B2CF9AE}" pid="8" name="Status">
    <vt:lpwstr>Draft</vt:lpwstr>
  </property>
  <property fmtid="{D5CDD505-2E9C-101B-9397-08002B2CF9AE}" pid="9" name="_NewReviewCycle">
    <vt:lpwstr/>
  </property>
  <property fmtid="{D5CDD505-2E9C-101B-9397-08002B2CF9AE}" pid="10" name="Owner">
    <vt:lpwstr/>
  </property>
  <property fmtid="{D5CDD505-2E9C-101B-9397-08002B2CF9AE}" pid="11" name="ContentTypeId">
    <vt:lpwstr>0x01010014FAE3E703E4794793878A49BBFE0A14</vt:lpwstr>
  </property>
  <property fmtid="{D5CDD505-2E9C-101B-9397-08002B2CF9AE}" pid="12" name="_dlc_DocId">
    <vt:lpwstr>2MNXFYDWMX7Y-370726045-3312</vt:lpwstr>
  </property>
  <property fmtid="{D5CDD505-2E9C-101B-9397-08002B2CF9AE}" pid="13" name="_dlc_DocIdItemGuid">
    <vt:lpwstr>4c5de533-a2d4-484a-bbae-943e4397b13c</vt:lpwstr>
  </property>
  <property fmtid="{D5CDD505-2E9C-101B-9397-08002B2CF9AE}" pid="14" name="_dlc_DocIdUrl">
    <vt:lpwstr>https://office.ishare.tsa.dhs.gov/sites/oit/bmo/pra/_layouts/15/DocIdRedir.aspx?ID=2MNXFYDWMX7Y-370726045-3312, 2MNXFYDWMX7Y-370726045-3312</vt:lpwstr>
  </property>
  <property fmtid="{D5CDD505-2E9C-101B-9397-08002B2CF9AE}" pid="15" name="Originator Division">
    <vt:lpwstr>Mission Support Division</vt:lpwstr>
  </property>
  <property fmtid="{D5CDD505-2E9C-101B-9397-08002B2CF9AE}" pid="16" name="WorkFolder Type">
    <vt:lpwstr>05 - Other</vt:lpwstr>
  </property>
  <property fmtid="{D5CDD505-2E9C-101B-9397-08002B2CF9AE}" pid="17" name="Originator">
    <vt:lpwstr>226</vt:lpwstr>
  </property>
  <property fmtid="{D5CDD505-2E9C-101B-9397-08002B2CF9AE}" pid="18" name="display_urn:schemas-microsoft-com:office:office#Originator">
    <vt:lpwstr>Walsh, Christina</vt:lpwstr>
  </property>
  <property fmtid="{D5CDD505-2E9C-101B-9397-08002B2CF9AE}" pid="19" name="Folder Title">
    <vt:lpwstr/>
  </property>
  <property fmtid="{D5CDD505-2E9C-101B-9397-08002B2CF9AE}" pid="20" name="_docset_NoMedatataSyncRequired">
    <vt:lpwstr>False</vt:lpwstr>
  </property>
  <property fmtid="{D5CDD505-2E9C-101B-9397-08002B2CF9AE}" pid="21" name="IconOverlay">
    <vt:lpwstr/>
  </property>
</Properties>
</file>