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6A43" w:rsidR="00EB5E96" w:rsidP="00C5773A" w:rsidRDefault="00EB5E96" w14:paraId="1D2820EA" w14:textId="77777777">
      <w:pPr>
        <w:pStyle w:val="Title"/>
        <w:spacing w:after="120"/>
        <w:jc w:val="both"/>
        <w:rPr>
          <w:sz w:val="24"/>
          <w:szCs w:val="24"/>
        </w:rPr>
      </w:pPr>
    </w:p>
    <w:p w:rsidRPr="00596A43" w:rsidR="00EB5E96" w:rsidP="00C5773A" w:rsidRDefault="00EB5E96" w14:paraId="278379FD" w14:textId="77777777">
      <w:pPr>
        <w:pStyle w:val="Title"/>
        <w:spacing w:after="120"/>
        <w:rPr>
          <w:sz w:val="24"/>
          <w:szCs w:val="24"/>
        </w:rPr>
      </w:pPr>
      <w:r w:rsidRPr="00596A43">
        <w:rPr>
          <w:sz w:val="24"/>
          <w:szCs w:val="24"/>
        </w:rPr>
        <w:t>Supporting Statement for Paperwork Reduction Act Submissions</w:t>
      </w:r>
    </w:p>
    <w:p w:rsidRPr="00C5773A" w:rsidR="00370F66" w:rsidP="00C5773A" w:rsidRDefault="00EB5E96" w14:paraId="033EB2D6" w14:textId="44DD9863">
      <w:pPr>
        <w:pStyle w:val="Title"/>
        <w:spacing w:after="120"/>
        <w:rPr>
          <w:sz w:val="24"/>
          <w:szCs w:val="24"/>
        </w:rPr>
      </w:pPr>
      <w:r w:rsidRPr="00C5773A">
        <w:rPr>
          <w:sz w:val="24"/>
          <w:szCs w:val="24"/>
        </w:rPr>
        <w:t>Title:</w:t>
      </w:r>
      <w:r w:rsidRPr="00C5773A" w:rsidR="003F1520">
        <w:rPr>
          <w:sz w:val="24"/>
          <w:szCs w:val="24"/>
        </w:rPr>
        <w:t xml:space="preserve"> </w:t>
      </w:r>
      <w:r w:rsidRPr="00C5773A" w:rsidR="00370F66">
        <w:rPr>
          <w:sz w:val="24"/>
          <w:szCs w:val="24"/>
        </w:rPr>
        <w:t xml:space="preserve"> </w:t>
      </w:r>
      <w:r w:rsidRPr="00C5773A" w:rsidR="00C73C53">
        <w:rPr>
          <w:sz w:val="24"/>
          <w:szCs w:val="24"/>
        </w:rPr>
        <w:t>SAFECOM Nationwide Survey</w:t>
      </w:r>
      <w:r w:rsidRPr="00C5773A" w:rsidR="007170B0">
        <w:rPr>
          <w:sz w:val="24"/>
          <w:szCs w:val="24"/>
        </w:rPr>
        <w:t>s</w:t>
      </w:r>
      <w:r w:rsidRPr="00C5773A" w:rsidR="00370F66">
        <w:rPr>
          <w:sz w:val="24"/>
          <w:szCs w:val="24"/>
        </w:rPr>
        <w:t xml:space="preserve"> Generic Clearance </w:t>
      </w:r>
    </w:p>
    <w:p w:rsidRPr="00C5773A" w:rsidR="00EB5E96" w:rsidP="00C5773A" w:rsidRDefault="00EB5E96" w14:paraId="1BD8AED6" w14:textId="0990CDAA">
      <w:pPr>
        <w:pStyle w:val="Title"/>
        <w:spacing w:after="120"/>
        <w:rPr>
          <w:sz w:val="24"/>
          <w:szCs w:val="24"/>
        </w:rPr>
      </w:pPr>
      <w:r w:rsidRPr="00C5773A">
        <w:rPr>
          <w:sz w:val="24"/>
          <w:szCs w:val="24"/>
        </w:rPr>
        <w:t xml:space="preserve">OMB Control Number:  </w:t>
      </w:r>
      <w:r w:rsidRPr="00C5773A" w:rsidR="000A6FC5">
        <w:rPr>
          <w:sz w:val="24"/>
          <w:szCs w:val="24"/>
        </w:rPr>
        <w:t>1670-</w:t>
      </w:r>
      <w:r w:rsidR="00F00034">
        <w:rPr>
          <w:sz w:val="24"/>
          <w:szCs w:val="24"/>
        </w:rPr>
        <w:t>NEW</w:t>
      </w:r>
    </w:p>
    <w:p w:rsidRPr="00C5773A" w:rsidR="009F06EB" w:rsidP="00C5773A" w:rsidRDefault="009F06EB" w14:paraId="49FC04AF" w14:textId="77777777">
      <w:pPr>
        <w:pStyle w:val="Title"/>
        <w:spacing w:after="120"/>
        <w:rPr>
          <w:sz w:val="24"/>
          <w:szCs w:val="24"/>
        </w:rPr>
      </w:pPr>
      <w:r w:rsidRPr="00C5773A">
        <w:rPr>
          <w:sz w:val="24"/>
          <w:szCs w:val="24"/>
        </w:rPr>
        <w:t>Supporting Statement A</w:t>
      </w:r>
    </w:p>
    <w:p w:rsidRPr="00596A43" w:rsidR="00EB5E96" w:rsidP="000C4293" w:rsidRDefault="00EB5E96" w14:paraId="67B73662" w14:textId="77777777">
      <w:pPr>
        <w:pStyle w:val="Heading1"/>
        <w:jc w:val="both"/>
        <w:rPr>
          <w:sz w:val="24"/>
          <w:szCs w:val="24"/>
        </w:rPr>
      </w:pPr>
      <w:r w:rsidRPr="00596A43">
        <w:rPr>
          <w:sz w:val="24"/>
          <w:szCs w:val="24"/>
        </w:rPr>
        <w:t>A.  Justification</w:t>
      </w:r>
    </w:p>
    <w:p w:rsidR="006D6E63" w:rsidP="006D6E63" w:rsidRDefault="00EB5E96" w14:paraId="0A19FE76" w14:textId="77777777">
      <w:r w:rsidRPr="00596A43">
        <w:fldChar w:fldCharType="begin"/>
      </w:r>
      <w:r w:rsidRPr="00596A43">
        <w:instrText>ADVANCE \R 0.95</w:instrText>
      </w:r>
      <w:r w:rsidRPr="00596A43">
        <w:fldChar w:fldCharType="end"/>
      </w:r>
      <w:r w:rsidRPr="006D6E63" w:rsidR="006D6E63">
        <w:rPr>
          <w:rFonts w:ascii="Times" w:hAnsi="Times"/>
          <w:color w:val="000000"/>
          <w:sz w:val="27"/>
          <w:szCs w:val="27"/>
        </w:rPr>
        <w:t xml:space="preserve"> </w:t>
      </w:r>
    </w:p>
    <w:p w:rsidRPr="006D6E63" w:rsidR="00EB5E96" w:rsidP="000C4293" w:rsidRDefault="006D6E63" w14:paraId="2243B755" w14:textId="77777777">
      <w:pPr>
        <w:shd w:val="pct25" w:color="auto" w:fill="auto"/>
        <w:tabs>
          <w:tab w:val="left" w:pos="-720"/>
        </w:tabs>
        <w:suppressAutoHyphens/>
        <w:jc w:val="both"/>
      </w:pPr>
      <w:r w:rsidRPr="006D6E63">
        <w:rPr>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73BBC" w:rsidR="00EB5E96" w:rsidP="00FE7C4C" w:rsidRDefault="00D73BBC" w14:paraId="28E76C1A"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00996984" w:rsidP="00DE5954" w:rsidRDefault="00996984" w14:paraId="65A3EF44" w14:textId="4BA12EB9">
      <w:pPr>
        <w:tabs>
          <w:tab w:val="left" w:pos="-720"/>
        </w:tabs>
        <w:suppressAutoHyphens/>
        <w:spacing w:after="120"/>
        <w:jc w:val="both"/>
      </w:pPr>
      <w:bookmarkStart w:name="_Hlk31982346" w:id="0"/>
      <w:r>
        <w:t>In 2006, Congress passed Public Law 109-29</w:t>
      </w:r>
      <w:r w:rsidR="00B5123C">
        <w:t>5</w:t>
      </w:r>
      <w:bookmarkStart w:name="_GoBack" w:id="1"/>
      <w:bookmarkEnd w:id="1"/>
      <w:r>
        <w:t xml:space="preserve">, which included </w:t>
      </w:r>
      <w:r w:rsidRPr="008F4CD8">
        <w:t xml:space="preserve">SEC. 671. EMERGENCY COMMUNICATIONS </w:t>
      </w:r>
      <w:r>
        <w:t xml:space="preserve">also known as the </w:t>
      </w:r>
      <w:r w:rsidRPr="0083448D">
        <w:t>‘21st Century Emergency Communications Act of 2006’’</w:t>
      </w:r>
      <w:r>
        <w:t xml:space="preserve">. </w:t>
      </w:r>
      <w:r w:rsidRPr="008F4CD8">
        <w:t>The legislation established the D</w:t>
      </w:r>
      <w:r w:rsidR="005201D5">
        <w:t>epartment of Homeland Security (D</w:t>
      </w:r>
      <w:r w:rsidRPr="008F4CD8">
        <w:t>HS</w:t>
      </w:r>
      <w:r w:rsidR="005201D5">
        <w:t>)</w:t>
      </w:r>
      <w:r w:rsidRPr="008F4CD8">
        <w:t xml:space="preserve"> Office of Emergency Communications, which was re-designated </w:t>
      </w:r>
      <w:r w:rsidR="005201D5">
        <w:t xml:space="preserve">in 2018 </w:t>
      </w:r>
      <w:r w:rsidRPr="008F4CD8">
        <w:t>as the Emergency Communications Division</w:t>
      </w:r>
      <w:r>
        <w:t xml:space="preserve"> (ECD)</w:t>
      </w:r>
      <w:r w:rsidRPr="008F4CD8">
        <w:t xml:space="preserve"> within the Cybersecurity and Infrastructure Security Agency (CISA), to lead the development and implementation of a comprehensive approach to advancing national interoperable communications capabilities.</w:t>
      </w:r>
    </w:p>
    <w:p w:rsidR="00996984" w:rsidP="00DE5954" w:rsidRDefault="00996984" w14:paraId="09B1EF49" w14:textId="77777777">
      <w:pPr>
        <w:tabs>
          <w:tab w:val="left" w:pos="-720"/>
        </w:tabs>
        <w:suppressAutoHyphens/>
        <w:spacing w:after="120"/>
        <w:jc w:val="both"/>
      </w:pPr>
      <w:r>
        <w:t>The following responsibilities were established:</w:t>
      </w:r>
    </w:p>
    <w:p w:rsidR="00996984" w:rsidP="00DE5954" w:rsidRDefault="00996984" w14:paraId="3FAFEB7B" w14:textId="295C75DF">
      <w:pPr>
        <w:tabs>
          <w:tab w:val="left" w:pos="-720"/>
        </w:tabs>
        <w:suppressAutoHyphens/>
        <w:spacing w:after="120"/>
        <w:jc w:val="both"/>
      </w:pPr>
      <w:r w:rsidRPr="006C21D0">
        <w:t>6 U.S.C</w:t>
      </w:r>
      <w:r>
        <w:t>.</w:t>
      </w:r>
      <w:r w:rsidRPr="006C21D0">
        <w:t xml:space="preserve"> §571</w:t>
      </w:r>
      <w:r>
        <w:t>(c) requires</w:t>
      </w:r>
      <w:r w:rsidR="005201D5">
        <w:t xml:space="preserve"> the DHS Secretary</w:t>
      </w:r>
      <w:r w:rsidRPr="005201D5" w:rsidR="005201D5">
        <w:t xml:space="preserve"> through the ECD Assistant Director</w:t>
      </w:r>
      <w:r w:rsidR="005201D5">
        <w:t xml:space="preserve"> to</w:t>
      </w:r>
      <w:r>
        <w:t>:</w:t>
      </w:r>
    </w:p>
    <w:p w:rsidR="00996984" w:rsidP="00DE5954" w:rsidRDefault="00996984" w14:paraId="52703E78" w14:textId="76E5C23A">
      <w:pPr>
        <w:tabs>
          <w:tab w:val="left" w:pos="-720"/>
        </w:tabs>
        <w:suppressAutoHyphens/>
        <w:spacing w:after="120"/>
        <w:jc w:val="both"/>
      </w:pPr>
      <w:r>
        <w:t>(</w:t>
      </w:r>
      <w:r w:rsidRPr="006C21D0">
        <w:t>4</w:t>
      </w:r>
      <w:r>
        <w:t>)</w:t>
      </w:r>
      <w:r w:rsidRPr="006C21D0">
        <w:t xml:space="preserve"> conduct extensive, nationwide outreach to support and promote the ability of emergency response providers and relevant government officials to continue to communicate in the event of natural disasters, acts of terrorism, and other man-made disasters</w:t>
      </w:r>
      <w:r w:rsidR="005201D5">
        <w:t>;</w:t>
      </w:r>
      <w:r w:rsidRPr="006C21D0">
        <w:t xml:space="preserve"> </w:t>
      </w:r>
    </w:p>
    <w:p w:rsidR="00996984" w:rsidP="00DE5954" w:rsidRDefault="00996984" w14:paraId="3719671F" w14:textId="77777777">
      <w:pPr>
        <w:tabs>
          <w:tab w:val="left" w:pos="-720"/>
        </w:tabs>
        <w:suppressAutoHyphens/>
        <w:spacing w:after="120"/>
        <w:jc w:val="both"/>
      </w:pPr>
      <w:r>
        <w:t xml:space="preserve">(13) develop and update periodically, as appropriate, a National Emergency Communications Plan under section 572 of this title; </w:t>
      </w:r>
    </w:p>
    <w:p w:rsidR="00996984" w:rsidP="00DE5954" w:rsidRDefault="00996984" w14:paraId="6495EED2" w14:textId="1290A92A">
      <w:pPr>
        <w:tabs>
          <w:tab w:val="left" w:pos="-720"/>
        </w:tabs>
        <w:suppressAutoHyphens/>
        <w:spacing w:after="120"/>
        <w:jc w:val="both"/>
      </w:pPr>
      <w:r>
        <w:t>(14) perform such other duties of the Department necessary to support and promote the ability of emergency response providers and relevant government officials to continue to communicate in the event of natural disasters, acts of terrorism, and other man-made disasters;</w:t>
      </w:r>
      <w:r w:rsidR="00D63356">
        <w:t xml:space="preserve"> and</w:t>
      </w:r>
      <w:r>
        <w:t xml:space="preserve"> </w:t>
      </w:r>
    </w:p>
    <w:p w:rsidRPr="006C21D0" w:rsidR="00996984" w:rsidP="00DE5954" w:rsidRDefault="00996984" w14:paraId="4C189C66" w14:textId="675923ED">
      <w:pPr>
        <w:tabs>
          <w:tab w:val="left" w:pos="-720"/>
        </w:tabs>
        <w:suppressAutoHyphens/>
        <w:spacing w:after="120"/>
        <w:jc w:val="both"/>
      </w:pPr>
      <w:r>
        <w:t>(15) perform other duties of the Department necessary to achieve the goal of and maintain and enhance interoperable emergency communications capabilities</w:t>
      </w:r>
    </w:p>
    <w:p w:rsidR="00AE384D" w:rsidP="00DE5954" w:rsidRDefault="00AE384D" w14:paraId="4EAACD75" w14:textId="08856931">
      <w:pPr>
        <w:tabs>
          <w:tab w:val="left" w:pos="-720"/>
        </w:tabs>
        <w:suppressAutoHyphens/>
        <w:spacing w:after="120"/>
        <w:jc w:val="both"/>
        <w:rPr>
          <w:color w:val="000000"/>
        </w:rPr>
      </w:pPr>
      <w:r w:rsidRPr="006C21D0">
        <w:t>6</w:t>
      </w:r>
      <w:r>
        <w:t xml:space="preserve"> </w:t>
      </w:r>
      <w:r w:rsidRPr="006C21D0">
        <w:t>U.S</w:t>
      </w:r>
      <w:r>
        <w:t>.</w:t>
      </w:r>
      <w:r w:rsidRPr="006C21D0">
        <w:t>C</w:t>
      </w:r>
      <w:r>
        <w:t xml:space="preserve">. </w:t>
      </w:r>
      <w:r w:rsidRPr="006C21D0">
        <w:rPr>
          <w:color w:val="000000"/>
        </w:rPr>
        <w:t>§</w:t>
      </w:r>
      <w:r>
        <w:rPr>
          <w:color w:val="000000"/>
        </w:rPr>
        <w:t xml:space="preserve"> </w:t>
      </w:r>
      <w:r w:rsidRPr="006C21D0">
        <w:rPr>
          <w:color w:val="000000"/>
        </w:rPr>
        <w:t>57</w:t>
      </w:r>
      <w:r>
        <w:rPr>
          <w:color w:val="000000"/>
        </w:rPr>
        <w:t>2</w:t>
      </w:r>
      <w:r w:rsidRPr="0087347B">
        <w:rPr>
          <w:color w:val="000000"/>
        </w:rPr>
        <w:t>(a)</w:t>
      </w:r>
      <w:r>
        <w:rPr>
          <w:color w:val="000000"/>
        </w:rPr>
        <w:t xml:space="preserve"> requires the Secretary </w:t>
      </w:r>
      <w:r w:rsidRPr="0087347B">
        <w:rPr>
          <w:color w:val="000000"/>
        </w:rPr>
        <w:t>in cooperation with State, local, and tribal governments, Federal departments and agencies, emergency response providers, and the private sector, develop not later than 180 days after the completion of the baseline assessment under section 573 of this title, and periodically update, a National Emergency Communications Plan</w:t>
      </w:r>
      <w:r>
        <w:rPr>
          <w:color w:val="000000"/>
        </w:rPr>
        <w:t>.</w:t>
      </w:r>
    </w:p>
    <w:p w:rsidR="00996984" w:rsidP="00DE5954" w:rsidRDefault="00AE384D" w14:paraId="71BDE42B" w14:textId="61C43AD9">
      <w:pPr>
        <w:tabs>
          <w:tab w:val="left" w:pos="-720"/>
        </w:tabs>
        <w:suppressAutoHyphens/>
        <w:spacing w:after="120"/>
        <w:jc w:val="both"/>
        <w:rPr>
          <w:color w:val="000000"/>
        </w:rPr>
      </w:pPr>
      <w:r>
        <w:t>Lastly</w:t>
      </w:r>
      <w:r w:rsidR="00996984">
        <w:t xml:space="preserve">, </w:t>
      </w:r>
      <w:r w:rsidRPr="006C21D0" w:rsidR="00996984">
        <w:t>6</w:t>
      </w:r>
      <w:r w:rsidR="00996984">
        <w:t xml:space="preserve"> </w:t>
      </w:r>
      <w:r w:rsidRPr="006C21D0" w:rsidR="00996984">
        <w:t>U.S</w:t>
      </w:r>
      <w:r w:rsidR="00996984">
        <w:t>.</w:t>
      </w:r>
      <w:r w:rsidRPr="006C21D0" w:rsidR="00996984">
        <w:t>C</w:t>
      </w:r>
      <w:r w:rsidR="00996984">
        <w:t xml:space="preserve">. </w:t>
      </w:r>
      <w:r w:rsidRPr="006C21D0" w:rsidR="00996984">
        <w:rPr>
          <w:color w:val="000000"/>
        </w:rPr>
        <w:t>§</w:t>
      </w:r>
      <w:r w:rsidR="00996984">
        <w:rPr>
          <w:color w:val="000000"/>
        </w:rPr>
        <w:t xml:space="preserve"> </w:t>
      </w:r>
      <w:r w:rsidRPr="006C21D0" w:rsidR="00996984">
        <w:rPr>
          <w:color w:val="000000"/>
        </w:rPr>
        <w:t>573 requires</w:t>
      </w:r>
      <w:r w:rsidR="00996984">
        <w:rPr>
          <w:color w:val="000000"/>
        </w:rPr>
        <w:t xml:space="preserve"> </w:t>
      </w:r>
      <w:r w:rsidRPr="006C21D0" w:rsidR="00996984">
        <w:rPr>
          <w:color w:val="000000"/>
        </w:rPr>
        <w:t xml:space="preserve">the </w:t>
      </w:r>
      <w:r w:rsidR="00996984">
        <w:rPr>
          <w:color w:val="000000"/>
        </w:rPr>
        <w:t xml:space="preserve">DHS Secretary to </w:t>
      </w:r>
      <w:r w:rsidRPr="006C21D0" w:rsidR="00996984">
        <w:rPr>
          <w:color w:val="000000"/>
        </w:rPr>
        <w:t>conduct a</w:t>
      </w:r>
      <w:r w:rsidR="00996984">
        <w:rPr>
          <w:color w:val="000000"/>
        </w:rPr>
        <w:t>n</w:t>
      </w:r>
      <w:r w:rsidRPr="006C21D0" w:rsidR="00996984">
        <w:rPr>
          <w:color w:val="000000"/>
        </w:rPr>
        <w:t xml:space="preserve"> assessment</w:t>
      </w:r>
      <w:r w:rsidR="00996984">
        <w:rPr>
          <w:color w:val="000000"/>
        </w:rPr>
        <w:t xml:space="preserve"> of </w:t>
      </w:r>
      <w:r w:rsidRPr="00D73578" w:rsidR="00996984">
        <w:rPr>
          <w:color w:val="000000"/>
        </w:rPr>
        <w:t xml:space="preserve">Federal, State, local, and tribal governments </w:t>
      </w:r>
      <w:r w:rsidR="00996984">
        <w:rPr>
          <w:color w:val="000000"/>
        </w:rPr>
        <w:t>that defines the range of capabilities needed by emergency response providers and relevant government officials, a</w:t>
      </w:r>
      <w:r w:rsidRPr="00D73578" w:rsidR="00996984">
        <w:rPr>
          <w:color w:val="000000"/>
        </w:rPr>
        <w:t xml:space="preserve">ssesses the current available capabilities to meet such communications needs; identify </w:t>
      </w:r>
      <w:r w:rsidR="00996984">
        <w:rPr>
          <w:color w:val="000000"/>
        </w:rPr>
        <w:t xml:space="preserve">the </w:t>
      </w:r>
      <w:r w:rsidRPr="00D73578" w:rsidR="00996984">
        <w:rPr>
          <w:color w:val="000000"/>
        </w:rPr>
        <w:t>gap</w:t>
      </w:r>
      <w:r w:rsidR="00996984">
        <w:rPr>
          <w:color w:val="000000"/>
        </w:rPr>
        <w:t>s</w:t>
      </w:r>
      <w:r w:rsidRPr="00D73578" w:rsidR="00996984">
        <w:rPr>
          <w:color w:val="000000"/>
        </w:rPr>
        <w:t xml:space="preserve"> between such current capabilities and defined requirements; </w:t>
      </w:r>
      <w:r w:rsidRPr="006C21D0" w:rsidR="00996984">
        <w:rPr>
          <w:color w:val="000000"/>
        </w:rPr>
        <w:t xml:space="preserve">at least every five years. </w:t>
      </w:r>
    </w:p>
    <w:p w:rsidR="001C60CB" w:rsidP="00DE5954" w:rsidRDefault="00996984" w14:paraId="32F4728A" w14:textId="40128B6C">
      <w:pPr>
        <w:tabs>
          <w:tab w:val="left" w:pos="-720"/>
        </w:tabs>
        <w:suppressAutoHyphens/>
        <w:spacing w:after="120"/>
        <w:jc w:val="both"/>
        <w:rPr>
          <w:color w:val="000000"/>
        </w:rPr>
      </w:pPr>
      <w:r>
        <w:lastRenderedPageBreak/>
        <w:t>T</w:t>
      </w:r>
      <w:r>
        <w:rPr>
          <w:color w:val="000000"/>
        </w:rPr>
        <w:t xml:space="preserve">hese authorities in addition to DHS responsibilities through Executive Order 13618 in the area of national security/emergency providers’ communications require a continuous examination of </w:t>
      </w:r>
      <w:r w:rsidR="005201D5">
        <w:rPr>
          <w:color w:val="000000"/>
        </w:rPr>
        <w:t xml:space="preserve">nationwide </w:t>
      </w:r>
      <w:r>
        <w:rPr>
          <w:color w:val="000000"/>
        </w:rPr>
        <w:t xml:space="preserve">emergency communications capabilities. </w:t>
      </w:r>
      <w:r w:rsidR="006C21D0">
        <w:rPr>
          <w:color w:val="000000"/>
        </w:rPr>
        <w:t xml:space="preserve"> </w:t>
      </w:r>
    </w:p>
    <w:bookmarkEnd w:id="0"/>
    <w:p w:rsidRPr="009E62A8" w:rsidR="006D6E63" w:rsidP="000C4293" w:rsidRDefault="00EB5E96" w14:paraId="6797A739" w14:textId="77777777">
      <w:pPr>
        <w:shd w:val="pct25" w:color="auto" w:fill="auto"/>
        <w:tabs>
          <w:tab w:val="left" w:pos="-720"/>
        </w:tabs>
        <w:suppressAutoHyphens/>
        <w:jc w:val="both"/>
      </w:pPr>
      <w:r w:rsidRPr="009E62A8">
        <w:rPr>
          <w:highlight w:val="yellow"/>
        </w:rPr>
        <w:fldChar w:fldCharType="begin"/>
      </w:r>
      <w:r w:rsidRPr="009E62A8">
        <w:rPr>
          <w:highlight w:val="yellow"/>
        </w:rPr>
        <w:instrText>ADVANCE \R 0.95</w:instrText>
      </w:r>
      <w:r w:rsidRPr="009E62A8">
        <w:rPr>
          <w:highlight w:val="yellow"/>
        </w:rPr>
        <w:fldChar w:fldCharType="end"/>
      </w:r>
      <w:r w:rsidRPr="009E62A8">
        <w:t xml:space="preserve">2.  Indicate how, by whom, and for what purpose the information is to be used.  Except for a new collection, indicate the actual use the agency has made of the information received from the current collection. </w:t>
      </w:r>
    </w:p>
    <w:p w:rsidR="00D73BBC" w:rsidP="00FE7C4C" w:rsidRDefault="00D73BBC" w14:paraId="09FB9BE6"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008E64D3" w:rsidP="00DE5954" w:rsidRDefault="000C7832" w14:paraId="5DD3BD37" w14:textId="1A5825BC">
      <w:pPr>
        <w:tabs>
          <w:tab w:val="left" w:pos="-720"/>
        </w:tabs>
        <w:suppressAutoHyphens/>
        <w:spacing w:after="120"/>
        <w:jc w:val="both"/>
      </w:pPr>
      <w:r>
        <w:t>To meet the statutory requirements</w:t>
      </w:r>
      <w:r w:rsidR="005201D5">
        <w:t xml:space="preserve"> of</w:t>
      </w:r>
      <w:r w:rsidR="00D63356">
        <w:t xml:space="preserve"> </w:t>
      </w:r>
      <w:r w:rsidRPr="005201D5" w:rsidR="005201D5">
        <w:t>6 U.S.C. § 573</w:t>
      </w:r>
      <w:r>
        <w:t xml:space="preserve">, </w:t>
      </w:r>
      <w:r w:rsidR="003216FA">
        <w:t>ECD</w:t>
      </w:r>
      <w:r w:rsidR="005201D5">
        <w:t xml:space="preserve"> </w:t>
      </w:r>
      <w:r w:rsidR="009221D9">
        <w:t xml:space="preserve">is mandated to </w:t>
      </w:r>
      <w:r w:rsidR="00780D7B">
        <w:t>conduct the SAFECOM Nationwide Survey</w:t>
      </w:r>
      <w:r>
        <w:t xml:space="preserve"> every 5 year</w:t>
      </w:r>
      <w:r w:rsidR="001873C2">
        <w:t>s</w:t>
      </w:r>
      <w:r>
        <w:t xml:space="preserve"> </w:t>
      </w:r>
      <w:r w:rsidR="005201D5">
        <w:t xml:space="preserve">to assess </w:t>
      </w:r>
      <w:r w:rsidR="008E64D3">
        <w:t>evolving</w:t>
      </w:r>
      <w:r w:rsidR="008F213E">
        <w:t xml:space="preserve"> capability</w:t>
      </w:r>
      <w:r w:rsidR="008E64D3">
        <w:t xml:space="preserve"> needs and gaps</w:t>
      </w:r>
      <w:r w:rsidR="005201D5">
        <w:t xml:space="preserve"> and track </w:t>
      </w:r>
      <w:r w:rsidR="008E64D3">
        <w:t>progress against policy initiatives</w:t>
      </w:r>
      <w:r w:rsidR="005201D5">
        <w:t>;</w:t>
      </w:r>
      <w:r w:rsidR="008E64D3">
        <w:t xml:space="preserve"> </w:t>
      </w:r>
      <w:r w:rsidR="005201D5">
        <w:t xml:space="preserve">status of </w:t>
      </w:r>
      <w:r w:rsidR="008E64D3">
        <w:t>strategic plans</w:t>
      </w:r>
      <w:r w:rsidR="005201D5">
        <w:t>; and</w:t>
      </w:r>
      <w:r w:rsidR="008E64D3">
        <w:t xml:space="preserve"> major industry or market shifts affecting the emergency communications capability</w:t>
      </w:r>
      <w:r w:rsidR="00E36F21">
        <w:t xml:space="preserve">. </w:t>
      </w:r>
    </w:p>
    <w:p w:rsidR="00B14F17" w:rsidP="00DE5954" w:rsidRDefault="00193F84" w14:paraId="2E57821B" w14:textId="77777777">
      <w:pPr>
        <w:tabs>
          <w:tab w:val="left" w:pos="-720"/>
        </w:tabs>
        <w:suppressAutoHyphens/>
        <w:jc w:val="both"/>
        <w:rPr>
          <w:u w:val="single"/>
        </w:rPr>
      </w:pPr>
      <w:r w:rsidRPr="0072676B">
        <w:rPr>
          <w:u w:val="single"/>
        </w:rPr>
        <w:t>SAFECOM Nationwide Survey</w:t>
      </w:r>
      <w:r>
        <w:rPr>
          <w:u w:val="single"/>
        </w:rPr>
        <w:t>:</w:t>
      </w:r>
    </w:p>
    <w:p w:rsidR="00AA3F82" w:rsidP="00DE5954" w:rsidRDefault="00F87F17" w14:paraId="1498729E" w14:textId="3E92C494">
      <w:pPr>
        <w:tabs>
          <w:tab w:val="left" w:pos="-720"/>
        </w:tabs>
        <w:suppressAutoHyphens/>
        <w:spacing w:after="120"/>
        <w:jc w:val="both"/>
      </w:pPr>
      <w:r>
        <w:t xml:space="preserve">CISA </w:t>
      </w:r>
      <w:r w:rsidR="0072676B">
        <w:t xml:space="preserve">ECD </w:t>
      </w:r>
      <w:r w:rsidR="009221D9">
        <w:t xml:space="preserve">will </w:t>
      </w:r>
      <w:r w:rsidR="0072676B">
        <w:t xml:space="preserve">conduct </w:t>
      </w:r>
      <w:r w:rsidR="002B275E">
        <w:t xml:space="preserve">a web-based survey entitled </w:t>
      </w:r>
      <w:r w:rsidR="0072676B">
        <w:t>the SAFECOM Nationwide Survey,</w:t>
      </w:r>
      <w:r w:rsidR="0068783C">
        <w:t xml:space="preserve"> hereinafter referred to as the SNS</w:t>
      </w:r>
      <w:r w:rsidR="00780D7B">
        <w:t>.</w:t>
      </w:r>
      <w:r w:rsidR="002B275E">
        <w:t xml:space="preserve"> </w:t>
      </w:r>
      <w:r w:rsidR="00382C40">
        <w:t xml:space="preserve">The purpose </w:t>
      </w:r>
      <w:r w:rsidR="00780D7B">
        <w:t xml:space="preserve">of the survey </w:t>
      </w:r>
      <w:r w:rsidR="00382C40">
        <w:t xml:space="preserve">is to gather information to assess available </w:t>
      </w:r>
      <w:r w:rsidR="002B275E">
        <w:t xml:space="preserve">emergency communications </w:t>
      </w:r>
      <w:r w:rsidR="00382C40">
        <w:t>capabilities</w:t>
      </w:r>
      <w:r w:rsidR="002B275E">
        <w:t xml:space="preserve"> and</w:t>
      </w:r>
      <w:r w:rsidR="00382C40">
        <w:t xml:space="preserve"> identify gaps and needs for emergency response providers to effectively communicate during all types of natural or man-made hazards. </w:t>
      </w:r>
      <w:r>
        <w:t xml:space="preserve">CISA </w:t>
      </w:r>
      <w:r w:rsidR="0068783C">
        <w:t>ECD</w:t>
      </w:r>
      <w:r w:rsidR="00780D7B">
        <w:t xml:space="preserve"> </w:t>
      </w:r>
      <w:r w:rsidR="009221D9">
        <w:t xml:space="preserve">will use </w:t>
      </w:r>
      <w:r w:rsidR="00780D7B">
        <w:t xml:space="preserve">the information collected </w:t>
      </w:r>
      <w:r w:rsidR="00A326A8">
        <w:t xml:space="preserve">to complete a statutorily mandated assessment </w:t>
      </w:r>
      <w:r w:rsidR="00780D7B">
        <w:t>and share the data with all stakeholders</w:t>
      </w:r>
      <w:r w:rsidR="002B275E">
        <w:t xml:space="preserve"> that have a role in emergency communications</w:t>
      </w:r>
      <w:r w:rsidR="00780D7B">
        <w:t xml:space="preserve">. </w:t>
      </w:r>
      <w:r w:rsidR="00382C40">
        <w:t>In order to asc</w:t>
      </w:r>
      <w:r w:rsidR="00D371F6">
        <w:t xml:space="preserve">ertain this </w:t>
      </w:r>
      <w:r w:rsidR="00780D7B">
        <w:t>information,</w:t>
      </w:r>
      <w:r w:rsidR="00D371F6">
        <w:t xml:space="preserve"> the SNS</w:t>
      </w:r>
      <w:r w:rsidR="00382C40">
        <w:t xml:space="preserve"> </w:t>
      </w:r>
      <w:r w:rsidR="009221D9">
        <w:t xml:space="preserve">will </w:t>
      </w:r>
      <w:r w:rsidR="00382C40">
        <w:t xml:space="preserve">deploy </w:t>
      </w:r>
      <w:r w:rsidR="00F86DC0">
        <w:t xml:space="preserve">four </w:t>
      </w:r>
      <w:r w:rsidR="00EE42EE">
        <w:t xml:space="preserve">similar </w:t>
      </w:r>
      <w:r w:rsidR="00382C40">
        <w:t>survey</w:t>
      </w:r>
      <w:r w:rsidR="00F86DC0">
        <w:t>s</w:t>
      </w:r>
      <w:r w:rsidR="00382C40">
        <w:t xml:space="preserve"> across the nation </w:t>
      </w:r>
      <w:r w:rsidR="002B275E">
        <w:t>to various emergency response disciplines</w:t>
      </w:r>
      <w:r w:rsidR="00CA571B">
        <w:t xml:space="preserve"> at each level of government</w:t>
      </w:r>
      <w:r w:rsidR="002B275E">
        <w:t xml:space="preserve"> - f</w:t>
      </w:r>
      <w:r w:rsidR="00382C40">
        <w:t xml:space="preserve">ederal, </w:t>
      </w:r>
      <w:r w:rsidR="002B275E">
        <w:t>s</w:t>
      </w:r>
      <w:r w:rsidR="00382C40">
        <w:t>tate</w:t>
      </w:r>
      <w:r w:rsidR="002B275E">
        <w:t>, t</w:t>
      </w:r>
      <w:r w:rsidR="00CA571B">
        <w:t>erritorial</w:t>
      </w:r>
      <w:r w:rsidR="00D371F6">
        <w:t xml:space="preserve">, </w:t>
      </w:r>
      <w:r w:rsidR="002B275E">
        <w:t>t</w:t>
      </w:r>
      <w:r w:rsidR="00D371F6">
        <w:t xml:space="preserve">ribal, and local. </w:t>
      </w:r>
      <w:r w:rsidR="00382C40">
        <w:t xml:space="preserve">The survey </w:t>
      </w:r>
      <w:r w:rsidR="009221D9">
        <w:t xml:space="preserve">will </w:t>
      </w:r>
      <w:r w:rsidR="00271CA7">
        <w:t xml:space="preserve">solicit responses </w:t>
      </w:r>
      <w:r w:rsidR="00382C40">
        <w:t xml:space="preserve">regarding </w:t>
      </w:r>
      <w:r w:rsidR="00271CA7">
        <w:t xml:space="preserve">issues affecting the </w:t>
      </w:r>
      <w:r w:rsidR="002B275E">
        <w:t xml:space="preserve">public safety </w:t>
      </w:r>
      <w:r w:rsidR="00B14F17">
        <w:t>communit</w:t>
      </w:r>
      <w:r w:rsidR="002B275E">
        <w:t>y</w:t>
      </w:r>
      <w:r w:rsidR="00271CA7">
        <w:t xml:space="preserve"> </w:t>
      </w:r>
      <w:r w:rsidR="00382C40">
        <w:t xml:space="preserve">to determine a jurisdiction’s level of operability, interoperability and continuity and thus their overall emergency communications capability level. </w:t>
      </w:r>
      <w:r>
        <w:t xml:space="preserve">CISA </w:t>
      </w:r>
      <w:r w:rsidR="00271CA7">
        <w:t xml:space="preserve">ECD </w:t>
      </w:r>
      <w:r w:rsidR="009221D9">
        <w:t xml:space="preserve">will </w:t>
      </w:r>
      <w:r w:rsidR="005D0344">
        <w:t>analyze the</w:t>
      </w:r>
      <w:r w:rsidR="00271CA7">
        <w:t xml:space="preserve"> data collected from this general survey to identify major gaps and themes affecting emergency communications across levels of government. Additionally, this </w:t>
      </w:r>
      <w:r w:rsidR="005D0344">
        <w:t>analysis inform</w:t>
      </w:r>
      <w:r w:rsidR="002B275E">
        <w:t>s</w:t>
      </w:r>
      <w:r w:rsidR="005D0344">
        <w:t xml:space="preserve"> the</w:t>
      </w:r>
      <w:r w:rsidR="00271CA7">
        <w:t xml:space="preserve"> develop</w:t>
      </w:r>
      <w:r w:rsidR="005D0344">
        <w:t>ment of</w:t>
      </w:r>
      <w:r w:rsidR="00271CA7">
        <w:t xml:space="preserve"> supplemental surveys tailored to specific needs </w:t>
      </w:r>
      <w:r w:rsidR="005D0344">
        <w:t>across the public safety community</w:t>
      </w:r>
      <w:r w:rsidR="00B14F17">
        <w:t>, as well as future iterations of the Nationwide Baseline Communications Assessment (NCBA) and National Emergency Communications Plan (NECP)</w:t>
      </w:r>
      <w:r w:rsidR="005D0344">
        <w:t xml:space="preserve">. </w:t>
      </w:r>
    </w:p>
    <w:p w:rsidRPr="00880DCA" w:rsidR="00193F84" w:rsidP="00DE5954" w:rsidRDefault="00193F84" w14:paraId="1FC9248C" w14:textId="3CD612DD">
      <w:pPr>
        <w:tabs>
          <w:tab w:val="left" w:pos="-720"/>
        </w:tabs>
        <w:suppressAutoHyphens/>
        <w:jc w:val="both"/>
        <w:rPr>
          <w:u w:val="single"/>
        </w:rPr>
      </w:pPr>
      <w:r w:rsidRPr="00880DCA">
        <w:rPr>
          <w:u w:val="single"/>
        </w:rPr>
        <w:t xml:space="preserve">SAFECOM </w:t>
      </w:r>
      <w:r>
        <w:rPr>
          <w:u w:val="single"/>
        </w:rPr>
        <w:t>Supplemental</w:t>
      </w:r>
      <w:r w:rsidRPr="00880DCA">
        <w:rPr>
          <w:u w:val="single"/>
        </w:rPr>
        <w:t xml:space="preserve"> Survey</w:t>
      </w:r>
      <w:r>
        <w:rPr>
          <w:u w:val="single"/>
        </w:rPr>
        <w:t>s:</w:t>
      </w:r>
    </w:p>
    <w:p w:rsidRPr="00596A43" w:rsidR="007B274B" w:rsidP="00DE5954" w:rsidRDefault="00F87F17" w14:paraId="09EB25ED" w14:textId="1865473B">
      <w:pPr>
        <w:tabs>
          <w:tab w:val="left" w:pos="-720"/>
        </w:tabs>
        <w:suppressAutoHyphens/>
        <w:spacing w:after="120"/>
        <w:jc w:val="both"/>
      </w:pPr>
      <w:r>
        <w:t xml:space="preserve">CISA </w:t>
      </w:r>
      <w:r w:rsidR="008F213E">
        <w:t xml:space="preserve">ECD </w:t>
      </w:r>
      <w:r w:rsidR="009221D9">
        <w:t xml:space="preserve">will </w:t>
      </w:r>
      <w:r w:rsidR="008F213E">
        <w:t xml:space="preserve">conduct SAFECOM </w:t>
      </w:r>
      <w:r w:rsidR="002B275E">
        <w:t>s</w:t>
      </w:r>
      <w:r w:rsidR="008F213E">
        <w:t>upplemental survey</w:t>
      </w:r>
      <w:r w:rsidR="00B838E8">
        <w:t>s</w:t>
      </w:r>
      <w:r w:rsidR="008F213E">
        <w:t>.</w:t>
      </w:r>
      <w:r w:rsidR="00302D0B">
        <w:t xml:space="preserve"> </w:t>
      </w:r>
      <w:r w:rsidR="00B7629E">
        <w:t>The surveys can be conducted as focus groups, in-person interviews, web- and paper-based.</w:t>
      </w:r>
      <w:r w:rsidR="008F213E">
        <w:t xml:space="preserve"> </w:t>
      </w:r>
      <w:r w:rsidR="00586D0E">
        <w:t xml:space="preserve">CISA </w:t>
      </w:r>
      <w:r w:rsidR="008F213E">
        <w:t xml:space="preserve">ECD </w:t>
      </w:r>
      <w:r w:rsidR="009221D9">
        <w:t xml:space="preserve">will </w:t>
      </w:r>
      <w:r w:rsidR="008F213E">
        <w:t>use the information</w:t>
      </w:r>
      <w:r w:rsidR="002674B4">
        <w:t xml:space="preserve"> collected to complete statutorily mandated requirements</w:t>
      </w:r>
      <w:r w:rsidR="00586D0E">
        <w:t xml:space="preserve"> (</w:t>
      </w:r>
      <w:r w:rsidRPr="006C21D0" w:rsidR="00586D0E">
        <w:t>6 U.S.C</w:t>
      </w:r>
      <w:r w:rsidR="00586D0E">
        <w:t>.</w:t>
      </w:r>
      <w:r w:rsidRPr="006C21D0" w:rsidR="00586D0E">
        <w:t xml:space="preserve"> §571</w:t>
      </w:r>
      <w:r w:rsidR="00586D0E">
        <w:t xml:space="preserve">(c), </w:t>
      </w:r>
      <w:r w:rsidRPr="006C21D0" w:rsidR="00586D0E">
        <w:rPr>
          <w:color w:val="000000"/>
        </w:rPr>
        <w:t>57</w:t>
      </w:r>
      <w:r w:rsidR="00586D0E">
        <w:rPr>
          <w:color w:val="000000"/>
        </w:rPr>
        <w:t>2</w:t>
      </w:r>
      <w:r w:rsidRPr="0087347B" w:rsidR="00586D0E">
        <w:rPr>
          <w:color w:val="000000"/>
        </w:rPr>
        <w:t>(a)</w:t>
      </w:r>
      <w:r w:rsidR="00586D0E">
        <w:rPr>
          <w:color w:val="000000"/>
        </w:rPr>
        <w:t>, and 573)</w:t>
      </w:r>
      <w:r w:rsidR="00586D0E">
        <w:t xml:space="preserve"> </w:t>
      </w:r>
      <w:r w:rsidR="002674B4">
        <w:t xml:space="preserve">and </w:t>
      </w:r>
      <w:r w:rsidR="009221D9">
        <w:t xml:space="preserve">will </w:t>
      </w:r>
      <w:r w:rsidR="002674B4">
        <w:t>share the data with all stakeholders</w:t>
      </w:r>
      <w:r w:rsidR="002B275E">
        <w:t xml:space="preserve"> with a role in emergency communications</w:t>
      </w:r>
      <w:r w:rsidR="002674B4">
        <w:t xml:space="preserve">. In order to ascertain this information, the SAFECOM supplemental surveys </w:t>
      </w:r>
      <w:r w:rsidR="000718FD">
        <w:t xml:space="preserve">will </w:t>
      </w:r>
      <w:r w:rsidR="002674B4">
        <w:t xml:space="preserve">deploy </w:t>
      </w:r>
      <w:r w:rsidR="00D70E8A">
        <w:t>topic</w:t>
      </w:r>
      <w:r w:rsidR="002B275E">
        <w:t>-</w:t>
      </w:r>
      <w:r w:rsidR="00D70E8A">
        <w:t>specific</w:t>
      </w:r>
      <w:r w:rsidR="00AE384D">
        <w:t xml:space="preserve"> or </w:t>
      </w:r>
      <w:r w:rsidR="00D70E8A">
        <w:t>target</w:t>
      </w:r>
      <w:r w:rsidR="00AE384D">
        <w:t>ed</w:t>
      </w:r>
      <w:r w:rsidR="00D70E8A">
        <w:t xml:space="preserve"> </w:t>
      </w:r>
      <w:r w:rsidR="002674B4">
        <w:t xml:space="preserve">surveys across the nation </w:t>
      </w:r>
      <w:r w:rsidRPr="002B275E" w:rsidR="002B275E">
        <w:t>to various emergency response disciplines at each level of government:</w:t>
      </w:r>
      <w:r w:rsidR="00D63356">
        <w:t xml:space="preserve"> </w:t>
      </w:r>
      <w:r w:rsidRPr="002B275E" w:rsidR="002B275E">
        <w:t>federal, state, territorial, tribal, and local</w:t>
      </w:r>
      <w:r w:rsidR="002674B4">
        <w:t>. The survey</w:t>
      </w:r>
      <w:r w:rsidR="00D70E8A">
        <w:t>s</w:t>
      </w:r>
      <w:r w:rsidR="002674B4">
        <w:t xml:space="preserve"> solicit responses regarding</w:t>
      </w:r>
      <w:r w:rsidR="00D70E8A">
        <w:t xml:space="preserve"> targeted </w:t>
      </w:r>
      <w:r w:rsidR="002674B4">
        <w:t xml:space="preserve">issues affecting </w:t>
      </w:r>
      <w:r w:rsidR="00B00979">
        <w:t xml:space="preserve">all </w:t>
      </w:r>
      <w:r w:rsidR="002674B4">
        <w:t>public safety</w:t>
      </w:r>
      <w:r w:rsidR="00B00979">
        <w:t>,</w:t>
      </w:r>
      <w:r w:rsidR="002674B4">
        <w:t xml:space="preserve"> emergency response communities </w:t>
      </w:r>
      <w:r w:rsidR="00B00979">
        <w:t xml:space="preserve">and/or </w:t>
      </w:r>
      <w:r w:rsidR="00D70E8A">
        <w:t xml:space="preserve">specific subsets of the </w:t>
      </w:r>
      <w:r w:rsidR="00C64CE1">
        <w:t xml:space="preserve">SNS </w:t>
      </w:r>
      <w:r w:rsidR="00D70E8A">
        <w:t>population</w:t>
      </w:r>
      <w:r w:rsidR="00B00979">
        <w:t>.</w:t>
      </w:r>
      <w:r w:rsidR="00D70E8A">
        <w:t xml:space="preserve"> </w:t>
      </w:r>
      <w:r w:rsidR="00586D0E">
        <w:t xml:space="preserve">CISA </w:t>
      </w:r>
      <w:r w:rsidR="002674B4">
        <w:t xml:space="preserve">ECD </w:t>
      </w:r>
      <w:r w:rsidR="009221D9">
        <w:t xml:space="preserve">will </w:t>
      </w:r>
      <w:r w:rsidR="002674B4">
        <w:t>analyze the data collected from th</w:t>
      </w:r>
      <w:r w:rsidR="00D70E8A">
        <w:t>ese</w:t>
      </w:r>
      <w:r w:rsidR="002674B4">
        <w:t xml:space="preserve"> </w:t>
      </w:r>
      <w:r w:rsidR="00D70E8A">
        <w:t xml:space="preserve">supplemental </w:t>
      </w:r>
      <w:r w:rsidR="002674B4">
        <w:t>survey</w:t>
      </w:r>
      <w:r w:rsidR="00D70E8A">
        <w:t>s</w:t>
      </w:r>
      <w:r w:rsidR="002674B4">
        <w:t xml:space="preserve"> to identify </w:t>
      </w:r>
      <w:r w:rsidR="00465BDD">
        <w:t>changing requirements</w:t>
      </w:r>
      <w:r w:rsidR="007B274B">
        <w:t xml:space="preserve">, </w:t>
      </w:r>
      <w:r w:rsidR="00465BDD">
        <w:t xml:space="preserve">mitigate risks, </w:t>
      </w:r>
      <w:r w:rsidR="007B274B">
        <w:t xml:space="preserve">and inform the </w:t>
      </w:r>
      <w:r w:rsidR="00586D0E">
        <w:t>data</w:t>
      </w:r>
      <w:r w:rsidR="00586D0E">
        <w:rPr>
          <w:rStyle w:val="CommentReference"/>
        </w:rPr>
        <w:t xml:space="preserve"> </w:t>
      </w:r>
      <w:r w:rsidRPr="00586D0E" w:rsidR="00586D0E">
        <w:t>c</w:t>
      </w:r>
      <w:r w:rsidR="00586D0E">
        <w:t>ollected</w:t>
      </w:r>
      <w:r w:rsidR="007B274B">
        <w:t xml:space="preserve"> from the 5-year Nationwide Survey.</w:t>
      </w:r>
    </w:p>
    <w:p w:rsidRPr="00596A43" w:rsidR="00EB5E96" w:rsidP="000C4293" w:rsidRDefault="00EB5E96" w14:paraId="226151F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7D0F4F">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D0F4F" w:rsidR="000455F1">
        <w:t xml:space="preserve">. </w:t>
      </w:r>
      <w:r w:rsidRPr="007D0F4F">
        <w:t>Also describe any consideration of using information technology to reduce burden.</w:t>
      </w:r>
      <w:r w:rsidRPr="00596A43">
        <w:tab/>
      </w:r>
    </w:p>
    <w:p w:rsidRPr="00D73BBC" w:rsidR="00D73BBC" w:rsidP="00FE7C4C" w:rsidRDefault="00D73BBC" w14:paraId="3EB5DDB3"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003216FA" w:rsidP="00DE5954" w:rsidRDefault="00CC6442" w14:paraId="3A631584" w14:textId="006A68CC">
      <w:pPr>
        <w:tabs>
          <w:tab w:val="left" w:pos="-720"/>
        </w:tabs>
        <w:suppressAutoHyphens/>
        <w:spacing w:after="120"/>
        <w:jc w:val="both"/>
      </w:pPr>
      <w:r>
        <w:lastRenderedPageBreak/>
        <w:t xml:space="preserve">ECD </w:t>
      </w:r>
      <w:r w:rsidR="009221D9">
        <w:t xml:space="preserve">will use </w:t>
      </w:r>
      <w:r w:rsidRPr="008A0C9A">
        <w:t>electronic submission to reduce the burden on respondents</w:t>
      </w:r>
      <w:r>
        <w:t xml:space="preserve"> including web-based surveys and assessment tools, such as Survey Monkey. Its t</w:t>
      </w:r>
      <w:r w:rsidRPr="008A0C9A">
        <w:t>arget audience</w:t>
      </w:r>
      <w:r>
        <w:t xml:space="preserve"> </w:t>
      </w:r>
      <w:r w:rsidR="00982EAD">
        <w:t>–</w:t>
      </w:r>
      <w:r>
        <w:t xml:space="preserve"> </w:t>
      </w:r>
      <w:r w:rsidR="00982EAD">
        <w:t xml:space="preserve">mainly </w:t>
      </w:r>
      <w:r w:rsidRPr="008A0C9A">
        <w:t>first responders</w:t>
      </w:r>
      <w:r>
        <w:t xml:space="preserve"> -is</w:t>
      </w:r>
      <w:r w:rsidRPr="008A0C9A">
        <w:t xml:space="preserve"> frequently interrupted</w:t>
      </w:r>
      <w:r w:rsidR="00086C53">
        <w:t xml:space="preserve">, </w:t>
      </w:r>
      <w:r w:rsidRPr="008A0C9A">
        <w:t>have variable schedules</w:t>
      </w:r>
      <w:r w:rsidR="00086C53">
        <w:t>, and frequently work long hours</w:t>
      </w:r>
      <w:r w:rsidRPr="008A0C9A">
        <w:t xml:space="preserve">. Electronic submission </w:t>
      </w:r>
      <w:r w:rsidR="00647611">
        <w:t xml:space="preserve">provides a more </w:t>
      </w:r>
      <w:r w:rsidR="00086C53">
        <w:t>user-friendly</w:t>
      </w:r>
      <w:r w:rsidR="00647611">
        <w:t xml:space="preserve"> interface, </w:t>
      </w:r>
      <w:r w:rsidR="00086C53">
        <w:t xml:space="preserve">provides anonymity to the users, </w:t>
      </w:r>
      <w:r w:rsidRPr="008A0C9A">
        <w:t>ensure</w:t>
      </w:r>
      <w:r>
        <w:t>s</w:t>
      </w:r>
      <w:r w:rsidRPr="008A0C9A">
        <w:t xml:space="preserve"> </w:t>
      </w:r>
      <w:r w:rsidR="00647611">
        <w:t xml:space="preserve">the </w:t>
      </w:r>
      <w:r w:rsidRPr="008A0C9A">
        <w:t>maximum response rate</w:t>
      </w:r>
      <w:r w:rsidR="00647611">
        <w:t>, eliminates</w:t>
      </w:r>
      <w:r w:rsidR="00FD2181">
        <w:t xml:space="preserve"> paper,</w:t>
      </w:r>
      <w:r w:rsidR="00647611">
        <w:t xml:space="preserve"> printing</w:t>
      </w:r>
      <w:r w:rsidR="00FD2181">
        <w:t>,</w:t>
      </w:r>
      <w:r w:rsidR="00D22F59">
        <w:t xml:space="preserve"> and </w:t>
      </w:r>
      <w:r w:rsidR="00647611">
        <w:t>postage cost</w:t>
      </w:r>
      <w:r w:rsidR="00D22F59">
        <w:t>s along with the need for</w:t>
      </w:r>
      <w:r w:rsidR="00086C53">
        <w:t xml:space="preserve"> </w:t>
      </w:r>
      <w:r w:rsidR="00647611">
        <w:t>data entr</w:t>
      </w:r>
      <w:r w:rsidR="00086C53">
        <w:t>y.</w:t>
      </w:r>
      <w:r w:rsidR="00647611">
        <w:t xml:space="preserve"> </w:t>
      </w:r>
    </w:p>
    <w:p w:rsidR="00DC6E79" w:rsidP="00DE5954" w:rsidRDefault="00CA571B" w14:paraId="6206EEAC" w14:textId="4401E764">
      <w:pPr>
        <w:tabs>
          <w:tab w:val="left" w:pos="-720"/>
        </w:tabs>
        <w:suppressAutoHyphens/>
        <w:spacing w:after="120"/>
        <w:jc w:val="both"/>
      </w:pPr>
      <w:r>
        <w:t xml:space="preserve">We will also </w:t>
      </w:r>
      <w:r w:rsidR="00982EAD">
        <w:t xml:space="preserve">utilize </w:t>
      </w:r>
      <w:r>
        <w:t xml:space="preserve">alternative </w:t>
      </w:r>
      <w:r w:rsidR="003216FA">
        <w:t>submission methods</w:t>
      </w:r>
      <w:r w:rsidR="00982EAD">
        <w:t xml:space="preserve"> for both the SNS and the supplemental surveys</w:t>
      </w:r>
      <w:r w:rsidR="00E93D7C">
        <w:t>.</w:t>
      </w:r>
      <w:r>
        <w:t xml:space="preserve"> </w:t>
      </w:r>
      <w:r w:rsidR="00A916CF">
        <w:t xml:space="preserve">An Adobe PDF-fillable form </w:t>
      </w:r>
      <w:r w:rsidR="00E93D7C">
        <w:t xml:space="preserve">which can be returned via email to </w:t>
      </w:r>
      <w:hyperlink w:history="1" r:id="rId12">
        <w:r w:rsidRPr="0068783C" w:rsidR="0068783C">
          <w:rPr>
            <w:rStyle w:val="Hyperlink"/>
          </w:rPr>
          <w:t>sns@cisa.dhs.gov</w:t>
        </w:r>
      </w:hyperlink>
      <w:r w:rsidR="0068783C">
        <w:t>,</w:t>
      </w:r>
      <w:r w:rsidR="00E93D7C">
        <w:t xml:space="preserve"> </w:t>
      </w:r>
      <w:r w:rsidR="00982EAD">
        <w:t>direct email</w:t>
      </w:r>
      <w:r w:rsidR="00F561C9">
        <w:t>s with</w:t>
      </w:r>
      <w:r w:rsidR="00982EAD">
        <w:t xml:space="preserve"> question</w:t>
      </w:r>
      <w:r w:rsidR="00F561C9">
        <w:t>naires attached</w:t>
      </w:r>
      <w:r w:rsidR="00982EAD">
        <w:t xml:space="preserve">, </w:t>
      </w:r>
      <w:r w:rsidR="0068783C">
        <w:t>an in-person survey</w:t>
      </w:r>
      <w:r w:rsidR="00F561C9">
        <w:t>s</w:t>
      </w:r>
      <w:r w:rsidR="0068783C">
        <w:t xml:space="preserve">, </w:t>
      </w:r>
      <w:r w:rsidR="00F561C9">
        <w:t xml:space="preserve">focus-groups, </w:t>
      </w:r>
      <w:r w:rsidR="0068783C">
        <w:t xml:space="preserve">and </w:t>
      </w:r>
      <w:r w:rsidR="00E93D7C">
        <w:t>a paper copy that will be mailed directly to the respondent</w:t>
      </w:r>
      <w:r w:rsidR="000F0FFF">
        <w:t>(s)</w:t>
      </w:r>
      <w:r w:rsidR="00E93D7C">
        <w:t xml:space="preserve"> requesting a hard copy</w:t>
      </w:r>
      <w:r w:rsidR="003216FA">
        <w:t xml:space="preserve">.  The paper copy can be </w:t>
      </w:r>
      <w:r w:rsidR="00E93D7C">
        <w:t>returned</w:t>
      </w:r>
      <w:r w:rsidR="005B1C7B">
        <w:t xml:space="preserve"> either via a prepaid envelope</w:t>
      </w:r>
      <w:r w:rsidR="0068783C">
        <w:t>,</w:t>
      </w:r>
      <w:r w:rsidR="005B1C7B">
        <w:t xml:space="preserve"> scanned and emailed to </w:t>
      </w:r>
      <w:hyperlink w:history="1" r:id="rId13">
        <w:r w:rsidRPr="0068783C" w:rsidR="0068783C">
          <w:rPr>
            <w:rStyle w:val="Hyperlink"/>
          </w:rPr>
          <w:t>sns@cisa.dhs.gov</w:t>
        </w:r>
      </w:hyperlink>
      <w:r w:rsidR="0068783C">
        <w:t>,</w:t>
      </w:r>
      <w:r w:rsidR="005B1C7B">
        <w:t xml:space="preserve"> and/or faxed to </w:t>
      </w:r>
      <w:r w:rsidR="00B838E8">
        <w:t>CISA</w:t>
      </w:r>
      <w:r w:rsidR="00B00979">
        <w:t xml:space="preserve"> </w:t>
      </w:r>
      <w:r w:rsidR="005B1C7B">
        <w:t>EC</w:t>
      </w:r>
      <w:r w:rsidR="003216FA">
        <w:t xml:space="preserve">D. </w:t>
      </w:r>
      <w:r w:rsidR="004B194E">
        <w:t>We anticipate</w:t>
      </w:r>
      <w:r w:rsidRPr="000F0FFF" w:rsidR="000F0FFF">
        <w:t xml:space="preserve"> that </w:t>
      </w:r>
      <w:r w:rsidR="000F0FFF">
        <w:t>.5</w:t>
      </w:r>
      <w:r w:rsidRPr="000F0FFF" w:rsidR="000F0FFF">
        <w:t xml:space="preserve">% of respondents will </w:t>
      </w:r>
      <w:r w:rsidR="003216FA">
        <w:t>utilize th</w:t>
      </w:r>
      <w:r w:rsidR="002168E4">
        <w:t>ese</w:t>
      </w:r>
      <w:r w:rsidR="003216FA">
        <w:t xml:space="preserve"> alternative submission methods</w:t>
      </w:r>
      <w:r w:rsidR="000F0FFF">
        <w:t xml:space="preserve">. </w:t>
      </w:r>
    </w:p>
    <w:p w:rsidRPr="00596A43" w:rsidR="00EB5E96" w:rsidP="000C4293" w:rsidRDefault="00EB5E96" w14:paraId="5D0AC8A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Pr="00D73BBC" w:rsidR="00D73BBC" w:rsidP="00FE7C4C" w:rsidRDefault="00EB5E96" w14:paraId="735E9783" w14:textId="69949E41">
      <w:pPr>
        <w:tabs>
          <w:tab w:val="left" w:pos="-720"/>
        </w:tabs>
        <w:suppressAutoHyphens/>
        <w:spacing w:before="60"/>
        <w:jc w:val="both"/>
        <w:rPr>
          <w:i/>
          <w:spacing w:val="-3"/>
          <w:sz w:val="20"/>
        </w:rPr>
      </w:pPr>
      <w:r w:rsidRPr="00596A43">
        <w:fldChar w:fldCharType="begin"/>
      </w:r>
      <w:r w:rsidRPr="00596A43">
        <w:instrText>ADVANCE \R 0.95</w:instrText>
      </w:r>
      <w:r w:rsidRPr="00596A43">
        <w:fldChar w:fldCharType="end"/>
      </w:r>
      <w:r w:rsidRPr="00D73BBC" w:rsidR="00D73BBC">
        <w:rPr>
          <w:i/>
          <w:spacing w:val="-3"/>
          <w:sz w:val="20"/>
        </w:rPr>
        <w:t>Respon</w:t>
      </w:r>
      <w:r w:rsidR="00D73BBC">
        <w:rPr>
          <w:i/>
          <w:spacing w:val="-3"/>
          <w:sz w:val="20"/>
        </w:rPr>
        <w:t>se</w:t>
      </w:r>
      <w:r w:rsidRPr="00D73BBC" w:rsidR="00D73BBC">
        <w:rPr>
          <w:i/>
          <w:spacing w:val="-3"/>
          <w:sz w:val="20"/>
        </w:rPr>
        <w:t>…</w:t>
      </w:r>
    </w:p>
    <w:p w:rsidRPr="00DE5954" w:rsidR="00AC768B" w:rsidP="00AC768B" w:rsidRDefault="007170B0" w14:paraId="7AED2A91" w14:textId="0D42FCBB">
      <w:pPr>
        <w:tabs>
          <w:tab w:val="left" w:pos="-720"/>
        </w:tabs>
        <w:suppressAutoHyphens/>
        <w:spacing w:after="120"/>
        <w:jc w:val="both"/>
        <w:rPr>
          <w:color w:val="000000"/>
        </w:rPr>
      </w:pPr>
      <w:r>
        <w:t xml:space="preserve">A search of reginfo.gov revealed, </w:t>
      </w:r>
      <w:r w:rsidR="001606F9">
        <w:t xml:space="preserve">three </w:t>
      </w:r>
      <w:r>
        <w:t xml:space="preserve">other interoperability surveys.  </w:t>
      </w:r>
      <w:r w:rsidR="001606F9">
        <w:t>The first was the previous Of</w:t>
      </w:r>
      <w:r w:rsidRPr="001606F9" w:rsidR="001606F9">
        <w:t>fice of Emergency Communications SAFECOM Nationwide Survey</w:t>
      </w:r>
      <w:r w:rsidR="00AC768B">
        <w:t xml:space="preserve"> and is set to expire in October 2020. </w:t>
      </w:r>
      <w:r w:rsidRPr="00982DDE" w:rsidR="00AC768B">
        <w:rPr>
          <w:color w:val="000000"/>
        </w:rPr>
        <w:t xml:space="preserve">The frequency and complexity of emergencies are on the rise during a time when technology is advancing at a faster pace than any other time in history. In order to perform </w:t>
      </w:r>
      <w:r w:rsidR="006F43BD">
        <w:rPr>
          <w:color w:val="000000"/>
        </w:rPr>
        <w:t xml:space="preserve">ECD’s </w:t>
      </w:r>
      <w:r w:rsidRPr="00982DDE" w:rsidR="00AC768B">
        <w:rPr>
          <w:color w:val="000000"/>
        </w:rPr>
        <w:t xml:space="preserve">statutory regulations, it is important to understand the continuously changing requirements of emergency response providers and government officials at all levels of government, evolving risks, and the public safety community’s ability to integrate new technologies while also preparing for emergent technologies. </w:t>
      </w:r>
      <w:r w:rsidR="00AC768B">
        <w:rPr>
          <w:color w:val="000000"/>
        </w:rPr>
        <w:t xml:space="preserve"> As a result, CISA is not renewing the existing clearance and submitting a request for a Generic Clearance to allow for greater flexibility to meet its statutor</w:t>
      </w:r>
      <w:r w:rsidR="00197130">
        <w:rPr>
          <w:color w:val="000000"/>
        </w:rPr>
        <w:t>y requirements.</w:t>
      </w:r>
      <w:r w:rsidR="00AC768B">
        <w:rPr>
          <w:color w:val="000000"/>
        </w:rPr>
        <w:t xml:space="preserve"> </w:t>
      </w:r>
    </w:p>
    <w:p w:rsidR="007170B0" w:rsidP="00DE5954" w:rsidRDefault="007170B0" w14:paraId="75DD55DE" w14:textId="5DE64243">
      <w:pPr>
        <w:tabs>
          <w:tab w:val="left" w:pos="-720"/>
        </w:tabs>
        <w:suppressAutoHyphens/>
        <w:spacing w:after="120"/>
        <w:jc w:val="both"/>
      </w:pPr>
      <w:r>
        <w:t xml:space="preserve">The </w:t>
      </w:r>
      <w:r w:rsidR="001606F9">
        <w:t>second</w:t>
      </w:r>
      <w:r>
        <w:t xml:space="preserve"> was conducted by DHS Science and Technology (S&amp;T)</w:t>
      </w:r>
      <w:r w:rsidR="00CA571B">
        <w:t xml:space="preserve"> </w:t>
      </w:r>
      <w:r w:rsidR="00D903B4">
        <w:t>and expired in 2007</w:t>
      </w:r>
      <w:r w:rsidR="00CA571B">
        <w:t xml:space="preserve">. </w:t>
      </w:r>
      <w:r w:rsidRPr="007D0F4F" w:rsidR="00B204A5">
        <w:t>The subject matter of the</w:t>
      </w:r>
      <w:r>
        <w:t xml:space="preserve"> SAFECOM</w:t>
      </w:r>
      <w:r w:rsidRPr="007D0F4F" w:rsidR="00B204A5">
        <w:t xml:space="preserve"> </w:t>
      </w:r>
      <w:r>
        <w:t>surveys</w:t>
      </w:r>
      <w:r w:rsidRPr="007D0F4F" w:rsidR="00B204A5">
        <w:t xml:space="preserve"> differs from </w:t>
      </w:r>
      <w:r>
        <w:t>the S&amp;T</w:t>
      </w:r>
      <w:r w:rsidRPr="007D0F4F" w:rsidR="00E4187F">
        <w:t xml:space="preserve"> collection </w:t>
      </w:r>
      <w:r w:rsidR="00C170EE">
        <w:t>because of</w:t>
      </w:r>
      <w:r w:rsidRPr="007D0F4F" w:rsidR="00B204A5">
        <w:t xml:space="preserve"> technological</w:t>
      </w:r>
      <w:r w:rsidR="006A0DE7">
        <w:t>, policy, and governance</w:t>
      </w:r>
      <w:r w:rsidRPr="007D0F4F" w:rsidR="00B204A5">
        <w:t xml:space="preserve"> changes in the field of emergency communications</w:t>
      </w:r>
      <w:r w:rsidR="006A0DE7">
        <w:t>.</w:t>
      </w:r>
      <w:r w:rsidRPr="007D0F4F" w:rsidR="00B204A5">
        <w:t xml:space="preserve"> </w:t>
      </w:r>
      <w:r w:rsidRPr="007D0F4F" w:rsidR="007D0F4F">
        <w:t>Thus, new goals, metrics and collection requirements make prior collection tools inadequate for current needs.</w:t>
      </w:r>
      <w:r w:rsidR="007D0F4F">
        <w:t xml:space="preserve"> </w:t>
      </w:r>
    </w:p>
    <w:p w:rsidR="00AA3F82" w:rsidP="00DE5954" w:rsidRDefault="007170B0" w14:paraId="62D3732C" w14:textId="6588EFBF">
      <w:pPr>
        <w:tabs>
          <w:tab w:val="left" w:pos="-720"/>
        </w:tabs>
        <w:suppressAutoHyphens/>
        <w:spacing w:after="120"/>
        <w:jc w:val="both"/>
      </w:pPr>
      <w:r>
        <w:t xml:space="preserve">The </w:t>
      </w:r>
      <w:r w:rsidR="001606F9">
        <w:t xml:space="preserve">final </w:t>
      </w:r>
      <w:r>
        <w:t xml:space="preserve">survey was conducted by the Department of Justice (DOJ) </w:t>
      </w:r>
      <w:r w:rsidR="00D903B4">
        <w:t xml:space="preserve">and expired in 2010.  The DOJ survey focused on accessing the effectiveness of their Interoperable Communications Technology Program (ICTP) Grants.  The SAFECOM surveys differ from the DOJ survey in that it accesses interoperability capabilities not the ITCP grants. </w:t>
      </w:r>
    </w:p>
    <w:p w:rsidRPr="00596A43" w:rsidR="00EB5E96" w:rsidP="000C4293" w:rsidRDefault="00EB5E96" w14:paraId="64F65A2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Pr="00D73BBC" w:rsidR="00D73BBC" w:rsidP="00FE7C4C" w:rsidRDefault="00D73BBC" w14:paraId="17EE02E4"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00EB5E96" w:rsidP="00DE5954" w:rsidRDefault="00B204A5" w14:paraId="20F199F4" w14:textId="7F73492C">
      <w:pPr>
        <w:tabs>
          <w:tab w:val="left" w:pos="-720"/>
        </w:tabs>
        <w:suppressAutoHyphens/>
        <w:spacing w:after="120"/>
        <w:jc w:val="both"/>
        <w:rPr>
          <w:spacing w:val="-3"/>
        </w:rPr>
      </w:pPr>
      <w:r>
        <w:rPr>
          <w:spacing w:val="-3"/>
        </w:rPr>
        <w:t xml:space="preserve">This collection </w:t>
      </w:r>
      <w:r w:rsidR="00272047">
        <w:rPr>
          <w:spacing w:val="-3"/>
        </w:rPr>
        <w:t xml:space="preserve">will impact local and tribal </w:t>
      </w:r>
      <w:r w:rsidR="002168E4">
        <w:rPr>
          <w:spacing w:val="-3"/>
        </w:rPr>
        <w:t xml:space="preserve">first </w:t>
      </w:r>
      <w:r w:rsidR="00272047">
        <w:rPr>
          <w:spacing w:val="-3"/>
        </w:rPr>
        <w:t>responders</w:t>
      </w:r>
      <w:r>
        <w:rPr>
          <w:spacing w:val="-3"/>
        </w:rPr>
        <w:t xml:space="preserve">. Use of electronic submission should assist in minimizing impact of </w:t>
      </w:r>
      <w:r w:rsidR="00272047">
        <w:rPr>
          <w:spacing w:val="-3"/>
        </w:rPr>
        <w:t>said entities</w:t>
      </w:r>
      <w:r>
        <w:rPr>
          <w:spacing w:val="-3"/>
        </w:rPr>
        <w:t xml:space="preserve">. </w:t>
      </w:r>
    </w:p>
    <w:p w:rsidRPr="00596A43" w:rsidR="00EB5E96" w:rsidP="000C4293" w:rsidRDefault="00EB5E96" w14:paraId="3335D1B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Pr="00D73BBC" w:rsidR="00D73BBC" w:rsidP="00FE7C4C" w:rsidRDefault="00D73BBC" w14:paraId="4C6E6A5E"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00AA3F82" w:rsidP="00DE5954" w:rsidRDefault="006D7A16" w14:paraId="42F3670C" w14:textId="7008F487">
      <w:pPr>
        <w:tabs>
          <w:tab w:val="left" w:pos="-720"/>
        </w:tabs>
        <w:suppressAutoHyphens/>
        <w:spacing w:after="120"/>
        <w:jc w:val="both"/>
        <w:rPr>
          <w:spacing w:val="-3"/>
        </w:rPr>
      </w:pPr>
      <w:r>
        <w:rPr>
          <w:spacing w:val="-3"/>
        </w:rPr>
        <w:t>ECD</w:t>
      </w:r>
      <w:r w:rsidR="00B204A5">
        <w:rPr>
          <w:spacing w:val="-3"/>
        </w:rPr>
        <w:t xml:space="preserve"> has a statutory requirement to conduct </w:t>
      </w:r>
      <w:r w:rsidR="00B16E25">
        <w:rPr>
          <w:spacing w:val="-3"/>
        </w:rPr>
        <w:t>the SNS.</w:t>
      </w:r>
      <w:r w:rsidR="00B204A5">
        <w:rPr>
          <w:spacing w:val="-3"/>
        </w:rPr>
        <w:t xml:space="preserve"> Failure to do so wi</w:t>
      </w:r>
      <w:r w:rsidR="0065520D">
        <w:rPr>
          <w:spacing w:val="-3"/>
        </w:rPr>
        <w:t>ll result in non-compliance with</w:t>
      </w:r>
      <w:r w:rsidR="00B204A5">
        <w:rPr>
          <w:spacing w:val="-3"/>
        </w:rPr>
        <w:t xml:space="preserve"> the law. </w:t>
      </w:r>
      <w:r w:rsidR="00F86DC0">
        <w:rPr>
          <w:spacing w:val="-3"/>
        </w:rPr>
        <w:t xml:space="preserve">The collection of data from the </w:t>
      </w:r>
      <w:r w:rsidR="00903E13">
        <w:rPr>
          <w:spacing w:val="-3"/>
        </w:rPr>
        <w:t xml:space="preserve">SNS and the supplemental </w:t>
      </w:r>
      <w:r w:rsidR="00F86DC0">
        <w:rPr>
          <w:spacing w:val="-3"/>
        </w:rPr>
        <w:t xml:space="preserve">surveys will inform the next iteration of the </w:t>
      </w:r>
      <w:r w:rsidR="002168E4">
        <w:rPr>
          <w:spacing w:val="-3"/>
        </w:rPr>
        <w:t>NECP</w:t>
      </w:r>
      <w:r>
        <w:rPr>
          <w:spacing w:val="-3"/>
        </w:rPr>
        <w:t xml:space="preserve"> </w:t>
      </w:r>
      <w:r w:rsidR="00CA571B">
        <w:rPr>
          <w:spacing w:val="-3"/>
        </w:rPr>
        <w:t xml:space="preserve">which lays the groundwork for emergency communications planning </w:t>
      </w:r>
      <w:r w:rsidR="00CA571B">
        <w:rPr>
          <w:spacing w:val="-3"/>
        </w:rPr>
        <w:lastRenderedPageBreak/>
        <w:t xml:space="preserve">nationwide. The assessment will </w:t>
      </w:r>
      <w:r w:rsidR="001C4E52">
        <w:rPr>
          <w:spacing w:val="-3"/>
        </w:rPr>
        <w:t xml:space="preserve">aid in prioritizing programmatic and funding needs </w:t>
      </w:r>
      <w:r w:rsidR="002E6FB7">
        <w:rPr>
          <w:spacing w:val="-3"/>
        </w:rPr>
        <w:t>for</w:t>
      </w:r>
      <w:r w:rsidR="001C4E52">
        <w:rPr>
          <w:spacing w:val="-3"/>
        </w:rPr>
        <w:t xml:space="preserve"> federal, s</w:t>
      </w:r>
      <w:r w:rsidR="002E6FB7">
        <w:rPr>
          <w:spacing w:val="-3"/>
        </w:rPr>
        <w:t xml:space="preserve">tate, </w:t>
      </w:r>
      <w:r w:rsidR="008B11C4">
        <w:rPr>
          <w:spacing w:val="-3"/>
        </w:rPr>
        <w:t xml:space="preserve">territorial, </w:t>
      </w:r>
      <w:r w:rsidR="002E6FB7">
        <w:rPr>
          <w:spacing w:val="-3"/>
        </w:rPr>
        <w:t>local and tribal public safety agencies</w:t>
      </w:r>
      <w:r w:rsidR="001C4E52">
        <w:rPr>
          <w:spacing w:val="-3"/>
        </w:rPr>
        <w:t xml:space="preserve">. </w:t>
      </w:r>
    </w:p>
    <w:p w:rsidRPr="00596A43" w:rsidR="00EB5E96" w:rsidP="000C4293" w:rsidRDefault="00EB5E96" w14:paraId="3ABB717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Pr="00596A43" w:rsidR="00EB5E96" w:rsidP="000C4293" w:rsidRDefault="00EB5E96" w14:paraId="43FD5FF0" w14:textId="77777777">
      <w:pPr>
        <w:shd w:val="pct25" w:color="auto" w:fill="FFFFFF"/>
        <w:tabs>
          <w:tab w:val="left" w:pos="-720"/>
        </w:tabs>
        <w:suppressAutoHyphens/>
        <w:jc w:val="both"/>
      </w:pPr>
    </w:p>
    <w:p w:rsidRPr="00596A43" w:rsidR="00EB5E96" w:rsidP="00AE41B7" w:rsidRDefault="00EB5E96" w14:paraId="6A56555F"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rsidRPr="00596A43" w:rsidR="00EB5E96" w:rsidP="00AE41B7" w:rsidRDefault="00EB5E96" w14:paraId="0D161FE4" w14:textId="7777777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rsidRPr="00596A43" w:rsidR="00EB5E96" w:rsidP="000C4293" w:rsidRDefault="00EB5E96" w14:paraId="24D2236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rsidRPr="00596A43" w:rsidR="00EB5E96" w:rsidP="00AE41B7" w:rsidRDefault="00EB5E96" w14:paraId="2CA4FB63"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rsidRPr="00596A43" w:rsidR="00EB5E96" w:rsidP="00AE41B7" w:rsidRDefault="00EB5E96" w14:paraId="504CDE0E"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rsidRPr="00596A43" w:rsidR="00EB5E96" w:rsidP="00AE41B7" w:rsidRDefault="00EB5E96" w14:paraId="2FEF97CD"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rsidR="00AE41B7">
        <w:t>(</w:t>
      </w:r>
      <w:r w:rsidRPr="00596A43">
        <w:t>f) Requiring the use of a statistical data classification that has not been reviewed and approved by OMB.</w:t>
      </w:r>
    </w:p>
    <w:p w:rsidRPr="00596A43" w:rsidR="00EB5E96" w:rsidP="00AE41B7" w:rsidRDefault="00EB5E96" w14:paraId="159F6FB6"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596A43" w:rsidR="00EB5E96" w:rsidP="00AE41B7" w:rsidRDefault="00EB5E96" w14:paraId="208D6399"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D73BBC" w:rsidP="00FE7C4C" w:rsidRDefault="00EB5E96" w14:paraId="122AE4A7" w14:textId="23F7DB6C">
      <w:pPr>
        <w:tabs>
          <w:tab w:val="left" w:pos="-720"/>
        </w:tabs>
        <w:suppressAutoHyphens/>
        <w:spacing w:before="60"/>
        <w:ind w:left="144"/>
        <w:jc w:val="both"/>
        <w:rPr>
          <w:i/>
          <w:spacing w:val="-3"/>
          <w:sz w:val="20"/>
        </w:rPr>
      </w:pPr>
      <w:r w:rsidRPr="00596A43">
        <w:fldChar w:fldCharType="begin"/>
      </w:r>
      <w:r w:rsidRPr="00596A43">
        <w:instrText>ADVANCE \R 0.95</w:instrText>
      </w:r>
      <w:r w:rsidRPr="00596A43">
        <w:fldChar w:fldCharType="end"/>
      </w:r>
      <w:r w:rsidRPr="00D73BBC" w:rsidR="00D73BBC">
        <w:rPr>
          <w:i/>
          <w:spacing w:val="-3"/>
          <w:sz w:val="20"/>
        </w:rPr>
        <w:t>Respon</w:t>
      </w:r>
      <w:r w:rsidR="00D73BBC">
        <w:rPr>
          <w:i/>
          <w:spacing w:val="-3"/>
          <w:sz w:val="20"/>
        </w:rPr>
        <w:t>se</w:t>
      </w:r>
      <w:r w:rsidRPr="00D73BBC" w:rsidR="00D73BBC">
        <w:rPr>
          <w:i/>
          <w:spacing w:val="-3"/>
          <w:sz w:val="20"/>
        </w:rPr>
        <w:t>…</w:t>
      </w:r>
    </w:p>
    <w:p w:rsidRPr="006B75CF" w:rsidR="00B204A5" w:rsidP="00B204A5" w:rsidRDefault="00903E13" w14:paraId="1292A8D2" w14:textId="3B00FFC9">
      <w:pPr>
        <w:numPr>
          <w:ilvl w:val="0"/>
          <w:numId w:val="27"/>
        </w:numPr>
        <w:tabs>
          <w:tab w:val="left" w:pos="-720"/>
        </w:tabs>
        <w:suppressAutoHyphens/>
        <w:jc w:val="both"/>
        <w:rPr>
          <w:spacing w:val="-3"/>
        </w:rPr>
      </w:pPr>
      <w:r w:rsidRPr="00903E13">
        <w:rPr>
          <w:spacing w:val="-3"/>
        </w:rPr>
        <w:t xml:space="preserve">The special circumstances contained in item 7 </w:t>
      </w:r>
      <w:r w:rsidR="001A740B">
        <w:rPr>
          <w:spacing w:val="-3"/>
        </w:rPr>
        <w:t xml:space="preserve">a. </w:t>
      </w:r>
      <w:r w:rsidRPr="00903E13">
        <w:rPr>
          <w:spacing w:val="-3"/>
        </w:rPr>
        <w:t>of the Supporting Statement are not applicable to this information collection</w:t>
      </w:r>
      <w:r w:rsidR="001A740B">
        <w:rPr>
          <w:spacing w:val="-3"/>
        </w:rPr>
        <w:t>.</w:t>
      </w:r>
    </w:p>
    <w:p w:rsidRPr="00596554" w:rsidR="00AE41B7" w:rsidP="000C4293" w:rsidRDefault="00B204A5" w14:paraId="1F634513" w14:textId="77777777">
      <w:pPr>
        <w:numPr>
          <w:ilvl w:val="0"/>
          <w:numId w:val="27"/>
        </w:numPr>
        <w:tabs>
          <w:tab w:val="left" w:pos="-720"/>
        </w:tabs>
        <w:suppressAutoHyphens/>
        <w:jc w:val="both"/>
        <w:rPr>
          <w:spacing w:val="-3"/>
        </w:rPr>
      </w:pPr>
      <w:r w:rsidRPr="00596554">
        <w:rPr>
          <w:spacing w:val="-3"/>
        </w:rPr>
        <w:t xml:space="preserve">It is anticipated that respondents will have an excess of a month to complete it. </w:t>
      </w:r>
    </w:p>
    <w:p w:rsidRPr="006B75CF" w:rsidR="00B204A5" w:rsidP="000C4293" w:rsidRDefault="001A740B" w14:paraId="3E5DBA00" w14:textId="3061A42D">
      <w:pPr>
        <w:numPr>
          <w:ilvl w:val="0"/>
          <w:numId w:val="27"/>
        </w:numPr>
        <w:tabs>
          <w:tab w:val="left" w:pos="-720"/>
        </w:tabs>
        <w:suppressAutoHyphens/>
        <w:jc w:val="both"/>
        <w:rPr>
          <w:spacing w:val="-3"/>
        </w:rPr>
      </w:pPr>
      <w:r w:rsidRPr="00903E13">
        <w:rPr>
          <w:spacing w:val="-3"/>
        </w:rPr>
        <w:t xml:space="preserve">The special circumstances contained in item 7 </w:t>
      </w:r>
      <w:r>
        <w:rPr>
          <w:spacing w:val="-3"/>
        </w:rPr>
        <w:t xml:space="preserve">c. </w:t>
      </w:r>
      <w:r w:rsidRPr="00903E13">
        <w:rPr>
          <w:spacing w:val="-3"/>
        </w:rPr>
        <w:t>of the Supporting Statement are not applicable to this information collection</w:t>
      </w:r>
      <w:r>
        <w:rPr>
          <w:spacing w:val="-3"/>
        </w:rPr>
        <w:t>.</w:t>
      </w:r>
    </w:p>
    <w:p w:rsidRPr="006B75CF" w:rsidR="00B204A5" w:rsidP="000C4293" w:rsidRDefault="001A740B" w14:paraId="2CB57282" w14:textId="2CE42A3D">
      <w:pPr>
        <w:numPr>
          <w:ilvl w:val="0"/>
          <w:numId w:val="27"/>
        </w:numPr>
        <w:tabs>
          <w:tab w:val="left" w:pos="-720"/>
        </w:tabs>
        <w:suppressAutoHyphens/>
        <w:jc w:val="both"/>
        <w:rPr>
          <w:spacing w:val="-3"/>
        </w:rPr>
      </w:pPr>
      <w:r w:rsidRPr="00903E13">
        <w:rPr>
          <w:spacing w:val="-3"/>
        </w:rPr>
        <w:t xml:space="preserve">The special circumstances contained in item 7 </w:t>
      </w:r>
      <w:r>
        <w:rPr>
          <w:spacing w:val="-3"/>
        </w:rPr>
        <w:t xml:space="preserve">d. </w:t>
      </w:r>
      <w:r w:rsidRPr="00903E13">
        <w:rPr>
          <w:spacing w:val="-3"/>
        </w:rPr>
        <w:t>of the Supporting Statement are not applicable to this information collection</w:t>
      </w:r>
      <w:r>
        <w:rPr>
          <w:spacing w:val="-3"/>
        </w:rPr>
        <w:t>.</w:t>
      </w:r>
    </w:p>
    <w:p w:rsidRPr="006B75CF" w:rsidR="00B204A5" w:rsidP="000C4293" w:rsidRDefault="001A740B" w14:paraId="47F6BD44" w14:textId="48354279">
      <w:pPr>
        <w:numPr>
          <w:ilvl w:val="0"/>
          <w:numId w:val="27"/>
        </w:numPr>
        <w:tabs>
          <w:tab w:val="left" w:pos="-720"/>
        </w:tabs>
        <w:suppressAutoHyphens/>
        <w:jc w:val="both"/>
        <w:rPr>
          <w:spacing w:val="-3"/>
        </w:rPr>
      </w:pPr>
      <w:r w:rsidRPr="00903E13">
        <w:rPr>
          <w:spacing w:val="-3"/>
        </w:rPr>
        <w:t xml:space="preserve">The special circumstances contained in item 7 </w:t>
      </w:r>
      <w:r>
        <w:rPr>
          <w:spacing w:val="-3"/>
        </w:rPr>
        <w:t xml:space="preserve">e. </w:t>
      </w:r>
      <w:r w:rsidRPr="00903E13">
        <w:rPr>
          <w:spacing w:val="-3"/>
        </w:rPr>
        <w:t>of the Supporting Statement are not applicable to this information collection</w:t>
      </w:r>
      <w:r>
        <w:rPr>
          <w:spacing w:val="-3"/>
        </w:rPr>
        <w:t>.</w:t>
      </w:r>
    </w:p>
    <w:p w:rsidRPr="006B75CF" w:rsidR="00B204A5" w:rsidP="000C4293" w:rsidRDefault="001A740B" w14:paraId="5FC7C3F3" w14:textId="3E43ED68">
      <w:pPr>
        <w:numPr>
          <w:ilvl w:val="0"/>
          <w:numId w:val="27"/>
        </w:numPr>
        <w:tabs>
          <w:tab w:val="left" w:pos="-720"/>
        </w:tabs>
        <w:suppressAutoHyphens/>
        <w:jc w:val="both"/>
        <w:rPr>
          <w:spacing w:val="-3"/>
        </w:rPr>
      </w:pPr>
      <w:r w:rsidRPr="00903E13">
        <w:rPr>
          <w:spacing w:val="-3"/>
        </w:rPr>
        <w:t xml:space="preserve">The special circumstances contained in item 7 </w:t>
      </w:r>
      <w:r>
        <w:rPr>
          <w:spacing w:val="-3"/>
        </w:rPr>
        <w:t xml:space="preserve">f. </w:t>
      </w:r>
      <w:r w:rsidRPr="00903E13">
        <w:rPr>
          <w:spacing w:val="-3"/>
        </w:rPr>
        <w:t>of the Supporting Statement are not applicable to this information collection</w:t>
      </w:r>
      <w:r>
        <w:rPr>
          <w:spacing w:val="-3"/>
        </w:rPr>
        <w:t>.</w:t>
      </w:r>
    </w:p>
    <w:p w:rsidRPr="00596554" w:rsidR="00B204A5" w:rsidP="000C4293" w:rsidRDefault="00B204A5" w14:paraId="0DB530D9" w14:textId="77777777">
      <w:pPr>
        <w:numPr>
          <w:ilvl w:val="0"/>
          <w:numId w:val="27"/>
        </w:numPr>
        <w:tabs>
          <w:tab w:val="left" w:pos="-720"/>
        </w:tabs>
        <w:suppressAutoHyphens/>
        <w:jc w:val="both"/>
        <w:rPr>
          <w:spacing w:val="-3"/>
        </w:rPr>
      </w:pPr>
      <w:r w:rsidRPr="00596554">
        <w:rPr>
          <w:spacing w:val="-3"/>
        </w:rPr>
        <w:t xml:space="preserve">To avoid triggering privacy concerns the survey will be conducted on an anonymous basis. The aggregate data will be available to other agencies upon request. </w:t>
      </w:r>
    </w:p>
    <w:p w:rsidRPr="00C5773A" w:rsidR="008147A1" w:rsidP="00C5773A" w:rsidRDefault="00B204A5" w14:paraId="0B31F1B9" w14:textId="3A66A0EF">
      <w:pPr>
        <w:numPr>
          <w:ilvl w:val="0"/>
          <w:numId w:val="27"/>
        </w:numPr>
        <w:tabs>
          <w:tab w:val="left" w:pos="-720"/>
        </w:tabs>
        <w:suppressAutoHyphens/>
        <w:spacing w:after="120"/>
        <w:jc w:val="both"/>
        <w:rPr>
          <w:spacing w:val="-3"/>
        </w:rPr>
      </w:pPr>
      <w:r w:rsidRPr="00596554">
        <w:rPr>
          <w:spacing w:val="-3"/>
        </w:rPr>
        <w:t xml:space="preserve">This collection will not require responders to submit proprietary trade secrets and other confidential information. </w:t>
      </w:r>
    </w:p>
    <w:p w:rsidRPr="00FE192B" w:rsidR="00EB5E96" w:rsidP="004C21F8" w:rsidRDefault="00EB5E96" w14:paraId="16130E1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FE192B">
        <w:t xml:space="preserve">8.  Federal Register Notice: </w:t>
      </w:r>
    </w:p>
    <w:p w:rsidRPr="00FE192B" w:rsidR="00EB5E96" w:rsidP="0053016A" w:rsidRDefault="00EB5E96" w14:paraId="740F5D11" w14:textId="77777777">
      <w:pPr>
        <w:shd w:val="clear" w:color="auto" w:fill="C0C0C0"/>
        <w:tabs>
          <w:tab w:val="left" w:pos="-720"/>
        </w:tabs>
        <w:suppressAutoHyphens/>
        <w:spacing w:after="120"/>
        <w:jc w:val="both"/>
      </w:pPr>
      <w:r w:rsidRPr="00FE192B">
        <w:fldChar w:fldCharType="begin"/>
      </w:r>
      <w:r w:rsidRPr="00FE192B">
        <w:instrText>ADVANCE \R 0.95</w:instrText>
      </w:r>
      <w:r w:rsidRPr="00FE192B">
        <w:fldChar w:fldCharType="end"/>
      </w:r>
      <w:r w:rsidRPr="00FE192B">
        <w:fldChar w:fldCharType="begin"/>
      </w:r>
      <w:r w:rsidRPr="00FE192B">
        <w:instrText>ADVANCE \R 0.95</w:instrText>
      </w:r>
      <w:r w:rsidRPr="00FE192B">
        <w:fldChar w:fldCharType="end"/>
      </w:r>
      <w:r w:rsidRPr="00FE192B">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B569C" w:rsidR="00EB5E96" w:rsidP="0053016A" w:rsidRDefault="00EB5E96" w14:paraId="0C724C8A" w14:textId="77777777">
      <w:pPr>
        <w:shd w:val="pct25" w:color="auto" w:fill="auto"/>
        <w:tabs>
          <w:tab w:val="left" w:pos="-720"/>
        </w:tabs>
        <w:suppressAutoHyphens/>
        <w:spacing w:after="120"/>
        <w:jc w:val="both"/>
      </w:pPr>
      <w:r w:rsidRPr="008147A1">
        <w:rPr>
          <w:highlight w:val="yellow"/>
        </w:rPr>
        <w:lastRenderedPageBreak/>
        <w:fldChar w:fldCharType="begin"/>
      </w:r>
      <w:r w:rsidRPr="008147A1">
        <w:rPr>
          <w:highlight w:val="yellow"/>
        </w:rPr>
        <w:instrText>ADVANCE \R 0.95</w:instrText>
      </w:r>
      <w:r w:rsidRPr="008147A1">
        <w:rPr>
          <w:highlight w:val="yellow"/>
        </w:rPr>
        <w:fldChar w:fldCharType="end"/>
      </w:r>
      <w:r w:rsidRPr="008147A1">
        <w:rPr>
          <w:highlight w:val="yellow"/>
        </w:rPr>
        <w:fldChar w:fldCharType="begin"/>
      </w:r>
      <w:r w:rsidRPr="008147A1">
        <w:rPr>
          <w:highlight w:val="yellow"/>
        </w:rPr>
        <w:instrText>ADVANCE \R 0.95</w:instrText>
      </w:r>
      <w:r w:rsidRPr="008147A1">
        <w:rPr>
          <w:highlight w:val="yellow"/>
        </w:rPr>
        <w:fldChar w:fldCharType="end"/>
      </w:r>
      <w:r w:rsidRPr="002B569C">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8147A1" w:rsidR="002B569C" w:rsidP="0053016A" w:rsidRDefault="00EB5E96" w14:paraId="2A543C37" w14:textId="5B4951E0">
      <w:pPr>
        <w:shd w:val="pct25" w:color="auto" w:fill="auto"/>
        <w:tabs>
          <w:tab w:val="left" w:pos="-720"/>
        </w:tabs>
        <w:suppressAutoHyphens/>
        <w:spacing w:after="120"/>
        <w:jc w:val="both"/>
        <w:rPr>
          <w:highlight w:val="yellow"/>
        </w:rPr>
      </w:pPr>
      <w:r w:rsidRPr="002B569C">
        <w:fldChar w:fldCharType="begin"/>
      </w:r>
      <w:r w:rsidRPr="002B569C">
        <w:instrText>ADVANCE \R 0.95</w:instrText>
      </w:r>
      <w:r w:rsidRPr="002B569C">
        <w:fldChar w:fldCharType="end"/>
      </w:r>
      <w:r w:rsidRPr="002B569C">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Pr="00D73BBC" w:rsidR="001A740B" w:rsidP="00FE7C4C" w:rsidRDefault="00EB5E96" w14:paraId="48094CD7" w14:textId="4A547212">
      <w:pPr>
        <w:tabs>
          <w:tab w:val="left" w:pos="-720"/>
        </w:tabs>
        <w:suppressAutoHyphens/>
        <w:spacing w:before="60"/>
        <w:jc w:val="both"/>
        <w:rPr>
          <w:i/>
          <w:spacing w:val="-3"/>
          <w:sz w:val="20"/>
        </w:rPr>
      </w:pPr>
      <w:r w:rsidRPr="008147A1">
        <w:rPr>
          <w:highlight w:val="yellow"/>
        </w:rPr>
        <w:fldChar w:fldCharType="begin"/>
      </w:r>
      <w:r w:rsidRPr="008147A1">
        <w:rPr>
          <w:highlight w:val="yellow"/>
        </w:rPr>
        <w:instrText>ADVANCE \R 0.95</w:instrText>
      </w:r>
      <w:r w:rsidRPr="008147A1">
        <w:rPr>
          <w:highlight w:val="yellow"/>
        </w:rPr>
        <w:fldChar w:fldCharType="end"/>
      </w:r>
      <w:r w:rsidRPr="00D73BBC" w:rsidR="001A740B">
        <w:rPr>
          <w:i/>
          <w:spacing w:val="-3"/>
          <w:sz w:val="20"/>
        </w:rPr>
        <w:t>Respon</w:t>
      </w:r>
      <w:r w:rsidR="001A740B">
        <w:rPr>
          <w:i/>
          <w:spacing w:val="-3"/>
          <w:sz w:val="20"/>
        </w:rPr>
        <w:t>se</w:t>
      </w:r>
      <w:r w:rsidRPr="00D73BBC" w:rsidR="001A740B">
        <w:rPr>
          <w:i/>
          <w:spacing w:val="-3"/>
          <w:sz w:val="20"/>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9"/>
        <w:gridCol w:w="2246"/>
        <w:gridCol w:w="1016"/>
        <w:gridCol w:w="1604"/>
        <w:gridCol w:w="1065"/>
        <w:gridCol w:w="1369"/>
      </w:tblGrid>
      <w:tr w:rsidRPr="00FE192B" w:rsidR="00F31BB4" w:rsidTr="00F31BB4" w14:paraId="0547B1A7" w14:textId="77777777">
        <w:tc>
          <w:tcPr>
            <w:tcW w:w="1799" w:type="dxa"/>
            <w:shd w:val="clear" w:color="auto" w:fill="000000"/>
          </w:tcPr>
          <w:p w:rsidRPr="00FE192B" w:rsidR="00F31BB4" w:rsidP="00D3411B" w:rsidRDefault="00F31BB4" w14:paraId="02D1FB26" w14:textId="77777777">
            <w:pPr>
              <w:tabs>
                <w:tab w:val="left" w:pos="-720"/>
              </w:tabs>
              <w:suppressAutoHyphens/>
              <w:jc w:val="both"/>
            </w:pPr>
          </w:p>
        </w:tc>
        <w:tc>
          <w:tcPr>
            <w:tcW w:w="2246" w:type="dxa"/>
            <w:shd w:val="clear" w:color="auto" w:fill="BFBFBF"/>
          </w:tcPr>
          <w:p w:rsidRPr="00FE192B" w:rsidR="00F31BB4" w:rsidP="00D3411B" w:rsidRDefault="00F31BB4" w14:paraId="4C9C8D01" w14:textId="77777777">
            <w:pPr>
              <w:tabs>
                <w:tab w:val="left" w:pos="-720"/>
              </w:tabs>
              <w:suppressAutoHyphens/>
              <w:jc w:val="center"/>
              <w:rPr>
                <w:b/>
              </w:rPr>
            </w:pPr>
            <w:r w:rsidRPr="00FE192B">
              <w:rPr>
                <w:b/>
              </w:rPr>
              <w:t>Date of Publication</w:t>
            </w:r>
          </w:p>
        </w:tc>
        <w:tc>
          <w:tcPr>
            <w:tcW w:w="379" w:type="dxa"/>
            <w:shd w:val="clear" w:color="auto" w:fill="BFBFBF"/>
            <w:vAlign w:val="center"/>
          </w:tcPr>
          <w:p w:rsidRPr="00FE192B" w:rsidR="00F31BB4" w:rsidP="00D3411B" w:rsidRDefault="00F31BB4" w14:paraId="2CDA3065" w14:textId="1393A166">
            <w:pPr>
              <w:tabs>
                <w:tab w:val="left" w:pos="-720"/>
              </w:tabs>
              <w:suppressAutoHyphens/>
              <w:jc w:val="center"/>
              <w:rPr>
                <w:b/>
              </w:rPr>
            </w:pPr>
            <w:r w:rsidRPr="00FE192B">
              <w:rPr>
                <w:b/>
              </w:rPr>
              <w:t>Volume #</w:t>
            </w:r>
          </w:p>
        </w:tc>
        <w:tc>
          <w:tcPr>
            <w:tcW w:w="1604" w:type="dxa"/>
            <w:shd w:val="clear" w:color="auto" w:fill="BFBFBF"/>
            <w:vAlign w:val="center"/>
          </w:tcPr>
          <w:p w:rsidRPr="00FE192B" w:rsidR="00F31BB4" w:rsidP="00D3411B" w:rsidRDefault="00F31BB4" w14:paraId="497F4BC9" w14:textId="77777777">
            <w:pPr>
              <w:tabs>
                <w:tab w:val="left" w:pos="-720"/>
              </w:tabs>
              <w:suppressAutoHyphens/>
              <w:jc w:val="center"/>
              <w:rPr>
                <w:b/>
              </w:rPr>
            </w:pPr>
            <w:r w:rsidRPr="00FE192B">
              <w:rPr>
                <w:b/>
              </w:rPr>
              <w:t>Number #</w:t>
            </w:r>
          </w:p>
        </w:tc>
        <w:tc>
          <w:tcPr>
            <w:tcW w:w="1065" w:type="dxa"/>
            <w:shd w:val="clear" w:color="auto" w:fill="BFBFBF"/>
            <w:vAlign w:val="center"/>
          </w:tcPr>
          <w:p w:rsidRPr="00FE192B" w:rsidR="00F31BB4" w:rsidP="00D3411B" w:rsidRDefault="00F31BB4" w14:paraId="338B4798" w14:textId="77777777">
            <w:pPr>
              <w:tabs>
                <w:tab w:val="left" w:pos="-720"/>
              </w:tabs>
              <w:suppressAutoHyphens/>
              <w:jc w:val="center"/>
              <w:rPr>
                <w:b/>
              </w:rPr>
            </w:pPr>
            <w:r w:rsidRPr="00FE192B">
              <w:rPr>
                <w:b/>
              </w:rPr>
              <w:t>Page #</w:t>
            </w:r>
          </w:p>
        </w:tc>
        <w:tc>
          <w:tcPr>
            <w:tcW w:w="1369" w:type="dxa"/>
            <w:shd w:val="clear" w:color="auto" w:fill="BFBFBF"/>
          </w:tcPr>
          <w:p w:rsidRPr="00FE192B" w:rsidR="00F31BB4" w:rsidP="00D3411B" w:rsidRDefault="00F31BB4" w14:paraId="01466970" w14:textId="77777777">
            <w:pPr>
              <w:tabs>
                <w:tab w:val="left" w:pos="-720"/>
              </w:tabs>
              <w:suppressAutoHyphens/>
              <w:jc w:val="center"/>
              <w:rPr>
                <w:b/>
              </w:rPr>
            </w:pPr>
            <w:r w:rsidRPr="00FE192B">
              <w:rPr>
                <w:b/>
              </w:rPr>
              <w:t>Comments Addressed</w:t>
            </w:r>
          </w:p>
        </w:tc>
      </w:tr>
      <w:tr w:rsidRPr="00767509" w:rsidR="00F31BB4" w:rsidTr="00F31BB4" w14:paraId="37901893" w14:textId="77777777">
        <w:tc>
          <w:tcPr>
            <w:tcW w:w="1799" w:type="dxa"/>
          </w:tcPr>
          <w:p w:rsidRPr="00FE192B" w:rsidR="00F31BB4" w:rsidP="00D3411B" w:rsidRDefault="00F31BB4" w14:paraId="2A76FD7B" w14:textId="5F66671A">
            <w:pPr>
              <w:tabs>
                <w:tab w:val="left" w:pos="-720"/>
              </w:tabs>
              <w:suppressAutoHyphens/>
              <w:rPr>
                <w:i/>
              </w:rPr>
            </w:pPr>
            <w:r w:rsidRPr="00FE192B">
              <w:rPr>
                <w:i/>
              </w:rPr>
              <w:t>60</w:t>
            </w:r>
            <w:r>
              <w:rPr>
                <w:i/>
              </w:rPr>
              <w:t>-</w:t>
            </w:r>
            <w:r w:rsidRPr="00FE192B">
              <w:rPr>
                <w:i/>
              </w:rPr>
              <w:t>Day Federal Register Notice:</w:t>
            </w:r>
          </w:p>
        </w:tc>
        <w:tc>
          <w:tcPr>
            <w:tcW w:w="2246" w:type="dxa"/>
          </w:tcPr>
          <w:p w:rsidRPr="00767509" w:rsidR="00F31BB4" w:rsidP="00767509" w:rsidRDefault="00F31BB4" w14:paraId="31E7244B" w14:textId="4CF9F76D">
            <w:pPr>
              <w:tabs>
                <w:tab w:val="left" w:pos="-720"/>
              </w:tabs>
              <w:suppressAutoHyphens/>
            </w:pPr>
            <w:r w:rsidRPr="00767509">
              <w:t>February 17, 2021</w:t>
            </w:r>
          </w:p>
        </w:tc>
        <w:tc>
          <w:tcPr>
            <w:tcW w:w="379" w:type="dxa"/>
          </w:tcPr>
          <w:p w:rsidRPr="00767509" w:rsidR="00F31BB4" w:rsidP="008F55A9" w:rsidRDefault="00F31BB4" w14:paraId="0B682C2D" w14:textId="678760C0">
            <w:pPr>
              <w:tabs>
                <w:tab w:val="left" w:pos="-720"/>
              </w:tabs>
              <w:suppressAutoHyphens/>
              <w:jc w:val="center"/>
            </w:pPr>
            <w:r w:rsidRPr="00767509">
              <w:t>86</w:t>
            </w:r>
          </w:p>
        </w:tc>
        <w:tc>
          <w:tcPr>
            <w:tcW w:w="1604" w:type="dxa"/>
          </w:tcPr>
          <w:p w:rsidRPr="00767509" w:rsidR="00F31BB4" w:rsidP="00767509" w:rsidRDefault="00F31BB4" w14:paraId="36736ACA" w14:textId="04F1F3E8">
            <w:pPr>
              <w:tabs>
                <w:tab w:val="left" w:pos="-720"/>
              </w:tabs>
              <w:suppressAutoHyphens/>
              <w:jc w:val="center"/>
            </w:pPr>
            <w:r w:rsidRPr="00767509">
              <w:t>30</w:t>
            </w:r>
          </w:p>
        </w:tc>
        <w:tc>
          <w:tcPr>
            <w:tcW w:w="1065" w:type="dxa"/>
          </w:tcPr>
          <w:p w:rsidRPr="00767509" w:rsidR="00F31BB4" w:rsidP="008F55A9" w:rsidRDefault="00F31BB4" w14:paraId="04D49E91" w14:textId="3AAC43FC">
            <w:pPr>
              <w:tabs>
                <w:tab w:val="left" w:pos="-720"/>
              </w:tabs>
              <w:suppressAutoHyphens/>
              <w:jc w:val="center"/>
            </w:pPr>
            <w:r w:rsidRPr="00767509">
              <w:t>994</w:t>
            </w:r>
            <w:r w:rsidRPr="00767509" w:rsidR="00A648CD">
              <w:t>8</w:t>
            </w:r>
          </w:p>
        </w:tc>
        <w:tc>
          <w:tcPr>
            <w:tcW w:w="1369" w:type="dxa"/>
          </w:tcPr>
          <w:p w:rsidRPr="00767509" w:rsidR="00F31BB4" w:rsidP="008F55A9" w:rsidRDefault="00F31BB4" w14:paraId="6BD3CDEE" w14:textId="119C0406">
            <w:pPr>
              <w:tabs>
                <w:tab w:val="left" w:pos="-720"/>
              </w:tabs>
              <w:suppressAutoHyphens/>
              <w:jc w:val="center"/>
            </w:pPr>
            <w:r w:rsidRPr="00767509">
              <w:t>No comments</w:t>
            </w:r>
          </w:p>
        </w:tc>
      </w:tr>
      <w:tr w:rsidRPr="00767509" w:rsidR="00F31BB4" w:rsidTr="00F31BB4" w14:paraId="08C957E4" w14:textId="77777777">
        <w:tc>
          <w:tcPr>
            <w:tcW w:w="1799" w:type="dxa"/>
          </w:tcPr>
          <w:p w:rsidRPr="00FE192B" w:rsidR="00F31BB4" w:rsidP="001567A1" w:rsidRDefault="00F31BB4" w14:paraId="2E0B95A5" w14:textId="768E37EB">
            <w:pPr>
              <w:tabs>
                <w:tab w:val="left" w:pos="-720"/>
              </w:tabs>
              <w:suppressAutoHyphens/>
            </w:pPr>
            <w:r w:rsidRPr="00FE192B">
              <w:rPr>
                <w:i/>
              </w:rPr>
              <w:t>30-Day Federal Register Notice</w:t>
            </w:r>
            <w:r>
              <w:rPr>
                <w:i/>
              </w:rPr>
              <w:t>:</w:t>
            </w:r>
          </w:p>
        </w:tc>
        <w:tc>
          <w:tcPr>
            <w:tcW w:w="2246" w:type="dxa"/>
          </w:tcPr>
          <w:p w:rsidRPr="00767509" w:rsidR="00F31BB4" w:rsidP="00767509" w:rsidRDefault="00767509" w14:paraId="0D78B768" w14:textId="0B284CA9">
            <w:pPr>
              <w:tabs>
                <w:tab w:val="left" w:pos="-720"/>
              </w:tabs>
              <w:suppressAutoHyphens/>
            </w:pPr>
            <w:r w:rsidRPr="00767509">
              <w:t>June 23, 2021</w:t>
            </w:r>
          </w:p>
        </w:tc>
        <w:tc>
          <w:tcPr>
            <w:tcW w:w="379" w:type="dxa"/>
          </w:tcPr>
          <w:p w:rsidRPr="00767509" w:rsidR="00F31BB4" w:rsidP="001567A1" w:rsidRDefault="00767509" w14:paraId="6B20C9CD" w14:textId="5331FBBA">
            <w:pPr>
              <w:tabs>
                <w:tab w:val="left" w:pos="-720"/>
              </w:tabs>
              <w:suppressAutoHyphens/>
              <w:jc w:val="center"/>
            </w:pPr>
            <w:r w:rsidRPr="00767509">
              <w:t>86</w:t>
            </w:r>
          </w:p>
        </w:tc>
        <w:tc>
          <w:tcPr>
            <w:tcW w:w="1604" w:type="dxa"/>
          </w:tcPr>
          <w:p w:rsidRPr="00767509" w:rsidR="00F31BB4" w:rsidP="001567A1" w:rsidRDefault="00767509" w14:paraId="63EAA014" w14:textId="5C21305D">
            <w:pPr>
              <w:tabs>
                <w:tab w:val="left" w:pos="-720"/>
              </w:tabs>
              <w:suppressAutoHyphens/>
              <w:jc w:val="center"/>
            </w:pPr>
            <w:r w:rsidRPr="00767509">
              <w:t>118</w:t>
            </w:r>
          </w:p>
        </w:tc>
        <w:tc>
          <w:tcPr>
            <w:tcW w:w="1065" w:type="dxa"/>
          </w:tcPr>
          <w:p w:rsidRPr="00767509" w:rsidR="00F31BB4" w:rsidP="001567A1" w:rsidRDefault="00767509" w14:paraId="3B0BFA9B" w14:textId="11737A7F">
            <w:pPr>
              <w:tabs>
                <w:tab w:val="left" w:pos="-720"/>
              </w:tabs>
              <w:suppressAutoHyphens/>
              <w:jc w:val="center"/>
            </w:pPr>
            <w:r w:rsidRPr="00767509">
              <w:t>32958</w:t>
            </w:r>
          </w:p>
        </w:tc>
        <w:tc>
          <w:tcPr>
            <w:tcW w:w="1369" w:type="dxa"/>
          </w:tcPr>
          <w:p w:rsidRPr="00767509" w:rsidR="00F31BB4" w:rsidP="001567A1" w:rsidRDefault="00767509" w14:paraId="5599CFE5" w14:textId="14AA0812">
            <w:pPr>
              <w:tabs>
                <w:tab w:val="left" w:pos="-720"/>
              </w:tabs>
              <w:suppressAutoHyphens/>
              <w:jc w:val="center"/>
            </w:pPr>
            <w:r w:rsidRPr="00767509">
              <w:t>No comments</w:t>
            </w:r>
          </w:p>
        </w:tc>
      </w:tr>
    </w:tbl>
    <w:p w:rsidR="00B67664" w:rsidP="000C4293" w:rsidRDefault="00B67664" w14:paraId="2F3D752F" w14:textId="77777777">
      <w:pPr>
        <w:tabs>
          <w:tab w:val="left" w:pos="-720"/>
        </w:tabs>
        <w:suppressAutoHyphens/>
        <w:jc w:val="both"/>
      </w:pPr>
    </w:p>
    <w:p w:rsidR="00FB503F" w:rsidP="00DE5954" w:rsidRDefault="001A740B" w14:paraId="2E49A2CB" w14:textId="17A20FDC">
      <w:pPr>
        <w:tabs>
          <w:tab w:val="left" w:pos="-720"/>
        </w:tabs>
        <w:suppressAutoHyphens/>
        <w:spacing w:after="120"/>
        <w:jc w:val="both"/>
      </w:pPr>
      <w:r>
        <w:t xml:space="preserve">ECD </w:t>
      </w:r>
      <w:r w:rsidRPr="00E028E3">
        <w:t xml:space="preserve">will work with the SAFECOM organization, with which it has a statutory role; the National Council of Statewide Interoperability Coordinators (NCSWIC), and other relevant stakeholder associations.  </w:t>
      </w:r>
      <w:r>
        <w:t>ECD</w:t>
      </w:r>
      <w:r w:rsidRPr="00E028E3">
        <w:t xml:space="preserve"> will utilize regular SAFECOM and NCSWIC meetings, which it hosts, and other available opportunities for this purpose</w:t>
      </w:r>
      <w:r w:rsidR="00FB503F">
        <w:t>.</w:t>
      </w:r>
    </w:p>
    <w:p w:rsidR="00A648CD" w:rsidP="00A648CD" w:rsidRDefault="00A648CD" w14:paraId="134F2E9F" w14:textId="78C63334">
      <w:r>
        <w:t xml:space="preserve">A 60-day public notice for comments was published in the </w:t>
      </w:r>
      <w:r>
        <w:rPr>
          <w:i/>
        </w:rPr>
        <w:t>Federal Register</w:t>
      </w:r>
      <w:r>
        <w:t xml:space="preserve"> on February 17, 2021 at 86 FR 9948.</w:t>
      </w:r>
      <w:r>
        <w:rPr>
          <w:vertAlign w:val="superscript"/>
        </w:rPr>
        <w:footnoteReference w:id="2"/>
      </w:r>
      <w:r>
        <w:t xml:space="preserve">  In response, there were no comments.</w:t>
      </w:r>
    </w:p>
    <w:p w:rsidR="00A648CD" w:rsidP="00A648CD" w:rsidRDefault="00A648CD" w14:paraId="5FBC4015" w14:textId="77777777"/>
    <w:p w:rsidR="00A648CD" w:rsidP="00A648CD" w:rsidRDefault="00A648CD" w14:paraId="53F359EB" w14:textId="7ACD976D">
      <w:r>
        <w:t xml:space="preserve">A 30-day public notice for comments was published in the </w:t>
      </w:r>
      <w:r>
        <w:rPr>
          <w:i/>
        </w:rPr>
        <w:t>Federal Register</w:t>
      </w:r>
      <w:r>
        <w:t xml:space="preserve"> on </w:t>
      </w:r>
      <w:r w:rsidR="00767509">
        <w:t>June</w:t>
      </w:r>
      <w:r>
        <w:t xml:space="preserve"> </w:t>
      </w:r>
      <w:r w:rsidR="00767509">
        <w:t>23</w:t>
      </w:r>
      <w:r>
        <w:t xml:space="preserve">, </w:t>
      </w:r>
      <w:r w:rsidR="00767509">
        <w:t>2021</w:t>
      </w:r>
      <w:r>
        <w:t xml:space="preserve"> at </w:t>
      </w:r>
      <w:r w:rsidR="00767509">
        <w:t>86</w:t>
      </w:r>
      <w:r>
        <w:t xml:space="preserve"> FR </w:t>
      </w:r>
      <w:r w:rsidR="00767509">
        <w:t>32958</w:t>
      </w:r>
      <w:r>
        <w:t>.</w:t>
      </w:r>
      <w:r>
        <w:rPr>
          <w:vertAlign w:val="superscript"/>
        </w:rPr>
        <w:footnoteReference w:id="3"/>
      </w:r>
      <w:r>
        <w:t xml:space="preserve"> I</w:t>
      </w:r>
      <w:bookmarkStart w:name="_Hlk70443050" w:id="2"/>
      <w:r>
        <w:t xml:space="preserve">n response, there were no comments. </w:t>
      </w:r>
      <w:bookmarkEnd w:id="2"/>
    </w:p>
    <w:p w:rsidR="00A648CD" w:rsidP="00DE5954" w:rsidRDefault="00A648CD" w14:paraId="3236B8F6" w14:textId="77777777">
      <w:pPr>
        <w:tabs>
          <w:tab w:val="left" w:pos="-720"/>
        </w:tabs>
        <w:suppressAutoHyphens/>
        <w:spacing w:after="120"/>
        <w:jc w:val="both"/>
      </w:pPr>
    </w:p>
    <w:p w:rsidRPr="00596A43" w:rsidR="00EB5E96" w:rsidP="000C4293" w:rsidRDefault="00EB5E96" w14:paraId="2184741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Pr="00D73BBC" w:rsidR="00D73BBC" w:rsidP="00FE7C4C" w:rsidRDefault="00D73BBC" w14:paraId="7773F85D"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Pr="00596A43" w:rsidR="006235FF" w:rsidP="00DE5954" w:rsidRDefault="001C4E52" w14:paraId="643C3F6A" w14:textId="2BBB4AC5">
      <w:pPr>
        <w:tabs>
          <w:tab w:val="left" w:pos="-720"/>
        </w:tabs>
        <w:suppressAutoHyphens/>
        <w:spacing w:after="120"/>
        <w:jc w:val="both"/>
      </w:pPr>
      <w:r w:rsidRPr="001C4E52">
        <w:t xml:space="preserve">There is no offer of monetary or material value for this information collection. </w:t>
      </w:r>
    </w:p>
    <w:p w:rsidRPr="00596A43" w:rsidR="00EB5E96" w:rsidP="000C4293" w:rsidRDefault="00EB5E96" w14:paraId="7659A54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Pr="00FE192B" w:rsidR="00D73BBC" w:rsidP="00FE7C4C" w:rsidRDefault="00EB5E96" w14:paraId="14F90C31" w14:textId="6B88CD4B">
      <w:pPr>
        <w:tabs>
          <w:tab w:val="left" w:pos="-720"/>
        </w:tabs>
        <w:suppressAutoHyphens/>
        <w:spacing w:before="60"/>
        <w:jc w:val="both"/>
        <w:rPr>
          <w:i/>
          <w:spacing w:val="-3"/>
          <w:sz w:val="20"/>
          <w:highlight w:val="yellow"/>
        </w:rPr>
      </w:pPr>
      <w:r w:rsidRPr="00596A43">
        <w:fldChar w:fldCharType="begin"/>
      </w:r>
      <w:r w:rsidRPr="00596A43">
        <w:instrText>ADVANCE \R 0.95</w:instrText>
      </w:r>
      <w:r w:rsidRPr="00596A43">
        <w:fldChar w:fldCharType="end"/>
      </w:r>
      <w:r w:rsidRPr="00776FAB" w:rsidR="00D73BBC">
        <w:rPr>
          <w:i/>
          <w:spacing w:val="-3"/>
          <w:sz w:val="20"/>
        </w:rPr>
        <w:t>Response…</w:t>
      </w:r>
    </w:p>
    <w:p w:rsidR="00F628C3" w:rsidP="00DE5954" w:rsidRDefault="00D352CA" w14:paraId="3155803B" w14:textId="0B73E429">
      <w:pPr>
        <w:spacing w:after="120"/>
        <w:rPr>
          <w:color w:val="000000"/>
        </w:rPr>
      </w:pPr>
      <w:r w:rsidRPr="00D352CA">
        <w:rPr>
          <w:color w:val="000000"/>
        </w:rPr>
        <w:t xml:space="preserve">There are no assurances of confidentiality provided to the respondents for this information collection. This collection is not privacy sensitive, since there is no Personally Identifiable Information (PII) collected or retrieved. Therefore, this collection is not impacted by the Privacy Act and does not require a Privacy Impact Assessment (PIA) or System of Records Notice (SORN). </w:t>
      </w:r>
    </w:p>
    <w:p w:rsidR="001709D4" w:rsidP="00DE5954" w:rsidRDefault="001709D4" w14:paraId="35767A6F" w14:textId="1D43D44F">
      <w:pPr>
        <w:spacing w:after="120"/>
        <w:rPr>
          <w:color w:val="000000"/>
        </w:rPr>
      </w:pPr>
      <w:r w:rsidRPr="001C4E52">
        <w:rPr>
          <w:spacing w:val="-3"/>
        </w:rPr>
        <w:lastRenderedPageBreak/>
        <w:t>No questions will be asked that may jeopardize the pri</w:t>
      </w:r>
      <w:r>
        <w:rPr>
          <w:spacing w:val="-3"/>
        </w:rPr>
        <w:t>vacy of any respondent. Respond</w:t>
      </w:r>
      <w:r w:rsidRPr="001C4E52">
        <w:rPr>
          <w:spacing w:val="-3"/>
        </w:rPr>
        <w:t>ents will remain anonymous throughout the collection.  Therefore, this collection is not impacted by the Privacy Act.</w:t>
      </w:r>
    </w:p>
    <w:p w:rsidRPr="00596A43" w:rsidR="00EB5E96" w:rsidP="000C4293" w:rsidRDefault="00EB5E96" w14:paraId="43510B82" w14:textId="13D4FAE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D73BBC" w:rsidR="00D73BBC" w:rsidP="00FE7C4C" w:rsidRDefault="00D73BBC" w14:paraId="278BD496"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Pr="00596A43" w:rsidR="006235FF" w:rsidP="00DE5954" w:rsidRDefault="001C4E52" w14:paraId="25257B0F" w14:textId="2842F4EF">
      <w:pPr>
        <w:shd w:val="clear" w:color="auto" w:fill="FFFFFF"/>
        <w:tabs>
          <w:tab w:val="left" w:pos="-720"/>
        </w:tabs>
        <w:suppressAutoHyphens/>
        <w:spacing w:after="120"/>
        <w:jc w:val="both"/>
      </w:pPr>
      <w:r w:rsidRPr="001709D4">
        <w:t>There are no questions of a sensitive nature.</w:t>
      </w:r>
      <w:r w:rsidRPr="001C4E52">
        <w:t xml:space="preserve"> </w:t>
      </w:r>
    </w:p>
    <w:p w:rsidRPr="00596A43" w:rsidR="00EB5E96" w:rsidP="000C4293" w:rsidRDefault="00EB5E96" w14:paraId="29EEB901"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Pr="00596A43" w:rsidR="00EB5E96" w:rsidP="000C4293" w:rsidRDefault="00EB5E96" w14:paraId="463C2AF0" w14:textId="77777777">
      <w:pPr>
        <w:tabs>
          <w:tab w:val="left" w:pos="-720"/>
        </w:tabs>
        <w:suppressAutoHyphens/>
        <w:jc w:val="both"/>
      </w:pPr>
      <w:r w:rsidRPr="00596A43">
        <w:fldChar w:fldCharType="begin"/>
      </w:r>
      <w:r w:rsidRPr="00596A43">
        <w:instrText>ADVANCE \R 0.95</w:instrText>
      </w:r>
      <w:r w:rsidRPr="00596A43">
        <w:fldChar w:fldCharType="end"/>
      </w:r>
    </w:p>
    <w:p w:rsidRPr="00596A43" w:rsidR="00EB5E96" w:rsidP="000C4293" w:rsidRDefault="00EB5E96" w14:paraId="0D480F4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C170EE">
        <w:t xml:space="preserve">a. </w:t>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96A43" w:rsidR="00EB5E96" w:rsidP="000C4293" w:rsidRDefault="00EB5E96" w14:paraId="207F0BAF" w14:textId="77777777">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rsidRPr="00596A43" w:rsidR="00EB5E96" w:rsidP="000C4293" w:rsidRDefault="00EB5E96" w14:paraId="44EFF9D6" w14:textId="77777777">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73BBC" w:rsidR="001B4DF3" w:rsidP="00FE7C4C" w:rsidRDefault="001B4DF3" w14:paraId="45506899" w14:textId="7113F7FA">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Pr="00635165" w:rsidR="00CC6D19" w:rsidP="00C733C0" w:rsidRDefault="00D63356" w14:paraId="28D7A52A" w14:textId="63CBAC1D">
      <w:pPr>
        <w:pStyle w:val="ListParagraph"/>
        <w:tabs>
          <w:tab w:val="left" w:pos="-720"/>
        </w:tabs>
        <w:suppressAutoHyphens/>
        <w:ind w:left="0"/>
        <w:jc w:val="both"/>
      </w:pPr>
      <w:r>
        <w:t>ECD</w:t>
      </w:r>
      <w:r w:rsidRPr="00635165" w:rsidR="00CC6D19">
        <w:t xml:space="preserve"> is required by statu</w:t>
      </w:r>
      <w:r w:rsidR="00545A5E">
        <w:t>t</w:t>
      </w:r>
      <w:r w:rsidRPr="00635165" w:rsidR="00CC6D19">
        <w:t>e (</w:t>
      </w:r>
      <w:r w:rsidRPr="006C21D0" w:rsidR="004142E0">
        <w:t>6</w:t>
      </w:r>
      <w:r w:rsidR="004142E0">
        <w:t xml:space="preserve"> </w:t>
      </w:r>
      <w:r w:rsidRPr="006C21D0" w:rsidR="004142E0">
        <w:t>U.S</w:t>
      </w:r>
      <w:r w:rsidR="004142E0">
        <w:t>.</w:t>
      </w:r>
      <w:r w:rsidRPr="006C21D0" w:rsidR="004142E0">
        <w:t>C</w:t>
      </w:r>
      <w:r w:rsidR="004142E0">
        <w:t xml:space="preserve">. </w:t>
      </w:r>
      <w:r w:rsidRPr="006C21D0" w:rsidR="004142E0">
        <w:rPr>
          <w:color w:val="000000"/>
        </w:rPr>
        <w:t>§</w:t>
      </w:r>
      <w:r w:rsidR="004142E0">
        <w:rPr>
          <w:color w:val="000000"/>
        </w:rPr>
        <w:t xml:space="preserve"> </w:t>
      </w:r>
      <w:r w:rsidRPr="006C21D0" w:rsidR="004142E0">
        <w:rPr>
          <w:color w:val="000000"/>
        </w:rPr>
        <w:t>573</w:t>
      </w:r>
      <w:r w:rsidRPr="00635165" w:rsidR="00CC6D19">
        <w:rPr>
          <w:color w:val="000000"/>
        </w:rPr>
        <w:t>)</w:t>
      </w:r>
      <w:r w:rsidRPr="00635165" w:rsidR="00CC6D19">
        <w:t xml:space="preserve"> to conduct an assessment on </w:t>
      </w:r>
      <w:r w:rsidR="002168E4">
        <w:t>s</w:t>
      </w:r>
      <w:r w:rsidRPr="00635165" w:rsidR="00CC6D19">
        <w:t>tate, local, and tribal governments that defines the emergency communications needs for emergency response providers and relevant government officials</w:t>
      </w:r>
      <w:r w:rsidR="00313347">
        <w:t xml:space="preserve"> and continuously gauge the evolving state of the capability</w:t>
      </w:r>
      <w:r w:rsidRPr="00635165" w:rsidR="00CC6D19">
        <w:t>. Therefore, the respondent’s universe will include:</w:t>
      </w:r>
    </w:p>
    <w:p w:rsidRPr="00AD0194" w:rsidR="00F52358" w:rsidP="00C733C0" w:rsidRDefault="00CC6D19" w14:paraId="73E80C34" w14:textId="2D515A76">
      <w:pPr>
        <w:pStyle w:val="ListParagraph"/>
        <w:numPr>
          <w:ilvl w:val="1"/>
          <w:numId w:val="33"/>
        </w:numPr>
        <w:tabs>
          <w:tab w:val="left" w:pos="-720"/>
        </w:tabs>
        <w:suppressAutoHyphens/>
        <w:ind w:left="720"/>
        <w:jc w:val="both"/>
      </w:pPr>
      <w:r w:rsidRPr="00635165">
        <w:t>State/Territorial Level government entities/agencies that ha</w:t>
      </w:r>
      <w:r w:rsidRPr="00635165" w:rsidR="00F52358">
        <w:t xml:space="preserve">ve a role in emergency response, </w:t>
      </w:r>
      <w:r w:rsidRPr="00635165">
        <w:t>federally recognized Tribal Nations</w:t>
      </w:r>
      <w:r w:rsidRPr="00635165" w:rsidR="00F52358">
        <w:t>, and f</w:t>
      </w:r>
      <w:r w:rsidRPr="00635165">
        <w:t xml:space="preserve">irst responder entities, to include </w:t>
      </w:r>
      <w:r w:rsidRPr="00AD0194">
        <w:t>law enforcement, fire, emergency medical service, public safety answer point(s),</w:t>
      </w:r>
      <w:r w:rsidRPr="00AD0194" w:rsidR="007051A1">
        <w:t xml:space="preserve"> and emergency management</w:t>
      </w:r>
      <w:r w:rsidRPr="00AD0194">
        <w:t xml:space="preserve"> at the local level of government across the United States and Territories</w:t>
      </w:r>
    </w:p>
    <w:p w:rsidRPr="00AD0194" w:rsidR="00F52358" w:rsidP="00C733C0" w:rsidRDefault="00A47E17" w14:paraId="28291FD4" w14:textId="4823846A">
      <w:pPr>
        <w:pStyle w:val="ListParagraph"/>
        <w:numPr>
          <w:ilvl w:val="1"/>
          <w:numId w:val="33"/>
        </w:numPr>
        <w:tabs>
          <w:tab w:val="left" w:pos="-720"/>
        </w:tabs>
        <w:suppressAutoHyphens/>
        <w:ind w:left="720"/>
        <w:jc w:val="both"/>
      </w:pPr>
      <w:r>
        <w:t>ECD</w:t>
      </w:r>
      <w:r w:rsidRPr="00AD0194" w:rsidR="00CC6D19">
        <w:t xml:space="preserve"> has calculated the </w:t>
      </w:r>
      <w:r w:rsidRPr="00AD0194" w:rsidR="00487CAF">
        <w:t xml:space="preserve">information collection’s population universe as a whole to be </w:t>
      </w:r>
      <w:r w:rsidRPr="00AD0194" w:rsidR="006D5EC3">
        <w:rPr>
          <w:i/>
        </w:rPr>
        <w:t>67,335</w:t>
      </w:r>
      <w:r w:rsidRPr="00AD0194" w:rsidR="00F52358">
        <w:rPr>
          <w:i/>
        </w:rPr>
        <w:t>. Broken down per the following:</w:t>
      </w:r>
    </w:p>
    <w:p w:rsidRPr="00AD0194" w:rsidR="00F52358" w:rsidP="00DE5954" w:rsidRDefault="00CC6D19" w14:paraId="4CB6C216" w14:textId="1C9679A2">
      <w:pPr>
        <w:pStyle w:val="ListParagraph"/>
        <w:numPr>
          <w:ilvl w:val="2"/>
          <w:numId w:val="33"/>
        </w:numPr>
        <w:tabs>
          <w:tab w:val="left" w:pos="-720"/>
        </w:tabs>
        <w:suppressAutoHyphens/>
        <w:ind w:left="1224"/>
        <w:jc w:val="both"/>
      </w:pPr>
      <w:r w:rsidRPr="00AD0194">
        <w:t>State/Territories=</w:t>
      </w:r>
      <w:r w:rsidRPr="00AD0194" w:rsidR="006D5EC3">
        <w:t>1,913</w:t>
      </w:r>
      <w:r w:rsidRPr="00AD0194" w:rsidR="00F52358">
        <w:t xml:space="preserve"> (56 states, territories and District of </w:t>
      </w:r>
      <w:r w:rsidRPr="00AD0194" w:rsidR="00AD0194">
        <w:t>Columbia.</w:t>
      </w:r>
      <w:r w:rsidRPr="00AD0194" w:rsidR="00F52358">
        <w:t xml:space="preserve"> </w:t>
      </w:r>
      <w:r w:rsidRPr="00AD0194" w:rsidR="006D5EC3">
        <w:t>R</w:t>
      </w:r>
      <w:r w:rsidRPr="00AD0194" w:rsidR="00F52358">
        <w:t>esponses are counted</w:t>
      </w:r>
      <w:r w:rsidRPr="00AD0194" w:rsidR="006D5EC3">
        <w:t xml:space="preserve"> for each </w:t>
      </w:r>
      <w:r w:rsidRPr="00AD0194" w:rsidR="003478A9">
        <w:t>targeted discipline</w:t>
      </w:r>
      <w:r w:rsidRPr="00AD0194" w:rsidR="00C739AB">
        <w:t xml:space="preserve"> plus field offices with an emergency response component</w:t>
      </w:r>
      <w:r w:rsidRPr="00AD0194" w:rsidR="00F52358">
        <w:t xml:space="preserve">) </w:t>
      </w:r>
    </w:p>
    <w:p w:rsidRPr="00AD0194" w:rsidR="00F52358" w:rsidP="00DE5954" w:rsidRDefault="00CC6D19" w14:paraId="1A409711" w14:textId="415C9116">
      <w:pPr>
        <w:pStyle w:val="ListParagraph"/>
        <w:numPr>
          <w:ilvl w:val="2"/>
          <w:numId w:val="33"/>
        </w:numPr>
        <w:tabs>
          <w:tab w:val="left" w:pos="-720"/>
        </w:tabs>
        <w:suppressAutoHyphens/>
        <w:ind w:left="1224"/>
        <w:jc w:val="both"/>
      </w:pPr>
      <w:r w:rsidRPr="00AD0194">
        <w:t>Tribal</w:t>
      </w:r>
      <w:r w:rsidRPr="00AD0194" w:rsidR="00545A5E">
        <w:t xml:space="preserve"> </w:t>
      </w:r>
      <w:r w:rsidRPr="00AD0194" w:rsidR="00F52358">
        <w:t>Nations</w:t>
      </w:r>
      <w:r w:rsidRPr="00AD0194" w:rsidR="00544BB8">
        <w:t>=5</w:t>
      </w:r>
      <w:r w:rsidRPr="00AD0194" w:rsidR="004311DD">
        <w:t>74</w:t>
      </w:r>
      <w:r w:rsidRPr="00AD0194" w:rsidR="009407B6">
        <w:rPr>
          <w:rStyle w:val="FootnoteReference"/>
        </w:rPr>
        <w:footnoteReference w:id="4"/>
      </w:r>
      <w:r w:rsidRPr="00AD0194" w:rsidR="00544BB8">
        <w:t xml:space="preserve"> </w:t>
      </w:r>
    </w:p>
    <w:p w:rsidRPr="00AD0194" w:rsidR="008D1993" w:rsidP="00DE5954" w:rsidRDefault="00CC6D19" w14:paraId="6C5A68B8" w14:textId="0320234C">
      <w:pPr>
        <w:pStyle w:val="ListParagraph"/>
        <w:numPr>
          <w:ilvl w:val="2"/>
          <w:numId w:val="33"/>
        </w:numPr>
        <w:tabs>
          <w:tab w:val="left" w:pos="-720"/>
        </w:tabs>
        <w:suppressAutoHyphens/>
        <w:ind w:left="1224"/>
        <w:jc w:val="both"/>
      </w:pPr>
      <w:r w:rsidRPr="00AD0194">
        <w:lastRenderedPageBreak/>
        <w:t>Local=</w:t>
      </w:r>
      <w:r w:rsidRPr="00AD0194" w:rsidR="00341672">
        <w:t>64,8</w:t>
      </w:r>
      <w:r w:rsidRPr="00AD0194" w:rsidR="006D5EC3">
        <w:t>48</w:t>
      </w:r>
      <w:r w:rsidRPr="00AD0194" w:rsidR="00F52358">
        <w:t xml:space="preserve"> (</w:t>
      </w:r>
      <w:r w:rsidRPr="00AD0194" w:rsidR="00F52358">
        <w:rPr>
          <w:rFonts w:cs="Arial"/>
        </w:rPr>
        <w:t xml:space="preserve">The population data source for the local level is the </w:t>
      </w:r>
      <w:r w:rsidRPr="00AD0194" w:rsidR="00F52358">
        <w:t>National Public Safety Information Bureau Database</w:t>
      </w:r>
      <w:r w:rsidRPr="00AD0194" w:rsidR="00BE1288">
        <w:t>,</w:t>
      </w:r>
      <w:r w:rsidRPr="00AD0194" w:rsidR="00CB298B">
        <w:rPr>
          <w:rStyle w:val="FootnoteReference"/>
        </w:rPr>
        <w:footnoteReference w:id="5"/>
      </w:r>
      <w:r w:rsidRPr="00AD0194" w:rsidR="00F52358">
        <w:rPr>
          <w:rFonts w:cs="Arial"/>
        </w:rPr>
        <w:t xml:space="preserve"> whose directories cont</w:t>
      </w:r>
      <w:r w:rsidRPr="00AD0194" w:rsidR="00A35A28">
        <w:rPr>
          <w:rFonts w:cs="Arial"/>
        </w:rPr>
        <w:t>ain comprehensive listings for law e</w:t>
      </w:r>
      <w:r w:rsidRPr="00AD0194" w:rsidR="00F52358">
        <w:rPr>
          <w:rFonts w:cs="Arial"/>
        </w:rPr>
        <w:t xml:space="preserve">nforcement, </w:t>
      </w:r>
      <w:r w:rsidRPr="00AD0194" w:rsidR="00A35A28">
        <w:rPr>
          <w:rFonts w:cs="Arial"/>
        </w:rPr>
        <w:t>f</w:t>
      </w:r>
      <w:r w:rsidRPr="00AD0194" w:rsidR="00F52358">
        <w:rPr>
          <w:rFonts w:cs="Arial"/>
        </w:rPr>
        <w:t xml:space="preserve">ire, EMS agencies and public safety answering points in the </w:t>
      </w:r>
      <w:r w:rsidRPr="00AD0194" w:rsidR="004B194E">
        <w:rPr>
          <w:rFonts w:cs="Arial"/>
        </w:rPr>
        <w:t>50 U.S. states and the District of Columbia.</w:t>
      </w:r>
      <w:r w:rsidRPr="00AD0194" w:rsidR="00F10D3D">
        <w:rPr>
          <w:rFonts w:cs="Arial"/>
        </w:rPr>
        <w:t xml:space="preserve"> Additionally,</w:t>
      </w:r>
      <w:r w:rsidRPr="00AD0194" w:rsidR="00C70E30">
        <w:rPr>
          <w:rFonts w:cs="Arial"/>
        </w:rPr>
        <w:t xml:space="preserve"> </w:t>
      </w:r>
      <w:r w:rsidRPr="00AD0194" w:rsidR="00F10D3D">
        <w:rPr>
          <w:rFonts w:cs="Arial"/>
        </w:rPr>
        <w:t xml:space="preserve">the </w:t>
      </w:r>
      <w:r w:rsidRPr="00AD0194" w:rsidR="00BF45A5">
        <w:rPr>
          <w:rFonts w:cs="Arial"/>
        </w:rPr>
        <w:t xml:space="preserve">Homeland Infrastructure Foundation-Level Data </w:t>
      </w:r>
      <w:r w:rsidR="00C64C87">
        <w:rPr>
          <w:rFonts w:cs="Arial"/>
        </w:rPr>
        <w:t>[</w:t>
      </w:r>
      <w:r w:rsidRPr="00AD0194" w:rsidR="00BF45A5">
        <w:rPr>
          <w:rFonts w:cs="Arial"/>
        </w:rPr>
        <w:t>HIFLD</w:t>
      </w:r>
      <w:r w:rsidR="00C64C87">
        <w:rPr>
          <w:rFonts w:cs="Arial"/>
        </w:rPr>
        <w:t>]</w:t>
      </w:r>
      <w:r w:rsidRPr="00AD0194" w:rsidR="00BF45A5">
        <w:rPr>
          <w:rFonts w:cs="Arial"/>
        </w:rPr>
        <w:t xml:space="preserve"> </w:t>
      </w:r>
      <w:r w:rsidRPr="00AD0194" w:rsidR="00F10D3D">
        <w:rPr>
          <w:rFonts w:cs="Arial"/>
        </w:rPr>
        <w:t xml:space="preserve">was used for </w:t>
      </w:r>
      <w:r w:rsidRPr="00AD0194" w:rsidR="00BF45A5">
        <w:rPr>
          <w:rFonts w:cs="Arial"/>
        </w:rPr>
        <w:t xml:space="preserve">emergency management agencies in the 50 U.S. states and territories, plus </w:t>
      </w:r>
      <w:r w:rsidRPr="00AD0194" w:rsidR="00F10D3D">
        <w:rPr>
          <w:rFonts w:cs="Arial"/>
        </w:rPr>
        <w:t xml:space="preserve">law enforcement, fire, EMS agencies and public safety answering points in the U.S. </w:t>
      </w:r>
      <w:r w:rsidR="00C733C0">
        <w:rPr>
          <w:rFonts w:cs="Arial"/>
        </w:rPr>
        <w:t>t</w:t>
      </w:r>
      <w:r w:rsidRPr="00AD0194" w:rsidR="00F10D3D">
        <w:rPr>
          <w:rFonts w:cs="Arial"/>
        </w:rPr>
        <w:t>erritories</w:t>
      </w:r>
      <w:r w:rsidRPr="00AD0194" w:rsidR="00F52358">
        <w:t>)</w:t>
      </w:r>
    </w:p>
    <w:p w:rsidRPr="00AD0194" w:rsidR="007846DE" w:rsidP="00C733C0" w:rsidRDefault="008D1993" w14:paraId="2B4EE6E8" w14:textId="34CAF0F2">
      <w:pPr>
        <w:pStyle w:val="ListParagraph"/>
        <w:numPr>
          <w:ilvl w:val="1"/>
          <w:numId w:val="33"/>
        </w:numPr>
        <w:tabs>
          <w:tab w:val="left" w:pos="-720"/>
        </w:tabs>
        <w:suppressAutoHyphens/>
        <w:ind w:left="720"/>
        <w:jc w:val="both"/>
      </w:pPr>
      <w:r w:rsidRPr="00AD0194">
        <w:t xml:space="preserve">ECD </w:t>
      </w:r>
      <w:r w:rsidRPr="00AD0194" w:rsidR="005A1E29">
        <w:t>estimates the total nu</w:t>
      </w:r>
      <w:r w:rsidRPr="00AD0194" w:rsidR="002461A7">
        <w:t xml:space="preserve">mber of respondents to be </w:t>
      </w:r>
      <w:r w:rsidRPr="00AD0194" w:rsidR="00C70E30">
        <w:t>4</w:t>
      </w:r>
      <w:r w:rsidRPr="00AD0194" w:rsidR="00D20D16">
        <w:t>1,989</w:t>
      </w:r>
      <w:r w:rsidRPr="00AD0194" w:rsidR="00215307">
        <w:t>. Our estimates per level of government are broken down as follows:</w:t>
      </w:r>
    </w:p>
    <w:p w:rsidRPr="00AD0194" w:rsidR="00215307" w:rsidP="00215307" w:rsidRDefault="00215307" w14:paraId="0CFD1B0A" w14:textId="77777777">
      <w:pPr>
        <w:pStyle w:val="ListParagraph"/>
        <w:tabs>
          <w:tab w:val="left" w:pos="-720"/>
        </w:tabs>
        <w:suppressAutoHyphens/>
        <w:ind w:left="360"/>
        <w:jc w:val="both"/>
      </w:pPr>
      <w:r w:rsidRPr="00AD0194">
        <w:tab/>
      </w:r>
    </w:p>
    <w:tbl>
      <w:tblPr>
        <w:tblStyle w:val="TableGrid"/>
        <w:tblW w:w="0" w:type="auto"/>
        <w:tblInd w:w="360" w:type="dxa"/>
        <w:tblLook w:val="04A0" w:firstRow="1" w:lastRow="0" w:firstColumn="1" w:lastColumn="0" w:noHBand="0" w:noVBand="1"/>
      </w:tblPr>
      <w:tblGrid>
        <w:gridCol w:w="4503"/>
        <w:gridCol w:w="4487"/>
      </w:tblGrid>
      <w:tr w:rsidRPr="00AD0194" w:rsidR="00215307" w:rsidTr="00215307" w14:paraId="432CE1FA" w14:textId="77777777">
        <w:tc>
          <w:tcPr>
            <w:tcW w:w="4675" w:type="dxa"/>
          </w:tcPr>
          <w:p w:rsidRPr="00C733C0" w:rsidR="00215307" w:rsidP="00215307" w:rsidRDefault="00215307" w14:paraId="6503106B" w14:textId="77777777">
            <w:pPr>
              <w:pStyle w:val="ListParagraph"/>
              <w:tabs>
                <w:tab w:val="left" w:pos="-720"/>
              </w:tabs>
              <w:suppressAutoHyphens/>
              <w:ind w:left="0"/>
              <w:jc w:val="both"/>
              <w:rPr>
                <w:b/>
              </w:rPr>
            </w:pPr>
            <w:r w:rsidRPr="00C733C0">
              <w:rPr>
                <w:b/>
              </w:rPr>
              <w:t>Level of Government</w:t>
            </w:r>
          </w:p>
        </w:tc>
        <w:tc>
          <w:tcPr>
            <w:tcW w:w="4675" w:type="dxa"/>
          </w:tcPr>
          <w:p w:rsidRPr="00C733C0" w:rsidR="00215307" w:rsidP="00215307" w:rsidRDefault="00215307" w14:paraId="4199C525" w14:textId="77777777">
            <w:pPr>
              <w:pStyle w:val="ListParagraph"/>
              <w:tabs>
                <w:tab w:val="left" w:pos="-720"/>
              </w:tabs>
              <w:suppressAutoHyphens/>
              <w:ind w:left="0"/>
              <w:jc w:val="both"/>
              <w:rPr>
                <w:b/>
              </w:rPr>
            </w:pPr>
            <w:r w:rsidRPr="00C733C0">
              <w:rPr>
                <w:b/>
              </w:rPr>
              <w:t>Number of Respondents</w:t>
            </w:r>
          </w:p>
        </w:tc>
      </w:tr>
      <w:tr w:rsidRPr="00AD0194" w:rsidR="00215307" w:rsidTr="00215307" w14:paraId="2605640F" w14:textId="77777777">
        <w:tc>
          <w:tcPr>
            <w:tcW w:w="4675" w:type="dxa"/>
          </w:tcPr>
          <w:p w:rsidRPr="00AD0194" w:rsidR="00215307" w:rsidP="00215307" w:rsidRDefault="00215307" w14:paraId="2BE5FCE0" w14:textId="77777777">
            <w:pPr>
              <w:pStyle w:val="ListParagraph"/>
              <w:tabs>
                <w:tab w:val="left" w:pos="-720"/>
              </w:tabs>
              <w:suppressAutoHyphens/>
              <w:ind w:left="0"/>
              <w:jc w:val="both"/>
            </w:pPr>
            <w:r w:rsidRPr="00AD0194">
              <w:t>State/Territories</w:t>
            </w:r>
          </w:p>
        </w:tc>
        <w:tc>
          <w:tcPr>
            <w:tcW w:w="4675" w:type="dxa"/>
          </w:tcPr>
          <w:p w:rsidRPr="00AD0194" w:rsidR="00215307" w:rsidP="00215307" w:rsidRDefault="00C70E30" w14:paraId="3122FB09" w14:textId="53C4FCD0">
            <w:pPr>
              <w:pStyle w:val="ListParagraph"/>
              <w:tabs>
                <w:tab w:val="left" w:pos="-720"/>
              </w:tabs>
              <w:suppressAutoHyphens/>
              <w:ind w:left="0"/>
              <w:jc w:val="both"/>
            </w:pPr>
            <w:r w:rsidRPr="00AD0194">
              <w:t>1,913</w:t>
            </w:r>
          </w:p>
        </w:tc>
      </w:tr>
      <w:tr w:rsidRPr="00AD0194" w:rsidR="00215307" w:rsidTr="00215307" w14:paraId="4BC22B6B" w14:textId="77777777">
        <w:tc>
          <w:tcPr>
            <w:tcW w:w="4675" w:type="dxa"/>
          </w:tcPr>
          <w:p w:rsidRPr="00AD0194" w:rsidR="00215307" w:rsidP="00215307" w:rsidRDefault="00215307" w14:paraId="37DC5A7B" w14:textId="77777777">
            <w:pPr>
              <w:pStyle w:val="ListParagraph"/>
              <w:tabs>
                <w:tab w:val="left" w:pos="-720"/>
              </w:tabs>
              <w:suppressAutoHyphens/>
              <w:ind w:left="0"/>
              <w:jc w:val="both"/>
            </w:pPr>
            <w:r w:rsidRPr="00AD0194">
              <w:t>Tribal Nations</w:t>
            </w:r>
          </w:p>
        </w:tc>
        <w:tc>
          <w:tcPr>
            <w:tcW w:w="4675" w:type="dxa"/>
          </w:tcPr>
          <w:p w:rsidRPr="00AD0194" w:rsidR="00215307" w:rsidP="00215307" w:rsidRDefault="00215307" w14:paraId="1B880205" w14:textId="3FC7B116">
            <w:pPr>
              <w:pStyle w:val="ListParagraph"/>
              <w:tabs>
                <w:tab w:val="left" w:pos="-720"/>
              </w:tabs>
              <w:suppressAutoHyphens/>
              <w:ind w:left="0"/>
              <w:jc w:val="both"/>
            </w:pPr>
            <w:r w:rsidRPr="00AD0194">
              <w:t>5</w:t>
            </w:r>
            <w:r w:rsidRPr="00AD0194" w:rsidR="00A86041">
              <w:t>74</w:t>
            </w:r>
          </w:p>
        </w:tc>
      </w:tr>
      <w:tr w:rsidRPr="00AD0194" w:rsidR="00215307" w:rsidTr="00215307" w14:paraId="0AB7E100" w14:textId="77777777">
        <w:tc>
          <w:tcPr>
            <w:tcW w:w="4675" w:type="dxa"/>
          </w:tcPr>
          <w:p w:rsidRPr="00AD0194" w:rsidR="00215307" w:rsidP="00215307" w:rsidRDefault="00215307" w14:paraId="73088B26" w14:textId="77777777">
            <w:pPr>
              <w:pStyle w:val="ListParagraph"/>
              <w:tabs>
                <w:tab w:val="left" w:pos="-720"/>
              </w:tabs>
              <w:suppressAutoHyphens/>
              <w:ind w:left="0"/>
              <w:jc w:val="both"/>
            </w:pPr>
            <w:r w:rsidRPr="00AD0194">
              <w:t>Local</w:t>
            </w:r>
          </w:p>
        </w:tc>
        <w:tc>
          <w:tcPr>
            <w:tcW w:w="4675" w:type="dxa"/>
          </w:tcPr>
          <w:p w:rsidRPr="00AD0194" w:rsidR="00215307" w:rsidP="001B4DF3" w:rsidRDefault="00C70E30" w14:paraId="29CF247F" w14:textId="63F85187">
            <w:pPr>
              <w:pStyle w:val="ListParagraph"/>
              <w:tabs>
                <w:tab w:val="left" w:pos="-720"/>
              </w:tabs>
              <w:suppressAutoHyphens/>
              <w:ind w:left="0"/>
              <w:jc w:val="both"/>
            </w:pPr>
            <w:r w:rsidRPr="00AD0194">
              <w:t>29,502</w:t>
            </w:r>
          </w:p>
        </w:tc>
      </w:tr>
      <w:tr w:rsidRPr="00AD0194" w:rsidR="00231806" w:rsidTr="00215307" w14:paraId="3E32DF86" w14:textId="77777777">
        <w:tc>
          <w:tcPr>
            <w:tcW w:w="4675" w:type="dxa"/>
          </w:tcPr>
          <w:p w:rsidRPr="00AD0194" w:rsidR="00231806" w:rsidP="00215307" w:rsidRDefault="00231806" w14:paraId="38A1B8A8" w14:textId="645CC2BD">
            <w:pPr>
              <w:pStyle w:val="ListParagraph"/>
              <w:tabs>
                <w:tab w:val="left" w:pos="-720"/>
              </w:tabs>
              <w:suppressAutoHyphens/>
              <w:ind w:left="0"/>
              <w:jc w:val="both"/>
            </w:pPr>
            <w:r w:rsidRPr="00AD0194">
              <w:t>Supplemental Surveys</w:t>
            </w:r>
          </w:p>
        </w:tc>
        <w:tc>
          <w:tcPr>
            <w:tcW w:w="4675" w:type="dxa"/>
          </w:tcPr>
          <w:p w:rsidRPr="00AD0194" w:rsidR="00231806" w:rsidP="001B4DF3" w:rsidRDefault="00531E59" w14:paraId="2F35CE2A" w14:textId="38F03363">
            <w:pPr>
              <w:pStyle w:val="ListParagraph"/>
              <w:tabs>
                <w:tab w:val="left" w:pos="-720"/>
              </w:tabs>
              <w:suppressAutoHyphens/>
              <w:ind w:left="0"/>
              <w:jc w:val="both"/>
            </w:pPr>
            <w:r w:rsidRPr="00AD0194">
              <w:t>1</w:t>
            </w:r>
            <w:r w:rsidRPr="00AD0194" w:rsidR="006450EE">
              <w:t>0,000</w:t>
            </w:r>
          </w:p>
        </w:tc>
      </w:tr>
      <w:tr w:rsidRPr="00635165" w:rsidR="001B4DF3" w:rsidTr="00215307" w14:paraId="1D86A0B6" w14:textId="77777777">
        <w:tc>
          <w:tcPr>
            <w:tcW w:w="4675" w:type="dxa"/>
          </w:tcPr>
          <w:p w:rsidRPr="00AD0194" w:rsidR="001B4DF3" w:rsidP="00215307" w:rsidRDefault="001B4DF3" w14:paraId="4B3F6DB4" w14:textId="77777777">
            <w:pPr>
              <w:pStyle w:val="ListParagraph"/>
              <w:tabs>
                <w:tab w:val="left" w:pos="-720"/>
              </w:tabs>
              <w:suppressAutoHyphens/>
              <w:ind w:left="0"/>
              <w:jc w:val="both"/>
              <w:rPr>
                <w:b/>
              </w:rPr>
            </w:pPr>
            <w:r w:rsidRPr="00AD0194">
              <w:rPr>
                <w:b/>
              </w:rPr>
              <w:t>Total</w:t>
            </w:r>
          </w:p>
        </w:tc>
        <w:tc>
          <w:tcPr>
            <w:tcW w:w="4675" w:type="dxa"/>
          </w:tcPr>
          <w:p w:rsidRPr="00AD0194" w:rsidR="001B4DF3" w:rsidP="001B4DF3" w:rsidRDefault="00D20D16" w14:paraId="5B606EC7" w14:textId="716E40ED">
            <w:pPr>
              <w:pStyle w:val="ListParagraph"/>
              <w:tabs>
                <w:tab w:val="left" w:pos="-720"/>
              </w:tabs>
              <w:suppressAutoHyphens/>
              <w:ind w:left="0"/>
              <w:jc w:val="both"/>
              <w:rPr>
                <w:b/>
              </w:rPr>
            </w:pPr>
            <w:r w:rsidRPr="00AD0194">
              <w:rPr>
                <w:b/>
              </w:rPr>
              <w:t>41,989</w:t>
            </w:r>
          </w:p>
        </w:tc>
      </w:tr>
    </w:tbl>
    <w:p w:rsidRPr="00635165" w:rsidR="00215307" w:rsidP="00215307" w:rsidRDefault="00215307" w14:paraId="50D0267B" w14:textId="77777777">
      <w:pPr>
        <w:pStyle w:val="ListParagraph"/>
        <w:tabs>
          <w:tab w:val="left" w:pos="-720"/>
        </w:tabs>
        <w:suppressAutoHyphens/>
        <w:ind w:left="360"/>
        <w:jc w:val="both"/>
      </w:pPr>
    </w:p>
    <w:p w:rsidRPr="00747EA2" w:rsidR="007846DE" w:rsidP="00C733C0" w:rsidRDefault="00432EC8" w14:paraId="5C6117A5" w14:textId="335C9CEC">
      <w:pPr>
        <w:pStyle w:val="ListParagraph"/>
        <w:numPr>
          <w:ilvl w:val="1"/>
          <w:numId w:val="33"/>
        </w:numPr>
        <w:tabs>
          <w:tab w:val="left" w:pos="-720"/>
        </w:tabs>
        <w:suppressAutoHyphens/>
        <w:ind w:left="720"/>
        <w:jc w:val="both"/>
      </w:pPr>
      <w:r w:rsidRPr="00747EA2">
        <w:t xml:space="preserve">Total </w:t>
      </w:r>
      <w:r w:rsidRPr="00747EA2" w:rsidR="0055323F">
        <w:t xml:space="preserve">Frequency of Response: </w:t>
      </w:r>
      <w:r w:rsidRPr="00747EA2" w:rsidR="00222735">
        <w:t>Once e</w:t>
      </w:r>
      <w:r w:rsidRPr="00747EA2" w:rsidR="0055323F">
        <w:t>very five years</w:t>
      </w:r>
      <w:r w:rsidRPr="00747EA2" w:rsidR="007846DE">
        <w:t xml:space="preserve"> (</w:t>
      </w:r>
      <w:r w:rsidRPr="00747EA2" w:rsidR="00050DB4">
        <w:t xml:space="preserve">6 U.S.C. </w:t>
      </w:r>
      <w:r w:rsidRPr="00747EA2" w:rsidR="00050DB4">
        <w:rPr>
          <w:color w:val="000000"/>
        </w:rPr>
        <w:t>§ 573</w:t>
      </w:r>
      <w:r w:rsidRPr="00747EA2" w:rsidR="007846DE">
        <w:rPr>
          <w:color w:val="000000"/>
        </w:rPr>
        <w:t xml:space="preserve"> requires DHS through the </w:t>
      </w:r>
      <w:r w:rsidRPr="00747EA2" w:rsidR="00A7730A">
        <w:rPr>
          <w:color w:val="000000"/>
        </w:rPr>
        <w:t xml:space="preserve">ECD </w:t>
      </w:r>
      <w:r w:rsidR="00A47E17">
        <w:rPr>
          <w:color w:val="000000"/>
        </w:rPr>
        <w:t xml:space="preserve">Assistant </w:t>
      </w:r>
      <w:r w:rsidRPr="00747EA2" w:rsidR="007846DE">
        <w:rPr>
          <w:color w:val="000000"/>
        </w:rPr>
        <w:t>Director to conduct the survey no less than every five years)</w:t>
      </w:r>
    </w:p>
    <w:p w:rsidRPr="00747EA2" w:rsidR="007846DE" w:rsidP="00C733C0" w:rsidRDefault="00432EC8" w14:paraId="13D5026A" w14:textId="5D1FFD1D">
      <w:pPr>
        <w:pStyle w:val="ListParagraph"/>
        <w:numPr>
          <w:ilvl w:val="1"/>
          <w:numId w:val="33"/>
        </w:numPr>
        <w:tabs>
          <w:tab w:val="left" w:pos="-720"/>
        </w:tabs>
        <w:suppressAutoHyphens/>
        <w:ind w:left="720"/>
        <w:jc w:val="both"/>
      </w:pPr>
      <w:r w:rsidRPr="00747EA2">
        <w:t xml:space="preserve">Total </w:t>
      </w:r>
      <w:r w:rsidRPr="00747EA2" w:rsidR="000E21A4">
        <w:t>Annua</w:t>
      </w:r>
      <w:r w:rsidRPr="00747EA2" w:rsidR="00522EAE">
        <w:t>lize</w:t>
      </w:r>
      <w:r w:rsidRPr="00747EA2" w:rsidR="002461A7">
        <w:t xml:space="preserve">d number of respondents:  </w:t>
      </w:r>
      <w:r w:rsidRPr="00747EA2" w:rsidR="00AD0194">
        <w:t>41,989</w:t>
      </w:r>
      <w:r w:rsidRPr="00747EA2" w:rsidR="00AE5D88">
        <w:t xml:space="preserve">/5 = </w:t>
      </w:r>
      <w:r w:rsidRPr="00747EA2" w:rsidR="00AD0194">
        <w:t>8,397.8</w:t>
      </w:r>
      <w:r w:rsidRPr="00747EA2" w:rsidR="00AE5D88">
        <w:t xml:space="preserve"> rounded up to </w:t>
      </w:r>
      <w:r w:rsidRPr="00747EA2" w:rsidR="00AD0194">
        <w:t>8</w:t>
      </w:r>
      <w:r w:rsidRPr="00747EA2" w:rsidR="00AE5D88">
        <w:t>,</w:t>
      </w:r>
      <w:r w:rsidRPr="00747EA2" w:rsidR="00AD0194">
        <w:t>398</w:t>
      </w:r>
      <w:r w:rsidRPr="00747EA2" w:rsidR="000E21A4">
        <w:t xml:space="preserve"> respondents per year</w:t>
      </w:r>
    </w:p>
    <w:p w:rsidRPr="00747EA2" w:rsidR="008B5A64" w:rsidP="00DE5954" w:rsidRDefault="00432EC8" w14:paraId="6DCA5E71" w14:textId="41985757">
      <w:pPr>
        <w:pStyle w:val="ListParagraph"/>
        <w:numPr>
          <w:ilvl w:val="1"/>
          <w:numId w:val="33"/>
        </w:numPr>
        <w:tabs>
          <w:tab w:val="left" w:pos="-720"/>
        </w:tabs>
        <w:suppressAutoHyphens/>
        <w:spacing w:after="120"/>
        <w:ind w:left="720"/>
        <w:jc w:val="both"/>
      </w:pPr>
      <w:r w:rsidRPr="00747EA2">
        <w:t xml:space="preserve">Total </w:t>
      </w:r>
      <w:r w:rsidRPr="00747EA2" w:rsidR="0055323F">
        <w:t xml:space="preserve">Annual hour burden: </w:t>
      </w:r>
      <w:r w:rsidRPr="00747EA2" w:rsidR="00AD0194">
        <w:t>8,398</w:t>
      </w:r>
      <w:r w:rsidRPr="00747EA2" w:rsidR="00541821">
        <w:t xml:space="preserve"> </w:t>
      </w:r>
      <w:r w:rsidRPr="00747EA2" w:rsidR="002058D6">
        <w:t>x 0.5 (30 minutes</w:t>
      </w:r>
      <w:r w:rsidRPr="00747EA2" w:rsidR="00541821">
        <w:t xml:space="preserve"> equals 0.5 hours)</w:t>
      </w:r>
      <w:r w:rsidRPr="00747EA2" w:rsidR="002058D6">
        <w:t xml:space="preserve"> = </w:t>
      </w:r>
      <w:r w:rsidRPr="00747EA2" w:rsidR="00AD0194">
        <w:t>4,199</w:t>
      </w:r>
      <w:r w:rsidRPr="00747EA2" w:rsidR="002058D6">
        <w:t xml:space="preserve"> hours burdened per year</w:t>
      </w:r>
      <w:r w:rsidRPr="00747EA2" w:rsidR="008B5A64">
        <w:t xml:space="preserve"> (the time burden of 30 minutes is based on the 20</w:t>
      </w:r>
      <w:r w:rsidRPr="00747EA2" w:rsidR="00EE0854">
        <w:t>18</w:t>
      </w:r>
      <w:r w:rsidRPr="00747EA2" w:rsidR="008B5A64">
        <w:t xml:space="preserve"> </w:t>
      </w:r>
      <w:r w:rsidRPr="00C733C0" w:rsidR="008B5A64">
        <w:t xml:space="preserve">SAFECOM </w:t>
      </w:r>
      <w:r w:rsidRPr="00C733C0" w:rsidR="00EE0854">
        <w:t xml:space="preserve">Nationwide </w:t>
      </w:r>
      <w:r w:rsidRPr="00C733C0" w:rsidR="008B5A64">
        <w:t>Surve</w:t>
      </w:r>
      <w:r w:rsidRPr="00C733C0" w:rsidR="004D00F8">
        <w:t>y).</w:t>
      </w:r>
    </w:p>
    <w:p w:rsidRPr="00635165" w:rsidR="00A92AA3" w:rsidP="00DE5954" w:rsidRDefault="00904A45" w14:paraId="22D43AB5" w14:textId="77777777">
      <w:pPr>
        <w:tabs>
          <w:tab w:val="left" w:pos="-720"/>
        </w:tabs>
        <w:suppressAutoHyphens/>
        <w:spacing w:after="120"/>
      </w:pPr>
      <w:r w:rsidRPr="00635165">
        <w:t xml:space="preserve">DHS will be using the formula: </w:t>
      </w:r>
      <w:r w:rsidRPr="00635165">
        <w:rPr>
          <w:b/>
        </w:rPr>
        <w:t>(</w:t>
      </w:r>
      <w:r w:rsidRPr="00635165" w:rsidR="00DB459B">
        <w:rPr>
          <w:b/>
        </w:rPr>
        <w:t xml:space="preserve">Mean Hourly Wage Rate) x (Benefit Multiplier) </w:t>
      </w:r>
    </w:p>
    <w:p w:rsidR="00FE7C4C" w:rsidP="00FE7C4C" w:rsidRDefault="003C41F7" w14:paraId="44C18C05" w14:textId="0CDE05CC">
      <w:pPr>
        <w:tabs>
          <w:tab w:val="left" w:pos="-720"/>
        </w:tabs>
        <w:suppressAutoHyphens/>
        <w:spacing w:after="120"/>
      </w:pPr>
      <w:r w:rsidRPr="00747EA2">
        <w:t xml:space="preserve">This formula </w:t>
      </w:r>
      <w:r w:rsidRPr="00747EA2" w:rsidR="00DB459B">
        <w:t>determine</w:t>
      </w:r>
      <w:r w:rsidRPr="00747EA2" w:rsidR="00635165">
        <w:t>s</w:t>
      </w:r>
      <w:r w:rsidRPr="00747EA2" w:rsidR="00DB459B">
        <w:t xml:space="preserve"> the mean, </w:t>
      </w:r>
      <w:r w:rsidRPr="00747EA2" w:rsidR="00AB2E3D">
        <w:t>fully loaded</w:t>
      </w:r>
      <w:r w:rsidRPr="00747EA2" w:rsidR="00DB459B">
        <w:t xml:space="preserve"> hourly wage rate for each discipline. </w:t>
      </w:r>
      <w:r w:rsidRPr="00747EA2" w:rsidR="00635165">
        <w:t xml:space="preserve">To do this, </w:t>
      </w:r>
      <w:r w:rsidRPr="00747EA2" w:rsidR="00D63356">
        <w:t xml:space="preserve">ECD </w:t>
      </w:r>
      <w:r w:rsidRPr="00747EA2" w:rsidR="00523D5C">
        <w:t xml:space="preserve">counted the total number of agencies/departments that aligned to each discipline across the population universe to determine </w:t>
      </w:r>
      <w:r w:rsidRPr="00747EA2" w:rsidR="007C21FC">
        <w:t>the portion/percentage of t</w:t>
      </w:r>
      <w:r w:rsidRPr="00747EA2" w:rsidR="00523D5C">
        <w:t xml:space="preserve">he </w:t>
      </w:r>
      <w:r w:rsidRPr="00747EA2" w:rsidR="00D20D16">
        <w:rPr>
          <w:i/>
        </w:rPr>
        <w:t>67,335</w:t>
      </w:r>
      <w:r w:rsidRPr="00747EA2" w:rsidR="007C21FC">
        <w:rPr>
          <w:i/>
        </w:rPr>
        <w:t xml:space="preserve"> that should be aligned to each discipline for the purposes of determining the overall burden</w:t>
      </w:r>
      <w:r w:rsidRPr="00747EA2" w:rsidR="00635165">
        <w:rPr>
          <w:i/>
        </w:rPr>
        <w:t>.</w:t>
      </w:r>
      <w:r w:rsidRPr="00747EA2" w:rsidR="007E1535">
        <w:rPr>
          <w:i/>
        </w:rPr>
        <w:t xml:space="preserve"> </w:t>
      </w:r>
      <w:r w:rsidRPr="00747EA2" w:rsidR="007E1535">
        <w:t xml:space="preserve">The total number of agencies /departments </w:t>
      </w:r>
      <w:r w:rsidRPr="00747EA2" w:rsidR="00EE0854">
        <w:t xml:space="preserve">ECD </w:t>
      </w:r>
      <w:r w:rsidRPr="00747EA2" w:rsidR="007E1535">
        <w:t>used were data set entries listed by the Bureau of Indian Affairs</w:t>
      </w:r>
      <w:r w:rsidR="00C733C0">
        <w:t>,</w:t>
      </w:r>
      <w:r w:rsidRPr="00747EA2" w:rsidR="007E1535">
        <w:t xml:space="preserve"> the National Public Safety Information Bureau</w:t>
      </w:r>
      <w:r w:rsidR="00C733C0">
        <w:t xml:space="preserve">, and HIFLD </w:t>
      </w:r>
      <w:r w:rsidRPr="00747EA2" w:rsidR="007E1535">
        <w:t xml:space="preserve">plus the </w:t>
      </w:r>
      <w:r w:rsidRPr="00747EA2" w:rsidR="00D20D16">
        <w:t>1,913</w:t>
      </w:r>
      <w:r w:rsidRPr="00747EA2" w:rsidR="007E1535">
        <w:t xml:space="preserve"> state/territorial-level disciplinary responses</w:t>
      </w:r>
      <w:r w:rsidRPr="00747EA2" w:rsidR="007C21FC">
        <w:t>:</w:t>
      </w:r>
    </w:p>
    <w:tbl>
      <w:tblPr>
        <w:tblStyle w:val="TableGrid"/>
        <w:tblW w:w="0" w:type="auto"/>
        <w:tblInd w:w="1525" w:type="dxa"/>
        <w:tblLook w:val="04A0" w:firstRow="1" w:lastRow="0" w:firstColumn="1" w:lastColumn="0" w:noHBand="0" w:noVBand="1"/>
      </w:tblPr>
      <w:tblGrid>
        <w:gridCol w:w="3690"/>
        <w:gridCol w:w="2970"/>
      </w:tblGrid>
      <w:tr w:rsidRPr="00AD0194" w:rsidR="007C21FC" w:rsidTr="007C21FC" w14:paraId="036F2226" w14:textId="77777777">
        <w:tc>
          <w:tcPr>
            <w:tcW w:w="3690" w:type="dxa"/>
          </w:tcPr>
          <w:p w:rsidRPr="00AD0194" w:rsidR="007C21FC" w:rsidP="007C21FC" w:rsidRDefault="007C21FC" w14:paraId="0611D274" w14:textId="77777777">
            <w:pPr>
              <w:tabs>
                <w:tab w:val="left" w:pos="-720"/>
              </w:tabs>
              <w:suppressAutoHyphens/>
              <w:jc w:val="both"/>
              <w:rPr>
                <w:b/>
              </w:rPr>
            </w:pPr>
            <w:r w:rsidRPr="00AD0194">
              <w:rPr>
                <w:b/>
              </w:rPr>
              <w:t>Discipline</w:t>
            </w:r>
          </w:p>
        </w:tc>
        <w:tc>
          <w:tcPr>
            <w:tcW w:w="2970" w:type="dxa"/>
            <w:vAlign w:val="center"/>
          </w:tcPr>
          <w:p w:rsidRPr="00AD0194" w:rsidR="007C21FC" w:rsidP="007C21FC" w:rsidRDefault="007C21FC" w14:paraId="74C34D08" w14:textId="77777777">
            <w:pPr>
              <w:tabs>
                <w:tab w:val="left" w:pos="-720"/>
              </w:tabs>
              <w:suppressAutoHyphens/>
              <w:jc w:val="center"/>
              <w:rPr>
                <w:b/>
              </w:rPr>
            </w:pPr>
            <w:r w:rsidRPr="00AD0194">
              <w:rPr>
                <w:b/>
              </w:rPr>
              <w:t>Percentage of Population</w:t>
            </w:r>
          </w:p>
        </w:tc>
      </w:tr>
      <w:tr w:rsidRPr="00AD0194" w:rsidR="007C21FC" w:rsidTr="007C21FC" w14:paraId="12CA20F7" w14:textId="77777777">
        <w:tc>
          <w:tcPr>
            <w:tcW w:w="3690" w:type="dxa"/>
          </w:tcPr>
          <w:p w:rsidRPr="00AD0194" w:rsidR="007C21FC" w:rsidP="007C21FC" w:rsidRDefault="007C21FC" w14:paraId="597DB131" w14:textId="77777777">
            <w:pPr>
              <w:tabs>
                <w:tab w:val="left" w:pos="-720"/>
              </w:tabs>
              <w:suppressAutoHyphens/>
              <w:jc w:val="both"/>
            </w:pPr>
            <w:r w:rsidRPr="00AD0194">
              <w:t>Law Enforcement</w:t>
            </w:r>
          </w:p>
        </w:tc>
        <w:tc>
          <w:tcPr>
            <w:tcW w:w="2970" w:type="dxa"/>
            <w:vAlign w:val="center"/>
          </w:tcPr>
          <w:p w:rsidRPr="00AD0194" w:rsidR="007C21FC" w:rsidP="007C21FC" w:rsidRDefault="007C21FC" w14:paraId="46039724" w14:textId="62C30BEE">
            <w:pPr>
              <w:tabs>
                <w:tab w:val="left" w:pos="-720"/>
              </w:tabs>
              <w:suppressAutoHyphens/>
              <w:jc w:val="center"/>
            </w:pPr>
            <w:r w:rsidRPr="00AD0194">
              <w:t>2</w:t>
            </w:r>
            <w:r w:rsidRPr="00AD0194" w:rsidR="0098240B">
              <w:t>8</w:t>
            </w:r>
            <w:r w:rsidRPr="00AD0194">
              <w:t>%</w:t>
            </w:r>
          </w:p>
        </w:tc>
      </w:tr>
      <w:tr w:rsidRPr="00AD0194" w:rsidR="007C21FC" w:rsidTr="007C21FC" w14:paraId="2F15C854" w14:textId="77777777">
        <w:tc>
          <w:tcPr>
            <w:tcW w:w="3690" w:type="dxa"/>
          </w:tcPr>
          <w:p w:rsidRPr="00AD0194" w:rsidR="007C21FC" w:rsidP="00A35A28" w:rsidRDefault="007C21FC" w14:paraId="6F5F51E2" w14:textId="77777777">
            <w:pPr>
              <w:tabs>
                <w:tab w:val="left" w:pos="-720"/>
              </w:tabs>
              <w:suppressAutoHyphens/>
              <w:jc w:val="both"/>
            </w:pPr>
            <w:r w:rsidRPr="00AD0194">
              <w:t>Fire</w:t>
            </w:r>
          </w:p>
        </w:tc>
        <w:tc>
          <w:tcPr>
            <w:tcW w:w="2970" w:type="dxa"/>
            <w:vAlign w:val="center"/>
          </w:tcPr>
          <w:p w:rsidRPr="00AD0194" w:rsidR="007C21FC" w:rsidP="007C21FC" w:rsidRDefault="007C21FC" w14:paraId="36D5471C" w14:textId="4842C1A3">
            <w:pPr>
              <w:tabs>
                <w:tab w:val="left" w:pos="-720"/>
              </w:tabs>
              <w:suppressAutoHyphens/>
              <w:jc w:val="center"/>
            </w:pPr>
            <w:r w:rsidRPr="00AD0194">
              <w:t>4</w:t>
            </w:r>
            <w:r w:rsidR="00307774">
              <w:t>7</w:t>
            </w:r>
            <w:r w:rsidRPr="00AD0194">
              <w:t>%</w:t>
            </w:r>
          </w:p>
        </w:tc>
      </w:tr>
      <w:tr w:rsidRPr="00AD0194" w:rsidR="007C21FC" w:rsidTr="007C21FC" w14:paraId="26A05EFE" w14:textId="77777777">
        <w:tc>
          <w:tcPr>
            <w:tcW w:w="3690" w:type="dxa"/>
          </w:tcPr>
          <w:p w:rsidRPr="00AD0194" w:rsidR="007C21FC" w:rsidP="007C21FC" w:rsidRDefault="007C21FC" w14:paraId="71B2F91B" w14:textId="77777777">
            <w:pPr>
              <w:tabs>
                <w:tab w:val="left" w:pos="-720"/>
              </w:tabs>
              <w:suppressAutoHyphens/>
              <w:jc w:val="both"/>
            </w:pPr>
            <w:r w:rsidRPr="00AD0194">
              <w:t>Emergency Medical Services</w:t>
            </w:r>
          </w:p>
        </w:tc>
        <w:tc>
          <w:tcPr>
            <w:tcW w:w="2970" w:type="dxa"/>
            <w:vAlign w:val="center"/>
          </w:tcPr>
          <w:p w:rsidRPr="00AD0194" w:rsidR="007C21FC" w:rsidP="007C21FC" w:rsidRDefault="0098240B" w14:paraId="7A0B82A8" w14:textId="6EF1CE60">
            <w:pPr>
              <w:tabs>
                <w:tab w:val="left" w:pos="-720"/>
              </w:tabs>
              <w:suppressAutoHyphens/>
              <w:jc w:val="center"/>
            </w:pPr>
            <w:r w:rsidRPr="00AD0194">
              <w:t>8</w:t>
            </w:r>
            <w:r w:rsidRPr="00AD0194" w:rsidR="007C21FC">
              <w:t>%</w:t>
            </w:r>
          </w:p>
        </w:tc>
      </w:tr>
      <w:tr w:rsidRPr="00AD0194" w:rsidR="007C21FC" w:rsidTr="007C21FC" w14:paraId="51E6135C" w14:textId="77777777">
        <w:tc>
          <w:tcPr>
            <w:tcW w:w="3690" w:type="dxa"/>
          </w:tcPr>
          <w:p w:rsidRPr="00AD0194" w:rsidR="007C21FC" w:rsidP="007C21FC" w:rsidRDefault="007C21FC" w14:paraId="716908C4" w14:textId="77777777">
            <w:pPr>
              <w:tabs>
                <w:tab w:val="left" w:pos="-720"/>
              </w:tabs>
              <w:suppressAutoHyphens/>
              <w:jc w:val="both"/>
            </w:pPr>
            <w:r w:rsidRPr="00AD0194">
              <w:t>Public Safety Answering Points</w:t>
            </w:r>
          </w:p>
        </w:tc>
        <w:tc>
          <w:tcPr>
            <w:tcW w:w="2970" w:type="dxa"/>
            <w:vAlign w:val="center"/>
          </w:tcPr>
          <w:p w:rsidRPr="00AD0194" w:rsidR="007C21FC" w:rsidP="007C21FC" w:rsidRDefault="0098240B" w14:paraId="658246E1" w14:textId="4D8723CC">
            <w:pPr>
              <w:tabs>
                <w:tab w:val="left" w:pos="-720"/>
              </w:tabs>
              <w:suppressAutoHyphens/>
              <w:jc w:val="center"/>
            </w:pPr>
            <w:r w:rsidRPr="00AD0194">
              <w:t>8</w:t>
            </w:r>
            <w:r w:rsidRPr="00AD0194" w:rsidR="007C21FC">
              <w:t>%</w:t>
            </w:r>
          </w:p>
        </w:tc>
      </w:tr>
      <w:tr w:rsidRPr="000C59CD" w:rsidR="008D1993" w:rsidTr="007C21FC" w14:paraId="4A519BBC" w14:textId="77777777">
        <w:tc>
          <w:tcPr>
            <w:tcW w:w="3690" w:type="dxa"/>
          </w:tcPr>
          <w:p w:rsidRPr="00AD0194" w:rsidR="008D1993" w:rsidP="007C21FC" w:rsidRDefault="008D1993" w14:paraId="25C1F25C" w14:textId="0EA5ED0F">
            <w:pPr>
              <w:tabs>
                <w:tab w:val="left" w:pos="-720"/>
              </w:tabs>
              <w:suppressAutoHyphens/>
              <w:jc w:val="both"/>
            </w:pPr>
            <w:r w:rsidRPr="00AD0194">
              <w:t>Emergency Management</w:t>
            </w:r>
          </w:p>
        </w:tc>
        <w:tc>
          <w:tcPr>
            <w:tcW w:w="2970" w:type="dxa"/>
            <w:vAlign w:val="center"/>
          </w:tcPr>
          <w:p w:rsidRPr="00AD0194" w:rsidR="008D1993" w:rsidP="007C21FC" w:rsidRDefault="0098240B" w14:paraId="1C7B895E" w14:textId="0B05DCE7">
            <w:pPr>
              <w:tabs>
                <w:tab w:val="left" w:pos="-720"/>
              </w:tabs>
              <w:suppressAutoHyphens/>
              <w:jc w:val="center"/>
            </w:pPr>
            <w:r w:rsidRPr="00AD0194">
              <w:t>9%</w:t>
            </w:r>
          </w:p>
        </w:tc>
      </w:tr>
    </w:tbl>
    <w:p w:rsidRPr="00747EA2" w:rsidR="000414FE" w:rsidP="000414FE" w:rsidRDefault="009850BA" w14:paraId="0281804D" w14:textId="6EEF398E">
      <w:pPr>
        <w:tabs>
          <w:tab w:val="left" w:pos="-720"/>
        </w:tabs>
        <w:suppressAutoHyphens/>
        <w:spacing w:before="120" w:after="120"/>
      </w:pPr>
      <w:r w:rsidRPr="00747EA2">
        <w:t>For the purposes of th</w:t>
      </w:r>
      <w:r w:rsidRPr="00747EA2" w:rsidR="00896C54">
        <w:t>ese</w:t>
      </w:r>
      <w:r w:rsidRPr="00747EA2">
        <w:t xml:space="preserve"> calculation</w:t>
      </w:r>
      <w:r w:rsidRPr="00747EA2" w:rsidR="00896C54">
        <w:t>s</w:t>
      </w:r>
      <w:r w:rsidRPr="00747EA2">
        <w:t>, DHS is using</w:t>
      </w:r>
      <w:r w:rsidRPr="00747EA2" w:rsidR="00904A45">
        <w:t xml:space="preserve"> </w:t>
      </w:r>
      <w:r w:rsidRPr="00747EA2" w:rsidR="00896C54">
        <w:t xml:space="preserve">data from the Bureau of Labor Statistics </w:t>
      </w:r>
      <w:r w:rsidRPr="00747EA2" w:rsidR="00CC762E">
        <w:t xml:space="preserve">(BLS) </w:t>
      </w:r>
      <w:r w:rsidRPr="00747EA2" w:rsidR="00896C54">
        <w:t xml:space="preserve">regarding the </w:t>
      </w:r>
      <w:r w:rsidRPr="00747EA2" w:rsidR="003C41F7">
        <w:t>M</w:t>
      </w:r>
      <w:r w:rsidRPr="00747EA2" w:rsidR="00904A45">
        <w:t xml:space="preserve">ean </w:t>
      </w:r>
      <w:r w:rsidRPr="00747EA2" w:rsidR="003C41F7">
        <w:t>Hourly W</w:t>
      </w:r>
      <w:r w:rsidRPr="00747EA2" w:rsidR="00896C54">
        <w:t>age rate</w:t>
      </w:r>
      <w:r w:rsidRPr="00747EA2" w:rsidR="00C506BE">
        <w:t xml:space="preserve"> for each discipline</w:t>
      </w:r>
      <w:r w:rsidRPr="00747EA2" w:rsidR="00904A45">
        <w:t xml:space="preserve">. </w:t>
      </w:r>
      <w:r w:rsidRPr="00747EA2" w:rsidR="00DB459B">
        <w:t>The Benefit Multiplier was designated as 1.4</w:t>
      </w:r>
      <w:r w:rsidRPr="00747EA2" w:rsidR="00196402">
        <w:t>25</w:t>
      </w:r>
      <w:r w:rsidRPr="00747EA2" w:rsidR="00DB459B">
        <w:t xml:space="preserve"> for each discipline</w:t>
      </w:r>
      <w:r w:rsidRPr="00747EA2" w:rsidR="00CD5FED">
        <w:t xml:space="preserve">.  The </w:t>
      </w:r>
      <w:r w:rsidRPr="00747EA2" w:rsidR="00225567">
        <w:t xml:space="preserve">source-compensation factor </w:t>
      </w:r>
      <w:r w:rsidRPr="00747EA2" w:rsidR="00CD5FED">
        <w:t xml:space="preserve">is calculated </w:t>
      </w:r>
      <w:r w:rsidRPr="00747EA2" w:rsidR="00225567">
        <w:t>using</w:t>
      </w:r>
      <w:r w:rsidRPr="00747EA2" w:rsidR="00AE5D88">
        <w:t xml:space="preserve"> </w:t>
      </w:r>
      <w:r w:rsidRPr="00747EA2" w:rsidR="00225567">
        <w:t xml:space="preserve">the </w:t>
      </w:r>
      <w:r w:rsidRPr="00747EA2" w:rsidR="00AE5D88">
        <w:t xml:space="preserve">BLS Economic News Release </w:t>
      </w:r>
      <w:r w:rsidRPr="00747EA2" w:rsidR="00225567">
        <w:t xml:space="preserve">with </w:t>
      </w:r>
      <w:r w:rsidRPr="00747EA2" w:rsidR="00196402">
        <w:t>March 2020</w:t>
      </w:r>
      <w:r w:rsidRPr="00747EA2" w:rsidR="00BB50D6">
        <w:t xml:space="preserve"> </w:t>
      </w:r>
      <w:r w:rsidRPr="00747EA2" w:rsidR="00225567">
        <w:t xml:space="preserve">data on </w:t>
      </w:r>
      <w:r w:rsidRPr="00747EA2" w:rsidR="00AE5D88">
        <w:t>Employee Compensation</w:t>
      </w:r>
      <w:r w:rsidRPr="00747EA2" w:rsidR="000C59CD">
        <w:t xml:space="preserve">. Accordingly, </w:t>
      </w:r>
      <w:r w:rsidRPr="00747EA2" w:rsidR="000C59CD">
        <w:lastRenderedPageBreak/>
        <w:t xml:space="preserve">the </w:t>
      </w:r>
      <w:r w:rsidRPr="00747EA2" w:rsidR="00CD5FED">
        <w:t xml:space="preserve">source-compensation factor was </w:t>
      </w:r>
      <w:r w:rsidRPr="00747EA2" w:rsidR="000C59CD">
        <w:t>derived by applying the following formula: T</w:t>
      </w:r>
      <w:r w:rsidRPr="00747EA2" w:rsidR="00AE5D88">
        <w:t>otal compensation</w:t>
      </w:r>
      <w:r w:rsidRPr="00747EA2" w:rsidR="000C59CD">
        <w:t xml:space="preserve"> divided by Wages and salaries = compensation factor (i.e. $34.</w:t>
      </w:r>
      <w:r w:rsidRPr="00747EA2" w:rsidR="00196402">
        <w:t xml:space="preserve">72 </w:t>
      </w:r>
      <w:r w:rsidRPr="00747EA2" w:rsidR="000C59CD">
        <w:t xml:space="preserve">total compensation </w:t>
      </w:r>
      <w:r w:rsidRPr="00747EA2" w:rsidR="00AE5D88">
        <w:t>÷ $</w:t>
      </w:r>
      <w:r w:rsidRPr="00747EA2" w:rsidR="00196402">
        <w:t>24.36</w:t>
      </w:r>
      <w:r w:rsidRPr="00747EA2" w:rsidR="00AE5D88">
        <w:t xml:space="preserve"> in wages and salaries = 1.4</w:t>
      </w:r>
      <w:r w:rsidRPr="00747EA2" w:rsidR="00196402">
        <w:t>252</w:t>
      </w:r>
      <w:r w:rsidRPr="00747EA2" w:rsidR="00AE5D88">
        <w:t xml:space="preserve"> compensation factor</w:t>
      </w:r>
      <w:r w:rsidRPr="00747EA2" w:rsidR="000C59CD">
        <w:t xml:space="preserve">). </w:t>
      </w:r>
    </w:p>
    <w:p w:rsidRPr="00747EA2" w:rsidR="009850BA" w:rsidP="000414FE" w:rsidRDefault="000414FE" w14:paraId="3D23AF36" w14:textId="264FDC54">
      <w:pPr>
        <w:tabs>
          <w:tab w:val="left" w:pos="-720"/>
        </w:tabs>
        <w:suppressAutoHyphens/>
        <w:spacing w:before="120" w:after="120"/>
      </w:pPr>
      <w:r w:rsidRPr="00747EA2">
        <w:t xml:space="preserve">In addition, as </w:t>
      </w:r>
      <w:r w:rsidRPr="00747EA2" w:rsidR="00C506BE">
        <w:t>example</w:t>
      </w:r>
      <w:r w:rsidRPr="00747EA2">
        <w:t xml:space="preserve"> to illustrate how the multiplier is applied to a public safety discipline specifically</w:t>
      </w:r>
      <w:r w:rsidRPr="00747EA2" w:rsidR="00C506BE">
        <w:t xml:space="preserve">, </w:t>
      </w:r>
      <w:r w:rsidRPr="00747EA2" w:rsidR="009850BA">
        <w:t xml:space="preserve">the </w:t>
      </w:r>
      <w:r w:rsidRPr="00747EA2" w:rsidR="00AB2E3D">
        <w:t>fully loaded</w:t>
      </w:r>
      <w:r w:rsidRPr="00747EA2" w:rsidR="00904A45">
        <w:t xml:space="preserve"> hourly wage rate </w:t>
      </w:r>
      <w:r w:rsidRPr="00747EA2" w:rsidR="00CC4155">
        <w:t>for a Fire Department member</w:t>
      </w:r>
      <w:r w:rsidRPr="00747EA2">
        <w:t xml:space="preserve"> is $</w:t>
      </w:r>
      <w:r w:rsidRPr="00747EA2" w:rsidR="00196402">
        <w:t>37.44</w:t>
      </w:r>
      <w:r w:rsidRPr="00747EA2" w:rsidR="00605EDE">
        <w:t xml:space="preserve"> </w:t>
      </w:r>
      <w:r w:rsidRPr="00747EA2" w:rsidR="009850BA">
        <w:t>($</w:t>
      </w:r>
      <w:r w:rsidRPr="00747EA2" w:rsidR="00196402">
        <w:t>26.27</w:t>
      </w:r>
      <w:r w:rsidRPr="00747EA2" w:rsidR="009850BA">
        <w:t xml:space="preserve"> </w:t>
      </w:r>
      <w:r w:rsidRPr="00747EA2">
        <w:t xml:space="preserve">BLS </w:t>
      </w:r>
      <w:r w:rsidRPr="00747EA2" w:rsidR="009850BA">
        <w:t>base rate x 1.</w:t>
      </w:r>
      <w:r w:rsidRPr="00747EA2" w:rsidR="00196402">
        <w:t xml:space="preserve">425 </w:t>
      </w:r>
      <w:r w:rsidRPr="00747EA2">
        <w:t xml:space="preserve">compensation factor </w:t>
      </w:r>
      <w:r w:rsidRPr="00747EA2" w:rsidR="009850BA">
        <w:t xml:space="preserve">= </w:t>
      </w:r>
      <w:r w:rsidRPr="00747EA2">
        <w:t>$</w:t>
      </w:r>
      <w:r w:rsidRPr="00747EA2" w:rsidR="00196402">
        <w:t>37.44</w:t>
      </w:r>
      <w:r w:rsidRPr="00747EA2" w:rsidR="00F20D09">
        <w:rPr>
          <w:rStyle w:val="FootnoteReference"/>
        </w:rPr>
        <w:footnoteReference w:id="6"/>
      </w:r>
      <w:r w:rsidRPr="00747EA2" w:rsidR="007C7CA5">
        <w:t>)</w:t>
      </w:r>
      <w:r w:rsidRPr="00747EA2" w:rsidR="00DB459B">
        <w:t xml:space="preserve">. This process is illustrated </w:t>
      </w:r>
      <w:r w:rsidRPr="00747EA2">
        <w:t xml:space="preserve">for all disciplines </w:t>
      </w:r>
      <w:r w:rsidRPr="00747EA2" w:rsidR="00DB459B">
        <w:t xml:space="preserve">in </w:t>
      </w:r>
      <w:hyperlink w:history="1" w:anchor="_Table_A.12:_Estimated">
        <w:r w:rsidRPr="00747EA2" w:rsidR="00DB459B">
          <w:rPr>
            <w:rStyle w:val="Hyperlink"/>
          </w:rPr>
          <w:t>Table A.12</w:t>
        </w:r>
      </w:hyperlink>
      <w:r w:rsidRPr="00747EA2" w:rsidR="000606BF">
        <w:t xml:space="preserve">, and information sources for base pay by public safety discipline are cited in footnotes </w:t>
      </w:r>
      <w:r w:rsidR="00C733C0">
        <w:t xml:space="preserve">4, </w:t>
      </w:r>
      <w:r w:rsidRPr="00747EA2" w:rsidR="00FA6A35">
        <w:t>5</w:t>
      </w:r>
      <w:r w:rsidRPr="00747EA2" w:rsidR="000606BF">
        <w:t>,</w:t>
      </w:r>
      <w:r w:rsidRPr="00747EA2" w:rsidR="00FA6A35">
        <w:t xml:space="preserve"> 6, 7, and 8</w:t>
      </w:r>
      <w:r w:rsidRPr="00747EA2" w:rsidR="000606BF">
        <w:t xml:space="preserve"> below. </w:t>
      </w:r>
      <w:r w:rsidRPr="00747EA2" w:rsidR="00F20D09">
        <w:t xml:space="preserve">  </w:t>
      </w:r>
    </w:p>
    <w:p w:rsidRPr="00747EA2" w:rsidR="003B68FA" w:rsidP="001F2FEE" w:rsidRDefault="000A4447" w14:paraId="794CB2F1" w14:textId="1DFAED2A">
      <w:pPr>
        <w:pStyle w:val="Heading1"/>
        <w:jc w:val="center"/>
      </w:pPr>
      <w:bookmarkStart w:name="_Table_A.12:_Estimated" w:id="3"/>
      <w:bookmarkEnd w:id="3"/>
      <w:r w:rsidRPr="00747EA2">
        <w:t>Table A.12: Estimated Annualized Burden Hours and Costs</w:t>
      </w:r>
    </w:p>
    <w:tbl>
      <w:tblPr>
        <w:tblW w:w="9378" w:type="dxa"/>
        <w:tblInd w:w="85" w:type="dxa"/>
        <w:tblLayout w:type="fixed"/>
        <w:tblLook w:val="04A0" w:firstRow="1" w:lastRow="0" w:firstColumn="1" w:lastColumn="0" w:noHBand="0" w:noVBand="1"/>
      </w:tblPr>
      <w:tblGrid>
        <w:gridCol w:w="1440"/>
        <w:gridCol w:w="1350"/>
        <w:gridCol w:w="1404"/>
        <w:gridCol w:w="1296"/>
        <w:gridCol w:w="1296"/>
        <w:gridCol w:w="1296"/>
        <w:gridCol w:w="1296"/>
      </w:tblGrid>
      <w:tr w:rsidRPr="00AF0B75" w:rsidR="00C472C4" w:rsidTr="00C733C0" w14:paraId="3C21F34A" w14:textId="77777777">
        <w:trPr>
          <w:trHeight w:val="1020"/>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47EA2" w:rsidR="00C472C4" w:rsidP="00AF0B75" w:rsidRDefault="00AF0B75" w14:paraId="38A2E72D" w14:textId="77777777">
            <w:pPr>
              <w:jc w:val="center"/>
              <w:rPr>
                <w:b/>
                <w:bCs/>
                <w:color w:val="000000"/>
                <w:sz w:val="20"/>
                <w:szCs w:val="20"/>
              </w:rPr>
            </w:pPr>
            <w:r w:rsidRPr="00747EA2">
              <w:rPr>
                <w:b/>
                <w:bCs/>
                <w:color w:val="000000"/>
                <w:sz w:val="20"/>
                <w:szCs w:val="20"/>
              </w:rPr>
              <w:t xml:space="preserve">Type of </w:t>
            </w:r>
          </w:p>
          <w:p w:rsidRPr="00747EA2" w:rsidR="00AF0B75" w:rsidP="00AF0B75" w:rsidRDefault="00AF0B75" w14:paraId="6FC22095" w14:textId="587FC484">
            <w:pPr>
              <w:jc w:val="center"/>
              <w:rPr>
                <w:b/>
                <w:bCs/>
                <w:color w:val="000000"/>
                <w:sz w:val="20"/>
                <w:szCs w:val="20"/>
              </w:rPr>
            </w:pPr>
            <w:r w:rsidRPr="00747EA2">
              <w:rPr>
                <w:b/>
                <w:bCs/>
                <w:color w:val="000000"/>
                <w:sz w:val="20"/>
                <w:szCs w:val="20"/>
              </w:rPr>
              <w:t>Respondent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47EA2" w:rsidR="00AF0B75" w:rsidP="00AF0B75" w:rsidRDefault="00AF0B75" w14:paraId="0568DC95" w14:textId="77777777">
            <w:pPr>
              <w:jc w:val="center"/>
              <w:rPr>
                <w:b/>
                <w:bCs/>
                <w:color w:val="000000"/>
                <w:sz w:val="20"/>
                <w:szCs w:val="20"/>
              </w:rPr>
            </w:pPr>
            <w:r w:rsidRPr="00747EA2">
              <w:rPr>
                <w:b/>
                <w:bCs/>
                <w:color w:val="000000"/>
                <w:sz w:val="20"/>
                <w:szCs w:val="20"/>
              </w:rPr>
              <w:t>Number of Respondents</w:t>
            </w:r>
          </w:p>
        </w:tc>
        <w:tc>
          <w:tcPr>
            <w:tcW w:w="1404" w:type="dxa"/>
            <w:tcBorders>
              <w:top w:val="single" w:color="auto" w:sz="4" w:space="0"/>
              <w:left w:val="nil"/>
              <w:bottom w:val="single" w:color="auto" w:sz="4" w:space="0"/>
              <w:right w:val="single" w:color="auto" w:sz="4" w:space="0"/>
            </w:tcBorders>
            <w:shd w:val="clear" w:color="auto" w:fill="auto"/>
            <w:vAlign w:val="center"/>
            <w:hideMark/>
          </w:tcPr>
          <w:p w:rsidRPr="00747EA2" w:rsidR="007F3C66" w:rsidP="00AF0B75" w:rsidRDefault="00AF0B75" w14:paraId="49977F67" w14:textId="77777777">
            <w:pPr>
              <w:jc w:val="center"/>
              <w:rPr>
                <w:b/>
                <w:bCs/>
                <w:color w:val="000000"/>
                <w:sz w:val="20"/>
                <w:szCs w:val="20"/>
              </w:rPr>
            </w:pPr>
            <w:r w:rsidRPr="00747EA2">
              <w:rPr>
                <w:b/>
                <w:bCs/>
                <w:color w:val="000000"/>
                <w:sz w:val="20"/>
                <w:szCs w:val="20"/>
              </w:rPr>
              <w:t xml:space="preserve">Responses per </w:t>
            </w:r>
          </w:p>
          <w:p w:rsidRPr="00747EA2" w:rsidR="00AF0B75" w:rsidP="00AF0B75" w:rsidRDefault="00AF0B75" w14:paraId="22E2FBB3" w14:textId="625748FA">
            <w:pPr>
              <w:jc w:val="center"/>
              <w:rPr>
                <w:b/>
                <w:bCs/>
                <w:color w:val="000000"/>
                <w:sz w:val="20"/>
                <w:szCs w:val="20"/>
              </w:rPr>
            </w:pPr>
            <w:r w:rsidRPr="00747EA2">
              <w:rPr>
                <w:b/>
                <w:bCs/>
                <w:color w:val="000000"/>
                <w:sz w:val="20"/>
                <w:szCs w:val="20"/>
              </w:rPr>
              <w:t>Respondent</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747EA2" w:rsidR="00AF0B75" w:rsidP="00AF0B75" w:rsidRDefault="00AF0B75" w14:paraId="78DEC503" w14:textId="77777777">
            <w:pPr>
              <w:jc w:val="center"/>
              <w:rPr>
                <w:b/>
                <w:bCs/>
                <w:color w:val="000000"/>
                <w:sz w:val="20"/>
                <w:szCs w:val="20"/>
              </w:rPr>
            </w:pPr>
            <w:r w:rsidRPr="00747EA2">
              <w:rPr>
                <w:b/>
                <w:bCs/>
                <w:color w:val="000000"/>
                <w:sz w:val="20"/>
                <w:szCs w:val="20"/>
              </w:rPr>
              <w:t xml:space="preserve">Average Burden per Response </w:t>
            </w:r>
            <w:r w:rsidRPr="00747EA2">
              <w:rPr>
                <w:b/>
                <w:bCs/>
                <w:color w:val="000000"/>
                <w:sz w:val="20"/>
                <w:szCs w:val="20"/>
              </w:rPr>
              <w:br/>
              <w:t>(in hours)</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747EA2" w:rsidR="007F3C66" w:rsidP="00AF0B75" w:rsidRDefault="00AF0B75" w14:paraId="78A11A1A" w14:textId="6B9961C2">
            <w:pPr>
              <w:jc w:val="center"/>
              <w:rPr>
                <w:b/>
                <w:bCs/>
                <w:color w:val="000000"/>
                <w:sz w:val="20"/>
                <w:szCs w:val="20"/>
              </w:rPr>
            </w:pPr>
            <w:r w:rsidRPr="00747EA2">
              <w:rPr>
                <w:b/>
                <w:bCs/>
                <w:color w:val="000000"/>
                <w:sz w:val="20"/>
                <w:szCs w:val="20"/>
              </w:rPr>
              <w:t>Total</w:t>
            </w:r>
          </w:p>
          <w:p w:rsidRPr="00747EA2" w:rsidR="00AF0B75" w:rsidP="00AF0B75" w:rsidRDefault="00AF0B75" w14:paraId="1538ECC5" w14:textId="0E0F3641">
            <w:pPr>
              <w:jc w:val="center"/>
              <w:rPr>
                <w:b/>
                <w:bCs/>
                <w:color w:val="000000"/>
                <w:sz w:val="20"/>
                <w:szCs w:val="20"/>
              </w:rPr>
            </w:pPr>
            <w:r w:rsidRPr="00747EA2">
              <w:rPr>
                <w:b/>
                <w:bCs/>
                <w:color w:val="000000"/>
                <w:sz w:val="20"/>
                <w:szCs w:val="20"/>
              </w:rPr>
              <w:t xml:space="preserve">Annual Burden </w:t>
            </w:r>
            <w:r w:rsidRPr="00747EA2">
              <w:rPr>
                <w:b/>
                <w:bCs/>
                <w:color w:val="000000"/>
                <w:sz w:val="20"/>
                <w:szCs w:val="20"/>
              </w:rPr>
              <w:br/>
              <w:t>(in hours)</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747EA2" w:rsidR="00AF0B75" w:rsidP="00AF0B75" w:rsidRDefault="00AF0B75" w14:paraId="43DFEB9A" w14:textId="77777777">
            <w:pPr>
              <w:jc w:val="center"/>
              <w:rPr>
                <w:b/>
                <w:bCs/>
                <w:color w:val="000000"/>
                <w:sz w:val="20"/>
                <w:szCs w:val="20"/>
              </w:rPr>
            </w:pPr>
            <w:r w:rsidRPr="00747EA2">
              <w:rPr>
                <w:b/>
                <w:bCs/>
                <w:color w:val="000000"/>
                <w:sz w:val="20"/>
                <w:szCs w:val="20"/>
              </w:rPr>
              <w:t>Average Hourly Wage Rate</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AF0B75" w:rsidR="00AF0B75" w:rsidP="00AF0B75" w:rsidRDefault="00AF0B75" w14:paraId="005E48F8" w14:textId="77777777">
            <w:pPr>
              <w:jc w:val="center"/>
              <w:rPr>
                <w:b/>
                <w:bCs/>
                <w:color w:val="000000"/>
                <w:sz w:val="20"/>
                <w:szCs w:val="20"/>
              </w:rPr>
            </w:pPr>
            <w:r w:rsidRPr="00747EA2">
              <w:rPr>
                <w:b/>
                <w:bCs/>
                <w:color w:val="000000"/>
                <w:sz w:val="20"/>
                <w:szCs w:val="20"/>
              </w:rPr>
              <w:t>Total Cost</w:t>
            </w:r>
          </w:p>
        </w:tc>
      </w:tr>
      <w:tr w:rsidRPr="00AF0B75" w:rsidR="003B1EE4" w:rsidTr="00FE7C4C" w14:paraId="5F973907" w14:textId="77777777">
        <w:trPr>
          <w:trHeight w:val="260"/>
        </w:trPr>
        <w:tc>
          <w:tcPr>
            <w:tcW w:w="1440" w:type="dxa"/>
            <w:tcBorders>
              <w:top w:val="nil"/>
              <w:left w:val="single" w:color="auto" w:sz="4" w:space="0"/>
              <w:bottom w:val="single" w:color="auto" w:sz="4" w:space="0"/>
              <w:right w:val="single" w:color="auto" w:sz="4" w:space="0"/>
            </w:tcBorders>
            <w:shd w:val="clear" w:color="auto" w:fill="auto"/>
            <w:vAlign w:val="center"/>
            <w:hideMark/>
          </w:tcPr>
          <w:p w:rsidR="003B1EE4" w:rsidP="003B1EE4" w:rsidRDefault="003B1EE4" w14:paraId="07267D0E" w14:textId="77777777">
            <w:pPr>
              <w:jc w:val="center"/>
              <w:rPr>
                <w:color w:val="000000"/>
                <w:sz w:val="20"/>
                <w:szCs w:val="20"/>
              </w:rPr>
            </w:pPr>
            <w:r w:rsidRPr="00AF0B75">
              <w:rPr>
                <w:color w:val="000000"/>
                <w:sz w:val="20"/>
                <w:szCs w:val="20"/>
              </w:rPr>
              <w:t xml:space="preserve">Law </w:t>
            </w:r>
          </w:p>
          <w:p w:rsidRPr="00AF0B75" w:rsidR="003B1EE4" w:rsidP="003B1EE4" w:rsidRDefault="003B1EE4" w14:paraId="7D7F2344" w14:textId="16A6A4B2">
            <w:pPr>
              <w:jc w:val="center"/>
              <w:rPr>
                <w:color w:val="000000"/>
                <w:sz w:val="20"/>
                <w:szCs w:val="20"/>
              </w:rPr>
            </w:pPr>
            <w:r w:rsidRPr="00AF0B75">
              <w:rPr>
                <w:color w:val="000000"/>
                <w:sz w:val="20"/>
                <w:szCs w:val="20"/>
              </w:rPr>
              <w:t>Enforcement</w:t>
            </w:r>
            <w:r>
              <w:rPr>
                <w:rStyle w:val="FootnoteReference"/>
                <w:color w:val="000000"/>
                <w:sz w:val="20"/>
                <w:szCs w:val="20"/>
              </w:rPr>
              <w:footnoteReference w:id="7"/>
            </w:r>
          </w:p>
        </w:tc>
        <w:tc>
          <w:tcPr>
            <w:tcW w:w="1350"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7A01D8" w14:paraId="1178D793" w14:textId="6F06CC80">
            <w:pPr>
              <w:jc w:val="center"/>
              <w:rPr>
                <w:color w:val="000000"/>
                <w:sz w:val="20"/>
                <w:szCs w:val="20"/>
              </w:rPr>
            </w:pPr>
            <w:r>
              <w:rPr>
                <w:color w:val="000000"/>
                <w:sz w:val="20"/>
                <w:szCs w:val="20"/>
              </w:rPr>
              <w:t>2351</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63F2DD38" w14:textId="6D4691BE">
            <w:pPr>
              <w:jc w:val="center"/>
              <w:rPr>
                <w:color w:val="000000"/>
                <w:sz w:val="20"/>
                <w:szCs w:val="20"/>
              </w:rPr>
            </w:pPr>
            <w:r>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771D9DBC" w14:textId="30AEE900">
            <w:pPr>
              <w:jc w:val="center"/>
              <w:rPr>
                <w:color w:val="000000"/>
                <w:sz w:val="20"/>
                <w:szCs w:val="20"/>
              </w:rPr>
            </w:pPr>
            <w:r>
              <w:rPr>
                <w:color w:val="000000"/>
                <w:sz w:val="20"/>
                <w:szCs w:val="20"/>
              </w:rPr>
              <w:t>0.5</w:t>
            </w:r>
          </w:p>
        </w:tc>
        <w:tc>
          <w:tcPr>
            <w:tcW w:w="1296" w:type="dxa"/>
            <w:tcBorders>
              <w:top w:val="nil"/>
              <w:left w:val="nil"/>
              <w:bottom w:val="single" w:color="auto" w:sz="4" w:space="0"/>
              <w:right w:val="single" w:color="auto" w:sz="4" w:space="0"/>
            </w:tcBorders>
            <w:shd w:val="clear" w:color="auto" w:fill="auto"/>
            <w:noWrap/>
            <w:vAlign w:val="center"/>
          </w:tcPr>
          <w:p w:rsidRPr="00AF0B75" w:rsidR="003B1EE4" w:rsidP="003B1EE4" w:rsidRDefault="009F4973" w14:paraId="463920D2" w14:textId="1501DA1B">
            <w:pPr>
              <w:jc w:val="center"/>
              <w:rPr>
                <w:color w:val="000000"/>
                <w:sz w:val="20"/>
                <w:szCs w:val="20"/>
              </w:rPr>
            </w:pPr>
            <w:r>
              <w:rPr>
                <w:color w:val="000000"/>
                <w:sz w:val="20"/>
                <w:szCs w:val="20"/>
              </w:rPr>
              <w:t>1176</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18ACE4F2" w14:textId="51C760CC">
            <w:pPr>
              <w:jc w:val="center"/>
              <w:rPr>
                <w:color w:val="000000"/>
                <w:sz w:val="20"/>
                <w:szCs w:val="20"/>
              </w:rPr>
            </w:pPr>
            <w:r>
              <w:rPr>
                <w:color w:val="000000"/>
                <w:sz w:val="20"/>
                <w:szCs w:val="20"/>
              </w:rPr>
              <w:t xml:space="preserve">$46.32 </w:t>
            </w:r>
          </w:p>
        </w:tc>
        <w:tc>
          <w:tcPr>
            <w:tcW w:w="1296" w:type="dxa"/>
            <w:tcBorders>
              <w:top w:val="nil"/>
              <w:left w:val="nil"/>
              <w:bottom w:val="single" w:color="auto" w:sz="4" w:space="0"/>
              <w:right w:val="single" w:color="auto" w:sz="4" w:space="0"/>
            </w:tcBorders>
            <w:shd w:val="clear" w:color="auto" w:fill="auto"/>
            <w:noWrap/>
            <w:vAlign w:val="center"/>
          </w:tcPr>
          <w:p w:rsidRPr="00AF0B75" w:rsidR="003B1EE4" w:rsidP="002F7F7E" w:rsidRDefault="003B1EE4" w14:paraId="3BD7C46C" w14:textId="208E52B1">
            <w:pPr>
              <w:jc w:val="center"/>
              <w:rPr>
                <w:color w:val="000000"/>
                <w:sz w:val="20"/>
                <w:szCs w:val="20"/>
              </w:rPr>
            </w:pPr>
            <w:r>
              <w:rPr>
                <w:color w:val="000000"/>
                <w:sz w:val="20"/>
                <w:szCs w:val="20"/>
              </w:rPr>
              <w:t>$</w:t>
            </w:r>
            <w:r w:rsidR="009F4973">
              <w:rPr>
                <w:color w:val="000000"/>
                <w:sz w:val="20"/>
                <w:szCs w:val="20"/>
              </w:rPr>
              <w:t>54,449.16</w:t>
            </w:r>
          </w:p>
        </w:tc>
      </w:tr>
      <w:tr w:rsidRPr="00AF0B75" w:rsidR="003B1EE4" w:rsidTr="00C733C0" w14:paraId="0CB59C2A" w14:textId="77777777">
        <w:trPr>
          <w:trHeight w:val="300"/>
        </w:trPr>
        <w:tc>
          <w:tcPr>
            <w:tcW w:w="1440" w:type="dxa"/>
            <w:tcBorders>
              <w:top w:val="nil"/>
              <w:left w:val="single" w:color="auto" w:sz="4" w:space="0"/>
              <w:bottom w:val="single" w:color="auto" w:sz="4" w:space="0"/>
              <w:right w:val="single" w:color="auto" w:sz="4" w:space="0"/>
            </w:tcBorders>
            <w:shd w:val="clear" w:color="auto" w:fill="auto"/>
            <w:vAlign w:val="center"/>
            <w:hideMark/>
          </w:tcPr>
          <w:p w:rsidR="003B1EE4" w:rsidP="003B1EE4" w:rsidRDefault="003B1EE4" w14:paraId="0B4B4253" w14:textId="77777777">
            <w:pPr>
              <w:jc w:val="center"/>
              <w:rPr>
                <w:color w:val="000000"/>
                <w:sz w:val="20"/>
                <w:szCs w:val="20"/>
              </w:rPr>
            </w:pPr>
            <w:r w:rsidRPr="00AF0B75">
              <w:rPr>
                <w:color w:val="000000"/>
                <w:sz w:val="20"/>
                <w:szCs w:val="20"/>
              </w:rPr>
              <w:t xml:space="preserve">Fire </w:t>
            </w:r>
          </w:p>
          <w:p w:rsidRPr="00AF0B75" w:rsidR="003B1EE4" w:rsidP="003B1EE4" w:rsidRDefault="003B1EE4" w14:paraId="47739A8F" w14:textId="55312A63">
            <w:pPr>
              <w:jc w:val="center"/>
              <w:rPr>
                <w:color w:val="000000"/>
                <w:sz w:val="20"/>
                <w:szCs w:val="20"/>
              </w:rPr>
            </w:pPr>
            <w:r w:rsidRPr="00AF0B75">
              <w:rPr>
                <w:color w:val="000000"/>
                <w:sz w:val="20"/>
                <w:szCs w:val="20"/>
              </w:rPr>
              <w:t>Department</w:t>
            </w:r>
            <w:r>
              <w:rPr>
                <w:rStyle w:val="FootnoteReference"/>
                <w:color w:val="000000"/>
                <w:sz w:val="20"/>
                <w:szCs w:val="20"/>
              </w:rPr>
              <w:footnoteReference w:id="8"/>
            </w:r>
          </w:p>
        </w:tc>
        <w:tc>
          <w:tcPr>
            <w:tcW w:w="1350"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7A01D8" w14:paraId="38FD31B2" w14:textId="6ACD0EB5">
            <w:pPr>
              <w:jc w:val="center"/>
              <w:rPr>
                <w:color w:val="000000"/>
                <w:sz w:val="20"/>
                <w:szCs w:val="20"/>
              </w:rPr>
            </w:pPr>
            <w:r>
              <w:rPr>
                <w:color w:val="000000"/>
                <w:sz w:val="20"/>
                <w:szCs w:val="20"/>
              </w:rPr>
              <w:t>3947</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64685A05" w14:textId="08CCFC0C">
            <w:pPr>
              <w:jc w:val="center"/>
              <w:rPr>
                <w:color w:val="000000"/>
                <w:sz w:val="20"/>
                <w:szCs w:val="20"/>
              </w:rPr>
            </w:pPr>
            <w:r>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12526249" w14:textId="5C0642DB">
            <w:pPr>
              <w:jc w:val="center"/>
              <w:rPr>
                <w:color w:val="000000"/>
                <w:sz w:val="20"/>
                <w:szCs w:val="20"/>
              </w:rPr>
            </w:pPr>
            <w:r>
              <w:rPr>
                <w:color w:val="000000"/>
                <w:sz w:val="20"/>
                <w:szCs w:val="20"/>
              </w:rPr>
              <w:t>0.5</w:t>
            </w:r>
          </w:p>
        </w:tc>
        <w:tc>
          <w:tcPr>
            <w:tcW w:w="1296" w:type="dxa"/>
            <w:tcBorders>
              <w:top w:val="nil"/>
              <w:left w:val="nil"/>
              <w:bottom w:val="single" w:color="auto" w:sz="4" w:space="0"/>
              <w:right w:val="single" w:color="auto" w:sz="4" w:space="0"/>
            </w:tcBorders>
            <w:shd w:val="clear" w:color="auto" w:fill="auto"/>
            <w:noWrap/>
            <w:vAlign w:val="center"/>
          </w:tcPr>
          <w:p w:rsidRPr="00AF0B75" w:rsidR="003B1EE4" w:rsidP="003B1EE4" w:rsidRDefault="003B1EE4" w14:paraId="7D9156A5" w14:textId="55D2523A">
            <w:pPr>
              <w:jc w:val="center"/>
              <w:rPr>
                <w:color w:val="000000"/>
                <w:sz w:val="20"/>
                <w:szCs w:val="20"/>
              </w:rPr>
            </w:pPr>
            <w:r>
              <w:rPr>
                <w:color w:val="000000"/>
                <w:sz w:val="20"/>
                <w:szCs w:val="20"/>
              </w:rPr>
              <w:t>1</w:t>
            </w:r>
            <w:r w:rsidR="009F4973">
              <w:rPr>
                <w:color w:val="000000"/>
                <w:sz w:val="20"/>
                <w:szCs w:val="20"/>
              </w:rPr>
              <w:t>974</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4BB5E6C3" w14:textId="54A535D5">
            <w:pPr>
              <w:jc w:val="center"/>
              <w:rPr>
                <w:color w:val="000000"/>
                <w:sz w:val="20"/>
                <w:szCs w:val="20"/>
              </w:rPr>
            </w:pPr>
            <w:r>
              <w:rPr>
                <w:color w:val="000000"/>
                <w:sz w:val="20"/>
                <w:szCs w:val="20"/>
              </w:rPr>
              <w:t xml:space="preserve">$37.44 </w:t>
            </w:r>
          </w:p>
        </w:tc>
        <w:tc>
          <w:tcPr>
            <w:tcW w:w="1296" w:type="dxa"/>
            <w:tcBorders>
              <w:top w:val="nil"/>
              <w:left w:val="nil"/>
              <w:bottom w:val="single" w:color="auto" w:sz="4" w:space="0"/>
              <w:right w:val="single" w:color="auto" w:sz="4" w:space="0"/>
            </w:tcBorders>
            <w:shd w:val="clear" w:color="auto" w:fill="auto"/>
            <w:noWrap/>
            <w:vAlign w:val="center"/>
          </w:tcPr>
          <w:p w:rsidRPr="00AF0B75" w:rsidR="003B1EE4" w:rsidP="003B1EE4" w:rsidRDefault="003B1EE4" w14:paraId="1C629332" w14:textId="7956ACF9">
            <w:pPr>
              <w:jc w:val="center"/>
              <w:rPr>
                <w:color w:val="000000"/>
                <w:sz w:val="20"/>
                <w:szCs w:val="20"/>
              </w:rPr>
            </w:pPr>
            <w:r>
              <w:rPr>
                <w:color w:val="000000"/>
                <w:sz w:val="20"/>
                <w:szCs w:val="20"/>
              </w:rPr>
              <w:t>$</w:t>
            </w:r>
            <w:r w:rsidR="009F4973">
              <w:rPr>
                <w:color w:val="000000"/>
                <w:sz w:val="20"/>
                <w:szCs w:val="20"/>
              </w:rPr>
              <w:t>73,887.84</w:t>
            </w:r>
            <w:r>
              <w:rPr>
                <w:color w:val="000000"/>
                <w:sz w:val="20"/>
                <w:szCs w:val="20"/>
              </w:rPr>
              <w:t xml:space="preserve"> </w:t>
            </w:r>
          </w:p>
        </w:tc>
      </w:tr>
      <w:tr w:rsidRPr="00AF0B75" w:rsidR="003B1EE4" w:rsidTr="00C733C0" w14:paraId="0B1C5411" w14:textId="77777777">
        <w:trPr>
          <w:trHeight w:val="510"/>
        </w:trPr>
        <w:tc>
          <w:tcPr>
            <w:tcW w:w="1440" w:type="dxa"/>
            <w:tcBorders>
              <w:top w:val="nil"/>
              <w:left w:val="single" w:color="auto" w:sz="4" w:space="0"/>
              <w:bottom w:val="single" w:color="auto" w:sz="4" w:space="0"/>
              <w:right w:val="single" w:color="auto" w:sz="4" w:space="0"/>
            </w:tcBorders>
            <w:shd w:val="clear" w:color="auto" w:fill="auto"/>
            <w:vAlign w:val="center"/>
            <w:hideMark/>
          </w:tcPr>
          <w:p w:rsidR="003B1EE4" w:rsidP="003B1EE4" w:rsidRDefault="003B1EE4" w14:paraId="6D28FD06" w14:textId="77777777">
            <w:pPr>
              <w:jc w:val="center"/>
              <w:rPr>
                <w:color w:val="000000"/>
                <w:sz w:val="20"/>
                <w:szCs w:val="20"/>
              </w:rPr>
            </w:pPr>
            <w:r w:rsidRPr="00AF0B75">
              <w:rPr>
                <w:color w:val="000000"/>
                <w:sz w:val="20"/>
                <w:szCs w:val="20"/>
              </w:rPr>
              <w:t>Emergency</w:t>
            </w:r>
          </w:p>
          <w:p w:rsidR="003B1EE4" w:rsidP="003B1EE4" w:rsidRDefault="003B1EE4" w14:paraId="03C1054C" w14:textId="6CDBF589">
            <w:pPr>
              <w:jc w:val="center"/>
              <w:rPr>
                <w:color w:val="000000"/>
                <w:sz w:val="20"/>
                <w:szCs w:val="20"/>
              </w:rPr>
            </w:pPr>
            <w:r w:rsidRPr="00AF0B75">
              <w:rPr>
                <w:color w:val="000000"/>
                <w:sz w:val="20"/>
                <w:szCs w:val="20"/>
              </w:rPr>
              <w:t xml:space="preserve"> Medical</w:t>
            </w:r>
          </w:p>
          <w:p w:rsidRPr="00AF0B75" w:rsidR="003B1EE4" w:rsidP="003B1EE4" w:rsidRDefault="003B1EE4" w14:paraId="2E34B72C" w14:textId="66147BDE">
            <w:pPr>
              <w:jc w:val="center"/>
              <w:rPr>
                <w:color w:val="000000"/>
                <w:sz w:val="20"/>
                <w:szCs w:val="20"/>
              </w:rPr>
            </w:pPr>
            <w:r w:rsidRPr="00AF0B75">
              <w:rPr>
                <w:color w:val="000000"/>
                <w:sz w:val="20"/>
                <w:szCs w:val="20"/>
              </w:rPr>
              <w:t>Service</w:t>
            </w:r>
            <w:r>
              <w:rPr>
                <w:rStyle w:val="FootnoteReference"/>
                <w:color w:val="000000"/>
                <w:sz w:val="20"/>
                <w:szCs w:val="20"/>
              </w:rPr>
              <w:footnoteReference w:id="9"/>
            </w:r>
          </w:p>
        </w:tc>
        <w:tc>
          <w:tcPr>
            <w:tcW w:w="1350"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7A01D8" w14:paraId="3763EA80" w14:textId="54948793">
            <w:pPr>
              <w:jc w:val="center"/>
              <w:rPr>
                <w:color w:val="000000"/>
                <w:sz w:val="20"/>
                <w:szCs w:val="20"/>
              </w:rPr>
            </w:pPr>
            <w:r>
              <w:rPr>
                <w:color w:val="000000"/>
                <w:sz w:val="20"/>
                <w:szCs w:val="20"/>
              </w:rPr>
              <w:t>672</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0F281056" w14:textId="56842D67">
            <w:pPr>
              <w:jc w:val="center"/>
              <w:rPr>
                <w:color w:val="000000"/>
                <w:sz w:val="20"/>
                <w:szCs w:val="20"/>
              </w:rPr>
            </w:pPr>
            <w:r>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0F0772EF" w14:textId="3DE8A780">
            <w:pPr>
              <w:jc w:val="center"/>
              <w:rPr>
                <w:color w:val="000000"/>
                <w:sz w:val="20"/>
                <w:szCs w:val="20"/>
              </w:rPr>
            </w:pPr>
            <w:r>
              <w:rPr>
                <w:color w:val="000000"/>
                <w:sz w:val="20"/>
                <w:szCs w:val="20"/>
              </w:rPr>
              <w:t>0.5</w:t>
            </w:r>
          </w:p>
        </w:tc>
        <w:tc>
          <w:tcPr>
            <w:tcW w:w="1296" w:type="dxa"/>
            <w:tcBorders>
              <w:top w:val="nil"/>
              <w:left w:val="nil"/>
              <w:bottom w:val="single" w:color="auto" w:sz="4" w:space="0"/>
              <w:right w:val="single" w:color="auto" w:sz="4" w:space="0"/>
            </w:tcBorders>
            <w:shd w:val="clear" w:color="auto" w:fill="auto"/>
            <w:noWrap/>
            <w:vAlign w:val="center"/>
          </w:tcPr>
          <w:p w:rsidRPr="00AF0B75" w:rsidR="003B1EE4" w:rsidP="003B1EE4" w:rsidRDefault="009F4973" w14:paraId="2BD0FD70" w14:textId="45E8DA63">
            <w:pPr>
              <w:jc w:val="center"/>
              <w:rPr>
                <w:color w:val="000000"/>
                <w:sz w:val="20"/>
                <w:szCs w:val="20"/>
              </w:rPr>
            </w:pPr>
            <w:r>
              <w:rPr>
                <w:color w:val="000000"/>
                <w:sz w:val="20"/>
                <w:szCs w:val="20"/>
              </w:rPr>
              <w:t>336</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0B977786" w14:textId="213BCA80">
            <w:pPr>
              <w:jc w:val="center"/>
              <w:rPr>
                <w:color w:val="000000"/>
                <w:sz w:val="20"/>
                <w:szCs w:val="20"/>
              </w:rPr>
            </w:pPr>
            <w:r>
              <w:rPr>
                <w:color w:val="000000"/>
                <w:sz w:val="20"/>
                <w:szCs w:val="20"/>
              </w:rPr>
              <w:t xml:space="preserve">$26.61 </w:t>
            </w:r>
          </w:p>
        </w:tc>
        <w:tc>
          <w:tcPr>
            <w:tcW w:w="1296" w:type="dxa"/>
            <w:tcBorders>
              <w:top w:val="nil"/>
              <w:left w:val="nil"/>
              <w:bottom w:val="single" w:color="auto" w:sz="4" w:space="0"/>
              <w:right w:val="single" w:color="auto" w:sz="4" w:space="0"/>
            </w:tcBorders>
            <w:shd w:val="clear" w:color="auto" w:fill="auto"/>
            <w:noWrap/>
            <w:vAlign w:val="center"/>
          </w:tcPr>
          <w:p w:rsidRPr="00AF0B75" w:rsidR="002F7F7E" w:rsidP="002F7F7E" w:rsidRDefault="003B1EE4" w14:paraId="4CD10E3F" w14:textId="43EDAE2F">
            <w:pPr>
              <w:jc w:val="center"/>
              <w:rPr>
                <w:color w:val="000000"/>
                <w:sz w:val="20"/>
                <w:szCs w:val="20"/>
              </w:rPr>
            </w:pPr>
            <w:r>
              <w:rPr>
                <w:color w:val="000000"/>
                <w:sz w:val="20"/>
                <w:szCs w:val="20"/>
              </w:rPr>
              <w:t>$</w:t>
            </w:r>
            <w:r w:rsidR="009F4973">
              <w:rPr>
                <w:color w:val="000000"/>
                <w:sz w:val="20"/>
                <w:szCs w:val="20"/>
              </w:rPr>
              <w:t>8,940.96</w:t>
            </w:r>
          </w:p>
        </w:tc>
      </w:tr>
      <w:bookmarkStart w:name="RANGE!C7" w:id="4"/>
      <w:tr w:rsidRPr="00AF0B75" w:rsidR="003B1EE4" w:rsidTr="00C733C0" w14:paraId="65A75405" w14:textId="77777777">
        <w:trPr>
          <w:trHeight w:val="510"/>
        </w:trPr>
        <w:tc>
          <w:tcPr>
            <w:tcW w:w="1440" w:type="dxa"/>
            <w:tcBorders>
              <w:top w:val="nil"/>
              <w:left w:val="single" w:color="auto" w:sz="4" w:space="0"/>
              <w:bottom w:val="single" w:color="auto" w:sz="4" w:space="0"/>
              <w:right w:val="single" w:color="auto" w:sz="4" w:space="0"/>
            </w:tcBorders>
            <w:shd w:val="clear" w:color="auto" w:fill="auto"/>
            <w:vAlign w:val="center"/>
            <w:hideMark/>
          </w:tcPr>
          <w:p w:rsidRPr="00AF0B75" w:rsidR="003B1EE4" w:rsidP="003B1EE4" w:rsidRDefault="003B1EE4" w14:paraId="58D1C719" w14:textId="7AC2D957">
            <w:pPr>
              <w:jc w:val="center"/>
              <w:rPr>
                <w:color w:val="000000"/>
                <w:sz w:val="20"/>
                <w:szCs w:val="20"/>
              </w:rPr>
            </w:pPr>
            <w:r w:rsidRPr="00AF0B75">
              <w:rPr>
                <w:color w:val="000000"/>
                <w:sz w:val="20"/>
                <w:szCs w:val="20"/>
              </w:rPr>
              <w:fldChar w:fldCharType="begin"/>
            </w:r>
            <w:r w:rsidRPr="00AF0B75">
              <w:rPr>
                <w:color w:val="000000"/>
                <w:sz w:val="20"/>
                <w:szCs w:val="20"/>
              </w:rPr>
              <w:instrText xml:space="preserve"> HYPERLINK "file:///C:\\Users\\Michael.Pickford\\AppData\\Local\\Microsoft\\Windows\\INetCache\\Content.MSO\\B2681863.xlsx" \l "RANGE!_ftn4" </w:instrText>
            </w:r>
            <w:r w:rsidRPr="00AF0B75">
              <w:rPr>
                <w:color w:val="000000"/>
                <w:sz w:val="20"/>
                <w:szCs w:val="20"/>
              </w:rPr>
              <w:fldChar w:fldCharType="separate"/>
            </w:r>
            <w:r w:rsidRPr="00AF0B75">
              <w:rPr>
                <w:color w:val="000000"/>
                <w:sz w:val="20"/>
                <w:szCs w:val="20"/>
              </w:rPr>
              <w:t>Public Safety Answering Points</w:t>
            </w:r>
            <w:r w:rsidRPr="00AF0B75">
              <w:rPr>
                <w:color w:val="000000"/>
                <w:sz w:val="20"/>
                <w:szCs w:val="20"/>
              </w:rPr>
              <w:fldChar w:fldCharType="end"/>
            </w:r>
            <w:bookmarkEnd w:id="4"/>
            <w:r>
              <w:rPr>
                <w:rStyle w:val="FootnoteReference"/>
                <w:color w:val="000000"/>
                <w:sz w:val="20"/>
                <w:szCs w:val="20"/>
              </w:rPr>
              <w:footnoteReference w:id="10"/>
            </w:r>
          </w:p>
        </w:tc>
        <w:tc>
          <w:tcPr>
            <w:tcW w:w="1350"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7A01D8" w14:paraId="02CFE965" w14:textId="07DD7B7A">
            <w:pPr>
              <w:jc w:val="center"/>
              <w:rPr>
                <w:color w:val="000000"/>
                <w:sz w:val="20"/>
                <w:szCs w:val="20"/>
              </w:rPr>
            </w:pPr>
            <w:r>
              <w:rPr>
                <w:color w:val="000000"/>
                <w:sz w:val="20"/>
                <w:szCs w:val="20"/>
              </w:rPr>
              <w:t>672</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7D397CF6" w14:textId="04509DB3">
            <w:pPr>
              <w:jc w:val="center"/>
              <w:rPr>
                <w:color w:val="000000"/>
                <w:sz w:val="20"/>
                <w:szCs w:val="20"/>
              </w:rPr>
            </w:pPr>
            <w:r>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217BEF32" w14:textId="603AFD8B">
            <w:pPr>
              <w:jc w:val="center"/>
              <w:rPr>
                <w:color w:val="000000"/>
                <w:sz w:val="20"/>
                <w:szCs w:val="20"/>
              </w:rPr>
            </w:pPr>
            <w:r>
              <w:rPr>
                <w:color w:val="000000"/>
                <w:sz w:val="20"/>
                <w:szCs w:val="20"/>
              </w:rPr>
              <w:t>0.5</w:t>
            </w:r>
          </w:p>
        </w:tc>
        <w:tc>
          <w:tcPr>
            <w:tcW w:w="1296" w:type="dxa"/>
            <w:tcBorders>
              <w:top w:val="nil"/>
              <w:left w:val="nil"/>
              <w:bottom w:val="single" w:color="auto" w:sz="4" w:space="0"/>
              <w:right w:val="single" w:color="auto" w:sz="4" w:space="0"/>
            </w:tcBorders>
            <w:shd w:val="clear" w:color="auto" w:fill="auto"/>
            <w:noWrap/>
            <w:vAlign w:val="center"/>
          </w:tcPr>
          <w:p w:rsidRPr="00AF0B75" w:rsidR="003B1EE4" w:rsidP="003B1EE4" w:rsidRDefault="009F4973" w14:paraId="2A940517" w14:textId="1F6AAC9D">
            <w:pPr>
              <w:jc w:val="center"/>
              <w:rPr>
                <w:color w:val="000000"/>
                <w:sz w:val="20"/>
                <w:szCs w:val="20"/>
              </w:rPr>
            </w:pPr>
            <w:r>
              <w:rPr>
                <w:color w:val="000000"/>
                <w:sz w:val="20"/>
                <w:szCs w:val="20"/>
              </w:rPr>
              <w:t>336</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0B94187A" w14:textId="70899721">
            <w:pPr>
              <w:jc w:val="center"/>
              <w:rPr>
                <w:color w:val="000000"/>
                <w:sz w:val="20"/>
                <w:szCs w:val="20"/>
              </w:rPr>
            </w:pPr>
            <w:r>
              <w:rPr>
                <w:color w:val="000000"/>
                <w:sz w:val="20"/>
                <w:szCs w:val="20"/>
              </w:rPr>
              <w:t xml:space="preserve">$30.37 </w:t>
            </w:r>
          </w:p>
        </w:tc>
        <w:tc>
          <w:tcPr>
            <w:tcW w:w="1296" w:type="dxa"/>
            <w:tcBorders>
              <w:top w:val="nil"/>
              <w:left w:val="nil"/>
              <w:bottom w:val="single" w:color="auto" w:sz="4" w:space="0"/>
              <w:right w:val="single" w:color="auto" w:sz="4" w:space="0"/>
            </w:tcBorders>
            <w:shd w:val="clear" w:color="auto" w:fill="auto"/>
            <w:noWrap/>
            <w:vAlign w:val="center"/>
          </w:tcPr>
          <w:p w:rsidRPr="00AF0B75" w:rsidR="003B1EE4" w:rsidP="003B1EE4" w:rsidRDefault="003B1EE4" w14:paraId="4B7BC0FC" w14:textId="2D94F0D4">
            <w:pPr>
              <w:jc w:val="center"/>
              <w:rPr>
                <w:color w:val="000000"/>
                <w:sz w:val="20"/>
                <w:szCs w:val="20"/>
              </w:rPr>
            </w:pPr>
            <w:r>
              <w:rPr>
                <w:color w:val="000000"/>
                <w:sz w:val="20"/>
                <w:szCs w:val="20"/>
              </w:rPr>
              <w:t>$</w:t>
            </w:r>
            <w:r w:rsidR="009F4973">
              <w:rPr>
                <w:color w:val="000000"/>
                <w:sz w:val="20"/>
                <w:szCs w:val="20"/>
              </w:rPr>
              <w:t>10,204.32</w:t>
            </w:r>
            <w:r>
              <w:rPr>
                <w:color w:val="000000"/>
                <w:sz w:val="20"/>
                <w:szCs w:val="20"/>
              </w:rPr>
              <w:t xml:space="preserve"> </w:t>
            </w:r>
          </w:p>
        </w:tc>
      </w:tr>
      <w:tr w:rsidRPr="00AF0B75" w:rsidR="003B1EE4" w:rsidTr="00C733C0" w14:paraId="06B855FE" w14:textId="77777777">
        <w:trPr>
          <w:trHeight w:val="510"/>
        </w:trPr>
        <w:tc>
          <w:tcPr>
            <w:tcW w:w="1440" w:type="dxa"/>
            <w:tcBorders>
              <w:top w:val="nil"/>
              <w:left w:val="single" w:color="auto" w:sz="4" w:space="0"/>
              <w:bottom w:val="single" w:color="auto" w:sz="4" w:space="0"/>
              <w:right w:val="single" w:color="auto" w:sz="4" w:space="0"/>
            </w:tcBorders>
            <w:shd w:val="clear" w:color="auto" w:fill="auto"/>
            <w:vAlign w:val="center"/>
          </w:tcPr>
          <w:p w:rsidR="003B1EE4" w:rsidP="003B1EE4" w:rsidRDefault="003B1EE4" w14:paraId="60D4CCCF" w14:textId="77777777">
            <w:pPr>
              <w:jc w:val="center"/>
              <w:rPr>
                <w:color w:val="000000"/>
                <w:sz w:val="20"/>
                <w:szCs w:val="20"/>
              </w:rPr>
            </w:pPr>
            <w:r>
              <w:rPr>
                <w:color w:val="000000"/>
                <w:sz w:val="20"/>
                <w:szCs w:val="20"/>
              </w:rPr>
              <w:t xml:space="preserve">Emergency </w:t>
            </w:r>
          </w:p>
          <w:p w:rsidRPr="00AF0B75" w:rsidR="003B1EE4" w:rsidP="003B1EE4" w:rsidRDefault="003B1EE4" w14:paraId="733E4218" w14:textId="00DDFAB1">
            <w:pPr>
              <w:jc w:val="center"/>
              <w:rPr>
                <w:color w:val="000000"/>
                <w:sz w:val="20"/>
                <w:szCs w:val="20"/>
              </w:rPr>
            </w:pPr>
            <w:r>
              <w:rPr>
                <w:color w:val="000000"/>
                <w:sz w:val="20"/>
                <w:szCs w:val="20"/>
              </w:rPr>
              <w:t>Management</w:t>
            </w:r>
            <w:r>
              <w:rPr>
                <w:rStyle w:val="FootnoteReference"/>
                <w:color w:val="000000"/>
                <w:sz w:val="20"/>
                <w:szCs w:val="20"/>
              </w:rPr>
              <w:footnoteReference w:id="11"/>
            </w:r>
          </w:p>
        </w:tc>
        <w:tc>
          <w:tcPr>
            <w:tcW w:w="1350" w:type="dxa"/>
            <w:tcBorders>
              <w:top w:val="nil"/>
              <w:left w:val="nil"/>
              <w:bottom w:val="single" w:color="auto" w:sz="4" w:space="0"/>
              <w:right w:val="single" w:color="auto" w:sz="4" w:space="0"/>
            </w:tcBorders>
            <w:shd w:val="clear" w:color="auto" w:fill="auto"/>
            <w:noWrap/>
            <w:vAlign w:val="center"/>
          </w:tcPr>
          <w:p w:rsidR="003B1EE4" w:rsidP="003B1EE4" w:rsidRDefault="007A01D8" w14:paraId="367A8C07" w14:textId="1A9C83DA">
            <w:pPr>
              <w:jc w:val="center"/>
              <w:rPr>
                <w:color w:val="000000"/>
                <w:sz w:val="20"/>
                <w:szCs w:val="20"/>
              </w:rPr>
            </w:pPr>
            <w:r>
              <w:rPr>
                <w:color w:val="000000"/>
                <w:sz w:val="20"/>
                <w:szCs w:val="20"/>
              </w:rPr>
              <w:t>756</w:t>
            </w:r>
          </w:p>
        </w:tc>
        <w:tc>
          <w:tcPr>
            <w:tcW w:w="1404" w:type="dxa"/>
            <w:tcBorders>
              <w:top w:val="nil"/>
              <w:left w:val="nil"/>
              <w:bottom w:val="single" w:color="auto" w:sz="4" w:space="0"/>
              <w:right w:val="single" w:color="auto" w:sz="4" w:space="0"/>
            </w:tcBorders>
            <w:shd w:val="clear" w:color="auto" w:fill="auto"/>
            <w:noWrap/>
            <w:vAlign w:val="center"/>
          </w:tcPr>
          <w:p w:rsidR="003B1EE4" w:rsidP="003B1EE4" w:rsidRDefault="003B1EE4" w14:paraId="165AC562" w14:textId="57ACF528">
            <w:pPr>
              <w:jc w:val="center"/>
              <w:rPr>
                <w:color w:val="000000"/>
                <w:sz w:val="20"/>
                <w:szCs w:val="20"/>
              </w:rPr>
            </w:pPr>
            <w:r>
              <w:rPr>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center"/>
          </w:tcPr>
          <w:p w:rsidR="003B1EE4" w:rsidP="003B1EE4" w:rsidRDefault="003B1EE4" w14:paraId="3352F61A" w14:textId="2145F446">
            <w:pPr>
              <w:jc w:val="center"/>
              <w:rPr>
                <w:color w:val="000000"/>
                <w:sz w:val="20"/>
                <w:szCs w:val="20"/>
              </w:rPr>
            </w:pPr>
            <w:r>
              <w:rPr>
                <w:color w:val="000000"/>
                <w:sz w:val="20"/>
                <w:szCs w:val="20"/>
              </w:rPr>
              <w:t>0.5</w:t>
            </w:r>
          </w:p>
        </w:tc>
        <w:tc>
          <w:tcPr>
            <w:tcW w:w="1296" w:type="dxa"/>
            <w:tcBorders>
              <w:top w:val="nil"/>
              <w:left w:val="nil"/>
              <w:bottom w:val="single" w:color="auto" w:sz="4" w:space="0"/>
              <w:right w:val="single" w:color="auto" w:sz="4" w:space="0"/>
            </w:tcBorders>
            <w:shd w:val="clear" w:color="auto" w:fill="auto"/>
            <w:noWrap/>
            <w:vAlign w:val="center"/>
          </w:tcPr>
          <w:p w:rsidR="003B1EE4" w:rsidP="003B1EE4" w:rsidRDefault="003B1EE4" w14:paraId="10B81173" w14:textId="31521DAC">
            <w:pPr>
              <w:jc w:val="center"/>
              <w:rPr>
                <w:color w:val="000000"/>
                <w:sz w:val="20"/>
                <w:szCs w:val="20"/>
              </w:rPr>
            </w:pPr>
            <w:r>
              <w:rPr>
                <w:color w:val="000000"/>
                <w:sz w:val="20"/>
                <w:szCs w:val="20"/>
              </w:rPr>
              <w:t>3</w:t>
            </w:r>
            <w:r w:rsidR="009F4973">
              <w:rPr>
                <w:color w:val="000000"/>
                <w:sz w:val="20"/>
                <w:szCs w:val="20"/>
              </w:rPr>
              <w:t>78</w:t>
            </w:r>
          </w:p>
        </w:tc>
        <w:tc>
          <w:tcPr>
            <w:tcW w:w="1296" w:type="dxa"/>
            <w:tcBorders>
              <w:top w:val="nil"/>
              <w:left w:val="nil"/>
              <w:bottom w:val="single" w:color="auto" w:sz="4" w:space="0"/>
              <w:right w:val="single" w:color="auto" w:sz="4" w:space="0"/>
            </w:tcBorders>
            <w:shd w:val="clear" w:color="auto" w:fill="auto"/>
            <w:noWrap/>
            <w:vAlign w:val="center"/>
          </w:tcPr>
          <w:p w:rsidR="003B1EE4" w:rsidP="003B1EE4" w:rsidRDefault="003B1EE4" w14:paraId="00821FA1" w14:textId="4BAE2B40">
            <w:pPr>
              <w:jc w:val="center"/>
              <w:rPr>
                <w:color w:val="000000"/>
                <w:sz w:val="20"/>
                <w:szCs w:val="20"/>
              </w:rPr>
            </w:pPr>
            <w:r>
              <w:rPr>
                <w:color w:val="000000"/>
                <w:sz w:val="20"/>
                <w:szCs w:val="20"/>
              </w:rPr>
              <w:t xml:space="preserve">$55.07 </w:t>
            </w:r>
          </w:p>
        </w:tc>
        <w:tc>
          <w:tcPr>
            <w:tcW w:w="1296" w:type="dxa"/>
            <w:tcBorders>
              <w:top w:val="nil"/>
              <w:left w:val="nil"/>
              <w:bottom w:val="single" w:color="auto" w:sz="4" w:space="0"/>
              <w:right w:val="single" w:color="auto" w:sz="4" w:space="0"/>
            </w:tcBorders>
            <w:shd w:val="clear" w:color="auto" w:fill="auto"/>
            <w:noWrap/>
            <w:vAlign w:val="center"/>
          </w:tcPr>
          <w:p w:rsidR="003B1EE4" w:rsidP="003B1EE4" w:rsidRDefault="003B1EE4" w14:paraId="1B041578" w14:textId="6AEA6BE5">
            <w:pPr>
              <w:jc w:val="center"/>
              <w:rPr>
                <w:color w:val="000000"/>
                <w:sz w:val="20"/>
                <w:szCs w:val="20"/>
              </w:rPr>
            </w:pPr>
            <w:r>
              <w:rPr>
                <w:color w:val="000000"/>
                <w:sz w:val="20"/>
                <w:szCs w:val="20"/>
              </w:rPr>
              <w:t>$</w:t>
            </w:r>
            <w:r w:rsidR="009F4973">
              <w:rPr>
                <w:color w:val="000000"/>
                <w:sz w:val="20"/>
                <w:szCs w:val="20"/>
              </w:rPr>
              <w:t>20,816.46</w:t>
            </w:r>
            <w:r>
              <w:rPr>
                <w:color w:val="000000"/>
                <w:sz w:val="20"/>
                <w:szCs w:val="20"/>
              </w:rPr>
              <w:t xml:space="preserve"> </w:t>
            </w:r>
          </w:p>
        </w:tc>
      </w:tr>
      <w:tr w:rsidRPr="00AF0B75" w:rsidR="003B1EE4" w:rsidTr="00C733C0" w14:paraId="28C7AA54" w14:textId="77777777">
        <w:trPr>
          <w:trHeight w:val="300"/>
        </w:trPr>
        <w:tc>
          <w:tcPr>
            <w:tcW w:w="1440" w:type="dxa"/>
            <w:tcBorders>
              <w:top w:val="nil"/>
              <w:left w:val="single" w:color="auto" w:sz="4" w:space="0"/>
              <w:bottom w:val="single" w:color="auto" w:sz="4" w:space="0"/>
              <w:right w:val="single" w:color="auto" w:sz="4" w:space="0"/>
            </w:tcBorders>
            <w:shd w:val="clear" w:color="auto" w:fill="auto"/>
            <w:noWrap/>
            <w:vAlign w:val="center"/>
            <w:hideMark/>
          </w:tcPr>
          <w:p w:rsidRPr="00AF0B75" w:rsidR="003B1EE4" w:rsidP="003B1EE4" w:rsidRDefault="003B1EE4" w14:paraId="5F4F20CD" w14:textId="77777777">
            <w:pPr>
              <w:jc w:val="center"/>
              <w:rPr>
                <w:b/>
                <w:bCs/>
                <w:color w:val="000000"/>
                <w:sz w:val="20"/>
                <w:szCs w:val="20"/>
              </w:rPr>
            </w:pPr>
            <w:r w:rsidRPr="00AF0B75">
              <w:rPr>
                <w:b/>
                <w:bCs/>
                <w:color w:val="000000"/>
                <w:sz w:val="20"/>
                <w:szCs w:val="20"/>
              </w:rPr>
              <w:t>Totals</w:t>
            </w:r>
          </w:p>
        </w:tc>
        <w:tc>
          <w:tcPr>
            <w:tcW w:w="1350"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7A01D8" w14:paraId="79AA4245" w14:textId="2EFD78A7">
            <w:pPr>
              <w:jc w:val="center"/>
              <w:rPr>
                <w:b/>
                <w:bCs/>
                <w:color w:val="000000"/>
                <w:sz w:val="20"/>
                <w:szCs w:val="20"/>
              </w:rPr>
            </w:pPr>
            <w:r>
              <w:rPr>
                <w:b/>
                <w:bCs/>
                <w:color w:val="000000"/>
                <w:sz w:val="20"/>
                <w:szCs w:val="20"/>
              </w:rPr>
              <w:t>8398</w:t>
            </w:r>
          </w:p>
        </w:tc>
        <w:tc>
          <w:tcPr>
            <w:tcW w:w="1404"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13BD3D31" w14:textId="4FD7DC6E">
            <w:pPr>
              <w:jc w:val="center"/>
              <w:rPr>
                <w:color w:val="000000"/>
                <w:sz w:val="20"/>
                <w:szCs w:val="20"/>
              </w:rPr>
            </w:pPr>
            <w:r>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5DE13879" w14:textId="0003168A">
            <w:pPr>
              <w:jc w:val="center"/>
              <w:rPr>
                <w:color w:val="000000"/>
                <w:sz w:val="20"/>
                <w:szCs w:val="20"/>
              </w:rPr>
            </w:pPr>
            <w:r>
              <w:rPr>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tcPr>
          <w:p w:rsidRPr="00AF0B75" w:rsidR="003B1EE4" w:rsidP="003B1EE4" w:rsidRDefault="009F4973" w14:paraId="24405239" w14:textId="47F14E1A">
            <w:pPr>
              <w:jc w:val="center"/>
              <w:rPr>
                <w:b/>
                <w:bCs/>
                <w:color w:val="000000"/>
                <w:sz w:val="20"/>
                <w:szCs w:val="20"/>
              </w:rPr>
            </w:pPr>
            <w:r>
              <w:rPr>
                <w:b/>
                <w:bCs/>
                <w:color w:val="000000"/>
                <w:sz w:val="20"/>
                <w:szCs w:val="20"/>
              </w:rPr>
              <w:t>4199</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529F2D7F" w14:textId="039B03AE">
            <w:pPr>
              <w:jc w:val="center"/>
              <w:rPr>
                <w:b/>
                <w:bCs/>
                <w:color w:val="000000"/>
                <w:sz w:val="20"/>
                <w:szCs w:val="20"/>
              </w:rPr>
            </w:pPr>
            <w:r>
              <w:rPr>
                <w:b/>
                <w:bCs/>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center"/>
            <w:hideMark/>
          </w:tcPr>
          <w:p w:rsidRPr="00AF0B75" w:rsidR="003B1EE4" w:rsidP="003B1EE4" w:rsidRDefault="003B1EE4" w14:paraId="3FA14458" w14:textId="05052676">
            <w:pPr>
              <w:jc w:val="center"/>
              <w:rPr>
                <w:b/>
                <w:bCs/>
                <w:color w:val="00B050"/>
                <w:sz w:val="20"/>
                <w:szCs w:val="20"/>
              </w:rPr>
            </w:pPr>
            <w:r>
              <w:rPr>
                <w:b/>
                <w:bCs/>
                <w:color w:val="00B050"/>
                <w:sz w:val="20"/>
                <w:szCs w:val="20"/>
              </w:rPr>
              <w:t>$1</w:t>
            </w:r>
            <w:r w:rsidR="009F4973">
              <w:rPr>
                <w:b/>
                <w:bCs/>
                <w:color w:val="00B050"/>
                <w:sz w:val="20"/>
                <w:szCs w:val="20"/>
              </w:rPr>
              <w:t>68,298.74</w:t>
            </w:r>
            <w:r>
              <w:rPr>
                <w:b/>
                <w:bCs/>
                <w:color w:val="00B050"/>
                <w:sz w:val="20"/>
                <w:szCs w:val="20"/>
              </w:rPr>
              <w:t xml:space="preserve"> </w:t>
            </w:r>
          </w:p>
        </w:tc>
      </w:tr>
    </w:tbl>
    <w:p w:rsidR="00AF0B75" w:rsidP="00AF0B75" w:rsidRDefault="00AF0B75" w14:paraId="3E6938A1" w14:textId="65AE4031">
      <w:pPr>
        <w:rPr>
          <w:highlight w:val="yellow"/>
        </w:rPr>
      </w:pPr>
    </w:p>
    <w:p w:rsidRPr="00FE192B" w:rsidR="00EB5E96" w:rsidP="000C4293" w:rsidRDefault="00EB5E96" w14:paraId="55CE7A13" w14:textId="77777777">
      <w:pPr>
        <w:shd w:val="pct25" w:color="auto" w:fill="auto"/>
        <w:tabs>
          <w:tab w:val="left" w:pos="-720"/>
        </w:tabs>
        <w:suppressAutoHyphens/>
        <w:jc w:val="both"/>
      </w:pPr>
      <w:r w:rsidRPr="005A1C82">
        <w:rPr>
          <w:highlight w:val="yellow"/>
        </w:rPr>
        <w:fldChar w:fldCharType="begin"/>
      </w:r>
      <w:r w:rsidRPr="005A1C82">
        <w:rPr>
          <w:highlight w:val="yellow"/>
        </w:rPr>
        <w:instrText>ADVANCE \R 0.95</w:instrText>
      </w:r>
      <w:r w:rsidRPr="005A1C82">
        <w:rPr>
          <w:highlight w:val="yellow"/>
        </w:rPr>
        <w:fldChar w:fldCharType="end"/>
      </w:r>
      <w:r w:rsidRPr="00FE192B">
        <w:t>13.   Provide an estimate of the total annual cost burden to respondents or record</w:t>
      </w:r>
      <w:r w:rsidRPr="00FE192B" w:rsidR="00D93841">
        <w:t xml:space="preserve"> </w:t>
      </w:r>
      <w:r w:rsidRPr="00FE192B">
        <w:t>keepers resulting from the collection of information.  (Do not include the cost of any hour burden shown in Items 12 and 14.)</w:t>
      </w:r>
    </w:p>
    <w:p w:rsidRPr="00FE192B" w:rsidR="00EB5E96" w:rsidP="000C4293" w:rsidRDefault="00EB5E96" w14:paraId="6D2E0FFA" w14:textId="77777777">
      <w:pPr>
        <w:shd w:val="pct25" w:color="auto" w:fill="auto"/>
        <w:tabs>
          <w:tab w:val="left" w:pos="-720"/>
        </w:tabs>
        <w:suppressAutoHyphens/>
        <w:jc w:val="both"/>
      </w:pPr>
    </w:p>
    <w:p w:rsidRPr="00FE192B" w:rsidR="00EB5E96" w:rsidP="000C4293" w:rsidRDefault="00EB5E96" w14:paraId="1B27EB4D" w14:textId="45693861">
      <w:pPr>
        <w:pStyle w:val="BodyText3"/>
        <w:tabs>
          <w:tab w:val="clear" w:pos="720"/>
          <w:tab w:val="left" w:pos="810"/>
        </w:tabs>
        <w:jc w:val="both"/>
        <w:rPr>
          <w:sz w:val="24"/>
          <w:szCs w:val="24"/>
        </w:rPr>
      </w:pPr>
      <w:r w:rsidRPr="00FE192B">
        <w:rPr>
          <w:sz w:val="24"/>
          <w:szCs w:val="24"/>
        </w:rPr>
        <w:t>The cost estimate should be split into two components:</w:t>
      </w:r>
      <w:r w:rsidR="00D63356">
        <w:rPr>
          <w:sz w:val="24"/>
          <w:szCs w:val="24"/>
        </w:rPr>
        <w:t xml:space="preserve"> </w:t>
      </w:r>
      <w:r w:rsidRPr="00FE192B">
        <w:rPr>
          <w:sz w:val="24"/>
          <w:szCs w:val="24"/>
        </w:rPr>
        <w:t xml:space="preserve">(1)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w:t>
      </w:r>
      <w:r w:rsidRPr="00FE192B">
        <w:rPr>
          <w:sz w:val="24"/>
          <w:szCs w:val="24"/>
        </w:rPr>
        <w:lastRenderedPageBreak/>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E192B" w:rsidR="00EB5E96" w:rsidP="000C4293" w:rsidRDefault="00EB5E96" w14:paraId="657A97A7" w14:textId="77777777">
      <w:pPr>
        <w:shd w:val="pct25" w:color="auto" w:fill="FFFFFF"/>
        <w:tabs>
          <w:tab w:val="left" w:pos="-720"/>
        </w:tabs>
        <w:suppressAutoHyphens/>
        <w:jc w:val="both"/>
      </w:pPr>
      <w:r w:rsidRPr="00FE192B">
        <w:fldChar w:fldCharType="begin"/>
      </w:r>
      <w:r w:rsidRPr="00FE192B">
        <w:instrText>ADVANCE \R 0.95</w:instrText>
      </w:r>
      <w:r w:rsidRPr="00FE192B">
        <w:fldChar w:fldCharType="end"/>
      </w:r>
    </w:p>
    <w:p w:rsidRPr="00FE192B" w:rsidR="00EB5E96" w:rsidP="000C4293" w:rsidRDefault="00EB5E96" w14:paraId="2B18C1BA" w14:textId="040849A3">
      <w:pPr>
        <w:shd w:val="pct25" w:color="auto" w:fill="FFFFFF"/>
        <w:tabs>
          <w:tab w:val="left" w:pos="-720"/>
        </w:tabs>
        <w:suppressAutoHyphens/>
        <w:jc w:val="both"/>
      </w:pPr>
      <w:r w:rsidRPr="00FE192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E192B" w:rsidR="00EB5E96" w:rsidP="000C4293" w:rsidRDefault="00EB5E96" w14:paraId="6FCCD129" w14:textId="77777777">
      <w:pPr>
        <w:shd w:val="pct25" w:color="auto" w:fill="FFFFFF"/>
        <w:tabs>
          <w:tab w:val="left" w:pos="-720"/>
        </w:tabs>
        <w:suppressAutoHyphens/>
        <w:jc w:val="both"/>
      </w:pPr>
    </w:p>
    <w:p w:rsidRPr="00596A43" w:rsidR="00EB5E96" w:rsidP="000C4293" w:rsidRDefault="00EB5E96" w14:paraId="1F8114DF" w14:textId="4CFDA71D">
      <w:pPr>
        <w:shd w:val="pct25" w:color="auto" w:fill="FFFFFF"/>
        <w:tabs>
          <w:tab w:val="left" w:pos="-720"/>
        </w:tabs>
        <w:suppressAutoHyphens/>
        <w:jc w:val="both"/>
      </w:pPr>
      <w:r w:rsidRPr="00FE192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D73BBC" w:rsidP="00FE7C4C" w:rsidRDefault="00D73BBC" w14:paraId="4A5C8575"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Pr="00C5773A" w:rsidR="00202517" w:rsidP="00C5773A" w:rsidRDefault="001C4E52" w14:paraId="63DB44C2" w14:textId="00BDE290">
      <w:pPr>
        <w:shd w:val="clear" w:color="auto" w:fill="FFFFFF"/>
        <w:tabs>
          <w:tab w:val="left" w:pos="-720"/>
        </w:tabs>
        <w:suppressAutoHyphens/>
        <w:spacing w:after="120"/>
        <w:jc w:val="both"/>
        <w:rPr>
          <w:spacing w:val="-3"/>
        </w:rPr>
      </w:pPr>
      <w:r w:rsidRPr="001C4E52">
        <w:rPr>
          <w:spacing w:val="-3"/>
        </w:rPr>
        <w:t xml:space="preserve">There </w:t>
      </w:r>
      <w:r w:rsidRPr="001C4E52" w:rsidR="00E83193">
        <w:rPr>
          <w:spacing w:val="-3"/>
        </w:rPr>
        <w:t>are</w:t>
      </w:r>
      <w:r w:rsidRPr="001C4E52">
        <w:rPr>
          <w:spacing w:val="-3"/>
        </w:rPr>
        <w:t xml:space="preserve"> no recordkeeping, capital, start-up, or maintenance costs assoc</w:t>
      </w:r>
      <w:r w:rsidR="002E6FB7">
        <w:rPr>
          <w:spacing w:val="-3"/>
        </w:rPr>
        <w:t>iated with this information col</w:t>
      </w:r>
      <w:r w:rsidRPr="001C4E52">
        <w:rPr>
          <w:spacing w:val="-3"/>
        </w:rPr>
        <w:t xml:space="preserve">lection. </w:t>
      </w:r>
    </w:p>
    <w:p w:rsidRPr="00A6683E" w:rsidR="00EB5E96" w:rsidP="000C4293" w:rsidRDefault="00EB5E96" w14:paraId="6DE9BDAF" w14:textId="77777777">
      <w:pPr>
        <w:shd w:val="pct25" w:color="auto" w:fill="auto"/>
        <w:tabs>
          <w:tab w:val="left" w:pos="-720"/>
        </w:tabs>
        <w:suppressAutoHyphens/>
        <w:jc w:val="both"/>
      </w:pPr>
      <w:r w:rsidRPr="00A6683E">
        <w:fldChar w:fldCharType="begin"/>
      </w:r>
      <w:r w:rsidRPr="00A6683E">
        <w:instrText>ADVANCE \R 0.95</w:instrText>
      </w:r>
      <w:r w:rsidRPr="00A6683E">
        <w:fldChar w:fldCharType="end"/>
      </w:r>
      <w:r w:rsidRPr="001453BE">
        <w:t>14</w:t>
      </w:r>
      <w:r w:rsidRPr="00A6683E">
        <w:t xml:space="preserve">.  Provide estimates of annualized cost to the Federal Government.  </w:t>
      </w:r>
      <w:r w:rsidRPr="00A6683E"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A6683E">
        <w:t xml:space="preserve">You may also aggregate cost estimates for Items 12, 13, and 14 in a single table.  </w:t>
      </w:r>
    </w:p>
    <w:p w:rsidRPr="00A6683E" w:rsidR="00D73BBC" w:rsidP="00FE7C4C" w:rsidRDefault="00EB5E96" w14:paraId="2AE05EC3" w14:textId="5AD4C1F9">
      <w:pPr>
        <w:suppressAutoHyphens/>
        <w:spacing w:before="60"/>
        <w:jc w:val="both"/>
        <w:rPr>
          <w:i/>
          <w:spacing w:val="-3"/>
          <w:sz w:val="20"/>
        </w:rPr>
      </w:pPr>
      <w:r w:rsidRPr="00A6683E">
        <w:fldChar w:fldCharType="begin"/>
      </w:r>
      <w:r w:rsidRPr="00A6683E">
        <w:instrText>ADVANCE \R 0.95</w:instrText>
      </w:r>
      <w:r w:rsidRPr="00A6683E">
        <w:fldChar w:fldCharType="end"/>
      </w:r>
      <w:r w:rsidRPr="00A6683E" w:rsidR="00D73BBC">
        <w:rPr>
          <w:i/>
          <w:spacing w:val="-3"/>
          <w:sz w:val="20"/>
        </w:rPr>
        <w:t>Response…</w:t>
      </w:r>
    </w:p>
    <w:p w:rsidRPr="007373BC" w:rsidR="000D439D" w:rsidP="002F7F7E" w:rsidRDefault="001D0E00" w14:paraId="29076442" w14:textId="0919F7FF">
      <w:pPr>
        <w:autoSpaceDE w:val="0"/>
        <w:autoSpaceDN w:val="0"/>
        <w:spacing w:after="120"/>
        <w:rPr>
          <w:color w:val="000000"/>
        </w:rPr>
      </w:pPr>
      <w:r>
        <w:rPr>
          <w:color w:val="000000"/>
        </w:rPr>
        <w:t xml:space="preserve">Based on internal review, </w:t>
      </w:r>
      <w:r w:rsidR="00D63356">
        <w:rPr>
          <w:color w:val="000000"/>
        </w:rPr>
        <w:t xml:space="preserve">ECD </w:t>
      </w:r>
      <w:r>
        <w:rPr>
          <w:color w:val="000000"/>
        </w:rPr>
        <w:t>personnel estimate that one GS-15</w:t>
      </w:r>
      <w:r w:rsidR="00337ED2">
        <w:rPr>
          <w:color w:val="000000"/>
        </w:rPr>
        <w:t>, Step-</w:t>
      </w:r>
      <w:r w:rsidR="00AD0194">
        <w:rPr>
          <w:color w:val="000000"/>
        </w:rPr>
        <w:t>7</w:t>
      </w:r>
      <w:r>
        <w:rPr>
          <w:color w:val="000000"/>
        </w:rPr>
        <w:t xml:space="preserve"> will spend approximately 3 minutes </w:t>
      </w:r>
      <w:r w:rsidR="00DF3D4A">
        <w:rPr>
          <w:color w:val="000000"/>
        </w:rPr>
        <w:t xml:space="preserve">(0.05 hours) </w:t>
      </w:r>
      <w:r>
        <w:rPr>
          <w:color w:val="000000"/>
        </w:rPr>
        <w:t>per survey for design and administration; one GS-14</w:t>
      </w:r>
      <w:r w:rsidR="00B71F1F">
        <w:rPr>
          <w:color w:val="000000"/>
        </w:rPr>
        <w:t>, Step-</w:t>
      </w:r>
      <w:r w:rsidR="00AD0194">
        <w:rPr>
          <w:color w:val="000000"/>
        </w:rPr>
        <w:t>4</w:t>
      </w:r>
      <w:r w:rsidR="00B71F1F">
        <w:rPr>
          <w:color w:val="000000"/>
        </w:rPr>
        <w:t xml:space="preserve"> </w:t>
      </w:r>
      <w:r>
        <w:rPr>
          <w:color w:val="000000"/>
        </w:rPr>
        <w:t xml:space="preserve">will </w:t>
      </w:r>
      <w:r w:rsidRPr="007373BC">
        <w:rPr>
          <w:color w:val="000000"/>
        </w:rPr>
        <w:t>spend approximately 3 minutes per survey for design and administration; and one GS-13</w:t>
      </w:r>
      <w:r w:rsidRPr="007373BC" w:rsidR="00337ED2">
        <w:rPr>
          <w:color w:val="000000"/>
        </w:rPr>
        <w:t>, Step-5</w:t>
      </w:r>
      <w:r w:rsidRPr="007373BC">
        <w:rPr>
          <w:color w:val="000000"/>
        </w:rPr>
        <w:t xml:space="preserve"> will spend approximately </w:t>
      </w:r>
      <w:r w:rsidR="006A128B">
        <w:rPr>
          <w:color w:val="000000"/>
        </w:rPr>
        <w:t>5</w:t>
      </w:r>
      <w:r w:rsidRPr="007373BC">
        <w:rPr>
          <w:color w:val="000000"/>
        </w:rPr>
        <w:t xml:space="preserve"> minutes </w:t>
      </w:r>
      <w:r w:rsidRPr="007373BC" w:rsidR="00DF3D4A">
        <w:rPr>
          <w:color w:val="000000"/>
        </w:rPr>
        <w:t>(0.</w:t>
      </w:r>
      <w:r w:rsidR="006A128B">
        <w:rPr>
          <w:color w:val="000000"/>
        </w:rPr>
        <w:t>08</w:t>
      </w:r>
      <w:r w:rsidRPr="007373BC" w:rsidR="00DF3D4A">
        <w:rPr>
          <w:color w:val="000000"/>
        </w:rPr>
        <w:t xml:space="preserve"> hours) </w:t>
      </w:r>
      <w:r w:rsidRPr="007373BC">
        <w:rPr>
          <w:color w:val="000000"/>
        </w:rPr>
        <w:t>per survey for design and administration.  In addition, one GS-13 will spend approximatel</w:t>
      </w:r>
      <w:r w:rsidRPr="007373BC" w:rsidR="00DF3D4A">
        <w:rPr>
          <w:color w:val="000000"/>
        </w:rPr>
        <w:t xml:space="preserve">y </w:t>
      </w:r>
      <w:r w:rsidR="006A128B">
        <w:rPr>
          <w:color w:val="000000"/>
        </w:rPr>
        <w:t>8</w:t>
      </w:r>
      <w:r w:rsidRPr="007373BC" w:rsidR="00DF3D4A">
        <w:rPr>
          <w:color w:val="000000"/>
        </w:rPr>
        <w:t xml:space="preserve"> minutes (0.</w:t>
      </w:r>
      <w:r w:rsidR="006A128B">
        <w:rPr>
          <w:color w:val="000000"/>
        </w:rPr>
        <w:t>13</w:t>
      </w:r>
      <w:r w:rsidRPr="007373BC" w:rsidR="00DF3D4A">
        <w:rPr>
          <w:color w:val="000000"/>
        </w:rPr>
        <w:t xml:space="preserve"> hours) for survey analysis</w:t>
      </w:r>
      <w:r w:rsidRPr="007373BC">
        <w:rPr>
          <w:color w:val="000000"/>
        </w:rPr>
        <w:t>.</w:t>
      </w:r>
    </w:p>
    <w:p w:rsidRPr="007373BC" w:rsidR="00337ED2" w:rsidP="002F7F7E" w:rsidRDefault="00337ED2" w14:paraId="07270C9D" w14:textId="23529521">
      <w:pPr>
        <w:autoSpaceDE w:val="0"/>
        <w:autoSpaceDN w:val="0"/>
        <w:spacing w:after="120"/>
        <w:rPr>
          <w:color w:val="000000"/>
        </w:rPr>
      </w:pPr>
      <w:r w:rsidRPr="007373BC">
        <w:rPr>
          <w:color w:val="000000"/>
        </w:rPr>
        <w:t xml:space="preserve">The hourly rates for the Washington, DC locality were obtained from the FY </w:t>
      </w:r>
      <w:r w:rsidRPr="007373BC" w:rsidR="003D3097">
        <w:rPr>
          <w:color w:val="000000"/>
        </w:rPr>
        <w:t xml:space="preserve">2020 </w:t>
      </w:r>
      <w:r w:rsidRPr="007373BC">
        <w:rPr>
          <w:color w:val="000000"/>
        </w:rPr>
        <w:t xml:space="preserve">federal General Schedule (GS).  </w:t>
      </w:r>
      <w:r w:rsidRPr="007373BC" w:rsidR="003E2046">
        <w:rPr>
          <w:color w:val="000000"/>
        </w:rPr>
        <w:t xml:space="preserve">GS-13, Step-5 is </w:t>
      </w:r>
      <w:r w:rsidRPr="007373BC" w:rsidR="009F3F9E">
        <w:rPr>
          <w:color w:val="000000"/>
        </w:rPr>
        <w:t>$</w:t>
      </w:r>
      <w:r w:rsidRPr="007373BC" w:rsidR="00B4714F">
        <w:rPr>
          <w:color w:val="000000"/>
        </w:rPr>
        <w:t>116,353</w:t>
      </w:r>
      <w:r w:rsidRPr="007373BC" w:rsidR="005E7B6A">
        <w:rPr>
          <w:color w:val="000000"/>
        </w:rPr>
        <w:t>/2080=</w:t>
      </w:r>
      <w:r w:rsidRPr="007373BC" w:rsidR="00B4714F">
        <w:rPr>
          <w:color w:val="000000"/>
        </w:rPr>
        <w:t>55.94</w:t>
      </w:r>
      <w:r w:rsidRPr="007373BC" w:rsidR="003E2046">
        <w:rPr>
          <w:color w:val="000000"/>
        </w:rPr>
        <w:t xml:space="preserve"> * 1.</w:t>
      </w:r>
      <w:r w:rsidRPr="007373BC" w:rsidR="005E7B6A">
        <w:rPr>
          <w:color w:val="000000"/>
        </w:rPr>
        <w:t xml:space="preserve">425 </w:t>
      </w:r>
      <w:r w:rsidRPr="007373BC" w:rsidR="00064F61">
        <w:rPr>
          <w:color w:val="000000"/>
        </w:rPr>
        <w:t>= = $</w:t>
      </w:r>
      <w:r w:rsidRPr="007373BC" w:rsidR="00B4714F">
        <w:rPr>
          <w:color w:val="000000"/>
        </w:rPr>
        <w:t>79.73</w:t>
      </w:r>
      <w:r w:rsidRPr="007373BC" w:rsidR="003E2046">
        <w:rPr>
          <w:color w:val="000000"/>
        </w:rPr>
        <w:t xml:space="preserve"> </w:t>
      </w:r>
      <w:r w:rsidRPr="007373BC" w:rsidR="00AB2E3D">
        <w:rPr>
          <w:color w:val="000000"/>
        </w:rPr>
        <w:t>fully loaded</w:t>
      </w:r>
      <w:r w:rsidRPr="007373BC" w:rsidR="003E2046">
        <w:rPr>
          <w:color w:val="000000"/>
        </w:rPr>
        <w:t xml:space="preserve"> wage rate.  GS-14, Step-5 is $</w:t>
      </w:r>
      <w:r w:rsidRPr="007373BC" w:rsidR="005E7B6A">
        <w:rPr>
          <w:color w:val="000000"/>
        </w:rPr>
        <w:t>137,491/2080=66.10</w:t>
      </w:r>
      <w:r w:rsidRPr="007373BC" w:rsidR="003E2046">
        <w:rPr>
          <w:color w:val="000000"/>
        </w:rPr>
        <w:t xml:space="preserve">* </w:t>
      </w:r>
      <w:r w:rsidRPr="007373BC" w:rsidR="00064F61">
        <w:rPr>
          <w:color w:val="000000"/>
        </w:rPr>
        <w:t>1.4</w:t>
      </w:r>
      <w:r w:rsidRPr="007373BC" w:rsidR="005E7B6A">
        <w:rPr>
          <w:color w:val="000000"/>
        </w:rPr>
        <w:t>25</w:t>
      </w:r>
      <w:r w:rsidRPr="007373BC" w:rsidR="003E2046">
        <w:rPr>
          <w:color w:val="000000"/>
        </w:rPr>
        <w:t xml:space="preserve"> = $</w:t>
      </w:r>
      <w:r w:rsidRPr="007373BC" w:rsidR="005E7B6A">
        <w:rPr>
          <w:color w:val="000000"/>
        </w:rPr>
        <w:t>94.21</w:t>
      </w:r>
      <w:r w:rsidRPr="007373BC" w:rsidR="003E2046">
        <w:rPr>
          <w:color w:val="000000"/>
        </w:rPr>
        <w:t xml:space="preserve"> </w:t>
      </w:r>
      <w:r w:rsidRPr="007373BC" w:rsidR="00AB2E3D">
        <w:rPr>
          <w:color w:val="000000"/>
        </w:rPr>
        <w:t>fully loaded</w:t>
      </w:r>
      <w:r w:rsidRPr="007373BC" w:rsidR="003E2046">
        <w:rPr>
          <w:color w:val="000000"/>
        </w:rPr>
        <w:t xml:space="preserve"> wage rate. GS-15, Step-5 is $</w:t>
      </w:r>
      <w:r w:rsidRPr="007373BC" w:rsidR="00B4714F">
        <w:rPr>
          <w:color w:val="000000"/>
        </w:rPr>
        <w:t>161,730/2080=77.75</w:t>
      </w:r>
      <w:r w:rsidRPr="007373BC" w:rsidR="003E2046">
        <w:rPr>
          <w:color w:val="000000"/>
        </w:rPr>
        <w:t xml:space="preserve"> * </w:t>
      </w:r>
      <w:r w:rsidRPr="007373BC" w:rsidR="00064F61">
        <w:rPr>
          <w:color w:val="000000"/>
        </w:rPr>
        <w:t>1.42</w:t>
      </w:r>
      <w:r w:rsidRPr="007373BC" w:rsidR="00B4714F">
        <w:rPr>
          <w:color w:val="000000"/>
        </w:rPr>
        <w:t>5</w:t>
      </w:r>
      <w:r w:rsidRPr="007373BC" w:rsidR="003E2046">
        <w:rPr>
          <w:color w:val="000000"/>
        </w:rPr>
        <w:t xml:space="preserve"> = $</w:t>
      </w:r>
      <w:r w:rsidRPr="007373BC" w:rsidR="00B4714F">
        <w:rPr>
          <w:color w:val="000000"/>
        </w:rPr>
        <w:t>110.82</w:t>
      </w:r>
      <w:r w:rsidRPr="007373BC" w:rsidR="003E2046">
        <w:rPr>
          <w:color w:val="000000"/>
        </w:rPr>
        <w:t xml:space="preserve"> </w:t>
      </w:r>
      <w:r w:rsidRPr="007373BC" w:rsidR="00AB2E3D">
        <w:rPr>
          <w:color w:val="000000"/>
        </w:rPr>
        <w:t>fully loaded</w:t>
      </w:r>
      <w:r w:rsidRPr="007373BC" w:rsidR="003E2046">
        <w:rPr>
          <w:color w:val="000000"/>
        </w:rPr>
        <w:t xml:space="preserve"> wage rate.</w:t>
      </w:r>
      <w:r w:rsidRPr="007373BC" w:rsidR="007E1535">
        <w:rPr>
          <w:rStyle w:val="FootnoteReference"/>
          <w:color w:val="000000"/>
        </w:rPr>
        <w:footnoteReference w:id="12"/>
      </w:r>
    </w:p>
    <w:p w:rsidRPr="002F7F7E" w:rsidR="00350E84" w:rsidP="002F7F7E" w:rsidRDefault="002E6FB7" w14:paraId="3EEDFFCE" w14:textId="0BF96E2C">
      <w:pPr>
        <w:autoSpaceDE w:val="0"/>
        <w:autoSpaceDN w:val="0"/>
        <w:spacing w:after="120"/>
        <w:rPr>
          <w:b/>
          <w:color w:val="000000"/>
          <w:sz w:val="20"/>
        </w:rPr>
      </w:pPr>
      <w:r w:rsidRPr="007373BC">
        <w:rPr>
          <w:color w:val="000000"/>
        </w:rPr>
        <w:t>T</w:t>
      </w:r>
      <w:r w:rsidRPr="007373BC" w:rsidR="00A6683E">
        <w:rPr>
          <w:color w:val="000000"/>
        </w:rPr>
        <w:t xml:space="preserve">he cost for Survey Monkey </w:t>
      </w:r>
      <w:r w:rsidRPr="007373BC">
        <w:rPr>
          <w:color w:val="000000"/>
        </w:rPr>
        <w:t xml:space="preserve">is </w:t>
      </w:r>
      <w:r w:rsidRPr="007373BC" w:rsidR="00A6683E">
        <w:rPr>
          <w:color w:val="000000"/>
        </w:rPr>
        <w:t>$</w:t>
      </w:r>
      <w:r w:rsidRPr="007373BC" w:rsidR="0006135E">
        <w:rPr>
          <w:color w:val="000000"/>
        </w:rPr>
        <w:t>1,</w:t>
      </w:r>
      <w:r w:rsidRPr="007373BC" w:rsidR="003D3097">
        <w:rPr>
          <w:color w:val="000000"/>
        </w:rPr>
        <w:t xml:space="preserve">020 </w:t>
      </w:r>
      <w:r w:rsidRPr="007373BC">
        <w:rPr>
          <w:color w:val="000000"/>
        </w:rPr>
        <w:t>for the duration of testing, administering, and analyzing the survey.</w:t>
      </w:r>
    </w:p>
    <w:p w:rsidR="00C5773A" w:rsidP="00FE7C4C" w:rsidRDefault="00CD2EB8" w14:paraId="46DDA019" w14:textId="7D4AE909">
      <w:pPr>
        <w:autoSpaceDE w:val="0"/>
        <w:autoSpaceDN w:val="0"/>
        <w:spacing w:after="120"/>
        <w:rPr>
          <w:bCs/>
        </w:rPr>
      </w:pPr>
      <w:r w:rsidRPr="007373BC">
        <w:rPr>
          <w:bCs/>
          <w:color w:val="000000"/>
        </w:rPr>
        <w:t xml:space="preserve">Total </w:t>
      </w:r>
      <w:r w:rsidRPr="007373BC" w:rsidR="00350E84">
        <w:rPr>
          <w:bCs/>
          <w:color w:val="000000"/>
        </w:rPr>
        <w:t xml:space="preserve">Estimated </w:t>
      </w:r>
      <w:r w:rsidRPr="007373BC" w:rsidR="009850BA">
        <w:rPr>
          <w:bCs/>
          <w:color w:val="000000"/>
        </w:rPr>
        <w:t xml:space="preserve">Annual </w:t>
      </w:r>
      <w:r w:rsidRPr="007373BC">
        <w:rPr>
          <w:bCs/>
          <w:color w:val="000000"/>
        </w:rPr>
        <w:t xml:space="preserve">Cost to the Government </w:t>
      </w:r>
      <w:r w:rsidRPr="007373BC">
        <w:rPr>
          <w:color w:val="000000"/>
        </w:rPr>
        <w:t xml:space="preserve">= </w:t>
      </w:r>
      <w:r w:rsidRPr="007373BC" w:rsidR="00064F61">
        <w:rPr>
          <w:color w:val="000000"/>
        </w:rPr>
        <w:t>$</w:t>
      </w:r>
      <w:r w:rsidR="0059670D">
        <w:rPr>
          <w:b/>
          <w:color w:val="00B050"/>
        </w:rPr>
        <w:t>235,863</w:t>
      </w:r>
      <w:r w:rsidRPr="007373BC" w:rsidR="001F2FEE">
        <w:rPr>
          <w:bCs/>
        </w:rPr>
        <w:t xml:space="preserve">. This process is illustrated in    </w:t>
      </w:r>
      <w:hyperlink w:history="1" w:anchor="_Table_A.14:_Annual">
        <w:r w:rsidRPr="007373BC" w:rsidR="001F2FEE">
          <w:rPr>
            <w:rStyle w:val="Hyperlink"/>
            <w:bCs/>
          </w:rPr>
          <w:t>Table A.14</w:t>
        </w:r>
      </w:hyperlink>
      <w:r w:rsidRPr="007373BC" w:rsidR="001F2FEE">
        <w:rPr>
          <w:bCs/>
        </w:rPr>
        <w:t>.</w:t>
      </w:r>
    </w:p>
    <w:p w:rsidR="00C5773A" w:rsidRDefault="00C5773A" w14:paraId="40A8CAAD" w14:textId="3330E112">
      <w:pPr>
        <w:rPr>
          <w:bCs/>
        </w:rPr>
      </w:pPr>
      <w:r>
        <w:rPr>
          <w:bCs/>
        </w:rPr>
        <w:br w:type="page"/>
      </w:r>
    </w:p>
    <w:p w:rsidRPr="007373BC" w:rsidR="000B3FBB" w:rsidP="001F2FEE" w:rsidRDefault="001F2FEE" w14:paraId="2B425EA2" w14:textId="77777777">
      <w:pPr>
        <w:pStyle w:val="Heading1"/>
        <w:jc w:val="center"/>
      </w:pPr>
      <w:bookmarkStart w:name="_Table_A.14:_Annual" w:id="5"/>
      <w:bookmarkEnd w:id="5"/>
      <w:r w:rsidRPr="007373BC">
        <w:lastRenderedPageBreak/>
        <w:t>Table A.14: Annual Cost to the Government</w:t>
      </w:r>
    </w:p>
    <w:tbl>
      <w:tblPr>
        <w:tblW w:w="10740" w:type="dxa"/>
        <w:tblLook w:val="04A0" w:firstRow="1" w:lastRow="0" w:firstColumn="1" w:lastColumn="0" w:noHBand="0" w:noVBand="1"/>
      </w:tblPr>
      <w:tblGrid>
        <w:gridCol w:w="1525"/>
        <w:gridCol w:w="2520"/>
        <w:gridCol w:w="1440"/>
        <w:gridCol w:w="1335"/>
        <w:gridCol w:w="1455"/>
        <w:gridCol w:w="1440"/>
        <w:gridCol w:w="1025"/>
      </w:tblGrid>
      <w:tr w:rsidR="0059670D" w:rsidTr="0059670D" w14:paraId="436AEAE3" w14:textId="77777777">
        <w:trPr>
          <w:trHeight w:val="765"/>
        </w:trPr>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59670D" w:rsidRDefault="0059670D" w14:paraId="5DEC5CF1" w14:textId="77777777">
            <w:pPr>
              <w:jc w:val="center"/>
              <w:rPr>
                <w:b/>
                <w:bCs/>
                <w:color w:val="000000"/>
                <w:sz w:val="20"/>
                <w:szCs w:val="20"/>
              </w:rPr>
            </w:pPr>
            <w:r>
              <w:rPr>
                <w:b/>
                <w:bCs/>
                <w:color w:val="000000"/>
                <w:sz w:val="20"/>
                <w:szCs w:val="20"/>
              </w:rPr>
              <w:t>Cost Category</w:t>
            </w:r>
          </w:p>
        </w:tc>
        <w:tc>
          <w:tcPr>
            <w:tcW w:w="2520" w:type="dxa"/>
            <w:tcBorders>
              <w:top w:val="single" w:color="auto" w:sz="4" w:space="0"/>
              <w:left w:val="nil"/>
              <w:bottom w:val="single" w:color="auto" w:sz="4" w:space="0"/>
              <w:right w:val="single" w:color="auto" w:sz="4" w:space="0"/>
            </w:tcBorders>
            <w:shd w:val="clear" w:color="auto" w:fill="auto"/>
            <w:vAlign w:val="center"/>
            <w:hideMark/>
          </w:tcPr>
          <w:p w:rsidR="0059670D" w:rsidRDefault="0059670D" w14:paraId="564F1169" w14:textId="77777777">
            <w:pPr>
              <w:jc w:val="center"/>
              <w:rPr>
                <w:b/>
                <w:bCs/>
                <w:color w:val="000000"/>
                <w:sz w:val="20"/>
                <w:szCs w:val="20"/>
              </w:rPr>
            </w:pPr>
            <w:r>
              <w:rPr>
                <w:b/>
                <w:bCs/>
                <w:color w:val="000000"/>
                <w:sz w:val="20"/>
                <w:szCs w:val="20"/>
              </w:rPr>
              <w:t>Hours for Design/</w:t>
            </w:r>
          </w:p>
          <w:p w:rsidR="0059670D" w:rsidRDefault="0059670D" w14:paraId="4FB679A5" w14:textId="27F7539A">
            <w:pPr>
              <w:jc w:val="center"/>
              <w:rPr>
                <w:b/>
                <w:bCs/>
                <w:color w:val="000000"/>
                <w:sz w:val="20"/>
                <w:szCs w:val="20"/>
              </w:rPr>
            </w:pPr>
            <w:r>
              <w:rPr>
                <w:b/>
                <w:bCs/>
                <w:color w:val="000000"/>
                <w:sz w:val="20"/>
                <w:szCs w:val="20"/>
              </w:rPr>
              <w:t>Administration per Survey</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0059670D" w:rsidRDefault="0059670D" w14:paraId="26657E98" w14:textId="77777777">
            <w:pPr>
              <w:jc w:val="center"/>
              <w:rPr>
                <w:b/>
                <w:bCs/>
                <w:color w:val="000000"/>
                <w:sz w:val="20"/>
                <w:szCs w:val="20"/>
              </w:rPr>
            </w:pPr>
            <w:r>
              <w:rPr>
                <w:b/>
                <w:bCs/>
                <w:color w:val="000000"/>
                <w:sz w:val="20"/>
                <w:szCs w:val="20"/>
              </w:rPr>
              <w:t>Hours per Survey Analysis</w:t>
            </w:r>
          </w:p>
        </w:tc>
        <w:tc>
          <w:tcPr>
            <w:tcW w:w="1335" w:type="dxa"/>
            <w:tcBorders>
              <w:top w:val="single" w:color="auto" w:sz="4" w:space="0"/>
              <w:left w:val="nil"/>
              <w:bottom w:val="single" w:color="auto" w:sz="4" w:space="0"/>
              <w:right w:val="single" w:color="auto" w:sz="4" w:space="0"/>
            </w:tcBorders>
            <w:shd w:val="clear" w:color="auto" w:fill="auto"/>
            <w:vAlign w:val="center"/>
            <w:hideMark/>
          </w:tcPr>
          <w:p w:rsidR="0059670D" w:rsidRDefault="0059670D" w14:paraId="1EB643EB" w14:textId="77777777">
            <w:pPr>
              <w:jc w:val="center"/>
              <w:rPr>
                <w:b/>
                <w:bCs/>
                <w:color w:val="000000"/>
                <w:sz w:val="20"/>
                <w:szCs w:val="20"/>
              </w:rPr>
            </w:pPr>
            <w:r>
              <w:rPr>
                <w:b/>
                <w:bCs/>
                <w:color w:val="000000"/>
                <w:sz w:val="20"/>
                <w:szCs w:val="20"/>
              </w:rPr>
              <w:t>Annual Number of Surveys</w:t>
            </w:r>
          </w:p>
        </w:tc>
        <w:tc>
          <w:tcPr>
            <w:tcW w:w="1455" w:type="dxa"/>
            <w:tcBorders>
              <w:top w:val="single" w:color="auto" w:sz="4" w:space="0"/>
              <w:left w:val="nil"/>
              <w:bottom w:val="single" w:color="auto" w:sz="4" w:space="0"/>
              <w:right w:val="single" w:color="auto" w:sz="4" w:space="0"/>
            </w:tcBorders>
            <w:shd w:val="clear" w:color="auto" w:fill="auto"/>
            <w:vAlign w:val="center"/>
            <w:hideMark/>
          </w:tcPr>
          <w:p w:rsidR="0059670D" w:rsidRDefault="0059670D" w14:paraId="515858C6" w14:textId="77777777">
            <w:pPr>
              <w:jc w:val="center"/>
              <w:rPr>
                <w:b/>
                <w:bCs/>
                <w:color w:val="000000"/>
                <w:sz w:val="20"/>
                <w:szCs w:val="20"/>
              </w:rPr>
            </w:pPr>
            <w:r>
              <w:rPr>
                <w:b/>
                <w:bCs/>
                <w:color w:val="000000"/>
                <w:sz w:val="20"/>
                <w:szCs w:val="20"/>
              </w:rPr>
              <w:t>Total Annual Burden (hours)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0059670D" w:rsidRDefault="0059670D" w14:paraId="45528BEE" w14:textId="77777777">
            <w:pPr>
              <w:rPr>
                <w:b/>
                <w:bCs/>
                <w:color w:val="000000"/>
                <w:sz w:val="20"/>
                <w:szCs w:val="20"/>
              </w:rPr>
            </w:pPr>
            <w:r>
              <w:rPr>
                <w:b/>
                <w:bCs/>
                <w:color w:val="000000"/>
                <w:sz w:val="20"/>
                <w:szCs w:val="20"/>
              </w:rPr>
              <w:t>Average Hourly Wage Rate</w:t>
            </w:r>
          </w:p>
        </w:tc>
        <w:tc>
          <w:tcPr>
            <w:tcW w:w="1025" w:type="dxa"/>
            <w:tcBorders>
              <w:top w:val="single" w:color="auto" w:sz="4" w:space="0"/>
              <w:left w:val="nil"/>
              <w:bottom w:val="single" w:color="auto" w:sz="4" w:space="0"/>
              <w:right w:val="single" w:color="auto" w:sz="4" w:space="0"/>
            </w:tcBorders>
            <w:shd w:val="clear" w:color="auto" w:fill="auto"/>
            <w:vAlign w:val="center"/>
            <w:hideMark/>
          </w:tcPr>
          <w:p w:rsidR="0059670D" w:rsidRDefault="0059670D" w14:paraId="0ACF07CD" w14:textId="77777777">
            <w:pPr>
              <w:jc w:val="center"/>
              <w:rPr>
                <w:b/>
                <w:bCs/>
                <w:color w:val="000000"/>
                <w:sz w:val="20"/>
                <w:szCs w:val="20"/>
              </w:rPr>
            </w:pPr>
            <w:r>
              <w:rPr>
                <w:b/>
                <w:bCs/>
                <w:color w:val="000000"/>
                <w:sz w:val="20"/>
                <w:szCs w:val="20"/>
              </w:rPr>
              <w:t>Total Annual Cost</w:t>
            </w:r>
          </w:p>
        </w:tc>
      </w:tr>
      <w:tr w:rsidR="0059670D" w:rsidTr="0059670D" w14:paraId="09BB95CD" w14:textId="77777777">
        <w:trPr>
          <w:trHeight w:val="300"/>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77C1CEC4" w14:textId="77777777">
            <w:pPr>
              <w:jc w:val="center"/>
              <w:rPr>
                <w:color w:val="000000"/>
                <w:sz w:val="20"/>
                <w:szCs w:val="20"/>
              </w:rPr>
            </w:pPr>
            <w:r>
              <w:rPr>
                <w:color w:val="000000"/>
                <w:sz w:val="20"/>
                <w:szCs w:val="20"/>
              </w:rPr>
              <w:t>GS-15</w:t>
            </w:r>
          </w:p>
        </w:tc>
        <w:tc>
          <w:tcPr>
            <w:tcW w:w="2520" w:type="dxa"/>
            <w:tcBorders>
              <w:top w:val="nil"/>
              <w:left w:val="nil"/>
              <w:bottom w:val="single" w:color="auto" w:sz="4" w:space="0"/>
              <w:right w:val="single" w:color="auto" w:sz="4" w:space="0"/>
            </w:tcBorders>
            <w:shd w:val="clear" w:color="auto" w:fill="auto"/>
            <w:noWrap/>
            <w:vAlign w:val="center"/>
            <w:hideMark/>
          </w:tcPr>
          <w:p w:rsidR="0059670D" w:rsidRDefault="0059670D" w14:paraId="61264045" w14:textId="77777777">
            <w:pPr>
              <w:jc w:val="center"/>
              <w:rPr>
                <w:color w:val="000000"/>
                <w:sz w:val="20"/>
                <w:szCs w:val="20"/>
              </w:rPr>
            </w:pPr>
            <w:r>
              <w:rPr>
                <w:color w:val="000000"/>
                <w:sz w:val="20"/>
                <w:szCs w:val="20"/>
              </w:rPr>
              <w:t>0.05</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137C75B4" w14:textId="77777777">
            <w:pPr>
              <w:jc w:val="center"/>
              <w:rPr>
                <w:color w:val="000000"/>
                <w:sz w:val="20"/>
                <w:szCs w:val="20"/>
              </w:rPr>
            </w:pPr>
            <w:r>
              <w:rPr>
                <w:color w:val="000000"/>
                <w:sz w:val="20"/>
                <w:szCs w:val="20"/>
              </w:rPr>
              <w:t>0</w:t>
            </w:r>
          </w:p>
        </w:tc>
        <w:tc>
          <w:tcPr>
            <w:tcW w:w="1335" w:type="dxa"/>
            <w:tcBorders>
              <w:top w:val="nil"/>
              <w:left w:val="nil"/>
              <w:bottom w:val="single" w:color="auto" w:sz="4" w:space="0"/>
              <w:right w:val="single" w:color="auto" w:sz="4" w:space="0"/>
            </w:tcBorders>
            <w:shd w:val="clear" w:color="auto" w:fill="auto"/>
            <w:noWrap/>
            <w:vAlign w:val="center"/>
            <w:hideMark/>
          </w:tcPr>
          <w:p w:rsidR="0059670D" w:rsidRDefault="0059670D" w14:paraId="28BC3DAE" w14:textId="77777777">
            <w:pPr>
              <w:jc w:val="center"/>
              <w:rPr>
                <w:color w:val="000000"/>
                <w:sz w:val="20"/>
                <w:szCs w:val="20"/>
              </w:rPr>
            </w:pPr>
            <w:r>
              <w:rPr>
                <w:color w:val="000000"/>
                <w:sz w:val="20"/>
                <w:szCs w:val="20"/>
              </w:rPr>
              <w:t>8398</w:t>
            </w:r>
          </w:p>
        </w:tc>
        <w:tc>
          <w:tcPr>
            <w:tcW w:w="1455" w:type="dxa"/>
            <w:tcBorders>
              <w:top w:val="nil"/>
              <w:left w:val="nil"/>
              <w:bottom w:val="single" w:color="auto" w:sz="4" w:space="0"/>
              <w:right w:val="single" w:color="auto" w:sz="4" w:space="0"/>
            </w:tcBorders>
            <w:shd w:val="clear" w:color="auto" w:fill="auto"/>
            <w:vAlign w:val="center"/>
            <w:hideMark/>
          </w:tcPr>
          <w:p w:rsidR="0059670D" w:rsidRDefault="0059670D" w14:paraId="5896F408" w14:textId="77777777">
            <w:pPr>
              <w:jc w:val="center"/>
              <w:rPr>
                <w:color w:val="000000"/>
                <w:sz w:val="20"/>
                <w:szCs w:val="20"/>
              </w:rPr>
            </w:pPr>
            <w:r>
              <w:rPr>
                <w:color w:val="000000"/>
                <w:sz w:val="20"/>
                <w:szCs w:val="20"/>
              </w:rPr>
              <w:t>420</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321CBD1C" w14:textId="77777777">
            <w:pPr>
              <w:jc w:val="center"/>
              <w:rPr>
                <w:color w:val="000000"/>
                <w:sz w:val="20"/>
                <w:szCs w:val="20"/>
              </w:rPr>
            </w:pPr>
            <w:r>
              <w:rPr>
                <w:color w:val="000000"/>
                <w:sz w:val="20"/>
                <w:szCs w:val="20"/>
              </w:rPr>
              <w:t xml:space="preserve">$110.82 </w:t>
            </w:r>
          </w:p>
        </w:tc>
        <w:tc>
          <w:tcPr>
            <w:tcW w:w="1025" w:type="dxa"/>
            <w:tcBorders>
              <w:top w:val="nil"/>
              <w:left w:val="nil"/>
              <w:bottom w:val="single" w:color="auto" w:sz="4" w:space="0"/>
              <w:right w:val="single" w:color="auto" w:sz="4" w:space="0"/>
            </w:tcBorders>
            <w:shd w:val="clear" w:color="auto" w:fill="auto"/>
            <w:noWrap/>
            <w:vAlign w:val="center"/>
            <w:hideMark/>
          </w:tcPr>
          <w:p w:rsidR="0059670D" w:rsidRDefault="0059670D" w14:paraId="138FABB9" w14:textId="77777777">
            <w:pPr>
              <w:jc w:val="center"/>
              <w:rPr>
                <w:color w:val="000000"/>
                <w:sz w:val="20"/>
                <w:szCs w:val="20"/>
              </w:rPr>
            </w:pPr>
            <w:r>
              <w:rPr>
                <w:color w:val="000000"/>
                <w:sz w:val="20"/>
                <w:szCs w:val="20"/>
              </w:rPr>
              <w:t>$46,535</w:t>
            </w:r>
          </w:p>
        </w:tc>
      </w:tr>
      <w:tr w:rsidR="0059670D" w:rsidTr="0059670D" w14:paraId="64AD7443" w14:textId="77777777">
        <w:trPr>
          <w:trHeight w:val="300"/>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7C6E98C9" w14:textId="77777777">
            <w:pPr>
              <w:jc w:val="center"/>
              <w:rPr>
                <w:color w:val="000000"/>
                <w:sz w:val="20"/>
                <w:szCs w:val="20"/>
              </w:rPr>
            </w:pPr>
            <w:r>
              <w:rPr>
                <w:color w:val="000000"/>
                <w:sz w:val="20"/>
                <w:szCs w:val="20"/>
              </w:rPr>
              <w:t>GS-14</w:t>
            </w:r>
          </w:p>
        </w:tc>
        <w:tc>
          <w:tcPr>
            <w:tcW w:w="2520" w:type="dxa"/>
            <w:tcBorders>
              <w:top w:val="nil"/>
              <w:left w:val="nil"/>
              <w:bottom w:val="single" w:color="auto" w:sz="4" w:space="0"/>
              <w:right w:val="single" w:color="auto" w:sz="4" w:space="0"/>
            </w:tcBorders>
            <w:shd w:val="clear" w:color="auto" w:fill="auto"/>
            <w:noWrap/>
            <w:vAlign w:val="center"/>
            <w:hideMark/>
          </w:tcPr>
          <w:p w:rsidR="0059670D" w:rsidRDefault="0059670D" w14:paraId="39E84384" w14:textId="77777777">
            <w:pPr>
              <w:jc w:val="center"/>
              <w:rPr>
                <w:color w:val="000000"/>
                <w:sz w:val="20"/>
                <w:szCs w:val="20"/>
              </w:rPr>
            </w:pPr>
            <w:r>
              <w:rPr>
                <w:color w:val="000000"/>
                <w:sz w:val="20"/>
                <w:szCs w:val="20"/>
              </w:rPr>
              <w:t>0.05</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1E72F965" w14:textId="77777777">
            <w:pPr>
              <w:jc w:val="center"/>
              <w:rPr>
                <w:color w:val="000000"/>
                <w:sz w:val="20"/>
                <w:szCs w:val="20"/>
              </w:rPr>
            </w:pPr>
            <w:r>
              <w:rPr>
                <w:color w:val="000000"/>
                <w:sz w:val="20"/>
                <w:szCs w:val="20"/>
              </w:rPr>
              <w:t>0</w:t>
            </w:r>
          </w:p>
        </w:tc>
        <w:tc>
          <w:tcPr>
            <w:tcW w:w="1335" w:type="dxa"/>
            <w:tcBorders>
              <w:top w:val="nil"/>
              <w:left w:val="nil"/>
              <w:bottom w:val="single" w:color="auto" w:sz="4" w:space="0"/>
              <w:right w:val="single" w:color="auto" w:sz="4" w:space="0"/>
            </w:tcBorders>
            <w:shd w:val="clear" w:color="auto" w:fill="auto"/>
            <w:noWrap/>
            <w:vAlign w:val="center"/>
            <w:hideMark/>
          </w:tcPr>
          <w:p w:rsidR="0059670D" w:rsidRDefault="0059670D" w14:paraId="3BD65462" w14:textId="77777777">
            <w:pPr>
              <w:jc w:val="center"/>
              <w:rPr>
                <w:color w:val="000000"/>
                <w:sz w:val="20"/>
                <w:szCs w:val="20"/>
              </w:rPr>
            </w:pPr>
            <w:r>
              <w:rPr>
                <w:color w:val="000000"/>
                <w:sz w:val="20"/>
                <w:szCs w:val="20"/>
              </w:rPr>
              <w:t>8398</w:t>
            </w:r>
          </w:p>
        </w:tc>
        <w:tc>
          <w:tcPr>
            <w:tcW w:w="1455" w:type="dxa"/>
            <w:tcBorders>
              <w:top w:val="nil"/>
              <w:left w:val="nil"/>
              <w:bottom w:val="single" w:color="auto" w:sz="4" w:space="0"/>
              <w:right w:val="single" w:color="auto" w:sz="4" w:space="0"/>
            </w:tcBorders>
            <w:shd w:val="clear" w:color="auto" w:fill="auto"/>
            <w:vAlign w:val="center"/>
            <w:hideMark/>
          </w:tcPr>
          <w:p w:rsidR="0059670D" w:rsidRDefault="0059670D" w14:paraId="28701263" w14:textId="77777777">
            <w:pPr>
              <w:jc w:val="center"/>
              <w:rPr>
                <w:color w:val="000000"/>
                <w:sz w:val="20"/>
                <w:szCs w:val="20"/>
              </w:rPr>
            </w:pPr>
            <w:r>
              <w:rPr>
                <w:color w:val="000000"/>
                <w:sz w:val="20"/>
                <w:szCs w:val="20"/>
              </w:rPr>
              <w:t>420</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6E7E312F" w14:textId="77777777">
            <w:pPr>
              <w:jc w:val="center"/>
              <w:rPr>
                <w:color w:val="000000"/>
                <w:sz w:val="20"/>
                <w:szCs w:val="20"/>
              </w:rPr>
            </w:pPr>
            <w:r>
              <w:rPr>
                <w:color w:val="000000"/>
                <w:sz w:val="20"/>
                <w:szCs w:val="20"/>
              </w:rPr>
              <w:t xml:space="preserve">$94.21 </w:t>
            </w:r>
          </w:p>
        </w:tc>
        <w:tc>
          <w:tcPr>
            <w:tcW w:w="1025" w:type="dxa"/>
            <w:tcBorders>
              <w:top w:val="nil"/>
              <w:left w:val="nil"/>
              <w:bottom w:val="single" w:color="auto" w:sz="4" w:space="0"/>
              <w:right w:val="single" w:color="auto" w:sz="4" w:space="0"/>
            </w:tcBorders>
            <w:shd w:val="clear" w:color="auto" w:fill="auto"/>
            <w:noWrap/>
            <w:vAlign w:val="center"/>
            <w:hideMark/>
          </w:tcPr>
          <w:p w:rsidR="0059670D" w:rsidRDefault="0059670D" w14:paraId="7A31D461" w14:textId="77777777">
            <w:pPr>
              <w:jc w:val="center"/>
              <w:rPr>
                <w:color w:val="000000"/>
                <w:sz w:val="20"/>
                <w:szCs w:val="20"/>
              </w:rPr>
            </w:pPr>
            <w:r>
              <w:rPr>
                <w:color w:val="000000"/>
                <w:sz w:val="20"/>
                <w:szCs w:val="20"/>
              </w:rPr>
              <w:t>$39,560</w:t>
            </w:r>
          </w:p>
        </w:tc>
      </w:tr>
      <w:tr w:rsidR="0059670D" w:rsidTr="0059670D" w14:paraId="5A06110C" w14:textId="77777777">
        <w:trPr>
          <w:trHeight w:val="300"/>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6D522540" w14:textId="77777777">
            <w:pPr>
              <w:jc w:val="center"/>
              <w:rPr>
                <w:color w:val="000000"/>
                <w:sz w:val="20"/>
                <w:szCs w:val="20"/>
              </w:rPr>
            </w:pPr>
            <w:r>
              <w:rPr>
                <w:color w:val="000000"/>
                <w:sz w:val="20"/>
                <w:szCs w:val="20"/>
              </w:rPr>
              <w:t>GS-13</w:t>
            </w:r>
          </w:p>
        </w:tc>
        <w:tc>
          <w:tcPr>
            <w:tcW w:w="2520" w:type="dxa"/>
            <w:tcBorders>
              <w:top w:val="nil"/>
              <w:left w:val="nil"/>
              <w:bottom w:val="single" w:color="auto" w:sz="4" w:space="0"/>
              <w:right w:val="single" w:color="auto" w:sz="4" w:space="0"/>
            </w:tcBorders>
            <w:shd w:val="clear" w:color="auto" w:fill="auto"/>
            <w:noWrap/>
            <w:vAlign w:val="center"/>
            <w:hideMark/>
          </w:tcPr>
          <w:p w:rsidR="0059670D" w:rsidRDefault="0059670D" w14:paraId="036BEC35" w14:textId="77777777">
            <w:pPr>
              <w:jc w:val="center"/>
              <w:rPr>
                <w:color w:val="000000"/>
                <w:sz w:val="20"/>
                <w:szCs w:val="20"/>
              </w:rPr>
            </w:pPr>
            <w:r>
              <w:rPr>
                <w:color w:val="000000"/>
                <w:sz w:val="20"/>
                <w:szCs w:val="20"/>
              </w:rPr>
              <w:t>0.08</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5E516CB7" w14:textId="77777777">
            <w:pPr>
              <w:jc w:val="center"/>
              <w:rPr>
                <w:color w:val="000000"/>
                <w:sz w:val="20"/>
                <w:szCs w:val="20"/>
              </w:rPr>
            </w:pPr>
            <w:r>
              <w:rPr>
                <w:color w:val="000000"/>
                <w:sz w:val="20"/>
                <w:szCs w:val="20"/>
              </w:rPr>
              <w:t>0.13</w:t>
            </w:r>
          </w:p>
        </w:tc>
        <w:tc>
          <w:tcPr>
            <w:tcW w:w="1335" w:type="dxa"/>
            <w:tcBorders>
              <w:top w:val="nil"/>
              <w:left w:val="nil"/>
              <w:bottom w:val="single" w:color="auto" w:sz="4" w:space="0"/>
              <w:right w:val="single" w:color="auto" w:sz="4" w:space="0"/>
            </w:tcBorders>
            <w:shd w:val="clear" w:color="auto" w:fill="auto"/>
            <w:noWrap/>
            <w:vAlign w:val="center"/>
            <w:hideMark/>
          </w:tcPr>
          <w:p w:rsidR="0059670D" w:rsidRDefault="0059670D" w14:paraId="74C4A2E9" w14:textId="77777777">
            <w:pPr>
              <w:jc w:val="center"/>
              <w:rPr>
                <w:color w:val="000000"/>
                <w:sz w:val="20"/>
                <w:szCs w:val="20"/>
              </w:rPr>
            </w:pPr>
            <w:r>
              <w:rPr>
                <w:color w:val="000000"/>
                <w:sz w:val="20"/>
                <w:szCs w:val="20"/>
              </w:rPr>
              <w:t>8398</w:t>
            </w:r>
          </w:p>
        </w:tc>
        <w:tc>
          <w:tcPr>
            <w:tcW w:w="1455" w:type="dxa"/>
            <w:tcBorders>
              <w:top w:val="nil"/>
              <w:left w:val="nil"/>
              <w:bottom w:val="single" w:color="auto" w:sz="4" w:space="0"/>
              <w:right w:val="single" w:color="auto" w:sz="4" w:space="0"/>
            </w:tcBorders>
            <w:shd w:val="clear" w:color="auto" w:fill="auto"/>
            <w:vAlign w:val="center"/>
            <w:hideMark/>
          </w:tcPr>
          <w:p w:rsidR="0059670D" w:rsidRDefault="0059670D" w14:paraId="36AABD34" w14:textId="77777777">
            <w:pPr>
              <w:jc w:val="center"/>
              <w:rPr>
                <w:color w:val="000000"/>
                <w:sz w:val="20"/>
                <w:szCs w:val="20"/>
              </w:rPr>
            </w:pPr>
            <w:r>
              <w:rPr>
                <w:color w:val="000000"/>
                <w:sz w:val="20"/>
                <w:szCs w:val="20"/>
              </w:rPr>
              <w:t>1820</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4F2957C5" w14:textId="77777777">
            <w:pPr>
              <w:jc w:val="center"/>
              <w:rPr>
                <w:color w:val="000000"/>
                <w:sz w:val="20"/>
                <w:szCs w:val="20"/>
              </w:rPr>
            </w:pPr>
            <w:r>
              <w:rPr>
                <w:color w:val="000000"/>
                <w:sz w:val="20"/>
                <w:szCs w:val="20"/>
              </w:rPr>
              <w:t xml:space="preserve">$79.73 </w:t>
            </w:r>
          </w:p>
        </w:tc>
        <w:tc>
          <w:tcPr>
            <w:tcW w:w="1025" w:type="dxa"/>
            <w:tcBorders>
              <w:top w:val="nil"/>
              <w:left w:val="nil"/>
              <w:bottom w:val="single" w:color="auto" w:sz="4" w:space="0"/>
              <w:right w:val="single" w:color="auto" w:sz="4" w:space="0"/>
            </w:tcBorders>
            <w:shd w:val="clear" w:color="auto" w:fill="auto"/>
            <w:noWrap/>
            <w:vAlign w:val="center"/>
            <w:hideMark/>
          </w:tcPr>
          <w:p w:rsidR="0059670D" w:rsidRDefault="0059670D" w14:paraId="0018FF48" w14:textId="77777777">
            <w:pPr>
              <w:jc w:val="center"/>
              <w:rPr>
                <w:color w:val="000000"/>
                <w:sz w:val="20"/>
                <w:szCs w:val="20"/>
              </w:rPr>
            </w:pPr>
            <w:r>
              <w:rPr>
                <w:color w:val="000000"/>
                <w:sz w:val="20"/>
                <w:szCs w:val="20"/>
              </w:rPr>
              <w:t>$145,072</w:t>
            </w:r>
          </w:p>
        </w:tc>
      </w:tr>
      <w:tr w:rsidR="0059670D" w:rsidTr="0059670D" w14:paraId="70478F35" w14:textId="77777777">
        <w:trPr>
          <w:trHeight w:val="300"/>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35C8D36D" w14:textId="77777777">
            <w:pPr>
              <w:jc w:val="center"/>
              <w:rPr>
                <w:color w:val="000000"/>
                <w:sz w:val="20"/>
                <w:szCs w:val="20"/>
              </w:rPr>
            </w:pPr>
            <w:r>
              <w:rPr>
                <w:color w:val="000000"/>
                <w:sz w:val="20"/>
                <w:szCs w:val="20"/>
              </w:rPr>
              <w:t>Survey Monkey</w:t>
            </w:r>
          </w:p>
        </w:tc>
        <w:tc>
          <w:tcPr>
            <w:tcW w:w="2520" w:type="dxa"/>
            <w:tcBorders>
              <w:top w:val="nil"/>
              <w:left w:val="nil"/>
              <w:bottom w:val="single" w:color="auto" w:sz="4" w:space="0"/>
              <w:right w:val="single" w:color="auto" w:sz="4" w:space="0"/>
            </w:tcBorders>
            <w:shd w:val="clear" w:color="auto" w:fill="auto"/>
            <w:noWrap/>
            <w:vAlign w:val="center"/>
            <w:hideMark/>
          </w:tcPr>
          <w:p w:rsidR="0059670D" w:rsidRDefault="0059670D" w14:paraId="7463CA72" w14:textId="77777777">
            <w:pPr>
              <w:rPr>
                <w:color w:val="000000"/>
                <w:sz w:val="20"/>
                <w:szCs w:val="20"/>
              </w:rPr>
            </w:pPr>
            <w:r>
              <w:rPr>
                <w:color w:val="000000"/>
                <w:sz w:val="20"/>
                <w:szCs w:val="20"/>
              </w:rPr>
              <w:t>N/A</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335A6D0D" w14:textId="77777777">
            <w:pPr>
              <w:rPr>
                <w:color w:val="000000"/>
                <w:sz w:val="20"/>
                <w:szCs w:val="20"/>
              </w:rPr>
            </w:pPr>
            <w:r>
              <w:rPr>
                <w:color w:val="000000"/>
                <w:sz w:val="20"/>
                <w:szCs w:val="20"/>
              </w:rPr>
              <w:t>N/A</w:t>
            </w:r>
          </w:p>
        </w:tc>
        <w:tc>
          <w:tcPr>
            <w:tcW w:w="1335" w:type="dxa"/>
            <w:tcBorders>
              <w:top w:val="nil"/>
              <w:left w:val="nil"/>
              <w:bottom w:val="single" w:color="auto" w:sz="4" w:space="0"/>
              <w:right w:val="single" w:color="auto" w:sz="4" w:space="0"/>
            </w:tcBorders>
            <w:shd w:val="clear" w:color="auto" w:fill="auto"/>
            <w:noWrap/>
            <w:vAlign w:val="center"/>
            <w:hideMark/>
          </w:tcPr>
          <w:p w:rsidR="0059670D" w:rsidRDefault="0059670D" w14:paraId="2F166C75" w14:textId="77777777">
            <w:pPr>
              <w:rPr>
                <w:color w:val="000000"/>
                <w:sz w:val="20"/>
                <w:szCs w:val="20"/>
              </w:rPr>
            </w:pPr>
            <w:r>
              <w:rPr>
                <w:color w:val="000000"/>
                <w:sz w:val="20"/>
                <w:szCs w:val="20"/>
              </w:rPr>
              <w:t>N/A</w:t>
            </w:r>
          </w:p>
        </w:tc>
        <w:tc>
          <w:tcPr>
            <w:tcW w:w="1455" w:type="dxa"/>
            <w:tcBorders>
              <w:top w:val="nil"/>
              <w:left w:val="nil"/>
              <w:bottom w:val="single" w:color="auto" w:sz="4" w:space="0"/>
              <w:right w:val="single" w:color="auto" w:sz="4" w:space="0"/>
            </w:tcBorders>
            <w:shd w:val="clear" w:color="auto" w:fill="auto"/>
            <w:noWrap/>
            <w:vAlign w:val="center"/>
            <w:hideMark/>
          </w:tcPr>
          <w:p w:rsidR="0059670D" w:rsidRDefault="0059670D" w14:paraId="0A4B8B17" w14:textId="77777777">
            <w:pPr>
              <w:rPr>
                <w:color w:val="000000"/>
                <w:sz w:val="20"/>
                <w:szCs w:val="20"/>
              </w:rPr>
            </w:pPr>
            <w:r>
              <w:rPr>
                <w:color w:val="000000"/>
                <w:sz w:val="20"/>
                <w:szCs w:val="20"/>
              </w:rPr>
              <w:t>N/A</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0F23A8E1" w14:textId="77777777">
            <w:pPr>
              <w:rPr>
                <w:color w:val="000000"/>
                <w:sz w:val="20"/>
                <w:szCs w:val="20"/>
              </w:rPr>
            </w:pPr>
            <w:r>
              <w:rPr>
                <w:color w:val="000000"/>
                <w:sz w:val="20"/>
                <w:szCs w:val="20"/>
              </w:rPr>
              <w:t>N/A</w:t>
            </w:r>
          </w:p>
        </w:tc>
        <w:tc>
          <w:tcPr>
            <w:tcW w:w="1025" w:type="dxa"/>
            <w:tcBorders>
              <w:top w:val="nil"/>
              <w:left w:val="nil"/>
              <w:bottom w:val="single" w:color="auto" w:sz="4" w:space="0"/>
              <w:right w:val="single" w:color="auto" w:sz="4" w:space="0"/>
            </w:tcBorders>
            <w:shd w:val="clear" w:color="auto" w:fill="auto"/>
            <w:vAlign w:val="center"/>
            <w:hideMark/>
          </w:tcPr>
          <w:p w:rsidR="0059670D" w:rsidRDefault="0059670D" w14:paraId="66128A11" w14:textId="77777777">
            <w:pPr>
              <w:jc w:val="center"/>
              <w:rPr>
                <w:color w:val="000000"/>
                <w:sz w:val="20"/>
                <w:szCs w:val="20"/>
              </w:rPr>
            </w:pPr>
            <w:r>
              <w:rPr>
                <w:color w:val="000000"/>
                <w:sz w:val="20"/>
                <w:szCs w:val="20"/>
              </w:rPr>
              <w:t>$1,020</w:t>
            </w:r>
          </w:p>
        </w:tc>
      </w:tr>
      <w:tr w:rsidR="0059670D" w:rsidTr="0059670D" w14:paraId="477AAC0B" w14:textId="77777777">
        <w:trPr>
          <w:trHeight w:val="1275"/>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044DC6B7" w14:textId="77777777">
            <w:pPr>
              <w:jc w:val="center"/>
              <w:rPr>
                <w:b/>
                <w:bCs/>
                <w:color w:val="000000"/>
                <w:sz w:val="20"/>
                <w:szCs w:val="20"/>
              </w:rPr>
            </w:pPr>
            <w:r>
              <w:rPr>
                <w:b/>
                <w:bCs/>
                <w:color w:val="000000"/>
                <w:sz w:val="20"/>
                <w:szCs w:val="20"/>
              </w:rPr>
              <w:t>Postal Service</w:t>
            </w:r>
          </w:p>
        </w:tc>
        <w:tc>
          <w:tcPr>
            <w:tcW w:w="2520" w:type="dxa"/>
            <w:tcBorders>
              <w:top w:val="nil"/>
              <w:left w:val="nil"/>
              <w:bottom w:val="single" w:color="auto" w:sz="4" w:space="0"/>
              <w:right w:val="single" w:color="auto" w:sz="4" w:space="0"/>
            </w:tcBorders>
            <w:shd w:val="clear" w:color="auto" w:fill="auto"/>
            <w:vAlign w:val="center"/>
            <w:hideMark/>
          </w:tcPr>
          <w:p w:rsidR="0059670D" w:rsidRDefault="0059670D" w14:paraId="36CD01AB" w14:textId="77777777">
            <w:pPr>
              <w:jc w:val="center"/>
              <w:rPr>
                <w:b/>
                <w:bCs/>
                <w:color w:val="000000"/>
                <w:sz w:val="20"/>
                <w:szCs w:val="20"/>
              </w:rPr>
            </w:pPr>
            <w:r>
              <w:rPr>
                <w:b/>
                <w:bCs/>
                <w:color w:val="000000"/>
                <w:sz w:val="20"/>
                <w:szCs w:val="20"/>
              </w:rPr>
              <w:t>Total Number of Paper Surveys (0.5% of the Total No. of Respondents Annualized)</w:t>
            </w:r>
          </w:p>
        </w:tc>
        <w:tc>
          <w:tcPr>
            <w:tcW w:w="1440" w:type="dxa"/>
            <w:tcBorders>
              <w:top w:val="nil"/>
              <w:left w:val="nil"/>
              <w:bottom w:val="single" w:color="auto" w:sz="4" w:space="0"/>
              <w:right w:val="single" w:color="auto" w:sz="4" w:space="0"/>
            </w:tcBorders>
            <w:shd w:val="clear" w:color="auto" w:fill="auto"/>
            <w:vAlign w:val="center"/>
            <w:hideMark/>
          </w:tcPr>
          <w:p w:rsidR="0059670D" w:rsidRDefault="0059670D" w14:paraId="71C5D6E2" w14:textId="77777777">
            <w:pPr>
              <w:jc w:val="center"/>
              <w:rPr>
                <w:b/>
                <w:bCs/>
                <w:color w:val="000000"/>
                <w:sz w:val="20"/>
                <w:szCs w:val="20"/>
              </w:rPr>
            </w:pPr>
            <w:r>
              <w:rPr>
                <w:b/>
                <w:bCs/>
                <w:color w:val="000000"/>
                <w:sz w:val="20"/>
                <w:szCs w:val="20"/>
              </w:rPr>
              <w:t xml:space="preserve">Cost of Postage (Send and </w:t>
            </w:r>
          </w:p>
        </w:tc>
        <w:tc>
          <w:tcPr>
            <w:tcW w:w="1335" w:type="dxa"/>
            <w:tcBorders>
              <w:top w:val="nil"/>
              <w:left w:val="nil"/>
              <w:bottom w:val="single" w:color="auto" w:sz="4" w:space="0"/>
              <w:right w:val="single" w:color="auto" w:sz="4" w:space="0"/>
            </w:tcBorders>
            <w:shd w:val="clear" w:color="auto" w:fill="auto"/>
            <w:noWrap/>
            <w:vAlign w:val="center"/>
            <w:hideMark/>
          </w:tcPr>
          <w:p w:rsidR="0059670D" w:rsidRDefault="0059670D" w14:paraId="4DD18D2B" w14:textId="77777777">
            <w:pPr>
              <w:jc w:val="center"/>
              <w:rPr>
                <w:b/>
                <w:bCs/>
                <w:color w:val="000000"/>
                <w:sz w:val="20"/>
                <w:szCs w:val="20"/>
              </w:rPr>
            </w:pPr>
            <w:r>
              <w:rPr>
                <w:b/>
                <w:bCs/>
                <w:color w:val="000000"/>
                <w:sz w:val="20"/>
                <w:szCs w:val="20"/>
              </w:rPr>
              <w:t xml:space="preserve">Total </w:t>
            </w:r>
          </w:p>
        </w:tc>
        <w:tc>
          <w:tcPr>
            <w:tcW w:w="1455" w:type="dxa"/>
            <w:tcBorders>
              <w:top w:val="nil"/>
              <w:left w:val="nil"/>
              <w:bottom w:val="single" w:color="auto" w:sz="4" w:space="0"/>
              <w:right w:val="single" w:color="auto" w:sz="4" w:space="0"/>
            </w:tcBorders>
            <w:shd w:val="clear" w:color="auto" w:fill="auto"/>
            <w:vAlign w:val="center"/>
            <w:hideMark/>
          </w:tcPr>
          <w:p w:rsidR="0059670D" w:rsidRDefault="0059670D" w14:paraId="7B218834" w14:textId="77777777">
            <w:pPr>
              <w:jc w:val="center"/>
              <w:rPr>
                <w:b/>
                <w:bCs/>
                <w:color w:val="000000"/>
                <w:sz w:val="20"/>
                <w:szCs w:val="20"/>
              </w:rPr>
            </w:pPr>
            <w:r>
              <w:rPr>
                <w:b/>
                <w:bCs/>
                <w:color w:val="000000"/>
                <w:sz w:val="20"/>
                <w:szCs w:val="20"/>
              </w:rPr>
              <w:t>Printing Cost Per Survey ($0.01 per sheet of paper in the survey)</w:t>
            </w:r>
          </w:p>
        </w:tc>
        <w:tc>
          <w:tcPr>
            <w:tcW w:w="1440" w:type="dxa"/>
            <w:tcBorders>
              <w:top w:val="nil"/>
              <w:left w:val="nil"/>
              <w:bottom w:val="single" w:color="auto" w:sz="4" w:space="0"/>
              <w:right w:val="single" w:color="auto" w:sz="4" w:space="0"/>
            </w:tcBorders>
            <w:shd w:val="clear" w:color="auto" w:fill="auto"/>
            <w:vAlign w:val="center"/>
            <w:hideMark/>
          </w:tcPr>
          <w:p w:rsidR="0059670D" w:rsidRDefault="0059670D" w14:paraId="50732E12" w14:textId="77777777">
            <w:pPr>
              <w:jc w:val="center"/>
              <w:rPr>
                <w:b/>
                <w:bCs/>
                <w:color w:val="000000"/>
                <w:sz w:val="20"/>
                <w:szCs w:val="20"/>
              </w:rPr>
            </w:pPr>
            <w:r>
              <w:rPr>
                <w:b/>
                <w:bCs/>
                <w:color w:val="000000"/>
                <w:sz w:val="20"/>
                <w:szCs w:val="20"/>
              </w:rPr>
              <w:t>Total Annual Printing Cost</w:t>
            </w:r>
          </w:p>
        </w:tc>
        <w:tc>
          <w:tcPr>
            <w:tcW w:w="1025" w:type="dxa"/>
            <w:tcBorders>
              <w:top w:val="nil"/>
              <w:left w:val="nil"/>
              <w:bottom w:val="single" w:color="auto" w:sz="4" w:space="0"/>
              <w:right w:val="single" w:color="auto" w:sz="4" w:space="0"/>
            </w:tcBorders>
            <w:shd w:val="clear" w:color="auto" w:fill="auto"/>
            <w:vAlign w:val="center"/>
            <w:hideMark/>
          </w:tcPr>
          <w:p w:rsidR="0059670D" w:rsidRDefault="0059670D" w14:paraId="6DBB5A0E" w14:textId="77777777">
            <w:pPr>
              <w:jc w:val="center"/>
              <w:rPr>
                <w:b/>
                <w:bCs/>
                <w:color w:val="000000"/>
                <w:sz w:val="20"/>
                <w:szCs w:val="20"/>
              </w:rPr>
            </w:pPr>
            <w:r>
              <w:rPr>
                <w:b/>
                <w:bCs/>
                <w:color w:val="000000"/>
                <w:sz w:val="20"/>
                <w:szCs w:val="20"/>
              </w:rPr>
              <w:t> </w:t>
            </w:r>
          </w:p>
        </w:tc>
      </w:tr>
      <w:tr w:rsidR="0059670D" w:rsidTr="0059670D" w14:paraId="0752161E" w14:textId="77777777">
        <w:trPr>
          <w:trHeight w:val="300"/>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4826FDA2" w14:textId="77777777">
            <w:pPr>
              <w:jc w:val="center"/>
              <w:rPr>
                <w:color w:val="000000"/>
                <w:sz w:val="20"/>
                <w:szCs w:val="20"/>
              </w:rPr>
            </w:pPr>
            <w:r>
              <w:rPr>
                <w:color w:val="000000"/>
                <w:sz w:val="20"/>
                <w:szCs w:val="20"/>
              </w:rPr>
              <w:t>United States Postal Service</w:t>
            </w:r>
          </w:p>
        </w:tc>
        <w:tc>
          <w:tcPr>
            <w:tcW w:w="2520" w:type="dxa"/>
            <w:tcBorders>
              <w:top w:val="nil"/>
              <w:left w:val="nil"/>
              <w:bottom w:val="single" w:color="auto" w:sz="4" w:space="0"/>
              <w:right w:val="single" w:color="auto" w:sz="4" w:space="0"/>
            </w:tcBorders>
            <w:shd w:val="clear" w:color="auto" w:fill="auto"/>
            <w:noWrap/>
            <w:vAlign w:val="center"/>
            <w:hideMark/>
          </w:tcPr>
          <w:p w:rsidR="0059670D" w:rsidRDefault="0059670D" w14:paraId="1ADD0F50" w14:textId="77777777">
            <w:pPr>
              <w:jc w:val="center"/>
              <w:rPr>
                <w:color w:val="000000"/>
                <w:sz w:val="20"/>
                <w:szCs w:val="20"/>
              </w:rPr>
            </w:pPr>
            <w:r>
              <w:rPr>
                <w:color w:val="000000"/>
                <w:sz w:val="20"/>
                <w:szCs w:val="20"/>
              </w:rPr>
              <w:t>42</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2DA13346" w14:textId="77777777">
            <w:pPr>
              <w:jc w:val="center"/>
              <w:rPr>
                <w:color w:val="000000"/>
                <w:sz w:val="20"/>
                <w:szCs w:val="20"/>
              </w:rPr>
            </w:pPr>
            <w:r>
              <w:rPr>
                <w:color w:val="000000"/>
                <w:sz w:val="20"/>
                <w:szCs w:val="20"/>
              </w:rPr>
              <w:t xml:space="preserve">$15.84 </w:t>
            </w:r>
          </w:p>
        </w:tc>
        <w:tc>
          <w:tcPr>
            <w:tcW w:w="1335" w:type="dxa"/>
            <w:tcBorders>
              <w:top w:val="nil"/>
              <w:left w:val="nil"/>
              <w:bottom w:val="single" w:color="auto" w:sz="4" w:space="0"/>
              <w:right w:val="single" w:color="auto" w:sz="4" w:space="0"/>
            </w:tcBorders>
            <w:shd w:val="clear" w:color="auto" w:fill="auto"/>
            <w:noWrap/>
            <w:vAlign w:val="center"/>
            <w:hideMark/>
          </w:tcPr>
          <w:p w:rsidR="0059670D" w:rsidRDefault="0059670D" w14:paraId="1C38DBA6" w14:textId="77777777">
            <w:pPr>
              <w:jc w:val="center"/>
              <w:rPr>
                <w:color w:val="000000"/>
                <w:sz w:val="20"/>
                <w:szCs w:val="20"/>
              </w:rPr>
            </w:pPr>
            <w:r>
              <w:rPr>
                <w:color w:val="000000"/>
                <w:sz w:val="20"/>
                <w:szCs w:val="20"/>
              </w:rPr>
              <w:t xml:space="preserve">$665.28 </w:t>
            </w:r>
          </w:p>
        </w:tc>
        <w:tc>
          <w:tcPr>
            <w:tcW w:w="1455" w:type="dxa"/>
            <w:tcBorders>
              <w:top w:val="nil"/>
              <w:left w:val="nil"/>
              <w:bottom w:val="single" w:color="auto" w:sz="4" w:space="0"/>
              <w:right w:val="single" w:color="auto" w:sz="4" w:space="0"/>
            </w:tcBorders>
            <w:shd w:val="clear" w:color="auto" w:fill="auto"/>
            <w:noWrap/>
            <w:vAlign w:val="center"/>
            <w:hideMark/>
          </w:tcPr>
          <w:p w:rsidR="0059670D" w:rsidRDefault="0059670D" w14:paraId="4C4F3344" w14:textId="77777777">
            <w:pPr>
              <w:jc w:val="center"/>
              <w:rPr>
                <w:color w:val="000000"/>
                <w:sz w:val="20"/>
                <w:szCs w:val="20"/>
              </w:rPr>
            </w:pPr>
            <w:r>
              <w:rPr>
                <w:color w:val="000000"/>
                <w:sz w:val="20"/>
                <w:szCs w:val="20"/>
              </w:rPr>
              <w:t xml:space="preserve">$0.29 </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156E87E1" w14:textId="77777777">
            <w:pPr>
              <w:jc w:val="center"/>
              <w:rPr>
                <w:color w:val="000000"/>
                <w:sz w:val="20"/>
                <w:szCs w:val="20"/>
              </w:rPr>
            </w:pPr>
            <w:r>
              <w:rPr>
                <w:color w:val="000000"/>
                <w:sz w:val="20"/>
                <w:szCs w:val="20"/>
              </w:rPr>
              <w:t xml:space="preserve">$12.18 </w:t>
            </w:r>
          </w:p>
        </w:tc>
        <w:tc>
          <w:tcPr>
            <w:tcW w:w="1025" w:type="dxa"/>
            <w:tcBorders>
              <w:top w:val="nil"/>
              <w:left w:val="nil"/>
              <w:bottom w:val="single" w:color="auto" w:sz="4" w:space="0"/>
              <w:right w:val="single" w:color="auto" w:sz="4" w:space="0"/>
            </w:tcBorders>
            <w:shd w:val="clear" w:color="auto" w:fill="auto"/>
            <w:vAlign w:val="center"/>
            <w:hideMark/>
          </w:tcPr>
          <w:p w:rsidR="0059670D" w:rsidRDefault="0059670D" w14:paraId="4C5F83DA" w14:textId="77777777">
            <w:pPr>
              <w:jc w:val="center"/>
              <w:rPr>
                <w:color w:val="000000"/>
                <w:sz w:val="20"/>
                <w:szCs w:val="20"/>
              </w:rPr>
            </w:pPr>
            <w:r>
              <w:rPr>
                <w:color w:val="000000"/>
                <w:sz w:val="20"/>
                <w:szCs w:val="20"/>
              </w:rPr>
              <w:t>$677</w:t>
            </w:r>
          </w:p>
        </w:tc>
      </w:tr>
      <w:tr w:rsidR="0059670D" w:rsidTr="0059670D" w14:paraId="20DF03C3" w14:textId="77777777">
        <w:trPr>
          <w:trHeight w:val="1275"/>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73274128" w14:textId="77777777">
            <w:pPr>
              <w:jc w:val="center"/>
              <w:rPr>
                <w:color w:val="000000"/>
                <w:sz w:val="20"/>
                <w:szCs w:val="20"/>
              </w:rPr>
            </w:pPr>
            <w:r>
              <w:rPr>
                <w:color w:val="000000"/>
                <w:sz w:val="20"/>
                <w:szCs w:val="20"/>
              </w:rPr>
              <w:t> </w:t>
            </w:r>
          </w:p>
        </w:tc>
        <w:tc>
          <w:tcPr>
            <w:tcW w:w="2520" w:type="dxa"/>
            <w:tcBorders>
              <w:top w:val="nil"/>
              <w:left w:val="nil"/>
              <w:bottom w:val="single" w:color="auto" w:sz="4" w:space="0"/>
              <w:right w:val="single" w:color="auto" w:sz="4" w:space="0"/>
            </w:tcBorders>
            <w:shd w:val="clear" w:color="auto" w:fill="auto"/>
            <w:vAlign w:val="center"/>
            <w:hideMark/>
          </w:tcPr>
          <w:p w:rsidR="0059670D" w:rsidRDefault="0059670D" w14:paraId="43FB8794" w14:textId="4BDC52BF">
            <w:pPr>
              <w:jc w:val="center"/>
              <w:rPr>
                <w:b/>
                <w:bCs/>
                <w:color w:val="000000"/>
                <w:sz w:val="20"/>
                <w:szCs w:val="20"/>
              </w:rPr>
            </w:pPr>
            <w:r>
              <w:rPr>
                <w:b/>
                <w:bCs/>
                <w:color w:val="000000"/>
                <w:sz w:val="20"/>
              </w:rPr>
              <w:t>Total Number of Postcards (85% of the Total Number of Respondents Annualized)</w:t>
            </w:r>
          </w:p>
        </w:tc>
        <w:tc>
          <w:tcPr>
            <w:tcW w:w="1440" w:type="dxa"/>
            <w:tcBorders>
              <w:top w:val="nil"/>
              <w:left w:val="nil"/>
              <w:bottom w:val="single" w:color="auto" w:sz="4" w:space="0"/>
              <w:right w:val="single" w:color="auto" w:sz="4" w:space="0"/>
            </w:tcBorders>
            <w:shd w:val="clear" w:color="auto" w:fill="auto"/>
            <w:vAlign w:val="center"/>
            <w:hideMark/>
          </w:tcPr>
          <w:p w:rsidR="0059670D" w:rsidRDefault="0059670D" w14:paraId="238D0FE9" w14:textId="77777777">
            <w:pPr>
              <w:jc w:val="center"/>
              <w:rPr>
                <w:b/>
                <w:bCs/>
                <w:color w:val="000000"/>
                <w:sz w:val="20"/>
                <w:szCs w:val="20"/>
              </w:rPr>
            </w:pPr>
            <w:r>
              <w:rPr>
                <w:b/>
                <w:bCs/>
                <w:color w:val="000000"/>
                <w:sz w:val="20"/>
                <w:szCs w:val="20"/>
              </w:rPr>
              <w:t>Cost of Postage (Send 1 Postcard per Respondent)</w:t>
            </w:r>
          </w:p>
        </w:tc>
        <w:tc>
          <w:tcPr>
            <w:tcW w:w="1335" w:type="dxa"/>
            <w:tcBorders>
              <w:top w:val="nil"/>
              <w:left w:val="nil"/>
              <w:bottom w:val="single" w:color="auto" w:sz="4" w:space="0"/>
              <w:right w:val="single" w:color="auto" w:sz="4" w:space="0"/>
            </w:tcBorders>
            <w:shd w:val="clear" w:color="auto" w:fill="auto"/>
            <w:vAlign w:val="center"/>
            <w:hideMark/>
          </w:tcPr>
          <w:p w:rsidR="0059670D" w:rsidRDefault="0059670D" w14:paraId="75A81AA2" w14:textId="77777777">
            <w:pPr>
              <w:jc w:val="center"/>
              <w:rPr>
                <w:b/>
                <w:bCs/>
                <w:color w:val="000000"/>
                <w:sz w:val="20"/>
                <w:szCs w:val="20"/>
              </w:rPr>
            </w:pPr>
            <w:r>
              <w:rPr>
                <w:b/>
                <w:bCs/>
                <w:color w:val="000000"/>
                <w:sz w:val="20"/>
                <w:szCs w:val="20"/>
              </w:rPr>
              <w:t>Total Annual Postage Cost</w:t>
            </w:r>
          </w:p>
        </w:tc>
        <w:tc>
          <w:tcPr>
            <w:tcW w:w="1455" w:type="dxa"/>
            <w:tcBorders>
              <w:top w:val="nil"/>
              <w:left w:val="nil"/>
              <w:bottom w:val="single" w:color="auto" w:sz="4" w:space="0"/>
              <w:right w:val="single" w:color="auto" w:sz="4" w:space="0"/>
            </w:tcBorders>
            <w:shd w:val="clear" w:color="auto" w:fill="auto"/>
            <w:vAlign w:val="center"/>
            <w:hideMark/>
          </w:tcPr>
          <w:p w:rsidR="0059670D" w:rsidRDefault="0059670D" w14:paraId="4D12B382" w14:textId="77777777">
            <w:pPr>
              <w:jc w:val="center"/>
              <w:rPr>
                <w:b/>
                <w:bCs/>
                <w:color w:val="000000"/>
                <w:sz w:val="20"/>
                <w:szCs w:val="20"/>
              </w:rPr>
            </w:pPr>
            <w:r>
              <w:rPr>
                <w:b/>
                <w:bCs/>
                <w:color w:val="000000"/>
                <w:sz w:val="20"/>
              </w:rPr>
              <w:t>Printing Cost per Postcard</w:t>
            </w:r>
          </w:p>
        </w:tc>
        <w:tc>
          <w:tcPr>
            <w:tcW w:w="1440" w:type="dxa"/>
            <w:tcBorders>
              <w:top w:val="nil"/>
              <w:left w:val="nil"/>
              <w:bottom w:val="single" w:color="auto" w:sz="4" w:space="0"/>
              <w:right w:val="single" w:color="auto" w:sz="4" w:space="0"/>
            </w:tcBorders>
            <w:shd w:val="clear" w:color="auto" w:fill="auto"/>
            <w:vAlign w:val="center"/>
            <w:hideMark/>
          </w:tcPr>
          <w:p w:rsidR="0059670D" w:rsidRDefault="0059670D" w14:paraId="617D6967" w14:textId="77777777">
            <w:pPr>
              <w:jc w:val="center"/>
              <w:rPr>
                <w:b/>
                <w:bCs/>
                <w:color w:val="000000"/>
                <w:sz w:val="20"/>
                <w:szCs w:val="20"/>
              </w:rPr>
            </w:pPr>
            <w:r>
              <w:rPr>
                <w:b/>
                <w:bCs/>
                <w:color w:val="000000"/>
                <w:sz w:val="20"/>
              </w:rPr>
              <w:t>Total Annual Printing Cost</w:t>
            </w:r>
          </w:p>
        </w:tc>
        <w:tc>
          <w:tcPr>
            <w:tcW w:w="1025" w:type="dxa"/>
            <w:tcBorders>
              <w:top w:val="nil"/>
              <w:left w:val="nil"/>
              <w:bottom w:val="single" w:color="auto" w:sz="4" w:space="0"/>
              <w:right w:val="single" w:color="auto" w:sz="4" w:space="0"/>
            </w:tcBorders>
            <w:shd w:val="clear" w:color="auto" w:fill="auto"/>
            <w:vAlign w:val="center"/>
            <w:hideMark/>
          </w:tcPr>
          <w:p w:rsidR="0059670D" w:rsidRDefault="0059670D" w14:paraId="234172D4" w14:textId="77777777">
            <w:pPr>
              <w:jc w:val="center"/>
              <w:rPr>
                <w:color w:val="000000"/>
                <w:sz w:val="20"/>
                <w:szCs w:val="20"/>
              </w:rPr>
            </w:pPr>
            <w:r>
              <w:rPr>
                <w:color w:val="000000"/>
                <w:sz w:val="20"/>
              </w:rPr>
              <w:t> </w:t>
            </w:r>
          </w:p>
        </w:tc>
      </w:tr>
      <w:tr w:rsidR="0059670D" w:rsidTr="0059670D" w14:paraId="6BFB9FDB" w14:textId="77777777">
        <w:trPr>
          <w:trHeight w:val="300"/>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26A01407" w14:textId="77777777">
            <w:pPr>
              <w:jc w:val="center"/>
              <w:rPr>
                <w:color w:val="000000"/>
                <w:sz w:val="20"/>
                <w:szCs w:val="20"/>
              </w:rPr>
            </w:pPr>
            <w:r>
              <w:rPr>
                <w:color w:val="000000"/>
                <w:sz w:val="20"/>
                <w:szCs w:val="20"/>
              </w:rPr>
              <w:t>Government Printing Office</w:t>
            </w:r>
          </w:p>
        </w:tc>
        <w:tc>
          <w:tcPr>
            <w:tcW w:w="2520" w:type="dxa"/>
            <w:tcBorders>
              <w:top w:val="nil"/>
              <w:left w:val="nil"/>
              <w:bottom w:val="single" w:color="auto" w:sz="4" w:space="0"/>
              <w:right w:val="single" w:color="auto" w:sz="4" w:space="0"/>
            </w:tcBorders>
            <w:shd w:val="clear" w:color="auto" w:fill="auto"/>
            <w:noWrap/>
            <w:vAlign w:val="center"/>
            <w:hideMark/>
          </w:tcPr>
          <w:p w:rsidR="0059670D" w:rsidRDefault="0059670D" w14:paraId="662D0F42" w14:textId="77777777">
            <w:pPr>
              <w:jc w:val="right"/>
              <w:rPr>
                <w:color w:val="000000"/>
                <w:sz w:val="20"/>
                <w:szCs w:val="20"/>
              </w:rPr>
            </w:pPr>
            <w:r>
              <w:rPr>
                <w:color w:val="000000"/>
                <w:sz w:val="20"/>
                <w:szCs w:val="20"/>
              </w:rPr>
              <w:t>7138</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69AF3216" w14:textId="77777777">
            <w:pPr>
              <w:jc w:val="right"/>
              <w:rPr>
                <w:color w:val="000000"/>
                <w:sz w:val="20"/>
                <w:szCs w:val="20"/>
              </w:rPr>
            </w:pPr>
            <w:r>
              <w:rPr>
                <w:color w:val="000000"/>
                <w:sz w:val="20"/>
                <w:szCs w:val="20"/>
              </w:rPr>
              <w:t xml:space="preserve">$0.35 </w:t>
            </w:r>
          </w:p>
        </w:tc>
        <w:tc>
          <w:tcPr>
            <w:tcW w:w="1335" w:type="dxa"/>
            <w:tcBorders>
              <w:top w:val="nil"/>
              <w:left w:val="nil"/>
              <w:bottom w:val="single" w:color="auto" w:sz="4" w:space="0"/>
              <w:right w:val="single" w:color="auto" w:sz="4" w:space="0"/>
            </w:tcBorders>
            <w:shd w:val="clear" w:color="auto" w:fill="auto"/>
            <w:noWrap/>
            <w:vAlign w:val="center"/>
            <w:hideMark/>
          </w:tcPr>
          <w:p w:rsidR="0059670D" w:rsidRDefault="0059670D" w14:paraId="01217167" w14:textId="77777777">
            <w:pPr>
              <w:jc w:val="right"/>
              <w:rPr>
                <w:color w:val="000000"/>
                <w:sz w:val="20"/>
                <w:szCs w:val="20"/>
              </w:rPr>
            </w:pPr>
            <w:r>
              <w:rPr>
                <w:color w:val="000000"/>
                <w:sz w:val="20"/>
                <w:szCs w:val="20"/>
              </w:rPr>
              <w:t xml:space="preserve">$2,498.30 </w:t>
            </w:r>
          </w:p>
        </w:tc>
        <w:tc>
          <w:tcPr>
            <w:tcW w:w="1455" w:type="dxa"/>
            <w:tcBorders>
              <w:top w:val="nil"/>
              <w:left w:val="nil"/>
              <w:bottom w:val="single" w:color="auto" w:sz="4" w:space="0"/>
              <w:right w:val="single" w:color="auto" w:sz="4" w:space="0"/>
            </w:tcBorders>
            <w:shd w:val="clear" w:color="auto" w:fill="auto"/>
            <w:noWrap/>
            <w:vAlign w:val="center"/>
            <w:hideMark/>
          </w:tcPr>
          <w:p w:rsidR="0059670D" w:rsidRDefault="0059670D" w14:paraId="7B08361C" w14:textId="77777777">
            <w:pPr>
              <w:jc w:val="right"/>
              <w:rPr>
                <w:color w:val="000000"/>
                <w:sz w:val="20"/>
                <w:szCs w:val="20"/>
              </w:rPr>
            </w:pPr>
            <w:r>
              <w:rPr>
                <w:color w:val="000000"/>
                <w:sz w:val="20"/>
                <w:szCs w:val="20"/>
              </w:rPr>
              <w:t xml:space="preserve">$0.07 </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0510CB22" w14:textId="77777777">
            <w:pPr>
              <w:jc w:val="right"/>
              <w:rPr>
                <w:color w:val="000000"/>
                <w:sz w:val="20"/>
                <w:szCs w:val="20"/>
              </w:rPr>
            </w:pPr>
            <w:r>
              <w:rPr>
                <w:color w:val="000000"/>
                <w:sz w:val="20"/>
                <w:szCs w:val="20"/>
              </w:rPr>
              <w:t xml:space="preserve">$499.66 </w:t>
            </w:r>
          </w:p>
        </w:tc>
        <w:tc>
          <w:tcPr>
            <w:tcW w:w="1025" w:type="dxa"/>
            <w:tcBorders>
              <w:top w:val="nil"/>
              <w:left w:val="nil"/>
              <w:bottom w:val="single" w:color="auto" w:sz="4" w:space="0"/>
              <w:right w:val="single" w:color="auto" w:sz="4" w:space="0"/>
            </w:tcBorders>
            <w:shd w:val="clear" w:color="auto" w:fill="auto"/>
            <w:vAlign w:val="center"/>
            <w:hideMark/>
          </w:tcPr>
          <w:p w:rsidR="0059670D" w:rsidRDefault="0059670D" w14:paraId="704D9936" w14:textId="77777777">
            <w:pPr>
              <w:jc w:val="center"/>
              <w:rPr>
                <w:color w:val="000000"/>
                <w:sz w:val="20"/>
                <w:szCs w:val="20"/>
              </w:rPr>
            </w:pPr>
            <w:r>
              <w:rPr>
                <w:color w:val="000000"/>
                <w:sz w:val="20"/>
                <w:szCs w:val="20"/>
              </w:rPr>
              <w:t>$2,998</w:t>
            </w:r>
          </w:p>
        </w:tc>
      </w:tr>
      <w:tr w:rsidR="0059670D" w:rsidTr="0059670D" w14:paraId="5F207269" w14:textId="77777777">
        <w:trPr>
          <w:trHeight w:val="375"/>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0059670D" w:rsidRDefault="0059670D" w14:paraId="2F307C7C" w14:textId="77777777">
            <w:pPr>
              <w:jc w:val="center"/>
              <w:rPr>
                <w:b/>
                <w:bCs/>
                <w:color w:val="000000"/>
                <w:sz w:val="20"/>
                <w:szCs w:val="20"/>
              </w:rPr>
            </w:pPr>
            <w:r>
              <w:rPr>
                <w:b/>
                <w:bCs/>
                <w:color w:val="000000"/>
                <w:sz w:val="20"/>
                <w:szCs w:val="20"/>
              </w:rPr>
              <w:t>Total Cost</w:t>
            </w:r>
          </w:p>
        </w:tc>
        <w:tc>
          <w:tcPr>
            <w:tcW w:w="2520" w:type="dxa"/>
            <w:tcBorders>
              <w:top w:val="nil"/>
              <w:left w:val="nil"/>
              <w:bottom w:val="single" w:color="auto" w:sz="4" w:space="0"/>
              <w:right w:val="single" w:color="auto" w:sz="4" w:space="0"/>
            </w:tcBorders>
            <w:shd w:val="clear" w:color="auto" w:fill="auto"/>
            <w:noWrap/>
            <w:vAlign w:val="center"/>
            <w:hideMark/>
          </w:tcPr>
          <w:p w:rsidR="0059670D" w:rsidRDefault="0059670D" w14:paraId="7224787C" w14:textId="77777777">
            <w:pPr>
              <w:jc w:val="center"/>
              <w:rPr>
                <w:b/>
                <w:bCs/>
                <w:color w:val="000000"/>
                <w:sz w:val="20"/>
                <w:szCs w:val="20"/>
              </w:rPr>
            </w:pPr>
            <w:r>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7C2F2C46" w14:textId="77777777">
            <w:pPr>
              <w:jc w:val="center"/>
              <w:rPr>
                <w:b/>
                <w:bCs/>
                <w:color w:val="000000"/>
                <w:sz w:val="20"/>
                <w:szCs w:val="20"/>
              </w:rPr>
            </w:pPr>
            <w:r>
              <w:rPr>
                <w:b/>
                <w:bCs/>
                <w:color w:val="000000"/>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0059670D" w:rsidRDefault="0059670D" w14:paraId="38C263C1" w14:textId="77777777">
            <w:pPr>
              <w:jc w:val="center"/>
              <w:rPr>
                <w:b/>
                <w:bCs/>
                <w:color w:val="000000"/>
                <w:sz w:val="20"/>
                <w:szCs w:val="20"/>
              </w:rPr>
            </w:pPr>
            <w:r>
              <w:rPr>
                <w:b/>
                <w:bCs/>
                <w:color w:val="000000"/>
                <w:sz w:val="20"/>
                <w:szCs w:val="20"/>
              </w:rPr>
              <w:t> </w:t>
            </w:r>
          </w:p>
        </w:tc>
        <w:tc>
          <w:tcPr>
            <w:tcW w:w="1455" w:type="dxa"/>
            <w:tcBorders>
              <w:top w:val="nil"/>
              <w:left w:val="nil"/>
              <w:bottom w:val="single" w:color="auto" w:sz="4" w:space="0"/>
              <w:right w:val="single" w:color="auto" w:sz="4" w:space="0"/>
            </w:tcBorders>
            <w:shd w:val="clear" w:color="auto" w:fill="auto"/>
            <w:noWrap/>
            <w:vAlign w:val="center"/>
            <w:hideMark/>
          </w:tcPr>
          <w:p w:rsidR="0059670D" w:rsidRDefault="0059670D" w14:paraId="1479B35D" w14:textId="77777777">
            <w:pPr>
              <w:jc w:val="center"/>
              <w:rPr>
                <w:b/>
                <w:bCs/>
                <w:color w:val="000000"/>
                <w:sz w:val="20"/>
                <w:szCs w:val="20"/>
              </w:rPr>
            </w:pPr>
            <w:r>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0059670D" w:rsidRDefault="0059670D" w14:paraId="1BE2BEDE" w14:textId="77777777">
            <w:pPr>
              <w:jc w:val="center"/>
              <w:rPr>
                <w:b/>
                <w:bCs/>
                <w:color w:val="000000"/>
                <w:sz w:val="28"/>
                <w:szCs w:val="28"/>
              </w:rPr>
            </w:pPr>
            <w:r>
              <w:rPr>
                <w:b/>
                <w:bCs/>
                <w:color w:val="000000"/>
                <w:sz w:val="28"/>
                <w:szCs w:val="28"/>
              </w:rPr>
              <w:t> </w:t>
            </w:r>
          </w:p>
        </w:tc>
        <w:tc>
          <w:tcPr>
            <w:tcW w:w="1025" w:type="dxa"/>
            <w:tcBorders>
              <w:top w:val="nil"/>
              <w:left w:val="nil"/>
              <w:bottom w:val="single" w:color="auto" w:sz="4" w:space="0"/>
              <w:right w:val="single" w:color="auto" w:sz="4" w:space="0"/>
            </w:tcBorders>
            <w:shd w:val="clear" w:color="auto" w:fill="auto"/>
            <w:vAlign w:val="center"/>
            <w:hideMark/>
          </w:tcPr>
          <w:p w:rsidR="0059670D" w:rsidRDefault="0059670D" w14:paraId="64C11A72" w14:textId="77777777">
            <w:pPr>
              <w:jc w:val="center"/>
              <w:rPr>
                <w:b/>
                <w:bCs/>
                <w:color w:val="000000"/>
                <w:sz w:val="20"/>
                <w:szCs w:val="20"/>
              </w:rPr>
            </w:pPr>
            <w:r>
              <w:rPr>
                <w:b/>
                <w:bCs/>
                <w:color w:val="000000"/>
                <w:sz w:val="20"/>
                <w:szCs w:val="20"/>
              </w:rPr>
              <w:t>$235,863</w:t>
            </w:r>
          </w:p>
        </w:tc>
      </w:tr>
    </w:tbl>
    <w:p w:rsidRPr="00596A43" w:rsidR="00EB5E96" w:rsidP="000C4293" w:rsidRDefault="00EB5E96" w14:paraId="5353418D" w14:textId="77777777">
      <w:pPr>
        <w:suppressAutoHyphens/>
        <w:jc w:val="both"/>
      </w:pPr>
    </w:p>
    <w:p w:rsidRPr="00596A43" w:rsidR="00EB5E96" w:rsidP="000C4293" w:rsidRDefault="00EB5E96" w14:paraId="3C06A83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D73BBC" w:rsidP="00FE7C4C" w:rsidRDefault="00EB5E96" w14:paraId="249F19D2" w14:textId="15366A72">
      <w:pPr>
        <w:tabs>
          <w:tab w:val="left" w:pos="-720"/>
        </w:tabs>
        <w:suppressAutoHyphens/>
        <w:spacing w:before="60"/>
        <w:jc w:val="both"/>
        <w:rPr>
          <w:i/>
          <w:spacing w:val="-3"/>
          <w:sz w:val="20"/>
        </w:rPr>
      </w:pPr>
      <w:r w:rsidRPr="00596A43">
        <w:fldChar w:fldCharType="begin"/>
      </w:r>
      <w:r w:rsidRPr="00596A43">
        <w:instrText>ADVANCE \R 0.95</w:instrText>
      </w:r>
      <w:r w:rsidRPr="00596A43">
        <w:fldChar w:fldCharType="end"/>
      </w:r>
      <w:r w:rsidRPr="00D73BBC" w:rsidR="00D73BBC">
        <w:rPr>
          <w:i/>
          <w:spacing w:val="-3"/>
          <w:sz w:val="20"/>
        </w:rPr>
        <w:t>Respon</w:t>
      </w:r>
      <w:r w:rsidR="00D73BBC">
        <w:rPr>
          <w:i/>
          <w:spacing w:val="-3"/>
          <w:sz w:val="20"/>
        </w:rPr>
        <w:t>se</w:t>
      </w:r>
      <w:r w:rsidRPr="00D73BBC" w:rsidR="00D73BBC">
        <w:rPr>
          <w:i/>
          <w:spacing w:val="-3"/>
          <w:sz w:val="20"/>
        </w:rPr>
        <w:t>…</w:t>
      </w:r>
    </w:p>
    <w:p w:rsidRPr="000D646D" w:rsidR="000D646D" w:rsidP="00AB2E3D" w:rsidRDefault="000D646D" w14:paraId="639E4D83" w14:textId="68DFE95F">
      <w:pPr>
        <w:tabs>
          <w:tab w:val="left" w:pos="-720"/>
        </w:tabs>
        <w:suppressAutoHyphens/>
        <w:spacing w:before="60" w:after="120"/>
        <w:jc w:val="both"/>
        <w:rPr>
          <w:spacing w:val="-3"/>
        </w:rPr>
      </w:pPr>
      <w:r w:rsidRPr="000D646D">
        <w:rPr>
          <w:spacing w:val="-3"/>
        </w:rPr>
        <w:t xml:space="preserve">This is a </w:t>
      </w:r>
      <w:r w:rsidRPr="00F00034" w:rsidR="00F00034">
        <w:rPr>
          <w:b/>
          <w:bCs/>
          <w:spacing w:val="-3"/>
        </w:rPr>
        <w:t>NEW</w:t>
      </w:r>
      <w:r w:rsidRPr="000D646D">
        <w:rPr>
          <w:spacing w:val="-3"/>
        </w:rPr>
        <w:t xml:space="preserve"> collection.</w:t>
      </w:r>
    </w:p>
    <w:p w:rsidRPr="00551BE0" w:rsidR="00EB5E96" w:rsidP="000C4293" w:rsidRDefault="00EB5E96" w14:paraId="484AEF9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51BE0">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73BBC" w:rsidR="00FE7C4C" w:rsidP="00FE7C4C" w:rsidRDefault="00EB5E96" w14:paraId="4A9CA030" w14:textId="75BA310B">
      <w:pPr>
        <w:tabs>
          <w:tab w:val="left" w:pos="-720"/>
        </w:tabs>
        <w:suppressAutoHyphens/>
        <w:spacing w:before="60"/>
        <w:jc w:val="both"/>
        <w:rPr>
          <w:i/>
          <w:spacing w:val="-3"/>
          <w:sz w:val="20"/>
        </w:rPr>
      </w:pPr>
      <w:r w:rsidRPr="00551BE0">
        <w:fldChar w:fldCharType="begin"/>
      </w:r>
      <w:r w:rsidRPr="00551BE0">
        <w:instrText>ADVANCE \R 0.95</w:instrText>
      </w:r>
      <w:r w:rsidRPr="00551BE0">
        <w:fldChar w:fldCharType="end"/>
      </w:r>
      <w:r w:rsidRPr="00FE7C4C" w:rsidR="00FE7C4C">
        <w:rPr>
          <w:i/>
          <w:spacing w:val="-3"/>
          <w:sz w:val="20"/>
        </w:rPr>
        <w:t xml:space="preserve"> </w:t>
      </w:r>
      <w:r w:rsidRPr="00D73BBC" w:rsidR="00FE7C4C">
        <w:rPr>
          <w:i/>
          <w:spacing w:val="-3"/>
          <w:sz w:val="20"/>
        </w:rPr>
        <w:t>Respon</w:t>
      </w:r>
      <w:r w:rsidR="00FE7C4C">
        <w:rPr>
          <w:i/>
          <w:spacing w:val="-3"/>
          <w:sz w:val="20"/>
        </w:rPr>
        <w:t>se</w:t>
      </w:r>
      <w:r w:rsidRPr="00D73BBC" w:rsidR="00FE7C4C">
        <w:rPr>
          <w:i/>
          <w:spacing w:val="-3"/>
          <w:sz w:val="20"/>
        </w:rPr>
        <w:t>…</w:t>
      </w:r>
    </w:p>
    <w:p w:rsidRPr="00C5773A" w:rsidR="00EB5E96" w:rsidP="00C5773A" w:rsidRDefault="002B569C" w14:paraId="1A6FCAD2" w14:textId="4461B5E6">
      <w:pPr>
        <w:suppressAutoHyphens/>
        <w:spacing w:after="120"/>
        <w:jc w:val="both"/>
        <w:rPr>
          <w:spacing w:val="-3"/>
        </w:rPr>
      </w:pPr>
      <w:r w:rsidRPr="00551BE0">
        <w:rPr>
          <w:spacing w:val="-3"/>
        </w:rPr>
        <w:t>If appropriate for public distribution (e.g., no sensitive information when aggregated, etc.</w:t>
      </w:r>
      <w:r w:rsidRPr="00551BE0" w:rsidR="005C3DA9">
        <w:rPr>
          <w:spacing w:val="-3"/>
        </w:rPr>
        <w:t>),</w:t>
      </w:r>
      <w:r w:rsidR="005C3DA9">
        <w:rPr>
          <w:spacing w:val="-3"/>
        </w:rPr>
        <w:t xml:space="preserve"> ECD</w:t>
      </w:r>
      <w:r w:rsidRPr="00551BE0">
        <w:rPr>
          <w:spacing w:val="-3"/>
        </w:rPr>
        <w:t xml:space="preserve"> will publish its reports resulting from collection through its website and, when required by statute, through direct distribution to Congress through the DHS Office of Legislative Aff</w:t>
      </w:r>
      <w:r w:rsidRPr="00551BE0" w:rsidR="00551BE0">
        <w:rPr>
          <w:spacing w:val="-3"/>
        </w:rPr>
        <w:t xml:space="preserve">airs.  </w:t>
      </w:r>
      <w:r w:rsidR="00764F75">
        <w:rPr>
          <w:spacing w:val="-3"/>
        </w:rPr>
        <w:t>ECD</w:t>
      </w:r>
      <w:r w:rsidRPr="00551BE0" w:rsidR="00551BE0">
        <w:rPr>
          <w:spacing w:val="-3"/>
        </w:rPr>
        <w:t xml:space="preserve"> intends to utilize </w:t>
      </w:r>
      <w:r w:rsidRPr="00551BE0">
        <w:rPr>
          <w:spacing w:val="-3"/>
        </w:rPr>
        <w:t>statistical sampling and analysis of emergency communications stakeholder community based upon region, locale size, jurisdiction, and other relevant factors.</w:t>
      </w:r>
    </w:p>
    <w:p w:rsidRPr="00596A43" w:rsidR="00EB5E96" w:rsidP="000C4293" w:rsidRDefault="00EB5E96" w14:paraId="4DC49B2D" w14:textId="77777777">
      <w:p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Pr="00D73BBC" w:rsidR="00D73BBC" w:rsidP="00FE7C4C" w:rsidRDefault="00EB5E96" w14:paraId="36499A32" w14:textId="02F86A83">
      <w:pPr>
        <w:tabs>
          <w:tab w:val="left" w:pos="-720"/>
        </w:tabs>
        <w:suppressAutoHyphens/>
        <w:spacing w:before="60"/>
        <w:jc w:val="both"/>
        <w:rPr>
          <w:i/>
          <w:spacing w:val="-3"/>
          <w:sz w:val="20"/>
        </w:rPr>
      </w:pPr>
      <w:r w:rsidRPr="00596A43">
        <w:fldChar w:fldCharType="begin"/>
      </w:r>
      <w:r w:rsidRPr="00596A43">
        <w:instrText>ADVANCE \R 0.95</w:instrText>
      </w:r>
      <w:r w:rsidRPr="00596A43">
        <w:fldChar w:fldCharType="end"/>
      </w:r>
      <w:r w:rsidRPr="00D73BBC" w:rsidR="00D73BBC">
        <w:rPr>
          <w:i/>
          <w:spacing w:val="-3"/>
          <w:sz w:val="20"/>
        </w:rPr>
        <w:t>Respon</w:t>
      </w:r>
      <w:r w:rsidR="00D73BBC">
        <w:rPr>
          <w:i/>
          <w:spacing w:val="-3"/>
          <w:sz w:val="20"/>
        </w:rPr>
        <w:t>se</w:t>
      </w:r>
      <w:r w:rsidRPr="00D73BBC" w:rsidR="00D73BBC">
        <w:rPr>
          <w:i/>
          <w:spacing w:val="-3"/>
          <w:sz w:val="20"/>
        </w:rPr>
        <w:t>…</w:t>
      </w:r>
    </w:p>
    <w:p w:rsidRPr="00596A43" w:rsidR="001571CF" w:rsidP="00C5773A" w:rsidRDefault="00541595" w14:paraId="4FCC7EC3" w14:textId="0F45B859">
      <w:pPr>
        <w:tabs>
          <w:tab w:val="left" w:pos="-720"/>
        </w:tabs>
        <w:suppressAutoHyphens/>
        <w:spacing w:after="120"/>
        <w:jc w:val="both"/>
      </w:pPr>
      <w:r>
        <w:t xml:space="preserve">DHS </w:t>
      </w:r>
      <w:r w:rsidRPr="001C4E52" w:rsidR="001C4E52">
        <w:t xml:space="preserve">will display the expiration date for OMB approval of this information collection. </w:t>
      </w:r>
    </w:p>
    <w:p w:rsidRPr="00596A43" w:rsidR="0077056F" w:rsidP="000C4293" w:rsidRDefault="00EB5E96" w14:paraId="7327EBB5"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Pr="00D73BBC" w:rsidR="00D73BBC" w:rsidP="00FE7C4C" w:rsidRDefault="00D73BBC" w14:paraId="24C533B9" w14:textId="77777777">
      <w:pPr>
        <w:tabs>
          <w:tab w:val="left" w:pos="-720"/>
        </w:tabs>
        <w:suppressAutoHyphens/>
        <w:spacing w:before="60"/>
        <w:jc w:val="both"/>
        <w:rPr>
          <w:i/>
          <w:spacing w:val="-3"/>
          <w:sz w:val="20"/>
        </w:rPr>
      </w:pPr>
      <w:r w:rsidRPr="00D73BBC">
        <w:rPr>
          <w:i/>
          <w:spacing w:val="-3"/>
          <w:sz w:val="20"/>
        </w:rPr>
        <w:t>Respon</w:t>
      </w:r>
      <w:r>
        <w:rPr>
          <w:i/>
          <w:spacing w:val="-3"/>
          <w:sz w:val="20"/>
        </w:rPr>
        <w:t>se</w:t>
      </w:r>
      <w:r w:rsidRPr="00D73BBC">
        <w:rPr>
          <w:i/>
          <w:spacing w:val="-3"/>
          <w:sz w:val="20"/>
        </w:rPr>
        <w:t>…</w:t>
      </w:r>
    </w:p>
    <w:p w:rsidR="00AA5BDD" w:rsidP="0077056F" w:rsidRDefault="00541595" w14:paraId="3C5DFA80" w14:textId="2131DFA5">
      <w:pPr>
        <w:tabs>
          <w:tab w:val="left" w:pos="-720"/>
        </w:tabs>
        <w:suppressAutoHyphens/>
        <w:jc w:val="both"/>
      </w:pPr>
      <w:r>
        <w:t xml:space="preserve">DHS </w:t>
      </w:r>
      <w:r w:rsidRPr="001C4E52" w:rsidR="001C4E52">
        <w:t xml:space="preserve">does not request an exception to the certification of this information collection. </w:t>
      </w:r>
    </w:p>
    <w:p w:rsidR="00AA5BDD" w:rsidP="0077056F" w:rsidRDefault="00AA5BDD" w14:paraId="7C5FE679" w14:textId="77777777">
      <w:pPr>
        <w:tabs>
          <w:tab w:val="left" w:pos="-720"/>
        </w:tabs>
        <w:suppressAutoHyphens/>
        <w:jc w:val="both"/>
      </w:pPr>
    </w:p>
    <w:p w:rsidRPr="00596A43" w:rsidR="00AA5BDD" w:rsidP="00AA5BDD" w:rsidRDefault="00AA5BDD" w14:paraId="0619B855" w14:textId="77777777">
      <w:pPr>
        <w:tabs>
          <w:tab w:val="left" w:pos="-720"/>
        </w:tabs>
        <w:suppressAutoHyphens/>
      </w:pPr>
      <w:bookmarkStart w:name="c_1" w:id="6"/>
      <w:bookmarkStart w:name="c_2" w:id="7"/>
      <w:bookmarkStart w:name="c_3" w:id="8"/>
      <w:bookmarkStart w:name="c_4" w:id="9"/>
      <w:bookmarkStart w:name="c_5" w:id="10"/>
      <w:bookmarkStart w:name="c_6" w:id="11"/>
      <w:bookmarkStart w:name="c_7" w:id="12"/>
      <w:bookmarkStart w:name="c_8" w:id="13"/>
      <w:bookmarkStart w:name="c_9" w:id="14"/>
      <w:bookmarkStart w:name="c_10" w:id="15"/>
      <w:bookmarkStart w:name="c_11" w:id="16"/>
      <w:bookmarkStart w:name="c_12" w:id="17"/>
      <w:bookmarkStart w:name="c_13" w:id="18"/>
      <w:bookmarkStart w:name="c_14" w:id="19"/>
      <w:bookmarkStart w:name="c_15" w:id="20"/>
      <w:bookmarkStart w:name="a_1" w:id="21"/>
      <w:bookmarkStart w:name="a_2" w:id="22"/>
      <w:bookmarkStart w:name="a_3" w:id="23"/>
      <w:bookmarkStart w:name="a_4" w:id="24"/>
      <w:bookmarkStart w:name="a_5" w:id="25"/>
      <w:bookmarkStart w:name="a_5_A" w:id="26"/>
      <w:bookmarkStart w:name="a_5_A_i" w:id="27"/>
      <w:bookmarkStart w:name="a_5_A_ii" w:id="28"/>
      <w:bookmarkStart w:name="a_5_A_iii" w:id="29"/>
      <w:bookmarkStart w:name="a_5_B" w:id="30"/>
      <w:bookmarkStart w:name="b" w:id="31"/>
      <w:bookmarkStart w:name="c" w:id="32"/>
      <w:bookmarkStart w:name="d" w:id="33"/>
      <w:bookmarkStart w:name="d_1" w:id="34"/>
      <w:bookmarkStart w:name="d_2" w:id="35"/>
      <w:bookmarkStart w:name="d_3" w:id="36"/>
      <w:bookmarkStart w:name="d_3_A" w:id="37"/>
      <w:bookmarkStart w:name="d_3_B" w:id="38"/>
      <w:bookmarkStart w:name="d_4" w:id="39"/>
      <w:bookmarkStart w:name="d_4_A" w:id="4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sectPr w:rsidRPr="00596A43" w:rsidR="00AA5BDD" w:rsidSect="00460234">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F552B" w14:textId="77777777" w:rsidR="000F5A7C" w:rsidRDefault="000F5A7C">
      <w:r>
        <w:separator/>
      </w:r>
    </w:p>
  </w:endnote>
  <w:endnote w:type="continuationSeparator" w:id="0">
    <w:p w14:paraId="6A3B7A78" w14:textId="77777777" w:rsidR="000F5A7C" w:rsidRDefault="000F5A7C">
      <w:r>
        <w:continuationSeparator/>
      </w:r>
    </w:p>
  </w:endnote>
  <w:endnote w:type="continuationNotice" w:id="1">
    <w:p w14:paraId="62404D26" w14:textId="77777777" w:rsidR="000F5A7C" w:rsidRDefault="000F5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DED5" w14:textId="77777777" w:rsidR="00142059" w:rsidRDefault="00142059"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B45D3" w14:textId="77777777" w:rsidR="00142059" w:rsidRDefault="00142059"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AC7A" w14:textId="77777777" w:rsidR="00142059" w:rsidRDefault="00142059"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949E63" w14:textId="77777777" w:rsidR="00142059" w:rsidRDefault="00142059" w:rsidP="00DC6E79">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2475" w14:textId="77777777" w:rsidR="000F5A7C" w:rsidRDefault="000F5A7C">
      <w:r>
        <w:separator/>
      </w:r>
    </w:p>
  </w:footnote>
  <w:footnote w:type="continuationSeparator" w:id="0">
    <w:p w14:paraId="777B8FBF" w14:textId="77777777" w:rsidR="000F5A7C" w:rsidRDefault="000F5A7C">
      <w:r>
        <w:continuationSeparator/>
      </w:r>
    </w:p>
  </w:footnote>
  <w:footnote w:type="continuationNotice" w:id="1">
    <w:p w14:paraId="6027BFF7" w14:textId="77777777" w:rsidR="000F5A7C" w:rsidRDefault="000F5A7C"/>
  </w:footnote>
  <w:footnote w:id="2">
    <w:p w14:paraId="39CD629D" w14:textId="0FD3B7FB" w:rsidR="00A648CD" w:rsidRDefault="00A648CD" w:rsidP="00A648CD">
      <w:pPr>
        <w:rPr>
          <w:sz w:val="20"/>
          <w:szCs w:val="20"/>
        </w:rPr>
      </w:pPr>
      <w:r>
        <w:rPr>
          <w:rStyle w:val="FootnoteReference"/>
          <w:sz w:val="20"/>
          <w:szCs w:val="20"/>
        </w:rPr>
        <w:footnoteRef/>
      </w:r>
      <w:r>
        <w:rPr>
          <w:sz w:val="20"/>
          <w:szCs w:val="20"/>
        </w:rPr>
        <w:t xml:space="preserve"> The 60-day notice may be viewed at </w:t>
      </w:r>
      <w:hyperlink r:id="rId1" w:history="1">
        <w:r w:rsidR="00492920" w:rsidRPr="00807CED">
          <w:rPr>
            <w:rStyle w:val="Hyperlink"/>
            <w:sz w:val="20"/>
            <w:szCs w:val="20"/>
          </w:rPr>
          <w:t>https://www.govinfo.gov/app/details/FR-2021-02-17/2021-03105</w:t>
        </w:r>
      </w:hyperlink>
      <w:r w:rsidR="00492920">
        <w:rPr>
          <w:sz w:val="20"/>
          <w:szCs w:val="20"/>
        </w:rPr>
        <w:t xml:space="preserve"> </w:t>
      </w:r>
      <w:r w:rsidR="002D123C">
        <w:rPr>
          <w:sz w:val="20"/>
          <w:szCs w:val="20"/>
        </w:rPr>
        <w:t xml:space="preserve"> </w:t>
      </w:r>
    </w:p>
  </w:footnote>
  <w:footnote w:id="3">
    <w:p w14:paraId="174CFD80" w14:textId="4A4FED27" w:rsidR="00A648CD" w:rsidRDefault="00A648CD" w:rsidP="00A648CD">
      <w:pPr>
        <w:rPr>
          <w:sz w:val="20"/>
          <w:szCs w:val="20"/>
        </w:rPr>
      </w:pPr>
      <w:r>
        <w:rPr>
          <w:rStyle w:val="FootnoteReference"/>
          <w:sz w:val="20"/>
          <w:szCs w:val="20"/>
        </w:rPr>
        <w:footnoteRef/>
      </w:r>
      <w:r>
        <w:rPr>
          <w:sz w:val="20"/>
          <w:szCs w:val="20"/>
        </w:rPr>
        <w:t xml:space="preserve"> The 30-day notice may be viewed at</w:t>
      </w:r>
      <w:r w:rsidR="00767509">
        <w:rPr>
          <w:sz w:val="20"/>
          <w:szCs w:val="20"/>
        </w:rPr>
        <w:t xml:space="preserve"> </w:t>
      </w:r>
      <w:hyperlink r:id="rId2" w:history="1">
        <w:r w:rsidR="007E6E68" w:rsidRPr="003E7762">
          <w:rPr>
            <w:rStyle w:val="Hyperlink"/>
            <w:sz w:val="20"/>
            <w:szCs w:val="20"/>
          </w:rPr>
          <w:t>https://www.govinfo.gov/app/details/FR-2021-06-23/2021-13111</w:t>
        </w:r>
      </w:hyperlink>
      <w:r w:rsidR="007E6E68">
        <w:rPr>
          <w:sz w:val="20"/>
          <w:szCs w:val="20"/>
        </w:rPr>
        <w:t xml:space="preserve"> </w:t>
      </w:r>
      <w:r w:rsidR="00767509">
        <w:rPr>
          <w:sz w:val="20"/>
          <w:szCs w:val="20"/>
        </w:rPr>
        <w:t xml:space="preserve">  </w:t>
      </w:r>
      <w:r>
        <w:rPr>
          <w:sz w:val="20"/>
          <w:szCs w:val="20"/>
        </w:rPr>
        <w:t xml:space="preserve"> </w:t>
      </w:r>
    </w:p>
  </w:footnote>
  <w:footnote w:id="4">
    <w:p w14:paraId="04544B03" w14:textId="18BCAAD3" w:rsidR="00142059" w:rsidRPr="00E83193" w:rsidRDefault="00142059">
      <w:pPr>
        <w:pStyle w:val="FootnoteText"/>
        <w:rPr>
          <w:rStyle w:val="Hyperlink"/>
        </w:rPr>
      </w:pPr>
      <w:r>
        <w:rPr>
          <w:rStyle w:val="FootnoteReference"/>
        </w:rPr>
        <w:footnoteRef/>
      </w:r>
      <w:r>
        <w:t xml:space="preserve"> </w:t>
      </w:r>
      <w:r w:rsidRPr="009407B6">
        <w:rPr>
          <w:sz w:val="16"/>
          <w:szCs w:val="16"/>
        </w:rPr>
        <w:t>Source: U.S. Department of Interior. Bureau of Indian Affairs. Website:</w:t>
      </w:r>
      <w:r w:rsidRPr="0067797D">
        <w:t xml:space="preserve"> </w:t>
      </w:r>
      <w:hyperlink r:id="rId3" w:history="1">
        <w:r w:rsidRPr="00E83193">
          <w:rPr>
            <w:rStyle w:val="Hyperlink"/>
            <w:sz w:val="16"/>
            <w:szCs w:val="16"/>
          </w:rPr>
          <w:t>https://www.federalregister.gov/documents/2020/01/30/2020-01707/indian-entities-recognized-by-and-eligible-to-receive-services-from-the-united-states-bureau-of</w:t>
        </w:r>
      </w:hyperlink>
      <w:r w:rsidRPr="00E83193">
        <w:rPr>
          <w:rStyle w:val="Hyperlink"/>
          <w:sz w:val="16"/>
          <w:szCs w:val="16"/>
        </w:rPr>
        <w:t xml:space="preserve"> </w:t>
      </w:r>
    </w:p>
  </w:footnote>
  <w:footnote w:id="5">
    <w:p w14:paraId="30CE735B" w14:textId="77777777" w:rsidR="00142059" w:rsidRPr="00CB298B" w:rsidRDefault="00142059">
      <w:pPr>
        <w:pStyle w:val="FootnoteText"/>
        <w:rPr>
          <w:sz w:val="16"/>
          <w:szCs w:val="16"/>
        </w:rPr>
      </w:pPr>
      <w:r>
        <w:rPr>
          <w:rStyle w:val="FootnoteReference"/>
        </w:rPr>
        <w:footnoteRef/>
      </w:r>
      <w:r>
        <w:t xml:space="preserve"> </w:t>
      </w:r>
      <w:r w:rsidRPr="00CB298B">
        <w:rPr>
          <w:sz w:val="16"/>
          <w:szCs w:val="16"/>
        </w:rPr>
        <w:t xml:space="preserve">Source: </w:t>
      </w:r>
      <w:hyperlink r:id="rId4" w:history="1">
        <w:r w:rsidRPr="00CB298B">
          <w:rPr>
            <w:rStyle w:val="Hyperlink"/>
            <w:sz w:val="16"/>
            <w:szCs w:val="16"/>
          </w:rPr>
          <w:t>National Public Safety Information Bureau Database</w:t>
        </w:r>
      </w:hyperlink>
      <w:r w:rsidRPr="00CB298B">
        <w:rPr>
          <w:sz w:val="16"/>
          <w:szCs w:val="16"/>
        </w:rPr>
        <w:t xml:space="preserve">: Website: </w:t>
      </w:r>
      <w:hyperlink r:id="rId5" w:history="1">
        <w:r w:rsidRPr="00CB298B">
          <w:rPr>
            <w:rStyle w:val="Hyperlink"/>
            <w:sz w:val="16"/>
            <w:szCs w:val="16"/>
          </w:rPr>
          <w:t>http://www.safetysource.com/lists/</w:t>
        </w:r>
      </w:hyperlink>
      <w:r w:rsidRPr="00CB298B">
        <w:rPr>
          <w:sz w:val="16"/>
          <w:szCs w:val="16"/>
        </w:rPr>
        <w:t xml:space="preserve"> </w:t>
      </w:r>
    </w:p>
  </w:footnote>
  <w:footnote w:id="6">
    <w:p w14:paraId="67A9749A" w14:textId="61142C07" w:rsidR="00142059" w:rsidRPr="007E1535" w:rsidRDefault="00142059">
      <w:pPr>
        <w:pStyle w:val="FootnoteText"/>
        <w:rPr>
          <w:sz w:val="18"/>
          <w:szCs w:val="18"/>
        </w:rPr>
      </w:pPr>
      <w:r>
        <w:rPr>
          <w:rStyle w:val="FootnoteReference"/>
        </w:rPr>
        <w:footnoteRef/>
      </w:r>
      <w:r>
        <w:t xml:space="preserve"> </w:t>
      </w:r>
      <w:r w:rsidRPr="00F20D09">
        <w:rPr>
          <w:sz w:val="18"/>
          <w:szCs w:val="18"/>
        </w:rPr>
        <w:t>Source</w:t>
      </w:r>
      <w:r w:rsidRPr="00F20D09">
        <w:rPr>
          <w:i/>
          <w:sz w:val="18"/>
          <w:szCs w:val="18"/>
        </w:rPr>
        <w:t xml:space="preserve">: </w:t>
      </w:r>
      <w:r w:rsidRPr="00635165">
        <w:rPr>
          <w:sz w:val="16"/>
          <w:szCs w:val="16"/>
        </w:rPr>
        <w:t>Bureau of Labor Statistics</w:t>
      </w:r>
      <w:r>
        <w:rPr>
          <w:sz w:val="16"/>
          <w:szCs w:val="16"/>
        </w:rPr>
        <w:t xml:space="preserve">. </w:t>
      </w:r>
      <w:r w:rsidRPr="00F20D09">
        <w:rPr>
          <w:i/>
          <w:sz w:val="18"/>
          <w:szCs w:val="18"/>
        </w:rPr>
        <w:t>Firefighter Occupational Employment and Wages</w:t>
      </w:r>
      <w:r>
        <w:rPr>
          <w:i/>
          <w:sz w:val="18"/>
          <w:szCs w:val="18"/>
        </w:rPr>
        <w:t>, May 2019</w:t>
      </w:r>
      <w:r w:rsidRPr="00F20D09">
        <w:rPr>
          <w:sz w:val="18"/>
          <w:szCs w:val="18"/>
        </w:rPr>
        <w:t xml:space="preserve">: Website: </w:t>
      </w:r>
      <w:hyperlink r:id="rId6" w:history="1">
        <w:r w:rsidRPr="00196402">
          <w:rPr>
            <w:rStyle w:val="Hyperlink"/>
            <w:sz w:val="18"/>
            <w:szCs w:val="18"/>
          </w:rPr>
          <w:t>https://www.bls.gov/oes/2019/may/oes332011.htm</w:t>
        </w:r>
      </w:hyperlink>
    </w:p>
  </w:footnote>
  <w:footnote w:id="7">
    <w:p w14:paraId="1209090C" w14:textId="1D097104" w:rsidR="00142059" w:rsidRPr="00747EA2" w:rsidRDefault="00142059" w:rsidP="00747EA2">
      <w:pPr>
        <w:rPr>
          <w:color w:val="000000"/>
          <w:sz w:val="18"/>
          <w:szCs w:val="18"/>
        </w:rPr>
      </w:pPr>
      <w:r>
        <w:rPr>
          <w:rStyle w:val="FootnoteReference"/>
        </w:rPr>
        <w:footnoteRef/>
      </w:r>
      <w:r>
        <w:t xml:space="preserve"> </w:t>
      </w:r>
      <w:r>
        <w:rPr>
          <w:color w:val="000000"/>
          <w:sz w:val="16"/>
          <w:szCs w:val="16"/>
        </w:rPr>
        <w:t xml:space="preserve">Source: Bureau of Labor Statistics (2020). </w:t>
      </w:r>
      <w:r>
        <w:rPr>
          <w:i/>
          <w:iCs/>
          <w:color w:val="000000"/>
          <w:sz w:val="16"/>
          <w:szCs w:val="16"/>
        </w:rPr>
        <w:t xml:space="preserve">Occupational Employment and Wages, May 2019 Police and Sheriff’s Patrol Officers. </w:t>
      </w:r>
      <w:r>
        <w:rPr>
          <w:color w:val="000000"/>
          <w:sz w:val="16"/>
          <w:szCs w:val="16"/>
        </w:rPr>
        <w:t>Website:  https://www.bls.gov/oes/2019/may/oes333051.htm  ($32.50 *1.425=$46.32)</w:t>
      </w:r>
    </w:p>
  </w:footnote>
  <w:footnote w:id="8">
    <w:p w14:paraId="55D50B74" w14:textId="37A6A255" w:rsidR="00142059" w:rsidRDefault="00142059" w:rsidP="00747EA2">
      <w:r>
        <w:rPr>
          <w:rStyle w:val="FootnoteReference"/>
        </w:rPr>
        <w:footnoteRef/>
      </w:r>
      <w:r>
        <w:t xml:space="preserve"> </w:t>
      </w:r>
      <w:r>
        <w:rPr>
          <w:color w:val="000000"/>
          <w:sz w:val="16"/>
          <w:szCs w:val="16"/>
        </w:rPr>
        <w:t xml:space="preserve">Source: Bureau of Labor Statistics (2020). </w:t>
      </w:r>
      <w:r>
        <w:rPr>
          <w:i/>
          <w:iCs/>
          <w:color w:val="000000"/>
          <w:sz w:val="16"/>
          <w:szCs w:val="16"/>
        </w:rPr>
        <w:t>Occupational Employment and Wages, May 2019 Fire Fighters</w:t>
      </w:r>
      <w:r>
        <w:rPr>
          <w:color w:val="000000"/>
          <w:sz w:val="16"/>
          <w:szCs w:val="16"/>
        </w:rPr>
        <w:t>. Website: https://www.bls.gov/oes/2019/may/oes332011.htm ($26.27*1.425=$37.44)</w:t>
      </w:r>
    </w:p>
  </w:footnote>
  <w:footnote w:id="9">
    <w:p w14:paraId="3AE0DDE6" w14:textId="0E41797A" w:rsidR="00142059" w:rsidRDefault="00142059" w:rsidP="00747EA2">
      <w:r>
        <w:rPr>
          <w:rStyle w:val="FootnoteReference"/>
        </w:rPr>
        <w:footnoteRef/>
      </w:r>
      <w:r>
        <w:t xml:space="preserve"> </w:t>
      </w:r>
      <w:r>
        <w:rPr>
          <w:color w:val="000000"/>
          <w:sz w:val="16"/>
          <w:szCs w:val="16"/>
        </w:rPr>
        <w:t xml:space="preserve">Source: Bureau of Labor Statistics (2020). </w:t>
      </w:r>
      <w:r>
        <w:rPr>
          <w:i/>
          <w:iCs/>
          <w:color w:val="000000"/>
          <w:sz w:val="16"/>
          <w:szCs w:val="16"/>
        </w:rPr>
        <w:t>Occupational Employment and Wages, May 2019 Emergency Medical Technicians and Paramedics.</w:t>
      </w:r>
      <w:r>
        <w:rPr>
          <w:color w:val="000000"/>
          <w:sz w:val="16"/>
          <w:szCs w:val="16"/>
        </w:rPr>
        <w:t xml:space="preserve"> Website: https://www.bls.gov/oes/2019/may/oes292041.htm</w:t>
      </w:r>
      <w:r>
        <w:rPr>
          <w:color w:val="000000"/>
          <w:sz w:val="20"/>
          <w:szCs w:val="20"/>
        </w:rPr>
        <w:t xml:space="preserve"> </w:t>
      </w:r>
      <w:r>
        <w:rPr>
          <w:color w:val="000000"/>
          <w:sz w:val="16"/>
          <w:szCs w:val="16"/>
        </w:rPr>
        <w:t>($18.67 * 1.425=$26.61)</w:t>
      </w:r>
    </w:p>
  </w:footnote>
  <w:footnote w:id="10">
    <w:p w14:paraId="15600785" w14:textId="7273F084" w:rsidR="00142059" w:rsidRDefault="00142059" w:rsidP="00747EA2">
      <w:r>
        <w:rPr>
          <w:rStyle w:val="FootnoteReference"/>
        </w:rPr>
        <w:footnoteRef/>
      </w:r>
      <w:r>
        <w:t xml:space="preserve"> </w:t>
      </w:r>
      <w:r>
        <w:rPr>
          <w:color w:val="000000"/>
          <w:sz w:val="16"/>
          <w:szCs w:val="16"/>
        </w:rPr>
        <w:t xml:space="preserve">Source: Bureau of Labor Statistics (2020). </w:t>
      </w:r>
      <w:r>
        <w:rPr>
          <w:i/>
          <w:iCs/>
          <w:color w:val="000000"/>
          <w:sz w:val="16"/>
          <w:szCs w:val="16"/>
        </w:rPr>
        <w:t>Occupational Employment and Wages, May 2019 Police, Fire, and Ambulance Dispatchers.</w:t>
      </w:r>
      <w:r>
        <w:rPr>
          <w:color w:val="000000"/>
          <w:sz w:val="16"/>
          <w:szCs w:val="16"/>
        </w:rPr>
        <w:t xml:space="preserve"> Website:  https://www.bls.gov/oes/2019/may/oes435031.htm ($21.21 * 1.425=$30.37)</w:t>
      </w:r>
    </w:p>
  </w:footnote>
  <w:footnote w:id="11">
    <w:p w14:paraId="4476A569" w14:textId="764C916D" w:rsidR="00142059" w:rsidRDefault="00142059" w:rsidP="003B6520">
      <w:pPr>
        <w:rPr>
          <w:color w:val="000000"/>
          <w:sz w:val="18"/>
          <w:szCs w:val="18"/>
        </w:rPr>
      </w:pPr>
      <w:r>
        <w:rPr>
          <w:rStyle w:val="FootnoteReference"/>
        </w:rPr>
        <w:footnoteRef/>
      </w:r>
      <w:r>
        <w:t xml:space="preserve"> </w:t>
      </w:r>
      <w:r>
        <w:rPr>
          <w:color w:val="000000"/>
          <w:sz w:val="16"/>
          <w:szCs w:val="16"/>
        </w:rPr>
        <w:t xml:space="preserve">Source: Bureau of Labor Statistics (2020). </w:t>
      </w:r>
      <w:r>
        <w:rPr>
          <w:i/>
          <w:iCs/>
          <w:color w:val="000000"/>
          <w:sz w:val="16"/>
          <w:szCs w:val="16"/>
        </w:rPr>
        <w:t>Occupational Employment and Wages, May 2019 Community Food and Housing, and Emergency and Other Relief Services, Management Occupations (11-0000).</w:t>
      </w:r>
      <w:r>
        <w:rPr>
          <w:color w:val="000000"/>
          <w:sz w:val="16"/>
          <w:szCs w:val="16"/>
        </w:rPr>
        <w:t xml:space="preserve"> Website:  https://www.bls.gov/oes/current/naics4_624200.htm ($38.64*1.462=$55.07)</w:t>
      </w:r>
    </w:p>
    <w:p w14:paraId="5EE702B5" w14:textId="7A1FB5CF" w:rsidR="00142059" w:rsidRDefault="00142059">
      <w:pPr>
        <w:pStyle w:val="FootnoteText"/>
      </w:pPr>
    </w:p>
  </w:footnote>
  <w:footnote w:id="12">
    <w:p w14:paraId="079B62AD" w14:textId="664A0BE7" w:rsidR="00142059" w:rsidRDefault="00142059" w:rsidP="007E1535">
      <w:pPr>
        <w:pStyle w:val="FootnoteText"/>
      </w:pPr>
      <w:r w:rsidRPr="007E1535">
        <w:rPr>
          <w:rStyle w:val="FootnoteReference"/>
        </w:rPr>
        <w:footnoteRef/>
      </w:r>
      <w:r w:rsidRPr="007E1535">
        <w:t xml:space="preserve"> </w:t>
      </w:r>
      <w:r w:rsidRPr="007E1535">
        <w:rPr>
          <w:color w:val="000000"/>
          <w:sz w:val="16"/>
          <w:szCs w:val="16"/>
        </w:rPr>
        <w:t xml:space="preserve">Source: U.S. Office of Personnel Management. </w:t>
      </w:r>
      <w:r>
        <w:rPr>
          <w:color w:val="000000"/>
          <w:sz w:val="16"/>
          <w:szCs w:val="16"/>
        </w:rPr>
        <w:t>2020</w:t>
      </w:r>
      <w:r w:rsidRPr="007E1535">
        <w:rPr>
          <w:color w:val="000000"/>
          <w:sz w:val="16"/>
          <w:szCs w:val="16"/>
        </w:rPr>
        <w:t xml:space="preserve">. </w:t>
      </w:r>
      <w:r w:rsidRPr="007E1535">
        <w:rPr>
          <w:i/>
          <w:color w:val="000000"/>
          <w:sz w:val="16"/>
          <w:szCs w:val="16"/>
        </w:rPr>
        <w:t>Pay and Leave: Salaries and Wages 20</w:t>
      </w:r>
      <w:r>
        <w:rPr>
          <w:i/>
          <w:color w:val="000000"/>
          <w:sz w:val="16"/>
          <w:szCs w:val="16"/>
        </w:rPr>
        <w:t>20</w:t>
      </w:r>
      <w:r w:rsidRPr="007E1535">
        <w:rPr>
          <w:i/>
          <w:color w:val="000000"/>
          <w:sz w:val="16"/>
          <w:szCs w:val="16"/>
        </w:rPr>
        <w:t xml:space="preserve"> General Schedule Washington-Baltimore-Arlington, DC-MD-VA-WV-PA</w:t>
      </w:r>
      <w:r w:rsidRPr="007E1535">
        <w:rPr>
          <w:color w:val="000000"/>
          <w:sz w:val="16"/>
          <w:szCs w:val="16"/>
        </w:rPr>
        <w:t xml:space="preserve">. Website: </w:t>
      </w:r>
      <w:hyperlink r:id="rId7" w:history="1">
        <w:r w:rsidRPr="00F64BF3">
          <w:rPr>
            <w:rStyle w:val="Hyperlink"/>
            <w:sz w:val="16"/>
            <w:szCs w:val="16"/>
          </w:rPr>
          <w:t>https://www.opm.gov/policy-data-oversight/pay-leave/salaries-wages/salary-tables/pdf/2020/DCB.pdf</w:t>
        </w:r>
      </w:hyperlink>
      <w:r w:rsidRPr="007E1535">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FCC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EA149A"/>
    <w:multiLevelType w:val="hybridMultilevel"/>
    <w:tmpl w:val="39783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44D2A"/>
    <w:multiLevelType w:val="hybridMultilevel"/>
    <w:tmpl w:val="1D20D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40D0A"/>
    <w:multiLevelType w:val="hybridMultilevel"/>
    <w:tmpl w:val="E278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10"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26F008E4"/>
    <w:multiLevelType w:val="hybridMultilevel"/>
    <w:tmpl w:val="6CD6D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15:restartNumberingAfterBreak="0">
    <w:nsid w:val="3BF27ACB"/>
    <w:multiLevelType w:val="hybridMultilevel"/>
    <w:tmpl w:val="4046428C"/>
    <w:lvl w:ilvl="0" w:tplc="5986EA7A">
      <w:start w:val="1"/>
      <w:numFmt w:val="low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6"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9"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1"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F62E7A"/>
    <w:multiLevelType w:val="hybridMultilevel"/>
    <w:tmpl w:val="85D0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E58A3"/>
    <w:multiLevelType w:val="hybridMultilevel"/>
    <w:tmpl w:val="DE06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6"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7" w15:restartNumberingAfterBreak="0">
    <w:nsid w:val="5A8B5546"/>
    <w:multiLevelType w:val="hybridMultilevel"/>
    <w:tmpl w:val="D1A8C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30"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611B35"/>
    <w:multiLevelType w:val="hybridMultilevel"/>
    <w:tmpl w:val="E142632C"/>
    <w:lvl w:ilvl="0" w:tplc="E732E702">
      <w:start w:val="3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3"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4" w15:restartNumberingAfterBreak="0">
    <w:nsid w:val="7AF149F3"/>
    <w:multiLevelType w:val="hybridMultilevel"/>
    <w:tmpl w:val="1FE614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6" w15:restartNumberingAfterBreak="0">
    <w:nsid w:val="7DAF7669"/>
    <w:multiLevelType w:val="hybridMultilevel"/>
    <w:tmpl w:val="E96EB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25"/>
  </w:num>
  <w:num w:numId="3">
    <w:abstractNumId w:val="29"/>
  </w:num>
  <w:num w:numId="4">
    <w:abstractNumId w:val="15"/>
  </w:num>
  <w:num w:numId="5">
    <w:abstractNumId w:val="18"/>
  </w:num>
  <w:num w:numId="6">
    <w:abstractNumId w:val="26"/>
  </w:num>
  <w:num w:numId="7">
    <w:abstractNumId w:val="28"/>
  </w:num>
  <w:num w:numId="8">
    <w:abstractNumId w:val="20"/>
  </w:num>
  <w:num w:numId="9">
    <w:abstractNumId w:val="12"/>
  </w:num>
  <w:num w:numId="10">
    <w:abstractNumId w:val="33"/>
  </w:num>
  <w:num w:numId="11">
    <w:abstractNumId w:val="17"/>
  </w:num>
  <w:num w:numId="12">
    <w:abstractNumId w:val="10"/>
  </w:num>
  <w:num w:numId="13">
    <w:abstractNumId w:val="35"/>
  </w:num>
  <w:num w:numId="14">
    <w:abstractNumId w:val="8"/>
  </w:num>
  <w:num w:numId="15">
    <w:abstractNumId w:val="19"/>
  </w:num>
  <w:num w:numId="16">
    <w:abstractNumId w:val="13"/>
  </w:num>
  <w:num w:numId="17">
    <w:abstractNumId w:val="32"/>
  </w:num>
  <w:num w:numId="18">
    <w:abstractNumId w:val="1"/>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2"/>
  </w:num>
  <w:num w:numId="20">
    <w:abstractNumId w:val="30"/>
  </w:num>
  <w:num w:numId="21">
    <w:abstractNumId w:val="21"/>
  </w:num>
  <w:num w:numId="22">
    <w:abstractNumId w:val="16"/>
  </w:num>
  <w:num w:numId="23">
    <w:abstractNumId w:val="6"/>
  </w:num>
  <w:num w:numId="24">
    <w:abstractNumId w:val="4"/>
  </w:num>
  <w:num w:numId="25">
    <w:abstractNumId w:val="3"/>
  </w:num>
  <w:num w:numId="26">
    <w:abstractNumId w:val="0"/>
  </w:num>
  <w:num w:numId="27">
    <w:abstractNumId w:val="24"/>
  </w:num>
  <w:num w:numId="28">
    <w:abstractNumId w:val="2"/>
  </w:num>
  <w:num w:numId="29">
    <w:abstractNumId w:val="34"/>
  </w:num>
  <w:num w:numId="30">
    <w:abstractNumId w:val="31"/>
  </w:num>
  <w:num w:numId="31">
    <w:abstractNumId w:val="11"/>
  </w:num>
  <w:num w:numId="32">
    <w:abstractNumId w:val="7"/>
  </w:num>
  <w:num w:numId="33">
    <w:abstractNumId w:val="14"/>
  </w:num>
  <w:num w:numId="34">
    <w:abstractNumId w:val="36"/>
  </w:num>
  <w:num w:numId="35">
    <w:abstractNumId w:val="27"/>
  </w:num>
  <w:num w:numId="36">
    <w:abstractNumId w:val="2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36E2"/>
    <w:rsid w:val="000042D7"/>
    <w:rsid w:val="0000537B"/>
    <w:rsid w:val="00006B26"/>
    <w:rsid w:val="00007D6C"/>
    <w:rsid w:val="00007FFB"/>
    <w:rsid w:val="00011DF8"/>
    <w:rsid w:val="00012FBC"/>
    <w:rsid w:val="00014F23"/>
    <w:rsid w:val="00016FA6"/>
    <w:rsid w:val="000319C5"/>
    <w:rsid w:val="0003204F"/>
    <w:rsid w:val="000320B6"/>
    <w:rsid w:val="000329AC"/>
    <w:rsid w:val="000335C8"/>
    <w:rsid w:val="00033671"/>
    <w:rsid w:val="0003662F"/>
    <w:rsid w:val="0003796A"/>
    <w:rsid w:val="000414FE"/>
    <w:rsid w:val="00042924"/>
    <w:rsid w:val="000455F1"/>
    <w:rsid w:val="00047173"/>
    <w:rsid w:val="000478FA"/>
    <w:rsid w:val="00050DB4"/>
    <w:rsid w:val="00051756"/>
    <w:rsid w:val="00051FDA"/>
    <w:rsid w:val="00053577"/>
    <w:rsid w:val="00053802"/>
    <w:rsid w:val="000606BF"/>
    <w:rsid w:val="0006135E"/>
    <w:rsid w:val="00061FFC"/>
    <w:rsid w:val="00064F61"/>
    <w:rsid w:val="00070108"/>
    <w:rsid w:val="000708ED"/>
    <w:rsid w:val="000718FD"/>
    <w:rsid w:val="00076EAF"/>
    <w:rsid w:val="00076EF2"/>
    <w:rsid w:val="0008212C"/>
    <w:rsid w:val="00083F5D"/>
    <w:rsid w:val="00086C53"/>
    <w:rsid w:val="00087107"/>
    <w:rsid w:val="00090D9A"/>
    <w:rsid w:val="00091A7B"/>
    <w:rsid w:val="00094D90"/>
    <w:rsid w:val="000A1CFB"/>
    <w:rsid w:val="000A4447"/>
    <w:rsid w:val="000A4F68"/>
    <w:rsid w:val="000A6FC5"/>
    <w:rsid w:val="000B38A8"/>
    <w:rsid w:val="000B3FBB"/>
    <w:rsid w:val="000B66F6"/>
    <w:rsid w:val="000C246D"/>
    <w:rsid w:val="000C4293"/>
    <w:rsid w:val="000C59CD"/>
    <w:rsid w:val="000C6D67"/>
    <w:rsid w:val="000C7832"/>
    <w:rsid w:val="000D1B7C"/>
    <w:rsid w:val="000D26F2"/>
    <w:rsid w:val="000D355C"/>
    <w:rsid w:val="000D4148"/>
    <w:rsid w:val="000D439D"/>
    <w:rsid w:val="000D646D"/>
    <w:rsid w:val="000D7B28"/>
    <w:rsid w:val="000E1C6D"/>
    <w:rsid w:val="000E21A4"/>
    <w:rsid w:val="000E2A48"/>
    <w:rsid w:val="000E6D0B"/>
    <w:rsid w:val="000E7B5C"/>
    <w:rsid w:val="000F0FFF"/>
    <w:rsid w:val="000F38F3"/>
    <w:rsid w:val="000F5A7C"/>
    <w:rsid w:val="000F7843"/>
    <w:rsid w:val="0010533E"/>
    <w:rsid w:val="0011210E"/>
    <w:rsid w:val="001137C6"/>
    <w:rsid w:val="00113FEF"/>
    <w:rsid w:val="001160A9"/>
    <w:rsid w:val="00116314"/>
    <w:rsid w:val="00125484"/>
    <w:rsid w:val="001257F3"/>
    <w:rsid w:val="00126A5F"/>
    <w:rsid w:val="00127796"/>
    <w:rsid w:val="001279EB"/>
    <w:rsid w:val="00131EC9"/>
    <w:rsid w:val="00140882"/>
    <w:rsid w:val="001408DE"/>
    <w:rsid w:val="00141549"/>
    <w:rsid w:val="00141C5C"/>
    <w:rsid w:val="00142059"/>
    <w:rsid w:val="0014440A"/>
    <w:rsid w:val="001453BE"/>
    <w:rsid w:val="001456E1"/>
    <w:rsid w:val="001461D1"/>
    <w:rsid w:val="00146FF2"/>
    <w:rsid w:val="00151617"/>
    <w:rsid w:val="001541D0"/>
    <w:rsid w:val="001567A1"/>
    <w:rsid w:val="00156DD6"/>
    <w:rsid w:val="001571CF"/>
    <w:rsid w:val="001606F9"/>
    <w:rsid w:val="00160ABA"/>
    <w:rsid w:val="00167C1D"/>
    <w:rsid w:val="001709D4"/>
    <w:rsid w:val="0017155D"/>
    <w:rsid w:val="001810B9"/>
    <w:rsid w:val="001816CA"/>
    <w:rsid w:val="00184DDB"/>
    <w:rsid w:val="001873C2"/>
    <w:rsid w:val="00191158"/>
    <w:rsid w:val="00192615"/>
    <w:rsid w:val="00193F84"/>
    <w:rsid w:val="00194A62"/>
    <w:rsid w:val="0019602C"/>
    <w:rsid w:val="00196402"/>
    <w:rsid w:val="00197130"/>
    <w:rsid w:val="001A199D"/>
    <w:rsid w:val="001A2C95"/>
    <w:rsid w:val="001A740B"/>
    <w:rsid w:val="001B01E3"/>
    <w:rsid w:val="001B3700"/>
    <w:rsid w:val="001B4DF3"/>
    <w:rsid w:val="001B6DF0"/>
    <w:rsid w:val="001B7C2D"/>
    <w:rsid w:val="001C0069"/>
    <w:rsid w:val="001C18B1"/>
    <w:rsid w:val="001C2967"/>
    <w:rsid w:val="001C4B22"/>
    <w:rsid w:val="001C4CC1"/>
    <w:rsid w:val="001C4E52"/>
    <w:rsid w:val="001C504E"/>
    <w:rsid w:val="001C60CB"/>
    <w:rsid w:val="001C7503"/>
    <w:rsid w:val="001D0E00"/>
    <w:rsid w:val="001D3D44"/>
    <w:rsid w:val="001D56D8"/>
    <w:rsid w:val="001D5729"/>
    <w:rsid w:val="001E3CC2"/>
    <w:rsid w:val="001E4B66"/>
    <w:rsid w:val="001E7DA3"/>
    <w:rsid w:val="001F1EAC"/>
    <w:rsid w:val="001F2FEE"/>
    <w:rsid w:val="001F4BF9"/>
    <w:rsid w:val="00202517"/>
    <w:rsid w:val="002030D4"/>
    <w:rsid w:val="00204F46"/>
    <w:rsid w:val="0020527E"/>
    <w:rsid w:val="002058D6"/>
    <w:rsid w:val="00206631"/>
    <w:rsid w:val="00215307"/>
    <w:rsid w:val="0021666F"/>
    <w:rsid w:val="002168E4"/>
    <w:rsid w:val="0021701D"/>
    <w:rsid w:val="00220A11"/>
    <w:rsid w:val="00220A97"/>
    <w:rsid w:val="00221CE0"/>
    <w:rsid w:val="00221D0B"/>
    <w:rsid w:val="00222489"/>
    <w:rsid w:val="00222735"/>
    <w:rsid w:val="00222B57"/>
    <w:rsid w:val="00222D50"/>
    <w:rsid w:val="0022399E"/>
    <w:rsid w:val="00224C3C"/>
    <w:rsid w:val="00225567"/>
    <w:rsid w:val="00231806"/>
    <w:rsid w:val="00233B55"/>
    <w:rsid w:val="00235123"/>
    <w:rsid w:val="00235A8E"/>
    <w:rsid w:val="002366B4"/>
    <w:rsid w:val="00237711"/>
    <w:rsid w:val="002400C2"/>
    <w:rsid w:val="002406F5"/>
    <w:rsid w:val="00241419"/>
    <w:rsid w:val="00241C95"/>
    <w:rsid w:val="0024342A"/>
    <w:rsid w:val="002461A7"/>
    <w:rsid w:val="00246E7C"/>
    <w:rsid w:val="00247E7C"/>
    <w:rsid w:val="00251725"/>
    <w:rsid w:val="00253158"/>
    <w:rsid w:val="0025325A"/>
    <w:rsid w:val="00255734"/>
    <w:rsid w:val="00255D16"/>
    <w:rsid w:val="00256769"/>
    <w:rsid w:val="002611D4"/>
    <w:rsid w:val="00261C46"/>
    <w:rsid w:val="00264251"/>
    <w:rsid w:val="00264743"/>
    <w:rsid w:val="002674B4"/>
    <w:rsid w:val="00271CA7"/>
    <w:rsid w:val="00272047"/>
    <w:rsid w:val="00272CF0"/>
    <w:rsid w:val="00276CB6"/>
    <w:rsid w:val="0029038F"/>
    <w:rsid w:val="00290AAB"/>
    <w:rsid w:val="0029703B"/>
    <w:rsid w:val="00297C37"/>
    <w:rsid w:val="002A55EB"/>
    <w:rsid w:val="002A67DB"/>
    <w:rsid w:val="002A6906"/>
    <w:rsid w:val="002A6C67"/>
    <w:rsid w:val="002A7031"/>
    <w:rsid w:val="002A7DC3"/>
    <w:rsid w:val="002B01F8"/>
    <w:rsid w:val="002B0649"/>
    <w:rsid w:val="002B1786"/>
    <w:rsid w:val="002B275E"/>
    <w:rsid w:val="002B3142"/>
    <w:rsid w:val="002B4BF6"/>
    <w:rsid w:val="002B569C"/>
    <w:rsid w:val="002B7528"/>
    <w:rsid w:val="002C05B0"/>
    <w:rsid w:val="002C05CB"/>
    <w:rsid w:val="002C18EE"/>
    <w:rsid w:val="002C4806"/>
    <w:rsid w:val="002D0839"/>
    <w:rsid w:val="002D123C"/>
    <w:rsid w:val="002D4571"/>
    <w:rsid w:val="002D4708"/>
    <w:rsid w:val="002D6219"/>
    <w:rsid w:val="002D6656"/>
    <w:rsid w:val="002D7811"/>
    <w:rsid w:val="002E2E63"/>
    <w:rsid w:val="002E6FB7"/>
    <w:rsid w:val="002F2A01"/>
    <w:rsid w:val="002F7C36"/>
    <w:rsid w:val="002F7F7E"/>
    <w:rsid w:val="00301F13"/>
    <w:rsid w:val="00302B15"/>
    <w:rsid w:val="00302D0B"/>
    <w:rsid w:val="00304348"/>
    <w:rsid w:val="00307774"/>
    <w:rsid w:val="00313347"/>
    <w:rsid w:val="003216FA"/>
    <w:rsid w:val="003251BE"/>
    <w:rsid w:val="003259EE"/>
    <w:rsid w:val="003276AE"/>
    <w:rsid w:val="00332096"/>
    <w:rsid w:val="00333D1E"/>
    <w:rsid w:val="00337ED2"/>
    <w:rsid w:val="00341049"/>
    <w:rsid w:val="0034148A"/>
    <w:rsid w:val="00341672"/>
    <w:rsid w:val="0034195A"/>
    <w:rsid w:val="003478A9"/>
    <w:rsid w:val="00350E84"/>
    <w:rsid w:val="00361616"/>
    <w:rsid w:val="003635E8"/>
    <w:rsid w:val="00364EE8"/>
    <w:rsid w:val="00365A43"/>
    <w:rsid w:val="003670D5"/>
    <w:rsid w:val="00370F66"/>
    <w:rsid w:val="00371CC6"/>
    <w:rsid w:val="00372301"/>
    <w:rsid w:val="003760C5"/>
    <w:rsid w:val="00376255"/>
    <w:rsid w:val="00377D10"/>
    <w:rsid w:val="00381F93"/>
    <w:rsid w:val="00382291"/>
    <w:rsid w:val="00382C40"/>
    <w:rsid w:val="003832EE"/>
    <w:rsid w:val="00383A50"/>
    <w:rsid w:val="00384021"/>
    <w:rsid w:val="0039064C"/>
    <w:rsid w:val="0039325E"/>
    <w:rsid w:val="00393519"/>
    <w:rsid w:val="003939EC"/>
    <w:rsid w:val="00394081"/>
    <w:rsid w:val="0039705C"/>
    <w:rsid w:val="003A3B94"/>
    <w:rsid w:val="003A4655"/>
    <w:rsid w:val="003B191B"/>
    <w:rsid w:val="003B1EE4"/>
    <w:rsid w:val="003B25F3"/>
    <w:rsid w:val="003B5E20"/>
    <w:rsid w:val="003B6520"/>
    <w:rsid w:val="003B68FA"/>
    <w:rsid w:val="003C41F7"/>
    <w:rsid w:val="003C4DEC"/>
    <w:rsid w:val="003C6298"/>
    <w:rsid w:val="003D0A38"/>
    <w:rsid w:val="003D1781"/>
    <w:rsid w:val="003D3097"/>
    <w:rsid w:val="003D392E"/>
    <w:rsid w:val="003D3CEA"/>
    <w:rsid w:val="003D64C9"/>
    <w:rsid w:val="003E0D23"/>
    <w:rsid w:val="003E2046"/>
    <w:rsid w:val="003E2CC1"/>
    <w:rsid w:val="003E4418"/>
    <w:rsid w:val="003E6DD8"/>
    <w:rsid w:val="003F1520"/>
    <w:rsid w:val="00400FA4"/>
    <w:rsid w:val="00401237"/>
    <w:rsid w:val="004076BD"/>
    <w:rsid w:val="004109A9"/>
    <w:rsid w:val="00411B83"/>
    <w:rsid w:val="00413E8E"/>
    <w:rsid w:val="004142E0"/>
    <w:rsid w:val="00420155"/>
    <w:rsid w:val="00421595"/>
    <w:rsid w:val="004307BD"/>
    <w:rsid w:val="004311DD"/>
    <w:rsid w:val="0043124F"/>
    <w:rsid w:val="00432CC8"/>
    <w:rsid w:val="00432D3C"/>
    <w:rsid w:val="00432EC8"/>
    <w:rsid w:val="00436C97"/>
    <w:rsid w:val="00447C3A"/>
    <w:rsid w:val="004526A3"/>
    <w:rsid w:val="00453320"/>
    <w:rsid w:val="00454848"/>
    <w:rsid w:val="00457BF7"/>
    <w:rsid w:val="00457DAC"/>
    <w:rsid w:val="00460234"/>
    <w:rsid w:val="00462C47"/>
    <w:rsid w:val="00463085"/>
    <w:rsid w:val="00465BDD"/>
    <w:rsid w:val="00467424"/>
    <w:rsid w:val="00471821"/>
    <w:rsid w:val="00471CAF"/>
    <w:rsid w:val="00474574"/>
    <w:rsid w:val="00474A2D"/>
    <w:rsid w:val="00481363"/>
    <w:rsid w:val="00482F9B"/>
    <w:rsid w:val="00485C39"/>
    <w:rsid w:val="00485DDA"/>
    <w:rsid w:val="00487CAF"/>
    <w:rsid w:val="00490699"/>
    <w:rsid w:val="0049286B"/>
    <w:rsid w:val="00492920"/>
    <w:rsid w:val="004942E0"/>
    <w:rsid w:val="004A04FA"/>
    <w:rsid w:val="004A0DE6"/>
    <w:rsid w:val="004A144E"/>
    <w:rsid w:val="004A2A0D"/>
    <w:rsid w:val="004A365A"/>
    <w:rsid w:val="004A42B4"/>
    <w:rsid w:val="004B1565"/>
    <w:rsid w:val="004B194E"/>
    <w:rsid w:val="004B5686"/>
    <w:rsid w:val="004B62D9"/>
    <w:rsid w:val="004C21F8"/>
    <w:rsid w:val="004C74F7"/>
    <w:rsid w:val="004D00F8"/>
    <w:rsid w:val="004D167E"/>
    <w:rsid w:val="004D1E86"/>
    <w:rsid w:val="004D561F"/>
    <w:rsid w:val="004E070F"/>
    <w:rsid w:val="004E276A"/>
    <w:rsid w:val="004E3192"/>
    <w:rsid w:val="004E3463"/>
    <w:rsid w:val="004E4032"/>
    <w:rsid w:val="004E55A1"/>
    <w:rsid w:val="004F0F68"/>
    <w:rsid w:val="004F17A0"/>
    <w:rsid w:val="004F19C6"/>
    <w:rsid w:val="004F1A69"/>
    <w:rsid w:val="004F20E8"/>
    <w:rsid w:val="004F3A0A"/>
    <w:rsid w:val="004F789C"/>
    <w:rsid w:val="0051005D"/>
    <w:rsid w:val="00512B89"/>
    <w:rsid w:val="005156DC"/>
    <w:rsid w:val="00515F55"/>
    <w:rsid w:val="005168FD"/>
    <w:rsid w:val="005201D5"/>
    <w:rsid w:val="005202D4"/>
    <w:rsid w:val="00522EAE"/>
    <w:rsid w:val="00523D5C"/>
    <w:rsid w:val="00526CFB"/>
    <w:rsid w:val="0053016A"/>
    <w:rsid w:val="00531E59"/>
    <w:rsid w:val="005359C5"/>
    <w:rsid w:val="00541595"/>
    <w:rsid w:val="00541821"/>
    <w:rsid w:val="005420D3"/>
    <w:rsid w:val="00544A40"/>
    <w:rsid w:val="00544BB8"/>
    <w:rsid w:val="00545762"/>
    <w:rsid w:val="00545A5E"/>
    <w:rsid w:val="00547208"/>
    <w:rsid w:val="00550B78"/>
    <w:rsid w:val="00551BE0"/>
    <w:rsid w:val="0055323F"/>
    <w:rsid w:val="0055403B"/>
    <w:rsid w:val="0055475C"/>
    <w:rsid w:val="005609A5"/>
    <w:rsid w:val="00562881"/>
    <w:rsid w:val="00573B59"/>
    <w:rsid w:val="005776B6"/>
    <w:rsid w:val="00580711"/>
    <w:rsid w:val="005817B5"/>
    <w:rsid w:val="005842B1"/>
    <w:rsid w:val="005863E7"/>
    <w:rsid w:val="00586D0E"/>
    <w:rsid w:val="0059098F"/>
    <w:rsid w:val="005924FE"/>
    <w:rsid w:val="005932EC"/>
    <w:rsid w:val="00596554"/>
    <w:rsid w:val="0059670D"/>
    <w:rsid w:val="00596A43"/>
    <w:rsid w:val="00596E71"/>
    <w:rsid w:val="005A0C14"/>
    <w:rsid w:val="005A1C82"/>
    <w:rsid w:val="005A1E29"/>
    <w:rsid w:val="005B1C7B"/>
    <w:rsid w:val="005B4DC5"/>
    <w:rsid w:val="005C3DA9"/>
    <w:rsid w:val="005C3DCA"/>
    <w:rsid w:val="005C7058"/>
    <w:rsid w:val="005D0344"/>
    <w:rsid w:val="005D05EB"/>
    <w:rsid w:val="005D0717"/>
    <w:rsid w:val="005D1A6C"/>
    <w:rsid w:val="005D6EC2"/>
    <w:rsid w:val="005D7040"/>
    <w:rsid w:val="005D74CE"/>
    <w:rsid w:val="005D7769"/>
    <w:rsid w:val="005D781B"/>
    <w:rsid w:val="005E7B6A"/>
    <w:rsid w:val="005F6246"/>
    <w:rsid w:val="005F6C3A"/>
    <w:rsid w:val="00600B9D"/>
    <w:rsid w:val="0060340E"/>
    <w:rsid w:val="006034CD"/>
    <w:rsid w:val="00603959"/>
    <w:rsid w:val="00603B4A"/>
    <w:rsid w:val="00605A68"/>
    <w:rsid w:val="00605EDE"/>
    <w:rsid w:val="0061040F"/>
    <w:rsid w:val="00612285"/>
    <w:rsid w:val="00613620"/>
    <w:rsid w:val="00613A16"/>
    <w:rsid w:val="006145D1"/>
    <w:rsid w:val="00615DFD"/>
    <w:rsid w:val="006219F3"/>
    <w:rsid w:val="006235FF"/>
    <w:rsid w:val="00625391"/>
    <w:rsid w:val="00625D2C"/>
    <w:rsid w:val="006274D4"/>
    <w:rsid w:val="00635165"/>
    <w:rsid w:val="00640DCD"/>
    <w:rsid w:val="006450EE"/>
    <w:rsid w:val="00647611"/>
    <w:rsid w:val="00650405"/>
    <w:rsid w:val="0065520D"/>
    <w:rsid w:val="00657687"/>
    <w:rsid w:val="00662276"/>
    <w:rsid w:val="0066411F"/>
    <w:rsid w:val="00664282"/>
    <w:rsid w:val="006651B2"/>
    <w:rsid w:val="00665607"/>
    <w:rsid w:val="00674830"/>
    <w:rsid w:val="006749D4"/>
    <w:rsid w:val="0067797D"/>
    <w:rsid w:val="00681F07"/>
    <w:rsid w:val="0068258B"/>
    <w:rsid w:val="0068675F"/>
    <w:rsid w:val="0068783C"/>
    <w:rsid w:val="00691F3B"/>
    <w:rsid w:val="0069210F"/>
    <w:rsid w:val="0069316B"/>
    <w:rsid w:val="006935D3"/>
    <w:rsid w:val="006A0B1C"/>
    <w:rsid w:val="006A0DE7"/>
    <w:rsid w:val="006A128B"/>
    <w:rsid w:val="006A13D4"/>
    <w:rsid w:val="006A3873"/>
    <w:rsid w:val="006A38CF"/>
    <w:rsid w:val="006A7FF1"/>
    <w:rsid w:val="006B4994"/>
    <w:rsid w:val="006B7003"/>
    <w:rsid w:val="006B75CF"/>
    <w:rsid w:val="006B7DCA"/>
    <w:rsid w:val="006C21D0"/>
    <w:rsid w:val="006C7EF3"/>
    <w:rsid w:val="006D0D20"/>
    <w:rsid w:val="006D0E62"/>
    <w:rsid w:val="006D2C26"/>
    <w:rsid w:val="006D2F36"/>
    <w:rsid w:val="006D56CC"/>
    <w:rsid w:val="006D5CCE"/>
    <w:rsid w:val="006D5EC3"/>
    <w:rsid w:val="006D6097"/>
    <w:rsid w:val="006D6E63"/>
    <w:rsid w:val="006D785E"/>
    <w:rsid w:val="006D7A16"/>
    <w:rsid w:val="006E0002"/>
    <w:rsid w:val="006E13BF"/>
    <w:rsid w:val="006E32D9"/>
    <w:rsid w:val="006E6A48"/>
    <w:rsid w:val="006E7127"/>
    <w:rsid w:val="006F3380"/>
    <w:rsid w:val="006F43BD"/>
    <w:rsid w:val="006F559E"/>
    <w:rsid w:val="007051A1"/>
    <w:rsid w:val="007110A3"/>
    <w:rsid w:val="007113EC"/>
    <w:rsid w:val="00716614"/>
    <w:rsid w:val="007168A4"/>
    <w:rsid w:val="007170B0"/>
    <w:rsid w:val="00723916"/>
    <w:rsid w:val="00725D64"/>
    <w:rsid w:val="0072676B"/>
    <w:rsid w:val="007274A3"/>
    <w:rsid w:val="007277A8"/>
    <w:rsid w:val="00730443"/>
    <w:rsid w:val="00730C5C"/>
    <w:rsid w:val="00731E5C"/>
    <w:rsid w:val="007344A5"/>
    <w:rsid w:val="0073638E"/>
    <w:rsid w:val="007373BC"/>
    <w:rsid w:val="00741B83"/>
    <w:rsid w:val="00742F2D"/>
    <w:rsid w:val="007443F3"/>
    <w:rsid w:val="00744AD2"/>
    <w:rsid w:val="00745C87"/>
    <w:rsid w:val="007466D8"/>
    <w:rsid w:val="00747EA2"/>
    <w:rsid w:val="00752D76"/>
    <w:rsid w:val="0075316F"/>
    <w:rsid w:val="007551FF"/>
    <w:rsid w:val="0075612C"/>
    <w:rsid w:val="00756250"/>
    <w:rsid w:val="0075728F"/>
    <w:rsid w:val="00760FBE"/>
    <w:rsid w:val="00762CCC"/>
    <w:rsid w:val="00764F75"/>
    <w:rsid w:val="00767509"/>
    <w:rsid w:val="0077056F"/>
    <w:rsid w:val="00776FAB"/>
    <w:rsid w:val="00780D7B"/>
    <w:rsid w:val="007846DE"/>
    <w:rsid w:val="00787A13"/>
    <w:rsid w:val="0079027E"/>
    <w:rsid w:val="007A01D8"/>
    <w:rsid w:val="007B274B"/>
    <w:rsid w:val="007C1BDA"/>
    <w:rsid w:val="007C21FC"/>
    <w:rsid w:val="007C58A8"/>
    <w:rsid w:val="007C7623"/>
    <w:rsid w:val="007C7CA5"/>
    <w:rsid w:val="007D0399"/>
    <w:rsid w:val="007D06E4"/>
    <w:rsid w:val="007D0F4F"/>
    <w:rsid w:val="007D3211"/>
    <w:rsid w:val="007E1535"/>
    <w:rsid w:val="007E4DEF"/>
    <w:rsid w:val="007E6ADF"/>
    <w:rsid w:val="007E6E68"/>
    <w:rsid w:val="007F3C66"/>
    <w:rsid w:val="007F61EC"/>
    <w:rsid w:val="007F6AD9"/>
    <w:rsid w:val="007F79EE"/>
    <w:rsid w:val="00801649"/>
    <w:rsid w:val="00807277"/>
    <w:rsid w:val="00811833"/>
    <w:rsid w:val="008123CF"/>
    <w:rsid w:val="008147A1"/>
    <w:rsid w:val="00817694"/>
    <w:rsid w:val="00823EAD"/>
    <w:rsid w:val="00826647"/>
    <w:rsid w:val="0082762D"/>
    <w:rsid w:val="00833AC6"/>
    <w:rsid w:val="008354F6"/>
    <w:rsid w:val="008356CC"/>
    <w:rsid w:val="00840338"/>
    <w:rsid w:val="008419A6"/>
    <w:rsid w:val="00844F16"/>
    <w:rsid w:val="008500FB"/>
    <w:rsid w:val="00851BF1"/>
    <w:rsid w:val="00854F6F"/>
    <w:rsid w:val="008604A2"/>
    <w:rsid w:val="0086651D"/>
    <w:rsid w:val="00866621"/>
    <w:rsid w:val="008719E8"/>
    <w:rsid w:val="0087345B"/>
    <w:rsid w:val="00874427"/>
    <w:rsid w:val="00874DD8"/>
    <w:rsid w:val="00875586"/>
    <w:rsid w:val="008768E1"/>
    <w:rsid w:val="008804CB"/>
    <w:rsid w:val="00881C47"/>
    <w:rsid w:val="00887178"/>
    <w:rsid w:val="008924F0"/>
    <w:rsid w:val="00896C54"/>
    <w:rsid w:val="008A0C9A"/>
    <w:rsid w:val="008A1614"/>
    <w:rsid w:val="008A165F"/>
    <w:rsid w:val="008A221D"/>
    <w:rsid w:val="008A520D"/>
    <w:rsid w:val="008A62EB"/>
    <w:rsid w:val="008A698A"/>
    <w:rsid w:val="008A76A3"/>
    <w:rsid w:val="008B11C4"/>
    <w:rsid w:val="008B1A1B"/>
    <w:rsid w:val="008B2739"/>
    <w:rsid w:val="008B31AF"/>
    <w:rsid w:val="008B5A64"/>
    <w:rsid w:val="008B5B43"/>
    <w:rsid w:val="008B73E0"/>
    <w:rsid w:val="008B7403"/>
    <w:rsid w:val="008B7F05"/>
    <w:rsid w:val="008C03A6"/>
    <w:rsid w:val="008C27C3"/>
    <w:rsid w:val="008C2873"/>
    <w:rsid w:val="008C3D0D"/>
    <w:rsid w:val="008D1993"/>
    <w:rsid w:val="008D61ED"/>
    <w:rsid w:val="008D744F"/>
    <w:rsid w:val="008E0E8B"/>
    <w:rsid w:val="008E4152"/>
    <w:rsid w:val="008E4FF1"/>
    <w:rsid w:val="008E64D3"/>
    <w:rsid w:val="008F213E"/>
    <w:rsid w:val="008F2F44"/>
    <w:rsid w:val="008F4069"/>
    <w:rsid w:val="008F4CCA"/>
    <w:rsid w:val="008F50C7"/>
    <w:rsid w:val="008F55A9"/>
    <w:rsid w:val="00903E13"/>
    <w:rsid w:val="00904A45"/>
    <w:rsid w:val="00907A09"/>
    <w:rsid w:val="00913A27"/>
    <w:rsid w:val="009221D9"/>
    <w:rsid w:val="00924C84"/>
    <w:rsid w:val="00933E17"/>
    <w:rsid w:val="0093542A"/>
    <w:rsid w:val="00937C07"/>
    <w:rsid w:val="009407B6"/>
    <w:rsid w:val="00942617"/>
    <w:rsid w:val="0094389A"/>
    <w:rsid w:val="0094440C"/>
    <w:rsid w:val="00944494"/>
    <w:rsid w:val="009479BB"/>
    <w:rsid w:val="009501B2"/>
    <w:rsid w:val="009501DD"/>
    <w:rsid w:val="009539A8"/>
    <w:rsid w:val="00957E7F"/>
    <w:rsid w:val="00961FD6"/>
    <w:rsid w:val="009632EC"/>
    <w:rsid w:val="0096453F"/>
    <w:rsid w:val="0096736F"/>
    <w:rsid w:val="009719A6"/>
    <w:rsid w:val="00973C73"/>
    <w:rsid w:val="009752E7"/>
    <w:rsid w:val="0098240B"/>
    <w:rsid w:val="00982DDE"/>
    <w:rsid w:val="00982EAD"/>
    <w:rsid w:val="009850BA"/>
    <w:rsid w:val="00991D67"/>
    <w:rsid w:val="00992C6F"/>
    <w:rsid w:val="00993F06"/>
    <w:rsid w:val="00995211"/>
    <w:rsid w:val="00996984"/>
    <w:rsid w:val="009A00CC"/>
    <w:rsid w:val="009A41C6"/>
    <w:rsid w:val="009A45C4"/>
    <w:rsid w:val="009A7B24"/>
    <w:rsid w:val="009B08FB"/>
    <w:rsid w:val="009B45D6"/>
    <w:rsid w:val="009B4A68"/>
    <w:rsid w:val="009B5578"/>
    <w:rsid w:val="009C4719"/>
    <w:rsid w:val="009D0EDC"/>
    <w:rsid w:val="009D128B"/>
    <w:rsid w:val="009E04FE"/>
    <w:rsid w:val="009E0F57"/>
    <w:rsid w:val="009E131A"/>
    <w:rsid w:val="009E1BC8"/>
    <w:rsid w:val="009E4B75"/>
    <w:rsid w:val="009E62A8"/>
    <w:rsid w:val="009F06EB"/>
    <w:rsid w:val="009F3F9E"/>
    <w:rsid w:val="009F3FB5"/>
    <w:rsid w:val="009F4973"/>
    <w:rsid w:val="009F4AFA"/>
    <w:rsid w:val="009F5E5D"/>
    <w:rsid w:val="009F6D76"/>
    <w:rsid w:val="009F746D"/>
    <w:rsid w:val="00A00007"/>
    <w:rsid w:val="00A05144"/>
    <w:rsid w:val="00A06136"/>
    <w:rsid w:val="00A0781B"/>
    <w:rsid w:val="00A16194"/>
    <w:rsid w:val="00A326A8"/>
    <w:rsid w:val="00A34334"/>
    <w:rsid w:val="00A35A28"/>
    <w:rsid w:val="00A40D6E"/>
    <w:rsid w:val="00A42A18"/>
    <w:rsid w:val="00A45637"/>
    <w:rsid w:val="00A45B54"/>
    <w:rsid w:val="00A46CB2"/>
    <w:rsid w:val="00A476E8"/>
    <w:rsid w:val="00A47E17"/>
    <w:rsid w:val="00A50719"/>
    <w:rsid w:val="00A60CFF"/>
    <w:rsid w:val="00A6410E"/>
    <w:rsid w:val="00A648CD"/>
    <w:rsid w:val="00A6683E"/>
    <w:rsid w:val="00A7225F"/>
    <w:rsid w:val="00A73353"/>
    <w:rsid w:val="00A76887"/>
    <w:rsid w:val="00A7730A"/>
    <w:rsid w:val="00A778DA"/>
    <w:rsid w:val="00A80AC5"/>
    <w:rsid w:val="00A82024"/>
    <w:rsid w:val="00A83843"/>
    <w:rsid w:val="00A85A85"/>
    <w:rsid w:val="00A86041"/>
    <w:rsid w:val="00A916CF"/>
    <w:rsid w:val="00A917A2"/>
    <w:rsid w:val="00A92A69"/>
    <w:rsid w:val="00A92AA3"/>
    <w:rsid w:val="00A935D6"/>
    <w:rsid w:val="00A9386D"/>
    <w:rsid w:val="00AA3F82"/>
    <w:rsid w:val="00AA5BDD"/>
    <w:rsid w:val="00AA6813"/>
    <w:rsid w:val="00AA693D"/>
    <w:rsid w:val="00AB2E3D"/>
    <w:rsid w:val="00AB511F"/>
    <w:rsid w:val="00AB5663"/>
    <w:rsid w:val="00AB71B7"/>
    <w:rsid w:val="00AC4D76"/>
    <w:rsid w:val="00AC6C4D"/>
    <w:rsid w:val="00AC768B"/>
    <w:rsid w:val="00AD00AE"/>
    <w:rsid w:val="00AD0194"/>
    <w:rsid w:val="00AD69D5"/>
    <w:rsid w:val="00AE0D1F"/>
    <w:rsid w:val="00AE259F"/>
    <w:rsid w:val="00AE2D1A"/>
    <w:rsid w:val="00AE384D"/>
    <w:rsid w:val="00AE41B7"/>
    <w:rsid w:val="00AE56E1"/>
    <w:rsid w:val="00AE5D88"/>
    <w:rsid w:val="00AF0B75"/>
    <w:rsid w:val="00AF4838"/>
    <w:rsid w:val="00AF4918"/>
    <w:rsid w:val="00B00979"/>
    <w:rsid w:val="00B02152"/>
    <w:rsid w:val="00B075EA"/>
    <w:rsid w:val="00B139CF"/>
    <w:rsid w:val="00B14F17"/>
    <w:rsid w:val="00B15276"/>
    <w:rsid w:val="00B16E25"/>
    <w:rsid w:val="00B17D05"/>
    <w:rsid w:val="00B204A5"/>
    <w:rsid w:val="00B24071"/>
    <w:rsid w:val="00B2431C"/>
    <w:rsid w:val="00B35A9A"/>
    <w:rsid w:val="00B410FE"/>
    <w:rsid w:val="00B41D08"/>
    <w:rsid w:val="00B4714F"/>
    <w:rsid w:val="00B5123C"/>
    <w:rsid w:val="00B51513"/>
    <w:rsid w:val="00B52BA3"/>
    <w:rsid w:val="00B54185"/>
    <w:rsid w:val="00B57157"/>
    <w:rsid w:val="00B609B8"/>
    <w:rsid w:val="00B61C2C"/>
    <w:rsid w:val="00B64258"/>
    <w:rsid w:val="00B67664"/>
    <w:rsid w:val="00B71F1F"/>
    <w:rsid w:val="00B7629E"/>
    <w:rsid w:val="00B831D2"/>
    <w:rsid w:val="00B838E8"/>
    <w:rsid w:val="00B844B0"/>
    <w:rsid w:val="00B91395"/>
    <w:rsid w:val="00B95571"/>
    <w:rsid w:val="00B97A5D"/>
    <w:rsid w:val="00BA11D1"/>
    <w:rsid w:val="00BA2768"/>
    <w:rsid w:val="00BA4A44"/>
    <w:rsid w:val="00BB053C"/>
    <w:rsid w:val="00BB1447"/>
    <w:rsid w:val="00BB3FD2"/>
    <w:rsid w:val="00BB50D6"/>
    <w:rsid w:val="00BB7487"/>
    <w:rsid w:val="00BC0228"/>
    <w:rsid w:val="00BC2C43"/>
    <w:rsid w:val="00BC4084"/>
    <w:rsid w:val="00BC4542"/>
    <w:rsid w:val="00BD26B9"/>
    <w:rsid w:val="00BE1288"/>
    <w:rsid w:val="00BE220F"/>
    <w:rsid w:val="00BE27D8"/>
    <w:rsid w:val="00BE3577"/>
    <w:rsid w:val="00BE4B9B"/>
    <w:rsid w:val="00BF02A9"/>
    <w:rsid w:val="00BF1853"/>
    <w:rsid w:val="00BF262F"/>
    <w:rsid w:val="00BF45A5"/>
    <w:rsid w:val="00BF57F1"/>
    <w:rsid w:val="00BF6A38"/>
    <w:rsid w:val="00C10ACB"/>
    <w:rsid w:val="00C11435"/>
    <w:rsid w:val="00C170EE"/>
    <w:rsid w:val="00C234A4"/>
    <w:rsid w:val="00C245E0"/>
    <w:rsid w:val="00C3419E"/>
    <w:rsid w:val="00C4332C"/>
    <w:rsid w:val="00C44227"/>
    <w:rsid w:val="00C443A2"/>
    <w:rsid w:val="00C472C4"/>
    <w:rsid w:val="00C506BE"/>
    <w:rsid w:val="00C520DC"/>
    <w:rsid w:val="00C55248"/>
    <w:rsid w:val="00C5773A"/>
    <w:rsid w:val="00C624AD"/>
    <w:rsid w:val="00C64C87"/>
    <w:rsid w:val="00C64CE1"/>
    <w:rsid w:val="00C70E30"/>
    <w:rsid w:val="00C733C0"/>
    <w:rsid w:val="00C739AB"/>
    <w:rsid w:val="00C73C53"/>
    <w:rsid w:val="00C7422C"/>
    <w:rsid w:val="00C75797"/>
    <w:rsid w:val="00C75E57"/>
    <w:rsid w:val="00C75FE7"/>
    <w:rsid w:val="00C77539"/>
    <w:rsid w:val="00C8381A"/>
    <w:rsid w:val="00C90584"/>
    <w:rsid w:val="00CA24B1"/>
    <w:rsid w:val="00CA3C5E"/>
    <w:rsid w:val="00CA51E1"/>
    <w:rsid w:val="00CA571B"/>
    <w:rsid w:val="00CA7AF8"/>
    <w:rsid w:val="00CB0D26"/>
    <w:rsid w:val="00CB18DA"/>
    <w:rsid w:val="00CB298B"/>
    <w:rsid w:val="00CB5FCB"/>
    <w:rsid w:val="00CB6507"/>
    <w:rsid w:val="00CC3CAE"/>
    <w:rsid w:val="00CC4155"/>
    <w:rsid w:val="00CC5528"/>
    <w:rsid w:val="00CC6442"/>
    <w:rsid w:val="00CC6D19"/>
    <w:rsid w:val="00CC762E"/>
    <w:rsid w:val="00CD2DFE"/>
    <w:rsid w:val="00CD2EB8"/>
    <w:rsid w:val="00CD4244"/>
    <w:rsid w:val="00CD4575"/>
    <w:rsid w:val="00CD5FED"/>
    <w:rsid w:val="00CE3D0D"/>
    <w:rsid w:val="00CE4CD1"/>
    <w:rsid w:val="00CF45CF"/>
    <w:rsid w:val="00D006B0"/>
    <w:rsid w:val="00D04C05"/>
    <w:rsid w:val="00D1024C"/>
    <w:rsid w:val="00D12F08"/>
    <w:rsid w:val="00D13A88"/>
    <w:rsid w:val="00D174F1"/>
    <w:rsid w:val="00D20D16"/>
    <w:rsid w:val="00D22E40"/>
    <w:rsid w:val="00D22F59"/>
    <w:rsid w:val="00D314A0"/>
    <w:rsid w:val="00D3411B"/>
    <w:rsid w:val="00D352CA"/>
    <w:rsid w:val="00D368E8"/>
    <w:rsid w:val="00D371F6"/>
    <w:rsid w:val="00D40C84"/>
    <w:rsid w:val="00D42E87"/>
    <w:rsid w:val="00D55AFC"/>
    <w:rsid w:val="00D63356"/>
    <w:rsid w:val="00D67B0D"/>
    <w:rsid w:val="00D70E8A"/>
    <w:rsid w:val="00D7293E"/>
    <w:rsid w:val="00D72E95"/>
    <w:rsid w:val="00D73BBC"/>
    <w:rsid w:val="00D82962"/>
    <w:rsid w:val="00D865B3"/>
    <w:rsid w:val="00D866FF"/>
    <w:rsid w:val="00D903B4"/>
    <w:rsid w:val="00D90F23"/>
    <w:rsid w:val="00D93841"/>
    <w:rsid w:val="00D9440C"/>
    <w:rsid w:val="00D95543"/>
    <w:rsid w:val="00D9646A"/>
    <w:rsid w:val="00DA0968"/>
    <w:rsid w:val="00DA2272"/>
    <w:rsid w:val="00DA6F96"/>
    <w:rsid w:val="00DB0532"/>
    <w:rsid w:val="00DB271A"/>
    <w:rsid w:val="00DB459B"/>
    <w:rsid w:val="00DB6BCE"/>
    <w:rsid w:val="00DC6E79"/>
    <w:rsid w:val="00DC781C"/>
    <w:rsid w:val="00DD2BA2"/>
    <w:rsid w:val="00DD300E"/>
    <w:rsid w:val="00DD39A8"/>
    <w:rsid w:val="00DD4ECD"/>
    <w:rsid w:val="00DD5513"/>
    <w:rsid w:val="00DD6682"/>
    <w:rsid w:val="00DE4B43"/>
    <w:rsid w:val="00DE5954"/>
    <w:rsid w:val="00DE7DBE"/>
    <w:rsid w:val="00DF0687"/>
    <w:rsid w:val="00DF3D4A"/>
    <w:rsid w:val="00DF4FEE"/>
    <w:rsid w:val="00E028E3"/>
    <w:rsid w:val="00E02AE1"/>
    <w:rsid w:val="00E12104"/>
    <w:rsid w:val="00E13A7F"/>
    <w:rsid w:val="00E149D7"/>
    <w:rsid w:val="00E17D76"/>
    <w:rsid w:val="00E2481E"/>
    <w:rsid w:val="00E25DBB"/>
    <w:rsid w:val="00E271E7"/>
    <w:rsid w:val="00E307F7"/>
    <w:rsid w:val="00E318F9"/>
    <w:rsid w:val="00E35694"/>
    <w:rsid w:val="00E36F21"/>
    <w:rsid w:val="00E4187F"/>
    <w:rsid w:val="00E476EF"/>
    <w:rsid w:val="00E520D8"/>
    <w:rsid w:val="00E573CC"/>
    <w:rsid w:val="00E60F4D"/>
    <w:rsid w:val="00E75177"/>
    <w:rsid w:val="00E81FFF"/>
    <w:rsid w:val="00E83193"/>
    <w:rsid w:val="00E8658C"/>
    <w:rsid w:val="00E91E77"/>
    <w:rsid w:val="00E921A2"/>
    <w:rsid w:val="00E93D7C"/>
    <w:rsid w:val="00E9768A"/>
    <w:rsid w:val="00EA68DA"/>
    <w:rsid w:val="00EA6DEF"/>
    <w:rsid w:val="00EB5E96"/>
    <w:rsid w:val="00EC3659"/>
    <w:rsid w:val="00ED1E82"/>
    <w:rsid w:val="00EE0854"/>
    <w:rsid w:val="00EE1178"/>
    <w:rsid w:val="00EE42EE"/>
    <w:rsid w:val="00EF01A7"/>
    <w:rsid w:val="00EF18CF"/>
    <w:rsid w:val="00EF5925"/>
    <w:rsid w:val="00EF73D7"/>
    <w:rsid w:val="00F00034"/>
    <w:rsid w:val="00F049F5"/>
    <w:rsid w:val="00F05391"/>
    <w:rsid w:val="00F06078"/>
    <w:rsid w:val="00F105FC"/>
    <w:rsid w:val="00F10D3D"/>
    <w:rsid w:val="00F15304"/>
    <w:rsid w:val="00F175CB"/>
    <w:rsid w:val="00F20D09"/>
    <w:rsid w:val="00F244EB"/>
    <w:rsid w:val="00F25F8D"/>
    <w:rsid w:val="00F31BB4"/>
    <w:rsid w:val="00F33B1A"/>
    <w:rsid w:val="00F34CC6"/>
    <w:rsid w:val="00F37F32"/>
    <w:rsid w:val="00F415B7"/>
    <w:rsid w:val="00F42AFB"/>
    <w:rsid w:val="00F4411A"/>
    <w:rsid w:val="00F459E0"/>
    <w:rsid w:val="00F52358"/>
    <w:rsid w:val="00F52D4E"/>
    <w:rsid w:val="00F54FA6"/>
    <w:rsid w:val="00F561C9"/>
    <w:rsid w:val="00F628C3"/>
    <w:rsid w:val="00F66CB9"/>
    <w:rsid w:val="00F71330"/>
    <w:rsid w:val="00F716E7"/>
    <w:rsid w:val="00F72B26"/>
    <w:rsid w:val="00F73C54"/>
    <w:rsid w:val="00F74D4C"/>
    <w:rsid w:val="00F7779A"/>
    <w:rsid w:val="00F86DC0"/>
    <w:rsid w:val="00F87F17"/>
    <w:rsid w:val="00F930EE"/>
    <w:rsid w:val="00FA6A35"/>
    <w:rsid w:val="00FB02F9"/>
    <w:rsid w:val="00FB503F"/>
    <w:rsid w:val="00FB64C9"/>
    <w:rsid w:val="00FC2556"/>
    <w:rsid w:val="00FC7405"/>
    <w:rsid w:val="00FD2181"/>
    <w:rsid w:val="00FD2846"/>
    <w:rsid w:val="00FE192B"/>
    <w:rsid w:val="00FE5940"/>
    <w:rsid w:val="00FE7C4C"/>
    <w:rsid w:val="00FF1073"/>
    <w:rsid w:val="00FF1A39"/>
    <w:rsid w:val="00FF38EE"/>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46CF"/>
  <w15:docId w15:val="{9CE8DFB6-A839-4983-B0B9-C3B1C979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F7843"/>
    <w:rPr>
      <w:sz w:val="20"/>
      <w:szCs w:val="20"/>
    </w:rPr>
  </w:style>
  <w:style w:type="character" w:customStyle="1" w:styleId="FootnoteTextChar">
    <w:name w:val="Footnote Text Char"/>
    <w:basedOn w:val="DefaultParagraphFont"/>
    <w:link w:val="FootnoteText"/>
    <w:rsid w:val="000F7843"/>
  </w:style>
  <w:style w:type="character" w:styleId="FootnoteReference">
    <w:name w:val="footnote reference"/>
    <w:aliases w:val="Number"/>
    <w:uiPriority w:val="99"/>
    <w:qFormat/>
    <w:rsid w:val="000F7843"/>
    <w:rPr>
      <w:vertAlign w:val="superscript"/>
    </w:rPr>
  </w:style>
  <w:style w:type="character" w:styleId="FollowedHyperlink">
    <w:name w:val="FollowedHyperlink"/>
    <w:rsid w:val="00EE1178"/>
    <w:rPr>
      <w:color w:val="954F72"/>
      <w:u w:val="single"/>
    </w:rPr>
  </w:style>
  <w:style w:type="paragraph" w:styleId="ListParagraph">
    <w:name w:val="List Paragraph"/>
    <w:basedOn w:val="Normal"/>
    <w:uiPriority w:val="34"/>
    <w:qFormat/>
    <w:rsid w:val="00AD00AE"/>
    <w:pPr>
      <w:ind w:left="720"/>
      <w:contextualSpacing/>
    </w:pPr>
  </w:style>
  <w:style w:type="paragraph" w:styleId="Revision">
    <w:name w:val="Revision"/>
    <w:hidden/>
    <w:uiPriority w:val="99"/>
    <w:semiHidden/>
    <w:rsid w:val="00691F3B"/>
    <w:rPr>
      <w:sz w:val="24"/>
      <w:szCs w:val="24"/>
    </w:rPr>
  </w:style>
  <w:style w:type="character" w:customStyle="1" w:styleId="Mention1">
    <w:name w:val="Mention1"/>
    <w:basedOn w:val="DefaultParagraphFont"/>
    <w:uiPriority w:val="99"/>
    <w:semiHidden/>
    <w:unhideWhenUsed/>
    <w:rsid w:val="00E93D7C"/>
    <w:rPr>
      <w:color w:val="2B579A"/>
      <w:shd w:val="clear" w:color="auto" w:fill="E6E6E6"/>
    </w:rPr>
  </w:style>
  <w:style w:type="character" w:styleId="UnresolvedMention">
    <w:name w:val="Unresolved Mention"/>
    <w:basedOn w:val="DefaultParagraphFont"/>
    <w:uiPriority w:val="99"/>
    <w:semiHidden/>
    <w:unhideWhenUsed/>
    <w:rsid w:val="0068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9115">
      <w:bodyDiv w:val="1"/>
      <w:marLeft w:val="0"/>
      <w:marRight w:val="0"/>
      <w:marTop w:val="0"/>
      <w:marBottom w:val="0"/>
      <w:divBdr>
        <w:top w:val="none" w:sz="0" w:space="0" w:color="auto"/>
        <w:left w:val="none" w:sz="0" w:space="0" w:color="auto"/>
        <w:bottom w:val="none" w:sz="0" w:space="0" w:color="auto"/>
        <w:right w:val="none" w:sz="0" w:space="0" w:color="auto"/>
      </w:divBdr>
    </w:div>
    <w:div w:id="81027519">
      <w:bodyDiv w:val="1"/>
      <w:marLeft w:val="0"/>
      <w:marRight w:val="0"/>
      <w:marTop w:val="0"/>
      <w:marBottom w:val="0"/>
      <w:divBdr>
        <w:top w:val="none" w:sz="0" w:space="0" w:color="auto"/>
        <w:left w:val="none" w:sz="0" w:space="0" w:color="auto"/>
        <w:bottom w:val="none" w:sz="0" w:space="0" w:color="auto"/>
        <w:right w:val="none" w:sz="0" w:space="0" w:color="auto"/>
      </w:divBdr>
    </w:div>
    <w:div w:id="83957279">
      <w:bodyDiv w:val="1"/>
      <w:marLeft w:val="0"/>
      <w:marRight w:val="0"/>
      <w:marTop w:val="0"/>
      <w:marBottom w:val="0"/>
      <w:divBdr>
        <w:top w:val="none" w:sz="0" w:space="0" w:color="auto"/>
        <w:left w:val="none" w:sz="0" w:space="0" w:color="auto"/>
        <w:bottom w:val="none" w:sz="0" w:space="0" w:color="auto"/>
        <w:right w:val="none" w:sz="0" w:space="0" w:color="auto"/>
      </w:divBdr>
    </w:div>
    <w:div w:id="98574485">
      <w:bodyDiv w:val="1"/>
      <w:marLeft w:val="0"/>
      <w:marRight w:val="0"/>
      <w:marTop w:val="0"/>
      <w:marBottom w:val="0"/>
      <w:divBdr>
        <w:top w:val="none" w:sz="0" w:space="0" w:color="auto"/>
        <w:left w:val="none" w:sz="0" w:space="0" w:color="auto"/>
        <w:bottom w:val="none" w:sz="0" w:space="0" w:color="auto"/>
        <w:right w:val="none" w:sz="0" w:space="0" w:color="auto"/>
      </w:divBdr>
    </w:div>
    <w:div w:id="185480903">
      <w:bodyDiv w:val="1"/>
      <w:marLeft w:val="0"/>
      <w:marRight w:val="0"/>
      <w:marTop w:val="0"/>
      <w:marBottom w:val="0"/>
      <w:divBdr>
        <w:top w:val="none" w:sz="0" w:space="0" w:color="auto"/>
        <w:left w:val="none" w:sz="0" w:space="0" w:color="auto"/>
        <w:bottom w:val="none" w:sz="0" w:space="0" w:color="auto"/>
        <w:right w:val="none" w:sz="0" w:space="0" w:color="auto"/>
      </w:divBdr>
    </w:div>
    <w:div w:id="247689339">
      <w:bodyDiv w:val="1"/>
      <w:marLeft w:val="0"/>
      <w:marRight w:val="0"/>
      <w:marTop w:val="0"/>
      <w:marBottom w:val="0"/>
      <w:divBdr>
        <w:top w:val="none" w:sz="0" w:space="0" w:color="auto"/>
        <w:left w:val="none" w:sz="0" w:space="0" w:color="auto"/>
        <w:bottom w:val="none" w:sz="0" w:space="0" w:color="auto"/>
        <w:right w:val="none" w:sz="0" w:space="0" w:color="auto"/>
      </w:divBdr>
    </w:div>
    <w:div w:id="261425794">
      <w:bodyDiv w:val="1"/>
      <w:marLeft w:val="0"/>
      <w:marRight w:val="0"/>
      <w:marTop w:val="0"/>
      <w:marBottom w:val="0"/>
      <w:divBdr>
        <w:top w:val="none" w:sz="0" w:space="0" w:color="auto"/>
        <w:left w:val="none" w:sz="0" w:space="0" w:color="auto"/>
        <w:bottom w:val="none" w:sz="0" w:space="0" w:color="auto"/>
        <w:right w:val="none" w:sz="0" w:space="0" w:color="auto"/>
      </w:divBdr>
    </w:div>
    <w:div w:id="293095840">
      <w:bodyDiv w:val="1"/>
      <w:marLeft w:val="0"/>
      <w:marRight w:val="0"/>
      <w:marTop w:val="0"/>
      <w:marBottom w:val="0"/>
      <w:divBdr>
        <w:top w:val="none" w:sz="0" w:space="0" w:color="auto"/>
        <w:left w:val="none" w:sz="0" w:space="0" w:color="auto"/>
        <w:bottom w:val="none" w:sz="0" w:space="0" w:color="auto"/>
        <w:right w:val="none" w:sz="0" w:space="0" w:color="auto"/>
      </w:divBdr>
    </w:div>
    <w:div w:id="439568153">
      <w:bodyDiv w:val="1"/>
      <w:marLeft w:val="0"/>
      <w:marRight w:val="0"/>
      <w:marTop w:val="0"/>
      <w:marBottom w:val="0"/>
      <w:divBdr>
        <w:top w:val="none" w:sz="0" w:space="0" w:color="auto"/>
        <w:left w:val="none" w:sz="0" w:space="0" w:color="auto"/>
        <w:bottom w:val="none" w:sz="0" w:space="0" w:color="auto"/>
        <w:right w:val="none" w:sz="0" w:space="0" w:color="auto"/>
      </w:divBdr>
    </w:div>
    <w:div w:id="440565099">
      <w:bodyDiv w:val="1"/>
      <w:marLeft w:val="0"/>
      <w:marRight w:val="0"/>
      <w:marTop w:val="0"/>
      <w:marBottom w:val="0"/>
      <w:divBdr>
        <w:top w:val="none" w:sz="0" w:space="0" w:color="auto"/>
        <w:left w:val="none" w:sz="0" w:space="0" w:color="auto"/>
        <w:bottom w:val="none" w:sz="0" w:space="0" w:color="auto"/>
        <w:right w:val="none" w:sz="0" w:space="0" w:color="auto"/>
      </w:divBdr>
    </w:div>
    <w:div w:id="484587494">
      <w:bodyDiv w:val="1"/>
      <w:marLeft w:val="0"/>
      <w:marRight w:val="0"/>
      <w:marTop w:val="0"/>
      <w:marBottom w:val="0"/>
      <w:divBdr>
        <w:top w:val="none" w:sz="0" w:space="0" w:color="auto"/>
        <w:left w:val="none" w:sz="0" w:space="0" w:color="auto"/>
        <w:bottom w:val="none" w:sz="0" w:space="0" w:color="auto"/>
        <w:right w:val="none" w:sz="0" w:space="0" w:color="auto"/>
      </w:divBdr>
    </w:div>
    <w:div w:id="526141579">
      <w:bodyDiv w:val="1"/>
      <w:marLeft w:val="0"/>
      <w:marRight w:val="0"/>
      <w:marTop w:val="0"/>
      <w:marBottom w:val="0"/>
      <w:divBdr>
        <w:top w:val="none" w:sz="0" w:space="0" w:color="auto"/>
        <w:left w:val="none" w:sz="0" w:space="0" w:color="auto"/>
        <w:bottom w:val="none" w:sz="0" w:space="0" w:color="auto"/>
        <w:right w:val="none" w:sz="0" w:space="0" w:color="auto"/>
      </w:divBdr>
      <w:divsChild>
        <w:div w:id="1072200553">
          <w:marLeft w:val="240"/>
          <w:marRight w:val="0"/>
          <w:marTop w:val="60"/>
          <w:marBottom w:val="60"/>
          <w:divBdr>
            <w:top w:val="none" w:sz="0" w:space="0" w:color="auto"/>
            <w:left w:val="none" w:sz="0" w:space="0" w:color="auto"/>
            <w:bottom w:val="none" w:sz="0" w:space="0" w:color="auto"/>
            <w:right w:val="none" w:sz="0" w:space="0" w:color="auto"/>
          </w:divBdr>
          <w:divsChild>
            <w:div w:id="1842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6636">
      <w:bodyDiv w:val="1"/>
      <w:marLeft w:val="0"/>
      <w:marRight w:val="0"/>
      <w:marTop w:val="0"/>
      <w:marBottom w:val="0"/>
      <w:divBdr>
        <w:top w:val="none" w:sz="0" w:space="0" w:color="auto"/>
        <w:left w:val="none" w:sz="0" w:space="0" w:color="auto"/>
        <w:bottom w:val="none" w:sz="0" w:space="0" w:color="auto"/>
        <w:right w:val="none" w:sz="0" w:space="0" w:color="auto"/>
      </w:divBdr>
    </w:div>
    <w:div w:id="624625573">
      <w:bodyDiv w:val="1"/>
      <w:marLeft w:val="0"/>
      <w:marRight w:val="0"/>
      <w:marTop w:val="0"/>
      <w:marBottom w:val="0"/>
      <w:divBdr>
        <w:top w:val="none" w:sz="0" w:space="0" w:color="auto"/>
        <w:left w:val="none" w:sz="0" w:space="0" w:color="auto"/>
        <w:bottom w:val="none" w:sz="0" w:space="0" w:color="auto"/>
        <w:right w:val="none" w:sz="0" w:space="0" w:color="auto"/>
      </w:divBdr>
    </w:div>
    <w:div w:id="631864507">
      <w:bodyDiv w:val="1"/>
      <w:marLeft w:val="0"/>
      <w:marRight w:val="0"/>
      <w:marTop w:val="0"/>
      <w:marBottom w:val="0"/>
      <w:divBdr>
        <w:top w:val="none" w:sz="0" w:space="0" w:color="auto"/>
        <w:left w:val="none" w:sz="0" w:space="0" w:color="auto"/>
        <w:bottom w:val="none" w:sz="0" w:space="0" w:color="auto"/>
        <w:right w:val="none" w:sz="0" w:space="0" w:color="auto"/>
      </w:divBdr>
    </w:div>
    <w:div w:id="744686628">
      <w:bodyDiv w:val="1"/>
      <w:marLeft w:val="0"/>
      <w:marRight w:val="0"/>
      <w:marTop w:val="0"/>
      <w:marBottom w:val="0"/>
      <w:divBdr>
        <w:top w:val="none" w:sz="0" w:space="0" w:color="auto"/>
        <w:left w:val="none" w:sz="0" w:space="0" w:color="auto"/>
        <w:bottom w:val="none" w:sz="0" w:space="0" w:color="auto"/>
        <w:right w:val="none" w:sz="0" w:space="0" w:color="auto"/>
      </w:divBdr>
    </w:div>
    <w:div w:id="763889211">
      <w:bodyDiv w:val="1"/>
      <w:marLeft w:val="0"/>
      <w:marRight w:val="0"/>
      <w:marTop w:val="0"/>
      <w:marBottom w:val="0"/>
      <w:divBdr>
        <w:top w:val="none" w:sz="0" w:space="0" w:color="auto"/>
        <w:left w:val="none" w:sz="0" w:space="0" w:color="auto"/>
        <w:bottom w:val="none" w:sz="0" w:space="0" w:color="auto"/>
        <w:right w:val="none" w:sz="0" w:space="0" w:color="auto"/>
      </w:divBdr>
      <w:divsChild>
        <w:div w:id="33434737">
          <w:marLeft w:val="240"/>
          <w:marRight w:val="0"/>
          <w:marTop w:val="60"/>
          <w:marBottom w:val="60"/>
          <w:divBdr>
            <w:top w:val="none" w:sz="0" w:space="0" w:color="auto"/>
            <w:left w:val="none" w:sz="0" w:space="0" w:color="auto"/>
            <w:bottom w:val="none" w:sz="0" w:space="0" w:color="auto"/>
            <w:right w:val="none" w:sz="0" w:space="0" w:color="auto"/>
          </w:divBdr>
          <w:divsChild>
            <w:div w:id="336931556">
              <w:marLeft w:val="0"/>
              <w:marRight w:val="0"/>
              <w:marTop w:val="0"/>
              <w:marBottom w:val="0"/>
              <w:divBdr>
                <w:top w:val="none" w:sz="0" w:space="0" w:color="auto"/>
                <w:left w:val="none" w:sz="0" w:space="0" w:color="auto"/>
                <w:bottom w:val="none" w:sz="0" w:space="0" w:color="auto"/>
                <w:right w:val="none" w:sz="0" w:space="0" w:color="auto"/>
              </w:divBdr>
            </w:div>
          </w:divsChild>
        </w:div>
        <w:div w:id="67192198">
          <w:marLeft w:val="240"/>
          <w:marRight w:val="0"/>
          <w:marTop w:val="60"/>
          <w:marBottom w:val="60"/>
          <w:divBdr>
            <w:top w:val="none" w:sz="0" w:space="0" w:color="auto"/>
            <w:left w:val="none" w:sz="0" w:space="0" w:color="auto"/>
            <w:bottom w:val="none" w:sz="0" w:space="0" w:color="auto"/>
            <w:right w:val="none" w:sz="0" w:space="0" w:color="auto"/>
          </w:divBdr>
          <w:divsChild>
            <w:div w:id="729766705">
              <w:marLeft w:val="0"/>
              <w:marRight w:val="0"/>
              <w:marTop w:val="0"/>
              <w:marBottom w:val="0"/>
              <w:divBdr>
                <w:top w:val="none" w:sz="0" w:space="0" w:color="auto"/>
                <w:left w:val="none" w:sz="0" w:space="0" w:color="auto"/>
                <w:bottom w:val="none" w:sz="0" w:space="0" w:color="auto"/>
                <w:right w:val="none" w:sz="0" w:space="0" w:color="auto"/>
              </w:divBdr>
            </w:div>
          </w:divsChild>
        </w:div>
        <w:div w:id="229997428">
          <w:marLeft w:val="240"/>
          <w:marRight w:val="0"/>
          <w:marTop w:val="60"/>
          <w:marBottom w:val="60"/>
          <w:divBdr>
            <w:top w:val="none" w:sz="0" w:space="0" w:color="auto"/>
            <w:left w:val="none" w:sz="0" w:space="0" w:color="auto"/>
            <w:bottom w:val="none" w:sz="0" w:space="0" w:color="auto"/>
            <w:right w:val="none" w:sz="0" w:space="0" w:color="auto"/>
          </w:divBdr>
          <w:divsChild>
            <w:div w:id="2073502206">
              <w:marLeft w:val="0"/>
              <w:marRight w:val="0"/>
              <w:marTop w:val="0"/>
              <w:marBottom w:val="0"/>
              <w:divBdr>
                <w:top w:val="none" w:sz="0" w:space="0" w:color="auto"/>
                <w:left w:val="none" w:sz="0" w:space="0" w:color="auto"/>
                <w:bottom w:val="none" w:sz="0" w:space="0" w:color="auto"/>
                <w:right w:val="none" w:sz="0" w:space="0" w:color="auto"/>
              </w:divBdr>
            </w:div>
          </w:divsChild>
        </w:div>
        <w:div w:id="325016128">
          <w:marLeft w:val="240"/>
          <w:marRight w:val="0"/>
          <w:marTop w:val="60"/>
          <w:marBottom w:val="60"/>
          <w:divBdr>
            <w:top w:val="none" w:sz="0" w:space="0" w:color="auto"/>
            <w:left w:val="none" w:sz="0" w:space="0" w:color="auto"/>
            <w:bottom w:val="none" w:sz="0" w:space="0" w:color="auto"/>
            <w:right w:val="none" w:sz="0" w:space="0" w:color="auto"/>
          </w:divBdr>
          <w:divsChild>
            <w:div w:id="3477802">
              <w:marLeft w:val="0"/>
              <w:marRight w:val="0"/>
              <w:marTop w:val="0"/>
              <w:marBottom w:val="0"/>
              <w:divBdr>
                <w:top w:val="none" w:sz="0" w:space="0" w:color="auto"/>
                <w:left w:val="none" w:sz="0" w:space="0" w:color="auto"/>
                <w:bottom w:val="none" w:sz="0" w:space="0" w:color="auto"/>
                <w:right w:val="none" w:sz="0" w:space="0" w:color="auto"/>
              </w:divBdr>
            </w:div>
          </w:divsChild>
        </w:div>
        <w:div w:id="338390714">
          <w:marLeft w:val="240"/>
          <w:marRight w:val="0"/>
          <w:marTop w:val="60"/>
          <w:marBottom w:val="60"/>
          <w:divBdr>
            <w:top w:val="none" w:sz="0" w:space="0" w:color="auto"/>
            <w:left w:val="none" w:sz="0" w:space="0" w:color="auto"/>
            <w:bottom w:val="none" w:sz="0" w:space="0" w:color="auto"/>
            <w:right w:val="none" w:sz="0" w:space="0" w:color="auto"/>
          </w:divBdr>
          <w:divsChild>
            <w:div w:id="270477572">
              <w:marLeft w:val="0"/>
              <w:marRight w:val="0"/>
              <w:marTop w:val="0"/>
              <w:marBottom w:val="0"/>
              <w:divBdr>
                <w:top w:val="none" w:sz="0" w:space="0" w:color="auto"/>
                <w:left w:val="none" w:sz="0" w:space="0" w:color="auto"/>
                <w:bottom w:val="none" w:sz="0" w:space="0" w:color="auto"/>
                <w:right w:val="none" w:sz="0" w:space="0" w:color="auto"/>
              </w:divBdr>
            </w:div>
          </w:divsChild>
        </w:div>
        <w:div w:id="499080478">
          <w:marLeft w:val="240"/>
          <w:marRight w:val="0"/>
          <w:marTop w:val="60"/>
          <w:marBottom w:val="60"/>
          <w:divBdr>
            <w:top w:val="none" w:sz="0" w:space="0" w:color="auto"/>
            <w:left w:val="none" w:sz="0" w:space="0" w:color="auto"/>
            <w:bottom w:val="none" w:sz="0" w:space="0" w:color="auto"/>
            <w:right w:val="none" w:sz="0" w:space="0" w:color="auto"/>
          </w:divBdr>
          <w:divsChild>
            <w:div w:id="488595807">
              <w:marLeft w:val="0"/>
              <w:marRight w:val="0"/>
              <w:marTop w:val="0"/>
              <w:marBottom w:val="0"/>
              <w:divBdr>
                <w:top w:val="none" w:sz="0" w:space="0" w:color="auto"/>
                <w:left w:val="none" w:sz="0" w:space="0" w:color="auto"/>
                <w:bottom w:val="none" w:sz="0" w:space="0" w:color="auto"/>
                <w:right w:val="none" w:sz="0" w:space="0" w:color="auto"/>
              </w:divBdr>
            </w:div>
          </w:divsChild>
        </w:div>
        <w:div w:id="557017896">
          <w:marLeft w:val="240"/>
          <w:marRight w:val="0"/>
          <w:marTop w:val="60"/>
          <w:marBottom w:val="60"/>
          <w:divBdr>
            <w:top w:val="none" w:sz="0" w:space="0" w:color="auto"/>
            <w:left w:val="none" w:sz="0" w:space="0" w:color="auto"/>
            <w:bottom w:val="none" w:sz="0" w:space="0" w:color="auto"/>
            <w:right w:val="none" w:sz="0" w:space="0" w:color="auto"/>
          </w:divBdr>
          <w:divsChild>
            <w:div w:id="1480152161">
              <w:marLeft w:val="0"/>
              <w:marRight w:val="0"/>
              <w:marTop w:val="0"/>
              <w:marBottom w:val="0"/>
              <w:divBdr>
                <w:top w:val="none" w:sz="0" w:space="0" w:color="auto"/>
                <w:left w:val="none" w:sz="0" w:space="0" w:color="auto"/>
                <w:bottom w:val="none" w:sz="0" w:space="0" w:color="auto"/>
                <w:right w:val="none" w:sz="0" w:space="0" w:color="auto"/>
              </w:divBdr>
            </w:div>
          </w:divsChild>
        </w:div>
        <w:div w:id="825169972">
          <w:marLeft w:val="240"/>
          <w:marRight w:val="0"/>
          <w:marTop w:val="60"/>
          <w:marBottom w:val="60"/>
          <w:divBdr>
            <w:top w:val="none" w:sz="0" w:space="0" w:color="auto"/>
            <w:left w:val="none" w:sz="0" w:space="0" w:color="auto"/>
            <w:bottom w:val="none" w:sz="0" w:space="0" w:color="auto"/>
            <w:right w:val="none" w:sz="0" w:space="0" w:color="auto"/>
          </w:divBdr>
          <w:divsChild>
            <w:div w:id="2121802769">
              <w:marLeft w:val="0"/>
              <w:marRight w:val="0"/>
              <w:marTop w:val="0"/>
              <w:marBottom w:val="0"/>
              <w:divBdr>
                <w:top w:val="none" w:sz="0" w:space="0" w:color="auto"/>
                <w:left w:val="none" w:sz="0" w:space="0" w:color="auto"/>
                <w:bottom w:val="none" w:sz="0" w:space="0" w:color="auto"/>
                <w:right w:val="none" w:sz="0" w:space="0" w:color="auto"/>
              </w:divBdr>
            </w:div>
          </w:divsChild>
        </w:div>
        <w:div w:id="984776133">
          <w:marLeft w:val="240"/>
          <w:marRight w:val="0"/>
          <w:marTop w:val="60"/>
          <w:marBottom w:val="60"/>
          <w:divBdr>
            <w:top w:val="none" w:sz="0" w:space="0" w:color="auto"/>
            <w:left w:val="none" w:sz="0" w:space="0" w:color="auto"/>
            <w:bottom w:val="none" w:sz="0" w:space="0" w:color="auto"/>
            <w:right w:val="none" w:sz="0" w:space="0" w:color="auto"/>
          </w:divBdr>
          <w:divsChild>
            <w:div w:id="1192378391">
              <w:marLeft w:val="0"/>
              <w:marRight w:val="0"/>
              <w:marTop w:val="0"/>
              <w:marBottom w:val="0"/>
              <w:divBdr>
                <w:top w:val="none" w:sz="0" w:space="0" w:color="auto"/>
                <w:left w:val="none" w:sz="0" w:space="0" w:color="auto"/>
                <w:bottom w:val="none" w:sz="0" w:space="0" w:color="auto"/>
                <w:right w:val="none" w:sz="0" w:space="0" w:color="auto"/>
              </w:divBdr>
            </w:div>
          </w:divsChild>
        </w:div>
        <w:div w:id="1335262790">
          <w:marLeft w:val="240"/>
          <w:marRight w:val="0"/>
          <w:marTop w:val="60"/>
          <w:marBottom w:val="60"/>
          <w:divBdr>
            <w:top w:val="none" w:sz="0" w:space="0" w:color="auto"/>
            <w:left w:val="none" w:sz="0" w:space="0" w:color="auto"/>
            <w:bottom w:val="none" w:sz="0" w:space="0" w:color="auto"/>
            <w:right w:val="none" w:sz="0" w:space="0" w:color="auto"/>
          </w:divBdr>
          <w:divsChild>
            <w:div w:id="1406075766">
              <w:marLeft w:val="0"/>
              <w:marRight w:val="0"/>
              <w:marTop w:val="0"/>
              <w:marBottom w:val="0"/>
              <w:divBdr>
                <w:top w:val="none" w:sz="0" w:space="0" w:color="auto"/>
                <w:left w:val="none" w:sz="0" w:space="0" w:color="auto"/>
                <w:bottom w:val="none" w:sz="0" w:space="0" w:color="auto"/>
                <w:right w:val="none" w:sz="0" w:space="0" w:color="auto"/>
              </w:divBdr>
            </w:div>
          </w:divsChild>
        </w:div>
        <w:div w:id="1510364910">
          <w:marLeft w:val="240"/>
          <w:marRight w:val="0"/>
          <w:marTop w:val="60"/>
          <w:marBottom w:val="60"/>
          <w:divBdr>
            <w:top w:val="none" w:sz="0" w:space="0" w:color="auto"/>
            <w:left w:val="none" w:sz="0" w:space="0" w:color="auto"/>
            <w:bottom w:val="none" w:sz="0" w:space="0" w:color="auto"/>
            <w:right w:val="none" w:sz="0" w:space="0" w:color="auto"/>
          </w:divBdr>
          <w:divsChild>
            <w:div w:id="1401059155">
              <w:marLeft w:val="0"/>
              <w:marRight w:val="0"/>
              <w:marTop w:val="0"/>
              <w:marBottom w:val="0"/>
              <w:divBdr>
                <w:top w:val="none" w:sz="0" w:space="0" w:color="auto"/>
                <w:left w:val="none" w:sz="0" w:space="0" w:color="auto"/>
                <w:bottom w:val="none" w:sz="0" w:space="0" w:color="auto"/>
                <w:right w:val="none" w:sz="0" w:space="0" w:color="auto"/>
              </w:divBdr>
            </w:div>
          </w:divsChild>
        </w:div>
        <w:div w:id="1518348532">
          <w:marLeft w:val="240"/>
          <w:marRight w:val="0"/>
          <w:marTop w:val="60"/>
          <w:marBottom w:val="60"/>
          <w:divBdr>
            <w:top w:val="none" w:sz="0" w:space="0" w:color="auto"/>
            <w:left w:val="none" w:sz="0" w:space="0" w:color="auto"/>
            <w:bottom w:val="none" w:sz="0" w:space="0" w:color="auto"/>
            <w:right w:val="none" w:sz="0" w:space="0" w:color="auto"/>
          </w:divBdr>
          <w:divsChild>
            <w:div w:id="2031177239">
              <w:marLeft w:val="0"/>
              <w:marRight w:val="0"/>
              <w:marTop w:val="0"/>
              <w:marBottom w:val="0"/>
              <w:divBdr>
                <w:top w:val="none" w:sz="0" w:space="0" w:color="auto"/>
                <w:left w:val="none" w:sz="0" w:space="0" w:color="auto"/>
                <w:bottom w:val="none" w:sz="0" w:space="0" w:color="auto"/>
                <w:right w:val="none" w:sz="0" w:space="0" w:color="auto"/>
              </w:divBdr>
            </w:div>
          </w:divsChild>
        </w:div>
        <w:div w:id="1599942645">
          <w:marLeft w:val="240"/>
          <w:marRight w:val="0"/>
          <w:marTop w:val="60"/>
          <w:marBottom w:val="60"/>
          <w:divBdr>
            <w:top w:val="none" w:sz="0" w:space="0" w:color="auto"/>
            <w:left w:val="none" w:sz="0" w:space="0" w:color="auto"/>
            <w:bottom w:val="none" w:sz="0" w:space="0" w:color="auto"/>
            <w:right w:val="none" w:sz="0" w:space="0" w:color="auto"/>
          </w:divBdr>
          <w:divsChild>
            <w:div w:id="1500850772">
              <w:marLeft w:val="0"/>
              <w:marRight w:val="0"/>
              <w:marTop w:val="0"/>
              <w:marBottom w:val="0"/>
              <w:divBdr>
                <w:top w:val="none" w:sz="0" w:space="0" w:color="auto"/>
                <w:left w:val="none" w:sz="0" w:space="0" w:color="auto"/>
                <w:bottom w:val="none" w:sz="0" w:space="0" w:color="auto"/>
                <w:right w:val="none" w:sz="0" w:space="0" w:color="auto"/>
              </w:divBdr>
            </w:div>
          </w:divsChild>
        </w:div>
        <w:div w:id="1724521683">
          <w:marLeft w:val="240"/>
          <w:marRight w:val="0"/>
          <w:marTop w:val="60"/>
          <w:marBottom w:val="60"/>
          <w:divBdr>
            <w:top w:val="none" w:sz="0" w:space="0" w:color="auto"/>
            <w:left w:val="none" w:sz="0" w:space="0" w:color="auto"/>
            <w:bottom w:val="none" w:sz="0" w:space="0" w:color="auto"/>
            <w:right w:val="none" w:sz="0" w:space="0" w:color="auto"/>
          </w:divBdr>
          <w:divsChild>
            <w:div w:id="1946502398">
              <w:marLeft w:val="0"/>
              <w:marRight w:val="0"/>
              <w:marTop w:val="0"/>
              <w:marBottom w:val="0"/>
              <w:divBdr>
                <w:top w:val="none" w:sz="0" w:space="0" w:color="auto"/>
                <w:left w:val="none" w:sz="0" w:space="0" w:color="auto"/>
                <w:bottom w:val="none" w:sz="0" w:space="0" w:color="auto"/>
                <w:right w:val="none" w:sz="0" w:space="0" w:color="auto"/>
              </w:divBdr>
            </w:div>
          </w:divsChild>
        </w:div>
        <w:div w:id="2018772019">
          <w:marLeft w:val="240"/>
          <w:marRight w:val="0"/>
          <w:marTop w:val="60"/>
          <w:marBottom w:val="60"/>
          <w:divBdr>
            <w:top w:val="none" w:sz="0" w:space="0" w:color="auto"/>
            <w:left w:val="none" w:sz="0" w:space="0" w:color="auto"/>
            <w:bottom w:val="none" w:sz="0" w:space="0" w:color="auto"/>
            <w:right w:val="none" w:sz="0" w:space="0" w:color="auto"/>
          </w:divBdr>
          <w:divsChild>
            <w:div w:id="1888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5660">
      <w:bodyDiv w:val="1"/>
      <w:marLeft w:val="0"/>
      <w:marRight w:val="0"/>
      <w:marTop w:val="0"/>
      <w:marBottom w:val="0"/>
      <w:divBdr>
        <w:top w:val="none" w:sz="0" w:space="0" w:color="auto"/>
        <w:left w:val="none" w:sz="0" w:space="0" w:color="auto"/>
        <w:bottom w:val="none" w:sz="0" w:space="0" w:color="auto"/>
        <w:right w:val="none" w:sz="0" w:space="0" w:color="auto"/>
      </w:divBdr>
    </w:div>
    <w:div w:id="930554133">
      <w:bodyDiv w:val="1"/>
      <w:marLeft w:val="0"/>
      <w:marRight w:val="0"/>
      <w:marTop w:val="0"/>
      <w:marBottom w:val="0"/>
      <w:divBdr>
        <w:top w:val="none" w:sz="0" w:space="0" w:color="auto"/>
        <w:left w:val="none" w:sz="0" w:space="0" w:color="auto"/>
        <w:bottom w:val="none" w:sz="0" w:space="0" w:color="auto"/>
        <w:right w:val="none" w:sz="0" w:space="0" w:color="auto"/>
      </w:divBdr>
    </w:div>
    <w:div w:id="946699961">
      <w:bodyDiv w:val="1"/>
      <w:marLeft w:val="0"/>
      <w:marRight w:val="0"/>
      <w:marTop w:val="0"/>
      <w:marBottom w:val="0"/>
      <w:divBdr>
        <w:top w:val="none" w:sz="0" w:space="0" w:color="auto"/>
        <w:left w:val="none" w:sz="0" w:space="0" w:color="auto"/>
        <w:bottom w:val="none" w:sz="0" w:space="0" w:color="auto"/>
        <w:right w:val="none" w:sz="0" w:space="0" w:color="auto"/>
      </w:divBdr>
    </w:div>
    <w:div w:id="997001143">
      <w:bodyDiv w:val="1"/>
      <w:marLeft w:val="0"/>
      <w:marRight w:val="0"/>
      <w:marTop w:val="0"/>
      <w:marBottom w:val="0"/>
      <w:divBdr>
        <w:top w:val="none" w:sz="0" w:space="0" w:color="auto"/>
        <w:left w:val="none" w:sz="0" w:space="0" w:color="auto"/>
        <w:bottom w:val="none" w:sz="0" w:space="0" w:color="auto"/>
        <w:right w:val="none" w:sz="0" w:space="0" w:color="auto"/>
      </w:divBdr>
    </w:div>
    <w:div w:id="1063408167">
      <w:bodyDiv w:val="1"/>
      <w:marLeft w:val="0"/>
      <w:marRight w:val="0"/>
      <w:marTop w:val="0"/>
      <w:marBottom w:val="0"/>
      <w:divBdr>
        <w:top w:val="none" w:sz="0" w:space="0" w:color="auto"/>
        <w:left w:val="none" w:sz="0" w:space="0" w:color="auto"/>
        <w:bottom w:val="none" w:sz="0" w:space="0" w:color="auto"/>
        <w:right w:val="none" w:sz="0" w:space="0" w:color="auto"/>
      </w:divBdr>
      <w:divsChild>
        <w:div w:id="538399069">
          <w:marLeft w:val="240"/>
          <w:marRight w:val="0"/>
          <w:marTop w:val="60"/>
          <w:marBottom w:val="60"/>
          <w:divBdr>
            <w:top w:val="none" w:sz="0" w:space="0" w:color="auto"/>
            <w:left w:val="none" w:sz="0" w:space="0" w:color="auto"/>
            <w:bottom w:val="none" w:sz="0" w:space="0" w:color="auto"/>
            <w:right w:val="none" w:sz="0" w:space="0" w:color="auto"/>
          </w:divBdr>
          <w:divsChild>
            <w:div w:id="82147384">
              <w:marLeft w:val="0"/>
              <w:marRight w:val="0"/>
              <w:marTop w:val="0"/>
              <w:marBottom w:val="0"/>
              <w:divBdr>
                <w:top w:val="none" w:sz="0" w:space="0" w:color="auto"/>
                <w:left w:val="none" w:sz="0" w:space="0" w:color="auto"/>
                <w:bottom w:val="none" w:sz="0" w:space="0" w:color="auto"/>
                <w:right w:val="none" w:sz="0" w:space="0" w:color="auto"/>
              </w:divBdr>
            </w:div>
          </w:divsChild>
        </w:div>
        <w:div w:id="931009748">
          <w:marLeft w:val="240"/>
          <w:marRight w:val="0"/>
          <w:marTop w:val="60"/>
          <w:marBottom w:val="60"/>
          <w:divBdr>
            <w:top w:val="none" w:sz="0" w:space="0" w:color="auto"/>
            <w:left w:val="none" w:sz="0" w:space="0" w:color="auto"/>
            <w:bottom w:val="none" w:sz="0" w:space="0" w:color="auto"/>
            <w:right w:val="none" w:sz="0" w:space="0" w:color="auto"/>
          </w:divBdr>
          <w:divsChild>
            <w:div w:id="2069186937">
              <w:marLeft w:val="0"/>
              <w:marRight w:val="0"/>
              <w:marTop w:val="0"/>
              <w:marBottom w:val="0"/>
              <w:divBdr>
                <w:top w:val="none" w:sz="0" w:space="0" w:color="auto"/>
                <w:left w:val="none" w:sz="0" w:space="0" w:color="auto"/>
                <w:bottom w:val="none" w:sz="0" w:space="0" w:color="auto"/>
                <w:right w:val="none" w:sz="0" w:space="0" w:color="auto"/>
              </w:divBdr>
            </w:div>
          </w:divsChild>
        </w:div>
        <w:div w:id="1139767568">
          <w:marLeft w:val="240"/>
          <w:marRight w:val="0"/>
          <w:marTop w:val="60"/>
          <w:marBottom w:val="60"/>
          <w:divBdr>
            <w:top w:val="none" w:sz="0" w:space="0" w:color="auto"/>
            <w:left w:val="none" w:sz="0" w:space="0" w:color="auto"/>
            <w:bottom w:val="none" w:sz="0" w:space="0" w:color="auto"/>
            <w:right w:val="none" w:sz="0" w:space="0" w:color="auto"/>
          </w:divBdr>
          <w:divsChild>
            <w:div w:id="424814442">
              <w:marLeft w:val="240"/>
              <w:marRight w:val="0"/>
              <w:marTop w:val="60"/>
              <w:marBottom w:val="60"/>
              <w:divBdr>
                <w:top w:val="none" w:sz="0" w:space="0" w:color="auto"/>
                <w:left w:val="none" w:sz="0" w:space="0" w:color="auto"/>
                <w:bottom w:val="none" w:sz="0" w:space="0" w:color="auto"/>
                <w:right w:val="none" w:sz="0" w:space="0" w:color="auto"/>
              </w:divBdr>
              <w:divsChild>
                <w:div w:id="1738430607">
                  <w:marLeft w:val="0"/>
                  <w:marRight w:val="0"/>
                  <w:marTop w:val="0"/>
                  <w:marBottom w:val="0"/>
                  <w:divBdr>
                    <w:top w:val="none" w:sz="0" w:space="0" w:color="auto"/>
                    <w:left w:val="none" w:sz="0" w:space="0" w:color="auto"/>
                    <w:bottom w:val="none" w:sz="0" w:space="0" w:color="auto"/>
                    <w:right w:val="none" w:sz="0" w:space="0" w:color="auto"/>
                  </w:divBdr>
                </w:div>
              </w:divsChild>
            </w:div>
            <w:div w:id="890648888">
              <w:marLeft w:val="240"/>
              <w:marRight w:val="0"/>
              <w:marTop w:val="60"/>
              <w:marBottom w:val="60"/>
              <w:divBdr>
                <w:top w:val="none" w:sz="0" w:space="0" w:color="auto"/>
                <w:left w:val="none" w:sz="0" w:space="0" w:color="auto"/>
                <w:bottom w:val="none" w:sz="0" w:space="0" w:color="auto"/>
                <w:right w:val="none" w:sz="0" w:space="0" w:color="auto"/>
              </w:divBdr>
              <w:divsChild>
                <w:div w:id="810168591">
                  <w:marLeft w:val="0"/>
                  <w:marRight w:val="0"/>
                  <w:marTop w:val="0"/>
                  <w:marBottom w:val="0"/>
                  <w:divBdr>
                    <w:top w:val="none" w:sz="0" w:space="0" w:color="auto"/>
                    <w:left w:val="none" w:sz="0" w:space="0" w:color="auto"/>
                    <w:bottom w:val="none" w:sz="0" w:space="0" w:color="auto"/>
                    <w:right w:val="none" w:sz="0" w:space="0" w:color="auto"/>
                  </w:divBdr>
                </w:div>
              </w:divsChild>
            </w:div>
            <w:div w:id="1094132509">
              <w:marLeft w:val="240"/>
              <w:marRight w:val="0"/>
              <w:marTop w:val="60"/>
              <w:marBottom w:val="60"/>
              <w:divBdr>
                <w:top w:val="none" w:sz="0" w:space="0" w:color="auto"/>
                <w:left w:val="none" w:sz="0" w:space="0" w:color="auto"/>
                <w:bottom w:val="none" w:sz="0" w:space="0" w:color="auto"/>
                <w:right w:val="none" w:sz="0" w:space="0" w:color="auto"/>
              </w:divBdr>
              <w:divsChild>
                <w:div w:id="851341712">
                  <w:marLeft w:val="0"/>
                  <w:marRight w:val="0"/>
                  <w:marTop w:val="0"/>
                  <w:marBottom w:val="0"/>
                  <w:divBdr>
                    <w:top w:val="none" w:sz="0" w:space="0" w:color="auto"/>
                    <w:left w:val="none" w:sz="0" w:space="0" w:color="auto"/>
                    <w:bottom w:val="none" w:sz="0" w:space="0" w:color="auto"/>
                    <w:right w:val="none" w:sz="0" w:space="0" w:color="auto"/>
                  </w:divBdr>
                </w:div>
              </w:divsChild>
            </w:div>
            <w:div w:id="1465275152">
              <w:marLeft w:val="240"/>
              <w:marRight w:val="0"/>
              <w:marTop w:val="60"/>
              <w:marBottom w:val="60"/>
              <w:divBdr>
                <w:top w:val="none" w:sz="0" w:space="0" w:color="auto"/>
                <w:left w:val="none" w:sz="0" w:space="0" w:color="auto"/>
                <w:bottom w:val="none" w:sz="0" w:space="0" w:color="auto"/>
                <w:right w:val="none" w:sz="0" w:space="0" w:color="auto"/>
              </w:divBdr>
              <w:divsChild>
                <w:div w:id="849026002">
                  <w:marLeft w:val="0"/>
                  <w:marRight w:val="0"/>
                  <w:marTop w:val="0"/>
                  <w:marBottom w:val="0"/>
                  <w:divBdr>
                    <w:top w:val="none" w:sz="0" w:space="0" w:color="auto"/>
                    <w:left w:val="none" w:sz="0" w:space="0" w:color="auto"/>
                    <w:bottom w:val="none" w:sz="0" w:space="0" w:color="auto"/>
                    <w:right w:val="none" w:sz="0" w:space="0" w:color="auto"/>
                  </w:divBdr>
                </w:div>
              </w:divsChild>
            </w:div>
            <w:div w:id="1892691703">
              <w:marLeft w:val="240"/>
              <w:marRight w:val="0"/>
              <w:marTop w:val="60"/>
              <w:marBottom w:val="60"/>
              <w:divBdr>
                <w:top w:val="none" w:sz="0" w:space="0" w:color="auto"/>
                <w:left w:val="none" w:sz="0" w:space="0" w:color="auto"/>
                <w:bottom w:val="none" w:sz="0" w:space="0" w:color="auto"/>
                <w:right w:val="none" w:sz="0" w:space="0" w:color="auto"/>
              </w:divBdr>
              <w:divsChild>
                <w:div w:id="5643008">
                  <w:marLeft w:val="240"/>
                  <w:marRight w:val="0"/>
                  <w:marTop w:val="60"/>
                  <w:marBottom w:val="60"/>
                  <w:divBdr>
                    <w:top w:val="none" w:sz="0" w:space="0" w:color="auto"/>
                    <w:left w:val="none" w:sz="0" w:space="0" w:color="auto"/>
                    <w:bottom w:val="none" w:sz="0" w:space="0" w:color="auto"/>
                    <w:right w:val="none" w:sz="0" w:space="0" w:color="auto"/>
                  </w:divBdr>
                  <w:divsChild>
                    <w:div w:id="623803738">
                      <w:marLeft w:val="0"/>
                      <w:marRight w:val="0"/>
                      <w:marTop w:val="0"/>
                      <w:marBottom w:val="0"/>
                      <w:divBdr>
                        <w:top w:val="none" w:sz="0" w:space="0" w:color="auto"/>
                        <w:left w:val="none" w:sz="0" w:space="0" w:color="auto"/>
                        <w:bottom w:val="none" w:sz="0" w:space="0" w:color="auto"/>
                        <w:right w:val="none" w:sz="0" w:space="0" w:color="auto"/>
                      </w:divBdr>
                    </w:div>
                  </w:divsChild>
                </w:div>
                <w:div w:id="1577977607">
                  <w:marLeft w:val="240"/>
                  <w:marRight w:val="0"/>
                  <w:marTop w:val="60"/>
                  <w:marBottom w:val="60"/>
                  <w:divBdr>
                    <w:top w:val="none" w:sz="0" w:space="0" w:color="auto"/>
                    <w:left w:val="none" w:sz="0" w:space="0" w:color="auto"/>
                    <w:bottom w:val="none" w:sz="0" w:space="0" w:color="auto"/>
                    <w:right w:val="none" w:sz="0" w:space="0" w:color="auto"/>
                  </w:divBdr>
                  <w:divsChild>
                    <w:div w:id="459422406">
                      <w:marLeft w:val="240"/>
                      <w:marRight w:val="0"/>
                      <w:marTop w:val="60"/>
                      <w:marBottom w:val="60"/>
                      <w:divBdr>
                        <w:top w:val="none" w:sz="0" w:space="0" w:color="auto"/>
                        <w:left w:val="none" w:sz="0" w:space="0" w:color="auto"/>
                        <w:bottom w:val="none" w:sz="0" w:space="0" w:color="auto"/>
                        <w:right w:val="none" w:sz="0" w:space="0" w:color="auto"/>
                      </w:divBdr>
                      <w:divsChild>
                        <w:div w:id="627322784">
                          <w:marLeft w:val="0"/>
                          <w:marRight w:val="0"/>
                          <w:marTop w:val="0"/>
                          <w:marBottom w:val="0"/>
                          <w:divBdr>
                            <w:top w:val="none" w:sz="0" w:space="0" w:color="auto"/>
                            <w:left w:val="none" w:sz="0" w:space="0" w:color="auto"/>
                            <w:bottom w:val="none" w:sz="0" w:space="0" w:color="auto"/>
                            <w:right w:val="none" w:sz="0" w:space="0" w:color="auto"/>
                          </w:divBdr>
                        </w:div>
                      </w:divsChild>
                    </w:div>
                    <w:div w:id="1179587496">
                      <w:marLeft w:val="240"/>
                      <w:marRight w:val="0"/>
                      <w:marTop w:val="60"/>
                      <w:marBottom w:val="60"/>
                      <w:divBdr>
                        <w:top w:val="none" w:sz="0" w:space="0" w:color="auto"/>
                        <w:left w:val="none" w:sz="0" w:space="0" w:color="auto"/>
                        <w:bottom w:val="none" w:sz="0" w:space="0" w:color="auto"/>
                        <w:right w:val="none" w:sz="0" w:space="0" w:color="auto"/>
                      </w:divBdr>
                      <w:divsChild>
                        <w:div w:id="145781750">
                          <w:marLeft w:val="0"/>
                          <w:marRight w:val="0"/>
                          <w:marTop w:val="0"/>
                          <w:marBottom w:val="0"/>
                          <w:divBdr>
                            <w:top w:val="none" w:sz="0" w:space="0" w:color="auto"/>
                            <w:left w:val="none" w:sz="0" w:space="0" w:color="auto"/>
                            <w:bottom w:val="none" w:sz="0" w:space="0" w:color="auto"/>
                            <w:right w:val="none" w:sz="0" w:space="0" w:color="auto"/>
                          </w:divBdr>
                        </w:div>
                      </w:divsChild>
                    </w:div>
                    <w:div w:id="1456176324">
                      <w:marLeft w:val="240"/>
                      <w:marRight w:val="0"/>
                      <w:marTop w:val="60"/>
                      <w:marBottom w:val="60"/>
                      <w:divBdr>
                        <w:top w:val="none" w:sz="0" w:space="0" w:color="auto"/>
                        <w:left w:val="none" w:sz="0" w:space="0" w:color="auto"/>
                        <w:bottom w:val="none" w:sz="0" w:space="0" w:color="auto"/>
                        <w:right w:val="none" w:sz="0" w:space="0" w:color="auto"/>
                      </w:divBdr>
                      <w:divsChild>
                        <w:div w:id="5192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155">
          <w:marLeft w:val="240"/>
          <w:marRight w:val="0"/>
          <w:marTop w:val="60"/>
          <w:marBottom w:val="60"/>
          <w:divBdr>
            <w:top w:val="none" w:sz="0" w:space="0" w:color="auto"/>
            <w:left w:val="none" w:sz="0" w:space="0" w:color="auto"/>
            <w:bottom w:val="none" w:sz="0" w:space="0" w:color="auto"/>
            <w:right w:val="none" w:sz="0" w:space="0" w:color="auto"/>
          </w:divBdr>
          <w:divsChild>
            <w:div w:id="225186839">
              <w:marLeft w:val="240"/>
              <w:marRight w:val="0"/>
              <w:marTop w:val="60"/>
              <w:marBottom w:val="60"/>
              <w:divBdr>
                <w:top w:val="none" w:sz="0" w:space="0" w:color="auto"/>
                <w:left w:val="none" w:sz="0" w:space="0" w:color="auto"/>
                <w:bottom w:val="none" w:sz="0" w:space="0" w:color="auto"/>
                <w:right w:val="none" w:sz="0" w:space="0" w:color="auto"/>
              </w:divBdr>
              <w:divsChild>
                <w:div w:id="1965308068">
                  <w:marLeft w:val="0"/>
                  <w:marRight w:val="0"/>
                  <w:marTop w:val="0"/>
                  <w:marBottom w:val="0"/>
                  <w:divBdr>
                    <w:top w:val="none" w:sz="0" w:space="0" w:color="auto"/>
                    <w:left w:val="none" w:sz="0" w:space="0" w:color="auto"/>
                    <w:bottom w:val="none" w:sz="0" w:space="0" w:color="auto"/>
                    <w:right w:val="none" w:sz="0" w:space="0" w:color="auto"/>
                  </w:divBdr>
                </w:div>
              </w:divsChild>
            </w:div>
            <w:div w:id="605817189">
              <w:marLeft w:val="240"/>
              <w:marRight w:val="0"/>
              <w:marTop w:val="60"/>
              <w:marBottom w:val="60"/>
              <w:divBdr>
                <w:top w:val="none" w:sz="0" w:space="0" w:color="auto"/>
                <w:left w:val="none" w:sz="0" w:space="0" w:color="auto"/>
                <w:bottom w:val="none" w:sz="0" w:space="0" w:color="auto"/>
                <w:right w:val="none" w:sz="0" w:space="0" w:color="auto"/>
              </w:divBdr>
              <w:divsChild>
                <w:div w:id="189102990">
                  <w:marLeft w:val="240"/>
                  <w:marRight w:val="0"/>
                  <w:marTop w:val="60"/>
                  <w:marBottom w:val="60"/>
                  <w:divBdr>
                    <w:top w:val="none" w:sz="0" w:space="0" w:color="auto"/>
                    <w:left w:val="none" w:sz="0" w:space="0" w:color="auto"/>
                    <w:bottom w:val="none" w:sz="0" w:space="0" w:color="auto"/>
                    <w:right w:val="none" w:sz="0" w:space="0" w:color="auto"/>
                  </w:divBdr>
                  <w:divsChild>
                    <w:div w:id="19811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3994">
              <w:marLeft w:val="240"/>
              <w:marRight w:val="0"/>
              <w:marTop w:val="60"/>
              <w:marBottom w:val="60"/>
              <w:divBdr>
                <w:top w:val="none" w:sz="0" w:space="0" w:color="auto"/>
                <w:left w:val="none" w:sz="0" w:space="0" w:color="auto"/>
                <w:bottom w:val="none" w:sz="0" w:space="0" w:color="auto"/>
                <w:right w:val="none" w:sz="0" w:space="0" w:color="auto"/>
              </w:divBdr>
              <w:divsChild>
                <w:div w:id="290597407">
                  <w:marLeft w:val="240"/>
                  <w:marRight w:val="0"/>
                  <w:marTop w:val="60"/>
                  <w:marBottom w:val="60"/>
                  <w:divBdr>
                    <w:top w:val="none" w:sz="0" w:space="0" w:color="auto"/>
                    <w:left w:val="none" w:sz="0" w:space="0" w:color="auto"/>
                    <w:bottom w:val="none" w:sz="0" w:space="0" w:color="auto"/>
                    <w:right w:val="none" w:sz="0" w:space="0" w:color="auto"/>
                  </w:divBdr>
                  <w:divsChild>
                    <w:div w:id="684358635">
                      <w:marLeft w:val="0"/>
                      <w:marRight w:val="0"/>
                      <w:marTop w:val="0"/>
                      <w:marBottom w:val="0"/>
                      <w:divBdr>
                        <w:top w:val="none" w:sz="0" w:space="0" w:color="auto"/>
                        <w:left w:val="none" w:sz="0" w:space="0" w:color="auto"/>
                        <w:bottom w:val="none" w:sz="0" w:space="0" w:color="auto"/>
                        <w:right w:val="none" w:sz="0" w:space="0" w:color="auto"/>
                      </w:divBdr>
                    </w:div>
                  </w:divsChild>
                </w:div>
                <w:div w:id="774137077">
                  <w:marLeft w:val="240"/>
                  <w:marRight w:val="0"/>
                  <w:marTop w:val="60"/>
                  <w:marBottom w:val="60"/>
                  <w:divBdr>
                    <w:top w:val="none" w:sz="0" w:space="0" w:color="auto"/>
                    <w:left w:val="none" w:sz="0" w:space="0" w:color="auto"/>
                    <w:bottom w:val="none" w:sz="0" w:space="0" w:color="auto"/>
                    <w:right w:val="none" w:sz="0" w:space="0" w:color="auto"/>
                  </w:divBdr>
                  <w:divsChild>
                    <w:div w:id="1772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2352">
              <w:marLeft w:val="240"/>
              <w:marRight w:val="0"/>
              <w:marTop w:val="60"/>
              <w:marBottom w:val="60"/>
              <w:divBdr>
                <w:top w:val="none" w:sz="0" w:space="0" w:color="auto"/>
                <w:left w:val="none" w:sz="0" w:space="0" w:color="auto"/>
                <w:bottom w:val="none" w:sz="0" w:space="0" w:color="auto"/>
                <w:right w:val="none" w:sz="0" w:space="0" w:color="auto"/>
              </w:divBdr>
              <w:divsChild>
                <w:div w:id="1430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9467">
      <w:bodyDiv w:val="1"/>
      <w:marLeft w:val="0"/>
      <w:marRight w:val="0"/>
      <w:marTop w:val="0"/>
      <w:marBottom w:val="0"/>
      <w:divBdr>
        <w:top w:val="none" w:sz="0" w:space="0" w:color="auto"/>
        <w:left w:val="none" w:sz="0" w:space="0" w:color="auto"/>
        <w:bottom w:val="none" w:sz="0" w:space="0" w:color="auto"/>
        <w:right w:val="none" w:sz="0" w:space="0" w:color="auto"/>
      </w:divBdr>
      <w:divsChild>
        <w:div w:id="116681935">
          <w:marLeft w:val="240"/>
          <w:marRight w:val="0"/>
          <w:marTop w:val="60"/>
          <w:marBottom w:val="60"/>
          <w:divBdr>
            <w:top w:val="none" w:sz="0" w:space="0" w:color="auto"/>
            <w:left w:val="none" w:sz="0" w:space="0" w:color="auto"/>
            <w:bottom w:val="none" w:sz="0" w:space="0" w:color="auto"/>
            <w:right w:val="none" w:sz="0" w:space="0" w:color="auto"/>
          </w:divBdr>
          <w:divsChild>
            <w:div w:id="38091033">
              <w:marLeft w:val="0"/>
              <w:marRight w:val="0"/>
              <w:marTop w:val="0"/>
              <w:marBottom w:val="0"/>
              <w:divBdr>
                <w:top w:val="none" w:sz="0" w:space="0" w:color="auto"/>
                <w:left w:val="none" w:sz="0" w:space="0" w:color="auto"/>
                <w:bottom w:val="none" w:sz="0" w:space="0" w:color="auto"/>
                <w:right w:val="none" w:sz="0" w:space="0" w:color="auto"/>
              </w:divBdr>
            </w:div>
          </w:divsChild>
        </w:div>
        <w:div w:id="166864800">
          <w:marLeft w:val="240"/>
          <w:marRight w:val="0"/>
          <w:marTop w:val="60"/>
          <w:marBottom w:val="60"/>
          <w:divBdr>
            <w:top w:val="none" w:sz="0" w:space="0" w:color="auto"/>
            <w:left w:val="none" w:sz="0" w:space="0" w:color="auto"/>
            <w:bottom w:val="none" w:sz="0" w:space="0" w:color="auto"/>
            <w:right w:val="none" w:sz="0" w:space="0" w:color="auto"/>
          </w:divBdr>
          <w:divsChild>
            <w:div w:id="1284385839">
              <w:marLeft w:val="0"/>
              <w:marRight w:val="0"/>
              <w:marTop w:val="0"/>
              <w:marBottom w:val="0"/>
              <w:divBdr>
                <w:top w:val="none" w:sz="0" w:space="0" w:color="auto"/>
                <w:left w:val="none" w:sz="0" w:space="0" w:color="auto"/>
                <w:bottom w:val="none" w:sz="0" w:space="0" w:color="auto"/>
                <w:right w:val="none" w:sz="0" w:space="0" w:color="auto"/>
              </w:divBdr>
            </w:div>
          </w:divsChild>
        </w:div>
        <w:div w:id="205218627">
          <w:marLeft w:val="240"/>
          <w:marRight w:val="0"/>
          <w:marTop w:val="60"/>
          <w:marBottom w:val="60"/>
          <w:divBdr>
            <w:top w:val="none" w:sz="0" w:space="0" w:color="auto"/>
            <w:left w:val="none" w:sz="0" w:space="0" w:color="auto"/>
            <w:bottom w:val="none" w:sz="0" w:space="0" w:color="auto"/>
            <w:right w:val="none" w:sz="0" w:space="0" w:color="auto"/>
          </w:divBdr>
          <w:divsChild>
            <w:div w:id="776020377">
              <w:marLeft w:val="0"/>
              <w:marRight w:val="0"/>
              <w:marTop w:val="0"/>
              <w:marBottom w:val="0"/>
              <w:divBdr>
                <w:top w:val="none" w:sz="0" w:space="0" w:color="auto"/>
                <w:left w:val="none" w:sz="0" w:space="0" w:color="auto"/>
                <w:bottom w:val="none" w:sz="0" w:space="0" w:color="auto"/>
                <w:right w:val="none" w:sz="0" w:space="0" w:color="auto"/>
              </w:divBdr>
            </w:div>
          </w:divsChild>
        </w:div>
        <w:div w:id="284316936">
          <w:marLeft w:val="240"/>
          <w:marRight w:val="0"/>
          <w:marTop w:val="60"/>
          <w:marBottom w:val="60"/>
          <w:divBdr>
            <w:top w:val="none" w:sz="0" w:space="0" w:color="auto"/>
            <w:left w:val="none" w:sz="0" w:space="0" w:color="auto"/>
            <w:bottom w:val="none" w:sz="0" w:space="0" w:color="auto"/>
            <w:right w:val="none" w:sz="0" w:space="0" w:color="auto"/>
          </w:divBdr>
          <w:divsChild>
            <w:div w:id="744760930">
              <w:marLeft w:val="0"/>
              <w:marRight w:val="0"/>
              <w:marTop w:val="0"/>
              <w:marBottom w:val="0"/>
              <w:divBdr>
                <w:top w:val="none" w:sz="0" w:space="0" w:color="auto"/>
                <w:left w:val="none" w:sz="0" w:space="0" w:color="auto"/>
                <w:bottom w:val="none" w:sz="0" w:space="0" w:color="auto"/>
                <w:right w:val="none" w:sz="0" w:space="0" w:color="auto"/>
              </w:divBdr>
            </w:div>
          </w:divsChild>
        </w:div>
        <w:div w:id="323242831">
          <w:marLeft w:val="240"/>
          <w:marRight w:val="0"/>
          <w:marTop w:val="60"/>
          <w:marBottom w:val="60"/>
          <w:divBdr>
            <w:top w:val="none" w:sz="0" w:space="0" w:color="auto"/>
            <w:left w:val="none" w:sz="0" w:space="0" w:color="auto"/>
            <w:bottom w:val="none" w:sz="0" w:space="0" w:color="auto"/>
            <w:right w:val="none" w:sz="0" w:space="0" w:color="auto"/>
          </w:divBdr>
          <w:divsChild>
            <w:div w:id="288705665">
              <w:marLeft w:val="0"/>
              <w:marRight w:val="0"/>
              <w:marTop w:val="0"/>
              <w:marBottom w:val="0"/>
              <w:divBdr>
                <w:top w:val="none" w:sz="0" w:space="0" w:color="auto"/>
                <w:left w:val="none" w:sz="0" w:space="0" w:color="auto"/>
                <w:bottom w:val="none" w:sz="0" w:space="0" w:color="auto"/>
                <w:right w:val="none" w:sz="0" w:space="0" w:color="auto"/>
              </w:divBdr>
            </w:div>
          </w:divsChild>
        </w:div>
        <w:div w:id="477498090">
          <w:marLeft w:val="240"/>
          <w:marRight w:val="0"/>
          <w:marTop w:val="60"/>
          <w:marBottom w:val="60"/>
          <w:divBdr>
            <w:top w:val="none" w:sz="0" w:space="0" w:color="auto"/>
            <w:left w:val="none" w:sz="0" w:space="0" w:color="auto"/>
            <w:bottom w:val="none" w:sz="0" w:space="0" w:color="auto"/>
            <w:right w:val="none" w:sz="0" w:space="0" w:color="auto"/>
          </w:divBdr>
          <w:divsChild>
            <w:div w:id="335229282">
              <w:marLeft w:val="0"/>
              <w:marRight w:val="0"/>
              <w:marTop w:val="0"/>
              <w:marBottom w:val="0"/>
              <w:divBdr>
                <w:top w:val="none" w:sz="0" w:space="0" w:color="auto"/>
                <w:left w:val="none" w:sz="0" w:space="0" w:color="auto"/>
                <w:bottom w:val="none" w:sz="0" w:space="0" w:color="auto"/>
                <w:right w:val="none" w:sz="0" w:space="0" w:color="auto"/>
              </w:divBdr>
            </w:div>
          </w:divsChild>
        </w:div>
        <w:div w:id="523177315">
          <w:marLeft w:val="240"/>
          <w:marRight w:val="0"/>
          <w:marTop w:val="60"/>
          <w:marBottom w:val="60"/>
          <w:divBdr>
            <w:top w:val="none" w:sz="0" w:space="0" w:color="auto"/>
            <w:left w:val="none" w:sz="0" w:space="0" w:color="auto"/>
            <w:bottom w:val="none" w:sz="0" w:space="0" w:color="auto"/>
            <w:right w:val="none" w:sz="0" w:space="0" w:color="auto"/>
          </w:divBdr>
          <w:divsChild>
            <w:div w:id="1115321640">
              <w:marLeft w:val="0"/>
              <w:marRight w:val="0"/>
              <w:marTop w:val="0"/>
              <w:marBottom w:val="0"/>
              <w:divBdr>
                <w:top w:val="none" w:sz="0" w:space="0" w:color="auto"/>
                <w:left w:val="none" w:sz="0" w:space="0" w:color="auto"/>
                <w:bottom w:val="none" w:sz="0" w:space="0" w:color="auto"/>
                <w:right w:val="none" w:sz="0" w:space="0" w:color="auto"/>
              </w:divBdr>
            </w:div>
          </w:divsChild>
        </w:div>
        <w:div w:id="568156138">
          <w:marLeft w:val="240"/>
          <w:marRight w:val="0"/>
          <w:marTop w:val="60"/>
          <w:marBottom w:val="60"/>
          <w:divBdr>
            <w:top w:val="none" w:sz="0" w:space="0" w:color="auto"/>
            <w:left w:val="none" w:sz="0" w:space="0" w:color="auto"/>
            <w:bottom w:val="none" w:sz="0" w:space="0" w:color="auto"/>
            <w:right w:val="none" w:sz="0" w:space="0" w:color="auto"/>
          </w:divBdr>
          <w:divsChild>
            <w:div w:id="940913278">
              <w:marLeft w:val="0"/>
              <w:marRight w:val="0"/>
              <w:marTop w:val="0"/>
              <w:marBottom w:val="0"/>
              <w:divBdr>
                <w:top w:val="none" w:sz="0" w:space="0" w:color="auto"/>
                <w:left w:val="none" w:sz="0" w:space="0" w:color="auto"/>
                <w:bottom w:val="none" w:sz="0" w:space="0" w:color="auto"/>
                <w:right w:val="none" w:sz="0" w:space="0" w:color="auto"/>
              </w:divBdr>
            </w:div>
          </w:divsChild>
        </w:div>
        <w:div w:id="615142002">
          <w:marLeft w:val="240"/>
          <w:marRight w:val="0"/>
          <w:marTop w:val="60"/>
          <w:marBottom w:val="60"/>
          <w:divBdr>
            <w:top w:val="none" w:sz="0" w:space="0" w:color="auto"/>
            <w:left w:val="none" w:sz="0" w:space="0" w:color="auto"/>
            <w:bottom w:val="none" w:sz="0" w:space="0" w:color="auto"/>
            <w:right w:val="none" w:sz="0" w:space="0" w:color="auto"/>
          </w:divBdr>
          <w:divsChild>
            <w:div w:id="732430704">
              <w:marLeft w:val="0"/>
              <w:marRight w:val="0"/>
              <w:marTop w:val="0"/>
              <w:marBottom w:val="0"/>
              <w:divBdr>
                <w:top w:val="none" w:sz="0" w:space="0" w:color="auto"/>
                <w:left w:val="none" w:sz="0" w:space="0" w:color="auto"/>
                <w:bottom w:val="none" w:sz="0" w:space="0" w:color="auto"/>
                <w:right w:val="none" w:sz="0" w:space="0" w:color="auto"/>
              </w:divBdr>
            </w:div>
          </w:divsChild>
        </w:div>
        <w:div w:id="1098793446">
          <w:marLeft w:val="240"/>
          <w:marRight w:val="0"/>
          <w:marTop w:val="60"/>
          <w:marBottom w:val="60"/>
          <w:divBdr>
            <w:top w:val="none" w:sz="0" w:space="0" w:color="auto"/>
            <w:left w:val="none" w:sz="0" w:space="0" w:color="auto"/>
            <w:bottom w:val="none" w:sz="0" w:space="0" w:color="auto"/>
            <w:right w:val="none" w:sz="0" w:space="0" w:color="auto"/>
          </w:divBdr>
          <w:divsChild>
            <w:div w:id="1999266985">
              <w:marLeft w:val="0"/>
              <w:marRight w:val="0"/>
              <w:marTop w:val="0"/>
              <w:marBottom w:val="0"/>
              <w:divBdr>
                <w:top w:val="none" w:sz="0" w:space="0" w:color="auto"/>
                <w:left w:val="none" w:sz="0" w:space="0" w:color="auto"/>
                <w:bottom w:val="none" w:sz="0" w:space="0" w:color="auto"/>
                <w:right w:val="none" w:sz="0" w:space="0" w:color="auto"/>
              </w:divBdr>
            </w:div>
          </w:divsChild>
        </w:div>
        <w:div w:id="1151559350">
          <w:marLeft w:val="240"/>
          <w:marRight w:val="0"/>
          <w:marTop w:val="60"/>
          <w:marBottom w:val="60"/>
          <w:divBdr>
            <w:top w:val="none" w:sz="0" w:space="0" w:color="auto"/>
            <w:left w:val="none" w:sz="0" w:space="0" w:color="auto"/>
            <w:bottom w:val="none" w:sz="0" w:space="0" w:color="auto"/>
            <w:right w:val="none" w:sz="0" w:space="0" w:color="auto"/>
          </w:divBdr>
          <w:divsChild>
            <w:div w:id="710809336">
              <w:marLeft w:val="0"/>
              <w:marRight w:val="0"/>
              <w:marTop w:val="0"/>
              <w:marBottom w:val="0"/>
              <w:divBdr>
                <w:top w:val="none" w:sz="0" w:space="0" w:color="auto"/>
                <w:left w:val="none" w:sz="0" w:space="0" w:color="auto"/>
                <w:bottom w:val="none" w:sz="0" w:space="0" w:color="auto"/>
                <w:right w:val="none" w:sz="0" w:space="0" w:color="auto"/>
              </w:divBdr>
            </w:div>
          </w:divsChild>
        </w:div>
        <w:div w:id="1547445830">
          <w:marLeft w:val="240"/>
          <w:marRight w:val="0"/>
          <w:marTop w:val="60"/>
          <w:marBottom w:val="60"/>
          <w:divBdr>
            <w:top w:val="none" w:sz="0" w:space="0" w:color="auto"/>
            <w:left w:val="none" w:sz="0" w:space="0" w:color="auto"/>
            <w:bottom w:val="none" w:sz="0" w:space="0" w:color="auto"/>
            <w:right w:val="none" w:sz="0" w:space="0" w:color="auto"/>
          </w:divBdr>
          <w:divsChild>
            <w:div w:id="1478719826">
              <w:marLeft w:val="0"/>
              <w:marRight w:val="0"/>
              <w:marTop w:val="0"/>
              <w:marBottom w:val="0"/>
              <w:divBdr>
                <w:top w:val="none" w:sz="0" w:space="0" w:color="auto"/>
                <w:left w:val="none" w:sz="0" w:space="0" w:color="auto"/>
                <w:bottom w:val="none" w:sz="0" w:space="0" w:color="auto"/>
                <w:right w:val="none" w:sz="0" w:space="0" w:color="auto"/>
              </w:divBdr>
            </w:div>
          </w:divsChild>
        </w:div>
        <w:div w:id="1587810410">
          <w:marLeft w:val="240"/>
          <w:marRight w:val="0"/>
          <w:marTop w:val="60"/>
          <w:marBottom w:val="60"/>
          <w:divBdr>
            <w:top w:val="none" w:sz="0" w:space="0" w:color="auto"/>
            <w:left w:val="none" w:sz="0" w:space="0" w:color="auto"/>
            <w:bottom w:val="none" w:sz="0" w:space="0" w:color="auto"/>
            <w:right w:val="none" w:sz="0" w:space="0" w:color="auto"/>
          </w:divBdr>
          <w:divsChild>
            <w:div w:id="806357085">
              <w:marLeft w:val="0"/>
              <w:marRight w:val="0"/>
              <w:marTop w:val="0"/>
              <w:marBottom w:val="0"/>
              <w:divBdr>
                <w:top w:val="none" w:sz="0" w:space="0" w:color="auto"/>
                <w:left w:val="none" w:sz="0" w:space="0" w:color="auto"/>
                <w:bottom w:val="none" w:sz="0" w:space="0" w:color="auto"/>
                <w:right w:val="none" w:sz="0" w:space="0" w:color="auto"/>
              </w:divBdr>
            </w:div>
          </w:divsChild>
        </w:div>
        <w:div w:id="1727988054">
          <w:marLeft w:val="240"/>
          <w:marRight w:val="0"/>
          <w:marTop w:val="60"/>
          <w:marBottom w:val="60"/>
          <w:divBdr>
            <w:top w:val="none" w:sz="0" w:space="0" w:color="auto"/>
            <w:left w:val="none" w:sz="0" w:space="0" w:color="auto"/>
            <w:bottom w:val="none" w:sz="0" w:space="0" w:color="auto"/>
            <w:right w:val="none" w:sz="0" w:space="0" w:color="auto"/>
          </w:divBdr>
          <w:divsChild>
            <w:div w:id="1202937882">
              <w:marLeft w:val="0"/>
              <w:marRight w:val="0"/>
              <w:marTop w:val="0"/>
              <w:marBottom w:val="0"/>
              <w:divBdr>
                <w:top w:val="none" w:sz="0" w:space="0" w:color="auto"/>
                <w:left w:val="none" w:sz="0" w:space="0" w:color="auto"/>
                <w:bottom w:val="none" w:sz="0" w:space="0" w:color="auto"/>
                <w:right w:val="none" w:sz="0" w:space="0" w:color="auto"/>
              </w:divBdr>
            </w:div>
          </w:divsChild>
        </w:div>
        <w:div w:id="1805193308">
          <w:marLeft w:val="240"/>
          <w:marRight w:val="0"/>
          <w:marTop w:val="60"/>
          <w:marBottom w:val="60"/>
          <w:divBdr>
            <w:top w:val="none" w:sz="0" w:space="0" w:color="auto"/>
            <w:left w:val="none" w:sz="0" w:space="0" w:color="auto"/>
            <w:bottom w:val="none" w:sz="0" w:space="0" w:color="auto"/>
            <w:right w:val="none" w:sz="0" w:space="0" w:color="auto"/>
          </w:divBdr>
          <w:divsChild>
            <w:div w:id="10900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5801">
      <w:bodyDiv w:val="1"/>
      <w:marLeft w:val="0"/>
      <w:marRight w:val="0"/>
      <w:marTop w:val="0"/>
      <w:marBottom w:val="0"/>
      <w:divBdr>
        <w:top w:val="none" w:sz="0" w:space="0" w:color="auto"/>
        <w:left w:val="none" w:sz="0" w:space="0" w:color="auto"/>
        <w:bottom w:val="none" w:sz="0" w:space="0" w:color="auto"/>
        <w:right w:val="none" w:sz="0" w:space="0" w:color="auto"/>
      </w:divBdr>
    </w:div>
    <w:div w:id="1376542426">
      <w:bodyDiv w:val="1"/>
      <w:marLeft w:val="0"/>
      <w:marRight w:val="0"/>
      <w:marTop w:val="0"/>
      <w:marBottom w:val="0"/>
      <w:divBdr>
        <w:top w:val="none" w:sz="0" w:space="0" w:color="auto"/>
        <w:left w:val="none" w:sz="0" w:space="0" w:color="auto"/>
        <w:bottom w:val="none" w:sz="0" w:space="0" w:color="auto"/>
        <w:right w:val="none" w:sz="0" w:space="0" w:color="auto"/>
      </w:divBdr>
    </w:div>
    <w:div w:id="1426919893">
      <w:bodyDiv w:val="1"/>
      <w:marLeft w:val="0"/>
      <w:marRight w:val="0"/>
      <w:marTop w:val="0"/>
      <w:marBottom w:val="0"/>
      <w:divBdr>
        <w:top w:val="none" w:sz="0" w:space="0" w:color="auto"/>
        <w:left w:val="none" w:sz="0" w:space="0" w:color="auto"/>
        <w:bottom w:val="none" w:sz="0" w:space="0" w:color="auto"/>
        <w:right w:val="none" w:sz="0" w:space="0" w:color="auto"/>
      </w:divBdr>
    </w:div>
    <w:div w:id="1492257143">
      <w:bodyDiv w:val="1"/>
      <w:marLeft w:val="0"/>
      <w:marRight w:val="0"/>
      <w:marTop w:val="0"/>
      <w:marBottom w:val="0"/>
      <w:divBdr>
        <w:top w:val="none" w:sz="0" w:space="0" w:color="auto"/>
        <w:left w:val="none" w:sz="0" w:space="0" w:color="auto"/>
        <w:bottom w:val="none" w:sz="0" w:space="0" w:color="auto"/>
        <w:right w:val="none" w:sz="0" w:space="0" w:color="auto"/>
      </w:divBdr>
    </w:div>
    <w:div w:id="1553152639">
      <w:bodyDiv w:val="1"/>
      <w:marLeft w:val="0"/>
      <w:marRight w:val="0"/>
      <w:marTop w:val="0"/>
      <w:marBottom w:val="0"/>
      <w:divBdr>
        <w:top w:val="none" w:sz="0" w:space="0" w:color="auto"/>
        <w:left w:val="none" w:sz="0" w:space="0" w:color="auto"/>
        <w:bottom w:val="none" w:sz="0" w:space="0" w:color="auto"/>
        <w:right w:val="none" w:sz="0" w:space="0" w:color="auto"/>
      </w:divBdr>
    </w:div>
    <w:div w:id="1608655651">
      <w:bodyDiv w:val="1"/>
      <w:marLeft w:val="0"/>
      <w:marRight w:val="0"/>
      <w:marTop w:val="0"/>
      <w:marBottom w:val="0"/>
      <w:divBdr>
        <w:top w:val="none" w:sz="0" w:space="0" w:color="auto"/>
        <w:left w:val="none" w:sz="0" w:space="0" w:color="auto"/>
        <w:bottom w:val="none" w:sz="0" w:space="0" w:color="auto"/>
        <w:right w:val="none" w:sz="0" w:space="0" w:color="auto"/>
      </w:divBdr>
    </w:div>
    <w:div w:id="1755130265">
      <w:bodyDiv w:val="1"/>
      <w:marLeft w:val="0"/>
      <w:marRight w:val="0"/>
      <w:marTop w:val="0"/>
      <w:marBottom w:val="0"/>
      <w:divBdr>
        <w:top w:val="none" w:sz="0" w:space="0" w:color="auto"/>
        <w:left w:val="none" w:sz="0" w:space="0" w:color="auto"/>
        <w:bottom w:val="none" w:sz="0" w:space="0" w:color="auto"/>
        <w:right w:val="none" w:sz="0" w:space="0" w:color="auto"/>
      </w:divBdr>
    </w:div>
    <w:div w:id="21429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ns@ci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ns@cisa.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20/01/30/2020-01707/indian-entities-recognized-by-and-eligible-to-receive-services-from-the-united-states-bureau-of" TargetMode="External"/><Relationship Id="rId7" Type="http://schemas.openxmlformats.org/officeDocument/2006/relationships/hyperlink" Target="https://www.opm.gov/policy-data-oversight/pay-leave/salaries-wages/salary-tables/pdf/2020/DCB.pdf" TargetMode="External"/><Relationship Id="rId2" Type="http://schemas.openxmlformats.org/officeDocument/2006/relationships/hyperlink" Target="https://www.govinfo.gov/app/details/FR-2021-06-23/2021-13111" TargetMode="External"/><Relationship Id="rId1" Type="http://schemas.openxmlformats.org/officeDocument/2006/relationships/hyperlink" Target="https://www.govinfo.gov/app/details/FR-2021-02-17/2021-03105" TargetMode="External"/><Relationship Id="rId6" Type="http://schemas.openxmlformats.org/officeDocument/2006/relationships/hyperlink" Target="https://www.bls.gov/oes/2019/may/oes332011.htm" TargetMode="External"/><Relationship Id="rId5" Type="http://schemas.openxmlformats.org/officeDocument/2006/relationships/hyperlink" Target="http://www.safetysource.com/lists/" TargetMode="External"/><Relationship Id="rId4" Type="http://schemas.openxmlformats.org/officeDocument/2006/relationships/hyperlink" Target="http://www.safetysource.com/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D061AFCA742BD4AB3451F819691" ma:contentTypeVersion="5" ma:contentTypeDescription="Create a new document." ma:contentTypeScope="" ma:versionID="d1e0e48bec27984103fbb680081e1bbb">
  <xsd:schema xmlns:xsd="http://www.w3.org/2001/XMLSchema" xmlns:xs="http://www.w3.org/2001/XMLSchema" xmlns:p="http://schemas.microsoft.com/office/2006/metadata/properties" xmlns:ns3="7d2950f0-4d42-4af4-960b-d744ba6ec658" targetNamespace="http://schemas.microsoft.com/office/2006/metadata/properties" ma:root="true" ma:fieldsID="7bfb68c5695c8e550e55cf0d70a64d78" ns3:_="">
    <xsd:import namespace="7d2950f0-4d42-4af4-960b-d744ba6ec6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950f0-4d42-4af4-960b-d744ba6ec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C26F69-BE14-42A7-92DB-306F27A0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950f0-4d42-4af4-960b-d744ba6ec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2C66A-E238-47B8-ACB5-F4459AF250E1}">
  <ds:schemaRefs>
    <ds:schemaRef ds:uri="http://schemas.microsoft.com/office/2006/metadata/longProperties"/>
  </ds:schemaRefs>
</ds:datastoreItem>
</file>

<file path=customXml/itemProps3.xml><?xml version="1.0" encoding="utf-8"?>
<ds:datastoreItem xmlns:ds="http://schemas.openxmlformats.org/officeDocument/2006/customXml" ds:itemID="{01264911-F0DB-4014-9C4D-921C99053BD8}">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 ds:uri="7d2950f0-4d42-4af4-960b-d744ba6ec658"/>
    <ds:schemaRef ds:uri="http://www.w3.org/XML/1998/namespace"/>
    <ds:schemaRef ds:uri="http://purl.org/dc/elements/1.1/"/>
  </ds:schemaRefs>
</ds:datastoreItem>
</file>

<file path=customXml/itemProps4.xml><?xml version="1.0" encoding="utf-8"?>
<ds:datastoreItem xmlns:ds="http://schemas.openxmlformats.org/officeDocument/2006/customXml" ds:itemID="{FF8135C3-A3B1-4EA1-9D9E-95C1F9B3475D}">
  <ds:schemaRefs>
    <ds:schemaRef ds:uri="http://schemas.microsoft.com/sharepoint/v3/contenttype/forms"/>
  </ds:schemaRefs>
</ds:datastoreItem>
</file>

<file path=customXml/itemProps5.xml><?xml version="1.0" encoding="utf-8"?>
<ds:datastoreItem xmlns:ds="http://schemas.openxmlformats.org/officeDocument/2006/customXml" ds:itemID="{465C92E2-53DE-4E95-8356-CEA1949B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4252</Words>
  <Characters>25607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Bruce, Mia</cp:lastModifiedBy>
  <cp:revision>4</cp:revision>
  <cp:lastPrinted>2020-09-01T14:55:00Z</cp:lastPrinted>
  <dcterms:created xsi:type="dcterms:W3CDTF">2021-07-21T14:59:00Z</dcterms:created>
  <dcterms:modified xsi:type="dcterms:W3CDTF">2021-07-21T16:43:00Z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ContentTypeId">
    <vt:lpwstr>0x010100518CCD061AFCA742BD4AB3451F819691</vt:lpwstr>
  </property>
</Properties>
</file>