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684B" w:rsidR="005B22AB" w:rsidP="001E499E" w:rsidRDefault="00763BE2" w14:paraId="7C0CEB9A" w14:textId="77777777">
      <w:pPr>
        <w:pStyle w:val="CoverTextRed14pt"/>
        <w:rPr>
          <w:sz w:val="32"/>
        </w:rPr>
      </w:pPr>
      <w:r w:rsidRPr="00763BE2">
        <w:rPr>
          <w:noProof/>
        </w:rPr>
        <w:t xml:space="preserve"> </w:t>
      </w:r>
    </w:p>
    <w:p w:rsidR="00AC6AAE" w:rsidP="00DF75E2" w:rsidRDefault="005B22AB" w14:paraId="7ED1D7DA" w14:textId="77777777">
      <w:pPr>
        <w:pStyle w:val="CoverTextRed16pt"/>
        <w:ind w:left="5040" w:right="0"/>
        <w:rPr>
          <w:noProof/>
        </w:rPr>
      </w:pPr>
      <w:r>
        <w:rPr>
          <w:noProof/>
        </w:rPr>
        <w:t xml:space="preserve">Supporting Statement for </w:t>
      </w:r>
    </w:p>
    <w:p w:rsidR="009565D4" w:rsidP="00DF75E2" w:rsidRDefault="00447A57" w14:paraId="16B75EFF" w14:textId="5487F514">
      <w:pPr>
        <w:pStyle w:val="CoverTextRed16pt"/>
        <w:ind w:left="5040" w:right="0"/>
        <w:rPr>
          <w:noProof/>
        </w:rPr>
      </w:pPr>
      <w:r>
        <w:rPr>
          <w:noProof/>
        </w:rPr>
        <w:t>OMB Clearance Request</w:t>
      </w:r>
    </w:p>
    <w:p w:rsidR="009565D4" w:rsidP="00DF75E2" w:rsidRDefault="009565D4" w14:paraId="13C40D6B" w14:textId="77777777">
      <w:pPr>
        <w:pStyle w:val="CoverTextRed16pt"/>
        <w:ind w:left="5040" w:right="0"/>
        <w:rPr>
          <w:noProof/>
        </w:rPr>
      </w:pPr>
    </w:p>
    <w:p w:rsidR="00447A57" w:rsidP="00DF75E2" w:rsidRDefault="00447A57" w14:paraId="63437EDC" w14:textId="77777777">
      <w:pPr>
        <w:pStyle w:val="CoverTextRed16pt"/>
        <w:ind w:left="5040" w:right="0"/>
        <w:rPr>
          <w:noProof/>
        </w:rPr>
      </w:pPr>
      <w:r>
        <w:rPr>
          <w:noProof/>
        </w:rPr>
        <w:t>Part</w:t>
      </w:r>
      <w:r w:rsidR="002C6094">
        <w:rPr>
          <w:noProof/>
        </w:rPr>
        <w:t xml:space="preserve"> </w:t>
      </w:r>
      <w:r w:rsidR="00BF69E2">
        <w:rPr>
          <w:noProof/>
        </w:rPr>
        <w:t>B</w:t>
      </w:r>
      <w:r w:rsidR="00CB3E89">
        <w:rPr>
          <w:noProof/>
        </w:rPr>
        <w:t xml:space="preserve"> </w:t>
      </w:r>
    </w:p>
    <w:p w:rsidR="00447A57" w:rsidP="00DF75E2" w:rsidRDefault="00447A57" w14:paraId="2F66B895" w14:textId="77777777">
      <w:pPr>
        <w:pStyle w:val="CoverTextRed16pt"/>
        <w:ind w:left="5040" w:right="0"/>
        <w:rPr>
          <w:noProof/>
        </w:rPr>
      </w:pPr>
    </w:p>
    <w:p w:rsidRPr="00DF75E2" w:rsidR="00DE48A3" w:rsidP="00DF75E2" w:rsidRDefault="00F17E44" w14:paraId="12C3ECDF" w14:textId="0942F0A7">
      <w:pPr>
        <w:pStyle w:val="CoverTextRed16pt"/>
        <w:ind w:left="5040" w:right="0"/>
        <w:rPr>
          <w:noProof/>
        </w:rPr>
      </w:pPr>
      <w:r w:rsidRPr="00DF75E2">
        <w:rPr>
          <w:noProof/>
        </w:rPr>
        <w:t xml:space="preserve">National Implementation Study </w:t>
      </w:r>
      <w:r w:rsidRPr="00DF75E2" w:rsidR="00DE48A3">
        <w:rPr>
          <w:noProof/>
        </w:rPr>
        <w:t>of Student Support and Academic Enrichment Grants (Title IV, Part A)</w:t>
      </w:r>
    </w:p>
    <w:p w:rsidRPr="00DF75E2" w:rsidR="00321D95" w:rsidP="00DF75E2" w:rsidRDefault="00321D95" w14:paraId="0162D818" w14:textId="77777777">
      <w:pPr>
        <w:pStyle w:val="CoverTextRed16pt"/>
        <w:ind w:left="5040" w:right="0"/>
        <w:rPr>
          <w:noProof/>
        </w:rPr>
      </w:pPr>
    </w:p>
    <w:p w:rsidR="00321D95" w:rsidP="007E2938" w:rsidRDefault="00321D95" w14:paraId="4808C338" w14:textId="77777777">
      <w:pPr>
        <w:pStyle w:val="CoverTextRed16pt"/>
        <w:ind w:left="5040"/>
        <w:rPr>
          <w:szCs w:val="24"/>
        </w:rPr>
      </w:pPr>
    </w:p>
    <w:p w:rsidR="00321D95" w:rsidP="007E2938" w:rsidRDefault="00321D95" w14:paraId="13362585" w14:textId="77777777">
      <w:pPr>
        <w:pStyle w:val="CoverTextRed16pt"/>
        <w:ind w:left="5040"/>
        <w:rPr>
          <w:szCs w:val="24"/>
        </w:rPr>
      </w:pPr>
    </w:p>
    <w:p w:rsidR="00321D95" w:rsidP="007E2938" w:rsidRDefault="00321D95" w14:paraId="1F4A2D05" w14:textId="77777777">
      <w:pPr>
        <w:pStyle w:val="CoverTextRed16pt"/>
        <w:ind w:left="5040"/>
        <w:rPr>
          <w:szCs w:val="24"/>
        </w:rPr>
      </w:pPr>
    </w:p>
    <w:p w:rsidR="00321D95" w:rsidP="007E2938" w:rsidRDefault="00321D95" w14:paraId="7BADDA27" w14:textId="77777777">
      <w:pPr>
        <w:pStyle w:val="CoverTextRed16pt"/>
        <w:ind w:left="5040"/>
        <w:rPr>
          <w:szCs w:val="24"/>
        </w:rPr>
      </w:pPr>
    </w:p>
    <w:p w:rsidR="00321D95" w:rsidP="007E2938" w:rsidRDefault="00321D95" w14:paraId="5796F2FE" w14:textId="77777777">
      <w:pPr>
        <w:pStyle w:val="CoverTextRed16pt"/>
        <w:ind w:left="5040"/>
        <w:rPr>
          <w:szCs w:val="24"/>
        </w:rPr>
      </w:pPr>
    </w:p>
    <w:p w:rsidR="00321D95" w:rsidP="00AB6417" w:rsidRDefault="00412C37" w14:paraId="54F4D89B" w14:textId="05187A78">
      <w:pPr>
        <w:pStyle w:val="CoverText-Address"/>
        <w:ind w:right="0"/>
        <w:rPr>
          <w:sz w:val="24"/>
        </w:rPr>
      </w:pPr>
      <w:r>
        <w:rPr>
          <w:sz w:val="24"/>
        </w:rPr>
        <w:t>Dec</w:t>
      </w:r>
      <w:r w:rsidR="00553A03">
        <w:rPr>
          <w:sz w:val="24"/>
        </w:rPr>
        <w:t>ember</w:t>
      </w:r>
      <w:r w:rsidRPr="00455E18" w:rsidR="00553A03">
        <w:rPr>
          <w:sz w:val="24"/>
        </w:rPr>
        <w:t xml:space="preserve"> </w:t>
      </w:r>
      <w:r w:rsidRPr="00455E18" w:rsidR="00560AEE">
        <w:rPr>
          <w:sz w:val="24"/>
        </w:rPr>
        <w:t>2021</w:t>
      </w:r>
    </w:p>
    <w:p w:rsidRPr="00321D95" w:rsidR="00046192" w:rsidP="00321D95" w:rsidRDefault="00046192" w14:paraId="5026A672" w14:textId="77777777">
      <w:pPr>
        <w:pStyle w:val="CoverText-Address"/>
        <w:rPr>
          <w:sz w:val="24"/>
        </w:rPr>
      </w:pPr>
    </w:p>
    <w:p w:rsidRPr="00051B5C" w:rsidR="00051B5C" w:rsidP="00051B5C" w:rsidRDefault="00051B5C" w14:paraId="75CC5215" w14:textId="77777777"/>
    <w:p w:rsidRPr="00051B5C" w:rsidR="00051B5C" w:rsidP="00051B5C" w:rsidRDefault="00051B5C" w14:paraId="3A75D455" w14:textId="77777777"/>
    <w:p w:rsidRPr="00051B5C" w:rsidR="00051B5C" w:rsidP="00051B5C" w:rsidRDefault="00051B5C" w14:paraId="555F9F83" w14:textId="77777777"/>
    <w:p w:rsidRPr="00051B5C" w:rsidR="00051B5C" w:rsidP="00051B5C" w:rsidRDefault="00051B5C" w14:paraId="50774E3D" w14:textId="77777777"/>
    <w:p w:rsidR="003B7B74" w:rsidRDefault="00455E18" w14:paraId="0C015859" w14:textId="77777777">
      <w:pPr>
        <w:spacing w:after="0" w:line="240" w:lineRule="auto"/>
        <w:sectPr w:rsidR="003B7B74" w:rsidSect="0037009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299"/>
        </w:sectPr>
      </w:pPr>
      <w:r>
        <w:br w:type="page"/>
      </w:r>
    </w:p>
    <w:sdt>
      <w:sdtPr>
        <w:rPr>
          <w:rFonts w:ascii="Times New Roman" w:hAnsi="Times New Roman" w:eastAsia="Times New Roman" w:cs="Times New Roman"/>
          <w:color w:val="auto"/>
          <w:sz w:val="22"/>
          <w:szCs w:val="20"/>
        </w:rPr>
        <w:id w:val="-1434355168"/>
        <w:docPartObj>
          <w:docPartGallery w:val="Table of Contents"/>
          <w:docPartUnique/>
        </w:docPartObj>
      </w:sdtPr>
      <w:sdtEndPr>
        <w:rPr>
          <w:rFonts w:asciiTheme="majorBidi" w:hAnsiTheme="majorBidi"/>
          <w:b/>
          <w:bCs/>
          <w:noProof/>
        </w:rPr>
      </w:sdtEndPr>
      <w:sdtContent>
        <w:p w:rsidRPr="00455E18" w:rsidR="00455E18" w:rsidRDefault="00455E18" w14:paraId="2AA70E2C" w14:textId="77777777">
          <w:pPr>
            <w:pStyle w:val="TOCHeading"/>
            <w:rPr>
              <w:rFonts w:ascii="Times New Roman" w:hAnsi="Times New Roman" w:cs="Times New Roman"/>
              <w:color w:val="auto"/>
            </w:rPr>
          </w:pPr>
          <w:r w:rsidRPr="00455E18">
            <w:rPr>
              <w:rFonts w:ascii="Times New Roman" w:hAnsi="Times New Roman" w:cs="Times New Roman"/>
              <w:color w:val="auto"/>
            </w:rPr>
            <w:t>Table of Contents</w:t>
          </w:r>
        </w:p>
        <w:p w:rsidR="00853591" w:rsidRDefault="00455E18" w14:paraId="65D77E88" w14:textId="77777777">
          <w:pPr>
            <w:pStyle w:val="TOC1"/>
            <w:rPr>
              <w:rFonts w:asciiTheme="minorHAnsi" w:hAnsiTheme="minorHAnsi" w:eastAsiaTheme="minorEastAsia" w:cstheme="minorBidi"/>
              <w:b w:val="0"/>
              <w:szCs w:val="22"/>
            </w:rPr>
          </w:pPr>
          <w:r w:rsidRPr="00455E18">
            <w:rPr>
              <w:rFonts w:asciiTheme="majorBidi" w:hAnsiTheme="majorBidi" w:cstheme="majorBidi"/>
            </w:rPr>
            <w:fldChar w:fldCharType="begin"/>
          </w:r>
          <w:r w:rsidRPr="00455E18">
            <w:rPr>
              <w:rFonts w:asciiTheme="majorBidi" w:hAnsiTheme="majorBidi" w:cstheme="majorBidi"/>
            </w:rPr>
            <w:instrText xml:space="preserve"> TOC \o "1-3" \h \z \u </w:instrText>
          </w:r>
          <w:r w:rsidRPr="00455E18">
            <w:rPr>
              <w:rFonts w:asciiTheme="majorBidi" w:hAnsiTheme="majorBidi" w:cstheme="majorBidi"/>
            </w:rPr>
            <w:fldChar w:fldCharType="separate"/>
          </w:r>
          <w:hyperlink w:history="1" w:anchor="_Toc74140267">
            <w:r w:rsidRPr="00942995" w:rsidR="00853591">
              <w:rPr>
                <w:rStyle w:val="Hyperlink"/>
              </w:rPr>
              <w:t>Section B: Data Collection Procedures and Statistical Methods</w:t>
            </w:r>
            <w:r w:rsidR="00853591">
              <w:rPr>
                <w:webHidden/>
              </w:rPr>
              <w:tab/>
            </w:r>
            <w:r w:rsidR="00853591">
              <w:rPr>
                <w:webHidden/>
              </w:rPr>
              <w:fldChar w:fldCharType="begin"/>
            </w:r>
            <w:r w:rsidR="00853591">
              <w:rPr>
                <w:webHidden/>
              </w:rPr>
              <w:instrText xml:space="preserve"> PAGEREF _Toc74140267 \h </w:instrText>
            </w:r>
            <w:r w:rsidR="00853591">
              <w:rPr>
                <w:webHidden/>
              </w:rPr>
            </w:r>
            <w:r w:rsidR="00853591">
              <w:rPr>
                <w:webHidden/>
              </w:rPr>
              <w:fldChar w:fldCharType="separate"/>
            </w:r>
            <w:r w:rsidR="00853591">
              <w:rPr>
                <w:webHidden/>
              </w:rPr>
              <w:t>1</w:t>
            </w:r>
            <w:r w:rsidR="00853591">
              <w:rPr>
                <w:webHidden/>
              </w:rPr>
              <w:fldChar w:fldCharType="end"/>
            </w:r>
          </w:hyperlink>
        </w:p>
        <w:p w:rsidR="00853591" w:rsidRDefault="00D84568" w14:paraId="171E0B5D" w14:textId="77777777">
          <w:pPr>
            <w:pStyle w:val="TOC2"/>
            <w:rPr>
              <w:rFonts w:asciiTheme="minorHAnsi" w:hAnsiTheme="minorHAnsi" w:eastAsiaTheme="minorEastAsia" w:cstheme="minorBidi"/>
              <w:szCs w:val="22"/>
            </w:rPr>
          </w:pPr>
          <w:hyperlink w:history="1" w:anchor="_Toc74140268">
            <w:r w:rsidRPr="00942995" w:rsidR="00853591">
              <w:rPr>
                <w:rStyle w:val="Hyperlink"/>
              </w:rPr>
              <w:t>Study Overview</w:t>
            </w:r>
            <w:r w:rsidR="00853591">
              <w:rPr>
                <w:webHidden/>
              </w:rPr>
              <w:tab/>
            </w:r>
            <w:r w:rsidR="00853591">
              <w:rPr>
                <w:webHidden/>
              </w:rPr>
              <w:fldChar w:fldCharType="begin"/>
            </w:r>
            <w:r w:rsidR="00853591">
              <w:rPr>
                <w:webHidden/>
              </w:rPr>
              <w:instrText xml:space="preserve"> PAGEREF _Toc74140268 \h </w:instrText>
            </w:r>
            <w:r w:rsidR="00853591">
              <w:rPr>
                <w:webHidden/>
              </w:rPr>
            </w:r>
            <w:r w:rsidR="00853591">
              <w:rPr>
                <w:webHidden/>
              </w:rPr>
              <w:fldChar w:fldCharType="separate"/>
            </w:r>
            <w:r w:rsidR="00853591">
              <w:rPr>
                <w:webHidden/>
              </w:rPr>
              <w:t>1</w:t>
            </w:r>
            <w:r w:rsidR="00853591">
              <w:rPr>
                <w:webHidden/>
              </w:rPr>
              <w:fldChar w:fldCharType="end"/>
            </w:r>
          </w:hyperlink>
        </w:p>
        <w:p w:rsidR="00853591" w:rsidRDefault="00D84568" w14:paraId="76A6AE19" w14:textId="77777777">
          <w:pPr>
            <w:pStyle w:val="TOC2"/>
            <w:rPr>
              <w:rFonts w:asciiTheme="minorHAnsi" w:hAnsiTheme="minorHAnsi" w:eastAsiaTheme="minorEastAsia" w:cstheme="minorBidi"/>
              <w:szCs w:val="22"/>
            </w:rPr>
          </w:pPr>
          <w:hyperlink w:history="1" w:anchor="_Toc74140269">
            <w:r w:rsidRPr="00942995" w:rsidR="00853591">
              <w:rPr>
                <w:rStyle w:val="Hyperlink"/>
              </w:rPr>
              <w:t>B.1. Respondent Universe and Sampling Methods</w:t>
            </w:r>
            <w:r w:rsidR="00853591">
              <w:rPr>
                <w:webHidden/>
              </w:rPr>
              <w:tab/>
            </w:r>
            <w:r w:rsidR="00853591">
              <w:rPr>
                <w:webHidden/>
              </w:rPr>
              <w:fldChar w:fldCharType="begin"/>
            </w:r>
            <w:r w:rsidR="00853591">
              <w:rPr>
                <w:webHidden/>
              </w:rPr>
              <w:instrText xml:space="preserve"> PAGEREF _Toc74140269 \h </w:instrText>
            </w:r>
            <w:r w:rsidR="00853591">
              <w:rPr>
                <w:webHidden/>
              </w:rPr>
            </w:r>
            <w:r w:rsidR="00853591">
              <w:rPr>
                <w:webHidden/>
              </w:rPr>
              <w:fldChar w:fldCharType="separate"/>
            </w:r>
            <w:r w:rsidR="00853591">
              <w:rPr>
                <w:webHidden/>
              </w:rPr>
              <w:t>1</w:t>
            </w:r>
            <w:r w:rsidR="00853591">
              <w:rPr>
                <w:webHidden/>
              </w:rPr>
              <w:fldChar w:fldCharType="end"/>
            </w:r>
          </w:hyperlink>
        </w:p>
        <w:p w:rsidR="00853591" w:rsidRDefault="00D84568" w14:paraId="7371E193" w14:textId="77777777">
          <w:pPr>
            <w:pStyle w:val="TOC2"/>
            <w:rPr>
              <w:rFonts w:asciiTheme="minorHAnsi" w:hAnsiTheme="minorHAnsi" w:eastAsiaTheme="minorEastAsia" w:cstheme="minorBidi"/>
              <w:szCs w:val="22"/>
            </w:rPr>
          </w:pPr>
          <w:hyperlink w:history="1" w:anchor="_Toc74140270">
            <w:r w:rsidRPr="00942995" w:rsidR="00853591">
              <w:rPr>
                <w:rStyle w:val="Hyperlink"/>
              </w:rPr>
              <w:t>B.2. Procedures for the Collection of Information</w:t>
            </w:r>
            <w:r w:rsidR="00853591">
              <w:rPr>
                <w:webHidden/>
              </w:rPr>
              <w:tab/>
            </w:r>
            <w:r w:rsidR="00853591">
              <w:rPr>
                <w:webHidden/>
              </w:rPr>
              <w:fldChar w:fldCharType="begin"/>
            </w:r>
            <w:r w:rsidR="00853591">
              <w:rPr>
                <w:webHidden/>
              </w:rPr>
              <w:instrText xml:space="preserve"> PAGEREF _Toc74140270 \h </w:instrText>
            </w:r>
            <w:r w:rsidR="00853591">
              <w:rPr>
                <w:webHidden/>
              </w:rPr>
            </w:r>
            <w:r w:rsidR="00853591">
              <w:rPr>
                <w:webHidden/>
              </w:rPr>
              <w:fldChar w:fldCharType="separate"/>
            </w:r>
            <w:r w:rsidR="00853591">
              <w:rPr>
                <w:webHidden/>
              </w:rPr>
              <w:t>3</w:t>
            </w:r>
            <w:r w:rsidR="00853591">
              <w:rPr>
                <w:webHidden/>
              </w:rPr>
              <w:fldChar w:fldCharType="end"/>
            </w:r>
          </w:hyperlink>
        </w:p>
        <w:p w:rsidR="00853591" w:rsidRDefault="00D84568" w14:paraId="72E7C534" w14:textId="77777777">
          <w:pPr>
            <w:pStyle w:val="TOC3"/>
            <w:rPr>
              <w:rFonts w:asciiTheme="minorHAnsi" w:hAnsiTheme="minorHAnsi" w:eastAsiaTheme="minorEastAsia" w:cstheme="minorBidi"/>
              <w:szCs w:val="22"/>
            </w:rPr>
          </w:pPr>
          <w:hyperlink w:history="1" w:anchor="_Toc74140271">
            <w:r w:rsidRPr="00942995" w:rsidR="00853591">
              <w:rPr>
                <w:rStyle w:val="Hyperlink"/>
              </w:rPr>
              <w:t>B.2.1. Statistical methodology for stratification and sample selection.</w:t>
            </w:r>
            <w:r w:rsidR="00853591">
              <w:rPr>
                <w:webHidden/>
              </w:rPr>
              <w:tab/>
            </w:r>
            <w:r w:rsidR="00853591">
              <w:rPr>
                <w:webHidden/>
              </w:rPr>
              <w:fldChar w:fldCharType="begin"/>
            </w:r>
            <w:r w:rsidR="00853591">
              <w:rPr>
                <w:webHidden/>
              </w:rPr>
              <w:instrText xml:space="preserve"> PAGEREF _Toc74140271 \h </w:instrText>
            </w:r>
            <w:r w:rsidR="00853591">
              <w:rPr>
                <w:webHidden/>
              </w:rPr>
            </w:r>
            <w:r w:rsidR="00853591">
              <w:rPr>
                <w:webHidden/>
              </w:rPr>
              <w:fldChar w:fldCharType="separate"/>
            </w:r>
            <w:r w:rsidR="00853591">
              <w:rPr>
                <w:webHidden/>
              </w:rPr>
              <w:t>3</w:t>
            </w:r>
            <w:r w:rsidR="00853591">
              <w:rPr>
                <w:webHidden/>
              </w:rPr>
              <w:fldChar w:fldCharType="end"/>
            </w:r>
          </w:hyperlink>
        </w:p>
        <w:p w:rsidR="00853591" w:rsidRDefault="00D84568" w14:paraId="40853F05" w14:textId="77777777">
          <w:pPr>
            <w:pStyle w:val="TOC3"/>
            <w:rPr>
              <w:rFonts w:asciiTheme="minorHAnsi" w:hAnsiTheme="minorHAnsi" w:eastAsiaTheme="minorEastAsia" w:cstheme="minorBidi"/>
              <w:szCs w:val="22"/>
            </w:rPr>
          </w:pPr>
          <w:hyperlink w:history="1" w:anchor="_Toc74140272">
            <w:r w:rsidRPr="00942995" w:rsidR="00853591">
              <w:rPr>
                <w:rStyle w:val="Hyperlink"/>
              </w:rPr>
              <w:t>B.2.2. Estimation procedure</w:t>
            </w:r>
            <w:r w:rsidR="00853591">
              <w:rPr>
                <w:webHidden/>
              </w:rPr>
              <w:tab/>
            </w:r>
            <w:r w:rsidR="00853591">
              <w:rPr>
                <w:webHidden/>
              </w:rPr>
              <w:fldChar w:fldCharType="begin"/>
            </w:r>
            <w:r w:rsidR="00853591">
              <w:rPr>
                <w:webHidden/>
              </w:rPr>
              <w:instrText xml:space="preserve"> PAGEREF _Toc74140272 \h </w:instrText>
            </w:r>
            <w:r w:rsidR="00853591">
              <w:rPr>
                <w:webHidden/>
              </w:rPr>
            </w:r>
            <w:r w:rsidR="00853591">
              <w:rPr>
                <w:webHidden/>
              </w:rPr>
              <w:fldChar w:fldCharType="separate"/>
            </w:r>
            <w:r w:rsidR="00853591">
              <w:rPr>
                <w:webHidden/>
              </w:rPr>
              <w:t>5</w:t>
            </w:r>
            <w:r w:rsidR="00853591">
              <w:rPr>
                <w:webHidden/>
              </w:rPr>
              <w:fldChar w:fldCharType="end"/>
            </w:r>
          </w:hyperlink>
        </w:p>
        <w:p w:rsidR="00853591" w:rsidRDefault="00D84568" w14:paraId="52CF88A5" w14:textId="77777777">
          <w:pPr>
            <w:pStyle w:val="TOC3"/>
            <w:rPr>
              <w:rFonts w:asciiTheme="minorHAnsi" w:hAnsiTheme="minorHAnsi" w:eastAsiaTheme="minorEastAsia" w:cstheme="minorBidi"/>
              <w:szCs w:val="22"/>
            </w:rPr>
          </w:pPr>
          <w:hyperlink w:history="1" w:anchor="_Toc74140273">
            <w:r w:rsidRPr="00942995" w:rsidR="00853591">
              <w:rPr>
                <w:rStyle w:val="Hyperlink"/>
              </w:rPr>
              <w:t>B.2.3. Degree of accuracy needed for the purpose described in the justification</w:t>
            </w:r>
            <w:r w:rsidR="00853591">
              <w:rPr>
                <w:webHidden/>
              </w:rPr>
              <w:tab/>
            </w:r>
            <w:r w:rsidR="00853591">
              <w:rPr>
                <w:webHidden/>
              </w:rPr>
              <w:fldChar w:fldCharType="begin"/>
            </w:r>
            <w:r w:rsidR="00853591">
              <w:rPr>
                <w:webHidden/>
              </w:rPr>
              <w:instrText xml:space="preserve"> PAGEREF _Toc74140273 \h </w:instrText>
            </w:r>
            <w:r w:rsidR="00853591">
              <w:rPr>
                <w:webHidden/>
              </w:rPr>
            </w:r>
            <w:r w:rsidR="00853591">
              <w:rPr>
                <w:webHidden/>
              </w:rPr>
              <w:fldChar w:fldCharType="separate"/>
            </w:r>
            <w:r w:rsidR="00853591">
              <w:rPr>
                <w:webHidden/>
              </w:rPr>
              <w:t>5</w:t>
            </w:r>
            <w:r w:rsidR="00853591">
              <w:rPr>
                <w:webHidden/>
              </w:rPr>
              <w:fldChar w:fldCharType="end"/>
            </w:r>
          </w:hyperlink>
        </w:p>
        <w:p w:rsidR="00853591" w:rsidRDefault="00D84568" w14:paraId="7EB9F602" w14:textId="77777777">
          <w:pPr>
            <w:pStyle w:val="TOC3"/>
            <w:rPr>
              <w:rFonts w:asciiTheme="minorHAnsi" w:hAnsiTheme="minorHAnsi" w:eastAsiaTheme="minorEastAsia" w:cstheme="minorBidi"/>
              <w:szCs w:val="22"/>
            </w:rPr>
          </w:pPr>
          <w:hyperlink w:history="1" w:anchor="_Toc74140274">
            <w:r w:rsidRPr="00942995" w:rsidR="00853591">
              <w:rPr>
                <w:rStyle w:val="Hyperlink"/>
              </w:rPr>
              <w:t>B.2.4. Unusual problems requiring specialized sampling procedures</w:t>
            </w:r>
            <w:r w:rsidR="00853591">
              <w:rPr>
                <w:webHidden/>
              </w:rPr>
              <w:tab/>
            </w:r>
            <w:r w:rsidR="00853591">
              <w:rPr>
                <w:webHidden/>
              </w:rPr>
              <w:fldChar w:fldCharType="begin"/>
            </w:r>
            <w:r w:rsidR="00853591">
              <w:rPr>
                <w:webHidden/>
              </w:rPr>
              <w:instrText xml:space="preserve"> PAGEREF _Toc74140274 \h </w:instrText>
            </w:r>
            <w:r w:rsidR="00853591">
              <w:rPr>
                <w:webHidden/>
              </w:rPr>
            </w:r>
            <w:r w:rsidR="00853591">
              <w:rPr>
                <w:webHidden/>
              </w:rPr>
              <w:fldChar w:fldCharType="separate"/>
            </w:r>
            <w:r w:rsidR="00853591">
              <w:rPr>
                <w:webHidden/>
              </w:rPr>
              <w:t>5</w:t>
            </w:r>
            <w:r w:rsidR="00853591">
              <w:rPr>
                <w:webHidden/>
              </w:rPr>
              <w:fldChar w:fldCharType="end"/>
            </w:r>
          </w:hyperlink>
        </w:p>
        <w:p w:rsidR="00853591" w:rsidRDefault="00D84568" w14:paraId="3F1FA349" w14:textId="77777777">
          <w:pPr>
            <w:pStyle w:val="TOC3"/>
            <w:rPr>
              <w:rFonts w:asciiTheme="minorHAnsi" w:hAnsiTheme="minorHAnsi" w:eastAsiaTheme="minorEastAsia" w:cstheme="minorBidi"/>
              <w:szCs w:val="22"/>
            </w:rPr>
          </w:pPr>
          <w:hyperlink w:history="1" w:anchor="_Toc74140275">
            <w:r w:rsidRPr="00942995" w:rsidR="00853591">
              <w:rPr>
                <w:rStyle w:val="Hyperlink"/>
              </w:rPr>
              <w:t>B.2.5. Any use of periodic (less frequent than annual) data collection cycles to reduce burden.</w:t>
            </w:r>
            <w:r w:rsidR="00853591">
              <w:rPr>
                <w:webHidden/>
              </w:rPr>
              <w:tab/>
            </w:r>
            <w:r w:rsidR="00853591">
              <w:rPr>
                <w:webHidden/>
              </w:rPr>
              <w:fldChar w:fldCharType="begin"/>
            </w:r>
            <w:r w:rsidR="00853591">
              <w:rPr>
                <w:webHidden/>
              </w:rPr>
              <w:instrText xml:space="preserve"> PAGEREF _Toc74140275 \h </w:instrText>
            </w:r>
            <w:r w:rsidR="00853591">
              <w:rPr>
                <w:webHidden/>
              </w:rPr>
            </w:r>
            <w:r w:rsidR="00853591">
              <w:rPr>
                <w:webHidden/>
              </w:rPr>
              <w:fldChar w:fldCharType="separate"/>
            </w:r>
            <w:r w:rsidR="00853591">
              <w:rPr>
                <w:webHidden/>
              </w:rPr>
              <w:t>6</w:t>
            </w:r>
            <w:r w:rsidR="00853591">
              <w:rPr>
                <w:webHidden/>
              </w:rPr>
              <w:fldChar w:fldCharType="end"/>
            </w:r>
          </w:hyperlink>
        </w:p>
        <w:p w:rsidR="00853591" w:rsidRDefault="00D84568" w14:paraId="3BC80B66" w14:textId="77777777">
          <w:pPr>
            <w:pStyle w:val="TOC2"/>
            <w:rPr>
              <w:rFonts w:asciiTheme="minorHAnsi" w:hAnsiTheme="minorHAnsi" w:eastAsiaTheme="minorEastAsia" w:cstheme="minorBidi"/>
              <w:szCs w:val="22"/>
            </w:rPr>
          </w:pPr>
          <w:hyperlink w:history="1" w:anchor="_Toc74140276">
            <w:r w:rsidRPr="00942995" w:rsidR="00853591">
              <w:rPr>
                <w:rStyle w:val="Hyperlink"/>
              </w:rPr>
              <w:t>B.3. Methods to Maximize Response Rates and Deal with Nonresponse</w:t>
            </w:r>
            <w:r w:rsidR="00853591">
              <w:rPr>
                <w:webHidden/>
              </w:rPr>
              <w:tab/>
            </w:r>
            <w:r w:rsidR="00853591">
              <w:rPr>
                <w:webHidden/>
              </w:rPr>
              <w:fldChar w:fldCharType="begin"/>
            </w:r>
            <w:r w:rsidR="00853591">
              <w:rPr>
                <w:webHidden/>
              </w:rPr>
              <w:instrText xml:space="preserve"> PAGEREF _Toc74140276 \h </w:instrText>
            </w:r>
            <w:r w:rsidR="00853591">
              <w:rPr>
                <w:webHidden/>
              </w:rPr>
            </w:r>
            <w:r w:rsidR="00853591">
              <w:rPr>
                <w:webHidden/>
              </w:rPr>
              <w:fldChar w:fldCharType="separate"/>
            </w:r>
            <w:r w:rsidR="00853591">
              <w:rPr>
                <w:webHidden/>
              </w:rPr>
              <w:t>6</w:t>
            </w:r>
            <w:r w:rsidR="00853591">
              <w:rPr>
                <w:webHidden/>
              </w:rPr>
              <w:fldChar w:fldCharType="end"/>
            </w:r>
          </w:hyperlink>
        </w:p>
        <w:p w:rsidR="00853591" w:rsidRDefault="00D84568" w14:paraId="046A26C5" w14:textId="77777777">
          <w:pPr>
            <w:pStyle w:val="TOC2"/>
            <w:rPr>
              <w:rFonts w:asciiTheme="minorHAnsi" w:hAnsiTheme="minorHAnsi" w:eastAsiaTheme="minorEastAsia" w:cstheme="minorBidi"/>
              <w:szCs w:val="22"/>
            </w:rPr>
          </w:pPr>
          <w:hyperlink w:history="1" w:anchor="_Toc74140277">
            <w:r w:rsidRPr="00942995" w:rsidR="00853591">
              <w:rPr>
                <w:rStyle w:val="Hyperlink"/>
              </w:rPr>
              <w:t>B.4. Test of Procedures and Methods to be Undertaken</w:t>
            </w:r>
            <w:r w:rsidR="00853591">
              <w:rPr>
                <w:webHidden/>
              </w:rPr>
              <w:tab/>
            </w:r>
            <w:r w:rsidR="00853591">
              <w:rPr>
                <w:webHidden/>
              </w:rPr>
              <w:fldChar w:fldCharType="begin"/>
            </w:r>
            <w:r w:rsidR="00853591">
              <w:rPr>
                <w:webHidden/>
              </w:rPr>
              <w:instrText xml:space="preserve"> PAGEREF _Toc74140277 \h </w:instrText>
            </w:r>
            <w:r w:rsidR="00853591">
              <w:rPr>
                <w:webHidden/>
              </w:rPr>
            </w:r>
            <w:r w:rsidR="00853591">
              <w:rPr>
                <w:webHidden/>
              </w:rPr>
              <w:fldChar w:fldCharType="separate"/>
            </w:r>
            <w:r w:rsidR="00853591">
              <w:rPr>
                <w:webHidden/>
              </w:rPr>
              <w:t>7</w:t>
            </w:r>
            <w:r w:rsidR="00853591">
              <w:rPr>
                <w:webHidden/>
              </w:rPr>
              <w:fldChar w:fldCharType="end"/>
            </w:r>
          </w:hyperlink>
        </w:p>
        <w:p w:rsidR="00853591" w:rsidRDefault="00D84568" w14:paraId="775DF774" w14:textId="77777777">
          <w:pPr>
            <w:pStyle w:val="TOC2"/>
            <w:rPr>
              <w:rFonts w:asciiTheme="minorHAnsi" w:hAnsiTheme="minorHAnsi" w:eastAsiaTheme="minorEastAsia" w:cstheme="minorBidi"/>
              <w:szCs w:val="22"/>
            </w:rPr>
          </w:pPr>
          <w:hyperlink w:history="1" w:anchor="_Toc74140278">
            <w:r w:rsidRPr="00942995" w:rsidR="00853591">
              <w:rPr>
                <w:rStyle w:val="Hyperlink"/>
              </w:rPr>
              <w:t>B.5. Individuals Consulted on Statistical Aspects or Collecting or Analyzing Data</w:t>
            </w:r>
            <w:r w:rsidR="00853591">
              <w:rPr>
                <w:webHidden/>
              </w:rPr>
              <w:tab/>
            </w:r>
            <w:r w:rsidR="00853591">
              <w:rPr>
                <w:webHidden/>
              </w:rPr>
              <w:fldChar w:fldCharType="begin"/>
            </w:r>
            <w:r w:rsidR="00853591">
              <w:rPr>
                <w:webHidden/>
              </w:rPr>
              <w:instrText xml:space="preserve"> PAGEREF _Toc74140278 \h </w:instrText>
            </w:r>
            <w:r w:rsidR="00853591">
              <w:rPr>
                <w:webHidden/>
              </w:rPr>
            </w:r>
            <w:r w:rsidR="00853591">
              <w:rPr>
                <w:webHidden/>
              </w:rPr>
              <w:fldChar w:fldCharType="separate"/>
            </w:r>
            <w:r w:rsidR="00853591">
              <w:rPr>
                <w:webHidden/>
              </w:rPr>
              <w:t>7</w:t>
            </w:r>
            <w:r w:rsidR="00853591">
              <w:rPr>
                <w:webHidden/>
              </w:rPr>
              <w:fldChar w:fldCharType="end"/>
            </w:r>
          </w:hyperlink>
        </w:p>
        <w:p w:rsidRPr="00455E18" w:rsidR="00455E18" w:rsidRDefault="00455E18" w14:paraId="6AEB1D91" w14:textId="77777777">
          <w:pPr>
            <w:rPr>
              <w:rFonts w:asciiTheme="majorBidi" w:hAnsiTheme="majorBidi" w:cstheme="majorBidi"/>
            </w:rPr>
          </w:pPr>
          <w:r w:rsidRPr="00455E18">
            <w:rPr>
              <w:rFonts w:asciiTheme="majorBidi" w:hAnsiTheme="majorBidi" w:cstheme="majorBidi"/>
              <w:b/>
              <w:bCs/>
              <w:noProof/>
            </w:rPr>
            <w:fldChar w:fldCharType="end"/>
          </w:r>
        </w:p>
      </w:sdtContent>
    </w:sdt>
    <w:p w:rsidRPr="001E1211" w:rsidR="00CC4B7E" w:rsidP="00CC4B7E" w:rsidRDefault="00CC4B7E" w14:paraId="58DA2A67" w14:textId="77777777">
      <w:pPr>
        <w:pStyle w:val="TOCHeading"/>
        <w:spacing w:after="240"/>
        <w:rPr>
          <w:rFonts w:ascii="Times New Roman" w:hAnsi="Times New Roman" w:cs="Times New Roman"/>
          <w:color w:val="auto"/>
        </w:rPr>
      </w:pPr>
      <w:r w:rsidRPr="001E1211">
        <w:rPr>
          <w:rFonts w:ascii="Times New Roman" w:hAnsi="Times New Roman" w:cs="Times New Roman"/>
          <w:color w:val="auto"/>
        </w:rPr>
        <w:t>Table of Exhibits</w:t>
      </w:r>
    </w:p>
    <w:p w:rsidR="000D4BBC" w:rsidRDefault="00CC4B7E" w14:paraId="62252501" w14:textId="3C8ED66E">
      <w:pPr>
        <w:pStyle w:val="TableofFigures"/>
        <w:tabs>
          <w:tab w:val="right" w:leader="dot" w:pos="9350"/>
        </w:tabs>
        <w:rPr>
          <w:rFonts w:asciiTheme="minorHAnsi" w:hAnsiTheme="minorHAnsi" w:eastAsiaTheme="minorEastAsia" w:cstheme="minorBidi"/>
          <w:noProof/>
          <w:szCs w:val="22"/>
        </w:rPr>
      </w:pPr>
      <w:r w:rsidRPr="00CC4B7E">
        <w:rPr>
          <w:rStyle w:val="Hyperlink"/>
          <w:noProof/>
        </w:rPr>
        <w:fldChar w:fldCharType="begin"/>
      </w:r>
      <w:r w:rsidRPr="00CC4B7E">
        <w:rPr>
          <w:rStyle w:val="Hyperlink"/>
          <w:noProof/>
        </w:rPr>
        <w:instrText xml:space="preserve"> TOC \h \z \c "Exhibit" </w:instrText>
      </w:r>
      <w:r w:rsidRPr="00CC4B7E">
        <w:rPr>
          <w:rStyle w:val="Hyperlink"/>
          <w:noProof/>
        </w:rPr>
        <w:fldChar w:fldCharType="separate"/>
      </w:r>
      <w:hyperlink w:history="1" w:anchor="_Toc77597464">
        <w:r w:rsidRPr="0004292C" w:rsidR="000D4BBC">
          <w:rPr>
            <w:rStyle w:val="Hyperlink"/>
            <w:noProof/>
          </w:rPr>
          <w:t>Exhibit 1. Sampling Assumptions</w:t>
        </w:r>
        <w:r w:rsidR="000D4BBC">
          <w:rPr>
            <w:noProof/>
            <w:webHidden/>
          </w:rPr>
          <w:tab/>
        </w:r>
        <w:r w:rsidR="000D4BBC">
          <w:rPr>
            <w:noProof/>
            <w:webHidden/>
          </w:rPr>
          <w:fldChar w:fldCharType="begin"/>
        </w:r>
        <w:r w:rsidR="000D4BBC">
          <w:rPr>
            <w:noProof/>
            <w:webHidden/>
          </w:rPr>
          <w:instrText xml:space="preserve"> PAGEREF _Toc77597464 \h </w:instrText>
        </w:r>
        <w:r w:rsidR="000D4BBC">
          <w:rPr>
            <w:noProof/>
            <w:webHidden/>
          </w:rPr>
        </w:r>
        <w:r w:rsidR="000D4BBC">
          <w:rPr>
            <w:noProof/>
            <w:webHidden/>
          </w:rPr>
          <w:fldChar w:fldCharType="separate"/>
        </w:r>
        <w:r w:rsidR="009A0E38">
          <w:rPr>
            <w:noProof/>
            <w:webHidden/>
          </w:rPr>
          <w:t>3</w:t>
        </w:r>
        <w:r w:rsidR="000D4BBC">
          <w:rPr>
            <w:noProof/>
            <w:webHidden/>
          </w:rPr>
          <w:fldChar w:fldCharType="end"/>
        </w:r>
      </w:hyperlink>
    </w:p>
    <w:p w:rsidR="000D4BBC" w:rsidRDefault="00D84568" w14:paraId="460971BA" w14:textId="7B221F4B">
      <w:pPr>
        <w:pStyle w:val="TableofFigures"/>
        <w:tabs>
          <w:tab w:val="right" w:leader="dot" w:pos="9350"/>
        </w:tabs>
        <w:rPr>
          <w:rFonts w:asciiTheme="minorHAnsi" w:hAnsiTheme="minorHAnsi" w:eastAsiaTheme="minorEastAsia" w:cstheme="minorBidi"/>
          <w:noProof/>
          <w:szCs w:val="22"/>
        </w:rPr>
      </w:pPr>
      <w:hyperlink w:history="1" w:anchor="_Toc77597465">
        <w:r w:rsidRPr="0004292C" w:rsidR="000D4BBC">
          <w:rPr>
            <w:rStyle w:val="Hyperlink"/>
            <w:noProof/>
          </w:rPr>
          <w:t xml:space="preserve">Exhibit 2. </w:t>
        </w:r>
        <w:r w:rsidRPr="0004292C" w:rsidR="000D4BBC">
          <w:rPr>
            <w:rStyle w:val="Hyperlink"/>
            <w:rFonts w:eastAsia="Book Antiqua"/>
            <w:noProof/>
          </w:rPr>
          <w:t>Expected Sample Sizes and Estimated Precision for Full Sample and Subsample</w:t>
        </w:r>
        <w:r w:rsidR="000D4BBC">
          <w:rPr>
            <w:noProof/>
            <w:webHidden/>
          </w:rPr>
          <w:tab/>
        </w:r>
        <w:r w:rsidR="000D4BBC">
          <w:rPr>
            <w:noProof/>
            <w:webHidden/>
          </w:rPr>
          <w:fldChar w:fldCharType="begin"/>
        </w:r>
        <w:r w:rsidR="000D4BBC">
          <w:rPr>
            <w:noProof/>
            <w:webHidden/>
          </w:rPr>
          <w:instrText xml:space="preserve"> PAGEREF _Toc77597465 \h </w:instrText>
        </w:r>
        <w:r w:rsidR="000D4BBC">
          <w:rPr>
            <w:noProof/>
            <w:webHidden/>
          </w:rPr>
        </w:r>
        <w:r w:rsidR="000D4BBC">
          <w:rPr>
            <w:noProof/>
            <w:webHidden/>
          </w:rPr>
          <w:fldChar w:fldCharType="separate"/>
        </w:r>
        <w:r w:rsidR="009A0E38">
          <w:rPr>
            <w:noProof/>
            <w:webHidden/>
          </w:rPr>
          <w:t>4</w:t>
        </w:r>
        <w:r w:rsidR="000D4BBC">
          <w:rPr>
            <w:noProof/>
            <w:webHidden/>
          </w:rPr>
          <w:fldChar w:fldCharType="end"/>
        </w:r>
      </w:hyperlink>
    </w:p>
    <w:p w:rsidR="000D4BBC" w:rsidRDefault="00D84568" w14:paraId="735CC8A8" w14:textId="0C9902AA">
      <w:pPr>
        <w:pStyle w:val="TableofFigures"/>
        <w:tabs>
          <w:tab w:val="right" w:leader="dot" w:pos="9350"/>
        </w:tabs>
        <w:rPr>
          <w:rFonts w:asciiTheme="minorHAnsi" w:hAnsiTheme="minorHAnsi" w:eastAsiaTheme="minorEastAsia" w:cstheme="minorBidi"/>
          <w:noProof/>
          <w:szCs w:val="22"/>
        </w:rPr>
      </w:pPr>
      <w:hyperlink w:history="1" w:anchor="_Toc77597466">
        <w:r w:rsidRPr="0004292C" w:rsidR="000D4BBC">
          <w:rPr>
            <w:rStyle w:val="Hyperlink"/>
            <w:noProof/>
          </w:rPr>
          <w:t xml:space="preserve">Exhibit 3. </w:t>
        </w:r>
        <w:r w:rsidRPr="0004292C" w:rsidR="000D4BBC">
          <w:rPr>
            <w:rStyle w:val="Hyperlink"/>
            <w:rFonts w:eastAsia="Book Antiqua"/>
            <w:noProof/>
          </w:rPr>
          <w:t>Expected Minimum Detectable Differences for Subgroup Comparison</w:t>
        </w:r>
        <w:r w:rsidR="000D4BBC">
          <w:rPr>
            <w:noProof/>
            <w:webHidden/>
          </w:rPr>
          <w:tab/>
        </w:r>
        <w:r w:rsidR="000D4BBC">
          <w:rPr>
            <w:noProof/>
            <w:webHidden/>
          </w:rPr>
          <w:fldChar w:fldCharType="begin"/>
        </w:r>
        <w:r w:rsidR="000D4BBC">
          <w:rPr>
            <w:noProof/>
            <w:webHidden/>
          </w:rPr>
          <w:instrText xml:space="preserve"> PAGEREF _Toc77597466 \h </w:instrText>
        </w:r>
        <w:r w:rsidR="000D4BBC">
          <w:rPr>
            <w:noProof/>
            <w:webHidden/>
          </w:rPr>
        </w:r>
        <w:r w:rsidR="000D4BBC">
          <w:rPr>
            <w:noProof/>
            <w:webHidden/>
          </w:rPr>
          <w:fldChar w:fldCharType="separate"/>
        </w:r>
        <w:r w:rsidR="009A0E38">
          <w:rPr>
            <w:noProof/>
            <w:webHidden/>
          </w:rPr>
          <w:t>5</w:t>
        </w:r>
        <w:r w:rsidR="000D4BBC">
          <w:rPr>
            <w:noProof/>
            <w:webHidden/>
          </w:rPr>
          <w:fldChar w:fldCharType="end"/>
        </w:r>
      </w:hyperlink>
    </w:p>
    <w:p w:rsidR="006D192F" w:rsidRDefault="00CC4B7E" w14:paraId="36238722" w14:textId="498AB7F0">
      <w:pPr>
        <w:spacing w:after="0" w:line="240" w:lineRule="auto"/>
        <w:rPr>
          <w:rFonts w:asciiTheme="majorBidi" w:hAnsiTheme="majorBidi" w:cstheme="majorBidi"/>
          <w:b/>
          <w:color w:val="FFFFFF"/>
          <w:kern w:val="28"/>
          <w:sz w:val="28"/>
        </w:rPr>
        <w:sectPr w:rsidR="006D192F" w:rsidSect="00370094">
          <w:footerReference w:type="default" r:id="rId17"/>
          <w:pgSz w:w="12240" w:h="15840" w:code="1"/>
          <w:pgMar w:top="1440" w:right="1440" w:bottom="1440" w:left="1440" w:header="720" w:footer="720" w:gutter="0"/>
          <w:pgNumType w:start="1"/>
          <w:cols w:space="720"/>
          <w:docGrid w:linePitch="299"/>
        </w:sectPr>
      </w:pPr>
      <w:r w:rsidRPr="00CC4B7E">
        <w:rPr>
          <w:rStyle w:val="Hyperlink"/>
          <w:noProof/>
        </w:rPr>
        <w:fldChar w:fldCharType="end"/>
      </w:r>
    </w:p>
    <w:p w:rsidR="003330A0" w:rsidP="007F72F5" w:rsidRDefault="003330A0" w14:paraId="0C04037D" w14:textId="77777777">
      <w:pPr>
        <w:pStyle w:val="Heading1"/>
        <w:spacing w:line="240" w:lineRule="auto"/>
      </w:pPr>
      <w:bookmarkStart w:name="_Toc74140267" w:id="0"/>
      <w:r>
        <w:lastRenderedPageBreak/>
        <w:t xml:space="preserve">Section B: </w:t>
      </w:r>
      <w:r w:rsidR="00D40CF3">
        <w:t xml:space="preserve">Data </w:t>
      </w:r>
      <w:r>
        <w:t xml:space="preserve">Collection </w:t>
      </w:r>
      <w:r w:rsidR="00D40CF3">
        <w:t>Procedures and</w:t>
      </w:r>
      <w:r>
        <w:t xml:space="preserve"> Statistical Methods</w:t>
      </w:r>
      <w:bookmarkEnd w:id="0"/>
    </w:p>
    <w:p w:rsidR="00391492" w:rsidP="00391492" w:rsidRDefault="00391492" w14:paraId="1106879D" w14:textId="77777777">
      <w:pPr>
        <w:pStyle w:val="Heading2"/>
      </w:pPr>
      <w:bookmarkStart w:name="_Toc74140268" w:id="1"/>
      <w:r>
        <w:t>Study Overview</w:t>
      </w:r>
      <w:bookmarkEnd w:id="1"/>
    </w:p>
    <w:p w:rsidR="00B212F2" w:rsidP="00B212F2" w:rsidRDefault="00B212F2" w14:paraId="428D442A" w14:textId="77777777">
      <w:pPr>
        <w:autoSpaceDE w:val="0"/>
        <w:autoSpaceDN w:val="0"/>
        <w:adjustRightInd w:val="0"/>
        <w:snapToGrid w:val="0"/>
        <w:spacing w:line="240" w:lineRule="auto"/>
      </w:pPr>
      <w:r w:rsidRPr="002F436F">
        <w:t>The U.S. Department of Education (ED)’s Institute of Education Sciences (IES) requests clearance for data collection activities to</w:t>
      </w:r>
      <w:r>
        <w:t xml:space="preserve"> </w:t>
      </w:r>
      <w:r w:rsidRPr="00955033">
        <w:rPr>
          <w:szCs w:val="22"/>
        </w:rPr>
        <w:t xml:space="preserve">inform the </w:t>
      </w:r>
      <w:r w:rsidRPr="00955033">
        <w:rPr>
          <w:color w:val="333333"/>
          <w:szCs w:val="22"/>
          <w:shd w:val="clear" w:color="auto" w:fill="FFFFFF"/>
        </w:rPr>
        <w:t xml:space="preserve">Student Support and Academic Enrichment grant program (Title IV, Part A of the Elementary and Secondary Education Act of 1965, amended by </w:t>
      </w:r>
      <w:proofErr w:type="gramStart"/>
      <w:r w:rsidRPr="00955033">
        <w:rPr>
          <w:color w:val="333333"/>
          <w:szCs w:val="22"/>
          <w:shd w:val="clear" w:color="auto" w:fill="FFFFFF"/>
        </w:rPr>
        <w:t>the</w:t>
      </w:r>
      <w:r w:rsidR="00F47538">
        <w:rPr>
          <w:color w:val="333333"/>
          <w:szCs w:val="22"/>
          <w:shd w:val="clear" w:color="auto" w:fill="FFFFFF"/>
        </w:rPr>
        <w:t xml:space="preserve"> </w:t>
      </w:r>
      <w:r w:rsidRPr="00955033">
        <w:rPr>
          <w:color w:val="333333"/>
          <w:szCs w:val="22"/>
          <w:shd w:val="clear" w:color="auto" w:fill="FFFFFF"/>
        </w:rPr>
        <w:t>Every</w:t>
      </w:r>
      <w:proofErr w:type="gramEnd"/>
      <w:r w:rsidRPr="00955033">
        <w:rPr>
          <w:color w:val="333333"/>
          <w:szCs w:val="22"/>
          <w:shd w:val="clear" w:color="auto" w:fill="FFFFFF"/>
        </w:rPr>
        <w:t xml:space="preserve"> Student Succeeds Act (ESSA))</w:t>
      </w:r>
      <w:r>
        <w:rPr>
          <w:color w:val="333333"/>
          <w:szCs w:val="22"/>
          <w:shd w:val="clear" w:color="auto" w:fill="FFFFFF"/>
        </w:rPr>
        <w:t>.</w:t>
      </w:r>
      <w:r w:rsidRPr="002F436F">
        <w:t xml:space="preserve"> </w:t>
      </w:r>
    </w:p>
    <w:p w:rsidRPr="001E1211" w:rsidR="00F06FB4" w:rsidP="00F06FB4" w:rsidRDefault="00B212F2" w14:paraId="407CC697" w14:textId="77777777">
      <w:pPr>
        <w:autoSpaceDE w:val="0"/>
        <w:autoSpaceDN w:val="0"/>
        <w:adjustRightInd w:val="0"/>
        <w:snapToGrid w:val="0"/>
        <w:spacing w:after="120" w:line="240" w:lineRule="auto"/>
      </w:pPr>
      <w:r>
        <w:t xml:space="preserve">Title IV-A resulted from a </w:t>
      </w:r>
      <w:r w:rsidRPr="001E1211">
        <w:t>consolidat</w:t>
      </w:r>
      <w:r>
        <w:t>ion of</w:t>
      </w:r>
      <w:r w:rsidRPr="001E1211">
        <w:t xml:space="preserve"> several programs as part of a congressional effort to allow more </w:t>
      </w:r>
      <w:r>
        <w:t xml:space="preserve">state and local </w:t>
      </w:r>
      <w:r w:rsidRPr="001E1211">
        <w:t xml:space="preserve">decision-making about </w:t>
      </w:r>
      <w:r>
        <w:t xml:space="preserve">use of </w:t>
      </w:r>
      <w:r w:rsidRPr="001E1211">
        <w:t>funds. Title IV-A encompasses three broad program priorities that are intended to improve students’ academic achievement by increasing districts’ capacity to (1) provide all students with a well-rounded education, (2) ensure that the school environment is conducive to learning, and (3) enhance and personalize learning through technology</w:t>
      </w:r>
      <w:r>
        <w:t>.</w:t>
      </w:r>
      <w:r w:rsidRPr="0073178E">
        <w:rPr>
          <w:rFonts w:ascii="Arial" w:hAnsi="Arial" w:cs="Arial"/>
          <w:color w:val="333333"/>
          <w:sz w:val="23"/>
          <w:szCs w:val="23"/>
          <w:shd w:val="clear" w:color="auto" w:fill="FFFFFF"/>
        </w:rPr>
        <w:t xml:space="preserve"> </w:t>
      </w:r>
      <w:r w:rsidRPr="004B6600">
        <w:rPr>
          <w:color w:val="333333"/>
          <w:szCs w:val="22"/>
          <w:shd w:val="clear" w:color="auto" w:fill="FFFFFF"/>
        </w:rPr>
        <w:t>The new law also requires districts to consult with stakeholders, distribute Title IV-A funds to high-need schools, and in certain instances, to conduct comprehensive needs assessments, and it encourages districts to use evidence from research to pick strategies to fund.</w:t>
      </w:r>
      <w:r w:rsidRPr="00C120DE">
        <w:rPr>
          <w:color w:val="333333"/>
          <w:szCs w:val="22"/>
          <w:shd w:val="clear" w:color="auto" w:fill="FFFFFF"/>
        </w:rPr>
        <w:t xml:space="preserve"> This</w:t>
      </w:r>
      <w:r w:rsidRPr="00A20C72">
        <w:rPr>
          <w:color w:val="333333"/>
          <w:szCs w:val="22"/>
          <w:shd w:val="clear" w:color="auto" w:fill="FFFFFF"/>
        </w:rPr>
        <w:t xml:space="preserve"> evaluation will</w:t>
      </w:r>
      <w:r>
        <w:rPr>
          <w:color w:val="333333"/>
          <w:szCs w:val="22"/>
          <w:shd w:val="clear" w:color="auto" w:fill="FFFFFF"/>
        </w:rPr>
        <w:t xml:space="preserve"> </w:t>
      </w:r>
      <w:r w:rsidRPr="00DD5A32">
        <w:rPr>
          <w:szCs w:val="24"/>
        </w:rPr>
        <w:t>develop</w:t>
      </w:r>
      <w:r w:rsidRPr="00A20C72">
        <w:rPr>
          <w:color w:val="333333"/>
          <w:szCs w:val="22"/>
          <w:shd w:val="clear" w:color="auto" w:fill="FFFFFF"/>
        </w:rPr>
        <w:t xml:space="preserve"> </w:t>
      </w:r>
      <w:r w:rsidRPr="00DD5A32">
        <w:rPr>
          <w:szCs w:val="24"/>
        </w:rPr>
        <w:t>a national picture of how states</w:t>
      </w:r>
      <w:r>
        <w:rPr>
          <w:szCs w:val="24"/>
        </w:rPr>
        <w:t xml:space="preserve"> and</w:t>
      </w:r>
      <w:r w:rsidRPr="00DD5A32">
        <w:rPr>
          <w:szCs w:val="24"/>
        </w:rPr>
        <w:t xml:space="preserve"> districts are implementing </w:t>
      </w:r>
      <w:r w:rsidRPr="00A20C72">
        <w:rPr>
          <w:color w:val="333333"/>
          <w:szCs w:val="22"/>
          <w:shd w:val="clear" w:color="auto" w:fill="FFFFFF"/>
        </w:rPr>
        <w:t xml:space="preserve">this new </w:t>
      </w:r>
      <w:r w:rsidRPr="00F9376F">
        <w:rPr>
          <w:color w:val="333333"/>
          <w:szCs w:val="22"/>
          <w:shd w:val="clear" w:color="auto" w:fill="FFFFFF"/>
        </w:rPr>
        <w:t xml:space="preserve">program, particularly the ways </w:t>
      </w:r>
      <w:r w:rsidRPr="004B6600">
        <w:rPr>
          <w:color w:val="333333"/>
          <w:szCs w:val="22"/>
          <w:shd w:val="clear" w:color="auto" w:fill="FFFFFF"/>
        </w:rPr>
        <w:t>in which it supports school systems as they seek to recover from the coronavirus pandemic during the 2021–2022 school year</w:t>
      </w:r>
      <w:r w:rsidRPr="00F9376F">
        <w:rPr>
          <w:color w:val="333333"/>
          <w:szCs w:val="22"/>
          <w:shd w:val="clear" w:color="auto" w:fill="FFFFFF"/>
        </w:rPr>
        <w:t>.</w:t>
      </w:r>
      <w:r w:rsidRPr="001E1211" w:rsidR="00CA5632">
        <w:rPr>
          <w:rFonts w:eastAsia="Verdana"/>
        </w:rPr>
        <w:t xml:space="preserve"> </w:t>
      </w:r>
    </w:p>
    <w:p w:rsidRPr="00F47538" w:rsidR="003A40C5" w:rsidP="00F47538" w:rsidRDefault="00CC2FB6" w14:paraId="0DDB65B3" w14:textId="77777777">
      <w:pPr>
        <w:pStyle w:val="Heading2"/>
      </w:pPr>
      <w:bookmarkStart w:name="_Toc74140269" w:id="2"/>
      <w:r w:rsidRPr="00F47538">
        <w:t xml:space="preserve">B.1. </w:t>
      </w:r>
      <w:bookmarkStart w:name="_Toc434303314" w:id="3"/>
      <w:r w:rsidR="00F47538">
        <w:t>Respondent Universe and Sampling Methods</w:t>
      </w:r>
      <w:bookmarkEnd w:id="2"/>
      <w:bookmarkEnd w:id="3"/>
    </w:p>
    <w:p w:rsidRPr="00F53500" w:rsidR="00D166F8" w:rsidP="00E00567" w:rsidRDefault="00A67F2A" w14:paraId="34D94B83" w14:textId="77777777">
      <w:pPr>
        <w:pStyle w:val="BodyText"/>
      </w:pPr>
      <w:r>
        <w:rPr>
          <w:b/>
          <w:i/>
        </w:rPr>
        <w:t>State Surveys</w:t>
      </w:r>
      <w:r w:rsidRPr="00F53500" w:rsidR="00D166F8">
        <w:rPr>
          <w:b/>
          <w:i/>
        </w:rPr>
        <w:t>.</w:t>
      </w:r>
      <w:r w:rsidRPr="00F53500" w:rsidR="00D166F8">
        <w:t xml:space="preserve"> The study will </w:t>
      </w:r>
      <w:r w:rsidRPr="001E1211">
        <w:rPr>
          <w:rFonts w:eastAsiaTheme="minorHAnsi"/>
        </w:rPr>
        <w:t xml:space="preserve">administer </w:t>
      </w:r>
      <w:r>
        <w:rPr>
          <w:rFonts w:eastAsiaTheme="minorHAnsi"/>
        </w:rPr>
        <w:t xml:space="preserve">an online </w:t>
      </w:r>
      <w:r w:rsidRPr="001E1211">
        <w:rPr>
          <w:rFonts w:eastAsiaTheme="minorHAnsi"/>
        </w:rPr>
        <w:t xml:space="preserve">survey </w:t>
      </w:r>
      <w:r>
        <w:rPr>
          <w:rFonts w:eastAsiaTheme="minorHAnsi"/>
        </w:rPr>
        <w:t>of</w:t>
      </w:r>
      <w:r w:rsidRPr="001E1211">
        <w:rPr>
          <w:rFonts w:eastAsiaTheme="minorHAnsi"/>
        </w:rPr>
        <w:t xml:space="preserve"> 52 state Title</w:t>
      </w:r>
      <w:r>
        <w:rPr>
          <w:rFonts w:eastAsiaTheme="minorHAnsi"/>
        </w:rPr>
        <w:t> </w:t>
      </w:r>
      <w:r w:rsidRPr="001E1211">
        <w:rPr>
          <w:rFonts w:eastAsiaTheme="minorHAnsi"/>
        </w:rPr>
        <w:t>IV</w:t>
      </w:r>
      <w:r>
        <w:rPr>
          <w:rFonts w:eastAsiaTheme="minorHAnsi"/>
        </w:rPr>
        <w:noBreakHyphen/>
      </w:r>
      <w:r w:rsidRPr="001E1211">
        <w:rPr>
          <w:rFonts w:eastAsiaTheme="minorHAnsi"/>
        </w:rPr>
        <w:t xml:space="preserve">A coordinators, including representatives from Washington, </w:t>
      </w:r>
      <w:proofErr w:type="gramStart"/>
      <w:r w:rsidRPr="001E1211">
        <w:rPr>
          <w:rFonts w:eastAsiaTheme="minorHAnsi"/>
        </w:rPr>
        <w:t>DC</w:t>
      </w:r>
      <w:proofErr w:type="gramEnd"/>
      <w:r w:rsidRPr="001E1211">
        <w:rPr>
          <w:rFonts w:eastAsiaTheme="minorHAnsi"/>
        </w:rPr>
        <w:t xml:space="preserve"> and Puerto Rico</w:t>
      </w:r>
      <w:r w:rsidRPr="00F53500" w:rsidR="00D166F8">
        <w:t>.</w:t>
      </w:r>
      <w:r w:rsidRPr="00F53500" w:rsidR="00D166F8">
        <w:rPr>
          <w:rStyle w:val="FootnoteReference"/>
          <w:szCs w:val="22"/>
        </w:rPr>
        <w:footnoteReference w:id="2"/>
      </w:r>
      <w:r w:rsidRPr="00F53500" w:rsidR="00D166F8">
        <w:t xml:space="preserve"> </w:t>
      </w:r>
      <w:bookmarkStart w:name="_Hlk73448543" w:id="4"/>
      <w:r w:rsidR="00E00567">
        <w:t>Using the reported response rates from surveys conducted in the study</w:t>
      </w:r>
      <w:r w:rsidR="00117292">
        <w:t xml:space="preserve"> by Troppe et al., 2017,</w:t>
      </w:r>
      <w:r w:rsidR="00E00567">
        <w:t xml:space="preserve"> </w:t>
      </w:r>
      <w:r w:rsidRPr="00117292" w:rsidR="00E00567">
        <w:rPr>
          <w:i/>
          <w:iCs/>
        </w:rPr>
        <w:t>Implementation of Title I and Title II-A Program Initiatives: Results From 2013–14</w:t>
      </w:r>
      <w:r w:rsidRPr="00117292" w:rsidR="00117292">
        <w:t>,</w:t>
      </w:r>
      <w:r w:rsidR="00DD67A5">
        <w:rPr>
          <w:rStyle w:val="FootnoteReference"/>
        </w:rPr>
        <w:footnoteReference w:id="3"/>
      </w:r>
      <w:r w:rsidR="00E00567">
        <w:t xml:space="preserve"> as a guide, we are assuming a 100 percent response rate for the state survey. </w:t>
      </w:r>
      <w:bookmarkEnd w:id="4"/>
    </w:p>
    <w:p w:rsidRPr="00F53500" w:rsidR="00FF6207" w:rsidP="00B62098" w:rsidRDefault="00A67F2A" w14:paraId="0F329F02" w14:textId="59B16E94">
      <w:pPr>
        <w:pStyle w:val="BodyText"/>
      </w:pPr>
      <w:r>
        <w:rPr>
          <w:b/>
          <w:i/>
        </w:rPr>
        <w:t xml:space="preserve">District </w:t>
      </w:r>
      <w:r w:rsidRPr="00F53500" w:rsidR="00CC2FB6">
        <w:rPr>
          <w:b/>
          <w:i/>
        </w:rPr>
        <w:t>Surveys.</w:t>
      </w:r>
      <w:r w:rsidRPr="00F53500" w:rsidR="00CC2FB6">
        <w:t xml:space="preserve"> </w:t>
      </w:r>
      <w:r w:rsidR="00144FB7">
        <w:t>The study will administer</w:t>
      </w:r>
      <w:r w:rsidR="00E14761">
        <w:t xml:space="preserve"> a</w:t>
      </w:r>
      <w:r w:rsidRPr="00F53500" w:rsidR="00E97D00">
        <w:t xml:space="preserve">n </w:t>
      </w:r>
      <w:r w:rsidRPr="00F53500" w:rsidR="00CC2FB6">
        <w:t xml:space="preserve">online survey </w:t>
      </w:r>
      <w:r w:rsidRPr="00F53500" w:rsidR="00E97D00">
        <w:t xml:space="preserve">of </w:t>
      </w:r>
      <w:r w:rsidR="008C5362">
        <w:t>district Title IV-A coordinator</w:t>
      </w:r>
      <w:r w:rsidRPr="00F53500" w:rsidR="00E97D00">
        <w:t>s</w:t>
      </w:r>
      <w:r w:rsidRPr="00F53500" w:rsidR="005D6841">
        <w:t xml:space="preserve"> in </w:t>
      </w:r>
      <w:r w:rsidRPr="00F53500" w:rsidR="00560AEE">
        <w:t>202</w:t>
      </w:r>
      <w:r w:rsidR="00BF3EE0">
        <w:t>2</w:t>
      </w:r>
      <w:r w:rsidR="00144FB7">
        <w:t>, with a</w:t>
      </w:r>
      <w:r w:rsidRPr="00F53500" w:rsidR="005D6841">
        <w:t xml:space="preserve"> </w:t>
      </w:r>
      <w:r w:rsidR="00144FB7">
        <w:t>possibility of a follow-up survey</w:t>
      </w:r>
      <w:r w:rsidRPr="00F53500" w:rsidR="005D6841">
        <w:t xml:space="preserve"> in </w:t>
      </w:r>
      <w:r w:rsidRPr="00F53500" w:rsidR="00560AEE">
        <w:t>202</w:t>
      </w:r>
      <w:r w:rsidR="00BF3EE0">
        <w:t>4</w:t>
      </w:r>
      <w:r w:rsidRPr="00F53500" w:rsidR="005D6841">
        <w:t>.</w:t>
      </w:r>
      <w:r w:rsidR="00E1718E">
        <w:t xml:space="preserve"> </w:t>
      </w:r>
      <w:r w:rsidRPr="00F53500" w:rsidR="005D6841">
        <w:t xml:space="preserve">The </w:t>
      </w:r>
      <w:r w:rsidRPr="00F53500" w:rsidR="00CC2FB6">
        <w:t xml:space="preserve">survey will be administered to </w:t>
      </w:r>
      <w:r w:rsidRPr="00F53500" w:rsidR="005D6841">
        <w:t xml:space="preserve">a nationally representative sample of </w:t>
      </w:r>
      <w:r w:rsidR="00DD6117">
        <w:t>school districts</w:t>
      </w:r>
      <w:r w:rsidRPr="00F53500" w:rsidR="005D6841">
        <w:t xml:space="preserve"> </w:t>
      </w:r>
      <w:r w:rsidR="0031306E">
        <w:t xml:space="preserve">that receive Title IV-A funds </w:t>
      </w:r>
      <w:r w:rsidRPr="00F53500" w:rsidR="005D6841">
        <w:t>in the United States</w:t>
      </w:r>
      <w:r w:rsidRPr="00F53500" w:rsidR="00CC2FB6">
        <w:t>.</w:t>
      </w:r>
      <w:r w:rsidR="00E00567">
        <w:t xml:space="preserve"> </w:t>
      </w:r>
      <w:r w:rsidRPr="00E00567" w:rsidR="00E00567">
        <w:t xml:space="preserve">Using the </w:t>
      </w:r>
      <w:r w:rsidR="00117292">
        <w:t xml:space="preserve">Troppe et al., 2017 study </w:t>
      </w:r>
      <w:r w:rsidRPr="00E00567" w:rsidR="00E00567">
        <w:t xml:space="preserve">as a guide, we are </w:t>
      </w:r>
      <w:r w:rsidR="00E00567">
        <w:t xml:space="preserve">conservatively </w:t>
      </w:r>
      <w:r w:rsidRPr="00E00567" w:rsidR="00E00567">
        <w:t>assuming a</w:t>
      </w:r>
      <w:r w:rsidR="00E00567">
        <w:t>n</w:t>
      </w:r>
      <w:r w:rsidRPr="00E00567" w:rsidR="00E00567">
        <w:t xml:space="preserve"> </w:t>
      </w:r>
      <w:r w:rsidR="00E00567">
        <w:t>85</w:t>
      </w:r>
      <w:r w:rsidRPr="00E00567" w:rsidR="00E00567">
        <w:t xml:space="preserve"> percent response rate for the </w:t>
      </w:r>
      <w:r w:rsidR="00E00567">
        <w:t>district</w:t>
      </w:r>
      <w:r w:rsidRPr="00E00567" w:rsidR="00E00567">
        <w:t xml:space="preserve"> survey. </w:t>
      </w:r>
      <w:r w:rsidR="00F0602B">
        <w:t xml:space="preserve">The </w:t>
      </w:r>
      <w:r w:rsidR="00ED4076">
        <w:t xml:space="preserve">listing of </w:t>
      </w:r>
      <w:r w:rsidR="00F0602B">
        <w:t>districts that receive</w:t>
      </w:r>
      <w:r w:rsidR="00E127DB">
        <w:t>d</w:t>
      </w:r>
      <w:r w:rsidR="00F0602B">
        <w:t xml:space="preserve"> Title IV-A funds </w:t>
      </w:r>
      <w:r w:rsidR="00660CC5">
        <w:t xml:space="preserve">in FY </w:t>
      </w:r>
      <w:r w:rsidR="00573EC6">
        <w:t>2020</w:t>
      </w:r>
      <w:r w:rsidR="00D84EB8">
        <w:rPr>
          <w:rStyle w:val="FootnoteReference"/>
        </w:rPr>
        <w:footnoteReference w:id="4"/>
      </w:r>
      <w:r w:rsidR="00D84EB8">
        <w:t xml:space="preserve"> </w:t>
      </w:r>
      <w:r w:rsidR="00660CC5">
        <w:t xml:space="preserve">and the allocation levels received by each district </w:t>
      </w:r>
      <w:r w:rsidR="003E6C8A">
        <w:t>was</w:t>
      </w:r>
      <w:r w:rsidR="00F0602B">
        <w:t xml:space="preserve"> obtained from the </w:t>
      </w:r>
      <w:r w:rsidRPr="00F0602B" w:rsidR="00F0602B">
        <w:t>Study of District and School Uses of Federal Education Funds</w:t>
      </w:r>
      <w:r w:rsidR="00F0602B">
        <w:t xml:space="preserve">. </w:t>
      </w:r>
      <w:r w:rsidR="003E6C8A">
        <w:t xml:space="preserve">As part of a coordinated effort across several studies, </w:t>
      </w:r>
      <w:proofErr w:type="spellStart"/>
      <w:r w:rsidR="003E6C8A">
        <w:t>Westat</w:t>
      </w:r>
      <w:proofErr w:type="spellEnd"/>
      <w:r w:rsidR="003E6C8A">
        <w:t xml:space="preserve"> (under contract</w:t>
      </w:r>
      <w:r w:rsidR="00035447">
        <w:t xml:space="preserve"> #</w:t>
      </w:r>
      <w:r w:rsidRPr="00035447" w:rsidR="00035447">
        <w:t xml:space="preserve">ED-IES-11-C-0063 </w:t>
      </w:r>
      <w:r w:rsidR="005013A4">
        <w:t xml:space="preserve">for </w:t>
      </w:r>
      <w:r w:rsidR="000C078A">
        <w:t xml:space="preserve">the </w:t>
      </w:r>
      <w:r w:rsidR="00AF4A82">
        <w:t xml:space="preserve">study of </w:t>
      </w:r>
      <w:r w:rsidR="005013A4">
        <w:t>“</w:t>
      </w:r>
      <w:r w:rsidRPr="000C078A" w:rsidR="000C078A">
        <w:t>Implementation of Title I</w:t>
      </w:r>
      <w:r w:rsidR="007042B0">
        <w:t xml:space="preserve"> and </w:t>
      </w:r>
      <w:r w:rsidRPr="000C078A" w:rsidR="000C078A">
        <w:t>II-A Program Initiatives</w:t>
      </w:r>
      <w:r w:rsidR="005013A4">
        <w:t>”</w:t>
      </w:r>
      <w:r w:rsidR="003E6C8A">
        <w:t xml:space="preserve">) drew a stratified random sample of districts from the </w:t>
      </w:r>
      <w:r w:rsidR="00F0602B">
        <w:t xml:space="preserve">sampling frame. Sample weights will </w:t>
      </w:r>
      <w:r w:rsidR="00ED4076">
        <w:t>be created based on districts’ probabilities</w:t>
      </w:r>
      <w:r w:rsidR="00F0602B">
        <w:t xml:space="preserve"> of selection and will subsequently be adjusted to account for survey non</w:t>
      </w:r>
      <w:r w:rsidR="00E73766">
        <w:t>-</w:t>
      </w:r>
      <w:r w:rsidR="00F0602B">
        <w:t>response</w:t>
      </w:r>
      <w:r w:rsidRPr="00F53500" w:rsidR="00FF6207">
        <w:t xml:space="preserve">, such that the weighted estimates of population statistics (e.g., means, totals) from the sample of </w:t>
      </w:r>
      <w:r w:rsidR="00DD6117">
        <w:t>district</w:t>
      </w:r>
      <w:r w:rsidRPr="00F53500" w:rsidR="00FF6207">
        <w:t xml:space="preserve">s will be representative of the national population of </w:t>
      </w:r>
      <w:r w:rsidR="00DD6117">
        <w:t>district</w:t>
      </w:r>
      <w:r w:rsidRPr="00F53500" w:rsidR="00FF6207">
        <w:t xml:space="preserve">s that receive </w:t>
      </w:r>
      <w:r w:rsidR="001109A0">
        <w:t>Title IV-A</w:t>
      </w:r>
      <w:r w:rsidRPr="00F53500" w:rsidR="00FF6207">
        <w:t xml:space="preserve"> funds. </w:t>
      </w:r>
    </w:p>
    <w:p w:rsidR="002864BD" w:rsidRDefault="002864BD" w14:paraId="240ACEF8" w14:textId="06EC021B">
      <w:pPr>
        <w:pStyle w:val="BodyText"/>
        <w:rPr>
          <w:rFonts w:eastAsia="Book Antiqua"/>
        </w:rPr>
      </w:pPr>
      <w:r>
        <w:rPr>
          <w:rFonts w:eastAsia="Book Antiqua"/>
        </w:rPr>
        <w:t>Information about the universe of</w:t>
      </w:r>
      <w:r w:rsidRPr="003E43F8">
        <w:rPr>
          <w:rFonts w:eastAsia="Book Antiqua"/>
        </w:rPr>
        <w:t xml:space="preserve"> </w:t>
      </w:r>
      <w:r>
        <w:rPr>
          <w:rFonts w:eastAsia="Book Antiqua"/>
        </w:rPr>
        <w:t>districts</w:t>
      </w:r>
      <w:r w:rsidRPr="003E43F8">
        <w:rPr>
          <w:rFonts w:eastAsia="Book Antiqua"/>
        </w:rPr>
        <w:t xml:space="preserve"> </w:t>
      </w:r>
      <w:r>
        <w:rPr>
          <w:rFonts w:eastAsia="Book Antiqua"/>
        </w:rPr>
        <w:t xml:space="preserve">for creating the sampling frame for each component </w:t>
      </w:r>
      <w:r w:rsidRPr="003E43F8">
        <w:rPr>
          <w:rFonts w:eastAsia="Book Antiqua"/>
        </w:rPr>
        <w:t>w</w:t>
      </w:r>
      <w:r w:rsidR="007042B0">
        <w:rPr>
          <w:rFonts w:eastAsia="Book Antiqua"/>
        </w:rPr>
        <w:t>ere</w:t>
      </w:r>
      <w:r w:rsidRPr="003E43F8">
        <w:rPr>
          <w:rFonts w:eastAsia="Book Antiqua"/>
        </w:rPr>
        <w:t xml:space="preserve"> gathered from the </w:t>
      </w:r>
      <w:r>
        <w:rPr>
          <w:rFonts w:eastAsia="Book Antiqua"/>
        </w:rPr>
        <w:t>following data sources</w:t>
      </w:r>
      <w:r w:rsidR="00191DCC">
        <w:rPr>
          <w:rFonts w:eastAsia="Book Antiqua"/>
        </w:rPr>
        <w:t>:</w:t>
      </w:r>
      <w:r>
        <w:rPr>
          <w:rFonts w:eastAsia="Book Antiqua"/>
        </w:rPr>
        <w:t xml:space="preserve"> </w:t>
      </w:r>
    </w:p>
    <w:p w:rsidRPr="00552D7F" w:rsidR="002864BD" w:rsidP="0079714C" w:rsidRDefault="002864BD" w14:paraId="4DB2BF42" w14:textId="3F738613">
      <w:pPr>
        <w:pStyle w:val="Bullets"/>
      </w:pPr>
      <w:r>
        <w:lastRenderedPageBreak/>
        <w:t>School year (</w:t>
      </w:r>
      <w:r w:rsidRPr="00552D7F">
        <w:t>SY</w:t>
      </w:r>
      <w:r>
        <w:t>)</w:t>
      </w:r>
      <w:r w:rsidRPr="00552D7F">
        <w:t xml:space="preserve"> </w:t>
      </w:r>
      <w:r w:rsidR="0091633B">
        <w:t>201</w:t>
      </w:r>
      <w:r w:rsidR="00D84EB8">
        <w:t>9</w:t>
      </w:r>
      <w:r w:rsidR="0091633B">
        <w:t>-</w:t>
      </w:r>
      <w:r w:rsidR="00D84EB8">
        <w:t xml:space="preserve">20 </w:t>
      </w:r>
      <w:r w:rsidR="0091633B">
        <w:t xml:space="preserve">(FY </w:t>
      </w:r>
      <w:r w:rsidR="00D84EB8">
        <w:t>2020</w:t>
      </w:r>
      <w:r w:rsidR="0091633B">
        <w:t xml:space="preserve">) </w:t>
      </w:r>
      <w:r>
        <w:t xml:space="preserve">Common Core of Data (CCD) </w:t>
      </w:r>
    </w:p>
    <w:p w:rsidRPr="00552D7F" w:rsidR="002864BD" w:rsidP="0079714C" w:rsidRDefault="002864BD" w14:paraId="5D602589" w14:textId="77777777">
      <w:pPr>
        <w:pStyle w:val="Bullet2"/>
      </w:pPr>
      <w:r w:rsidRPr="00552D7F">
        <w:t>CCD LEA Data Group 029 (LEA Directory)</w:t>
      </w:r>
    </w:p>
    <w:p w:rsidR="006359C0" w:rsidP="00ED4076" w:rsidRDefault="0091633B" w14:paraId="52CBAD15" w14:textId="7ACD1477">
      <w:pPr>
        <w:pStyle w:val="Bullets"/>
      </w:pPr>
      <w:r>
        <w:t xml:space="preserve">School year (SY) </w:t>
      </w:r>
      <w:r w:rsidR="00D84EB8">
        <w:t>2020</w:t>
      </w:r>
      <w:r>
        <w:t>-</w:t>
      </w:r>
      <w:r w:rsidR="00D84EB8">
        <w:t xml:space="preserve">21 </w:t>
      </w:r>
      <w:r>
        <w:t xml:space="preserve">(FY </w:t>
      </w:r>
      <w:r w:rsidR="00D84EB8">
        <w:t>202</w:t>
      </w:r>
      <w:r w:rsidR="007B5D6B">
        <w:t>0</w:t>
      </w:r>
      <w:r>
        <w:t>) Title IV-A State Allocation Amounts</w:t>
      </w:r>
    </w:p>
    <w:p w:rsidR="00ED4076" w:rsidP="007042B0" w:rsidRDefault="0091633B" w14:paraId="45383093" w14:textId="3314A049">
      <w:pPr>
        <w:pStyle w:val="Bullets"/>
      </w:pPr>
      <w:r w:rsidRPr="00ED4076">
        <w:t>Study of District and School Uses of Federal Education Funds</w:t>
      </w:r>
    </w:p>
    <w:p w:rsidRPr="0032320D" w:rsidR="002864BD" w:rsidP="007F72F5" w:rsidRDefault="002864BD" w14:paraId="17AC499A" w14:textId="77777777">
      <w:pPr>
        <w:spacing w:after="0" w:line="240" w:lineRule="auto"/>
        <w:rPr>
          <w:szCs w:val="24"/>
        </w:rPr>
      </w:pPr>
      <w:r w:rsidRPr="0032320D">
        <w:rPr>
          <w:szCs w:val="24"/>
        </w:rPr>
        <w:t>To be included</w:t>
      </w:r>
      <w:r>
        <w:rPr>
          <w:szCs w:val="24"/>
        </w:rPr>
        <w:t xml:space="preserve"> in the sample frame</w:t>
      </w:r>
      <w:r w:rsidRPr="0032320D">
        <w:rPr>
          <w:szCs w:val="24"/>
        </w:rPr>
        <w:t xml:space="preserve"> </w:t>
      </w:r>
      <w:r>
        <w:rPr>
          <w:szCs w:val="24"/>
        </w:rPr>
        <w:t>a district</w:t>
      </w:r>
      <w:r w:rsidRPr="0032320D">
        <w:rPr>
          <w:szCs w:val="24"/>
        </w:rPr>
        <w:t xml:space="preserve"> must:</w:t>
      </w:r>
    </w:p>
    <w:p w:rsidRPr="0032320D" w:rsidR="002864BD" w:rsidP="0079714C" w:rsidRDefault="002864BD" w14:paraId="47905663" w14:textId="41F681D4">
      <w:pPr>
        <w:pStyle w:val="Bullets"/>
      </w:pPr>
      <w:r w:rsidRPr="0032320D">
        <w:t xml:space="preserve">Serve students in any of the grades from </w:t>
      </w:r>
      <w:r w:rsidR="00D84EB8">
        <w:t>1</w:t>
      </w:r>
      <w:r w:rsidRPr="0032320D">
        <w:t xml:space="preserve"> to 12</w:t>
      </w:r>
    </w:p>
    <w:p w:rsidRPr="0032320D" w:rsidR="002864BD" w:rsidP="0079714C" w:rsidRDefault="002864BD" w14:paraId="074EEBB6" w14:textId="77777777">
      <w:pPr>
        <w:pStyle w:val="Bullets"/>
      </w:pPr>
      <w:r w:rsidRPr="0032320D">
        <w:t>Be open (i.e., must include one or more operational schools)</w:t>
      </w:r>
    </w:p>
    <w:p w:rsidRPr="0032320D" w:rsidR="002864BD" w:rsidP="0079714C" w:rsidRDefault="002864BD" w14:paraId="79B54D20" w14:textId="77777777">
      <w:pPr>
        <w:pStyle w:val="Bullets"/>
      </w:pPr>
      <w:r w:rsidRPr="0032320D">
        <w:t>Have student counts that are greater than zero</w:t>
      </w:r>
      <w:r w:rsidR="00D84EB8">
        <w:t xml:space="preserve"> (based on enrollment in operational schools)</w:t>
      </w:r>
    </w:p>
    <w:p w:rsidR="002864BD" w:rsidP="0079714C" w:rsidRDefault="002864BD" w14:paraId="3B5CC4AE" w14:textId="77777777">
      <w:pPr>
        <w:pStyle w:val="Bullets"/>
      </w:pPr>
      <w:proofErr w:type="gramStart"/>
      <w:r w:rsidRPr="0032320D">
        <w:t>Be located in</w:t>
      </w:r>
      <w:proofErr w:type="gramEnd"/>
      <w:r w:rsidRPr="0032320D">
        <w:t xml:space="preserve"> one of the 50 states, the District of Columbia, or Puerto Rico</w:t>
      </w:r>
    </w:p>
    <w:p w:rsidR="002864BD" w:rsidP="0079714C" w:rsidRDefault="002864BD" w14:paraId="70F20B05" w14:textId="77777777">
      <w:pPr>
        <w:pStyle w:val="Bullets"/>
      </w:pPr>
      <w:r w:rsidRPr="0032320D">
        <w:t>Be a regular public school district</w:t>
      </w:r>
      <w:r>
        <w:t xml:space="preserve"> or a </w:t>
      </w:r>
      <w:r w:rsidRPr="0032320D">
        <w:t>charter district</w:t>
      </w:r>
    </w:p>
    <w:p w:rsidR="002864BD" w:rsidP="00FA41F8" w:rsidRDefault="00191DCC" w14:paraId="109DA76B" w14:textId="057BFF7C">
      <w:pPr>
        <w:pStyle w:val="Bullets"/>
      </w:pPr>
      <w:r>
        <w:t>Be</w:t>
      </w:r>
      <w:r w:rsidR="00275CFC">
        <w:t xml:space="preserve"> listed in the </w:t>
      </w:r>
      <w:r w:rsidRPr="00ED4076" w:rsidR="00275CFC">
        <w:t>Study of District and School Uses of Federal Education Funds</w:t>
      </w:r>
      <w:r w:rsidR="00275CFC">
        <w:t xml:space="preserve"> as having</w:t>
      </w:r>
      <w:r w:rsidR="002864BD">
        <w:t xml:space="preserve"> received Title IV-A funds in </w:t>
      </w:r>
      <w:r w:rsidR="00660CC5">
        <w:t xml:space="preserve">FY </w:t>
      </w:r>
      <w:r w:rsidR="00D84EB8">
        <w:t>202</w:t>
      </w:r>
      <w:r w:rsidR="007B5D6B">
        <w:t>0</w:t>
      </w:r>
    </w:p>
    <w:p w:rsidR="00021927" w:rsidP="0079714C" w:rsidRDefault="00E34207" w14:paraId="0B2C7D3B" w14:textId="77777777">
      <w:pPr>
        <w:pStyle w:val="BodyText"/>
        <w:rPr>
          <w:szCs w:val="24"/>
        </w:rPr>
      </w:pPr>
      <w:r>
        <w:rPr>
          <w:szCs w:val="24"/>
        </w:rPr>
        <w:t xml:space="preserve">The sampling strategy was created to balance </w:t>
      </w:r>
      <w:r w:rsidR="00E100A5">
        <w:rPr>
          <w:szCs w:val="24"/>
        </w:rPr>
        <w:t>four</w:t>
      </w:r>
      <w:r>
        <w:rPr>
          <w:szCs w:val="24"/>
        </w:rPr>
        <w:t xml:space="preserve"> key objectives of the survey: </w:t>
      </w:r>
    </w:p>
    <w:p w:rsidRPr="00E100A5" w:rsidR="00021927" w:rsidP="00E100A5" w:rsidRDefault="00E100A5" w14:paraId="44CCED3E" w14:textId="0DE37859">
      <w:pPr>
        <w:pStyle w:val="Bullets"/>
        <w:numPr>
          <w:ilvl w:val="0"/>
          <w:numId w:val="10"/>
        </w:numPr>
      </w:pPr>
      <w:r w:rsidRPr="00E100A5">
        <w:t>t</w:t>
      </w:r>
      <w:r w:rsidRPr="00E100A5" w:rsidR="00E34207">
        <w:t xml:space="preserve">o obtain a sample that would produce precise estimates of nationally representative population means and percentages </w:t>
      </w:r>
      <w:r w:rsidRPr="00255B1F" w:rsidR="00B301DC">
        <w:t xml:space="preserve">of districts that received a Title IV-A </w:t>
      </w:r>
      <w:proofErr w:type="gramStart"/>
      <w:r w:rsidRPr="00255B1F" w:rsidR="00B301DC">
        <w:t>allocation</w:t>
      </w:r>
      <w:r w:rsidRPr="00E100A5" w:rsidR="00E34207">
        <w:t>;</w:t>
      </w:r>
      <w:proofErr w:type="gramEnd"/>
      <w:r w:rsidRPr="00E100A5" w:rsidR="00E34207">
        <w:t xml:space="preserve"> </w:t>
      </w:r>
    </w:p>
    <w:p w:rsidRPr="00E100A5" w:rsidR="00C304FC" w:rsidP="00E100A5" w:rsidRDefault="00E100A5" w14:paraId="04B62ED5" w14:textId="32C055FF">
      <w:pPr>
        <w:pStyle w:val="Bullets"/>
        <w:numPr>
          <w:ilvl w:val="0"/>
          <w:numId w:val="10"/>
        </w:numPr>
      </w:pPr>
      <w:r w:rsidRPr="00E100A5">
        <w:t>t</w:t>
      </w:r>
      <w:r w:rsidRPr="00E100A5" w:rsidR="00C304FC">
        <w:t xml:space="preserve">o obtain a sample that would produce precise estimates of nationally representative population means and percentages from the subsample of districts that did not transfer all of their Title IV-A funds to other </w:t>
      </w:r>
      <w:proofErr w:type="gramStart"/>
      <w:r w:rsidRPr="00E100A5" w:rsidR="00C304FC">
        <w:t>programs</w:t>
      </w:r>
      <w:r w:rsidR="00624720">
        <w:t>;</w:t>
      </w:r>
      <w:proofErr w:type="gramEnd"/>
    </w:p>
    <w:p w:rsidRPr="00E100A5" w:rsidR="00C304FC" w:rsidP="00E100A5" w:rsidRDefault="00E100A5" w14:paraId="5C2F438B" w14:textId="77777777">
      <w:pPr>
        <w:pStyle w:val="Bullets"/>
        <w:numPr>
          <w:ilvl w:val="0"/>
          <w:numId w:val="10"/>
        </w:numPr>
      </w:pPr>
      <w:r w:rsidRPr="00E100A5">
        <w:t>t</w:t>
      </w:r>
      <w:r w:rsidRPr="00E100A5" w:rsidR="00E34207">
        <w:t>o make comparisons between districts with Title IV-A allocation amounts greater than or less than $30,000</w:t>
      </w:r>
      <w:r w:rsidRPr="00E100A5" w:rsidR="00E32F62">
        <w:t xml:space="preserve"> </w:t>
      </w:r>
      <w:r w:rsidRPr="00E100A5">
        <w:t>(since</w:t>
      </w:r>
      <w:r w:rsidRPr="00E100A5" w:rsidR="00E32F62">
        <w:t xml:space="preserve"> the statute has different requirements for those that are above this funding level</w:t>
      </w:r>
      <w:proofErr w:type="gramStart"/>
      <w:r w:rsidRPr="00E100A5">
        <w:t>)</w:t>
      </w:r>
      <w:r w:rsidRPr="00E100A5" w:rsidR="00E34207">
        <w:t>;</w:t>
      </w:r>
      <w:proofErr w:type="gramEnd"/>
      <w:r w:rsidRPr="00E100A5" w:rsidR="00E34207">
        <w:t xml:space="preserve"> </w:t>
      </w:r>
    </w:p>
    <w:p w:rsidRPr="00E73766" w:rsidR="00021927" w:rsidP="00E100A5" w:rsidRDefault="00E100A5" w14:paraId="1C3F251B" w14:textId="77777777">
      <w:pPr>
        <w:pStyle w:val="Bullets"/>
        <w:numPr>
          <w:ilvl w:val="0"/>
          <w:numId w:val="10"/>
        </w:numPr>
      </w:pPr>
      <w:r w:rsidRPr="00E100A5">
        <w:t>t</w:t>
      </w:r>
      <w:r w:rsidRPr="00E100A5" w:rsidR="00C304FC">
        <w:t xml:space="preserve">o have a wide distribution across district characteristics including urbanicity, poverty, census region, and district size. </w:t>
      </w:r>
    </w:p>
    <w:p w:rsidR="002864BD" w:rsidP="00E100A5" w:rsidRDefault="002864BD" w14:paraId="3D7F4F15" w14:textId="509A3161">
      <w:pPr>
        <w:pStyle w:val="BodyText"/>
        <w:rPr>
          <w:szCs w:val="24"/>
        </w:rPr>
      </w:pPr>
      <w:r>
        <w:rPr>
          <w:szCs w:val="24"/>
        </w:rPr>
        <w:t>The sampling frame include</w:t>
      </w:r>
      <w:r w:rsidR="007042B0">
        <w:rPr>
          <w:szCs w:val="24"/>
        </w:rPr>
        <w:t>d</w:t>
      </w:r>
      <w:r w:rsidR="00481FCE">
        <w:rPr>
          <w:szCs w:val="24"/>
        </w:rPr>
        <w:t xml:space="preserve"> all districts that received Title IV-A funds</w:t>
      </w:r>
      <w:r>
        <w:rPr>
          <w:szCs w:val="24"/>
        </w:rPr>
        <w:t xml:space="preserve">. A stratified random sample of </w:t>
      </w:r>
      <w:r w:rsidR="00BF3EE0">
        <w:rPr>
          <w:szCs w:val="24"/>
        </w:rPr>
        <w:t>1,135</w:t>
      </w:r>
      <w:r>
        <w:rPr>
          <w:szCs w:val="24"/>
        </w:rPr>
        <w:t xml:space="preserve"> </w:t>
      </w:r>
      <w:r w:rsidR="00553A03">
        <w:rPr>
          <w:szCs w:val="24"/>
        </w:rPr>
        <w:t xml:space="preserve">was </w:t>
      </w:r>
      <w:r>
        <w:rPr>
          <w:szCs w:val="24"/>
        </w:rPr>
        <w:t>drawn from the sampling frame.</w:t>
      </w:r>
      <w:r w:rsidR="000977C5">
        <w:rPr>
          <w:rStyle w:val="FootnoteReference"/>
          <w:szCs w:val="24"/>
        </w:rPr>
        <w:footnoteReference w:id="5"/>
      </w:r>
      <w:r>
        <w:rPr>
          <w:szCs w:val="24"/>
        </w:rPr>
        <w:t xml:space="preserve"> We assume that we will obtain completed surveys from 85 percent or </w:t>
      </w:r>
      <w:r w:rsidR="00560AEE">
        <w:rPr>
          <w:szCs w:val="24"/>
        </w:rPr>
        <w:t>965</w:t>
      </w:r>
      <w:r>
        <w:rPr>
          <w:szCs w:val="24"/>
        </w:rPr>
        <w:t xml:space="preserve"> districts. </w:t>
      </w:r>
    </w:p>
    <w:p w:rsidRPr="00E100A5" w:rsidR="00E34207" w:rsidP="0079714C" w:rsidRDefault="00E34207" w14:paraId="58099D0A" w14:textId="3550C5A7">
      <w:pPr>
        <w:pStyle w:val="BodyText"/>
        <w:rPr>
          <w:rFonts w:asciiTheme="majorBidi" w:hAnsiTheme="majorBidi" w:cstheme="majorBidi"/>
          <w:szCs w:val="24"/>
        </w:rPr>
      </w:pPr>
      <w:r>
        <w:rPr>
          <w:szCs w:val="24"/>
        </w:rPr>
        <w:t xml:space="preserve">The sampling strata </w:t>
      </w:r>
      <w:r w:rsidR="004337A8">
        <w:rPr>
          <w:szCs w:val="24"/>
        </w:rPr>
        <w:t>was</w:t>
      </w:r>
      <w:r>
        <w:rPr>
          <w:szCs w:val="24"/>
        </w:rPr>
        <w:t xml:space="preserve"> based on the Title IV-A allocation amounts</w:t>
      </w:r>
      <w:r w:rsidR="00E73766">
        <w:rPr>
          <w:szCs w:val="24"/>
        </w:rPr>
        <w:t xml:space="preserve">. </w:t>
      </w:r>
      <w:r>
        <w:rPr>
          <w:szCs w:val="24"/>
        </w:rPr>
        <w:t xml:space="preserve">Specifically, districts </w:t>
      </w:r>
      <w:r w:rsidR="00553A03">
        <w:rPr>
          <w:szCs w:val="24"/>
        </w:rPr>
        <w:t>were</w:t>
      </w:r>
      <w:r>
        <w:rPr>
          <w:szCs w:val="24"/>
        </w:rPr>
        <w:t xml:space="preserve"> </w:t>
      </w:r>
      <w:r w:rsidRPr="00E100A5">
        <w:rPr>
          <w:rFonts w:asciiTheme="majorBidi" w:hAnsiTheme="majorBidi" w:cstheme="majorBidi"/>
          <w:szCs w:val="24"/>
        </w:rPr>
        <w:t>sampled from the following t</w:t>
      </w:r>
      <w:r w:rsidRPr="00E100A5" w:rsidR="003457A9">
        <w:rPr>
          <w:rFonts w:asciiTheme="majorBidi" w:hAnsiTheme="majorBidi" w:cstheme="majorBidi"/>
          <w:szCs w:val="24"/>
        </w:rPr>
        <w:t>wo</w:t>
      </w:r>
      <w:r w:rsidRPr="00E100A5">
        <w:rPr>
          <w:rFonts w:asciiTheme="majorBidi" w:hAnsiTheme="majorBidi" w:cstheme="majorBidi"/>
          <w:szCs w:val="24"/>
        </w:rPr>
        <w:t xml:space="preserve"> strata:</w:t>
      </w:r>
    </w:p>
    <w:p w:rsidRPr="00E100A5" w:rsidR="00E34207" w:rsidP="00E100A5" w:rsidRDefault="00E34207" w14:paraId="03DA5C42" w14:textId="77777777">
      <w:pPr>
        <w:pStyle w:val="ListParagraph"/>
        <w:numPr>
          <w:ilvl w:val="0"/>
          <w:numId w:val="13"/>
        </w:numPr>
        <w:spacing w:after="0" w:line="240" w:lineRule="auto"/>
        <w:rPr>
          <w:rFonts w:asciiTheme="majorBidi" w:hAnsiTheme="majorBidi" w:cstheme="majorBidi"/>
        </w:rPr>
      </w:pPr>
      <w:r w:rsidRPr="00E100A5">
        <w:rPr>
          <w:rFonts w:asciiTheme="majorBidi" w:hAnsiTheme="majorBidi" w:cstheme="majorBidi"/>
        </w:rPr>
        <w:t xml:space="preserve">Title IV, Part A allocation amount less than $30,000 </w:t>
      </w:r>
    </w:p>
    <w:p w:rsidR="00E34207" w:rsidP="00E100A5" w:rsidRDefault="00E34207" w14:paraId="6B11F85C" w14:textId="77777777">
      <w:pPr>
        <w:pStyle w:val="ListParagraph"/>
        <w:numPr>
          <w:ilvl w:val="0"/>
          <w:numId w:val="13"/>
        </w:numPr>
        <w:spacing w:after="0" w:line="240" w:lineRule="auto"/>
      </w:pPr>
      <w:r w:rsidRPr="00E100A5">
        <w:rPr>
          <w:rFonts w:asciiTheme="majorBidi" w:hAnsiTheme="majorBidi" w:cstheme="majorBidi"/>
        </w:rPr>
        <w:t xml:space="preserve">Title IV, Part A allocation amount </w:t>
      </w:r>
      <w:r w:rsidR="00E100A5">
        <w:rPr>
          <w:rFonts w:asciiTheme="majorBidi" w:hAnsiTheme="majorBidi" w:cstheme="majorBidi"/>
        </w:rPr>
        <w:t>greater than or equal to</w:t>
      </w:r>
      <w:r w:rsidRPr="00E100A5">
        <w:rPr>
          <w:rFonts w:asciiTheme="majorBidi" w:hAnsiTheme="majorBidi" w:cstheme="majorBidi"/>
        </w:rPr>
        <w:t xml:space="preserve"> $30,000</w:t>
      </w:r>
    </w:p>
    <w:p w:rsidR="006359C0" w:rsidP="0079714C" w:rsidRDefault="006359C0" w14:paraId="2B71DDF4" w14:textId="77777777">
      <w:pPr>
        <w:spacing w:after="120" w:line="240" w:lineRule="auto"/>
      </w:pPr>
    </w:p>
    <w:p w:rsidR="00EC4712" w:rsidP="0079714C" w:rsidRDefault="00E34207" w14:paraId="2B37CF1E" w14:textId="77777777">
      <w:pPr>
        <w:pStyle w:val="BodyText"/>
      </w:pPr>
      <w:proofErr w:type="gramStart"/>
      <w:r>
        <w:lastRenderedPageBreak/>
        <w:t>In order to</w:t>
      </w:r>
      <w:proofErr w:type="gramEnd"/>
      <w:r>
        <w:t xml:space="preserve"> maximize </w:t>
      </w:r>
      <w:r w:rsidR="0028320A">
        <w:t xml:space="preserve">the </w:t>
      </w:r>
      <w:r>
        <w:t xml:space="preserve">power to detect difference between districts with allocation amounts above and below $30,000, </w:t>
      </w:r>
      <w:r w:rsidR="001617C6">
        <w:t xml:space="preserve">the sample allocations were selected such that </w:t>
      </w:r>
      <w:r w:rsidR="00EC4712">
        <w:t>after accounting for non-response</w:t>
      </w:r>
      <w:r w:rsidR="00D85C28">
        <w:t>,</w:t>
      </w:r>
      <w:r w:rsidR="00EC4712">
        <w:t xml:space="preserve"> and </w:t>
      </w:r>
      <w:r w:rsidR="00D85C28">
        <w:t xml:space="preserve">accounting </w:t>
      </w:r>
      <w:r w:rsidR="00EC4712">
        <w:t xml:space="preserve">for </w:t>
      </w:r>
      <w:r w:rsidR="001617C6">
        <w:t xml:space="preserve">assumed proportions of </w:t>
      </w:r>
      <w:r w:rsidR="00EC4712">
        <w:t xml:space="preserve">districts that </w:t>
      </w:r>
      <w:r w:rsidR="001617C6">
        <w:t xml:space="preserve">will </w:t>
      </w:r>
      <w:r w:rsidR="00EC4712">
        <w:t>not transfer all of their Title IV-A funds to other programs</w:t>
      </w:r>
      <w:r w:rsidR="001617C6">
        <w:t xml:space="preserve">, </w:t>
      </w:r>
      <w:r w:rsidR="00FE4E43">
        <w:t xml:space="preserve">about </w:t>
      </w:r>
      <w:r w:rsidR="001617C6">
        <w:t xml:space="preserve">half of the sample </w:t>
      </w:r>
      <w:r w:rsidR="00EC4712">
        <w:t>will be in each of the two Title IV-A allocation amount strata</w:t>
      </w:r>
      <w:r w:rsidR="00D85C28">
        <w:t xml:space="preserve"> (</w:t>
      </w:r>
      <w:r w:rsidR="00460F8E">
        <w:t>Exhibit</w:t>
      </w:r>
      <w:r w:rsidR="00D85C28">
        <w:t xml:space="preserve"> 1)</w:t>
      </w:r>
      <w:r w:rsidR="00E73766">
        <w:t xml:space="preserve">. </w:t>
      </w:r>
    </w:p>
    <w:p w:rsidR="006D192F" w:rsidP="006D192F" w:rsidRDefault="006D192F" w14:paraId="1711769C" w14:textId="77777777">
      <w:pPr>
        <w:pStyle w:val="Caption"/>
      </w:pPr>
      <w:bookmarkStart w:name="_Toc77597464" w:id="5"/>
      <w:bookmarkStart w:name="_Hlk74132378" w:id="6"/>
      <w:r>
        <w:t xml:space="preserve">Exhibit </w:t>
      </w:r>
      <w:r w:rsidR="00D84568">
        <w:fldChar w:fldCharType="begin"/>
      </w:r>
      <w:r w:rsidR="00D84568">
        <w:instrText xml:space="preserve"> SEQ Exhibit \* ARABIC </w:instrText>
      </w:r>
      <w:r w:rsidR="00D84568">
        <w:fldChar w:fldCharType="separate"/>
      </w:r>
      <w:r>
        <w:rPr>
          <w:noProof/>
        </w:rPr>
        <w:t>1</w:t>
      </w:r>
      <w:r w:rsidR="00D84568">
        <w:rPr>
          <w:noProof/>
        </w:rPr>
        <w:fldChar w:fldCharType="end"/>
      </w:r>
      <w:r>
        <w:t>. Sampling Assumptions</w:t>
      </w:r>
      <w:bookmarkEnd w:id="5"/>
    </w:p>
    <w:tbl>
      <w:tblPr>
        <w:tblW w:w="9180" w:type="dxa"/>
        <w:tblBorders>
          <w:insideV w:val="single" w:color="auto" w:sz="4" w:space="0"/>
        </w:tblBorders>
        <w:tblLayout w:type="fixed"/>
        <w:tblLook w:val="04A0" w:firstRow="1" w:lastRow="0" w:firstColumn="1" w:lastColumn="0" w:noHBand="0" w:noVBand="1"/>
      </w:tblPr>
      <w:tblGrid>
        <w:gridCol w:w="810"/>
        <w:gridCol w:w="1043"/>
        <w:gridCol w:w="972"/>
        <w:gridCol w:w="955"/>
        <w:gridCol w:w="1063"/>
        <w:gridCol w:w="971"/>
        <w:gridCol w:w="1279"/>
        <w:gridCol w:w="1260"/>
        <w:gridCol w:w="827"/>
      </w:tblGrid>
      <w:tr w:rsidRPr="001E1211" w:rsidR="00FE4E43" w:rsidTr="00FE4E43" w14:paraId="34FF2933" w14:textId="77777777">
        <w:trPr>
          <w:trHeight w:val="702"/>
          <w:tblHeader/>
        </w:trPr>
        <w:tc>
          <w:tcPr>
            <w:tcW w:w="810" w:type="dxa"/>
            <w:shd w:val="clear" w:color="auto" w:fill="C3C6A8" w:themeFill="accent4"/>
            <w:vAlign w:val="bottom"/>
            <w:hideMark/>
          </w:tcPr>
          <w:p w:rsidR="00FE4E43" w:rsidP="00234792" w:rsidRDefault="00FE4E43" w14:paraId="140007CE"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Title IV</w:t>
            </w:r>
          </w:p>
          <w:p w:rsidRPr="001E1211" w:rsidR="00FE4E43" w:rsidP="00234792" w:rsidRDefault="00FE4E43" w14:paraId="6038281A"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Strata</w:t>
            </w:r>
          </w:p>
        </w:tc>
        <w:tc>
          <w:tcPr>
            <w:tcW w:w="1043" w:type="dxa"/>
            <w:shd w:val="clear" w:color="auto" w:fill="C3C6A8" w:themeFill="accent4"/>
            <w:vAlign w:val="bottom"/>
          </w:tcPr>
          <w:p w:rsidRPr="001E1211" w:rsidR="00FE4E43" w:rsidP="00234792" w:rsidRDefault="00FE4E43" w14:paraId="6567451C"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Number of Districts in Sampling Frame</w:t>
            </w:r>
          </w:p>
        </w:tc>
        <w:tc>
          <w:tcPr>
            <w:tcW w:w="972" w:type="dxa"/>
            <w:shd w:val="clear" w:color="auto" w:fill="C3C6A8" w:themeFill="accent4"/>
            <w:vAlign w:val="bottom"/>
          </w:tcPr>
          <w:p w:rsidRPr="001E1211" w:rsidR="00FE4E43" w:rsidP="00234792" w:rsidRDefault="00FE4E43" w14:paraId="45D330F1"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Percent of Frame Districts in Sampling Frame</w:t>
            </w:r>
          </w:p>
        </w:tc>
        <w:tc>
          <w:tcPr>
            <w:tcW w:w="955" w:type="dxa"/>
            <w:shd w:val="clear" w:color="auto" w:fill="C3C6A8" w:themeFill="accent4"/>
            <w:vAlign w:val="bottom"/>
            <w:hideMark/>
          </w:tcPr>
          <w:p w:rsidRPr="001E1211" w:rsidR="00FE4E43" w:rsidP="00234792" w:rsidRDefault="00FE4E43" w14:paraId="52096B5C"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Number of Districts in Sample</w:t>
            </w:r>
          </w:p>
        </w:tc>
        <w:tc>
          <w:tcPr>
            <w:tcW w:w="1063" w:type="dxa"/>
            <w:shd w:val="clear" w:color="auto" w:fill="C3C6A8" w:themeFill="accent4"/>
            <w:vAlign w:val="bottom"/>
            <w:hideMark/>
          </w:tcPr>
          <w:p w:rsidRPr="001E1211" w:rsidR="00FE4E43" w:rsidP="00234792" w:rsidRDefault="00FE4E43" w14:paraId="4E689225"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Expected Response Rate</w:t>
            </w:r>
          </w:p>
        </w:tc>
        <w:tc>
          <w:tcPr>
            <w:tcW w:w="971" w:type="dxa"/>
            <w:shd w:val="clear" w:color="auto" w:fill="C3C6A8" w:themeFill="accent4"/>
            <w:vAlign w:val="bottom"/>
            <w:hideMark/>
          </w:tcPr>
          <w:p w:rsidRPr="001E1211" w:rsidR="00FE4E43" w:rsidP="00234792" w:rsidRDefault="00FE4E43" w14:paraId="1CBB7A99"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Expected Number with Complete Surveys</w:t>
            </w:r>
          </w:p>
        </w:tc>
        <w:tc>
          <w:tcPr>
            <w:tcW w:w="1279" w:type="dxa"/>
            <w:shd w:val="clear" w:color="auto" w:fill="C3C6A8" w:themeFill="accent4"/>
            <w:vAlign w:val="bottom"/>
            <w:hideMark/>
          </w:tcPr>
          <w:p w:rsidRPr="001E1211" w:rsidR="00FE4E43" w:rsidP="00234792" w:rsidRDefault="00FE4E43" w14:paraId="5F5AFB4C"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Expected Proportion Not Transfer-ring All Funds</w:t>
            </w:r>
          </w:p>
        </w:tc>
        <w:tc>
          <w:tcPr>
            <w:tcW w:w="1260" w:type="dxa"/>
            <w:shd w:val="clear" w:color="auto" w:fill="C3C6A8" w:themeFill="accent4"/>
            <w:vAlign w:val="bottom"/>
          </w:tcPr>
          <w:p w:rsidRPr="001E1211" w:rsidR="00FE4E43" w:rsidP="00234792" w:rsidRDefault="00FE4E43" w14:paraId="406789E5"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Expected Number of Districts Not Transferring All Funds</w:t>
            </w:r>
          </w:p>
        </w:tc>
        <w:tc>
          <w:tcPr>
            <w:tcW w:w="827" w:type="dxa"/>
            <w:shd w:val="clear" w:color="auto" w:fill="C3C6A8" w:themeFill="accent4"/>
            <w:vAlign w:val="bottom"/>
            <w:hideMark/>
          </w:tcPr>
          <w:p w:rsidRPr="001E1211" w:rsidR="00FE4E43" w:rsidP="00234792" w:rsidRDefault="00FE4E43" w14:paraId="5F21F69F" w14:textId="77777777">
            <w:pPr>
              <w:keepNext/>
              <w:keepLines/>
              <w:spacing w:after="0" w:line="240" w:lineRule="auto"/>
              <w:jc w:val="center"/>
              <w:rPr>
                <w:rFonts w:ascii="Arial Narrow" w:hAnsi="Arial Narrow"/>
                <w:b/>
                <w:bCs/>
                <w:color w:val="000000"/>
                <w:sz w:val="20"/>
              </w:rPr>
            </w:pPr>
            <w:r>
              <w:rPr>
                <w:rFonts w:ascii="Arial Narrow" w:hAnsi="Arial Narrow"/>
                <w:b/>
                <w:bCs/>
                <w:color w:val="000000"/>
                <w:sz w:val="20"/>
              </w:rPr>
              <w:t>Design Effect</w:t>
            </w:r>
          </w:p>
        </w:tc>
      </w:tr>
      <w:tr w:rsidRPr="001E1211" w:rsidR="00FE4E43" w:rsidTr="00FE4E43" w14:paraId="41A63DD0" w14:textId="77777777">
        <w:trPr>
          <w:trHeight w:val="232"/>
        </w:trPr>
        <w:tc>
          <w:tcPr>
            <w:tcW w:w="810" w:type="dxa"/>
            <w:shd w:val="clear" w:color="auto" w:fill="auto"/>
            <w:noWrap/>
            <w:vAlign w:val="bottom"/>
          </w:tcPr>
          <w:p w:rsidRPr="001E1211" w:rsidR="00FE4E43" w:rsidP="008A4E1D" w:rsidRDefault="00FE4E43" w14:paraId="3BDC5189" w14:textId="77777777">
            <w:pPr>
              <w:keepNext/>
              <w:keepLines/>
              <w:spacing w:after="0" w:line="240" w:lineRule="auto"/>
              <w:rPr>
                <w:rFonts w:ascii="Arial Narrow" w:hAnsi="Arial Narrow"/>
                <w:color w:val="000000"/>
                <w:sz w:val="20"/>
              </w:rPr>
            </w:pPr>
            <w:r>
              <w:rPr>
                <w:rFonts w:ascii="Arial Narrow" w:hAnsi="Arial Narrow"/>
                <w:color w:val="000000"/>
                <w:sz w:val="20"/>
              </w:rPr>
              <w:t>Low</w:t>
            </w:r>
          </w:p>
        </w:tc>
        <w:tc>
          <w:tcPr>
            <w:tcW w:w="1043" w:type="dxa"/>
            <w:shd w:val="clear" w:color="auto" w:fill="auto"/>
            <w:vAlign w:val="bottom"/>
          </w:tcPr>
          <w:p w:rsidRPr="001E1211" w:rsidR="00FE4E43" w:rsidP="002819CF" w:rsidRDefault="00FE4E43" w14:paraId="0E30BD9A" w14:textId="77777777">
            <w:pPr>
              <w:tabs>
                <w:tab w:val="left" w:pos="600"/>
              </w:tabs>
              <w:spacing w:after="0" w:line="240" w:lineRule="auto"/>
              <w:jc w:val="center"/>
              <w:rPr>
                <w:rFonts w:ascii="Arial Narrow" w:hAnsi="Arial Narrow"/>
                <w:color w:val="000000"/>
                <w:sz w:val="20"/>
              </w:rPr>
            </w:pPr>
            <w:r>
              <w:rPr>
                <w:rFonts w:ascii="Arial Narrow" w:hAnsi="Arial Narrow"/>
                <w:color w:val="000000"/>
                <w:sz w:val="20"/>
              </w:rPr>
              <w:t>11,033</w:t>
            </w:r>
          </w:p>
        </w:tc>
        <w:tc>
          <w:tcPr>
            <w:tcW w:w="972" w:type="dxa"/>
            <w:shd w:val="clear" w:color="auto" w:fill="auto"/>
            <w:vAlign w:val="bottom"/>
          </w:tcPr>
          <w:p w:rsidRPr="001E1211" w:rsidR="00FE4E43" w:rsidP="002819CF" w:rsidRDefault="00FE4E43" w14:paraId="7EE685B2" w14:textId="77777777">
            <w:pPr>
              <w:spacing w:after="0" w:line="240" w:lineRule="auto"/>
              <w:jc w:val="center"/>
              <w:rPr>
                <w:rFonts w:ascii="Arial Narrow" w:hAnsi="Arial Narrow"/>
                <w:color w:val="000000"/>
                <w:sz w:val="20"/>
              </w:rPr>
            </w:pPr>
            <w:r>
              <w:rPr>
                <w:rFonts w:ascii="Arial Narrow" w:hAnsi="Arial Narrow"/>
                <w:color w:val="000000"/>
                <w:sz w:val="20"/>
              </w:rPr>
              <w:t>69.1%</w:t>
            </w:r>
          </w:p>
        </w:tc>
        <w:tc>
          <w:tcPr>
            <w:tcW w:w="955" w:type="dxa"/>
            <w:shd w:val="clear" w:color="auto" w:fill="auto"/>
            <w:noWrap/>
            <w:vAlign w:val="bottom"/>
          </w:tcPr>
          <w:p w:rsidRPr="001E1211" w:rsidR="00FE4E43" w:rsidP="002819CF" w:rsidRDefault="00FE4E43" w14:paraId="6CA40C2D" w14:textId="77777777">
            <w:pPr>
              <w:keepNext/>
              <w:keepLines/>
              <w:spacing w:after="0" w:line="240" w:lineRule="auto"/>
              <w:jc w:val="center"/>
              <w:rPr>
                <w:rFonts w:ascii="Arial Narrow" w:hAnsi="Arial Narrow"/>
                <w:color w:val="000000"/>
                <w:sz w:val="20"/>
                <w:highlight w:val="yellow"/>
              </w:rPr>
            </w:pPr>
            <w:r>
              <w:rPr>
                <w:rFonts w:ascii="Arial Narrow" w:hAnsi="Arial Narrow"/>
                <w:color w:val="000000"/>
                <w:sz w:val="20"/>
              </w:rPr>
              <w:t>682</w:t>
            </w:r>
          </w:p>
        </w:tc>
        <w:tc>
          <w:tcPr>
            <w:tcW w:w="1063" w:type="dxa"/>
            <w:shd w:val="clear" w:color="auto" w:fill="auto"/>
            <w:noWrap/>
            <w:vAlign w:val="bottom"/>
          </w:tcPr>
          <w:p w:rsidRPr="001E1211" w:rsidR="00FE4E43" w:rsidP="002819CF" w:rsidRDefault="00FE4E43" w14:paraId="6C7406C4" w14:textId="77777777">
            <w:pPr>
              <w:keepNext/>
              <w:keepLines/>
              <w:spacing w:after="0" w:line="240" w:lineRule="auto"/>
              <w:jc w:val="center"/>
              <w:rPr>
                <w:rFonts w:ascii="Arial Narrow" w:hAnsi="Arial Narrow"/>
                <w:color w:val="000000"/>
                <w:sz w:val="20"/>
              </w:rPr>
            </w:pPr>
            <w:r>
              <w:rPr>
                <w:rFonts w:ascii="Arial Narrow" w:hAnsi="Arial Narrow"/>
                <w:color w:val="000000"/>
                <w:sz w:val="20"/>
              </w:rPr>
              <w:t>85%</w:t>
            </w:r>
          </w:p>
        </w:tc>
        <w:tc>
          <w:tcPr>
            <w:tcW w:w="971" w:type="dxa"/>
            <w:shd w:val="clear" w:color="auto" w:fill="auto"/>
            <w:noWrap/>
            <w:vAlign w:val="bottom"/>
          </w:tcPr>
          <w:p w:rsidRPr="001E1211" w:rsidR="00FE4E43" w:rsidP="002819CF" w:rsidRDefault="008C7EA3" w14:paraId="3A34871D" w14:textId="1021607F">
            <w:pPr>
              <w:keepNext/>
              <w:keepLines/>
              <w:spacing w:after="0" w:line="240" w:lineRule="auto"/>
              <w:jc w:val="center"/>
              <w:rPr>
                <w:rFonts w:ascii="Arial Narrow" w:hAnsi="Arial Narrow"/>
                <w:color w:val="000000"/>
                <w:sz w:val="20"/>
              </w:rPr>
            </w:pPr>
            <w:r>
              <w:rPr>
                <w:rFonts w:ascii="Arial Narrow" w:hAnsi="Arial Narrow"/>
                <w:color w:val="000000"/>
                <w:sz w:val="20"/>
              </w:rPr>
              <w:t>580</w:t>
            </w:r>
          </w:p>
        </w:tc>
        <w:tc>
          <w:tcPr>
            <w:tcW w:w="1279" w:type="dxa"/>
            <w:shd w:val="clear" w:color="auto" w:fill="auto"/>
            <w:noWrap/>
            <w:vAlign w:val="bottom"/>
          </w:tcPr>
          <w:p w:rsidRPr="001E1211" w:rsidR="00FE4E43" w:rsidP="002819CF" w:rsidRDefault="00FE4E43" w14:paraId="0C302B65" w14:textId="77777777">
            <w:pPr>
              <w:keepNext/>
              <w:keepLines/>
              <w:spacing w:after="0" w:line="240" w:lineRule="auto"/>
              <w:jc w:val="center"/>
              <w:rPr>
                <w:rFonts w:ascii="Arial Narrow" w:hAnsi="Arial Narrow"/>
                <w:color w:val="000000"/>
                <w:sz w:val="20"/>
              </w:rPr>
            </w:pPr>
            <w:r>
              <w:rPr>
                <w:rFonts w:ascii="Arial Narrow" w:hAnsi="Arial Narrow"/>
                <w:color w:val="000000"/>
                <w:sz w:val="20"/>
              </w:rPr>
              <w:t>65%</w:t>
            </w:r>
          </w:p>
        </w:tc>
        <w:tc>
          <w:tcPr>
            <w:tcW w:w="1260" w:type="dxa"/>
            <w:shd w:val="clear" w:color="auto" w:fill="auto"/>
            <w:vAlign w:val="bottom"/>
          </w:tcPr>
          <w:p w:rsidRPr="001E1211" w:rsidR="00FE4E43" w:rsidP="002819CF" w:rsidRDefault="00FE4E43" w14:paraId="2EFD7C96" w14:textId="77777777">
            <w:pPr>
              <w:keepNext/>
              <w:keepLines/>
              <w:spacing w:after="0" w:line="240" w:lineRule="auto"/>
              <w:jc w:val="center"/>
              <w:rPr>
                <w:rFonts w:ascii="Arial Narrow" w:hAnsi="Arial Narrow"/>
                <w:color w:val="000000"/>
                <w:sz w:val="20"/>
              </w:rPr>
            </w:pPr>
            <w:r>
              <w:rPr>
                <w:rFonts w:ascii="Arial Narrow" w:hAnsi="Arial Narrow"/>
                <w:color w:val="000000"/>
                <w:sz w:val="20"/>
              </w:rPr>
              <w:t>377</w:t>
            </w:r>
          </w:p>
        </w:tc>
        <w:tc>
          <w:tcPr>
            <w:tcW w:w="827" w:type="dxa"/>
            <w:shd w:val="clear" w:color="auto" w:fill="auto"/>
            <w:noWrap/>
            <w:vAlign w:val="bottom"/>
          </w:tcPr>
          <w:p w:rsidRPr="001E1211" w:rsidR="00FE4E43" w:rsidP="002819CF" w:rsidRDefault="00FE4E43" w14:paraId="4DA1577D" w14:textId="77777777">
            <w:pPr>
              <w:keepNext/>
              <w:keepLines/>
              <w:spacing w:after="0" w:line="240" w:lineRule="auto"/>
              <w:jc w:val="center"/>
              <w:rPr>
                <w:rFonts w:ascii="Arial Narrow" w:hAnsi="Arial Narrow"/>
                <w:color w:val="000000"/>
                <w:sz w:val="20"/>
              </w:rPr>
            </w:pPr>
            <w:r>
              <w:rPr>
                <w:rFonts w:ascii="Arial Narrow" w:hAnsi="Arial Narrow"/>
                <w:color w:val="000000"/>
                <w:sz w:val="20"/>
              </w:rPr>
              <w:t>0.966</w:t>
            </w:r>
          </w:p>
        </w:tc>
      </w:tr>
      <w:tr w:rsidRPr="001E1211" w:rsidR="00FE4E43" w:rsidTr="00FE4E43" w14:paraId="30DAAA83" w14:textId="77777777">
        <w:trPr>
          <w:trHeight w:val="232"/>
        </w:trPr>
        <w:tc>
          <w:tcPr>
            <w:tcW w:w="810" w:type="dxa"/>
            <w:shd w:val="clear" w:color="auto" w:fill="auto"/>
            <w:noWrap/>
            <w:vAlign w:val="bottom"/>
          </w:tcPr>
          <w:p w:rsidRPr="001E1211" w:rsidR="00FE4E43" w:rsidP="008A4E1D" w:rsidRDefault="00FE4E43" w14:paraId="219E2184" w14:textId="77777777">
            <w:pPr>
              <w:spacing w:after="0" w:line="240" w:lineRule="auto"/>
              <w:rPr>
                <w:rFonts w:ascii="Arial Narrow" w:hAnsi="Arial Narrow"/>
                <w:color w:val="000000"/>
                <w:sz w:val="20"/>
              </w:rPr>
            </w:pPr>
            <w:r>
              <w:rPr>
                <w:rFonts w:ascii="Arial Narrow" w:hAnsi="Arial Narrow"/>
                <w:color w:val="000000"/>
                <w:sz w:val="20"/>
              </w:rPr>
              <w:t>High</w:t>
            </w:r>
          </w:p>
        </w:tc>
        <w:tc>
          <w:tcPr>
            <w:tcW w:w="1043" w:type="dxa"/>
            <w:shd w:val="clear" w:color="auto" w:fill="auto"/>
            <w:vAlign w:val="bottom"/>
          </w:tcPr>
          <w:p w:rsidRPr="001E1211" w:rsidR="00FE4E43" w:rsidP="002819CF" w:rsidRDefault="00FE4E43" w14:paraId="4A788D55" w14:textId="77777777">
            <w:pPr>
              <w:tabs>
                <w:tab w:val="left" w:pos="600"/>
              </w:tabs>
              <w:spacing w:after="0" w:line="240" w:lineRule="auto"/>
              <w:jc w:val="center"/>
              <w:rPr>
                <w:rFonts w:ascii="Arial Narrow" w:hAnsi="Arial Narrow"/>
                <w:color w:val="000000"/>
                <w:sz w:val="20"/>
              </w:rPr>
            </w:pPr>
            <w:r>
              <w:rPr>
                <w:rFonts w:ascii="Arial Narrow" w:hAnsi="Arial Narrow"/>
                <w:color w:val="000000"/>
                <w:sz w:val="20"/>
              </w:rPr>
              <w:t>4,930</w:t>
            </w:r>
          </w:p>
        </w:tc>
        <w:tc>
          <w:tcPr>
            <w:tcW w:w="972" w:type="dxa"/>
            <w:shd w:val="clear" w:color="auto" w:fill="auto"/>
            <w:vAlign w:val="bottom"/>
          </w:tcPr>
          <w:p w:rsidRPr="001E1211" w:rsidR="00FE4E43" w:rsidP="002819CF" w:rsidRDefault="00FE4E43" w14:paraId="0DD2E18E" w14:textId="77777777">
            <w:pPr>
              <w:spacing w:after="0" w:line="240" w:lineRule="auto"/>
              <w:jc w:val="center"/>
              <w:rPr>
                <w:rFonts w:ascii="Arial Narrow" w:hAnsi="Arial Narrow"/>
                <w:color w:val="000000"/>
                <w:sz w:val="20"/>
              </w:rPr>
            </w:pPr>
            <w:r>
              <w:rPr>
                <w:rFonts w:ascii="Arial Narrow" w:hAnsi="Arial Narrow"/>
                <w:color w:val="000000"/>
                <w:sz w:val="20"/>
              </w:rPr>
              <w:t>30.9%</w:t>
            </w:r>
          </w:p>
        </w:tc>
        <w:tc>
          <w:tcPr>
            <w:tcW w:w="955" w:type="dxa"/>
            <w:shd w:val="clear" w:color="auto" w:fill="auto"/>
            <w:noWrap/>
            <w:vAlign w:val="bottom"/>
          </w:tcPr>
          <w:p w:rsidRPr="001E1211" w:rsidR="00FE4E43" w:rsidP="002819CF" w:rsidRDefault="00FE4E43" w14:paraId="6E23B8BC" w14:textId="77777777">
            <w:pPr>
              <w:spacing w:after="0" w:line="240" w:lineRule="auto"/>
              <w:jc w:val="center"/>
              <w:rPr>
                <w:rFonts w:ascii="Arial Narrow" w:hAnsi="Arial Narrow"/>
                <w:color w:val="000000"/>
                <w:sz w:val="20"/>
              </w:rPr>
            </w:pPr>
            <w:r>
              <w:rPr>
                <w:rFonts w:ascii="Arial Narrow" w:hAnsi="Arial Narrow"/>
                <w:color w:val="000000"/>
                <w:sz w:val="20"/>
              </w:rPr>
              <w:t>453</w:t>
            </w:r>
          </w:p>
        </w:tc>
        <w:tc>
          <w:tcPr>
            <w:tcW w:w="1063" w:type="dxa"/>
            <w:shd w:val="clear" w:color="auto" w:fill="auto"/>
            <w:noWrap/>
            <w:vAlign w:val="bottom"/>
          </w:tcPr>
          <w:p w:rsidRPr="001E1211" w:rsidR="00FE4E43" w:rsidP="002819CF" w:rsidRDefault="00FE4E43" w14:paraId="6B72EE51" w14:textId="77777777">
            <w:pPr>
              <w:spacing w:after="0" w:line="240" w:lineRule="auto"/>
              <w:jc w:val="center"/>
              <w:rPr>
                <w:rFonts w:ascii="Arial Narrow" w:hAnsi="Arial Narrow"/>
                <w:color w:val="000000"/>
                <w:sz w:val="20"/>
              </w:rPr>
            </w:pPr>
            <w:r>
              <w:rPr>
                <w:rFonts w:ascii="Arial Narrow" w:hAnsi="Arial Narrow"/>
                <w:color w:val="000000"/>
                <w:sz w:val="20"/>
              </w:rPr>
              <w:t>85%</w:t>
            </w:r>
          </w:p>
        </w:tc>
        <w:tc>
          <w:tcPr>
            <w:tcW w:w="971" w:type="dxa"/>
            <w:shd w:val="clear" w:color="auto" w:fill="auto"/>
            <w:noWrap/>
            <w:vAlign w:val="bottom"/>
          </w:tcPr>
          <w:p w:rsidRPr="001E1211" w:rsidR="00FE4E43" w:rsidP="002819CF" w:rsidRDefault="008C7EA3" w14:paraId="332D9A87" w14:textId="1BF16BA5">
            <w:pPr>
              <w:spacing w:after="0" w:line="240" w:lineRule="auto"/>
              <w:jc w:val="center"/>
              <w:rPr>
                <w:rFonts w:ascii="Arial Narrow" w:hAnsi="Arial Narrow"/>
                <w:color w:val="000000"/>
                <w:sz w:val="20"/>
              </w:rPr>
            </w:pPr>
            <w:r>
              <w:rPr>
                <w:rFonts w:ascii="Arial Narrow" w:hAnsi="Arial Narrow"/>
                <w:color w:val="000000"/>
                <w:sz w:val="20"/>
              </w:rPr>
              <w:t>385</w:t>
            </w:r>
          </w:p>
        </w:tc>
        <w:tc>
          <w:tcPr>
            <w:tcW w:w="1279" w:type="dxa"/>
            <w:shd w:val="clear" w:color="auto" w:fill="auto"/>
            <w:noWrap/>
            <w:vAlign w:val="bottom"/>
          </w:tcPr>
          <w:p w:rsidRPr="001E1211" w:rsidR="00FE4E43" w:rsidP="002819CF" w:rsidRDefault="00FE4E43" w14:paraId="778E05AE" w14:textId="77777777">
            <w:pPr>
              <w:spacing w:after="0" w:line="240" w:lineRule="auto"/>
              <w:jc w:val="center"/>
              <w:rPr>
                <w:rFonts w:ascii="Arial Narrow" w:hAnsi="Arial Narrow"/>
                <w:color w:val="000000"/>
                <w:sz w:val="20"/>
              </w:rPr>
            </w:pPr>
            <w:r>
              <w:rPr>
                <w:rFonts w:ascii="Arial Narrow" w:hAnsi="Arial Narrow"/>
                <w:color w:val="000000"/>
                <w:sz w:val="20"/>
              </w:rPr>
              <w:t>94%</w:t>
            </w:r>
          </w:p>
        </w:tc>
        <w:tc>
          <w:tcPr>
            <w:tcW w:w="1260" w:type="dxa"/>
            <w:shd w:val="clear" w:color="auto" w:fill="auto"/>
            <w:vAlign w:val="bottom"/>
          </w:tcPr>
          <w:p w:rsidRPr="001E1211" w:rsidR="00FE4E43" w:rsidP="002819CF" w:rsidRDefault="00FE4E43" w14:paraId="1E7CDFD8" w14:textId="77777777">
            <w:pPr>
              <w:spacing w:after="0" w:line="240" w:lineRule="auto"/>
              <w:jc w:val="center"/>
              <w:rPr>
                <w:rFonts w:ascii="Arial Narrow" w:hAnsi="Arial Narrow"/>
                <w:color w:val="000000"/>
                <w:sz w:val="20"/>
              </w:rPr>
            </w:pPr>
            <w:r>
              <w:rPr>
                <w:rFonts w:ascii="Arial Narrow" w:hAnsi="Arial Narrow"/>
                <w:color w:val="000000"/>
                <w:sz w:val="20"/>
              </w:rPr>
              <w:t>362</w:t>
            </w:r>
          </w:p>
        </w:tc>
        <w:tc>
          <w:tcPr>
            <w:tcW w:w="827" w:type="dxa"/>
            <w:shd w:val="clear" w:color="auto" w:fill="auto"/>
            <w:noWrap/>
            <w:vAlign w:val="bottom"/>
          </w:tcPr>
          <w:p w:rsidRPr="001E1211" w:rsidR="00FE4E43" w:rsidP="002819CF" w:rsidRDefault="00FE4E43" w14:paraId="37A43038" w14:textId="77777777">
            <w:pPr>
              <w:spacing w:after="0" w:line="240" w:lineRule="auto"/>
              <w:jc w:val="center"/>
              <w:rPr>
                <w:rFonts w:ascii="Arial Narrow" w:hAnsi="Arial Narrow"/>
                <w:color w:val="000000"/>
                <w:sz w:val="20"/>
              </w:rPr>
            </w:pPr>
            <w:r>
              <w:rPr>
                <w:rFonts w:ascii="Arial Narrow" w:hAnsi="Arial Narrow"/>
                <w:color w:val="000000"/>
                <w:sz w:val="20"/>
              </w:rPr>
              <w:t>0.927</w:t>
            </w:r>
          </w:p>
        </w:tc>
      </w:tr>
      <w:tr w:rsidRPr="001E1211" w:rsidR="00FE4E43" w:rsidTr="00FE4E43" w14:paraId="07D29F7C" w14:textId="77777777">
        <w:trPr>
          <w:trHeight w:val="232"/>
        </w:trPr>
        <w:tc>
          <w:tcPr>
            <w:tcW w:w="810" w:type="dxa"/>
            <w:shd w:val="clear" w:color="auto" w:fill="E7E8E8"/>
            <w:noWrap/>
            <w:vAlign w:val="bottom"/>
          </w:tcPr>
          <w:p w:rsidRPr="001E1211" w:rsidR="00FE4E43" w:rsidP="008A4E1D" w:rsidRDefault="00FE4E43" w14:paraId="4FCC3915" w14:textId="77777777">
            <w:pPr>
              <w:spacing w:after="0" w:line="240" w:lineRule="auto"/>
              <w:rPr>
                <w:rFonts w:ascii="Arial Narrow" w:hAnsi="Arial Narrow"/>
                <w:color w:val="000000"/>
                <w:sz w:val="20"/>
              </w:rPr>
            </w:pPr>
            <w:r w:rsidRPr="001E1211">
              <w:rPr>
                <w:rFonts w:ascii="Arial Narrow" w:hAnsi="Arial Narrow"/>
                <w:b/>
                <w:bCs/>
                <w:color w:val="000000"/>
                <w:sz w:val="20"/>
              </w:rPr>
              <w:t>TOTAL</w:t>
            </w:r>
          </w:p>
        </w:tc>
        <w:tc>
          <w:tcPr>
            <w:tcW w:w="1043" w:type="dxa"/>
            <w:shd w:val="clear" w:color="auto" w:fill="E7E8E8"/>
            <w:vAlign w:val="bottom"/>
          </w:tcPr>
          <w:p w:rsidRPr="001E1211" w:rsidR="00FE4E43" w:rsidP="002819CF" w:rsidRDefault="00FE4E43" w14:paraId="68B6BE22" w14:textId="77777777">
            <w:pPr>
              <w:tabs>
                <w:tab w:val="left" w:pos="600"/>
              </w:tabs>
              <w:spacing w:after="0" w:line="240" w:lineRule="auto"/>
              <w:jc w:val="center"/>
              <w:rPr>
                <w:rFonts w:ascii="Arial Narrow" w:hAnsi="Arial Narrow"/>
                <w:color w:val="000000"/>
                <w:sz w:val="20"/>
              </w:rPr>
            </w:pPr>
            <w:r>
              <w:rPr>
                <w:rFonts w:ascii="Arial Narrow" w:hAnsi="Arial Narrow"/>
                <w:color w:val="000000"/>
                <w:sz w:val="20"/>
              </w:rPr>
              <w:t>15,963</w:t>
            </w:r>
          </w:p>
        </w:tc>
        <w:tc>
          <w:tcPr>
            <w:tcW w:w="972" w:type="dxa"/>
            <w:shd w:val="clear" w:color="auto" w:fill="E7E8E8"/>
            <w:vAlign w:val="bottom"/>
          </w:tcPr>
          <w:p w:rsidRPr="001E1211" w:rsidR="00FE4E43" w:rsidP="002819CF" w:rsidRDefault="00FE4E43" w14:paraId="45A90095" w14:textId="77777777">
            <w:pPr>
              <w:spacing w:after="0" w:line="240" w:lineRule="auto"/>
              <w:jc w:val="center"/>
              <w:rPr>
                <w:rFonts w:ascii="Arial Narrow" w:hAnsi="Arial Narrow"/>
                <w:color w:val="000000"/>
                <w:sz w:val="20"/>
              </w:rPr>
            </w:pPr>
            <w:r>
              <w:rPr>
                <w:rFonts w:ascii="Arial Narrow" w:hAnsi="Arial Narrow"/>
                <w:color w:val="000000"/>
                <w:sz w:val="20"/>
              </w:rPr>
              <w:t>100.0%</w:t>
            </w:r>
          </w:p>
        </w:tc>
        <w:tc>
          <w:tcPr>
            <w:tcW w:w="955" w:type="dxa"/>
            <w:shd w:val="clear" w:color="auto" w:fill="E7E8E8"/>
            <w:noWrap/>
            <w:vAlign w:val="bottom"/>
          </w:tcPr>
          <w:p w:rsidR="00FE4E43" w:rsidP="002819CF" w:rsidRDefault="00FE4E43" w14:paraId="7F8832FC" w14:textId="77777777">
            <w:pPr>
              <w:spacing w:after="0" w:line="240" w:lineRule="auto"/>
              <w:jc w:val="center"/>
              <w:rPr>
                <w:rFonts w:ascii="Arial Narrow" w:hAnsi="Arial Narrow"/>
                <w:color w:val="000000"/>
                <w:sz w:val="20"/>
              </w:rPr>
            </w:pPr>
            <w:r>
              <w:rPr>
                <w:rFonts w:ascii="Arial Narrow" w:hAnsi="Arial Narrow"/>
                <w:color w:val="000000"/>
                <w:sz w:val="20"/>
              </w:rPr>
              <w:t>1,135</w:t>
            </w:r>
          </w:p>
        </w:tc>
        <w:tc>
          <w:tcPr>
            <w:tcW w:w="1063" w:type="dxa"/>
            <w:shd w:val="clear" w:color="auto" w:fill="E7E8E8"/>
            <w:noWrap/>
            <w:vAlign w:val="bottom"/>
          </w:tcPr>
          <w:p w:rsidR="00FE4E43" w:rsidP="002819CF" w:rsidRDefault="00FE4E43" w14:paraId="2718EC1A" w14:textId="77777777">
            <w:pPr>
              <w:spacing w:after="0" w:line="240" w:lineRule="auto"/>
              <w:jc w:val="center"/>
              <w:rPr>
                <w:rFonts w:ascii="Arial Narrow" w:hAnsi="Arial Narrow"/>
                <w:color w:val="000000"/>
                <w:sz w:val="20"/>
              </w:rPr>
            </w:pPr>
            <w:r>
              <w:rPr>
                <w:rFonts w:ascii="Arial Narrow" w:hAnsi="Arial Narrow"/>
                <w:color w:val="000000"/>
                <w:sz w:val="20"/>
              </w:rPr>
              <w:t>85%</w:t>
            </w:r>
          </w:p>
        </w:tc>
        <w:tc>
          <w:tcPr>
            <w:tcW w:w="971" w:type="dxa"/>
            <w:shd w:val="clear" w:color="auto" w:fill="E7E8E8"/>
            <w:noWrap/>
            <w:vAlign w:val="bottom"/>
          </w:tcPr>
          <w:p w:rsidRPr="001E1211" w:rsidR="00FE4E43" w:rsidP="002819CF" w:rsidRDefault="00FE4E43" w14:paraId="02267359" w14:textId="77777777">
            <w:pPr>
              <w:spacing w:after="0" w:line="240" w:lineRule="auto"/>
              <w:jc w:val="center"/>
              <w:rPr>
                <w:rFonts w:ascii="Arial Narrow" w:hAnsi="Arial Narrow"/>
                <w:color w:val="000000"/>
                <w:sz w:val="20"/>
              </w:rPr>
            </w:pPr>
            <w:r>
              <w:rPr>
                <w:rFonts w:ascii="Arial Narrow" w:hAnsi="Arial Narrow"/>
                <w:color w:val="000000"/>
                <w:sz w:val="20"/>
              </w:rPr>
              <w:t>965</w:t>
            </w:r>
          </w:p>
        </w:tc>
        <w:tc>
          <w:tcPr>
            <w:tcW w:w="1279" w:type="dxa"/>
            <w:shd w:val="clear" w:color="auto" w:fill="E7E8E8"/>
            <w:noWrap/>
            <w:vAlign w:val="bottom"/>
          </w:tcPr>
          <w:p w:rsidRPr="001E1211" w:rsidR="00FE4E43" w:rsidP="002819CF" w:rsidRDefault="00FE4E43" w14:paraId="1823BEE7" w14:textId="77777777">
            <w:pPr>
              <w:spacing w:after="0" w:line="240" w:lineRule="auto"/>
              <w:jc w:val="center"/>
              <w:rPr>
                <w:rFonts w:ascii="Arial Narrow" w:hAnsi="Arial Narrow"/>
                <w:color w:val="000000"/>
                <w:sz w:val="20"/>
              </w:rPr>
            </w:pPr>
          </w:p>
        </w:tc>
        <w:tc>
          <w:tcPr>
            <w:tcW w:w="1260" w:type="dxa"/>
            <w:shd w:val="clear" w:color="auto" w:fill="E7E8E8"/>
            <w:vAlign w:val="bottom"/>
          </w:tcPr>
          <w:p w:rsidR="00FE4E43" w:rsidP="002819CF" w:rsidRDefault="00FE4E43" w14:paraId="2E5F65C9" w14:textId="77777777">
            <w:pPr>
              <w:spacing w:after="0" w:line="240" w:lineRule="auto"/>
              <w:jc w:val="center"/>
              <w:rPr>
                <w:rFonts w:ascii="Arial Narrow" w:hAnsi="Arial Narrow"/>
                <w:color w:val="000000"/>
                <w:sz w:val="20"/>
              </w:rPr>
            </w:pPr>
            <w:r>
              <w:rPr>
                <w:rFonts w:ascii="Arial Narrow" w:hAnsi="Arial Narrow"/>
                <w:color w:val="000000"/>
                <w:sz w:val="20"/>
              </w:rPr>
              <w:t>739</w:t>
            </w:r>
          </w:p>
        </w:tc>
        <w:tc>
          <w:tcPr>
            <w:tcW w:w="827" w:type="dxa"/>
            <w:shd w:val="clear" w:color="auto" w:fill="E7E8E8"/>
            <w:noWrap/>
            <w:vAlign w:val="bottom"/>
          </w:tcPr>
          <w:p w:rsidR="00FE4E43" w:rsidP="002819CF" w:rsidRDefault="00FE4E43" w14:paraId="1CD08D8A" w14:textId="77777777">
            <w:pPr>
              <w:spacing w:after="0" w:line="240" w:lineRule="auto"/>
              <w:jc w:val="center"/>
              <w:rPr>
                <w:rFonts w:ascii="Arial Narrow" w:hAnsi="Arial Narrow"/>
                <w:color w:val="000000"/>
                <w:sz w:val="20"/>
              </w:rPr>
            </w:pPr>
            <w:r>
              <w:rPr>
                <w:rFonts w:ascii="Arial Narrow" w:hAnsi="Arial Narrow"/>
                <w:color w:val="000000"/>
                <w:sz w:val="20"/>
              </w:rPr>
              <w:t>1.041</w:t>
            </w:r>
          </w:p>
        </w:tc>
      </w:tr>
      <w:bookmarkEnd w:id="6"/>
    </w:tbl>
    <w:p w:rsidR="00EC4712" w:rsidP="0079714C" w:rsidRDefault="00EC4712" w14:paraId="363CFBF0" w14:textId="77777777">
      <w:pPr>
        <w:pStyle w:val="BodyText"/>
      </w:pPr>
    </w:p>
    <w:p w:rsidRPr="0086661B" w:rsidR="00F2083B" w:rsidP="0028320A" w:rsidRDefault="00AA0E3A" w14:paraId="5C9A0040" w14:textId="77777777">
      <w:pPr>
        <w:pStyle w:val="Heading2"/>
      </w:pPr>
      <w:bookmarkStart w:name="_Toc74140270" w:id="7"/>
      <w:r w:rsidRPr="0086661B">
        <w:t>B.2. Procedures for the Collection of Information</w:t>
      </w:r>
      <w:bookmarkEnd w:id="7"/>
    </w:p>
    <w:p w:rsidRPr="00F53500" w:rsidR="00F2083B" w:rsidP="0028320A" w:rsidRDefault="00F2083B" w14:paraId="1B087DD4" w14:textId="77777777">
      <w:pPr>
        <w:pStyle w:val="Heading3"/>
      </w:pPr>
      <w:bookmarkStart w:name="_Toc74140271" w:id="8"/>
      <w:r w:rsidRPr="00F53500">
        <w:t>B.2.1. Statistical methodology for stratification and sample selection.</w:t>
      </w:r>
      <w:bookmarkEnd w:id="8"/>
      <w:r w:rsidRPr="00F53500">
        <w:t xml:space="preserve"> </w:t>
      </w:r>
    </w:p>
    <w:p w:rsidR="002864BD" w:rsidP="007F72F5" w:rsidRDefault="002864BD" w14:paraId="2FCFFB0B" w14:textId="77777777">
      <w:pPr>
        <w:pStyle w:val="Heading4"/>
        <w:spacing w:line="240" w:lineRule="auto"/>
      </w:pPr>
      <w:r w:rsidRPr="003E43F8">
        <w:t>Statistical methodology for stra</w:t>
      </w:r>
      <w:r>
        <w:t>tification and sample selection</w:t>
      </w:r>
      <w:r w:rsidRPr="003E43F8">
        <w:t xml:space="preserve"> </w:t>
      </w:r>
    </w:p>
    <w:p w:rsidRPr="003E43F8" w:rsidR="002864BD" w:rsidP="007F72F5" w:rsidRDefault="002864BD" w14:paraId="58DEA458" w14:textId="77777777">
      <w:pPr>
        <w:pStyle w:val="BodyText"/>
      </w:pPr>
      <w:r w:rsidRPr="003E43F8">
        <w:t xml:space="preserve">The sampling methodology is described under item B.1 above. </w:t>
      </w:r>
    </w:p>
    <w:p w:rsidR="002864BD" w:rsidP="007F72F5" w:rsidRDefault="002864BD" w14:paraId="7053AB84" w14:textId="77777777">
      <w:pPr>
        <w:pStyle w:val="Heading4"/>
        <w:spacing w:line="240" w:lineRule="auto"/>
      </w:pPr>
      <w:r>
        <w:t>Estimation procedure</w:t>
      </w:r>
    </w:p>
    <w:p w:rsidRPr="003E43F8" w:rsidR="002864BD" w:rsidP="007F72F5" w:rsidRDefault="002864BD" w14:paraId="54E7E834" w14:textId="77777777">
      <w:pPr>
        <w:pStyle w:val="BodyText"/>
      </w:pPr>
      <w:r w:rsidRPr="003E43F8">
        <w:t>Analysis weights will be constructed to account</w:t>
      </w:r>
      <w:r w:rsidR="00E34207">
        <w:t xml:space="preserve"> for the stratified sampling design that will produce three different probabilities of selection, and to account</w:t>
      </w:r>
      <w:r w:rsidRPr="003E43F8">
        <w:t xml:space="preserve"> for </w:t>
      </w:r>
      <w:r>
        <w:t>survey non-response</w:t>
      </w:r>
      <w:r w:rsidRPr="003E43F8">
        <w:t xml:space="preserve">. </w:t>
      </w:r>
    </w:p>
    <w:p w:rsidRPr="003E43F8" w:rsidR="002864BD" w:rsidP="007F72F5" w:rsidRDefault="002864BD" w14:paraId="5FC3F977" w14:textId="77777777">
      <w:pPr>
        <w:pStyle w:val="BodyText"/>
      </w:pPr>
      <w:r w:rsidRPr="003E43F8">
        <w:t>Given the sampling design</w:t>
      </w:r>
      <w:r>
        <w:t xml:space="preserve"> and the variation in sampling weights that will result from </w:t>
      </w:r>
      <w:r w:rsidR="00E34207">
        <w:t xml:space="preserve">the sampling design and from </w:t>
      </w:r>
      <w:r>
        <w:t>adjusting the weights for non-response</w:t>
      </w:r>
      <w:r w:rsidRPr="003E43F8">
        <w:t xml:space="preserve">, </w:t>
      </w:r>
      <w:r>
        <w:t xml:space="preserve">the </w:t>
      </w:r>
      <w:r w:rsidRPr="003E43F8">
        <w:t xml:space="preserve">analyses of </w:t>
      </w:r>
      <w:r>
        <w:t xml:space="preserve">the </w:t>
      </w:r>
      <w:r w:rsidRPr="003E43F8">
        <w:t>weighted data</w:t>
      </w:r>
      <w:r>
        <w:t xml:space="preserve"> will</w:t>
      </w:r>
      <w:r w:rsidRPr="003E43F8">
        <w:t xml:space="preserve"> require statistical analysis software, such as SAS or Stata survey procedures, that can estimate standard errors accurately. Both software packages are designed to produce appropriate design-based parameter estimates, standard errors, confidence intervals, and design effects. The use of weights and an appropriate variance estimation method such as linearization or a replication method will account for </w:t>
      </w:r>
      <w:r>
        <w:t xml:space="preserve">varying sampling weights </w:t>
      </w:r>
      <w:r w:rsidRPr="003E43F8">
        <w:t>and stratification in the design and will produce accurate standard errors. Standard errors that reflect the design are necessary to indicate the precision of the national estimates and for statistical tests.</w:t>
      </w:r>
    </w:p>
    <w:p w:rsidR="002864BD" w:rsidP="007F72F5" w:rsidRDefault="002864BD" w14:paraId="7C463D9E" w14:textId="77777777">
      <w:pPr>
        <w:pStyle w:val="Heading4"/>
        <w:spacing w:line="240" w:lineRule="auto"/>
      </w:pPr>
      <w:r w:rsidRPr="003E43F8">
        <w:t>Degree of accuracy needed for the purpose</w:t>
      </w:r>
      <w:r>
        <w:t xml:space="preserve"> described in the justification</w:t>
      </w:r>
    </w:p>
    <w:p w:rsidR="002864BD" w:rsidP="007F72F5" w:rsidRDefault="002864BD" w14:paraId="2DB6CC1D" w14:textId="77777777">
      <w:pPr>
        <w:pStyle w:val="BodyText"/>
      </w:pPr>
      <w:r>
        <w:t xml:space="preserve">Two types of analyses are planned. </w:t>
      </w:r>
      <w:r w:rsidRPr="003E43F8">
        <w:t>The</w:t>
      </w:r>
      <w:r>
        <w:t xml:space="preserve"> first type of</w:t>
      </w:r>
      <w:r w:rsidRPr="003E43F8">
        <w:t xml:space="preserve"> analysis will</w:t>
      </w:r>
      <w:r>
        <w:t xml:space="preserve"> involve</w:t>
      </w:r>
      <w:r w:rsidRPr="003E43F8">
        <w:t xml:space="preserve"> estimating descriptive statistics with confidence intervals for the full sample</w:t>
      </w:r>
      <w:r w:rsidR="00E34207">
        <w:t xml:space="preserve"> of districts</w:t>
      </w:r>
      <w:r w:rsidRPr="003E43F8">
        <w:t>.</w:t>
      </w:r>
      <w:r>
        <w:t xml:space="preserve"> </w:t>
      </w:r>
      <w:r w:rsidRPr="003E43F8">
        <w:t>Descriptive statistics will be estimates of either population means for continuous measures or population percentages for binary or categorical measures.</w:t>
      </w:r>
      <w:r>
        <w:t xml:space="preserve"> </w:t>
      </w:r>
      <w:r w:rsidRPr="003E43F8">
        <w:t>Precision is therefore addressed mainly in terms of 95 percent confidence</w:t>
      </w:r>
      <w:r w:rsidR="00E34207">
        <w:t xml:space="preserve"> interval</w:t>
      </w:r>
      <w:r w:rsidRPr="003E43F8">
        <w:t xml:space="preserve"> half-widths measured in standard deviation units for continuous variables or measured in percentage points for categorical variables, with the latter based on estimated percentage</w:t>
      </w:r>
      <w:r>
        <w:t>s</w:t>
      </w:r>
      <w:r w:rsidRPr="003E43F8">
        <w:t xml:space="preserve"> of P=50 </w:t>
      </w:r>
      <w:r>
        <w:t xml:space="preserve">and P=20 </w:t>
      </w:r>
      <w:r w:rsidRPr="003E43F8">
        <w:t>percent.</w:t>
      </w:r>
      <w:r w:rsidRPr="003E43F8">
        <w:rPr>
          <w:rStyle w:val="FootnoteReference"/>
          <w:rFonts w:eastAsia="Book Antiqua"/>
        </w:rPr>
        <w:footnoteReference w:id="6"/>
      </w:r>
      <w:r>
        <w:t xml:space="preserve"> </w:t>
      </w:r>
    </w:p>
    <w:p w:rsidR="002864BD" w:rsidP="007F72F5" w:rsidRDefault="002864BD" w14:paraId="58C135CC" w14:textId="77777777">
      <w:pPr>
        <w:pStyle w:val="BodyText"/>
      </w:pPr>
      <w:r>
        <w:t xml:space="preserve">The second type of analysis will compare population means or population percentages between subgroups of </w:t>
      </w:r>
      <w:proofErr w:type="gramStart"/>
      <w:r>
        <w:t>particular policy</w:t>
      </w:r>
      <w:proofErr w:type="gramEnd"/>
      <w:r>
        <w:t xml:space="preserve"> interest. The</w:t>
      </w:r>
      <w:r w:rsidR="00D85EA6">
        <w:t xml:space="preserve"> primary </w:t>
      </w:r>
      <w:r>
        <w:t xml:space="preserve">comparisons </w:t>
      </w:r>
      <w:r w:rsidR="00D85EA6">
        <w:t xml:space="preserve">will be </w:t>
      </w:r>
      <w:r>
        <w:t>between districts that did or did not receive Title IV-A allocations greater than $30,000</w:t>
      </w:r>
      <w:r w:rsidR="00D85EA6">
        <w:t xml:space="preserve">. </w:t>
      </w:r>
      <w:r>
        <w:t xml:space="preserve">These analyses will include statistical tests for the differences between groups and will produce p-values that characterize the probability of observing a difference as </w:t>
      </w:r>
      <w:r>
        <w:lastRenderedPageBreak/>
        <w:t>extreme as the observed difference in the sample, if in fact the population difference was zero</w:t>
      </w:r>
      <w:r w:rsidR="00E73766">
        <w:t xml:space="preserve">. </w:t>
      </w:r>
      <w:r>
        <w:t xml:space="preserve">The expected precision for these analyses </w:t>
      </w:r>
      <w:proofErr w:type="gramStart"/>
      <w:r>
        <w:t>are</w:t>
      </w:r>
      <w:proofErr w:type="gramEnd"/>
      <w:r>
        <w:t xml:space="preserve"> described as minimum detectable differences (MDDs) that the study will have 80 percent chance of detecting. </w:t>
      </w:r>
    </w:p>
    <w:p w:rsidR="00E34207" w:rsidP="00E34207" w:rsidRDefault="00E34207" w14:paraId="0739B4F8" w14:textId="77777777">
      <w:pPr>
        <w:pStyle w:val="BodyText"/>
        <w:rPr>
          <w:rFonts w:eastAsia="Book Antiqua"/>
        </w:rPr>
      </w:pPr>
      <w:r w:rsidRPr="003E43F8">
        <w:t xml:space="preserve">The expected sample size </w:t>
      </w:r>
      <w:r>
        <w:t xml:space="preserve">and confidence interval half-width for the descriptive analysis on the full sample </w:t>
      </w:r>
      <w:r w:rsidRPr="003E43F8">
        <w:t>are provided in</w:t>
      </w:r>
      <w:r>
        <w:t xml:space="preserve"> the first row of</w:t>
      </w:r>
      <w:r w:rsidRPr="003E43F8">
        <w:t xml:space="preserve"> Exhibit </w:t>
      </w:r>
      <w:r w:rsidR="00D85EA6">
        <w:t>2</w:t>
      </w:r>
      <w:r w:rsidR="00E73766">
        <w:t xml:space="preserve">. </w:t>
      </w:r>
      <w:r>
        <w:rPr>
          <w:rFonts w:eastAsia="Book Antiqua"/>
        </w:rPr>
        <w:t>For a continuous variable, the 95% confidence interval for the estimated population mean is expected to be plus or minus 0.0</w:t>
      </w:r>
      <w:r w:rsidR="00D85EA6">
        <w:rPr>
          <w:rFonts w:eastAsia="Book Antiqua"/>
        </w:rPr>
        <w:t>6</w:t>
      </w:r>
      <w:r>
        <w:rPr>
          <w:rFonts w:eastAsia="Book Antiqua"/>
        </w:rPr>
        <w:t xml:space="preserve"> standard deviation units</w:t>
      </w:r>
      <w:r w:rsidR="00E73766">
        <w:rPr>
          <w:rFonts w:eastAsia="Book Antiqua"/>
        </w:rPr>
        <w:t xml:space="preserve">. </w:t>
      </w:r>
      <w:r>
        <w:rPr>
          <w:rFonts w:eastAsia="Book Antiqua"/>
        </w:rPr>
        <w:t>For a binary (yes/no) measure where 50 percent of districts have “yes” responses, the confidence interval around that percentage will be plus or minus 3.</w:t>
      </w:r>
      <w:r w:rsidR="00D85EA6">
        <w:rPr>
          <w:rFonts w:eastAsia="Book Antiqua"/>
        </w:rPr>
        <w:t>1</w:t>
      </w:r>
      <w:r>
        <w:rPr>
          <w:rFonts w:eastAsia="Book Antiqua"/>
        </w:rPr>
        <w:t xml:space="preserve"> percentage points</w:t>
      </w:r>
      <w:r w:rsidR="00E73766">
        <w:rPr>
          <w:rFonts w:eastAsia="Book Antiqua"/>
        </w:rPr>
        <w:t xml:space="preserve">. </w:t>
      </w:r>
      <w:r>
        <w:rPr>
          <w:rFonts w:eastAsia="Book Antiqua"/>
        </w:rPr>
        <w:t>For an estimated population percentage of 20 percent “yes” responses, the confidence interval will be plus or minus 2.</w:t>
      </w:r>
      <w:r w:rsidR="00D85EA6">
        <w:rPr>
          <w:rFonts w:eastAsia="Book Antiqua"/>
        </w:rPr>
        <w:t>5</w:t>
      </w:r>
      <w:r>
        <w:rPr>
          <w:rFonts w:eastAsia="Book Antiqua"/>
        </w:rPr>
        <w:t xml:space="preserve"> percentage points. </w:t>
      </w:r>
    </w:p>
    <w:p w:rsidR="00E34207" w:rsidP="00891BD0" w:rsidRDefault="00E34207" w14:paraId="4BE04A1C" w14:textId="77777777">
      <w:pPr>
        <w:pStyle w:val="BodyText"/>
        <w:rPr>
          <w:rFonts w:eastAsia="Book Antiqua"/>
        </w:rPr>
      </w:pPr>
      <w:r>
        <w:rPr>
          <w:rFonts w:eastAsia="Book Antiqua"/>
        </w:rPr>
        <w:t xml:space="preserve">Some of the analyses will be focused on the subset of districts that includes only districts that did not transfer </w:t>
      </w:r>
      <w:proofErr w:type="gramStart"/>
      <w:r>
        <w:rPr>
          <w:rFonts w:eastAsia="Book Antiqua"/>
        </w:rPr>
        <w:t>all of</w:t>
      </w:r>
      <w:proofErr w:type="gramEnd"/>
      <w:r>
        <w:rPr>
          <w:rFonts w:eastAsia="Book Antiqua"/>
        </w:rPr>
        <w:t xml:space="preserve"> their Title IV-A funds to other programs</w:t>
      </w:r>
      <w:r w:rsidR="00D85EA6">
        <w:rPr>
          <w:rFonts w:eastAsia="Book Antiqua"/>
        </w:rPr>
        <w:t xml:space="preserve"> Given the assumptions in Exhibit 1 about the </w:t>
      </w:r>
      <w:r>
        <w:rPr>
          <w:rFonts w:eastAsia="Book Antiqua"/>
        </w:rPr>
        <w:t>percent of districts</w:t>
      </w:r>
      <w:r w:rsidR="00D85EA6">
        <w:rPr>
          <w:rFonts w:eastAsia="Book Antiqua"/>
        </w:rPr>
        <w:t xml:space="preserve"> that</w:t>
      </w:r>
      <w:r>
        <w:rPr>
          <w:rFonts w:eastAsia="Book Antiqua"/>
        </w:rPr>
        <w:t xml:space="preserve"> will have transferred all of their funds, this subset will be comprised of approximately </w:t>
      </w:r>
      <w:r w:rsidR="00D85EA6">
        <w:rPr>
          <w:rFonts w:eastAsia="Book Antiqua"/>
        </w:rPr>
        <w:t>736</w:t>
      </w:r>
      <w:r>
        <w:rPr>
          <w:rFonts w:eastAsia="Book Antiqua"/>
        </w:rPr>
        <w:t xml:space="preserve"> districts. The second row of Exhibit </w:t>
      </w:r>
      <w:r w:rsidR="00D85EA6">
        <w:rPr>
          <w:rFonts w:eastAsia="Book Antiqua"/>
        </w:rPr>
        <w:t>2</w:t>
      </w:r>
      <w:r>
        <w:rPr>
          <w:rFonts w:eastAsia="Book Antiqua"/>
        </w:rPr>
        <w:t xml:space="preserve"> shows the expected half-widths of 95 percent confidence intervals for the analyses of this subset of districts.</w:t>
      </w:r>
    </w:p>
    <w:p w:rsidR="006D192F" w:rsidP="006D192F" w:rsidRDefault="006D192F" w14:paraId="768800F7" w14:textId="77777777">
      <w:pPr>
        <w:pStyle w:val="Caption"/>
      </w:pPr>
      <w:bookmarkStart w:name="_Toc77597465" w:id="9"/>
      <w:r>
        <w:t xml:space="preserve">Exhibit </w:t>
      </w:r>
      <w:r w:rsidR="00D84568">
        <w:fldChar w:fldCharType="begin"/>
      </w:r>
      <w:r w:rsidR="00D84568">
        <w:instrText xml:space="preserve"> SEQ Exhibit \* ARABIC </w:instrText>
      </w:r>
      <w:r w:rsidR="00D84568">
        <w:fldChar w:fldCharType="separate"/>
      </w:r>
      <w:r>
        <w:rPr>
          <w:noProof/>
        </w:rPr>
        <w:t>2</w:t>
      </w:r>
      <w:r w:rsidR="00D84568">
        <w:rPr>
          <w:noProof/>
        </w:rPr>
        <w:fldChar w:fldCharType="end"/>
      </w:r>
      <w:r>
        <w:t xml:space="preserve">. </w:t>
      </w:r>
      <w:r w:rsidRPr="006D192F">
        <w:rPr>
          <w:rFonts w:eastAsia="Book Antiqua"/>
        </w:rPr>
        <w:t xml:space="preserve">Expected Sample Sizes and </w:t>
      </w:r>
      <w:proofErr w:type="spellStart"/>
      <w:r w:rsidRPr="006D192F">
        <w:rPr>
          <w:rFonts w:eastAsia="Book Antiqua"/>
        </w:rPr>
        <w:t>Estimated</w:t>
      </w:r>
      <w:r w:rsidRPr="006D192F">
        <w:rPr>
          <w:rFonts w:eastAsia="Book Antiqua"/>
          <w:vertAlign w:val="superscript"/>
        </w:rPr>
        <w:t>a</w:t>
      </w:r>
      <w:proofErr w:type="spellEnd"/>
      <w:r w:rsidRPr="006D192F">
        <w:rPr>
          <w:rFonts w:eastAsia="Book Antiqua"/>
        </w:rPr>
        <w:t xml:space="preserve"> Precision for Full Sample and Subsample</w:t>
      </w:r>
      <w:bookmarkEnd w:id="9"/>
    </w:p>
    <w:tbl>
      <w:tblPr>
        <w:tblStyle w:val="TableGrid"/>
        <w:tblW w:w="0" w:type="auto"/>
        <w:tblLook w:val="04A0" w:firstRow="1" w:lastRow="0" w:firstColumn="1" w:lastColumn="0" w:noHBand="0" w:noVBand="1"/>
      </w:tblPr>
      <w:tblGrid>
        <w:gridCol w:w="1795"/>
        <w:gridCol w:w="1159"/>
        <w:gridCol w:w="1159"/>
        <w:gridCol w:w="1631"/>
        <w:gridCol w:w="1724"/>
        <w:gridCol w:w="1615"/>
      </w:tblGrid>
      <w:tr w:rsidRPr="003E43F8" w:rsidR="00E34207" w:rsidTr="004B6600" w14:paraId="0563F165" w14:textId="77777777">
        <w:tc>
          <w:tcPr>
            <w:tcW w:w="1795" w:type="dxa"/>
            <w:vMerge w:val="restart"/>
            <w:shd w:val="clear" w:color="auto" w:fill="C3C6A8" w:themeFill="accent4"/>
            <w:vAlign w:val="bottom"/>
          </w:tcPr>
          <w:p w:rsidRPr="0028320A" w:rsidR="00E34207" w:rsidP="008A4E1D" w:rsidRDefault="00E34207" w14:paraId="5A99FA0A" w14:textId="77777777">
            <w:pPr>
              <w:pStyle w:val="ExhibitColumnHeader"/>
              <w:keepNext/>
              <w:rPr>
                <w:rFonts w:ascii="Arial Narrow" w:hAnsi="Arial Narrow"/>
              </w:rPr>
            </w:pPr>
            <w:r w:rsidRPr="0028320A">
              <w:rPr>
                <w:rFonts w:ascii="Arial Narrow" w:hAnsi="Arial Narrow"/>
              </w:rPr>
              <w:t>Sample</w:t>
            </w:r>
          </w:p>
        </w:tc>
        <w:tc>
          <w:tcPr>
            <w:tcW w:w="1159" w:type="dxa"/>
            <w:vMerge w:val="restart"/>
            <w:shd w:val="clear" w:color="auto" w:fill="C3C6A8" w:themeFill="accent4"/>
            <w:vAlign w:val="bottom"/>
          </w:tcPr>
          <w:p w:rsidRPr="0028320A" w:rsidR="00E34207" w:rsidP="008A4E1D" w:rsidRDefault="00E34207" w14:paraId="601A4AA4" w14:textId="77777777">
            <w:pPr>
              <w:pStyle w:val="ExhibitColumnHeader"/>
              <w:keepNext/>
              <w:rPr>
                <w:rFonts w:ascii="Arial Narrow" w:hAnsi="Arial Narrow"/>
              </w:rPr>
            </w:pPr>
            <w:r w:rsidRPr="0028320A">
              <w:rPr>
                <w:rFonts w:ascii="Arial Narrow" w:hAnsi="Arial Narrow"/>
              </w:rPr>
              <w:t>Expected Number Sampled</w:t>
            </w:r>
          </w:p>
        </w:tc>
        <w:tc>
          <w:tcPr>
            <w:tcW w:w="1159" w:type="dxa"/>
            <w:vMerge w:val="restart"/>
            <w:shd w:val="clear" w:color="auto" w:fill="C3C6A8" w:themeFill="accent4"/>
            <w:vAlign w:val="bottom"/>
          </w:tcPr>
          <w:p w:rsidRPr="0028320A" w:rsidR="00E34207" w:rsidP="008A4E1D" w:rsidRDefault="00E34207" w14:paraId="6BAE5CD4" w14:textId="77777777">
            <w:pPr>
              <w:pStyle w:val="ExhibitColumnHeader"/>
              <w:keepNext/>
              <w:rPr>
                <w:rFonts w:ascii="Arial Narrow" w:hAnsi="Arial Narrow"/>
              </w:rPr>
            </w:pPr>
            <w:r w:rsidRPr="0028320A">
              <w:rPr>
                <w:rFonts w:ascii="Arial Narrow" w:hAnsi="Arial Narrow"/>
              </w:rPr>
              <w:t>Expected Number in Analytic Sample</w:t>
            </w:r>
          </w:p>
        </w:tc>
        <w:tc>
          <w:tcPr>
            <w:tcW w:w="4970" w:type="dxa"/>
            <w:gridSpan w:val="3"/>
            <w:shd w:val="clear" w:color="auto" w:fill="C3C6A8" w:themeFill="accent4"/>
            <w:vAlign w:val="bottom"/>
          </w:tcPr>
          <w:p w:rsidRPr="0028320A" w:rsidR="00E34207" w:rsidP="008A4E1D" w:rsidRDefault="00E34207" w14:paraId="1B2C1665" w14:textId="77777777">
            <w:pPr>
              <w:pStyle w:val="ExhibitColumnHeader"/>
              <w:keepNext/>
              <w:rPr>
                <w:rFonts w:ascii="Arial Narrow" w:hAnsi="Arial Narrow"/>
              </w:rPr>
            </w:pPr>
            <w:r w:rsidRPr="0028320A">
              <w:rPr>
                <w:rFonts w:ascii="Arial Narrow" w:hAnsi="Arial Narrow"/>
              </w:rPr>
              <w:t>95% Confidence Interval Half Width</w:t>
            </w:r>
          </w:p>
        </w:tc>
      </w:tr>
      <w:tr w:rsidRPr="003E43F8" w:rsidR="00E34207" w:rsidTr="004B6600" w14:paraId="25858E2C" w14:textId="77777777">
        <w:tc>
          <w:tcPr>
            <w:tcW w:w="1795" w:type="dxa"/>
            <w:vMerge/>
            <w:shd w:val="clear" w:color="auto" w:fill="C3C6A8" w:themeFill="accent4"/>
            <w:vAlign w:val="bottom"/>
          </w:tcPr>
          <w:p w:rsidRPr="0028320A" w:rsidR="00E34207" w:rsidP="008A4E1D" w:rsidRDefault="00E34207" w14:paraId="663054DB" w14:textId="77777777">
            <w:pPr>
              <w:pStyle w:val="ExhibitColumnHeader"/>
              <w:keepNext/>
              <w:rPr>
                <w:rFonts w:ascii="Arial Narrow" w:hAnsi="Arial Narrow"/>
              </w:rPr>
            </w:pPr>
          </w:p>
        </w:tc>
        <w:tc>
          <w:tcPr>
            <w:tcW w:w="1159" w:type="dxa"/>
            <w:vMerge/>
            <w:shd w:val="clear" w:color="auto" w:fill="C3C6A8" w:themeFill="accent4"/>
            <w:vAlign w:val="bottom"/>
          </w:tcPr>
          <w:p w:rsidRPr="0028320A" w:rsidR="00E34207" w:rsidP="008A4E1D" w:rsidRDefault="00E34207" w14:paraId="673432FE" w14:textId="77777777">
            <w:pPr>
              <w:pStyle w:val="ExhibitColumnHeader"/>
              <w:keepNext/>
              <w:rPr>
                <w:rFonts w:ascii="Arial Narrow" w:hAnsi="Arial Narrow"/>
              </w:rPr>
            </w:pPr>
          </w:p>
        </w:tc>
        <w:tc>
          <w:tcPr>
            <w:tcW w:w="1159" w:type="dxa"/>
            <w:vMerge/>
            <w:shd w:val="clear" w:color="auto" w:fill="C3C6A8" w:themeFill="accent4"/>
            <w:vAlign w:val="bottom"/>
          </w:tcPr>
          <w:p w:rsidRPr="0028320A" w:rsidR="00E34207" w:rsidP="008A4E1D" w:rsidRDefault="00E34207" w14:paraId="58952785" w14:textId="77777777">
            <w:pPr>
              <w:pStyle w:val="ExhibitColumnHeader"/>
              <w:keepNext/>
              <w:rPr>
                <w:rFonts w:ascii="Arial Narrow" w:hAnsi="Arial Narrow"/>
              </w:rPr>
            </w:pPr>
          </w:p>
        </w:tc>
        <w:tc>
          <w:tcPr>
            <w:tcW w:w="1631" w:type="dxa"/>
            <w:shd w:val="clear" w:color="auto" w:fill="C3C6A8" w:themeFill="accent4"/>
            <w:vAlign w:val="bottom"/>
          </w:tcPr>
          <w:p w:rsidRPr="0028320A" w:rsidR="00E34207" w:rsidP="008A4E1D" w:rsidRDefault="00E34207" w14:paraId="6D19ECB6" w14:textId="77777777">
            <w:pPr>
              <w:pStyle w:val="ExhibitColumnHeader"/>
              <w:keepNext/>
              <w:rPr>
                <w:rFonts w:ascii="Arial Narrow" w:hAnsi="Arial Narrow"/>
              </w:rPr>
            </w:pPr>
            <w:r w:rsidRPr="0028320A">
              <w:rPr>
                <w:rFonts w:ascii="Arial Narrow" w:hAnsi="Arial Narrow"/>
              </w:rPr>
              <w:t>Continuous measures</w:t>
            </w:r>
          </w:p>
          <w:p w:rsidRPr="0028320A" w:rsidR="00E34207" w:rsidP="008A4E1D" w:rsidRDefault="00E34207" w14:paraId="169AE254" w14:textId="77777777">
            <w:pPr>
              <w:pStyle w:val="ExhibitColumnHeader"/>
              <w:keepNext/>
              <w:rPr>
                <w:rFonts w:ascii="Arial Narrow" w:hAnsi="Arial Narrow"/>
              </w:rPr>
            </w:pPr>
            <w:r w:rsidRPr="0028320A">
              <w:rPr>
                <w:rFonts w:ascii="Arial Narrow" w:hAnsi="Arial Narrow"/>
              </w:rPr>
              <w:t>(SD Units)</w:t>
            </w:r>
            <w:r w:rsidRPr="0028320A" w:rsidR="0028320A">
              <w:rPr>
                <w:rFonts w:ascii="Arial Narrow" w:hAnsi="Arial Narrow"/>
                <w:vertAlign w:val="superscript"/>
              </w:rPr>
              <w:t xml:space="preserve"> b</w:t>
            </w:r>
          </w:p>
        </w:tc>
        <w:tc>
          <w:tcPr>
            <w:tcW w:w="1724" w:type="dxa"/>
            <w:shd w:val="clear" w:color="auto" w:fill="C3C6A8" w:themeFill="accent4"/>
            <w:vAlign w:val="bottom"/>
          </w:tcPr>
          <w:p w:rsidRPr="0028320A" w:rsidR="00E34207" w:rsidP="008A4E1D" w:rsidRDefault="00E34207" w14:paraId="4EE96CAF" w14:textId="77777777">
            <w:pPr>
              <w:pStyle w:val="ExhibitColumnHeader"/>
              <w:keepNext/>
              <w:rPr>
                <w:rFonts w:ascii="Arial Narrow" w:hAnsi="Arial Narrow"/>
              </w:rPr>
            </w:pPr>
            <w:r w:rsidRPr="0028320A">
              <w:rPr>
                <w:rFonts w:ascii="Arial Narrow" w:hAnsi="Arial Narrow"/>
              </w:rPr>
              <w:t>Binary measures</w:t>
            </w:r>
          </w:p>
          <w:p w:rsidRPr="0028320A" w:rsidR="00E34207" w:rsidP="008A4E1D" w:rsidRDefault="00E34207" w14:paraId="6BFB49F1" w14:textId="77777777">
            <w:pPr>
              <w:pStyle w:val="ExhibitColumnHeader"/>
              <w:keepNext/>
              <w:rPr>
                <w:rFonts w:ascii="Arial Narrow" w:hAnsi="Arial Narrow"/>
              </w:rPr>
            </w:pPr>
            <w:r w:rsidRPr="0028320A">
              <w:rPr>
                <w:rFonts w:ascii="Arial Narrow" w:hAnsi="Arial Narrow"/>
              </w:rPr>
              <w:t>P=50%</w:t>
            </w:r>
            <w:r w:rsidRPr="0028320A">
              <w:rPr>
                <w:rFonts w:ascii="Arial Narrow" w:hAnsi="Arial Narrow"/>
                <w:vertAlign w:val="superscript"/>
              </w:rPr>
              <w:t xml:space="preserve"> </w:t>
            </w:r>
          </w:p>
          <w:p w:rsidRPr="0028320A" w:rsidR="00E34207" w:rsidP="008A4E1D" w:rsidRDefault="00E34207" w14:paraId="2250909F" w14:textId="77777777">
            <w:pPr>
              <w:pStyle w:val="ExhibitColumnHeader"/>
              <w:keepNext/>
              <w:rPr>
                <w:rFonts w:ascii="Arial Narrow" w:hAnsi="Arial Narrow"/>
              </w:rPr>
            </w:pPr>
            <w:r w:rsidRPr="0028320A">
              <w:rPr>
                <w:rFonts w:ascii="Arial Narrow" w:hAnsi="Arial Narrow"/>
              </w:rPr>
              <w:t>(Percentage Points)</w:t>
            </w:r>
            <w:r w:rsidR="0028320A">
              <w:rPr>
                <w:rFonts w:ascii="Arial Narrow" w:hAnsi="Arial Narrow"/>
              </w:rPr>
              <w:t xml:space="preserve"> </w:t>
            </w:r>
            <w:r w:rsidRPr="0028320A" w:rsidR="0028320A">
              <w:rPr>
                <w:rFonts w:ascii="Arial Narrow" w:hAnsi="Arial Narrow"/>
                <w:vertAlign w:val="superscript"/>
              </w:rPr>
              <w:t>c</w:t>
            </w:r>
          </w:p>
        </w:tc>
        <w:tc>
          <w:tcPr>
            <w:tcW w:w="1615" w:type="dxa"/>
            <w:shd w:val="clear" w:color="auto" w:fill="C3C6A8" w:themeFill="accent4"/>
          </w:tcPr>
          <w:p w:rsidRPr="0028320A" w:rsidR="00E34207" w:rsidP="008A4E1D" w:rsidRDefault="00E34207" w14:paraId="07C8F729" w14:textId="77777777">
            <w:pPr>
              <w:pStyle w:val="ExhibitColumnHeader"/>
              <w:keepNext/>
              <w:rPr>
                <w:rFonts w:ascii="Arial Narrow" w:hAnsi="Arial Narrow"/>
              </w:rPr>
            </w:pPr>
            <w:r w:rsidRPr="0028320A">
              <w:rPr>
                <w:rFonts w:ascii="Arial Narrow" w:hAnsi="Arial Narrow"/>
              </w:rPr>
              <w:t>Binary measures</w:t>
            </w:r>
          </w:p>
          <w:p w:rsidRPr="0028320A" w:rsidR="00E34207" w:rsidP="008A4E1D" w:rsidRDefault="00E34207" w14:paraId="43BE99BD" w14:textId="77777777">
            <w:pPr>
              <w:pStyle w:val="ExhibitColumnHeader"/>
              <w:keepNext/>
              <w:rPr>
                <w:rFonts w:ascii="Arial Narrow" w:hAnsi="Arial Narrow"/>
              </w:rPr>
            </w:pPr>
            <w:r w:rsidRPr="0028320A">
              <w:rPr>
                <w:rFonts w:ascii="Arial Narrow" w:hAnsi="Arial Narrow"/>
              </w:rPr>
              <w:t>P=20%</w:t>
            </w:r>
            <w:r w:rsidRPr="0028320A">
              <w:rPr>
                <w:rFonts w:ascii="Arial Narrow" w:hAnsi="Arial Narrow"/>
                <w:vertAlign w:val="superscript"/>
              </w:rPr>
              <w:t xml:space="preserve"> </w:t>
            </w:r>
          </w:p>
          <w:p w:rsidRPr="0028320A" w:rsidR="00E34207" w:rsidP="008A4E1D" w:rsidRDefault="00E34207" w14:paraId="021CCA32" w14:textId="77777777">
            <w:pPr>
              <w:pStyle w:val="ExhibitColumnHeader"/>
              <w:keepNext/>
              <w:rPr>
                <w:rFonts w:ascii="Arial Narrow" w:hAnsi="Arial Narrow"/>
              </w:rPr>
            </w:pPr>
            <w:r w:rsidRPr="0028320A">
              <w:rPr>
                <w:rFonts w:ascii="Arial Narrow" w:hAnsi="Arial Narrow"/>
              </w:rPr>
              <w:t>(Percentage Points)</w:t>
            </w:r>
            <w:r w:rsidRPr="0028320A" w:rsidR="0028320A">
              <w:rPr>
                <w:rFonts w:ascii="Arial Narrow" w:hAnsi="Arial Narrow"/>
                <w:vertAlign w:val="superscript"/>
              </w:rPr>
              <w:t xml:space="preserve"> d</w:t>
            </w:r>
          </w:p>
        </w:tc>
      </w:tr>
      <w:tr w:rsidRPr="003E43F8" w:rsidR="00460F8E" w:rsidTr="004B6600" w14:paraId="279EE9C1" w14:textId="77777777">
        <w:tc>
          <w:tcPr>
            <w:tcW w:w="1795" w:type="dxa"/>
          </w:tcPr>
          <w:p w:rsidRPr="0028320A" w:rsidR="00460F8E" w:rsidP="00460F8E" w:rsidRDefault="00460F8E" w14:paraId="0FABF5B2" w14:textId="77777777">
            <w:pPr>
              <w:pStyle w:val="ExhibitText"/>
              <w:keepNext/>
              <w:rPr>
                <w:rFonts w:ascii="Arial Narrow" w:hAnsi="Arial Narrow"/>
              </w:rPr>
            </w:pPr>
            <w:r w:rsidRPr="0028320A">
              <w:rPr>
                <w:rFonts w:ascii="Arial Narrow" w:hAnsi="Arial Narrow"/>
              </w:rPr>
              <w:t>Full Sample</w:t>
            </w:r>
          </w:p>
        </w:tc>
        <w:tc>
          <w:tcPr>
            <w:tcW w:w="1159" w:type="dxa"/>
          </w:tcPr>
          <w:p w:rsidRPr="0028320A" w:rsidR="00460F8E" w:rsidP="00460F8E" w:rsidRDefault="00460F8E" w14:paraId="52FD71A0" w14:textId="77777777">
            <w:pPr>
              <w:pStyle w:val="ExhibitText"/>
              <w:keepNext/>
              <w:jc w:val="center"/>
              <w:rPr>
                <w:rFonts w:ascii="Arial Narrow" w:hAnsi="Arial Narrow"/>
              </w:rPr>
            </w:pPr>
            <w:r w:rsidRPr="0028320A">
              <w:rPr>
                <w:rFonts w:ascii="Arial Narrow" w:hAnsi="Arial Narrow"/>
              </w:rPr>
              <w:t>1,135</w:t>
            </w:r>
          </w:p>
        </w:tc>
        <w:tc>
          <w:tcPr>
            <w:tcW w:w="1159" w:type="dxa"/>
          </w:tcPr>
          <w:p w:rsidRPr="0028320A" w:rsidR="00460F8E" w:rsidP="00460F8E" w:rsidRDefault="00460F8E" w14:paraId="5FFCD74C" w14:textId="77777777">
            <w:pPr>
              <w:pStyle w:val="ExhibitText"/>
              <w:keepNext/>
              <w:jc w:val="center"/>
              <w:rPr>
                <w:rFonts w:ascii="Arial Narrow" w:hAnsi="Arial Narrow"/>
              </w:rPr>
            </w:pPr>
            <w:r w:rsidRPr="0028320A">
              <w:rPr>
                <w:rFonts w:ascii="Arial Narrow" w:hAnsi="Arial Narrow"/>
              </w:rPr>
              <w:t>965</w:t>
            </w:r>
          </w:p>
        </w:tc>
        <w:tc>
          <w:tcPr>
            <w:tcW w:w="1631" w:type="dxa"/>
          </w:tcPr>
          <w:p w:rsidRPr="0028320A" w:rsidR="00460F8E" w:rsidP="00460F8E" w:rsidRDefault="00460F8E" w14:paraId="01DC6617" w14:textId="77777777">
            <w:pPr>
              <w:pStyle w:val="ExhibitText"/>
              <w:keepNext/>
              <w:jc w:val="center"/>
              <w:rPr>
                <w:rFonts w:ascii="Arial Narrow" w:hAnsi="Arial Narrow"/>
              </w:rPr>
            </w:pPr>
            <w:r w:rsidRPr="0028320A">
              <w:rPr>
                <w:rFonts w:ascii="Arial Narrow" w:hAnsi="Arial Narrow"/>
              </w:rPr>
              <w:t>±0.0</w:t>
            </w:r>
            <w:r w:rsidRPr="0028320A" w:rsidR="00B55F40">
              <w:rPr>
                <w:rFonts w:ascii="Arial Narrow" w:hAnsi="Arial Narrow"/>
              </w:rPr>
              <w:t>6</w:t>
            </w:r>
          </w:p>
        </w:tc>
        <w:tc>
          <w:tcPr>
            <w:tcW w:w="1724" w:type="dxa"/>
            <w:shd w:val="clear" w:color="auto" w:fill="auto"/>
          </w:tcPr>
          <w:p w:rsidRPr="0028320A" w:rsidR="00460F8E" w:rsidP="00460F8E" w:rsidRDefault="00460F8E" w14:paraId="7F452DE9" w14:textId="77777777">
            <w:pPr>
              <w:pStyle w:val="ExhibitText"/>
              <w:keepNext/>
              <w:jc w:val="center"/>
              <w:rPr>
                <w:rFonts w:ascii="Arial Narrow" w:hAnsi="Arial Narrow"/>
              </w:rPr>
            </w:pPr>
            <w:r w:rsidRPr="0028320A">
              <w:rPr>
                <w:rFonts w:ascii="Arial Narrow" w:hAnsi="Arial Narrow"/>
              </w:rPr>
              <w:t>±3.</w:t>
            </w:r>
            <w:r w:rsidRPr="0028320A" w:rsidR="00B55F40">
              <w:rPr>
                <w:rFonts w:ascii="Arial Narrow" w:hAnsi="Arial Narrow"/>
              </w:rPr>
              <w:t>1</w:t>
            </w:r>
          </w:p>
        </w:tc>
        <w:tc>
          <w:tcPr>
            <w:tcW w:w="1615" w:type="dxa"/>
          </w:tcPr>
          <w:p w:rsidRPr="0028320A" w:rsidR="00460F8E" w:rsidP="00460F8E" w:rsidRDefault="00460F8E" w14:paraId="1BFF2E46" w14:textId="77777777">
            <w:pPr>
              <w:pStyle w:val="ExhibitText"/>
              <w:keepNext/>
              <w:jc w:val="center"/>
              <w:rPr>
                <w:rFonts w:ascii="Arial Narrow" w:hAnsi="Arial Narrow"/>
              </w:rPr>
            </w:pPr>
            <w:r w:rsidRPr="0028320A">
              <w:rPr>
                <w:rFonts w:ascii="Arial Narrow" w:hAnsi="Arial Narrow"/>
              </w:rPr>
              <w:t>±2.</w:t>
            </w:r>
            <w:r w:rsidRPr="0028320A" w:rsidR="00B55F40">
              <w:rPr>
                <w:rFonts w:ascii="Arial Narrow" w:hAnsi="Arial Narrow"/>
              </w:rPr>
              <w:t>5</w:t>
            </w:r>
          </w:p>
        </w:tc>
      </w:tr>
      <w:tr w:rsidRPr="003E43F8" w:rsidR="00460F8E" w:rsidTr="004B6600" w14:paraId="58704BAE" w14:textId="77777777">
        <w:tc>
          <w:tcPr>
            <w:tcW w:w="1795" w:type="dxa"/>
          </w:tcPr>
          <w:p w:rsidRPr="0028320A" w:rsidR="00460F8E" w:rsidP="00460F8E" w:rsidRDefault="00460F8E" w14:paraId="167A5F0B" w14:textId="77777777">
            <w:pPr>
              <w:pStyle w:val="ExhibitText"/>
              <w:keepNext/>
              <w:rPr>
                <w:rFonts w:ascii="Arial Narrow" w:hAnsi="Arial Narrow"/>
              </w:rPr>
            </w:pPr>
            <w:r w:rsidRPr="0028320A">
              <w:rPr>
                <w:rFonts w:ascii="Arial Narrow" w:hAnsi="Arial Narrow"/>
              </w:rPr>
              <w:t>Sub-sample: Districts that did not transfer all Title IV-A funds</w:t>
            </w:r>
          </w:p>
        </w:tc>
        <w:tc>
          <w:tcPr>
            <w:tcW w:w="1159" w:type="dxa"/>
          </w:tcPr>
          <w:p w:rsidRPr="0028320A" w:rsidR="00460F8E" w:rsidP="00460F8E" w:rsidRDefault="00460F8E" w14:paraId="6F9CD8DF" w14:textId="77777777">
            <w:pPr>
              <w:pStyle w:val="ExhibitText"/>
              <w:keepNext/>
              <w:jc w:val="center"/>
              <w:rPr>
                <w:rFonts w:ascii="Arial Narrow" w:hAnsi="Arial Narrow"/>
              </w:rPr>
            </w:pPr>
            <w:r w:rsidRPr="0028320A">
              <w:rPr>
                <w:rFonts w:ascii="Arial Narrow" w:hAnsi="Arial Narrow"/>
              </w:rPr>
              <w:t>1,135</w:t>
            </w:r>
          </w:p>
        </w:tc>
        <w:tc>
          <w:tcPr>
            <w:tcW w:w="1159" w:type="dxa"/>
          </w:tcPr>
          <w:p w:rsidRPr="0028320A" w:rsidR="00460F8E" w:rsidP="00460F8E" w:rsidRDefault="00460F8E" w14:paraId="6F38E5D5" w14:textId="77777777">
            <w:pPr>
              <w:pStyle w:val="ExhibitText"/>
              <w:keepNext/>
              <w:jc w:val="center"/>
              <w:rPr>
                <w:rFonts w:ascii="Arial Narrow" w:hAnsi="Arial Narrow"/>
              </w:rPr>
            </w:pPr>
            <w:r w:rsidRPr="0028320A">
              <w:rPr>
                <w:rFonts w:ascii="Arial Narrow" w:hAnsi="Arial Narrow"/>
              </w:rPr>
              <w:t>73</w:t>
            </w:r>
            <w:r w:rsidR="00FE4E43">
              <w:rPr>
                <w:rFonts w:ascii="Arial Narrow" w:hAnsi="Arial Narrow"/>
              </w:rPr>
              <w:t>9</w:t>
            </w:r>
          </w:p>
        </w:tc>
        <w:tc>
          <w:tcPr>
            <w:tcW w:w="1631" w:type="dxa"/>
          </w:tcPr>
          <w:p w:rsidRPr="0028320A" w:rsidR="00460F8E" w:rsidP="00460F8E" w:rsidRDefault="00460F8E" w14:paraId="74D62246" w14:textId="77777777">
            <w:pPr>
              <w:pStyle w:val="ExhibitText"/>
              <w:keepNext/>
              <w:jc w:val="center"/>
              <w:rPr>
                <w:rFonts w:ascii="Arial Narrow" w:hAnsi="Arial Narrow"/>
              </w:rPr>
            </w:pPr>
            <w:r w:rsidRPr="0028320A">
              <w:rPr>
                <w:rFonts w:ascii="Arial Narrow" w:hAnsi="Arial Narrow"/>
              </w:rPr>
              <w:t>±0.0</w:t>
            </w:r>
            <w:r w:rsidRPr="0028320A" w:rsidR="00B55F40">
              <w:rPr>
                <w:rFonts w:ascii="Arial Narrow" w:hAnsi="Arial Narrow"/>
              </w:rPr>
              <w:t>7</w:t>
            </w:r>
          </w:p>
        </w:tc>
        <w:tc>
          <w:tcPr>
            <w:tcW w:w="1724" w:type="dxa"/>
            <w:shd w:val="clear" w:color="auto" w:fill="auto"/>
          </w:tcPr>
          <w:p w:rsidRPr="0028320A" w:rsidR="00460F8E" w:rsidP="00460F8E" w:rsidRDefault="00460F8E" w14:paraId="55EDC80C" w14:textId="77777777">
            <w:pPr>
              <w:pStyle w:val="ExhibitText"/>
              <w:keepNext/>
              <w:jc w:val="center"/>
              <w:rPr>
                <w:rFonts w:ascii="Arial Narrow" w:hAnsi="Arial Narrow"/>
              </w:rPr>
            </w:pPr>
            <w:r w:rsidRPr="0028320A">
              <w:rPr>
                <w:rFonts w:ascii="Arial Narrow" w:hAnsi="Arial Narrow"/>
              </w:rPr>
              <w:t>±</w:t>
            </w:r>
            <w:r w:rsidRPr="0028320A" w:rsidR="00B55F40">
              <w:rPr>
                <w:rFonts w:ascii="Arial Narrow" w:hAnsi="Arial Narrow"/>
              </w:rPr>
              <w:t>3.6</w:t>
            </w:r>
          </w:p>
        </w:tc>
        <w:tc>
          <w:tcPr>
            <w:tcW w:w="1615" w:type="dxa"/>
          </w:tcPr>
          <w:p w:rsidRPr="0028320A" w:rsidR="00460F8E" w:rsidP="00460F8E" w:rsidRDefault="00460F8E" w14:paraId="1E204E80" w14:textId="77777777">
            <w:pPr>
              <w:pStyle w:val="ExhibitText"/>
              <w:keepNext/>
              <w:jc w:val="center"/>
              <w:rPr>
                <w:rFonts w:ascii="Arial Narrow" w:hAnsi="Arial Narrow"/>
              </w:rPr>
            </w:pPr>
            <w:r w:rsidRPr="0028320A">
              <w:rPr>
                <w:rFonts w:ascii="Arial Narrow" w:hAnsi="Arial Narrow"/>
              </w:rPr>
              <w:t>±</w:t>
            </w:r>
            <w:r w:rsidRPr="0028320A" w:rsidR="00B55F40">
              <w:rPr>
                <w:rFonts w:ascii="Arial Narrow" w:hAnsi="Arial Narrow"/>
              </w:rPr>
              <w:t>2</w:t>
            </w:r>
            <w:r w:rsidRPr="0028320A">
              <w:rPr>
                <w:rFonts w:ascii="Arial Narrow" w:hAnsi="Arial Narrow"/>
              </w:rPr>
              <w:t>.</w:t>
            </w:r>
            <w:r w:rsidRPr="0028320A" w:rsidR="00B55F40">
              <w:rPr>
                <w:rFonts w:ascii="Arial Narrow" w:hAnsi="Arial Narrow"/>
              </w:rPr>
              <w:t>9</w:t>
            </w:r>
          </w:p>
        </w:tc>
      </w:tr>
    </w:tbl>
    <w:p w:rsidR="00460F8E" w:rsidP="00460F8E" w:rsidRDefault="00E34207" w14:paraId="6714417A" w14:textId="77777777">
      <w:pPr>
        <w:pStyle w:val="ExhibitSource"/>
        <w:keepNext/>
        <w:spacing w:before="0" w:after="0"/>
        <w:rPr>
          <w:rFonts w:ascii="Arial Narrow" w:hAnsi="Arial Narrow"/>
          <w:vertAlign w:val="superscript"/>
        </w:rPr>
      </w:pPr>
      <w:r>
        <w:rPr>
          <w:rFonts w:ascii="Arial Narrow" w:hAnsi="Arial Narrow"/>
          <w:vertAlign w:val="superscript"/>
        </w:rPr>
        <w:t>a</w:t>
      </w:r>
      <w:r>
        <w:rPr>
          <w:rFonts w:ascii="Arial Narrow" w:hAnsi="Arial Narrow"/>
        </w:rPr>
        <w:t xml:space="preserve"> Precision </w:t>
      </w:r>
      <w:r w:rsidR="00460F8E">
        <w:rPr>
          <w:rFonts w:ascii="Arial Narrow" w:hAnsi="Arial Narrow"/>
        </w:rPr>
        <w:t xml:space="preserve">using the sample assumptions in Exhibit 1. </w:t>
      </w:r>
    </w:p>
    <w:p w:rsidR="00E34207" w:rsidP="00E34207" w:rsidRDefault="00E34207" w14:paraId="0F20DB69" w14:textId="77777777">
      <w:pPr>
        <w:pStyle w:val="ExhibitSource"/>
        <w:keepNext/>
        <w:spacing w:before="0" w:after="0"/>
        <w:rPr>
          <w:rFonts w:ascii="Arial Narrow" w:hAnsi="Arial Narrow"/>
        </w:rPr>
      </w:pPr>
      <w:r>
        <w:rPr>
          <w:rFonts w:ascii="Arial Narrow" w:hAnsi="Arial Narrow"/>
          <w:vertAlign w:val="superscript"/>
        </w:rPr>
        <w:t>b</w:t>
      </w:r>
      <w:r>
        <w:rPr>
          <w:rFonts w:ascii="Arial Narrow" w:hAnsi="Arial Narrow"/>
        </w:rPr>
        <w:t xml:space="preserve"> Measured in standard deviation units</w:t>
      </w:r>
      <w:r w:rsidRPr="003E43F8">
        <w:rPr>
          <w:rFonts w:ascii="Arial Narrow" w:hAnsi="Arial Narrow"/>
        </w:rPr>
        <w:t>.</w:t>
      </w:r>
    </w:p>
    <w:p w:rsidRPr="003E43F8" w:rsidR="00E34207" w:rsidP="00E34207" w:rsidRDefault="00E34207" w14:paraId="7A8E08CF" w14:textId="77777777">
      <w:pPr>
        <w:pStyle w:val="ExhibitSource"/>
        <w:keepNext/>
        <w:spacing w:before="0" w:after="0"/>
        <w:rPr>
          <w:rFonts w:ascii="Arial Narrow" w:hAnsi="Arial Narrow"/>
        </w:rPr>
      </w:pPr>
      <w:r>
        <w:rPr>
          <w:rFonts w:ascii="Arial Narrow" w:hAnsi="Arial Narrow"/>
          <w:vertAlign w:val="superscript"/>
        </w:rPr>
        <w:t>c</w:t>
      </w:r>
      <w:r w:rsidRPr="003E43F8">
        <w:rPr>
          <w:rFonts w:ascii="Arial Narrow" w:hAnsi="Arial Narrow"/>
        </w:rPr>
        <w:t xml:space="preserve"> </w:t>
      </w:r>
      <w:proofErr w:type="gramStart"/>
      <w:r w:rsidRPr="003E43F8">
        <w:rPr>
          <w:rFonts w:ascii="Arial Narrow" w:hAnsi="Arial Narrow"/>
        </w:rPr>
        <w:t>For</w:t>
      </w:r>
      <w:proofErr w:type="gramEnd"/>
      <w:r w:rsidRPr="003E43F8">
        <w:rPr>
          <w:rFonts w:ascii="Arial Narrow" w:hAnsi="Arial Narrow"/>
        </w:rPr>
        <w:t xml:space="preserve"> an estimated percentage of 50%.</w:t>
      </w:r>
    </w:p>
    <w:p w:rsidR="00E34207" w:rsidP="00E34207" w:rsidRDefault="00E34207" w14:paraId="35F4D9D9" w14:textId="77777777">
      <w:pPr>
        <w:pStyle w:val="ExhibitSource"/>
        <w:keepNext/>
        <w:spacing w:before="0" w:after="0"/>
        <w:rPr>
          <w:rFonts w:ascii="Arial Narrow" w:hAnsi="Arial Narrow"/>
        </w:rPr>
      </w:pPr>
      <w:r>
        <w:rPr>
          <w:rFonts w:ascii="Arial Narrow" w:hAnsi="Arial Narrow"/>
          <w:vertAlign w:val="superscript"/>
        </w:rPr>
        <w:t>d</w:t>
      </w:r>
      <w:r w:rsidRPr="003E43F8">
        <w:rPr>
          <w:rFonts w:ascii="Arial Narrow" w:hAnsi="Arial Narrow"/>
        </w:rPr>
        <w:t xml:space="preserve"> </w:t>
      </w:r>
      <w:proofErr w:type="gramStart"/>
      <w:r w:rsidRPr="003E43F8">
        <w:rPr>
          <w:rFonts w:ascii="Arial Narrow" w:hAnsi="Arial Narrow"/>
        </w:rPr>
        <w:t>For</w:t>
      </w:r>
      <w:proofErr w:type="gramEnd"/>
      <w:r w:rsidRPr="003E43F8">
        <w:rPr>
          <w:rFonts w:ascii="Arial Narrow" w:hAnsi="Arial Narrow"/>
        </w:rPr>
        <w:t xml:space="preserve"> an estimated percentage of </w:t>
      </w:r>
      <w:r>
        <w:rPr>
          <w:rFonts w:ascii="Arial Narrow" w:hAnsi="Arial Narrow"/>
        </w:rPr>
        <w:t>2</w:t>
      </w:r>
      <w:r w:rsidRPr="003E43F8">
        <w:rPr>
          <w:rFonts w:ascii="Arial Narrow" w:hAnsi="Arial Narrow"/>
        </w:rPr>
        <w:t>0%.</w:t>
      </w:r>
    </w:p>
    <w:p w:rsidR="00E34207" w:rsidP="00E34207" w:rsidRDefault="00E34207" w14:paraId="0D561BFF" w14:textId="77777777">
      <w:pPr>
        <w:spacing w:after="0"/>
      </w:pPr>
    </w:p>
    <w:p w:rsidRPr="00E9404B" w:rsidR="00E34207" w:rsidP="0079714C" w:rsidRDefault="00E34207" w14:paraId="3B7CC806" w14:textId="77777777">
      <w:pPr>
        <w:pStyle w:val="BodyText"/>
      </w:pPr>
      <w:r>
        <w:t>For the full sample, the expected Minimum Detectable Difference (MDD) for comparisons between districts with Title IV-A allocations greater than or equal to $30,000 compared to those with lower allocation amounts are 0.</w:t>
      </w:r>
      <w:r w:rsidR="00D85EA6">
        <w:t>18</w:t>
      </w:r>
      <w:r>
        <w:t xml:space="preserve"> standard deviation units for a continuous outcome, and 9 and 7 percentage points for binary outcomes with prevalence rates of 50 and 20 percent, respectively (Exhibit </w:t>
      </w:r>
      <w:r w:rsidR="00D85EA6">
        <w:t>3</w:t>
      </w:r>
      <w:r>
        <w:t xml:space="preserve">, top panel). MDDs for comparisons among the sub-sample of districts that did not transfer </w:t>
      </w:r>
      <w:proofErr w:type="gramStart"/>
      <w:r>
        <w:t>all of</w:t>
      </w:r>
      <w:proofErr w:type="gramEnd"/>
      <w:r>
        <w:t xml:space="preserve"> their Title IV-A funds to other programs are shown in the bottom panel of Exhibit </w:t>
      </w:r>
      <w:r w:rsidR="00450B94">
        <w:t>3</w:t>
      </w:r>
      <w:r>
        <w:t>.</w:t>
      </w:r>
    </w:p>
    <w:p w:rsidR="006D192F" w:rsidP="006D192F" w:rsidRDefault="006D192F" w14:paraId="3D126579" w14:textId="77777777">
      <w:pPr>
        <w:pStyle w:val="Caption"/>
      </w:pPr>
      <w:bookmarkStart w:name="_Toc77597466" w:id="10"/>
      <w:r>
        <w:lastRenderedPageBreak/>
        <w:t xml:space="preserve">Exhibit </w:t>
      </w:r>
      <w:r w:rsidR="00D84568">
        <w:fldChar w:fldCharType="begin"/>
      </w:r>
      <w:r w:rsidR="00D84568">
        <w:instrText xml:space="preserve"> SEQ Exhibit \* ARABIC </w:instrText>
      </w:r>
      <w:r w:rsidR="00D84568">
        <w:fldChar w:fldCharType="separate"/>
      </w:r>
      <w:r>
        <w:rPr>
          <w:noProof/>
        </w:rPr>
        <w:t>3</w:t>
      </w:r>
      <w:r w:rsidR="00D84568">
        <w:rPr>
          <w:noProof/>
        </w:rPr>
        <w:fldChar w:fldCharType="end"/>
      </w:r>
      <w:r>
        <w:t xml:space="preserve">. </w:t>
      </w:r>
      <w:r w:rsidRPr="006D192F" w:rsidR="00CC4B7E">
        <w:rPr>
          <w:rFonts w:eastAsia="Book Antiqua"/>
        </w:rPr>
        <w:t xml:space="preserve">Expected Minimum Detectable </w:t>
      </w:r>
      <w:proofErr w:type="spellStart"/>
      <w:r w:rsidRPr="006D192F" w:rsidR="00CC4B7E">
        <w:rPr>
          <w:rFonts w:eastAsia="Book Antiqua"/>
        </w:rPr>
        <w:t>Differences</w:t>
      </w:r>
      <w:r w:rsidRPr="006D192F" w:rsidR="00CC4B7E">
        <w:rPr>
          <w:rFonts w:eastAsia="Book Antiqua"/>
          <w:vertAlign w:val="superscript"/>
        </w:rPr>
        <w:t>a</w:t>
      </w:r>
      <w:proofErr w:type="spellEnd"/>
      <w:r w:rsidRPr="006D192F" w:rsidR="00CC4B7E">
        <w:rPr>
          <w:rFonts w:eastAsia="Book Antiqua"/>
        </w:rPr>
        <w:t xml:space="preserve"> for Subgroup Comparison</w:t>
      </w:r>
      <w:bookmarkEnd w:id="10"/>
    </w:p>
    <w:tbl>
      <w:tblPr>
        <w:tblStyle w:val="TableGrid"/>
        <w:tblW w:w="9456" w:type="dxa"/>
        <w:tblLook w:val="04A0" w:firstRow="1" w:lastRow="0" w:firstColumn="1" w:lastColumn="0" w:noHBand="0" w:noVBand="1"/>
      </w:tblPr>
      <w:tblGrid>
        <w:gridCol w:w="3145"/>
        <w:gridCol w:w="1159"/>
        <w:gridCol w:w="1159"/>
        <w:gridCol w:w="1282"/>
        <w:gridCol w:w="1350"/>
        <w:gridCol w:w="1361"/>
      </w:tblGrid>
      <w:tr w:rsidRPr="0079714C" w:rsidR="00E34207" w:rsidTr="00772EF7" w14:paraId="46A0CAA1" w14:textId="77777777">
        <w:tc>
          <w:tcPr>
            <w:tcW w:w="3145" w:type="dxa"/>
            <w:vMerge w:val="restart"/>
            <w:shd w:val="clear" w:color="auto" w:fill="C3C6A8" w:themeFill="accent4"/>
            <w:vAlign w:val="bottom"/>
          </w:tcPr>
          <w:p w:rsidRPr="0079714C" w:rsidR="00E34207" w:rsidP="008A4E1D" w:rsidRDefault="00E34207" w14:paraId="05CB9DE4" w14:textId="77777777">
            <w:pPr>
              <w:pStyle w:val="ExhibitColumnHeader"/>
              <w:keepNext/>
              <w:rPr>
                <w:rFonts w:ascii="Arial Narrow" w:hAnsi="Arial Narrow"/>
              </w:rPr>
            </w:pPr>
            <w:r w:rsidRPr="006D192F">
              <w:t xml:space="preserve"> </w:t>
            </w:r>
            <w:r w:rsidRPr="0079714C">
              <w:rPr>
                <w:rFonts w:ascii="Arial Narrow" w:hAnsi="Arial Narrow"/>
              </w:rPr>
              <w:t>Groups Compared</w:t>
            </w:r>
          </w:p>
        </w:tc>
        <w:tc>
          <w:tcPr>
            <w:tcW w:w="1159" w:type="dxa"/>
            <w:vMerge w:val="restart"/>
            <w:shd w:val="clear" w:color="auto" w:fill="C3C6A8" w:themeFill="accent4"/>
            <w:vAlign w:val="bottom"/>
          </w:tcPr>
          <w:p w:rsidRPr="0079714C" w:rsidR="00E34207" w:rsidP="008A4E1D" w:rsidRDefault="00E34207" w14:paraId="6F74D984" w14:textId="77777777">
            <w:pPr>
              <w:pStyle w:val="ExhibitColumnHeader"/>
              <w:keepNext/>
              <w:rPr>
                <w:rFonts w:ascii="Arial Narrow" w:hAnsi="Arial Narrow"/>
              </w:rPr>
            </w:pPr>
            <w:r w:rsidRPr="0079714C">
              <w:rPr>
                <w:rFonts w:ascii="Arial Narrow" w:hAnsi="Arial Narrow"/>
              </w:rPr>
              <w:t>Expected Number Sampled</w:t>
            </w:r>
          </w:p>
        </w:tc>
        <w:tc>
          <w:tcPr>
            <w:tcW w:w="1159" w:type="dxa"/>
            <w:vMerge w:val="restart"/>
            <w:shd w:val="clear" w:color="auto" w:fill="C3C6A8" w:themeFill="accent4"/>
            <w:vAlign w:val="bottom"/>
          </w:tcPr>
          <w:p w:rsidRPr="0079714C" w:rsidR="00E34207" w:rsidP="008A4E1D" w:rsidRDefault="00E34207" w14:paraId="70C984CD" w14:textId="77777777">
            <w:pPr>
              <w:pStyle w:val="ExhibitColumnHeader"/>
              <w:keepNext/>
              <w:rPr>
                <w:rFonts w:ascii="Arial Narrow" w:hAnsi="Arial Narrow"/>
              </w:rPr>
            </w:pPr>
            <w:r w:rsidRPr="0079714C">
              <w:rPr>
                <w:rFonts w:ascii="Arial Narrow" w:hAnsi="Arial Narrow"/>
              </w:rPr>
              <w:t>Expected Number in Analytic Sample</w:t>
            </w:r>
          </w:p>
        </w:tc>
        <w:tc>
          <w:tcPr>
            <w:tcW w:w="3993" w:type="dxa"/>
            <w:gridSpan w:val="3"/>
            <w:shd w:val="clear" w:color="auto" w:fill="C3C6A8" w:themeFill="accent4"/>
            <w:vAlign w:val="bottom"/>
          </w:tcPr>
          <w:p w:rsidRPr="0079714C" w:rsidR="00E34207" w:rsidP="008A4E1D" w:rsidRDefault="00E34207" w14:paraId="7DF8A361" w14:textId="77777777">
            <w:pPr>
              <w:pStyle w:val="ExhibitColumnHeader"/>
              <w:keepNext/>
              <w:rPr>
                <w:rFonts w:ascii="Arial Narrow" w:hAnsi="Arial Narrow"/>
              </w:rPr>
            </w:pPr>
            <w:r w:rsidRPr="0079714C">
              <w:rPr>
                <w:rFonts w:ascii="Arial Narrow" w:hAnsi="Arial Narrow"/>
              </w:rPr>
              <w:t>Minimum Detectable Differences</w:t>
            </w:r>
          </w:p>
        </w:tc>
      </w:tr>
      <w:tr w:rsidRPr="0079714C" w:rsidR="00E34207" w:rsidTr="00772EF7" w14:paraId="0C123385" w14:textId="77777777">
        <w:tc>
          <w:tcPr>
            <w:tcW w:w="3145" w:type="dxa"/>
            <w:vMerge/>
            <w:shd w:val="clear" w:color="auto" w:fill="C3C6A8" w:themeFill="accent4"/>
            <w:vAlign w:val="bottom"/>
          </w:tcPr>
          <w:p w:rsidRPr="0079714C" w:rsidR="00E34207" w:rsidP="008A4E1D" w:rsidRDefault="00E34207" w14:paraId="218A6F36" w14:textId="77777777">
            <w:pPr>
              <w:pStyle w:val="ExhibitColumnHeader"/>
              <w:keepNext/>
              <w:rPr>
                <w:rFonts w:ascii="Arial Narrow" w:hAnsi="Arial Narrow"/>
              </w:rPr>
            </w:pPr>
          </w:p>
        </w:tc>
        <w:tc>
          <w:tcPr>
            <w:tcW w:w="1159" w:type="dxa"/>
            <w:vMerge/>
            <w:shd w:val="clear" w:color="auto" w:fill="C3C6A8" w:themeFill="accent4"/>
            <w:vAlign w:val="bottom"/>
          </w:tcPr>
          <w:p w:rsidRPr="0079714C" w:rsidR="00E34207" w:rsidP="008A4E1D" w:rsidRDefault="00E34207" w14:paraId="56D93399" w14:textId="77777777">
            <w:pPr>
              <w:pStyle w:val="ExhibitColumnHeader"/>
              <w:keepNext/>
              <w:rPr>
                <w:rFonts w:ascii="Arial Narrow" w:hAnsi="Arial Narrow"/>
              </w:rPr>
            </w:pPr>
          </w:p>
        </w:tc>
        <w:tc>
          <w:tcPr>
            <w:tcW w:w="1159" w:type="dxa"/>
            <w:vMerge/>
            <w:shd w:val="clear" w:color="auto" w:fill="C3C6A8" w:themeFill="accent4"/>
            <w:vAlign w:val="bottom"/>
          </w:tcPr>
          <w:p w:rsidRPr="0079714C" w:rsidR="00E34207" w:rsidP="008A4E1D" w:rsidRDefault="00E34207" w14:paraId="659D4B46" w14:textId="77777777">
            <w:pPr>
              <w:pStyle w:val="ExhibitColumnHeader"/>
              <w:keepNext/>
              <w:rPr>
                <w:rFonts w:ascii="Arial Narrow" w:hAnsi="Arial Narrow"/>
              </w:rPr>
            </w:pPr>
          </w:p>
        </w:tc>
        <w:tc>
          <w:tcPr>
            <w:tcW w:w="1282" w:type="dxa"/>
            <w:shd w:val="clear" w:color="auto" w:fill="C3C6A8" w:themeFill="accent4"/>
            <w:vAlign w:val="bottom"/>
          </w:tcPr>
          <w:p w:rsidRPr="0079714C" w:rsidR="00E34207" w:rsidP="008A4E1D" w:rsidRDefault="00E34207" w14:paraId="5E5D9C56" w14:textId="77777777">
            <w:pPr>
              <w:pStyle w:val="ExhibitColumnHeader"/>
              <w:keepNext/>
              <w:rPr>
                <w:rFonts w:ascii="Arial Narrow" w:hAnsi="Arial Narrow"/>
              </w:rPr>
            </w:pPr>
            <w:r w:rsidRPr="0079714C">
              <w:rPr>
                <w:rFonts w:ascii="Arial Narrow" w:hAnsi="Arial Narrow"/>
              </w:rPr>
              <w:t xml:space="preserve">Continuous </w:t>
            </w:r>
            <w:r w:rsidR="0028320A">
              <w:rPr>
                <w:rFonts w:ascii="Arial Narrow" w:hAnsi="Arial Narrow"/>
              </w:rPr>
              <w:t>M</w:t>
            </w:r>
            <w:r w:rsidRPr="0079714C">
              <w:rPr>
                <w:rFonts w:ascii="Arial Narrow" w:hAnsi="Arial Narrow"/>
              </w:rPr>
              <w:t>easures</w:t>
            </w:r>
          </w:p>
          <w:p w:rsidRPr="0079714C" w:rsidR="00E34207" w:rsidP="008A4E1D" w:rsidRDefault="00E34207" w14:paraId="48437C43" w14:textId="77777777">
            <w:pPr>
              <w:pStyle w:val="ExhibitColumnHeader"/>
              <w:keepNext/>
              <w:rPr>
                <w:rFonts w:ascii="Arial Narrow" w:hAnsi="Arial Narrow"/>
              </w:rPr>
            </w:pPr>
            <w:r w:rsidRPr="0079714C">
              <w:rPr>
                <w:rFonts w:ascii="Arial Narrow" w:hAnsi="Arial Narrow"/>
              </w:rPr>
              <w:t>(SD Units)</w:t>
            </w:r>
            <w:r w:rsidR="0028320A">
              <w:rPr>
                <w:rFonts w:ascii="Arial Narrow" w:hAnsi="Arial Narrow"/>
              </w:rPr>
              <w:t xml:space="preserve"> </w:t>
            </w:r>
            <w:r w:rsidRPr="0079714C" w:rsidR="0028320A">
              <w:rPr>
                <w:rFonts w:ascii="Arial Narrow" w:hAnsi="Arial Narrow"/>
                <w:vertAlign w:val="superscript"/>
              </w:rPr>
              <w:t>b</w:t>
            </w:r>
          </w:p>
        </w:tc>
        <w:tc>
          <w:tcPr>
            <w:tcW w:w="1350" w:type="dxa"/>
            <w:shd w:val="clear" w:color="auto" w:fill="C3C6A8" w:themeFill="accent4"/>
            <w:vAlign w:val="bottom"/>
          </w:tcPr>
          <w:p w:rsidRPr="0079714C" w:rsidR="00E34207" w:rsidP="008A4E1D" w:rsidRDefault="00E34207" w14:paraId="6002FB31" w14:textId="77777777">
            <w:pPr>
              <w:pStyle w:val="ExhibitColumnHeader"/>
              <w:keepNext/>
              <w:rPr>
                <w:rFonts w:ascii="Arial Narrow" w:hAnsi="Arial Narrow"/>
              </w:rPr>
            </w:pPr>
            <w:r w:rsidRPr="0079714C">
              <w:rPr>
                <w:rFonts w:ascii="Arial Narrow" w:hAnsi="Arial Narrow"/>
              </w:rPr>
              <w:t xml:space="preserve">Binary </w:t>
            </w:r>
            <w:r w:rsidR="0028320A">
              <w:rPr>
                <w:rFonts w:ascii="Arial Narrow" w:hAnsi="Arial Narrow"/>
              </w:rPr>
              <w:t>M</w:t>
            </w:r>
            <w:r w:rsidRPr="0079714C">
              <w:rPr>
                <w:rFonts w:ascii="Arial Narrow" w:hAnsi="Arial Narrow"/>
              </w:rPr>
              <w:t>easures</w:t>
            </w:r>
          </w:p>
          <w:p w:rsidRPr="0079714C" w:rsidR="00E34207" w:rsidP="008A4E1D" w:rsidRDefault="00E34207" w14:paraId="6D6B735F" w14:textId="77777777">
            <w:pPr>
              <w:pStyle w:val="ExhibitColumnHeader"/>
              <w:keepNext/>
              <w:rPr>
                <w:rFonts w:ascii="Arial Narrow" w:hAnsi="Arial Narrow"/>
              </w:rPr>
            </w:pPr>
            <w:r w:rsidRPr="0079714C">
              <w:rPr>
                <w:rFonts w:ascii="Arial Narrow" w:hAnsi="Arial Narrow"/>
              </w:rPr>
              <w:t>P=50%</w:t>
            </w:r>
            <w:r w:rsidRPr="0079714C">
              <w:rPr>
                <w:rFonts w:ascii="Arial Narrow" w:hAnsi="Arial Narrow"/>
                <w:vertAlign w:val="superscript"/>
              </w:rPr>
              <w:t xml:space="preserve"> </w:t>
            </w:r>
          </w:p>
          <w:p w:rsidRPr="0079714C" w:rsidR="00E34207" w:rsidP="008A4E1D" w:rsidRDefault="00E34207" w14:paraId="4E35E4EB" w14:textId="77777777">
            <w:pPr>
              <w:pStyle w:val="ExhibitColumnHeader"/>
              <w:keepNext/>
              <w:rPr>
                <w:rFonts w:ascii="Arial Narrow" w:hAnsi="Arial Narrow"/>
              </w:rPr>
            </w:pPr>
            <w:r w:rsidRPr="0079714C">
              <w:rPr>
                <w:rFonts w:ascii="Arial Narrow" w:hAnsi="Arial Narrow"/>
              </w:rPr>
              <w:t>(Percentage Points)</w:t>
            </w:r>
            <w:r w:rsidR="0028320A">
              <w:rPr>
                <w:rFonts w:ascii="Arial Narrow" w:hAnsi="Arial Narrow"/>
              </w:rPr>
              <w:t xml:space="preserve"> </w:t>
            </w:r>
            <w:r w:rsidRPr="0079714C" w:rsidR="0028320A">
              <w:rPr>
                <w:rFonts w:ascii="Arial Narrow" w:hAnsi="Arial Narrow"/>
                <w:vertAlign w:val="superscript"/>
              </w:rPr>
              <w:t>c</w:t>
            </w:r>
          </w:p>
        </w:tc>
        <w:tc>
          <w:tcPr>
            <w:tcW w:w="1361" w:type="dxa"/>
            <w:shd w:val="clear" w:color="auto" w:fill="C3C6A8" w:themeFill="accent4"/>
          </w:tcPr>
          <w:p w:rsidRPr="0079714C" w:rsidR="00E34207" w:rsidP="008A4E1D" w:rsidRDefault="00E34207" w14:paraId="049BEA4F" w14:textId="77777777">
            <w:pPr>
              <w:pStyle w:val="ExhibitColumnHeader"/>
              <w:keepNext/>
              <w:rPr>
                <w:rFonts w:ascii="Arial Narrow" w:hAnsi="Arial Narrow"/>
              </w:rPr>
            </w:pPr>
            <w:r w:rsidRPr="0079714C">
              <w:rPr>
                <w:rFonts w:ascii="Arial Narrow" w:hAnsi="Arial Narrow"/>
              </w:rPr>
              <w:t xml:space="preserve">Binary </w:t>
            </w:r>
            <w:r w:rsidR="0028320A">
              <w:rPr>
                <w:rFonts w:ascii="Arial Narrow" w:hAnsi="Arial Narrow"/>
              </w:rPr>
              <w:t>M</w:t>
            </w:r>
            <w:r w:rsidRPr="0079714C">
              <w:rPr>
                <w:rFonts w:ascii="Arial Narrow" w:hAnsi="Arial Narrow"/>
              </w:rPr>
              <w:t>easures</w:t>
            </w:r>
          </w:p>
          <w:p w:rsidRPr="0079714C" w:rsidR="00E34207" w:rsidP="008A4E1D" w:rsidRDefault="00E34207" w14:paraId="6C78917E" w14:textId="77777777">
            <w:pPr>
              <w:pStyle w:val="ExhibitColumnHeader"/>
              <w:keepNext/>
              <w:rPr>
                <w:rFonts w:ascii="Arial Narrow" w:hAnsi="Arial Narrow"/>
              </w:rPr>
            </w:pPr>
            <w:r w:rsidRPr="0079714C">
              <w:rPr>
                <w:rFonts w:ascii="Arial Narrow" w:hAnsi="Arial Narrow"/>
              </w:rPr>
              <w:t>P=20%</w:t>
            </w:r>
            <w:r w:rsidRPr="0079714C">
              <w:rPr>
                <w:rFonts w:ascii="Arial Narrow" w:hAnsi="Arial Narrow"/>
                <w:vertAlign w:val="superscript"/>
              </w:rPr>
              <w:t xml:space="preserve"> </w:t>
            </w:r>
          </w:p>
          <w:p w:rsidRPr="0079714C" w:rsidR="00E34207" w:rsidP="008A4E1D" w:rsidRDefault="00E34207" w14:paraId="687282D6" w14:textId="77777777">
            <w:pPr>
              <w:pStyle w:val="ExhibitColumnHeader"/>
              <w:keepNext/>
              <w:rPr>
                <w:rFonts w:ascii="Arial Narrow" w:hAnsi="Arial Narrow"/>
              </w:rPr>
            </w:pPr>
            <w:r w:rsidRPr="0079714C">
              <w:rPr>
                <w:rFonts w:ascii="Arial Narrow" w:hAnsi="Arial Narrow"/>
              </w:rPr>
              <w:t>(Percentage Points)</w:t>
            </w:r>
            <w:r w:rsidR="0028320A">
              <w:rPr>
                <w:rFonts w:ascii="Arial Narrow" w:hAnsi="Arial Narrow"/>
              </w:rPr>
              <w:t xml:space="preserve"> </w:t>
            </w:r>
            <w:r w:rsidRPr="0079714C" w:rsidR="0028320A">
              <w:rPr>
                <w:rFonts w:ascii="Arial Narrow" w:hAnsi="Arial Narrow"/>
                <w:vertAlign w:val="superscript"/>
              </w:rPr>
              <w:t>d</w:t>
            </w:r>
          </w:p>
        </w:tc>
      </w:tr>
      <w:tr w:rsidRPr="0079714C" w:rsidR="00E34207" w:rsidTr="00772EF7" w14:paraId="4826FF86" w14:textId="77777777">
        <w:tc>
          <w:tcPr>
            <w:tcW w:w="9456" w:type="dxa"/>
            <w:gridSpan w:val="6"/>
            <w:shd w:val="clear" w:color="auto" w:fill="E7E8E8" w:themeFill="accent2" w:themeFillTint="33"/>
          </w:tcPr>
          <w:p w:rsidRPr="0079714C" w:rsidR="00E34207" w:rsidP="0028320A" w:rsidRDefault="00E34207" w14:paraId="314F3EBF" w14:textId="77777777">
            <w:pPr>
              <w:pStyle w:val="ExhibitText"/>
              <w:keepNext/>
              <w:rPr>
                <w:rFonts w:ascii="Arial Narrow" w:hAnsi="Arial Narrow"/>
                <w:b/>
              </w:rPr>
            </w:pPr>
            <w:r w:rsidRPr="0079714C">
              <w:rPr>
                <w:rFonts w:ascii="Arial Narrow" w:hAnsi="Arial Narrow"/>
                <w:b/>
              </w:rPr>
              <w:t>Full sample: All districts</w:t>
            </w:r>
          </w:p>
        </w:tc>
      </w:tr>
      <w:tr w:rsidRPr="0079714C" w:rsidR="00E34207" w:rsidTr="00772EF7" w14:paraId="6124B6DB" w14:textId="77777777">
        <w:tc>
          <w:tcPr>
            <w:tcW w:w="3145" w:type="dxa"/>
          </w:tcPr>
          <w:p w:rsidRPr="0079714C" w:rsidR="00E34207" w:rsidP="008A4E1D" w:rsidRDefault="00E34207" w14:paraId="1B25A53A" w14:textId="77777777">
            <w:pPr>
              <w:pStyle w:val="ExhibitText"/>
              <w:keepNext/>
              <w:rPr>
                <w:rFonts w:ascii="Arial Narrow" w:hAnsi="Arial Narrow"/>
              </w:rPr>
            </w:pPr>
            <w:r w:rsidRPr="0079714C">
              <w:rPr>
                <w:rFonts w:ascii="Arial Narrow" w:hAnsi="Arial Narrow"/>
              </w:rPr>
              <w:t>Districts with Tit</w:t>
            </w:r>
            <w:r w:rsidRPr="0079714C" w:rsidR="0007201A">
              <w:rPr>
                <w:rFonts w:ascii="Arial Narrow" w:hAnsi="Arial Narrow"/>
              </w:rPr>
              <w:t>le IV-A allocations &gt;=$30,000 versus</w:t>
            </w:r>
            <w:r w:rsidRPr="0079714C">
              <w:rPr>
                <w:rFonts w:ascii="Arial Narrow" w:hAnsi="Arial Narrow"/>
              </w:rPr>
              <w:t xml:space="preserve"> districts with Title IV-A allocations &lt;$30,000</w:t>
            </w:r>
          </w:p>
        </w:tc>
        <w:tc>
          <w:tcPr>
            <w:tcW w:w="1159" w:type="dxa"/>
          </w:tcPr>
          <w:p w:rsidRPr="0079714C" w:rsidR="00E34207" w:rsidP="0028320A" w:rsidRDefault="00460F8E" w14:paraId="0E406AFB" w14:textId="77777777">
            <w:pPr>
              <w:pStyle w:val="ExhibitText"/>
              <w:keepNext/>
              <w:jc w:val="center"/>
              <w:rPr>
                <w:rFonts w:ascii="Arial Narrow" w:hAnsi="Arial Narrow"/>
              </w:rPr>
            </w:pPr>
            <w:r>
              <w:rPr>
                <w:rFonts w:ascii="Arial Narrow" w:hAnsi="Arial Narrow"/>
              </w:rPr>
              <w:t>1,135</w:t>
            </w:r>
          </w:p>
        </w:tc>
        <w:tc>
          <w:tcPr>
            <w:tcW w:w="1159" w:type="dxa"/>
          </w:tcPr>
          <w:p w:rsidRPr="0079714C" w:rsidR="00E34207" w:rsidP="008A4E1D" w:rsidRDefault="00460F8E" w14:paraId="5854C88B" w14:textId="77777777">
            <w:pPr>
              <w:pStyle w:val="ExhibitText"/>
              <w:keepNext/>
              <w:jc w:val="center"/>
              <w:rPr>
                <w:rFonts w:ascii="Arial Narrow" w:hAnsi="Arial Narrow"/>
              </w:rPr>
            </w:pPr>
            <w:r>
              <w:rPr>
                <w:rFonts w:ascii="Arial Narrow" w:hAnsi="Arial Narrow"/>
              </w:rPr>
              <w:t>965</w:t>
            </w:r>
          </w:p>
        </w:tc>
        <w:tc>
          <w:tcPr>
            <w:tcW w:w="1282" w:type="dxa"/>
          </w:tcPr>
          <w:p w:rsidRPr="0079714C" w:rsidR="00E34207" w:rsidP="008A4E1D" w:rsidRDefault="00460F8E" w14:paraId="479E6086" w14:textId="77777777">
            <w:pPr>
              <w:pStyle w:val="ExhibitText"/>
              <w:keepNext/>
              <w:jc w:val="center"/>
              <w:rPr>
                <w:rFonts w:ascii="Arial Narrow" w:hAnsi="Arial Narrow"/>
              </w:rPr>
            </w:pPr>
            <w:r>
              <w:rPr>
                <w:rFonts w:ascii="Arial Narrow" w:hAnsi="Arial Narrow"/>
              </w:rPr>
              <w:t>0.18</w:t>
            </w:r>
          </w:p>
        </w:tc>
        <w:tc>
          <w:tcPr>
            <w:tcW w:w="1350" w:type="dxa"/>
            <w:shd w:val="clear" w:color="auto" w:fill="auto"/>
          </w:tcPr>
          <w:p w:rsidRPr="0079714C" w:rsidR="00E34207" w:rsidP="008A4E1D" w:rsidRDefault="00460F8E" w14:paraId="21E9E154" w14:textId="77777777">
            <w:pPr>
              <w:pStyle w:val="ExhibitText"/>
              <w:keepNext/>
              <w:jc w:val="center"/>
              <w:rPr>
                <w:rFonts w:ascii="Arial Narrow" w:hAnsi="Arial Narrow"/>
              </w:rPr>
            </w:pPr>
            <w:r>
              <w:rPr>
                <w:rFonts w:ascii="Arial Narrow" w:hAnsi="Arial Narrow"/>
              </w:rPr>
              <w:t>0.09</w:t>
            </w:r>
          </w:p>
        </w:tc>
        <w:tc>
          <w:tcPr>
            <w:tcW w:w="1361" w:type="dxa"/>
          </w:tcPr>
          <w:p w:rsidRPr="0079714C" w:rsidR="00E34207" w:rsidP="008A4E1D" w:rsidRDefault="00460F8E" w14:paraId="24761588" w14:textId="77777777">
            <w:pPr>
              <w:pStyle w:val="ExhibitText"/>
              <w:keepNext/>
              <w:jc w:val="center"/>
              <w:rPr>
                <w:rFonts w:ascii="Arial Narrow" w:hAnsi="Arial Narrow"/>
              </w:rPr>
            </w:pPr>
            <w:r>
              <w:rPr>
                <w:rFonts w:ascii="Arial Narrow" w:hAnsi="Arial Narrow"/>
              </w:rPr>
              <w:t>0.07</w:t>
            </w:r>
          </w:p>
        </w:tc>
      </w:tr>
      <w:tr w:rsidRPr="0079714C" w:rsidR="00E34207" w:rsidTr="00772EF7" w14:paraId="6D2095E5" w14:textId="77777777">
        <w:tc>
          <w:tcPr>
            <w:tcW w:w="9456" w:type="dxa"/>
            <w:gridSpan w:val="6"/>
            <w:shd w:val="clear" w:color="auto" w:fill="E7E8E8" w:themeFill="accent2" w:themeFillTint="33"/>
          </w:tcPr>
          <w:p w:rsidRPr="0079714C" w:rsidR="00E34207" w:rsidP="0028320A" w:rsidRDefault="00E34207" w14:paraId="5887CF17" w14:textId="77777777">
            <w:pPr>
              <w:pStyle w:val="ExhibitText"/>
              <w:keepNext/>
              <w:rPr>
                <w:rFonts w:ascii="Arial Narrow" w:hAnsi="Arial Narrow"/>
                <w:b/>
              </w:rPr>
            </w:pPr>
            <w:r w:rsidRPr="0079714C">
              <w:rPr>
                <w:rFonts w:ascii="Arial Narrow" w:hAnsi="Arial Narrow"/>
                <w:b/>
              </w:rPr>
              <w:t>Sub-sample: Districts that did not transfer all Title IV-A funds to other programs</w:t>
            </w:r>
          </w:p>
        </w:tc>
      </w:tr>
      <w:tr w:rsidRPr="0079714C" w:rsidR="00481FCE" w:rsidTr="00772EF7" w14:paraId="7E156300" w14:textId="77777777">
        <w:tc>
          <w:tcPr>
            <w:tcW w:w="3145" w:type="dxa"/>
          </w:tcPr>
          <w:p w:rsidRPr="0079714C" w:rsidR="00481FCE" w:rsidP="00481FCE" w:rsidRDefault="00481FCE" w14:paraId="16236BA7" w14:textId="77777777">
            <w:pPr>
              <w:pStyle w:val="ExhibitText"/>
              <w:keepNext/>
              <w:rPr>
                <w:rFonts w:ascii="Arial Narrow" w:hAnsi="Arial Narrow"/>
              </w:rPr>
            </w:pPr>
            <w:r w:rsidRPr="0079714C">
              <w:rPr>
                <w:rFonts w:ascii="Arial Narrow" w:hAnsi="Arial Narrow"/>
              </w:rPr>
              <w:t>Districts with Title IV-A allocations &gt;=$30,000 versus districts with Title IV-A allocations &lt;$30,000</w:t>
            </w:r>
          </w:p>
        </w:tc>
        <w:tc>
          <w:tcPr>
            <w:tcW w:w="1159" w:type="dxa"/>
          </w:tcPr>
          <w:p w:rsidRPr="0079714C" w:rsidR="00481FCE" w:rsidP="00481FCE" w:rsidRDefault="00460F8E" w14:paraId="67E5AA13" w14:textId="77777777">
            <w:pPr>
              <w:pStyle w:val="ExhibitText"/>
              <w:keepNext/>
              <w:jc w:val="center"/>
              <w:rPr>
                <w:rFonts w:ascii="Arial Narrow" w:hAnsi="Arial Narrow"/>
              </w:rPr>
            </w:pPr>
            <w:r>
              <w:rPr>
                <w:rFonts w:ascii="Arial Narrow" w:hAnsi="Arial Narrow"/>
              </w:rPr>
              <w:t>1,135</w:t>
            </w:r>
          </w:p>
        </w:tc>
        <w:tc>
          <w:tcPr>
            <w:tcW w:w="1159" w:type="dxa"/>
          </w:tcPr>
          <w:p w:rsidRPr="0079714C" w:rsidR="00481FCE" w:rsidP="00481FCE" w:rsidRDefault="00460F8E" w14:paraId="70BA94E2" w14:textId="77777777">
            <w:pPr>
              <w:pStyle w:val="ExhibitText"/>
              <w:keepNext/>
              <w:jc w:val="center"/>
              <w:rPr>
                <w:rFonts w:ascii="Arial Narrow" w:hAnsi="Arial Narrow"/>
              </w:rPr>
            </w:pPr>
            <w:r>
              <w:rPr>
                <w:rFonts w:ascii="Arial Narrow" w:hAnsi="Arial Narrow"/>
              </w:rPr>
              <w:t>73</w:t>
            </w:r>
            <w:r w:rsidR="00FE4E43">
              <w:rPr>
                <w:rFonts w:ascii="Arial Narrow" w:hAnsi="Arial Narrow"/>
              </w:rPr>
              <w:t>9</w:t>
            </w:r>
          </w:p>
        </w:tc>
        <w:tc>
          <w:tcPr>
            <w:tcW w:w="1282" w:type="dxa"/>
          </w:tcPr>
          <w:p w:rsidRPr="0079714C" w:rsidR="00481FCE" w:rsidP="00481FCE" w:rsidRDefault="00460F8E" w14:paraId="40EE9737" w14:textId="77777777">
            <w:pPr>
              <w:pStyle w:val="ExhibitText"/>
              <w:keepNext/>
              <w:jc w:val="center"/>
              <w:rPr>
                <w:rFonts w:ascii="Arial Narrow" w:hAnsi="Arial Narrow"/>
              </w:rPr>
            </w:pPr>
            <w:r>
              <w:rPr>
                <w:rFonts w:ascii="Arial Narrow" w:hAnsi="Arial Narrow"/>
              </w:rPr>
              <w:t>0.20</w:t>
            </w:r>
          </w:p>
        </w:tc>
        <w:tc>
          <w:tcPr>
            <w:tcW w:w="1350" w:type="dxa"/>
            <w:shd w:val="clear" w:color="auto" w:fill="auto"/>
          </w:tcPr>
          <w:p w:rsidRPr="0079714C" w:rsidR="00481FCE" w:rsidP="00481FCE" w:rsidRDefault="00460F8E" w14:paraId="1C2BEF3A" w14:textId="77777777">
            <w:pPr>
              <w:pStyle w:val="ExhibitText"/>
              <w:keepNext/>
              <w:jc w:val="center"/>
              <w:rPr>
                <w:rFonts w:ascii="Arial Narrow" w:hAnsi="Arial Narrow"/>
              </w:rPr>
            </w:pPr>
            <w:r>
              <w:rPr>
                <w:rFonts w:ascii="Arial Narrow" w:hAnsi="Arial Narrow"/>
              </w:rPr>
              <w:t>0.10</w:t>
            </w:r>
          </w:p>
        </w:tc>
        <w:tc>
          <w:tcPr>
            <w:tcW w:w="1361" w:type="dxa"/>
          </w:tcPr>
          <w:p w:rsidRPr="0079714C" w:rsidR="00481FCE" w:rsidP="00481FCE" w:rsidRDefault="00460F8E" w14:paraId="5C853A2B" w14:textId="77777777">
            <w:pPr>
              <w:pStyle w:val="ExhibitText"/>
              <w:keepNext/>
              <w:jc w:val="center"/>
              <w:rPr>
                <w:rFonts w:ascii="Arial Narrow" w:hAnsi="Arial Narrow"/>
              </w:rPr>
            </w:pPr>
            <w:r>
              <w:rPr>
                <w:rFonts w:ascii="Arial Narrow" w:hAnsi="Arial Narrow"/>
              </w:rPr>
              <w:t>0.08</w:t>
            </w:r>
          </w:p>
        </w:tc>
      </w:tr>
    </w:tbl>
    <w:p w:rsidR="00E34207" w:rsidP="00460F8E" w:rsidRDefault="00E34207" w14:paraId="1583FFF9" w14:textId="77777777">
      <w:pPr>
        <w:pStyle w:val="ExhibitSource"/>
        <w:keepNext/>
        <w:spacing w:before="0" w:after="0"/>
        <w:rPr>
          <w:rFonts w:ascii="Arial Narrow" w:hAnsi="Arial Narrow"/>
          <w:vertAlign w:val="superscript"/>
        </w:rPr>
      </w:pPr>
      <w:r>
        <w:rPr>
          <w:rFonts w:ascii="Arial Narrow" w:hAnsi="Arial Narrow"/>
          <w:vertAlign w:val="superscript"/>
        </w:rPr>
        <w:t>a</w:t>
      </w:r>
      <w:r>
        <w:rPr>
          <w:rFonts w:ascii="Arial Narrow" w:hAnsi="Arial Narrow"/>
        </w:rPr>
        <w:t xml:space="preserve"> Minimum Detectable Differences (MDDs) were estimates for 80 percent power and a two tailed test with alpha level of p=0.05</w:t>
      </w:r>
      <w:r w:rsidR="00460F8E">
        <w:rPr>
          <w:rFonts w:ascii="Arial Narrow" w:hAnsi="Arial Narrow"/>
        </w:rPr>
        <w:t xml:space="preserve"> and using the sample assumptions in Exhibit 1. </w:t>
      </w:r>
    </w:p>
    <w:p w:rsidR="00E34207" w:rsidP="00E34207" w:rsidRDefault="00E34207" w14:paraId="03FFA86F" w14:textId="77777777">
      <w:pPr>
        <w:pStyle w:val="ExhibitSource"/>
        <w:keepNext/>
        <w:spacing w:before="0" w:after="0"/>
        <w:rPr>
          <w:rFonts w:ascii="Arial Narrow" w:hAnsi="Arial Narrow"/>
        </w:rPr>
      </w:pPr>
      <w:r>
        <w:rPr>
          <w:rFonts w:ascii="Arial Narrow" w:hAnsi="Arial Narrow"/>
          <w:vertAlign w:val="superscript"/>
        </w:rPr>
        <w:t>b</w:t>
      </w:r>
      <w:r>
        <w:rPr>
          <w:rFonts w:ascii="Arial Narrow" w:hAnsi="Arial Narrow"/>
        </w:rPr>
        <w:t xml:space="preserve"> Measured in standard deviation units</w:t>
      </w:r>
      <w:r w:rsidRPr="003E43F8">
        <w:rPr>
          <w:rFonts w:ascii="Arial Narrow" w:hAnsi="Arial Narrow"/>
        </w:rPr>
        <w:t>.</w:t>
      </w:r>
    </w:p>
    <w:p w:rsidRPr="003E43F8" w:rsidR="00E34207" w:rsidP="00E34207" w:rsidRDefault="00E34207" w14:paraId="01ED6DEA" w14:textId="77777777">
      <w:pPr>
        <w:pStyle w:val="ExhibitSource"/>
        <w:keepNext/>
        <w:spacing w:before="0" w:after="0"/>
        <w:rPr>
          <w:rFonts w:ascii="Arial Narrow" w:hAnsi="Arial Narrow"/>
        </w:rPr>
      </w:pPr>
      <w:r>
        <w:rPr>
          <w:rFonts w:ascii="Arial Narrow" w:hAnsi="Arial Narrow"/>
          <w:vertAlign w:val="superscript"/>
        </w:rPr>
        <w:t>c</w:t>
      </w:r>
      <w:r w:rsidRPr="003E43F8">
        <w:rPr>
          <w:rFonts w:ascii="Arial Narrow" w:hAnsi="Arial Narrow"/>
        </w:rPr>
        <w:t xml:space="preserve"> </w:t>
      </w:r>
      <w:proofErr w:type="gramStart"/>
      <w:r w:rsidRPr="003E43F8">
        <w:rPr>
          <w:rFonts w:ascii="Arial Narrow" w:hAnsi="Arial Narrow"/>
        </w:rPr>
        <w:t>For</w:t>
      </w:r>
      <w:proofErr w:type="gramEnd"/>
      <w:r w:rsidRPr="003E43F8">
        <w:rPr>
          <w:rFonts w:ascii="Arial Narrow" w:hAnsi="Arial Narrow"/>
        </w:rPr>
        <w:t xml:space="preserve"> an estimated percentage of 50%.</w:t>
      </w:r>
    </w:p>
    <w:p w:rsidR="00CF39EB" w:rsidP="00E34207" w:rsidRDefault="00E34207" w14:paraId="0C9E5758" w14:textId="77777777">
      <w:pPr>
        <w:pStyle w:val="ExhibitSource"/>
        <w:keepNext/>
        <w:spacing w:before="0"/>
        <w:rPr>
          <w:rFonts w:ascii="Arial Narrow" w:hAnsi="Arial Narrow"/>
        </w:rPr>
      </w:pPr>
      <w:r>
        <w:rPr>
          <w:rFonts w:ascii="Arial Narrow" w:hAnsi="Arial Narrow"/>
          <w:vertAlign w:val="superscript"/>
        </w:rPr>
        <w:t>d</w:t>
      </w:r>
      <w:r w:rsidRPr="003E43F8">
        <w:rPr>
          <w:rFonts w:ascii="Arial Narrow" w:hAnsi="Arial Narrow"/>
        </w:rPr>
        <w:t xml:space="preserve"> </w:t>
      </w:r>
      <w:proofErr w:type="gramStart"/>
      <w:r w:rsidRPr="003E43F8">
        <w:rPr>
          <w:rFonts w:ascii="Arial Narrow" w:hAnsi="Arial Narrow"/>
        </w:rPr>
        <w:t>For</w:t>
      </w:r>
      <w:proofErr w:type="gramEnd"/>
      <w:r w:rsidRPr="003E43F8">
        <w:rPr>
          <w:rFonts w:ascii="Arial Narrow" w:hAnsi="Arial Narrow"/>
        </w:rPr>
        <w:t xml:space="preserve"> an estimated percentage of </w:t>
      </w:r>
      <w:r>
        <w:rPr>
          <w:rFonts w:ascii="Arial Narrow" w:hAnsi="Arial Narrow"/>
        </w:rPr>
        <w:t>2</w:t>
      </w:r>
      <w:r w:rsidRPr="003E43F8">
        <w:rPr>
          <w:rFonts w:ascii="Arial Narrow" w:hAnsi="Arial Narrow"/>
        </w:rPr>
        <w:t>0%.</w:t>
      </w:r>
    </w:p>
    <w:p w:rsidR="002864BD" w:rsidP="007F72F5" w:rsidRDefault="002864BD" w14:paraId="31897A54" w14:textId="77777777">
      <w:pPr>
        <w:pStyle w:val="Heading4"/>
        <w:spacing w:line="240" w:lineRule="auto"/>
      </w:pPr>
      <w:r w:rsidRPr="003E43F8">
        <w:t xml:space="preserve">Unusual problems requiring </w:t>
      </w:r>
      <w:r>
        <w:t>specialized sampling procedures</w:t>
      </w:r>
    </w:p>
    <w:p w:rsidRPr="003E43F8" w:rsidR="002864BD" w:rsidP="007F72F5" w:rsidRDefault="002864BD" w14:paraId="0226AB32" w14:textId="77777777">
      <w:pPr>
        <w:pStyle w:val="BodyText"/>
      </w:pPr>
      <w:r w:rsidRPr="003E43F8">
        <w:t>We do not anticipate any unusual problems that require specialized sampling procedures.</w:t>
      </w:r>
    </w:p>
    <w:p w:rsidR="002864BD" w:rsidP="007F72F5" w:rsidRDefault="002864BD" w14:paraId="20825AB8" w14:textId="77777777">
      <w:pPr>
        <w:pStyle w:val="Heading4"/>
        <w:spacing w:line="240" w:lineRule="auto"/>
      </w:pPr>
      <w:r w:rsidRPr="003E43F8">
        <w:t>Any use of periodic (less frequent than annual) data col</w:t>
      </w:r>
      <w:r>
        <w:t>lection cycles to reduce burden</w:t>
      </w:r>
    </w:p>
    <w:p w:rsidRPr="00F53500" w:rsidR="00905C93" w:rsidP="007F72F5" w:rsidRDefault="00F92EE4" w14:paraId="43DF13DC" w14:textId="77777777">
      <w:pPr>
        <w:pStyle w:val="BodyText"/>
        <w:rPr>
          <w:szCs w:val="22"/>
        </w:rPr>
      </w:pPr>
      <w:r>
        <w:t>ED</w:t>
      </w:r>
      <w:r w:rsidR="002864BD">
        <w:t xml:space="preserve"> is considering administering the Title IV-A survey in both 2020 and 2022 </w:t>
      </w:r>
      <w:proofErr w:type="gramStart"/>
      <w:r w:rsidR="002864BD">
        <w:t>in order to</w:t>
      </w:r>
      <w:proofErr w:type="gramEnd"/>
      <w:r w:rsidR="002864BD">
        <w:t xml:space="preserve"> understand how implementation of this relatively new program changes over time.</w:t>
      </w:r>
    </w:p>
    <w:p w:rsidRPr="00F53500" w:rsidR="00F2083B" w:rsidP="0028320A" w:rsidRDefault="00F2083B" w14:paraId="6009AAEF" w14:textId="77777777">
      <w:pPr>
        <w:pStyle w:val="Heading3"/>
      </w:pPr>
      <w:bookmarkStart w:name="_Toc74140272" w:id="11"/>
      <w:r w:rsidRPr="00F53500">
        <w:t>B.2.2. Estimation procedure</w:t>
      </w:r>
      <w:bookmarkEnd w:id="11"/>
      <w:r w:rsidRPr="00F53500">
        <w:t xml:space="preserve"> </w:t>
      </w:r>
    </w:p>
    <w:p w:rsidRPr="00F53500" w:rsidR="00905C93" w:rsidP="00772EF7" w:rsidRDefault="00905C93" w14:paraId="6DEF8A68" w14:textId="77777777">
      <w:pPr>
        <w:pStyle w:val="BodyText"/>
        <w:keepNext/>
        <w:keepLines/>
      </w:pPr>
      <w:r w:rsidRPr="00F53500">
        <w:t>N</w:t>
      </w:r>
      <w:r w:rsidRPr="00F53500" w:rsidR="002A23CE">
        <w:t>ot applicable.</w:t>
      </w:r>
    </w:p>
    <w:p w:rsidRPr="00F53500" w:rsidR="00F2083B" w:rsidP="0028320A" w:rsidRDefault="00F2083B" w14:paraId="199DB417" w14:textId="77777777">
      <w:pPr>
        <w:pStyle w:val="Heading3"/>
      </w:pPr>
      <w:bookmarkStart w:name="_Toc74140273" w:id="12"/>
      <w:r w:rsidRPr="00F53500">
        <w:t>B.2.3. Degree of accuracy needed for the purpose described in the justification</w:t>
      </w:r>
      <w:bookmarkEnd w:id="12"/>
      <w:r w:rsidR="00E1718E">
        <w:t xml:space="preserve"> </w:t>
      </w:r>
    </w:p>
    <w:p w:rsidRPr="00F53500" w:rsidR="0086661B" w:rsidP="0079714C" w:rsidRDefault="00F3069A" w14:paraId="52129705" w14:textId="77777777">
      <w:pPr>
        <w:pStyle w:val="BodyText"/>
      </w:pPr>
      <w:r w:rsidRPr="00F53500">
        <w:t xml:space="preserve">The expected </w:t>
      </w:r>
      <w:r w:rsidR="00A61437">
        <w:t>85 percent</w:t>
      </w:r>
      <w:r w:rsidRPr="00F53500">
        <w:t xml:space="preserve"> survey response rate will lead to </w:t>
      </w:r>
      <w:r w:rsidR="0011490A">
        <w:t xml:space="preserve">survey </w:t>
      </w:r>
      <w:r w:rsidRPr="00F53500">
        <w:t xml:space="preserve">estimates with a high degree of accuracy even if non-response bias is present. </w:t>
      </w:r>
    </w:p>
    <w:p w:rsidRPr="00F53500" w:rsidR="00905C93" w:rsidP="0028320A" w:rsidRDefault="00F2083B" w14:paraId="2E386B4A" w14:textId="77777777">
      <w:pPr>
        <w:pStyle w:val="Heading3"/>
      </w:pPr>
      <w:bookmarkStart w:name="_Toc74140274" w:id="13"/>
      <w:r w:rsidRPr="00F53500">
        <w:t>B.2.4. Unusual problems requiring specialized sampling procedures</w:t>
      </w:r>
      <w:bookmarkEnd w:id="13"/>
      <w:r w:rsidR="00E1718E">
        <w:t xml:space="preserve"> </w:t>
      </w:r>
    </w:p>
    <w:p w:rsidRPr="00F53500" w:rsidR="0086661B" w:rsidP="0079714C" w:rsidRDefault="0086661B" w14:paraId="4578D2DE" w14:textId="77777777">
      <w:pPr>
        <w:pStyle w:val="BodyText"/>
      </w:pPr>
      <w:r w:rsidRPr="00F53500">
        <w:t>Not applicable.</w:t>
      </w:r>
    </w:p>
    <w:p w:rsidRPr="00F53500" w:rsidR="00F2083B" w:rsidP="0028320A" w:rsidRDefault="00F2083B" w14:paraId="473E7872" w14:textId="77777777">
      <w:pPr>
        <w:pStyle w:val="Heading3"/>
      </w:pPr>
      <w:bookmarkStart w:name="_Toc74140275" w:id="14"/>
      <w:r w:rsidRPr="00F53500">
        <w:t>B.2.5. Any use of periodic (less frequent than annual) data collection cycles to reduce burden.</w:t>
      </w:r>
      <w:bookmarkEnd w:id="14"/>
    </w:p>
    <w:p w:rsidRPr="00F53500" w:rsidR="0086661B" w:rsidP="0079714C" w:rsidRDefault="00F92EE4" w14:paraId="429F9989" w14:textId="77777777">
      <w:pPr>
        <w:pStyle w:val="BodyText"/>
      </w:pPr>
      <w:r>
        <w:t>ED</w:t>
      </w:r>
      <w:r w:rsidR="004244BD">
        <w:t xml:space="preserve"> is considering administering the </w:t>
      </w:r>
      <w:r w:rsidR="00772EF7">
        <w:t xml:space="preserve">district </w:t>
      </w:r>
      <w:r w:rsidR="00E15E7B">
        <w:t>Title IV-A</w:t>
      </w:r>
      <w:r w:rsidR="004244BD">
        <w:t xml:space="preserve"> </w:t>
      </w:r>
      <w:r w:rsidR="00772EF7">
        <w:t xml:space="preserve">coordinator </w:t>
      </w:r>
      <w:r w:rsidR="004244BD">
        <w:t>survey in both 202</w:t>
      </w:r>
      <w:r w:rsidR="00CC4B7E">
        <w:t>2</w:t>
      </w:r>
      <w:r w:rsidR="004244BD">
        <w:t xml:space="preserve"> and 202</w:t>
      </w:r>
      <w:r w:rsidR="00CC4B7E">
        <w:t>4</w:t>
      </w:r>
      <w:r w:rsidR="00B75C48">
        <w:t xml:space="preserve"> </w:t>
      </w:r>
      <w:proofErr w:type="gramStart"/>
      <w:r w:rsidR="00B75C48">
        <w:t>in order to</w:t>
      </w:r>
      <w:proofErr w:type="gramEnd"/>
      <w:r w:rsidR="00B75C48">
        <w:t xml:space="preserve"> understand </w:t>
      </w:r>
      <w:r w:rsidR="004244BD">
        <w:t>how implementation of this relatively new program changes over time.</w:t>
      </w:r>
    </w:p>
    <w:p w:rsidRPr="0086661B" w:rsidR="00660C94" w:rsidP="0028320A" w:rsidRDefault="00660C94" w14:paraId="7FD1FABA" w14:textId="77777777">
      <w:pPr>
        <w:pStyle w:val="Heading2"/>
      </w:pPr>
      <w:bookmarkStart w:name="_Toc74140276" w:id="15"/>
      <w:r w:rsidRPr="0086661B">
        <w:t>B.3. Methods to Maximize Response Rates and Deal with Nonresponse</w:t>
      </w:r>
      <w:bookmarkEnd w:id="15"/>
    </w:p>
    <w:p w:rsidRPr="00B12ED9" w:rsidR="001753DD" w:rsidP="0079714C" w:rsidRDefault="00CF217F" w14:paraId="7045196B" w14:textId="6BF6FB6C">
      <w:pPr>
        <w:pStyle w:val="BodyText"/>
        <w:rPr>
          <w:szCs w:val="22"/>
        </w:rPr>
      </w:pPr>
      <w:r>
        <w:t>This is the first</w:t>
      </w:r>
      <w:r w:rsidR="00331DE5">
        <w:t xml:space="preserve"> national implementation</w:t>
      </w:r>
      <w:r>
        <w:t xml:space="preserve"> study of the Title IV-A program. </w:t>
      </w:r>
      <w:r w:rsidR="008927F5">
        <w:t>As such, o</w:t>
      </w:r>
      <w:r w:rsidR="001753DD">
        <w:t xml:space="preserve">ne challenge of this study will be </w:t>
      </w:r>
      <w:r w:rsidR="00E00CE1">
        <w:t xml:space="preserve">communicating the importance of the </w:t>
      </w:r>
      <w:r w:rsidR="00045C4F">
        <w:t xml:space="preserve">data collection, </w:t>
      </w:r>
      <w:r w:rsidR="001753DD">
        <w:t>motivating participation</w:t>
      </w:r>
      <w:r w:rsidR="00045C4F">
        <w:t>,</w:t>
      </w:r>
      <w:r w:rsidR="001753DD">
        <w:t xml:space="preserve"> and following</w:t>
      </w:r>
      <w:r w:rsidR="00AF71FB">
        <w:t xml:space="preserve"> </w:t>
      </w:r>
      <w:r w:rsidR="001753DD">
        <w:t>up with initial non-respondents to achieve our target response rate</w:t>
      </w:r>
      <w:r w:rsidR="001719F9">
        <w:t xml:space="preserve"> of at least </w:t>
      </w:r>
      <w:r w:rsidR="00A61437">
        <w:t>85 percent</w:t>
      </w:r>
      <w:r w:rsidR="001753DD">
        <w:t>.</w:t>
      </w:r>
      <w:r w:rsidR="00E1718E">
        <w:t xml:space="preserve"> </w:t>
      </w:r>
      <w:r w:rsidR="004244BD">
        <w:t xml:space="preserve">The survey will include </w:t>
      </w:r>
      <w:r w:rsidR="004244BD">
        <w:rPr>
          <w:rFonts w:eastAsia="Calibri"/>
        </w:rPr>
        <w:t xml:space="preserve">language </w:t>
      </w:r>
      <w:r w:rsidR="006D6FA5">
        <w:rPr>
          <w:rFonts w:eastAsia="Calibri"/>
        </w:rPr>
        <w:t xml:space="preserve">citing </w:t>
      </w:r>
      <w:r w:rsidR="006D6FA5">
        <w:rPr>
          <w:szCs w:val="22"/>
        </w:rPr>
        <w:t>that p</w:t>
      </w:r>
      <w:r w:rsidRPr="00493CD6" w:rsidR="006D6FA5">
        <w:rPr>
          <w:szCs w:val="22"/>
        </w:rPr>
        <w:t xml:space="preserve">articipation is required of states under </w:t>
      </w:r>
      <w:r w:rsidRPr="009D4458" w:rsidR="006D6FA5">
        <w:rPr>
          <w:szCs w:val="22"/>
        </w:rPr>
        <w:t>Section 8304(a)(6)(B) of the ESEA</w:t>
      </w:r>
      <w:r w:rsidR="006D6FA5">
        <w:rPr>
          <w:szCs w:val="22"/>
        </w:rPr>
        <w:t xml:space="preserve"> and of districts under </w:t>
      </w:r>
      <w:r w:rsidRPr="008245A9" w:rsidR="006D6FA5">
        <w:rPr>
          <w:rFonts w:eastAsia="Calibri"/>
          <w:szCs w:val="22"/>
        </w:rPr>
        <w:t>Section 830</w:t>
      </w:r>
      <w:r w:rsidR="006D6FA5">
        <w:rPr>
          <w:rFonts w:eastAsia="Calibri"/>
          <w:szCs w:val="22"/>
        </w:rPr>
        <w:t>6</w:t>
      </w:r>
      <w:r w:rsidRPr="008245A9" w:rsidR="006D6FA5">
        <w:rPr>
          <w:rFonts w:eastAsia="Calibri"/>
          <w:szCs w:val="22"/>
        </w:rPr>
        <w:t>(a)(</w:t>
      </w:r>
      <w:r w:rsidR="006D6FA5">
        <w:rPr>
          <w:rFonts w:eastAsia="Calibri"/>
          <w:szCs w:val="22"/>
        </w:rPr>
        <w:t>4</w:t>
      </w:r>
      <w:r w:rsidRPr="008245A9" w:rsidR="006D6FA5">
        <w:rPr>
          <w:rFonts w:eastAsia="Calibri"/>
          <w:szCs w:val="22"/>
        </w:rPr>
        <w:t>) of the ESEA</w:t>
      </w:r>
      <w:r w:rsidR="004244BD">
        <w:rPr>
          <w:rFonts w:eastAsia="Calibri"/>
        </w:rPr>
        <w:t>.</w:t>
      </w:r>
      <w:r w:rsidR="00E1718E">
        <w:rPr>
          <w:rFonts w:eastAsia="Calibri"/>
        </w:rPr>
        <w:t xml:space="preserve"> </w:t>
      </w:r>
      <w:r w:rsidR="004244BD">
        <w:t>Additionally, t</w:t>
      </w:r>
      <w:r w:rsidR="001753DD">
        <w:t>he web</w:t>
      </w:r>
      <w:r w:rsidR="001719F9">
        <w:t>-based</w:t>
      </w:r>
      <w:r w:rsidR="001753DD">
        <w:t xml:space="preserve"> approach will allow us to easily identify non-respondents for follow-up contact t</w:t>
      </w:r>
      <w:r w:rsidR="004E4156">
        <w:t>o encourage participation</w:t>
      </w:r>
      <w:r w:rsidR="009249F9">
        <w:t xml:space="preserve"> and</w:t>
      </w:r>
      <w:r w:rsidR="004E4156">
        <w:t xml:space="preserve"> maximize </w:t>
      </w:r>
      <w:r w:rsidR="001753DD">
        <w:t xml:space="preserve">response rates. </w:t>
      </w:r>
    </w:p>
    <w:p w:rsidRPr="009A5D89" w:rsidR="003260BA" w:rsidP="0079714C" w:rsidRDefault="003260BA" w14:paraId="25ED07AC" w14:textId="77777777">
      <w:pPr>
        <w:pStyle w:val="BodyText"/>
        <w:rPr>
          <w:snapToGrid w:val="0"/>
          <w:szCs w:val="22"/>
        </w:rPr>
      </w:pPr>
      <w:r w:rsidRPr="009A5D89">
        <w:rPr>
          <w:snapToGrid w:val="0"/>
          <w:szCs w:val="22"/>
        </w:rPr>
        <w:lastRenderedPageBreak/>
        <w:t xml:space="preserve">Specifically, we will use the following </w:t>
      </w:r>
      <w:r w:rsidRPr="009A5D89" w:rsidR="004E4156">
        <w:rPr>
          <w:snapToGrid w:val="0"/>
          <w:szCs w:val="22"/>
        </w:rPr>
        <w:t xml:space="preserve">methods </w:t>
      </w:r>
      <w:r w:rsidRPr="009A5D89">
        <w:rPr>
          <w:snapToGrid w:val="0"/>
          <w:szCs w:val="22"/>
        </w:rPr>
        <w:t>to encourage participation:</w:t>
      </w:r>
    </w:p>
    <w:p w:rsidRPr="00A5693B" w:rsidR="00551CFB" w:rsidP="0079714C" w:rsidRDefault="00551CFB" w14:paraId="114C173F" w14:textId="77777777">
      <w:pPr>
        <w:pStyle w:val="Bullets"/>
      </w:pPr>
      <w:r>
        <w:rPr>
          <w:b/>
          <w:snapToGrid w:val="0"/>
        </w:rPr>
        <w:t>Presentation of study at state coordinator meeting</w:t>
      </w:r>
      <w:r w:rsidRPr="00F108FB">
        <w:rPr>
          <w:snapToGrid w:val="0"/>
        </w:rPr>
        <w:t xml:space="preserve">. </w:t>
      </w:r>
      <w:r w:rsidR="00F92EE4">
        <w:t>ED</w:t>
      </w:r>
      <w:r w:rsidRPr="00F108FB">
        <w:t xml:space="preserve"> </w:t>
      </w:r>
      <w:r>
        <w:t>share</w:t>
      </w:r>
      <w:r w:rsidR="00853591">
        <w:t>d</w:t>
      </w:r>
      <w:r>
        <w:t xml:space="preserve"> the goals, study components, </w:t>
      </w:r>
      <w:r w:rsidR="006E0C95">
        <w:t xml:space="preserve">benefits of participation, </w:t>
      </w:r>
      <w:r>
        <w:t xml:space="preserve">and timeline </w:t>
      </w:r>
      <w:r w:rsidR="006E0C95">
        <w:t>for</w:t>
      </w:r>
      <w:r>
        <w:t xml:space="preserve"> the study during the December 2019 state coordinators meeting. </w:t>
      </w:r>
      <w:r w:rsidR="00F92EE4">
        <w:t>ED</w:t>
      </w:r>
      <w:r w:rsidR="006E0C95">
        <w:t xml:space="preserve"> and contractor staff </w:t>
      </w:r>
      <w:r w:rsidR="00853591">
        <w:t>were</w:t>
      </w:r>
      <w:r w:rsidR="006E0C95">
        <w:t xml:space="preserve"> available to answer questions about the study</w:t>
      </w:r>
      <w:r w:rsidR="00E73766">
        <w:t xml:space="preserve">. </w:t>
      </w:r>
    </w:p>
    <w:p w:rsidRPr="00A5693B" w:rsidR="00D0629F" w:rsidP="0079714C" w:rsidRDefault="003260BA" w14:paraId="2F24837C" w14:textId="77777777">
      <w:pPr>
        <w:pStyle w:val="Bullets"/>
      </w:pPr>
      <w:r w:rsidRPr="00F108FB">
        <w:rPr>
          <w:b/>
          <w:snapToGrid w:val="0"/>
        </w:rPr>
        <w:t xml:space="preserve">Pre-study notification </w:t>
      </w:r>
      <w:r w:rsidR="004244BD">
        <w:rPr>
          <w:b/>
          <w:snapToGrid w:val="0"/>
        </w:rPr>
        <w:t xml:space="preserve">of </w:t>
      </w:r>
      <w:r w:rsidR="00DB2E83">
        <w:rPr>
          <w:b/>
          <w:snapToGrid w:val="0"/>
        </w:rPr>
        <w:t xml:space="preserve">state and district </w:t>
      </w:r>
      <w:r w:rsidR="006D53BF">
        <w:rPr>
          <w:b/>
          <w:snapToGrid w:val="0"/>
        </w:rPr>
        <w:t>s</w:t>
      </w:r>
      <w:r w:rsidR="004244BD">
        <w:rPr>
          <w:b/>
          <w:snapToGrid w:val="0"/>
        </w:rPr>
        <w:t>uperintendents</w:t>
      </w:r>
      <w:r w:rsidRPr="00F108FB">
        <w:rPr>
          <w:snapToGrid w:val="0"/>
        </w:rPr>
        <w:t xml:space="preserve">. </w:t>
      </w:r>
      <w:r w:rsidR="00F92EE4">
        <w:t>ED</w:t>
      </w:r>
      <w:r w:rsidRPr="00F108FB" w:rsidR="00503710">
        <w:t xml:space="preserve"> will send letter</w:t>
      </w:r>
      <w:r w:rsidR="00DB2E83">
        <w:t>s</w:t>
      </w:r>
      <w:r w:rsidRPr="00F108FB" w:rsidR="00503710">
        <w:t xml:space="preserve"> to </w:t>
      </w:r>
      <w:r w:rsidR="00DB2E83">
        <w:t>state and district s</w:t>
      </w:r>
      <w:r w:rsidR="004244BD">
        <w:t xml:space="preserve">uperintendents </w:t>
      </w:r>
      <w:r w:rsidRPr="00F108FB" w:rsidR="00503710">
        <w:t xml:space="preserve">introducing the </w:t>
      </w:r>
      <w:r w:rsidR="00B75C48">
        <w:t xml:space="preserve">Abt study </w:t>
      </w:r>
      <w:r w:rsidRPr="00F108FB" w:rsidR="00503710">
        <w:t>team and informing them about the goals of</w:t>
      </w:r>
      <w:r w:rsidRPr="008E6D5C" w:rsidR="00503710">
        <w:t xml:space="preserve"> the </w:t>
      </w:r>
      <w:r w:rsidR="00E15E7B">
        <w:t>Title IV-A</w:t>
      </w:r>
      <w:r w:rsidR="001201E9">
        <w:t xml:space="preserve"> study</w:t>
      </w:r>
      <w:r w:rsidRPr="008E6D5C" w:rsidR="00503710">
        <w:t xml:space="preserve">. </w:t>
      </w:r>
      <w:r w:rsidR="00A5693B">
        <w:rPr>
          <w:snapToGrid w:val="0"/>
        </w:rPr>
        <w:t xml:space="preserve">The letters </w:t>
      </w:r>
      <w:r w:rsidR="00BE2EF6">
        <w:t xml:space="preserve">will also include </w:t>
      </w:r>
      <w:r w:rsidRPr="001201E9" w:rsidR="00BE2EF6">
        <w:t xml:space="preserve">information on the </w:t>
      </w:r>
      <w:r w:rsidR="00BE2EF6">
        <w:t xml:space="preserve">timeline, </w:t>
      </w:r>
      <w:r w:rsidRPr="001201E9" w:rsidR="00BE2EF6">
        <w:t>provisions for maintaining anonymity of participants</w:t>
      </w:r>
      <w:r w:rsidR="00BE2EF6">
        <w:t>,</w:t>
      </w:r>
      <w:r w:rsidRPr="001201E9" w:rsidR="00BE2EF6">
        <w:t xml:space="preserve"> and the benefits to be derived from the study</w:t>
      </w:r>
      <w:r w:rsidRPr="00493CD6" w:rsidR="00A5693B">
        <w:t>.</w:t>
      </w:r>
      <w:r w:rsidR="00A5693B">
        <w:t xml:space="preserve"> </w:t>
      </w:r>
      <w:r w:rsidRPr="008E6D5C" w:rsidR="001201E9">
        <w:rPr>
          <w:snapToGrid w:val="0"/>
        </w:rPr>
        <w:t>In addi</w:t>
      </w:r>
      <w:r w:rsidRPr="00F108FB" w:rsidR="001201E9">
        <w:rPr>
          <w:snapToGrid w:val="0"/>
        </w:rPr>
        <w:t xml:space="preserve">tion, we will include the name of the </w:t>
      </w:r>
      <w:r w:rsidR="00F92EE4">
        <w:rPr>
          <w:snapToGrid w:val="0"/>
        </w:rPr>
        <w:t>ED</w:t>
      </w:r>
      <w:r w:rsidRPr="00F108FB" w:rsidR="001201E9">
        <w:rPr>
          <w:snapToGrid w:val="0"/>
        </w:rPr>
        <w:t xml:space="preserve"> contact and </w:t>
      </w:r>
      <w:r w:rsidR="00B75C48">
        <w:rPr>
          <w:snapToGrid w:val="0"/>
        </w:rPr>
        <w:t>the Abt Study Director</w:t>
      </w:r>
      <w:r w:rsidRPr="00F108FB" w:rsidR="001201E9">
        <w:rPr>
          <w:snapToGrid w:val="0"/>
        </w:rPr>
        <w:t xml:space="preserve"> so that participants may ask questions about the </w:t>
      </w:r>
      <w:r w:rsidR="001201E9">
        <w:rPr>
          <w:snapToGrid w:val="0"/>
        </w:rPr>
        <w:t>study</w:t>
      </w:r>
      <w:r w:rsidRPr="00F108FB" w:rsidR="001201E9">
        <w:rPr>
          <w:snapToGrid w:val="0"/>
        </w:rPr>
        <w:t>.</w:t>
      </w:r>
      <w:r w:rsidR="001201E9">
        <w:rPr>
          <w:snapToGrid w:val="0"/>
        </w:rPr>
        <w:t xml:space="preserve"> </w:t>
      </w:r>
      <w:r w:rsidRPr="008E6D5C">
        <w:rPr>
          <w:snapToGrid w:val="0"/>
        </w:rPr>
        <w:t>Th</w:t>
      </w:r>
      <w:r w:rsidR="00B75C48">
        <w:rPr>
          <w:snapToGrid w:val="0"/>
        </w:rPr>
        <w:t>e letter</w:t>
      </w:r>
      <w:r w:rsidR="00BE2EF6">
        <w:rPr>
          <w:snapToGrid w:val="0"/>
        </w:rPr>
        <w:t>s</w:t>
      </w:r>
      <w:r w:rsidR="00B75C48">
        <w:rPr>
          <w:snapToGrid w:val="0"/>
        </w:rPr>
        <w:t xml:space="preserve"> from </w:t>
      </w:r>
      <w:r w:rsidR="00F92EE4">
        <w:rPr>
          <w:snapToGrid w:val="0"/>
        </w:rPr>
        <w:t>ED</w:t>
      </w:r>
      <w:r w:rsidRPr="008E6D5C">
        <w:rPr>
          <w:snapToGrid w:val="0"/>
        </w:rPr>
        <w:t xml:space="preserve"> will add credibility to the email solicitation that will come from Abt a</w:t>
      </w:r>
      <w:r w:rsidR="00B75C48">
        <w:rPr>
          <w:snapToGrid w:val="0"/>
        </w:rPr>
        <w:t xml:space="preserve"> week or so</w:t>
      </w:r>
      <w:r w:rsidRPr="008E6D5C">
        <w:rPr>
          <w:snapToGrid w:val="0"/>
        </w:rPr>
        <w:t xml:space="preserve"> later </w:t>
      </w:r>
      <w:proofErr w:type="gramStart"/>
      <w:r w:rsidRPr="008E6D5C">
        <w:rPr>
          <w:snapToGrid w:val="0"/>
        </w:rPr>
        <w:t>in order to</w:t>
      </w:r>
      <w:proofErr w:type="gramEnd"/>
      <w:r w:rsidRPr="008E6D5C">
        <w:rPr>
          <w:snapToGrid w:val="0"/>
        </w:rPr>
        <w:t xml:space="preserve"> encourage participation and increase </w:t>
      </w:r>
      <w:r w:rsidRPr="00F108FB" w:rsidR="00F108FB">
        <w:rPr>
          <w:snapToGrid w:val="0"/>
        </w:rPr>
        <w:t>study</w:t>
      </w:r>
      <w:r w:rsidRPr="00F108FB">
        <w:rPr>
          <w:snapToGrid w:val="0"/>
        </w:rPr>
        <w:t xml:space="preserve"> response rate</w:t>
      </w:r>
      <w:r w:rsidRPr="00F108FB" w:rsidR="00F108FB">
        <w:rPr>
          <w:snapToGrid w:val="0"/>
        </w:rPr>
        <w:t>s</w:t>
      </w:r>
      <w:r w:rsidRPr="00F108FB">
        <w:rPr>
          <w:snapToGrid w:val="0"/>
        </w:rPr>
        <w:t xml:space="preserve">. </w:t>
      </w:r>
      <w:r w:rsidR="00873FF5">
        <w:rPr>
          <w:snapToGrid w:val="0"/>
        </w:rPr>
        <w:t xml:space="preserve">The notification will also include a study fact sheet describing the goals of the study and the study timeline. </w:t>
      </w:r>
    </w:p>
    <w:p w:rsidRPr="001043EB" w:rsidR="00B75C48" w:rsidP="0079714C" w:rsidRDefault="005A5EB0" w14:paraId="26D4FD59" w14:textId="77777777">
      <w:pPr>
        <w:pStyle w:val="Bullets"/>
      </w:pPr>
      <w:r w:rsidRPr="001043EB">
        <w:rPr>
          <w:b/>
          <w:snapToGrid w:val="0"/>
        </w:rPr>
        <w:t xml:space="preserve">Pre-study notification from Abt </w:t>
      </w:r>
      <w:r w:rsidRPr="001043EB" w:rsidR="003260BA">
        <w:rPr>
          <w:b/>
          <w:snapToGrid w:val="0"/>
        </w:rPr>
        <w:t xml:space="preserve">to </w:t>
      </w:r>
      <w:r w:rsidRPr="001043EB" w:rsidR="006D53BF">
        <w:rPr>
          <w:b/>
          <w:snapToGrid w:val="0"/>
        </w:rPr>
        <w:t>s</w:t>
      </w:r>
      <w:r w:rsidRPr="001043EB" w:rsidR="004244BD">
        <w:rPr>
          <w:b/>
          <w:snapToGrid w:val="0"/>
        </w:rPr>
        <w:t xml:space="preserve">tate </w:t>
      </w:r>
      <w:r w:rsidRPr="001043EB" w:rsidR="00B75C48">
        <w:rPr>
          <w:b/>
          <w:snapToGrid w:val="0"/>
        </w:rPr>
        <w:t xml:space="preserve">and </w:t>
      </w:r>
      <w:r w:rsidR="008C5362">
        <w:rPr>
          <w:b/>
          <w:snapToGrid w:val="0"/>
        </w:rPr>
        <w:t>district Title IV-A coordinator</w:t>
      </w:r>
      <w:r w:rsidRPr="001043EB" w:rsidR="003260BA">
        <w:rPr>
          <w:b/>
          <w:snapToGrid w:val="0"/>
        </w:rPr>
        <w:t>s</w:t>
      </w:r>
      <w:r w:rsidRPr="001043EB" w:rsidR="003260BA">
        <w:rPr>
          <w:snapToGrid w:val="0"/>
        </w:rPr>
        <w:t xml:space="preserve">. </w:t>
      </w:r>
      <w:r w:rsidRPr="001043EB" w:rsidR="00A5693B">
        <w:t>Abt will send letters</w:t>
      </w:r>
      <w:r w:rsidRPr="001043EB" w:rsidR="00503710">
        <w:t xml:space="preserve"> </w:t>
      </w:r>
      <w:r w:rsidRPr="001043EB" w:rsidR="00873FF5">
        <w:t xml:space="preserve">to all </w:t>
      </w:r>
      <w:r w:rsidRPr="001043EB" w:rsidR="00B75C48">
        <w:t>s</w:t>
      </w:r>
      <w:r w:rsidRPr="001043EB" w:rsidR="004244BD">
        <w:t xml:space="preserve">tate </w:t>
      </w:r>
      <w:r w:rsidRPr="001043EB" w:rsidR="00B75C48">
        <w:t>c</w:t>
      </w:r>
      <w:r w:rsidRPr="001043EB" w:rsidR="004244BD">
        <w:t>oordinator</w:t>
      </w:r>
      <w:r w:rsidRPr="001043EB" w:rsidR="001201E9">
        <w:t xml:space="preserve">s </w:t>
      </w:r>
      <w:r w:rsidRPr="001043EB" w:rsidR="00873FF5">
        <w:t xml:space="preserve">and the sample of district coordinators </w:t>
      </w:r>
      <w:r w:rsidRPr="001043EB" w:rsidR="00B75C48">
        <w:t>describing the study</w:t>
      </w:r>
      <w:r w:rsidRPr="001043EB" w:rsidR="00873FF5">
        <w:t xml:space="preserve">, </w:t>
      </w:r>
      <w:r w:rsidRPr="001043EB" w:rsidR="00B75C48">
        <w:t>providing an explanation of the data collection activities</w:t>
      </w:r>
      <w:r w:rsidRPr="001043EB" w:rsidR="00873FF5">
        <w:t>, and requesting their participation</w:t>
      </w:r>
      <w:r w:rsidRPr="001043EB" w:rsidR="00B75C48">
        <w:t>.</w:t>
      </w:r>
      <w:r w:rsidRPr="001043EB" w:rsidR="001043EB">
        <w:t xml:space="preserve"> </w:t>
      </w:r>
      <w:r w:rsidR="001043EB">
        <w:t>We</w:t>
      </w:r>
      <w:r w:rsidRPr="001043EB" w:rsidR="00B75C48">
        <w:t xml:space="preserve"> will also include a study fact sheet </w:t>
      </w:r>
      <w:r w:rsidRPr="001043EB" w:rsidR="00873FF5">
        <w:t xml:space="preserve">describing the goals of the study and the study timeline, as well as </w:t>
      </w:r>
      <w:r w:rsidRPr="001043EB" w:rsidR="00B75C48">
        <w:t>a contact name in case there are questions.</w:t>
      </w:r>
    </w:p>
    <w:p w:rsidRPr="009A5D89" w:rsidR="00905C93" w:rsidP="0079714C" w:rsidRDefault="005A5EB0" w14:paraId="5407F5E1" w14:textId="77777777">
      <w:pPr>
        <w:pStyle w:val="Bullets"/>
      </w:pPr>
      <w:r>
        <w:rPr>
          <w:b/>
          <w:snapToGrid w:val="0"/>
        </w:rPr>
        <w:t xml:space="preserve">Survey request </w:t>
      </w:r>
      <w:r w:rsidRPr="009A5D89" w:rsidR="003260BA">
        <w:rPr>
          <w:b/>
          <w:snapToGrid w:val="0"/>
        </w:rPr>
        <w:t xml:space="preserve">email from </w:t>
      </w:r>
      <w:r w:rsidR="00D0629F">
        <w:rPr>
          <w:b/>
          <w:snapToGrid w:val="0"/>
        </w:rPr>
        <w:t>Abt</w:t>
      </w:r>
      <w:r w:rsidRPr="009A5D89" w:rsidR="00D0629F">
        <w:rPr>
          <w:b/>
          <w:snapToGrid w:val="0"/>
        </w:rPr>
        <w:t xml:space="preserve"> </w:t>
      </w:r>
      <w:r w:rsidRPr="009A5D89" w:rsidR="003260BA">
        <w:rPr>
          <w:b/>
          <w:snapToGrid w:val="0"/>
        </w:rPr>
        <w:t xml:space="preserve">to </w:t>
      </w:r>
      <w:r w:rsidR="00772EF7">
        <w:rPr>
          <w:b/>
          <w:snapToGrid w:val="0"/>
        </w:rPr>
        <w:t xml:space="preserve">state and </w:t>
      </w:r>
      <w:r w:rsidR="008C5362">
        <w:rPr>
          <w:b/>
          <w:snapToGrid w:val="0"/>
        </w:rPr>
        <w:t>district Title IV-A coordinator</w:t>
      </w:r>
      <w:r w:rsidR="006D53BF">
        <w:rPr>
          <w:b/>
          <w:snapToGrid w:val="0"/>
        </w:rPr>
        <w:t>s</w:t>
      </w:r>
      <w:r w:rsidRPr="009A5D89" w:rsidR="004B6BE4">
        <w:rPr>
          <w:b/>
          <w:snapToGrid w:val="0"/>
        </w:rPr>
        <w:t xml:space="preserve">. </w:t>
      </w:r>
      <w:r w:rsidRPr="00B12ED9" w:rsidR="004B6BE4">
        <w:t>At</w:t>
      </w:r>
      <w:r w:rsidRPr="00B12ED9" w:rsidR="00905C93">
        <w:t xml:space="preserve"> the designated opening date, the study team will send an email message to respondents with a unique survey link, detailed instructions, the closing date, and proj</w:t>
      </w:r>
      <w:r w:rsidRPr="00A62B50" w:rsidR="00905C93">
        <w:t>ect staff contact information. Detailed on-screen instructions will be included</w:t>
      </w:r>
      <w:r w:rsidRPr="009A5D89" w:rsidR="00905C93">
        <w:t xml:space="preserve">. Throughout the data collection cycle, the study will use an email address to ensure that potential respondents can </w:t>
      </w:r>
      <w:r w:rsidRPr="009A5D89" w:rsidR="00282D00">
        <w:t xml:space="preserve">quickly </w:t>
      </w:r>
      <w:r w:rsidR="00282D00">
        <w:t xml:space="preserve">and </w:t>
      </w:r>
      <w:r w:rsidRPr="009A5D89" w:rsidR="00905C93">
        <w:t>easily obtain answers to questions or concerns.</w:t>
      </w:r>
      <w:r w:rsidR="00E1718E">
        <w:t xml:space="preserve"> </w:t>
      </w:r>
    </w:p>
    <w:p w:rsidRPr="00A5693B" w:rsidR="003260BA" w:rsidP="0079714C" w:rsidRDefault="00BE2EF6" w14:paraId="50709B91" w14:textId="77777777">
      <w:pPr>
        <w:pStyle w:val="Bullets"/>
      </w:pPr>
      <w:r>
        <w:rPr>
          <w:b/>
          <w:snapToGrid w:val="0"/>
        </w:rPr>
        <w:t>Customized</w:t>
      </w:r>
      <w:r w:rsidRPr="009A5D89" w:rsidR="003260BA">
        <w:rPr>
          <w:b/>
          <w:snapToGrid w:val="0"/>
        </w:rPr>
        <w:t xml:space="preserve"> </w:t>
      </w:r>
      <w:r w:rsidRPr="009A5D89" w:rsidR="008D3B60">
        <w:rPr>
          <w:b/>
          <w:snapToGrid w:val="0"/>
        </w:rPr>
        <w:t>reminder</w:t>
      </w:r>
      <w:r w:rsidR="008D3B60">
        <w:rPr>
          <w:b/>
          <w:snapToGrid w:val="0"/>
        </w:rPr>
        <w:t xml:space="preserve"> emails</w:t>
      </w:r>
      <w:r w:rsidRPr="009A5D89" w:rsidR="003260BA">
        <w:rPr>
          <w:snapToGrid w:val="0"/>
        </w:rPr>
        <w:t xml:space="preserve">. A </w:t>
      </w:r>
      <w:r>
        <w:rPr>
          <w:snapToGrid w:val="0"/>
        </w:rPr>
        <w:t>customized</w:t>
      </w:r>
      <w:r w:rsidRPr="009A5D89" w:rsidR="003260BA">
        <w:rPr>
          <w:snapToGrid w:val="0"/>
        </w:rPr>
        <w:t xml:space="preserve"> reminder email will be sent to </w:t>
      </w:r>
      <w:r w:rsidR="00F108FB">
        <w:rPr>
          <w:snapToGrid w:val="0"/>
        </w:rPr>
        <w:t xml:space="preserve">study </w:t>
      </w:r>
      <w:r w:rsidRPr="009A5D89" w:rsidR="003260BA">
        <w:rPr>
          <w:snapToGrid w:val="0"/>
        </w:rPr>
        <w:t>participants approximately two weeks after the initial invitation to encourage anyone who has not yet participated and to thank those who completed the survey.</w:t>
      </w:r>
      <w:r w:rsidR="00B12ED9">
        <w:rPr>
          <w:snapToGrid w:val="0"/>
        </w:rPr>
        <w:t xml:space="preserve"> Additional reminder emails will be sent </w:t>
      </w:r>
      <w:r w:rsidR="00BE40FB">
        <w:rPr>
          <w:snapToGrid w:val="0"/>
        </w:rPr>
        <w:t>to non</w:t>
      </w:r>
      <w:r w:rsidR="00737935">
        <w:rPr>
          <w:snapToGrid w:val="0"/>
        </w:rPr>
        <w:t>-</w:t>
      </w:r>
      <w:r w:rsidR="00BE40FB">
        <w:rPr>
          <w:snapToGrid w:val="0"/>
        </w:rPr>
        <w:t xml:space="preserve">respondents </w:t>
      </w:r>
      <w:r w:rsidR="007E4D86">
        <w:rPr>
          <w:snapToGrid w:val="0"/>
        </w:rPr>
        <w:t>weekly</w:t>
      </w:r>
      <w:r w:rsidR="00B12ED9">
        <w:rPr>
          <w:snapToGrid w:val="0"/>
        </w:rPr>
        <w:t>.</w:t>
      </w:r>
      <w:r w:rsidR="00A5693B">
        <w:rPr>
          <w:snapToGrid w:val="0"/>
        </w:rPr>
        <w:t xml:space="preserve"> </w:t>
      </w:r>
      <w:r w:rsidRPr="00A5693B" w:rsidR="003260BA">
        <w:rPr>
          <w:snapToGrid w:val="0"/>
        </w:rPr>
        <w:t xml:space="preserve">A final reminder email will be sent to participants </w:t>
      </w:r>
      <w:r w:rsidRPr="00A5693B" w:rsidR="006D53BF">
        <w:rPr>
          <w:snapToGrid w:val="0"/>
        </w:rPr>
        <w:t>one week</w:t>
      </w:r>
      <w:r w:rsidRPr="00A5693B" w:rsidR="003260BA">
        <w:rPr>
          <w:snapToGrid w:val="0"/>
        </w:rPr>
        <w:t xml:space="preserve"> before the close of the survey to again remind those who have not yet participated.</w:t>
      </w:r>
    </w:p>
    <w:p w:rsidR="00A5693B" w:rsidP="007F72F5" w:rsidRDefault="00A5693B" w14:paraId="0B0CF9EC" w14:textId="77777777">
      <w:pPr>
        <w:pStyle w:val="BodyText"/>
        <w:spacing w:before="240"/>
        <w:rPr>
          <w:szCs w:val="22"/>
        </w:rPr>
      </w:pPr>
      <w:r>
        <w:rPr>
          <w:szCs w:val="22"/>
        </w:rPr>
        <w:t>Copies of</w:t>
      </w:r>
      <w:r w:rsidR="00BE2EF6">
        <w:rPr>
          <w:szCs w:val="22"/>
        </w:rPr>
        <w:t xml:space="preserve"> informational</w:t>
      </w:r>
      <w:r>
        <w:rPr>
          <w:szCs w:val="22"/>
        </w:rPr>
        <w:t xml:space="preserve"> letters to the state chief school officers, district superintendents, state and </w:t>
      </w:r>
      <w:r w:rsidR="008C5362">
        <w:rPr>
          <w:szCs w:val="22"/>
        </w:rPr>
        <w:t>district Title IV-A coordinator</w:t>
      </w:r>
      <w:r>
        <w:rPr>
          <w:szCs w:val="22"/>
        </w:rPr>
        <w:t>s</w:t>
      </w:r>
      <w:r w:rsidR="00BE2EF6">
        <w:rPr>
          <w:szCs w:val="22"/>
        </w:rPr>
        <w:t xml:space="preserve"> are included in Appendix A. </w:t>
      </w:r>
    </w:p>
    <w:p w:rsidR="0057345A" w:rsidP="007F72F5" w:rsidRDefault="0057345A" w14:paraId="0BDC89F6" w14:textId="77777777">
      <w:pPr>
        <w:pStyle w:val="BodyText"/>
        <w:spacing w:before="240"/>
      </w:pPr>
      <w:r w:rsidRPr="00B12ED9">
        <w:rPr>
          <w:szCs w:val="22"/>
        </w:rPr>
        <w:t xml:space="preserve">Abt expects a survey response rate of at least </w:t>
      </w:r>
      <w:r w:rsidR="00A61437">
        <w:rPr>
          <w:szCs w:val="22"/>
        </w:rPr>
        <w:t>85 percent</w:t>
      </w:r>
      <w:r w:rsidR="008F774A">
        <w:rPr>
          <w:szCs w:val="22"/>
        </w:rPr>
        <w:t xml:space="preserve"> and will implement follow-up procedures with non-respondents to increase participation</w:t>
      </w:r>
      <w:r w:rsidRPr="00B12ED9">
        <w:rPr>
          <w:szCs w:val="22"/>
        </w:rPr>
        <w:t xml:space="preserve">. </w:t>
      </w:r>
      <w:r w:rsidRPr="00A62B50">
        <w:rPr>
          <w:szCs w:val="22"/>
        </w:rPr>
        <w:t xml:space="preserve">If survey response </w:t>
      </w:r>
      <w:r w:rsidRPr="001043EB">
        <w:rPr>
          <w:szCs w:val="22"/>
        </w:rPr>
        <w:t>is less than 8</w:t>
      </w:r>
      <w:r w:rsidR="00A61437">
        <w:rPr>
          <w:szCs w:val="22"/>
        </w:rPr>
        <w:t>5</w:t>
      </w:r>
      <w:r w:rsidRPr="001043EB">
        <w:rPr>
          <w:szCs w:val="22"/>
        </w:rPr>
        <w:t xml:space="preserve"> percent</w:t>
      </w:r>
      <w:r>
        <w:t xml:space="preserve">, </w:t>
      </w:r>
      <w:r w:rsidRPr="008825A3">
        <w:t xml:space="preserve">two </w:t>
      </w:r>
      <w:r w:rsidR="008F774A">
        <w:t>types</w:t>
      </w:r>
      <w:r w:rsidRPr="008825A3" w:rsidR="008F774A">
        <w:t xml:space="preserve"> </w:t>
      </w:r>
      <w:r w:rsidRPr="008825A3">
        <w:t xml:space="preserve">of analyses </w:t>
      </w:r>
      <w:r>
        <w:t xml:space="preserve">will be performed </w:t>
      </w:r>
      <w:r w:rsidRPr="008825A3">
        <w:t>to assess the implications of non-response.</w:t>
      </w:r>
      <w:r>
        <w:t xml:space="preserve"> </w:t>
      </w:r>
      <w:r w:rsidRPr="008825A3">
        <w:t xml:space="preserve">First, the </w:t>
      </w:r>
      <w:r w:rsidR="008F774A">
        <w:t xml:space="preserve">available </w:t>
      </w:r>
      <w:r w:rsidRPr="008825A3">
        <w:t xml:space="preserve">characteristics of </w:t>
      </w:r>
      <w:r w:rsidR="009A0EC3">
        <w:t xml:space="preserve">the districts that </w:t>
      </w:r>
      <w:r w:rsidRPr="008825A3">
        <w:t>complete</w:t>
      </w:r>
      <w:r>
        <w:t>d</w:t>
      </w:r>
      <w:r w:rsidRPr="008825A3">
        <w:t xml:space="preserve"> </w:t>
      </w:r>
      <w:r w:rsidR="008F774A">
        <w:t xml:space="preserve">the </w:t>
      </w:r>
      <w:r w:rsidRPr="008825A3">
        <w:t>surveys</w:t>
      </w:r>
      <w:r w:rsidR="00586A33">
        <w:t xml:space="preserve"> (</w:t>
      </w:r>
      <w:r w:rsidR="00BF0458">
        <w:t>e.g., region</w:t>
      </w:r>
      <w:r w:rsidR="006D53BF">
        <w:t>, allocation of more than $30,000</w:t>
      </w:r>
      <w:r w:rsidR="00B12C43">
        <w:t>, urbanicity</w:t>
      </w:r>
      <w:r w:rsidR="00A46CA7">
        <w:t>,</w:t>
      </w:r>
      <w:r w:rsidR="00450B94">
        <w:t xml:space="preserve"> poverty level, district size</w:t>
      </w:r>
      <w:r w:rsidR="00586A33">
        <w:t>)</w:t>
      </w:r>
      <w:r w:rsidRPr="008825A3">
        <w:t xml:space="preserve"> </w:t>
      </w:r>
      <w:r>
        <w:t xml:space="preserve">will be compared </w:t>
      </w:r>
      <w:r w:rsidRPr="008825A3">
        <w:t xml:space="preserve">to the characteristics of those </w:t>
      </w:r>
      <w:r w:rsidR="00772EF7">
        <w:t>that</w:t>
      </w:r>
      <w:r w:rsidRPr="008825A3">
        <w:t xml:space="preserve"> did not. Second, a statistical test using these characteristics</w:t>
      </w:r>
      <w:r>
        <w:t xml:space="preserve"> will be performed</w:t>
      </w:r>
      <w:r w:rsidRPr="008825A3">
        <w:t xml:space="preserve"> to predict the probability that a </w:t>
      </w:r>
      <w:r w:rsidR="009A0EC3">
        <w:t>district</w:t>
      </w:r>
      <w:r w:rsidR="00772EF7">
        <w:t xml:space="preserve"> </w:t>
      </w:r>
      <w:r w:rsidRPr="008825A3">
        <w:t xml:space="preserve">responded to the survey request. If </w:t>
      </w:r>
      <w:r w:rsidRPr="00F175F3">
        <w:t>these</w:t>
      </w:r>
      <w:r w:rsidRPr="008825A3">
        <w:t xml:space="preserve"> analyses point to the possibility of non-response bias, sampling weights </w:t>
      </w:r>
      <w:r>
        <w:t xml:space="preserve">will be </w:t>
      </w:r>
      <w:r w:rsidR="009A0EC3">
        <w:t>adjusted</w:t>
      </w:r>
      <w:r>
        <w:t xml:space="preserve"> </w:t>
      </w:r>
      <w:r w:rsidRPr="008825A3">
        <w:t>based on the observable baseline characteristics.</w:t>
      </w:r>
      <w:r>
        <w:t xml:space="preserve"> </w:t>
      </w:r>
    </w:p>
    <w:p w:rsidRPr="00853591" w:rsidR="0028320A" w:rsidRDefault="002C37EE" w14:paraId="26A550D3" w14:textId="77777777">
      <w:pPr>
        <w:pStyle w:val="Heading2"/>
      </w:pPr>
      <w:bookmarkStart w:name="_Toc74140277" w:id="16"/>
      <w:r w:rsidRPr="004B6600">
        <w:t xml:space="preserve">B.4. </w:t>
      </w:r>
      <w:bookmarkStart w:name="_Toc434303325" w:id="17"/>
      <w:r w:rsidRPr="00853591" w:rsidR="0028320A">
        <w:t>Test of Procedures and Methods to be Undertaken</w:t>
      </w:r>
      <w:bookmarkEnd w:id="16"/>
      <w:bookmarkEnd w:id="17"/>
    </w:p>
    <w:p w:rsidR="00B101DB" w:rsidP="007F72F5" w:rsidRDefault="00CB2A00" w14:paraId="28036B9A" w14:textId="3B17BAF0">
      <w:pPr>
        <w:pStyle w:val="BodyText"/>
      </w:pPr>
      <w:r>
        <w:rPr>
          <w:b/>
          <w:i/>
          <w:szCs w:val="22"/>
        </w:rPr>
        <w:t>Survey Pilot Testing</w:t>
      </w:r>
      <w:r w:rsidRPr="00F53500">
        <w:rPr>
          <w:b/>
          <w:i/>
          <w:szCs w:val="22"/>
        </w:rPr>
        <w:t>.</w:t>
      </w:r>
      <w:r w:rsidRPr="00F53500">
        <w:rPr>
          <w:szCs w:val="22"/>
        </w:rPr>
        <w:t xml:space="preserve"> </w:t>
      </w:r>
      <w:r w:rsidR="00BE2EF6">
        <w:t xml:space="preserve">We </w:t>
      </w:r>
      <w:r w:rsidR="00553A03">
        <w:t>refined</w:t>
      </w:r>
      <w:r w:rsidRPr="00CB2A00">
        <w:t xml:space="preserve"> the survey</w:t>
      </w:r>
      <w:r w:rsidR="003C01BA">
        <w:t>s</w:t>
      </w:r>
      <w:r w:rsidRPr="00CB2A00">
        <w:t xml:space="preserve"> </w:t>
      </w:r>
      <w:r w:rsidR="00873FF5">
        <w:t>based on</w:t>
      </w:r>
      <w:r w:rsidRPr="00CB2A00" w:rsidR="00873FF5">
        <w:t xml:space="preserve"> </w:t>
      </w:r>
      <w:r w:rsidRPr="00CB2A00">
        <w:t>initial feedback</w:t>
      </w:r>
      <w:r w:rsidR="00873FF5">
        <w:t xml:space="preserve"> </w:t>
      </w:r>
      <w:r w:rsidR="00F92EE4">
        <w:t>from</w:t>
      </w:r>
      <w:r w:rsidRPr="00CB2A00">
        <w:t xml:space="preserve"> the study’s technical work group (TWG)</w:t>
      </w:r>
      <w:r w:rsidR="002E3BF1">
        <w:t xml:space="preserve"> and public comments</w:t>
      </w:r>
      <w:r w:rsidR="00ED53DC">
        <w:t>. We</w:t>
      </w:r>
      <w:r w:rsidR="00B212F2">
        <w:t xml:space="preserve"> </w:t>
      </w:r>
      <w:r w:rsidR="00ED53DC">
        <w:t>program</w:t>
      </w:r>
      <w:r w:rsidR="00E24B9E">
        <w:t>med</w:t>
      </w:r>
      <w:r w:rsidR="00ED53DC">
        <w:t xml:space="preserve"> </w:t>
      </w:r>
      <w:r>
        <w:t>t</w:t>
      </w:r>
      <w:r w:rsidR="004E4156">
        <w:t>he</w:t>
      </w:r>
      <w:r w:rsidRPr="0037420E" w:rsidR="00C31D47">
        <w:t xml:space="preserve"> </w:t>
      </w:r>
      <w:r w:rsidR="005A5EB0">
        <w:t>survey</w:t>
      </w:r>
      <w:r w:rsidR="00E24B9E">
        <w:t>s</w:t>
      </w:r>
      <w:r w:rsidR="005A5EB0">
        <w:t xml:space="preserve"> </w:t>
      </w:r>
      <w:r w:rsidR="00ED53DC">
        <w:t>and conduct</w:t>
      </w:r>
      <w:r w:rsidR="00635DDC">
        <w:t>ed</w:t>
      </w:r>
      <w:r w:rsidRPr="0037420E" w:rsidR="00C31D47">
        <w:t xml:space="preserve"> </w:t>
      </w:r>
      <w:r w:rsidR="00AF4A82">
        <w:t xml:space="preserve">the </w:t>
      </w:r>
      <w:r w:rsidR="003C01BA">
        <w:t xml:space="preserve">pilot </w:t>
      </w:r>
      <w:r w:rsidRPr="0037420E" w:rsidR="00C31D47">
        <w:t>testing.</w:t>
      </w:r>
      <w:r w:rsidR="00C31D47">
        <w:t xml:space="preserve"> </w:t>
      </w:r>
      <w:proofErr w:type="spellStart"/>
      <w:r w:rsidRPr="0037420E" w:rsidR="00C31D47">
        <w:t>Abt</w:t>
      </w:r>
      <w:proofErr w:type="spellEnd"/>
      <w:r w:rsidRPr="0037420E" w:rsidR="00C31D47">
        <w:t xml:space="preserve"> </w:t>
      </w:r>
      <w:r w:rsidR="004E4156">
        <w:t>follow</w:t>
      </w:r>
      <w:r w:rsidR="00E24B9E">
        <w:t>ed</w:t>
      </w:r>
      <w:r w:rsidR="004E4156">
        <w:t xml:space="preserve"> a</w:t>
      </w:r>
      <w:r w:rsidR="00C31D47">
        <w:t xml:space="preserve"> pre-determined script to </w:t>
      </w:r>
      <w:r w:rsidRPr="0037420E" w:rsidR="00C31D47">
        <w:t xml:space="preserve">ensure that all skip patterns and open-ended and </w:t>
      </w:r>
      <w:proofErr w:type="gramStart"/>
      <w:r w:rsidRPr="0037420E" w:rsidR="00C31D47">
        <w:t>multiple choice</w:t>
      </w:r>
      <w:proofErr w:type="gramEnd"/>
      <w:r w:rsidRPr="0037420E" w:rsidR="00C31D47">
        <w:t xml:space="preserve"> questions work</w:t>
      </w:r>
      <w:r w:rsidR="000C43C8">
        <w:t>ed</w:t>
      </w:r>
      <w:r w:rsidRPr="0037420E" w:rsidR="00C31D47">
        <w:t xml:space="preserve"> as intended.</w:t>
      </w:r>
      <w:r w:rsidR="00C31D47">
        <w:t xml:space="preserve"> </w:t>
      </w:r>
      <w:r w:rsidR="00ED53DC">
        <w:t xml:space="preserve">We </w:t>
      </w:r>
      <w:r w:rsidR="00E24B9E">
        <w:t>fixed</w:t>
      </w:r>
      <w:r w:rsidRPr="0037420E" w:rsidR="00C31D47">
        <w:t xml:space="preserve"> glitches </w:t>
      </w:r>
      <w:r w:rsidR="00ED53DC">
        <w:t>that we</w:t>
      </w:r>
      <w:r w:rsidR="00E24B9E">
        <w:t>re</w:t>
      </w:r>
      <w:r w:rsidR="00ED53DC">
        <w:t xml:space="preserve"> </w:t>
      </w:r>
      <w:r w:rsidRPr="0037420E" w:rsidR="00E24B9E">
        <w:t>identif</w:t>
      </w:r>
      <w:r w:rsidR="00E24B9E">
        <w:t>ied</w:t>
      </w:r>
      <w:r w:rsidRPr="0037420E" w:rsidR="00E24B9E">
        <w:t xml:space="preserve"> </w:t>
      </w:r>
      <w:r w:rsidRPr="0037420E" w:rsidR="00C31D47">
        <w:t xml:space="preserve">through this process before </w:t>
      </w:r>
      <w:r w:rsidRPr="004B6600" w:rsidR="00C31D47">
        <w:t>pilot</w:t>
      </w:r>
      <w:r w:rsidRPr="004B6600" w:rsidR="003C01BA">
        <w:t xml:space="preserve">ing </w:t>
      </w:r>
      <w:r w:rsidRPr="004B6600" w:rsidR="00C31D47">
        <w:t>the survey</w:t>
      </w:r>
      <w:r w:rsidRPr="004B6600" w:rsidR="003C01BA">
        <w:t>s</w:t>
      </w:r>
      <w:r w:rsidRPr="004B6600" w:rsidR="00C31D47">
        <w:t xml:space="preserve"> </w:t>
      </w:r>
      <w:r w:rsidR="00366378">
        <w:t>with</w:t>
      </w:r>
      <w:r w:rsidR="00AF4A82">
        <w:t xml:space="preserve"> </w:t>
      </w:r>
      <w:r w:rsidRPr="002E2554" w:rsidR="00373850">
        <w:t>six</w:t>
      </w:r>
      <w:r w:rsidR="00B101DB">
        <w:t xml:space="preserve"> </w:t>
      </w:r>
      <w:r w:rsidRPr="004B6600" w:rsidR="00E15E7B">
        <w:t>Title IV-A</w:t>
      </w:r>
      <w:r w:rsidRPr="004B6600" w:rsidR="00ED53DC">
        <w:t xml:space="preserve"> district coordinators who will not be included in the nationally</w:t>
      </w:r>
      <w:r w:rsidR="00853591">
        <w:t xml:space="preserve"> </w:t>
      </w:r>
      <w:r w:rsidRPr="004B6600" w:rsidR="00ED53DC">
        <w:lastRenderedPageBreak/>
        <w:t>representative sample</w:t>
      </w:r>
      <w:r w:rsidRPr="004B6600" w:rsidR="003C01BA">
        <w:t xml:space="preserve"> and </w:t>
      </w:r>
      <w:r w:rsidR="00366378">
        <w:t>with</w:t>
      </w:r>
      <w:r w:rsidRPr="004B6600" w:rsidR="003C01BA">
        <w:t xml:space="preserve"> </w:t>
      </w:r>
      <w:r w:rsidR="00E24B9E">
        <w:t>four</w:t>
      </w:r>
      <w:r w:rsidRPr="004B6600" w:rsidR="003C01BA">
        <w:t xml:space="preserve"> Title IV-A state coordinators</w:t>
      </w:r>
      <w:r w:rsidRPr="00B212F2" w:rsidR="00ED53DC">
        <w:t xml:space="preserve">. </w:t>
      </w:r>
      <w:proofErr w:type="gramStart"/>
      <w:r w:rsidRPr="00B212F2" w:rsidR="003C01BA">
        <w:t>In</w:t>
      </w:r>
      <w:r w:rsidR="003C01BA">
        <w:t xml:space="preserve"> order to</w:t>
      </w:r>
      <w:proofErr w:type="gramEnd"/>
      <w:r w:rsidR="003C01BA">
        <w:t xml:space="preserve"> avoid losing sample from the census of state coordinators, for those who completed a pilot survey, we will enter their data into the online form and ask them to review all existing responses for accuracy, so that we can make any necessary updates, and to complete any new items. </w:t>
      </w:r>
    </w:p>
    <w:p w:rsidR="002E2554" w:rsidP="00255B1F" w:rsidRDefault="003C01BA" w14:paraId="46EAA022" w14:textId="6A91F769">
      <w:r>
        <w:t>Pilot respondents</w:t>
      </w:r>
      <w:r w:rsidR="00513A43">
        <w:t xml:space="preserve"> </w:t>
      </w:r>
      <w:r w:rsidR="00E24B9E">
        <w:t>were</w:t>
      </w:r>
      <w:r w:rsidRPr="0037420E" w:rsidR="00C31D47">
        <w:t xml:space="preserve"> asked to </w:t>
      </w:r>
      <w:r w:rsidR="00C31D47">
        <w:t>provide</w:t>
      </w:r>
      <w:r w:rsidRPr="0037420E" w:rsidR="00C31D47">
        <w:t xml:space="preserve"> feedback on the clarity and content of the questions</w:t>
      </w:r>
      <w:r w:rsidR="00ED53DC">
        <w:t>, the usability of the survey,</w:t>
      </w:r>
      <w:r w:rsidR="00513A43">
        <w:t xml:space="preserve"> and</w:t>
      </w:r>
      <w:r w:rsidR="00C31D47">
        <w:t xml:space="preserve"> the time it took them to complete the survey</w:t>
      </w:r>
      <w:r w:rsidR="006E0C95">
        <w:t xml:space="preserve"> via </w:t>
      </w:r>
      <w:r w:rsidR="00E24B9E">
        <w:t xml:space="preserve">cognitive </w:t>
      </w:r>
      <w:r w:rsidR="00966C78">
        <w:t>telephone</w:t>
      </w:r>
      <w:r w:rsidR="006E0C95">
        <w:t xml:space="preserve"> interviews </w:t>
      </w:r>
      <w:r w:rsidR="00E24B9E">
        <w:t xml:space="preserve">directly </w:t>
      </w:r>
      <w:r w:rsidR="006E0C95">
        <w:t>following each respondent’s completion of the survey</w:t>
      </w:r>
      <w:r w:rsidR="00BC18A6">
        <w:t>.</w:t>
      </w:r>
      <w:r w:rsidR="00C31D47">
        <w:t xml:space="preserve"> </w:t>
      </w:r>
      <w:r w:rsidR="00B101DB">
        <w:t xml:space="preserve">As a result of pilot testing, </w:t>
      </w:r>
      <w:r w:rsidR="002E2554">
        <w:t>survey items were revised as follows:</w:t>
      </w:r>
    </w:p>
    <w:p w:rsidRPr="00267D38" w:rsidR="002E2554" w:rsidP="00267D38" w:rsidRDefault="002E2554" w14:paraId="320E1530" w14:textId="53AC2CD7">
      <w:pPr>
        <w:pStyle w:val="ListParagraph"/>
        <w:numPr>
          <w:ilvl w:val="0"/>
          <w:numId w:val="15"/>
        </w:numPr>
        <w:spacing w:after="0" w:line="240" w:lineRule="auto"/>
        <w:ind w:left="720"/>
        <w:contextualSpacing w:val="0"/>
        <w:rPr>
          <w:rFonts w:eastAsia="Times New Roman" w:asciiTheme="majorBidi" w:hAnsiTheme="majorBidi" w:cstheme="majorBidi"/>
        </w:rPr>
      </w:pPr>
      <w:r w:rsidRPr="00267D38">
        <w:rPr>
          <w:rFonts w:eastAsia="Times New Roman" w:asciiTheme="majorBidi" w:hAnsiTheme="majorBidi" w:cstheme="majorBidi"/>
        </w:rPr>
        <w:t xml:space="preserve">Questions that asked about the proportion of funds allocated or transferred were changed to dollar values to make the desired information clearer and easier to </w:t>
      </w:r>
      <w:proofErr w:type="gramStart"/>
      <w:r w:rsidRPr="00267D38">
        <w:rPr>
          <w:rFonts w:eastAsia="Times New Roman" w:asciiTheme="majorBidi" w:hAnsiTheme="majorBidi" w:cstheme="majorBidi"/>
        </w:rPr>
        <w:t>report</w:t>
      </w:r>
      <w:r>
        <w:rPr>
          <w:rFonts w:eastAsia="Times New Roman" w:asciiTheme="majorBidi" w:hAnsiTheme="majorBidi" w:cstheme="majorBidi"/>
        </w:rPr>
        <w:t>;</w:t>
      </w:r>
      <w:proofErr w:type="gramEnd"/>
      <w:r w:rsidRPr="00267D38">
        <w:rPr>
          <w:rFonts w:eastAsia="Times New Roman" w:asciiTheme="majorBidi" w:hAnsiTheme="majorBidi" w:cstheme="majorBidi"/>
        </w:rPr>
        <w:t xml:space="preserve"> </w:t>
      </w:r>
    </w:p>
    <w:p w:rsidRPr="00267D38" w:rsidR="002E2554" w:rsidP="00267D38" w:rsidRDefault="002E2554" w14:paraId="614FAE4C" w14:textId="12262174">
      <w:pPr>
        <w:pStyle w:val="ListParagraph"/>
        <w:numPr>
          <w:ilvl w:val="0"/>
          <w:numId w:val="15"/>
        </w:numPr>
        <w:spacing w:after="0" w:line="240" w:lineRule="auto"/>
        <w:ind w:left="720"/>
        <w:contextualSpacing w:val="0"/>
        <w:rPr>
          <w:rFonts w:eastAsia="Times New Roman" w:asciiTheme="majorBidi" w:hAnsiTheme="majorBidi" w:cstheme="majorBidi"/>
        </w:rPr>
      </w:pPr>
      <w:r w:rsidRPr="00267D38">
        <w:rPr>
          <w:rFonts w:eastAsia="Times New Roman" w:asciiTheme="majorBidi" w:hAnsiTheme="majorBidi" w:cstheme="majorBidi"/>
        </w:rPr>
        <w:t>Definitions of terms that were not clear, such as “Fiscal Year 2021” or “new activities</w:t>
      </w:r>
      <w:r>
        <w:rPr>
          <w:rFonts w:eastAsia="Times New Roman" w:asciiTheme="majorBidi" w:hAnsiTheme="majorBidi" w:cstheme="majorBidi"/>
        </w:rPr>
        <w:t>,</w:t>
      </w:r>
      <w:r w:rsidRPr="00267D38">
        <w:rPr>
          <w:rFonts w:eastAsia="Times New Roman" w:asciiTheme="majorBidi" w:hAnsiTheme="majorBidi" w:cstheme="majorBidi"/>
        </w:rPr>
        <w:t xml:space="preserve">” were </w:t>
      </w:r>
      <w:proofErr w:type="gramStart"/>
      <w:r w:rsidRPr="00267D38">
        <w:rPr>
          <w:rFonts w:eastAsia="Times New Roman" w:asciiTheme="majorBidi" w:hAnsiTheme="majorBidi" w:cstheme="majorBidi"/>
        </w:rPr>
        <w:t>clarified</w:t>
      </w:r>
      <w:r>
        <w:rPr>
          <w:rFonts w:eastAsia="Times New Roman" w:asciiTheme="majorBidi" w:hAnsiTheme="majorBidi" w:cstheme="majorBidi"/>
        </w:rPr>
        <w:t>;</w:t>
      </w:r>
      <w:proofErr w:type="gramEnd"/>
    </w:p>
    <w:p w:rsidRPr="00267D38" w:rsidR="002E2554" w:rsidP="00267D38" w:rsidRDefault="002E2554" w14:paraId="48DE8DF9" w14:textId="38CFACD4">
      <w:pPr>
        <w:pStyle w:val="ListParagraph"/>
        <w:numPr>
          <w:ilvl w:val="0"/>
          <w:numId w:val="15"/>
        </w:numPr>
        <w:spacing w:after="0" w:line="240" w:lineRule="auto"/>
        <w:ind w:left="720"/>
        <w:contextualSpacing w:val="0"/>
        <w:rPr>
          <w:rFonts w:eastAsia="Times New Roman" w:asciiTheme="majorBidi" w:hAnsiTheme="majorBidi" w:cstheme="majorBidi"/>
        </w:rPr>
      </w:pPr>
      <w:r w:rsidRPr="00267D38">
        <w:rPr>
          <w:rFonts w:eastAsia="Times New Roman" w:asciiTheme="majorBidi" w:hAnsiTheme="majorBidi" w:cstheme="majorBidi"/>
        </w:rPr>
        <w:t xml:space="preserve">Two new items were added to the state survey asking about waivers due to the coronavirus </w:t>
      </w:r>
      <w:proofErr w:type="gramStart"/>
      <w:r w:rsidRPr="00267D38">
        <w:rPr>
          <w:rFonts w:eastAsia="Times New Roman" w:asciiTheme="majorBidi" w:hAnsiTheme="majorBidi" w:cstheme="majorBidi"/>
        </w:rPr>
        <w:t>pandemic</w:t>
      </w:r>
      <w:r>
        <w:rPr>
          <w:rFonts w:eastAsia="Times New Roman" w:asciiTheme="majorBidi" w:hAnsiTheme="majorBidi" w:cstheme="majorBidi"/>
        </w:rPr>
        <w:t>;</w:t>
      </w:r>
      <w:proofErr w:type="gramEnd"/>
      <w:r w:rsidRPr="00267D38">
        <w:rPr>
          <w:rFonts w:eastAsia="Times New Roman" w:asciiTheme="majorBidi" w:hAnsiTheme="majorBidi" w:cstheme="majorBidi"/>
        </w:rPr>
        <w:t xml:space="preserve"> and</w:t>
      </w:r>
    </w:p>
    <w:p w:rsidRPr="00267D38" w:rsidR="002E2554" w:rsidP="00267D38" w:rsidRDefault="002E2554" w14:paraId="1CF966AC" w14:textId="77777777">
      <w:pPr>
        <w:pStyle w:val="ListParagraph"/>
        <w:numPr>
          <w:ilvl w:val="0"/>
          <w:numId w:val="15"/>
        </w:numPr>
        <w:spacing w:after="0" w:line="240" w:lineRule="auto"/>
        <w:ind w:left="720"/>
        <w:contextualSpacing w:val="0"/>
        <w:rPr>
          <w:rFonts w:eastAsia="Times New Roman" w:asciiTheme="majorBidi" w:hAnsiTheme="majorBidi" w:cstheme="majorBidi"/>
        </w:rPr>
      </w:pPr>
      <w:r w:rsidRPr="00267D38">
        <w:rPr>
          <w:rFonts w:eastAsia="Times New Roman" w:asciiTheme="majorBidi" w:hAnsiTheme="majorBidi" w:cstheme="majorBidi"/>
        </w:rPr>
        <w:t>A few new response options were added, and others were deleted to better account for programmatic concerns and areas of interest.</w:t>
      </w:r>
    </w:p>
    <w:p w:rsidR="002E2554" w:rsidP="00B101DB" w:rsidRDefault="002E2554" w14:paraId="00765B02" w14:textId="77777777">
      <w:pPr>
        <w:pStyle w:val="BodyText"/>
      </w:pPr>
    </w:p>
    <w:p w:rsidR="00553A03" w:rsidP="00B101DB" w:rsidRDefault="00F32B41" w14:paraId="6538C89E" w14:textId="38C01A59">
      <w:pPr>
        <w:pStyle w:val="BodyText"/>
      </w:pPr>
      <w:r>
        <w:t>Pilot r</w:t>
      </w:r>
      <w:r w:rsidRPr="00267D38" w:rsidR="00B101DB">
        <w:t xml:space="preserve">espondents did not express concern about the </w:t>
      </w:r>
      <w:r w:rsidR="00255B1F">
        <w:t xml:space="preserve">survey </w:t>
      </w:r>
      <w:r w:rsidRPr="00267D38" w:rsidR="00B101DB">
        <w:t xml:space="preserve">structure.  </w:t>
      </w:r>
      <w:r w:rsidRPr="00267D38" w:rsidR="00373850">
        <w:t>All surveys were completed within the estimated times</w:t>
      </w:r>
      <w:r w:rsidRPr="00267D38" w:rsidR="00B101DB">
        <w:t>.</w:t>
      </w:r>
    </w:p>
    <w:p w:rsidRPr="0086661B" w:rsidR="00E66800" w:rsidP="0028320A" w:rsidRDefault="00660C94" w14:paraId="25BFB4CC" w14:textId="77777777">
      <w:pPr>
        <w:pStyle w:val="Heading2"/>
      </w:pPr>
      <w:bookmarkStart w:name="_Toc74140278" w:id="18"/>
      <w:r w:rsidRPr="0086661B">
        <w:t xml:space="preserve">B.5. Individuals Consulted on Statistical Aspects </w:t>
      </w:r>
      <w:r w:rsidR="0028320A">
        <w:t>or</w:t>
      </w:r>
      <w:r w:rsidRPr="0086661B">
        <w:t xml:space="preserve"> Collecting or Analyzing Data</w:t>
      </w:r>
      <w:bookmarkEnd w:id="18"/>
    </w:p>
    <w:p w:rsidR="00531296" w:rsidP="008361EE" w:rsidRDefault="00531296" w14:paraId="4687AB3C" w14:textId="77777777">
      <w:pPr>
        <w:pStyle w:val="BodyText"/>
      </w:pPr>
      <w:r>
        <w:t xml:space="preserve">The </w:t>
      </w:r>
      <w:r w:rsidR="009D1431">
        <w:t xml:space="preserve">lead </w:t>
      </w:r>
      <w:r>
        <w:t xml:space="preserve">contractor for collection and analysis of data in this study </w:t>
      </w:r>
      <w:r w:rsidR="008F774A">
        <w:t xml:space="preserve">is </w:t>
      </w:r>
      <w:r>
        <w:t>Abt</w:t>
      </w:r>
      <w:r w:rsidR="00F34CCA">
        <w:t xml:space="preserve"> Associates</w:t>
      </w:r>
      <w:r w:rsidR="009D1431">
        <w:t>, wh</w:t>
      </w:r>
      <w:r w:rsidR="005E02B4">
        <w:t>ich</w:t>
      </w:r>
      <w:r w:rsidR="009D1431">
        <w:t xml:space="preserve"> is being supported by </w:t>
      </w:r>
      <w:r w:rsidR="009D1431">
        <w:rPr>
          <w:rFonts w:eastAsia="Cambria"/>
          <w:szCs w:val="24"/>
        </w:rPr>
        <w:t>RMC.</w:t>
      </w:r>
      <w:r w:rsidR="00F34CCA">
        <w:t xml:space="preserve"> </w:t>
      </w:r>
      <w:r w:rsidR="00853591">
        <w:t>The following individuals were consulted on the statistical aspects of the study:</w:t>
      </w:r>
    </w:p>
    <w:tbl>
      <w:tblPr>
        <w:tblStyle w:val="TableGrid"/>
        <w:tblW w:w="49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053"/>
        <w:gridCol w:w="1099"/>
        <w:gridCol w:w="2408"/>
        <w:gridCol w:w="3643"/>
      </w:tblGrid>
      <w:tr w:rsidRPr="003D7004" w:rsidR="00862840" w:rsidTr="001109A0" w14:paraId="5C3BDCD0" w14:textId="77777777">
        <w:tc>
          <w:tcPr>
            <w:tcW w:w="1115" w:type="pct"/>
          </w:tcPr>
          <w:p w:rsidRPr="003D7004" w:rsidR="00862840" w:rsidP="007F72F5" w:rsidRDefault="00853591" w14:paraId="5DC0EE51" w14:textId="77777777">
            <w:pPr>
              <w:pStyle w:val="BodyText"/>
              <w:tabs>
                <w:tab w:val="left" w:pos="2700"/>
              </w:tabs>
              <w:spacing w:after="0"/>
              <w:rPr>
                <w:b/>
                <w:i/>
              </w:rPr>
            </w:pPr>
            <w:r>
              <w:rPr>
                <w:b/>
                <w:i/>
              </w:rPr>
              <w:t>Name</w:t>
            </w:r>
          </w:p>
        </w:tc>
        <w:tc>
          <w:tcPr>
            <w:tcW w:w="597" w:type="pct"/>
          </w:tcPr>
          <w:p w:rsidRPr="003D7004" w:rsidR="00862840" w:rsidP="007F72F5" w:rsidRDefault="00862840" w14:paraId="4D838B3E" w14:textId="77777777">
            <w:pPr>
              <w:pStyle w:val="BodyText"/>
              <w:tabs>
                <w:tab w:val="left" w:pos="2700"/>
              </w:tabs>
              <w:spacing w:after="0"/>
              <w:rPr>
                <w:b/>
                <w:i/>
              </w:rPr>
            </w:pPr>
            <w:r>
              <w:rPr>
                <w:b/>
                <w:i/>
              </w:rPr>
              <w:t>Company</w:t>
            </w:r>
          </w:p>
        </w:tc>
        <w:tc>
          <w:tcPr>
            <w:tcW w:w="1308" w:type="pct"/>
          </w:tcPr>
          <w:p w:rsidRPr="003D7004" w:rsidR="00862840" w:rsidP="007F72F5" w:rsidRDefault="00862840" w14:paraId="4A819FFE" w14:textId="77777777">
            <w:pPr>
              <w:pStyle w:val="BodyText"/>
              <w:tabs>
                <w:tab w:val="left" w:pos="2700"/>
              </w:tabs>
              <w:spacing w:after="0"/>
              <w:rPr>
                <w:b/>
                <w:i/>
              </w:rPr>
            </w:pPr>
            <w:r w:rsidRPr="003D7004">
              <w:rPr>
                <w:b/>
                <w:i/>
              </w:rPr>
              <w:t>Project Role</w:t>
            </w:r>
          </w:p>
        </w:tc>
        <w:tc>
          <w:tcPr>
            <w:tcW w:w="1979" w:type="pct"/>
          </w:tcPr>
          <w:p w:rsidRPr="003D7004" w:rsidR="00862840" w:rsidP="007F72F5" w:rsidRDefault="00862840" w14:paraId="69E39E46" w14:textId="77777777">
            <w:pPr>
              <w:pStyle w:val="BodyText"/>
              <w:tabs>
                <w:tab w:val="left" w:pos="2700"/>
              </w:tabs>
              <w:spacing w:after="0"/>
              <w:rPr>
                <w:b/>
                <w:i/>
              </w:rPr>
            </w:pPr>
            <w:r w:rsidRPr="003D7004">
              <w:rPr>
                <w:b/>
                <w:i/>
              </w:rPr>
              <w:t>Email</w:t>
            </w:r>
          </w:p>
        </w:tc>
      </w:tr>
      <w:tr w:rsidRPr="003D7004" w:rsidR="001109A0" w:rsidTr="001109A0" w14:paraId="3647B56D" w14:textId="77777777">
        <w:tc>
          <w:tcPr>
            <w:tcW w:w="1115" w:type="pct"/>
          </w:tcPr>
          <w:p w:rsidRPr="003D7004" w:rsidR="001109A0" w:rsidP="007F72F5" w:rsidRDefault="001109A0" w14:paraId="7F92FB4A" w14:textId="77777777">
            <w:pPr>
              <w:pStyle w:val="BodyText"/>
              <w:tabs>
                <w:tab w:val="left" w:pos="2700"/>
              </w:tabs>
              <w:spacing w:after="0"/>
              <w:rPr>
                <w:b/>
                <w:i/>
              </w:rPr>
            </w:pPr>
            <w:r>
              <w:t>Cristofer Price</w:t>
            </w:r>
          </w:p>
        </w:tc>
        <w:tc>
          <w:tcPr>
            <w:tcW w:w="597" w:type="pct"/>
          </w:tcPr>
          <w:p w:rsidR="001109A0" w:rsidP="007F72F5" w:rsidRDefault="001109A0" w14:paraId="44BF3D05" w14:textId="77777777">
            <w:pPr>
              <w:pStyle w:val="BodyText"/>
              <w:tabs>
                <w:tab w:val="left" w:pos="2700"/>
              </w:tabs>
              <w:spacing w:after="0"/>
            </w:pPr>
            <w:r>
              <w:t>Abt</w:t>
            </w:r>
          </w:p>
        </w:tc>
        <w:tc>
          <w:tcPr>
            <w:tcW w:w="1308" w:type="pct"/>
          </w:tcPr>
          <w:p w:rsidRPr="003D7004" w:rsidR="001109A0" w:rsidP="007F72F5" w:rsidRDefault="001109A0" w14:paraId="7794BB76" w14:textId="77777777">
            <w:pPr>
              <w:pStyle w:val="BodyText"/>
              <w:tabs>
                <w:tab w:val="left" w:pos="2700"/>
              </w:tabs>
              <w:spacing w:after="0"/>
            </w:pPr>
            <w:r>
              <w:t>Director of Analysis</w:t>
            </w:r>
          </w:p>
        </w:tc>
        <w:tc>
          <w:tcPr>
            <w:tcW w:w="1979" w:type="pct"/>
          </w:tcPr>
          <w:p w:rsidRPr="001109A0" w:rsidR="001109A0" w:rsidP="007F72F5" w:rsidRDefault="00D84568" w14:paraId="1FE8851F" w14:textId="77777777">
            <w:pPr>
              <w:pStyle w:val="BodyText"/>
              <w:tabs>
                <w:tab w:val="left" w:pos="2700"/>
              </w:tabs>
              <w:spacing w:after="0"/>
              <w:rPr>
                <w:color w:val="0000FF"/>
                <w:u w:val="single"/>
              </w:rPr>
            </w:pPr>
            <w:hyperlink w:history="1" r:id="rId18">
              <w:r w:rsidRPr="00E24599" w:rsidR="001109A0">
                <w:rPr>
                  <w:rStyle w:val="Hyperlink"/>
                </w:rPr>
                <w:t>Cristofer_Price@abtassoc.com</w:t>
              </w:r>
            </w:hyperlink>
          </w:p>
        </w:tc>
      </w:tr>
      <w:tr w:rsidRPr="00455E18" w:rsidR="00C41F25" w:rsidTr="001109A0" w14:paraId="26681446" w14:textId="77777777">
        <w:tc>
          <w:tcPr>
            <w:tcW w:w="1115" w:type="pct"/>
          </w:tcPr>
          <w:p w:rsidR="00C41F25" w:rsidP="007F72F5" w:rsidRDefault="00C41F25" w14:paraId="7807F527" w14:textId="77777777">
            <w:pPr>
              <w:pStyle w:val="BodyText"/>
              <w:tabs>
                <w:tab w:val="left" w:pos="2700"/>
              </w:tabs>
              <w:spacing w:after="0"/>
            </w:pPr>
            <w:r>
              <w:t>Lou Rizzo</w:t>
            </w:r>
          </w:p>
        </w:tc>
        <w:tc>
          <w:tcPr>
            <w:tcW w:w="597" w:type="pct"/>
          </w:tcPr>
          <w:p w:rsidR="00C41F25" w:rsidP="007F72F5" w:rsidRDefault="00C41F25" w14:paraId="6454E236" w14:textId="77777777">
            <w:pPr>
              <w:pStyle w:val="BodyText"/>
              <w:tabs>
                <w:tab w:val="left" w:pos="2700"/>
              </w:tabs>
              <w:spacing w:after="0"/>
            </w:pPr>
            <w:r>
              <w:t>Westat</w:t>
            </w:r>
          </w:p>
        </w:tc>
        <w:tc>
          <w:tcPr>
            <w:tcW w:w="1308" w:type="pct"/>
          </w:tcPr>
          <w:p w:rsidR="00C41F25" w:rsidP="007F72F5" w:rsidRDefault="00C41F25" w14:paraId="27771400" w14:textId="77777777">
            <w:pPr>
              <w:pStyle w:val="BodyText"/>
              <w:tabs>
                <w:tab w:val="left" w:pos="2700"/>
              </w:tabs>
              <w:spacing w:after="0"/>
            </w:pPr>
            <w:r>
              <w:t>Sampling/Surveying</w:t>
            </w:r>
          </w:p>
        </w:tc>
        <w:tc>
          <w:tcPr>
            <w:tcW w:w="1979" w:type="pct"/>
          </w:tcPr>
          <w:p w:rsidRPr="004B6600" w:rsidR="00C41F25" w:rsidP="007F72F5" w:rsidRDefault="00D84568" w14:paraId="1E470A6F" w14:textId="77777777">
            <w:pPr>
              <w:pStyle w:val="BodyText"/>
              <w:tabs>
                <w:tab w:val="left" w:pos="2700"/>
              </w:tabs>
              <w:spacing w:after="0"/>
              <w:rPr>
                <w:lang w:val="pt-PT"/>
              </w:rPr>
            </w:pPr>
            <w:hyperlink w:history="1" r:id="rId19">
              <w:r w:rsidRPr="00887AEB" w:rsidR="00C41F25">
                <w:rPr>
                  <w:rStyle w:val="Hyperlink"/>
                  <w:lang w:val="pt-PT"/>
                </w:rPr>
                <w:t>LouRizzo@westat.com</w:t>
              </w:r>
            </w:hyperlink>
          </w:p>
        </w:tc>
      </w:tr>
      <w:tr w:rsidRPr="00C41F25" w:rsidR="00C41F25" w:rsidTr="001109A0" w14:paraId="3B2AB289" w14:textId="77777777">
        <w:tc>
          <w:tcPr>
            <w:tcW w:w="1115" w:type="pct"/>
          </w:tcPr>
          <w:p w:rsidRPr="004B6600" w:rsidR="00C41F25" w:rsidP="007F72F5" w:rsidRDefault="00C41F25" w14:paraId="01DE9401" w14:textId="77777777">
            <w:pPr>
              <w:pStyle w:val="BodyText"/>
              <w:tabs>
                <w:tab w:val="left" w:pos="2700"/>
              </w:tabs>
              <w:spacing w:after="0"/>
              <w:rPr>
                <w:lang w:val="pt-PT"/>
              </w:rPr>
            </w:pPr>
            <w:r>
              <w:rPr>
                <w:lang w:val="pt-PT"/>
              </w:rPr>
              <w:t>Keith Rust</w:t>
            </w:r>
          </w:p>
        </w:tc>
        <w:tc>
          <w:tcPr>
            <w:tcW w:w="597" w:type="pct"/>
          </w:tcPr>
          <w:p w:rsidRPr="004B6600" w:rsidR="00C41F25" w:rsidP="007F72F5" w:rsidRDefault="00C41F25" w14:paraId="52E0A448" w14:textId="77777777">
            <w:pPr>
              <w:pStyle w:val="BodyText"/>
              <w:tabs>
                <w:tab w:val="left" w:pos="2700"/>
              </w:tabs>
              <w:spacing w:after="0"/>
              <w:rPr>
                <w:lang w:val="pt-PT"/>
              </w:rPr>
            </w:pPr>
            <w:r>
              <w:rPr>
                <w:lang w:val="pt-PT"/>
              </w:rPr>
              <w:t>Westat</w:t>
            </w:r>
          </w:p>
        </w:tc>
        <w:tc>
          <w:tcPr>
            <w:tcW w:w="1308" w:type="pct"/>
          </w:tcPr>
          <w:p w:rsidRPr="004B6600" w:rsidR="00C41F25" w:rsidP="007F72F5" w:rsidRDefault="00C41F25" w14:paraId="0F0B47A9" w14:textId="77777777">
            <w:pPr>
              <w:pStyle w:val="BodyText"/>
              <w:tabs>
                <w:tab w:val="left" w:pos="2700"/>
              </w:tabs>
              <w:spacing w:after="0"/>
              <w:rPr>
                <w:lang w:val="pt-PT"/>
              </w:rPr>
            </w:pPr>
            <w:r>
              <w:t>Sampling/Surveying</w:t>
            </w:r>
          </w:p>
        </w:tc>
        <w:tc>
          <w:tcPr>
            <w:tcW w:w="1979" w:type="pct"/>
          </w:tcPr>
          <w:p w:rsidRPr="00C41F25" w:rsidR="00C41F25" w:rsidP="007F72F5" w:rsidRDefault="00D84568" w14:paraId="3EC8DF48" w14:textId="77777777">
            <w:pPr>
              <w:pStyle w:val="BodyText"/>
              <w:tabs>
                <w:tab w:val="left" w:pos="2700"/>
              </w:tabs>
              <w:spacing w:after="0"/>
            </w:pPr>
            <w:hyperlink w:history="1" r:id="rId20">
              <w:r w:rsidRPr="00C41F25" w:rsidR="00C41F25">
                <w:rPr>
                  <w:rStyle w:val="Hyperlink"/>
                </w:rPr>
                <w:t>KeithRust@westat.com</w:t>
              </w:r>
            </w:hyperlink>
          </w:p>
        </w:tc>
      </w:tr>
      <w:tr w:rsidRPr="00C41F25" w:rsidR="00C41F25" w:rsidTr="001109A0" w14:paraId="32987C90" w14:textId="77777777">
        <w:tc>
          <w:tcPr>
            <w:tcW w:w="1115" w:type="pct"/>
          </w:tcPr>
          <w:p w:rsidRPr="00C41F25" w:rsidR="00C41F25" w:rsidP="007F72F5" w:rsidRDefault="00C41F25" w14:paraId="70100264" w14:textId="77777777">
            <w:pPr>
              <w:pStyle w:val="BodyText"/>
              <w:tabs>
                <w:tab w:val="left" w:pos="2700"/>
              </w:tabs>
              <w:spacing w:after="0"/>
            </w:pPr>
            <w:r>
              <w:t>Patty Troppe</w:t>
            </w:r>
          </w:p>
        </w:tc>
        <w:tc>
          <w:tcPr>
            <w:tcW w:w="597" w:type="pct"/>
          </w:tcPr>
          <w:p w:rsidRPr="00C41F25" w:rsidR="00C41F25" w:rsidP="007F72F5" w:rsidRDefault="00C41F25" w14:paraId="3138A141" w14:textId="77777777">
            <w:pPr>
              <w:pStyle w:val="BodyText"/>
              <w:tabs>
                <w:tab w:val="left" w:pos="2700"/>
              </w:tabs>
              <w:spacing w:after="0"/>
            </w:pPr>
            <w:r>
              <w:t>Westat</w:t>
            </w:r>
          </w:p>
        </w:tc>
        <w:tc>
          <w:tcPr>
            <w:tcW w:w="1308" w:type="pct"/>
          </w:tcPr>
          <w:p w:rsidRPr="00C41F25" w:rsidR="00C41F25" w:rsidP="007F72F5" w:rsidRDefault="00C41F25" w14:paraId="648EF5E1" w14:textId="77777777">
            <w:pPr>
              <w:pStyle w:val="BodyText"/>
              <w:tabs>
                <w:tab w:val="left" w:pos="2700"/>
              </w:tabs>
              <w:spacing w:after="0"/>
            </w:pPr>
            <w:r>
              <w:t>Sampling/Surveying</w:t>
            </w:r>
          </w:p>
        </w:tc>
        <w:tc>
          <w:tcPr>
            <w:tcW w:w="1979" w:type="pct"/>
          </w:tcPr>
          <w:p w:rsidRPr="00C41F25" w:rsidR="00853591" w:rsidP="00853591" w:rsidRDefault="00D84568" w14:paraId="5B7BAC93" w14:textId="77777777">
            <w:pPr>
              <w:pStyle w:val="BodyText"/>
              <w:tabs>
                <w:tab w:val="left" w:pos="2700"/>
              </w:tabs>
              <w:spacing w:after="0"/>
            </w:pPr>
            <w:hyperlink w:history="1" r:id="rId21">
              <w:r w:rsidRPr="004B6600" w:rsidR="00853591">
                <w:rPr>
                  <w:rStyle w:val="Hyperlink"/>
                </w:rPr>
                <w:t>PattyTroppe@westat.c</w:t>
              </w:r>
              <w:r w:rsidRPr="00C65B95" w:rsidR="00853591">
                <w:rPr>
                  <w:rStyle w:val="Hyperlink"/>
                </w:rPr>
                <w:t>om</w:t>
              </w:r>
            </w:hyperlink>
          </w:p>
        </w:tc>
      </w:tr>
    </w:tbl>
    <w:p w:rsidR="00853591" w:rsidP="00853591" w:rsidRDefault="00853591" w14:paraId="1EEF6F24" w14:textId="77777777">
      <w:pPr>
        <w:pStyle w:val="BodyText"/>
        <w:spacing w:before="120"/>
      </w:pPr>
      <w:r>
        <w:t>The following individuals will be responsible for the data collection and analysis:</w:t>
      </w:r>
    </w:p>
    <w:tbl>
      <w:tblPr>
        <w:tblStyle w:val="TableGrid"/>
        <w:tblW w:w="49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053"/>
        <w:gridCol w:w="1099"/>
        <w:gridCol w:w="2408"/>
        <w:gridCol w:w="3643"/>
      </w:tblGrid>
      <w:tr w:rsidRPr="003D7004" w:rsidR="00853591" w:rsidTr="008A4E1D" w14:paraId="398E4F5E" w14:textId="77777777">
        <w:tc>
          <w:tcPr>
            <w:tcW w:w="1115" w:type="pct"/>
          </w:tcPr>
          <w:p w:rsidRPr="003D7004" w:rsidR="00853591" w:rsidP="008A4E1D" w:rsidRDefault="00853591" w14:paraId="62876ED9" w14:textId="77777777">
            <w:pPr>
              <w:pStyle w:val="BodyText"/>
              <w:tabs>
                <w:tab w:val="left" w:pos="2700"/>
              </w:tabs>
              <w:spacing w:after="0"/>
              <w:rPr>
                <w:b/>
                <w:i/>
              </w:rPr>
            </w:pPr>
            <w:r>
              <w:rPr>
                <w:b/>
                <w:i/>
              </w:rPr>
              <w:t>Name</w:t>
            </w:r>
          </w:p>
        </w:tc>
        <w:tc>
          <w:tcPr>
            <w:tcW w:w="597" w:type="pct"/>
          </w:tcPr>
          <w:p w:rsidRPr="003D7004" w:rsidR="00853591" w:rsidP="008A4E1D" w:rsidRDefault="00853591" w14:paraId="00B47292" w14:textId="77777777">
            <w:pPr>
              <w:pStyle w:val="BodyText"/>
              <w:tabs>
                <w:tab w:val="left" w:pos="2700"/>
              </w:tabs>
              <w:spacing w:after="0"/>
              <w:rPr>
                <w:b/>
                <w:i/>
              </w:rPr>
            </w:pPr>
            <w:r>
              <w:rPr>
                <w:b/>
                <w:i/>
              </w:rPr>
              <w:t>Company</w:t>
            </w:r>
          </w:p>
        </w:tc>
        <w:tc>
          <w:tcPr>
            <w:tcW w:w="1308" w:type="pct"/>
          </w:tcPr>
          <w:p w:rsidRPr="003D7004" w:rsidR="00853591" w:rsidP="008A4E1D" w:rsidRDefault="00853591" w14:paraId="259C088F" w14:textId="77777777">
            <w:pPr>
              <w:pStyle w:val="BodyText"/>
              <w:tabs>
                <w:tab w:val="left" w:pos="2700"/>
              </w:tabs>
              <w:spacing w:after="0"/>
              <w:rPr>
                <w:b/>
                <w:i/>
              </w:rPr>
            </w:pPr>
            <w:r w:rsidRPr="003D7004">
              <w:rPr>
                <w:b/>
                <w:i/>
              </w:rPr>
              <w:t>Project Role</w:t>
            </w:r>
          </w:p>
        </w:tc>
        <w:tc>
          <w:tcPr>
            <w:tcW w:w="1979" w:type="pct"/>
          </w:tcPr>
          <w:p w:rsidRPr="003D7004" w:rsidR="00853591" w:rsidP="008A4E1D" w:rsidRDefault="00853591" w14:paraId="6E010E4B" w14:textId="77777777">
            <w:pPr>
              <w:pStyle w:val="BodyText"/>
              <w:tabs>
                <w:tab w:val="left" w:pos="2700"/>
              </w:tabs>
              <w:spacing w:after="0"/>
              <w:rPr>
                <w:b/>
                <w:i/>
              </w:rPr>
            </w:pPr>
            <w:r w:rsidRPr="003D7004">
              <w:rPr>
                <w:b/>
                <w:i/>
              </w:rPr>
              <w:t>Email</w:t>
            </w:r>
          </w:p>
        </w:tc>
      </w:tr>
      <w:tr w:rsidRPr="003D7004" w:rsidR="00853591" w:rsidTr="008A4E1D" w14:paraId="36BDAF1F" w14:textId="77777777">
        <w:tc>
          <w:tcPr>
            <w:tcW w:w="1115" w:type="pct"/>
          </w:tcPr>
          <w:p w:rsidRPr="003D7004" w:rsidR="00853591" w:rsidP="008A4E1D" w:rsidRDefault="00853591" w14:paraId="23878B9D" w14:textId="77777777">
            <w:pPr>
              <w:pStyle w:val="BodyText"/>
              <w:tabs>
                <w:tab w:val="left" w:pos="2700"/>
              </w:tabs>
              <w:spacing w:after="0"/>
              <w:rPr>
                <w:b/>
                <w:i/>
              </w:rPr>
            </w:pPr>
            <w:r w:rsidRPr="003D7004">
              <w:t>Ellen Bobronnikov</w:t>
            </w:r>
          </w:p>
        </w:tc>
        <w:tc>
          <w:tcPr>
            <w:tcW w:w="597" w:type="pct"/>
          </w:tcPr>
          <w:p w:rsidR="00853591" w:rsidP="008A4E1D" w:rsidRDefault="00853591" w14:paraId="2203BDEF" w14:textId="77777777">
            <w:pPr>
              <w:pStyle w:val="BodyText"/>
              <w:tabs>
                <w:tab w:val="left" w:pos="2700"/>
              </w:tabs>
              <w:spacing w:after="0"/>
            </w:pPr>
            <w:r>
              <w:t>Abt</w:t>
            </w:r>
          </w:p>
        </w:tc>
        <w:tc>
          <w:tcPr>
            <w:tcW w:w="1308" w:type="pct"/>
          </w:tcPr>
          <w:p w:rsidRPr="003D7004" w:rsidR="00853591" w:rsidP="008A4E1D" w:rsidRDefault="00853591" w14:paraId="049A40A3" w14:textId="77777777">
            <w:pPr>
              <w:pStyle w:val="BodyText"/>
              <w:tabs>
                <w:tab w:val="left" w:pos="2700"/>
              </w:tabs>
              <w:spacing w:after="0"/>
            </w:pPr>
            <w:r>
              <w:t>Project Director</w:t>
            </w:r>
          </w:p>
        </w:tc>
        <w:tc>
          <w:tcPr>
            <w:tcW w:w="1979" w:type="pct"/>
          </w:tcPr>
          <w:p w:rsidRPr="003D7004" w:rsidR="00853591" w:rsidP="008A4E1D" w:rsidRDefault="00D84568" w14:paraId="2CAE5348" w14:textId="77777777">
            <w:pPr>
              <w:pStyle w:val="BodyText"/>
              <w:tabs>
                <w:tab w:val="left" w:pos="2700"/>
              </w:tabs>
              <w:spacing w:after="0"/>
            </w:pPr>
            <w:hyperlink w:history="1" r:id="rId22">
              <w:r w:rsidRPr="00FA485F" w:rsidR="00853591">
                <w:rPr>
                  <w:rStyle w:val="Hyperlink"/>
                </w:rPr>
                <w:t>Ellen_Bobronnikov@abtassoc.com</w:t>
              </w:r>
            </w:hyperlink>
          </w:p>
        </w:tc>
      </w:tr>
      <w:tr w:rsidRPr="003D7004" w:rsidR="00853591" w:rsidTr="008A4E1D" w14:paraId="6FDCEDE1" w14:textId="77777777">
        <w:tc>
          <w:tcPr>
            <w:tcW w:w="1115" w:type="pct"/>
          </w:tcPr>
          <w:p w:rsidRPr="003D7004" w:rsidR="00853591" w:rsidP="008A4E1D" w:rsidRDefault="00853591" w14:paraId="25F41A6B" w14:textId="77777777">
            <w:pPr>
              <w:pStyle w:val="BodyText"/>
              <w:tabs>
                <w:tab w:val="left" w:pos="2700"/>
              </w:tabs>
              <w:spacing w:after="0"/>
              <w:rPr>
                <w:b/>
                <w:i/>
              </w:rPr>
            </w:pPr>
            <w:r w:rsidRPr="003D7004">
              <w:t>Allan Porowski</w:t>
            </w:r>
          </w:p>
        </w:tc>
        <w:tc>
          <w:tcPr>
            <w:tcW w:w="597" w:type="pct"/>
          </w:tcPr>
          <w:p w:rsidRPr="00DD4844" w:rsidR="00853591" w:rsidP="008A4E1D" w:rsidRDefault="00853591" w14:paraId="20A652C4" w14:textId="77777777">
            <w:pPr>
              <w:pStyle w:val="BodyText"/>
              <w:tabs>
                <w:tab w:val="left" w:pos="2700"/>
              </w:tabs>
              <w:spacing w:after="0"/>
            </w:pPr>
            <w:r>
              <w:t>Abt</w:t>
            </w:r>
          </w:p>
        </w:tc>
        <w:tc>
          <w:tcPr>
            <w:tcW w:w="1308" w:type="pct"/>
          </w:tcPr>
          <w:p w:rsidRPr="003D7004" w:rsidR="00853591" w:rsidP="008A4E1D" w:rsidRDefault="00853591" w14:paraId="27C1DF27" w14:textId="77777777">
            <w:pPr>
              <w:pStyle w:val="BodyText"/>
              <w:tabs>
                <w:tab w:val="left" w:pos="2700"/>
              </w:tabs>
              <w:spacing w:after="0"/>
            </w:pPr>
            <w:r w:rsidRPr="00DD4844">
              <w:t>Senior Advisor</w:t>
            </w:r>
            <w:r w:rsidRPr="00EC6825">
              <w:rPr>
                <w:sz w:val="24"/>
                <w:szCs w:val="24"/>
              </w:rPr>
              <w:t xml:space="preserve"> </w:t>
            </w:r>
          </w:p>
        </w:tc>
        <w:tc>
          <w:tcPr>
            <w:tcW w:w="1979" w:type="pct"/>
          </w:tcPr>
          <w:p w:rsidRPr="003D7004" w:rsidR="00853591" w:rsidP="008A4E1D" w:rsidRDefault="00D84568" w14:paraId="539AAC9D" w14:textId="77777777">
            <w:pPr>
              <w:pStyle w:val="BodyText"/>
              <w:tabs>
                <w:tab w:val="left" w:pos="2700"/>
              </w:tabs>
              <w:spacing w:after="0"/>
            </w:pPr>
            <w:hyperlink w:history="1" r:id="rId23">
              <w:r w:rsidRPr="003D7004" w:rsidR="00853591">
                <w:rPr>
                  <w:rStyle w:val="Hyperlink"/>
                </w:rPr>
                <w:t>Allan_Porowski@abtassoc.com</w:t>
              </w:r>
            </w:hyperlink>
          </w:p>
        </w:tc>
      </w:tr>
      <w:tr w:rsidR="00853591" w:rsidTr="008A4E1D" w14:paraId="55429458" w14:textId="77777777">
        <w:tc>
          <w:tcPr>
            <w:tcW w:w="1115" w:type="pct"/>
          </w:tcPr>
          <w:p w:rsidR="00853591" w:rsidP="00853591" w:rsidRDefault="00853591" w14:paraId="099ED1B2" w14:textId="77777777">
            <w:pPr>
              <w:pStyle w:val="BodyText"/>
              <w:tabs>
                <w:tab w:val="left" w:pos="2700"/>
              </w:tabs>
              <w:spacing w:after="0"/>
            </w:pPr>
            <w:r>
              <w:t>Cristofer Price</w:t>
            </w:r>
          </w:p>
        </w:tc>
        <w:tc>
          <w:tcPr>
            <w:tcW w:w="597" w:type="pct"/>
          </w:tcPr>
          <w:p w:rsidR="00853591" w:rsidP="00853591" w:rsidRDefault="00853591" w14:paraId="2CDF3E01" w14:textId="77777777">
            <w:pPr>
              <w:pStyle w:val="BodyText"/>
              <w:tabs>
                <w:tab w:val="left" w:pos="2700"/>
              </w:tabs>
              <w:spacing w:after="0"/>
            </w:pPr>
            <w:r>
              <w:t>Abt</w:t>
            </w:r>
          </w:p>
        </w:tc>
        <w:tc>
          <w:tcPr>
            <w:tcW w:w="1308" w:type="pct"/>
          </w:tcPr>
          <w:p w:rsidR="00853591" w:rsidP="00853591" w:rsidRDefault="00853591" w14:paraId="0B5A89E1" w14:textId="77777777">
            <w:pPr>
              <w:pStyle w:val="BodyText"/>
              <w:tabs>
                <w:tab w:val="left" w:pos="2700"/>
              </w:tabs>
              <w:spacing w:after="0"/>
            </w:pPr>
            <w:r>
              <w:t>Director of Analysis</w:t>
            </w:r>
          </w:p>
        </w:tc>
        <w:tc>
          <w:tcPr>
            <w:tcW w:w="1979" w:type="pct"/>
          </w:tcPr>
          <w:p w:rsidR="00853591" w:rsidP="00853591" w:rsidRDefault="00D84568" w14:paraId="2B68243A" w14:textId="77777777">
            <w:pPr>
              <w:pStyle w:val="BodyText"/>
              <w:tabs>
                <w:tab w:val="left" w:pos="2700"/>
              </w:tabs>
              <w:spacing w:after="0"/>
            </w:pPr>
            <w:hyperlink w:history="1" r:id="rId24">
              <w:r w:rsidRPr="00E24599" w:rsidR="00853591">
                <w:rPr>
                  <w:rStyle w:val="Hyperlink"/>
                </w:rPr>
                <w:t>Cristofer_Price@abtassoc.com</w:t>
              </w:r>
            </w:hyperlink>
          </w:p>
        </w:tc>
      </w:tr>
      <w:tr w:rsidR="00853591" w:rsidTr="008A4E1D" w14:paraId="03C754E8" w14:textId="77777777">
        <w:tc>
          <w:tcPr>
            <w:tcW w:w="1115" w:type="pct"/>
          </w:tcPr>
          <w:p w:rsidR="00853591" w:rsidP="00853591" w:rsidRDefault="00853591" w14:paraId="7641D48C" w14:textId="77777777">
            <w:pPr>
              <w:pStyle w:val="BodyText"/>
              <w:tabs>
                <w:tab w:val="left" w:pos="2700"/>
              </w:tabs>
              <w:spacing w:after="0"/>
            </w:pPr>
            <w:r>
              <w:t>Radha Roy</w:t>
            </w:r>
          </w:p>
        </w:tc>
        <w:tc>
          <w:tcPr>
            <w:tcW w:w="597" w:type="pct"/>
          </w:tcPr>
          <w:p w:rsidR="00853591" w:rsidP="00853591" w:rsidRDefault="00853591" w14:paraId="5684043B" w14:textId="77777777">
            <w:pPr>
              <w:pStyle w:val="BodyText"/>
              <w:tabs>
                <w:tab w:val="left" w:pos="2700"/>
              </w:tabs>
              <w:spacing w:after="0"/>
            </w:pPr>
            <w:r>
              <w:t>Abt</w:t>
            </w:r>
          </w:p>
        </w:tc>
        <w:tc>
          <w:tcPr>
            <w:tcW w:w="1308" w:type="pct"/>
          </w:tcPr>
          <w:p w:rsidRPr="00DD4844" w:rsidR="00853591" w:rsidP="00853591" w:rsidRDefault="00853591" w14:paraId="21A33190" w14:textId="77777777">
            <w:pPr>
              <w:pStyle w:val="BodyText"/>
              <w:tabs>
                <w:tab w:val="left" w:pos="2700"/>
              </w:tabs>
              <w:spacing w:after="0"/>
            </w:pPr>
            <w:r>
              <w:t>Data Collection Lead</w:t>
            </w:r>
          </w:p>
        </w:tc>
        <w:tc>
          <w:tcPr>
            <w:tcW w:w="1979" w:type="pct"/>
          </w:tcPr>
          <w:p w:rsidRPr="006B5792" w:rsidR="00853591" w:rsidP="00853591" w:rsidRDefault="00D84568" w14:paraId="0CB12AE5" w14:textId="77777777">
            <w:pPr>
              <w:pStyle w:val="BodyText"/>
              <w:tabs>
                <w:tab w:val="left" w:pos="2700"/>
              </w:tabs>
              <w:spacing w:after="0"/>
              <w:rPr>
                <w:rStyle w:val="Hyperlink"/>
              </w:rPr>
            </w:pPr>
            <w:hyperlink w:history="1" r:id="rId25">
              <w:r w:rsidR="00853591">
                <w:rPr>
                  <w:rStyle w:val="Hyperlink"/>
                </w:rPr>
                <w:t>Radha_Roy</w:t>
              </w:r>
              <w:r w:rsidRPr="00E24599" w:rsidR="00853591">
                <w:rPr>
                  <w:rStyle w:val="Hyperlink"/>
                </w:rPr>
                <w:t>@abtassoc.com</w:t>
              </w:r>
            </w:hyperlink>
          </w:p>
        </w:tc>
      </w:tr>
      <w:tr w:rsidR="00853591" w:rsidTr="008A4E1D" w14:paraId="63DD9D89" w14:textId="77777777">
        <w:tc>
          <w:tcPr>
            <w:tcW w:w="1115" w:type="pct"/>
          </w:tcPr>
          <w:p w:rsidR="00853591" w:rsidP="00853591" w:rsidRDefault="00853591" w14:paraId="11110739" w14:textId="77777777">
            <w:pPr>
              <w:pStyle w:val="BodyText"/>
              <w:tabs>
                <w:tab w:val="left" w:pos="2700"/>
              </w:tabs>
              <w:spacing w:after="0"/>
            </w:pPr>
            <w:r>
              <w:t>Diana Sharp</w:t>
            </w:r>
          </w:p>
        </w:tc>
        <w:tc>
          <w:tcPr>
            <w:tcW w:w="597" w:type="pct"/>
          </w:tcPr>
          <w:p w:rsidR="00853591" w:rsidP="00853591" w:rsidRDefault="00853591" w14:paraId="554EDF5C" w14:textId="77777777">
            <w:pPr>
              <w:pStyle w:val="BodyText"/>
              <w:tabs>
                <w:tab w:val="left" w:pos="2700"/>
              </w:tabs>
              <w:spacing w:after="0"/>
            </w:pPr>
            <w:r>
              <w:t>RMC</w:t>
            </w:r>
          </w:p>
        </w:tc>
        <w:tc>
          <w:tcPr>
            <w:tcW w:w="1308" w:type="pct"/>
          </w:tcPr>
          <w:p w:rsidRPr="00DD4844" w:rsidR="00853591" w:rsidP="00853591" w:rsidRDefault="00853591" w14:paraId="4DDBBB77" w14:textId="77777777">
            <w:pPr>
              <w:pStyle w:val="BodyText"/>
              <w:tabs>
                <w:tab w:val="left" w:pos="2700"/>
              </w:tabs>
              <w:spacing w:after="0"/>
            </w:pPr>
            <w:r w:rsidRPr="00DD4844">
              <w:t>Senior Advisor</w:t>
            </w:r>
          </w:p>
        </w:tc>
        <w:tc>
          <w:tcPr>
            <w:tcW w:w="1979" w:type="pct"/>
          </w:tcPr>
          <w:p w:rsidRPr="006B5792" w:rsidR="00853591" w:rsidP="00853591" w:rsidRDefault="00853591" w14:paraId="01B3A56B" w14:textId="77777777">
            <w:pPr>
              <w:pStyle w:val="BodyText"/>
              <w:tabs>
                <w:tab w:val="left" w:pos="2700"/>
              </w:tabs>
              <w:spacing w:after="0"/>
              <w:rPr>
                <w:rStyle w:val="Hyperlink"/>
              </w:rPr>
            </w:pPr>
            <w:r>
              <w:rPr>
                <w:rStyle w:val="Hyperlink"/>
              </w:rPr>
              <w:t>dsharp@rmcres.com</w:t>
            </w:r>
          </w:p>
        </w:tc>
      </w:tr>
      <w:tr w:rsidR="00853591" w:rsidTr="008A4E1D" w14:paraId="509BD564" w14:textId="77777777">
        <w:tc>
          <w:tcPr>
            <w:tcW w:w="1115" w:type="pct"/>
          </w:tcPr>
          <w:p w:rsidR="00853591" w:rsidP="00853591" w:rsidRDefault="00853591" w14:paraId="47F17C4B" w14:textId="77777777">
            <w:pPr>
              <w:pStyle w:val="BodyText"/>
              <w:tabs>
                <w:tab w:val="left" w:pos="2700"/>
              </w:tabs>
              <w:spacing w:after="0"/>
            </w:pPr>
            <w:r>
              <w:t>Paul Smokowski</w:t>
            </w:r>
          </w:p>
        </w:tc>
        <w:tc>
          <w:tcPr>
            <w:tcW w:w="597" w:type="pct"/>
          </w:tcPr>
          <w:p w:rsidRPr="00DD4844" w:rsidR="00853591" w:rsidP="00853591" w:rsidRDefault="00853591" w14:paraId="163A2CD4" w14:textId="77777777">
            <w:pPr>
              <w:pStyle w:val="BodyText"/>
              <w:tabs>
                <w:tab w:val="left" w:pos="2700"/>
              </w:tabs>
              <w:spacing w:after="0"/>
            </w:pPr>
            <w:r>
              <w:t>RMC</w:t>
            </w:r>
          </w:p>
        </w:tc>
        <w:tc>
          <w:tcPr>
            <w:tcW w:w="1308" w:type="pct"/>
          </w:tcPr>
          <w:p w:rsidR="00853591" w:rsidP="00853591" w:rsidRDefault="00853591" w14:paraId="50D683DA" w14:textId="77777777">
            <w:pPr>
              <w:pStyle w:val="BodyText"/>
              <w:tabs>
                <w:tab w:val="left" w:pos="2700"/>
              </w:tabs>
              <w:spacing w:after="0"/>
            </w:pPr>
            <w:r w:rsidRPr="00DD4844">
              <w:t>Senior Advisor</w:t>
            </w:r>
          </w:p>
        </w:tc>
        <w:tc>
          <w:tcPr>
            <w:tcW w:w="1979" w:type="pct"/>
          </w:tcPr>
          <w:p w:rsidR="00853591" w:rsidP="00853591" w:rsidRDefault="00853591" w14:paraId="508D1CEF" w14:textId="77777777">
            <w:pPr>
              <w:pStyle w:val="BodyText"/>
              <w:tabs>
                <w:tab w:val="left" w:pos="2700"/>
              </w:tabs>
              <w:spacing w:after="0"/>
              <w:rPr>
                <w:rStyle w:val="Hyperlink"/>
              </w:rPr>
            </w:pPr>
            <w:r w:rsidRPr="006B5792">
              <w:rPr>
                <w:rStyle w:val="Hyperlink"/>
              </w:rPr>
              <w:t>psmokowski@rmcres.com</w:t>
            </w:r>
          </w:p>
        </w:tc>
      </w:tr>
    </w:tbl>
    <w:p w:rsidRPr="00C41F25" w:rsidR="008F35D4" w:rsidP="00B62098" w:rsidRDefault="008F35D4" w14:paraId="05562BA2" w14:textId="77777777">
      <w:pPr>
        <w:pStyle w:val="BodyText"/>
        <w:tabs>
          <w:tab w:val="left" w:pos="2700"/>
        </w:tabs>
        <w:spacing w:after="0"/>
      </w:pPr>
    </w:p>
    <w:p w:rsidR="00C41F25" w:rsidP="00B62098" w:rsidRDefault="00C41F25" w14:paraId="55D49235" w14:textId="77777777">
      <w:pPr>
        <w:pStyle w:val="BodyText"/>
        <w:tabs>
          <w:tab w:val="left" w:pos="2700"/>
        </w:tabs>
        <w:spacing w:after="0"/>
      </w:pPr>
    </w:p>
    <w:sectPr w:rsidR="00C41F25" w:rsidSect="00370094">
      <w:footerReference w:type="default" r:id="rId26"/>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B723" w14:textId="77777777" w:rsidR="007042B0" w:rsidRDefault="007042B0" w:rsidP="00D979EA">
      <w:r>
        <w:separator/>
      </w:r>
    </w:p>
  </w:endnote>
  <w:endnote w:type="continuationSeparator" w:id="0">
    <w:p w14:paraId="6BA020D8" w14:textId="77777777" w:rsidR="007042B0" w:rsidRDefault="007042B0" w:rsidP="00D979EA">
      <w:r>
        <w:continuationSeparator/>
      </w:r>
    </w:p>
  </w:endnote>
  <w:endnote w:type="continuationNotice" w:id="1">
    <w:p w14:paraId="79E8C329" w14:textId="77777777" w:rsidR="007042B0" w:rsidRDefault="00704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14D8" w14:textId="77777777" w:rsidR="000977C5" w:rsidRDefault="00097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2F81" w14:textId="77777777" w:rsidR="008A4E1D" w:rsidRDefault="008A4E1D" w:rsidP="003B7B74">
    <w:pPr>
      <w:pStyle w:val="Footer"/>
      <w:pBdr>
        <w:top w:val="single" w:sz="12" w:space="0" w:color="898D8D"/>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30D1" w14:textId="77777777" w:rsidR="000977C5" w:rsidRDefault="00097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48127"/>
      <w:docPartObj>
        <w:docPartGallery w:val="Page Numbers (Bottom of Page)"/>
        <w:docPartUnique/>
      </w:docPartObj>
    </w:sdtPr>
    <w:sdtEndPr>
      <w:rPr>
        <w:noProof/>
      </w:rPr>
    </w:sdtEndPr>
    <w:sdtContent>
      <w:p w14:paraId="275210FD" w14:textId="77777777" w:rsidR="008A4E1D" w:rsidRDefault="008A4E1D" w:rsidP="003B7B74">
        <w:pPr>
          <w:pStyle w:val="Footer"/>
        </w:pPr>
        <w:r w:rsidRPr="00967D7C">
          <w:rPr>
            <w:color w:val="DA291C"/>
          </w:rPr>
          <w:t>Abt Associates</w:t>
        </w:r>
        <w:r>
          <w:rPr>
            <w:color w:val="DA291C"/>
          </w:rPr>
          <w:tab/>
        </w:r>
        <w:r w:rsidRPr="0066134E">
          <w:rPr>
            <w:rStyle w:val="PageNumber"/>
            <w:b/>
          </w:rPr>
          <w:tab/>
        </w:r>
        <w:r>
          <w:rPr>
            <w:rStyle w:val="PageNumber"/>
            <w:b/>
          </w:rPr>
          <w:t xml:space="preserve">Title IV-A OMB Part B </w:t>
        </w:r>
        <w:r>
          <w:rPr>
            <w:rStyle w:val="PageNumber"/>
            <w:b/>
          </w:rPr>
          <w:t> </w:t>
        </w:r>
        <w:r>
          <w:rPr>
            <w:rStyle w:val="PageNumber"/>
            <w:rFonts w:cs="Arial"/>
            <w:b/>
          </w:rPr>
          <w:t>▌</w:t>
        </w:r>
        <w:r>
          <w:rPr>
            <w:rStyle w:val="PageNumber"/>
            <w:b/>
          </w:rPr>
          <w:t>pg.</w:t>
        </w:r>
        <w:r>
          <w:rPr>
            <w:rStyle w:val="PageNumber"/>
            <w:b/>
          </w:rPr>
          <w:t> </w:t>
        </w:r>
        <w:r>
          <w:fldChar w:fldCharType="begin"/>
        </w:r>
        <w:r>
          <w:instrText xml:space="preserve"> PAGE   \* MERGEFORMAT </w:instrText>
        </w:r>
        <w:r>
          <w:fldChar w:fldCharType="separate"/>
        </w:r>
        <w:r w:rsidR="00757D6E">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483738"/>
      <w:docPartObj>
        <w:docPartGallery w:val="Page Numbers (Bottom of Page)"/>
        <w:docPartUnique/>
      </w:docPartObj>
    </w:sdtPr>
    <w:sdtEndPr>
      <w:rPr>
        <w:noProof/>
      </w:rPr>
    </w:sdtEndPr>
    <w:sdtContent>
      <w:p w14:paraId="6758861F" w14:textId="77777777" w:rsidR="008A4E1D" w:rsidRDefault="008A4E1D" w:rsidP="00455E18">
        <w:pPr>
          <w:pStyle w:val="Footer"/>
          <w:tabs>
            <w:tab w:val="clear" w:pos="9000"/>
            <w:tab w:val="left" w:pos="372"/>
            <w:tab w:val="right" w:pos="9360"/>
          </w:tabs>
        </w:pPr>
        <w:r w:rsidRPr="00967D7C">
          <w:rPr>
            <w:color w:val="DA291C"/>
          </w:rPr>
          <w:t>Abt Associates</w:t>
        </w:r>
        <w:r>
          <w:rPr>
            <w:color w:val="DA291C"/>
          </w:rPr>
          <w:tab/>
        </w:r>
        <w:r w:rsidRPr="0066134E">
          <w:rPr>
            <w:rStyle w:val="PageNumber"/>
            <w:b/>
          </w:rPr>
          <w:tab/>
        </w:r>
        <w:r>
          <w:rPr>
            <w:rStyle w:val="PageNumber"/>
            <w:b/>
          </w:rPr>
          <w:t xml:space="preserve">Title IV-A OMB Part B </w:t>
        </w:r>
        <w:r>
          <w:rPr>
            <w:rStyle w:val="PageNumber"/>
            <w:b/>
          </w:rPr>
          <w:t> </w:t>
        </w:r>
        <w:r>
          <w:rPr>
            <w:rStyle w:val="PageNumber"/>
            <w:rFonts w:cs="Arial"/>
            <w:b/>
          </w:rPr>
          <w:t>▌</w:t>
        </w:r>
        <w:r>
          <w:rPr>
            <w:rStyle w:val="PageNumber"/>
            <w:b/>
          </w:rPr>
          <w:t>pg.</w:t>
        </w:r>
        <w:r>
          <w:rPr>
            <w:rStyle w:val="PageNumber"/>
            <w:b/>
          </w:rPr>
          <w:t> </w:t>
        </w:r>
        <w:r>
          <w:rPr>
            <w:rStyle w:val="PageNumber"/>
            <w:b/>
          </w:rPr>
          <w:t xml:space="preserve"> </w:t>
        </w:r>
        <w:sdt>
          <w:sdtPr>
            <w:id w:val="-105061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FB1">
              <w:rPr>
                <w:noProof/>
              </w:rPr>
              <w:t>7</w:t>
            </w:r>
            <w:r>
              <w:rPr>
                <w:noProof/>
              </w:rPr>
              <w:fldChar w:fldCharType="end"/>
            </w:r>
          </w:sdtContent>
        </w:sdt>
      </w:p>
      <w:p w14:paraId="4A1E5231" w14:textId="77777777" w:rsidR="008A4E1D" w:rsidRDefault="00D84568">
        <w:pPr>
          <w:pStyle w:val="Footer"/>
          <w:jc w:val="right"/>
        </w:pPr>
      </w:p>
    </w:sdtContent>
  </w:sdt>
  <w:p w14:paraId="0843F01B" w14:textId="77777777" w:rsidR="008A4E1D" w:rsidRDefault="008A4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F0DA" w14:textId="77777777" w:rsidR="007042B0" w:rsidRDefault="007042B0" w:rsidP="00D979EA">
      <w:r>
        <w:separator/>
      </w:r>
    </w:p>
  </w:footnote>
  <w:footnote w:type="continuationSeparator" w:id="0">
    <w:p w14:paraId="236023DE" w14:textId="77777777" w:rsidR="007042B0" w:rsidRDefault="007042B0" w:rsidP="00D979EA">
      <w:r>
        <w:continuationSeparator/>
      </w:r>
    </w:p>
  </w:footnote>
  <w:footnote w:type="continuationNotice" w:id="1">
    <w:p w14:paraId="61B008FF" w14:textId="77777777" w:rsidR="007042B0" w:rsidRDefault="007042B0">
      <w:pPr>
        <w:spacing w:after="0" w:line="240" w:lineRule="auto"/>
      </w:pPr>
    </w:p>
  </w:footnote>
  <w:footnote w:id="2">
    <w:p w14:paraId="385D0694" w14:textId="77777777" w:rsidR="008A4E1D" w:rsidRDefault="008A4E1D" w:rsidP="00D166F8">
      <w:pPr>
        <w:pStyle w:val="FootnoteText"/>
      </w:pPr>
      <w:r>
        <w:rPr>
          <w:rStyle w:val="FootnoteReference"/>
        </w:rPr>
        <w:footnoteRef/>
      </w:r>
      <w:r>
        <w:t xml:space="preserve"> </w:t>
      </w:r>
      <w:r>
        <w:tab/>
        <w:t xml:space="preserve">Since the American Virgin Islands, Guam, the Northern Mariana Islands, and American Samoa pool their Title IV-A funds as part of their consolidated budget, they will not be included in the study. </w:t>
      </w:r>
    </w:p>
  </w:footnote>
  <w:footnote w:id="3">
    <w:p w14:paraId="63D22CC3" w14:textId="77777777" w:rsidR="008A4E1D" w:rsidRDefault="008A4E1D">
      <w:pPr>
        <w:pStyle w:val="FootnoteText"/>
      </w:pPr>
      <w:r>
        <w:rPr>
          <w:rStyle w:val="FootnoteReference"/>
        </w:rPr>
        <w:footnoteRef/>
      </w:r>
      <w:r>
        <w:t xml:space="preserve"> </w:t>
      </w:r>
      <w:r>
        <w:tab/>
      </w:r>
      <w:r w:rsidRPr="00DD67A5">
        <w:t>https://ies.ed.gov/ncee/pubs/20174014/</w:t>
      </w:r>
    </w:p>
  </w:footnote>
  <w:footnote w:id="4">
    <w:p w14:paraId="110C1C3E" w14:textId="1C775841" w:rsidR="008A4E1D" w:rsidRDefault="008A4E1D">
      <w:pPr>
        <w:pStyle w:val="FootnoteText"/>
      </w:pPr>
      <w:r>
        <w:rPr>
          <w:rStyle w:val="FootnoteReference"/>
        </w:rPr>
        <w:footnoteRef/>
      </w:r>
      <w:r>
        <w:t xml:space="preserve"> </w:t>
      </w:r>
      <w:r>
        <w:tab/>
        <w:t>For a very small number of districts with an unknown allocation for FY 202</w:t>
      </w:r>
      <w:r w:rsidR="00573EC6">
        <w:t>0</w:t>
      </w:r>
      <w:r>
        <w:t>, we will use the most recent amount available (FY 2019).</w:t>
      </w:r>
    </w:p>
  </w:footnote>
  <w:footnote w:id="5">
    <w:p w14:paraId="7378F279" w14:textId="77777777" w:rsidR="000977C5" w:rsidRPr="0081689C" w:rsidRDefault="000977C5" w:rsidP="0081689C">
      <w:pPr>
        <w:pStyle w:val="NormalWeb"/>
        <w:ind w:left="270" w:hanging="270"/>
        <w:rPr>
          <w:sz w:val="20"/>
          <w:szCs w:val="20"/>
        </w:rPr>
      </w:pPr>
      <w:r>
        <w:rPr>
          <w:rStyle w:val="FootnoteReference"/>
        </w:rPr>
        <w:footnoteRef/>
      </w:r>
      <w:r>
        <w:t xml:space="preserve"> </w:t>
      </w:r>
      <w:r>
        <w:tab/>
      </w:r>
      <w:r w:rsidRPr="0081689C">
        <w:rPr>
          <w:sz w:val="20"/>
          <w:szCs w:val="20"/>
        </w:rPr>
        <w:t>The sample design also had the objective of being coordinated with the sample designs of two other IES implementation studies with district data collections in the 2021-22 school year. These are the IES Title III Study and the Implementation of Title I/II-A Program Initiatives. IES is coordinating the district sample designs across the three studies in an effort to minimize as much as possible the extent to which districts are sampled for more than one of the three studies.</w:t>
      </w:r>
    </w:p>
    <w:p w14:paraId="1E18ECC7" w14:textId="01FAFA7B" w:rsidR="000977C5" w:rsidRDefault="000977C5">
      <w:pPr>
        <w:pStyle w:val="FootnoteText"/>
      </w:pPr>
    </w:p>
  </w:footnote>
  <w:footnote w:id="6">
    <w:p w14:paraId="2D4029B3" w14:textId="77777777" w:rsidR="008A4E1D" w:rsidRPr="00B6315A" w:rsidRDefault="008A4E1D" w:rsidP="002864BD">
      <w:pPr>
        <w:pStyle w:val="FootnoteText"/>
      </w:pPr>
      <w:r>
        <w:rPr>
          <w:rStyle w:val="FootnoteReference"/>
        </w:rPr>
        <w:footnoteRef/>
      </w:r>
      <w:r>
        <w:t xml:space="preserve"> </w:t>
      </w:r>
      <w:r>
        <w:tab/>
      </w:r>
      <w:r w:rsidRPr="0038123E">
        <w:rPr>
          <w:sz w:val="18"/>
          <w:szCs w:val="18"/>
        </w:rPr>
        <w:t>The variance of a proportion is largest</w:t>
      </w:r>
      <w:r>
        <w:rPr>
          <w:sz w:val="18"/>
          <w:szCs w:val="18"/>
        </w:rPr>
        <w:t xml:space="preserve"> (and therefore confidence intervals are the widest)</w:t>
      </w:r>
      <w:r w:rsidRPr="0038123E">
        <w:rPr>
          <w:sz w:val="18"/>
          <w:szCs w:val="18"/>
        </w:rPr>
        <w:t xml:space="preserve"> at P=50% and decreases as P approaches 0 or 100% for a given sample size.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FD17" w14:textId="77777777" w:rsidR="000977C5" w:rsidRDefault="0009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687D" w14:textId="77777777" w:rsidR="000977C5" w:rsidRDefault="00097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71B" w14:textId="77777777" w:rsidR="000977C5" w:rsidRDefault="0009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7D50"/>
    <w:multiLevelType w:val="hybridMultilevel"/>
    <w:tmpl w:val="7A9C3A80"/>
    <w:lvl w:ilvl="0" w:tplc="8864D9C4">
      <w:start w:val="1"/>
      <w:numFmt w:val="bullet"/>
      <w:pStyle w:val="Bullets"/>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D056A"/>
    <w:multiLevelType w:val="hybridMultilevel"/>
    <w:tmpl w:val="73A04162"/>
    <w:lvl w:ilvl="0" w:tplc="E248950C">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62927"/>
    <w:multiLevelType w:val="hybridMultilevel"/>
    <w:tmpl w:val="09AED982"/>
    <w:lvl w:ilvl="0" w:tplc="E24895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0906E9B"/>
    <w:multiLevelType w:val="hybridMultilevel"/>
    <w:tmpl w:val="8B8AA25E"/>
    <w:lvl w:ilvl="0" w:tplc="0B96C35C">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15:restartNumberingAfterBreak="0">
    <w:nsid w:val="26147B5A"/>
    <w:multiLevelType w:val="hybridMultilevel"/>
    <w:tmpl w:val="1444F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09950CD"/>
    <w:multiLevelType w:val="hybridMultilevel"/>
    <w:tmpl w:val="426CBF48"/>
    <w:lvl w:ilvl="0" w:tplc="E24895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2110B"/>
    <w:multiLevelType w:val="multilevel"/>
    <w:tmpl w:val="7F485510"/>
    <w:lvl w:ilvl="0">
      <w:start w:val="1"/>
      <w:numFmt w:val="bullet"/>
      <w:lvlText w:val=""/>
      <w:lvlJc w:val="left"/>
      <w:pPr>
        <w:ind w:left="720" w:hanging="360"/>
      </w:pPr>
      <w:rPr>
        <w:rFonts w:ascii="Symbol" w:hAnsi="Symbol" w:hint="default"/>
        <w:color w:val="DA291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327C90"/>
    <w:multiLevelType w:val="hybridMultilevel"/>
    <w:tmpl w:val="E08E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15:restartNumberingAfterBreak="0">
    <w:nsid w:val="73462443"/>
    <w:multiLevelType w:val="hybridMultilevel"/>
    <w:tmpl w:val="7098190C"/>
    <w:lvl w:ilvl="0" w:tplc="98E04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65717"/>
    <w:multiLevelType w:val="hybridMultilevel"/>
    <w:tmpl w:val="70ACFD34"/>
    <w:lvl w:ilvl="0" w:tplc="791EFE30">
      <w:start w:val="1"/>
      <w:numFmt w:val="bullet"/>
      <w:pStyle w:val="Exhibit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13"/>
  </w:num>
  <w:num w:numId="6">
    <w:abstractNumId w:val="0"/>
  </w:num>
  <w:num w:numId="7">
    <w:abstractNumId w:val="9"/>
  </w:num>
  <w:num w:numId="8">
    <w:abstractNumId w:val="12"/>
  </w:num>
  <w:num w:numId="9">
    <w:abstractNumId w:val="0"/>
  </w:num>
  <w:num w:numId="10">
    <w:abstractNumId w:val="1"/>
  </w:num>
  <w:num w:numId="11">
    <w:abstractNumId w:val="7"/>
  </w:num>
  <w:num w:numId="12">
    <w:abstractNumId w:val="11"/>
  </w:num>
  <w:num w:numId="13">
    <w:abstractNumId w:val="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0796"/>
    <w:rsid w:val="00000A30"/>
    <w:rsid w:val="00001B0B"/>
    <w:rsid w:val="0000316F"/>
    <w:rsid w:val="000033F2"/>
    <w:rsid w:val="00003A2C"/>
    <w:rsid w:val="00004CE7"/>
    <w:rsid w:val="00005D0D"/>
    <w:rsid w:val="00005DEC"/>
    <w:rsid w:val="0000653F"/>
    <w:rsid w:val="00006B3A"/>
    <w:rsid w:val="00006C91"/>
    <w:rsid w:val="0001162F"/>
    <w:rsid w:val="00011AFD"/>
    <w:rsid w:val="000128E0"/>
    <w:rsid w:val="00012CE4"/>
    <w:rsid w:val="000136F3"/>
    <w:rsid w:val="00013D4F"/>
    <w:rsid w:val="00016E17"/>
    <w:rsid w:val="000212AB"/>
    <w:rsid w:val="00021927"/>
    <w:rsid w:val="00021CBF"/>
    <w:rsid w:val="00021EB4"/>
    <w:rsid w:val="0002216E"/>
    <w:rsid w:val="0002225E"/>
    <w:rsid w:val="00023383"/>
    <w:rsid w:val="000233C6"/>
    <w:rsid w:val="00023E15"/>
    <w:rsid w:val="00025EB1"/>
    <w:rsid w:val="00026651"/>
    <w:rsid w:val="00026AEA"/>
    <w:rsid w:val="000278C9"/>
    <w:rsid w:val="00030567"/>
    <w:rsid w:val="0003100B"/>
    <w:rsid w:val="00031026"/>
    <w:rsid w:val="0003201C"/>
    <w:rsid w:val="00034842"/>
    <w:rsid w:val="00034A84"/>
    <w:rsid w:val="00034A8E"/>
    <w:rsid w:val="00034CC7"/>
    <w:rsid w:val="00034FA1"/>
    <w:rsid w:val="00035447"/>
    <w:rsid w:val="00035589"/>
    <w:rsid w:val="000361D1"/>
    <w:rsid w:val="00040CAC"/>
    <w:rsid w:val="00040E00"/>
    <w:rsid w:val="00040E4B"/>
    <w:rsid w:val="000419E3"/>
    <w:rsid w:val="000429CD"/>
    <w:rsid w:val="00043274"/>
    <w:rsid w:val="00043C19"/>
    <w:rsid w:val="0004439F"/>
    <w:rsid w:val="00045C4F"/>
    <w:rsid w:val="00046192"/>
    <w:rsid w:val="00046728"/>
    <w:rsid w:val="00046805"/>
    <w:rsid w:val="00046B12"/>
    <w:rsid w:val="00047C7F"/>
    <w:rsid w:val="00050757"/>
    <w:rsid w:val="00050C7B"/>
    <w:rsid w:val="00050C9C"/>
    <w:rsid w:val="00050D22"/>
    <w:rsid w:val="00051627"/>
    <w:rsid w:val="00051901"/>
    <w:rsid w:val="00051B5C"/>
    <w:rsid w:val="00052449"/>
    <w:rsid w:val="000525E0"/>
    <w:rsid w:val="000528AD"/>
    <w:rsid w:val="00053EEF"/>
    <w:rsid w:val="000543DC"/>
    <w:rsid w:val="00055022"/>
    <w:rsid w:val="0005570B"/>
    <w:rsid w:val="00056133"/>
    <w:rsid w:val="0005656E"/>
    <w:rsid w:val="000569F3"/>
    <w:rsid w:val="000570A1"/>
    <w:rsid w:val="000572D5"/>
    <w:rsid w:val="000574BA"/>
    <w:rsid w:val="000574DD"/>
    <w:rsid w:val="0005750B"/>
    <w:rsid w:val="00057CE8"/>
    <w:rsid w:val="0006045E"/>
    <w:rsid w:val="00060934"/>
    <w:rsid w:val="00061151"/>
    <w:rsid w:val="00061468"/>
    <w:rsid w:val="00062FC6"/>
    <w:rsid w:val="0006321F"/>
    <w:rsid w:val="0006337D"/>
    <w:rsid w:val="00063553"/>
    <w:rsid w:val="000636EC"/>
    <w:rsid w:val="0006547A"/>
    <w:rsid w:val="0006587B"/>
    <w:rsid w:val="000665AA"/>
    <w:rsid w:val="00066852"/>
    <w:rsid w:val="00066A8A"/>
    <w:rsid w:val="0006738E"/>
    <w:rsid w:val="000679C3"/>
    <w:rsid w:val="00070322"/>
    <w:rsid w:val="0007201A"/>
    <w:rsid w:val="00072171"/>
    <w:rsid w:val="000733C0"/>
    <w:rsid w:val="0007406B"/>
    <w:rsid w:val="00074738"/>
    <w:rsid w:val="00074904"/>
    <w:rsid w:val="00077438"/>
    <w:rsid w:val="00080384"/>
    <w:rsid w:val="00080C36"/>
    <w:rsid w:val="000812B0"/>
    <w:rsid w:val="00081B3C"/>
    <w:rsid w:val="00081D4F"/>
    <w:rsid w:val="0008275F"/>
    <w:rsid w:val="00082B69"/>
    <w:rsid w:val="00082D01"/>
    <w:rsid w:val="000846F4"/>
    <w:rsid w:val="00084DE8"/>
    <w:rsid w:val="00085B40"/>
    <w:rsid w:val="00085DDC"/>
    <w:rsid w:val="0008640F"/>
    <w:rsid w:val="00086614"/>
    <w:rsid w:val="00087856"/>
    <w:rsid w:val="00087A41"/>
    <w:rsid w:val="000902AA"/>
    <w:rsid w:val="00091C6A"/>
    <w:rsid w:val="00092560"/>
    <w:rsid w:val="00092722"/>
    <w:rsid w:val="0009322C"/>
    <w:rsid w:val="000938B8"/>
    <w:rsid w:val="00095340"/>
    <w:rsid w:val="00095847"/>
    <w:rsid w:val="00095D40"/>
    <w:rsid w:val="000977C5"/>
    <w:rsid w:val="00097C4C"/>
    <w:rsid w:val="000A00A2"/>
    <w:rsid w:val="000A0561"/>
    <w:rsid w:val="000A11E6"/>
    <w:rsid w:val="000A1392"/>
    <w:rsid w:val="000A1C6D"/>
    <w:rsid w:val="000A2980"/>
    <w:rsid w:val="000A45AD"/>
    <w:rsid w:val="000A4CA9"/>
    <w:rsid w:val="000A4DF9"/>
    <w:rsid w:val="000A61AD"/>
    <w:rsid w:val="000A6A03"/>
    <w:rsid w:val="000A7D69"/>
    <w:rsid w:val="000B0B58"/>
    <w:rsid w:val="000B1595"/>
    <w:rsid w:val="000B1BAF"/>
    <w:rsid w:val="000B20B9"/>
    <w:rsid w:val="000B255B"/>
    <w:rsid w:val="000B271D"/>
    <w:rsid w:val="000B33D1"/>
    <w:rsid w:val="000B501D"/>
    <w:rsid w:val="000B603D"/>
    <w:rsid w:val="000B6547"/>
    <w:rsid w:val="000B70B2"/>
    <w:rsid w:val="000C00A6"/>
    <w:rsid w:val="000C078A"/>
    <w:rsid w:val="000C0A39"/>
    <w:rsid w:val="000C1744"/>
    <w:rsid w:val="000C18B5"/>
    <w:rsid w:val="000C1BF4"/>
    <w:rsid w:val="000C255B"/>
    <w:rsid w:val="000C3040"/>
    <w:rsid w:val="000C3676"/>
    <w:rsid w:val="000C3A4C"/>
    <w:rsid w:val="000C43C8"/>
    <w:rsid w:val="000C456F"/>
    <w:rsid w:val="000C55F3"/>
    <w:rsid w:val="000C61A0"/>
    <w:rsid w:val="000C74AB"/>
    <w:rsid w:val="000D062F"/>
    <w:rsid w:val="000D1406"/>
    <w:rsid w:val="000D1874"/>
    <w:rsid w:val="000D4104"/>
    <w:rsid w:val="000D4A4A"/>
    <w:rsid w:val="000D4BBC"/>
    <w:rsid w:val="000D50D2"/>
    <w:rsid w:val="000D53F1"/>
    <w:rsid w:val="000D5777"/>
    <w:rsid w:val="000D5D6B"/>
    <w:rsid w:val="000D6660"/>
    <w:rsid w:val="000D667F"/>
    <w:rsid w:val="000E000E"/>
    <w:rsid w:val="000E06FB"/>
    <w:rsid w:val="000E27DC"/>
    <w:rsid w:val="000E2E60"/>
    <w:rsid w:val="000E2EAF"/>
    <w:rsid w:val="000E3CAA"/>
    <w:rsid w:val="000E3F80"/>
    <w:rsid w:val="000E467E"/>
    <w:rsid w:val="000E5EE2"/>
    <w:rsid w:val="000E6B75"/>
    <w:rsid w:val="000E73F8"/>
    <w:rsid w:val="000E7939"/>
    <w:rsid w:val="000F0996"/>
    <w:rsid w:val="000F187F"/>
    <w:rsid w:val="000F2D21"/>
    <w:rsid w:val="000F53F4"/>
    <w:rsid w:val="000F5DF7"/>
    <w:rsid w:val="000F5E5C"/>
    <w:rsid w:val="000F6689"/>
    <w:rsid w:val="000F6FAF"/>
    <w:rsid w:val="000F718D"/>
    <w:rsid w:val="000F7E43"/>
    <w:rsid w:val="00100685"/>
    <w:rsid w:val="001009AC"/>
    <w:rsid w:val="00101158"/>
    <w:rsid w:val="0010120E"/>
    <w:rsid w:val="001034D7"/>
    <w:rsid w:val="001043EB"/>
    <w:rsid w:val="00104F2A"/>
    <w:rsid w:val="00106CA4"/>
    <w:rsid w:val="001073B1"/>
    <w:rsid w:val="00107A04"/>
    <w:rsid w:val="0011034C"/>
    <w:rsid w:val="001106CC"/>
    <w:rsid w:val="001109A0"/>
    <w:rsid w:val="001110E0"/>
    <w:rsid w:val="0011170B"/>
    <w:rsid w:val="0011461A"/>
    <w:rsid w:val="0011490A"/>
    <w:rsid w:val="00114B11"/>
    <w:rsid w:val="00116311"/>
    <w:rsid w:val="00116348"/>
    <w:rsid w:val="00116B9B"/>
    <w:rsid w:val="00117292"/>
    <w:rsid w:val="001178CA"/>
    <w:rsid w:val="00117D98"/>
    <w:rsid w:val="001201E9"/>
    <w:rsid w:val="0012066F"/>
    <w:rsid w:val="001212D0"/>
    <w:rsid w:val="001221F7"/>
    <w:rsid w:val="00123303"/>
    <w:rsid w:val="001239DF"/>
    <w:rsid w:val="00123EBF"/>
    <w:rsid w:val="00125035"/>
    <w:rsid w:val="001251DE"/>
    <w:rsid w:val="00125A2C"/>
    <w:rsid w:val="00125CF8"/>
    <w:rsid w:val="001264E9"/>
    <w:rsid w:val="00126AD7"/>
    <w:rsid w:val="0012735A"/>
    <w:rsid w:val="00130298"/>
    <w:rsid w:val="001307A5"/>
    <w:rsid w:val="00130DE3"/>
    <w:rsid w:val="001315D7"/>
    <w:rsid w:val="00131626"/>
    <w:rsid w:val="00131E75"/>
    <w:rsid w:val="00133465"/>
    <w:rsid w:val="00133672"/>
    <w:rsid w:val="0013531E"/>
    <w:rsid w:val="00135689"/>
    <w:rsid w:val="00135AF1"/>
    <w:rsid w:val="001360B6"/>
    <w:rsid w:val="0013739A"/>
    <w:rsid w:val="001375DA"/>
    <w:rsid w:val="001377CC"/>
    <w:rsid w:val="00140842"/>
    <w:rsid w:val="00141FE8"/>
    <w:rsid w:val="00142414"/>
    <w:rsid w:val="0014279B"/>
    <w:rsid w:val="00143366"/>
    <w:rsid w:val="00143A9E"/>
    <w:rsid w:val="00144BB7"/>
    <w:rsid w:val="00144FB7"/>
    <w:rsid w:val="00145973"/>
    <w:rsid w:val="00146BED"/>
    <w:rsid w:val="00147834"/>
    <w:rsid w:val="0015196A"/>
    <w:rsid w:val="00151DA6"/>
    <w:rsid w:val="001520B3"/>
    <w:rsid w:val="00152153"/>
    <w:rsid w:val="00152F98"/>
    <w:rsid w:val="001532C2"/>
    <w:rsid w:val="0015388E"/>
    <w:rsid w:val="00153BC3"/>
    <w:rsid w:val="00153DFD"/>
    <w:rsid w:val="0015478A"/>
    <w:rsid w:val="00155235"/>
    <w:rsid w:val="0015668F"/>
    <w:rsid w:val="00156D6E"/>
    <w:rsid w:val="00157E04"/>
    <w:rsid w:val="00160657"/>
    <w:rsid w:val="00160B16"/>
    <w:rsid w:val="00160B61"/>
    <w:rsid w:val="00160B87"/>
    <w:rsid w:val="00160CCD"/>
    <w:rsid w:val="00160EE5"/>
    <w:rsid w:val="00160F08"/>
    <w:rsid w:val="001616C0"/>
    <w:rsid w:val="001617C6"/>
    <w:rsid w:val="00162295"/>
    <w:rsid w:val="00162868"/>
    <w:rsid w:val="00163382"/>
    <w:rsid w:val="0016550D"/>
    <w:rsid w:val="00165821"/>
    <w:rsid w:val="00166018"/>
    <w:rsid w:val="00166429"/>
    <w:rsid w:val="00166A67"/>
    <w:rsid w:val="00166F81"/>
    <w:rsid w:val="001672EF"/>
    <w:rsid w:val="001677DC"/>
    <w:rsid w:val="001701E7"/>
    <w:rsid w:val="001719F9"/>
    <w:rsid w:val="00172119"/>
    <w:rsid w:val="00172AFB"/>
    <w:rsid w:val="00173E7F"/>
    <w:rsid w:val="001748F5"/>
    <w:rsid w:val="001753DD"/>
    <w:rsid w:val="00175F34"/>
    <w:rsid w:val="00181F43"/>
    <w:rsid w:val="001823B8"/>
    <w:rsid w:val="00185725"/>
    <w:rsid w:val="00185C71"/>
    <w:rsid w:val="00186694"/>
    <w:rsid w:val="00190447"/>
    <w:rsid w:val="00190AD3"/>
    <w:rsid w:val="001917DC"/>
    <w:rsid w:val="00191DCC"/>
    <w:rsid w:val="00193125"/>
    <w:rsid w:val="001936B5"/>
    <w:rsid w:val="0019370F"/>
    <w:rsid w:val="00193E1F"/>
    <w:rsid w:val="00196214"/>
    <w:rsid w:val="0019652C"/>
    <w:rsid w:val="001978FF"/>
    <w:rsid w:val="00197A06"/>
    <w:rsid w:val="00197BE5"/>
    <w:rsid w:val="001A04CE"/>
    <w:rsid w:val="001A0C2F"/>
    <w:rsid w:val="001A0E0A"/>
    <w:rsid w:val="001A19FC"/>
    <w:rsid w:val="001A23B5"/>
    <w:rsid w:val="001A269E"/>
    <w:rsid w:val="001A2B44"/>
    <w:rsid w:val="001A403F"/>
    <w:rsid w:val="001A4633"/>
    <w:rsid w:val="001A466F"/>
    <w:rsid w:val="001A5988"/>
    <w:rsid w:val="001A60C7"/>
    <w:rsid w:val="001A64B9"/>
    <w:rsid w:val="001A6750"/>
    <w:rsid w:val="001A67EC"/>
    <w:rsid w:val="001B02F9"/>
    <w:rsid w:val="001B04D1"/>
    <w:rsid w:val="001B0C26"/>
    <w:rsid w:val="001B15A5"/>
    <w:rsid w:val="001B1C8F"/>
    <w:rsid w:val="001B1DED"/>
    <w:rsid w:val="001B1E68"/>
    <w:rsid w:val="001B37FE"/>
    <w:rsid w:val="001B4509"/>
    <w:rsid w:val="001B4B12"/>
    <w:rsid w:val="001B4CD3"/>
    <w:rsid w:val="001B5964"/>
    <w:rsid w:val="001B7C40"/>
    <w:rsid w:val="001B7D48"/>
    <w:rsid w:val="001C0891"/>
    <w:rsid w:val="001C10AF"/>
    <w:rsid w:val="001C175D"/>
    <w:rsid w:val="001C1B46"/>
    <w:rsid w:val="001C2600"/>
    <w:rsid w:val="001C2C5A"/>
    <w:rsid w:val="001C62DA"/>
    <w:rsid w:val="001C6DD5"/>
    <w:rsid w:val="001C7324"/>
    <w:rsid w:val="001D03FB"/>
    <w:rsid w:val="001D1E18"/>
    <w:rsid w:val="001D38C1"/>
    <w:rsid w:val="001D466C"/>
    <w:rsid w:val="001D4974"/>
    <w:rsid w:val="001D49C4"/>
    <w:rsid w:val="001D4FDD"/>
    <w:rsid w:val="001D6107"/>
    <w:rsid w:val="001D62BB"/>
    <w:rsid w:val="001D6608"/>
    <w:rsid w:val="001D6618"/>
    <w:rsid w:val="001D77AC"/>
    <w:rsid w:val="001D7F4B"/>
    <w:rsid w:val="001E014B"/>
    <w:rsid w:val="001E044B"/>
    <w:rsid w:val="001E0D82"/>
    <w:rsid w:val="001E1164"/>
    <w:rsid w:val="001E1340"/>
    <w:rsid w:val="001E138F"/>
    <w:rsid w:val="001E2CF1"/>
    <w:rsid w:val="001E3879"/>
    <w:rsid w:val="001E499E"/>
    <w:rsid w:val="001E51A3"/>
    <w:rsid w:val="001E5276"/>
    <w:rsid w:val="001E528D"/>
    <w:rsid w:val="001E632F"/>
    <w:rsid w:val="001E6CB2"/>
    <w:rsid w:val="001E7348"/>
    <w:rsid w:val="001E7F13"/>
    <w:rsid w:val="001F2994"/>
    <w:rsid w:val="001F35E0"/>
    <w:rsid w:val="001F4FE2"/>
    <w:rsid w:val="001F52D8"/>
    <w:rsid w:val="001F65CB"/>
    <w:rsid w:val="001F6C55"/>
    <w:rsid w:val="001F6F02"/>
    <w:rsid w:val="001F7D73"/>
    <w:rsid w:val="002005C4"/>
    <w:rsid w:val="00200E58"/>
    <w:rsid w:val="00200F18"/>
    <w:rsid w:val="002015BD"/>
    <w:rsid w:val="002029E8"/>
    <w:rsid w:val="00202D40"/>
    <w:rsid w:val="002033F7"/>
    <w:rsid w:val="002037FB"/>
    <w:rsid w:val="0020479D"/>
    <w:rsid w:val="00204F17"/>
    <w:rsid w:val="0020624F"/>
    <w:rsid w:val="00206497"/>
    <w:rsid w:val="002064D3"/>
    <w:rsid w:val="00207C27"/>
    <w:rsid w:val="002106BF"/>
    <w:rsid w:val="00210A81"/>
    <w:rsid w:val="00212CF3"/>
    <w:rsid w:val="00213782"/>
    <w:rsid w:val="00213FCC"/>
    <w:rsid w:val="002140E3"/>
    <w:rsid w:val="00214C13"/>
    <w:rsid w:val="00216DBD"/>
    <w:rsid w:val="00216FCE"/>
    <w:rsid w:val="002176B8"/>
    <w:rsid w:val="002216AD"/>
    <w:rsid w:val="00221D99"/>
    <w:rsid w:val="00221E46"/>
    <w:rsid w:val="0022395F"/>
    <w:rsid w:val="00223A9F"/>
    <w:rsid w:val="00224D01"/>
    <w:rsid w:val="00225366"/>
    <w:rsid w:val="0022674D"/>
    <w:rsid w:val="00226824"/>
    <w:rsid w:val="00226843"/>
    <w:rsid w:val="00226E8D"/>
    <w:rsid w:val="00227142"/>
    <w:rsid w:val="002278CC"/>
    <w:rsid w:val="002278EB"/>
    <w:rsid w:val="00227977"/>
    <w:rsid w:val="00227BDD"/>
    <w:rsid w:val="00227FD3"/>
    <w:rsid w:val="00230A78"/>
    <w:rsid w:val="002313A8"/>
    <w:rsid w:val="002317DF"/>
    <w:rsid w:val="00231EF2"/>
    <w:rsid w:val="00231F11"/>
    <w:rsid w:val="00233A83"/>
    <w:rsid w:val="002342C9"/>
    <w:rsid w:val="0023449A"/>
    <w:rsid w:val="00234792"/>
    <w:rsid w:val="00234A57"/>
    <w:rsid w:val="00235022"/>
    <w:rsid w:val="0023568F"/>
    <w:rsid w:val="0023599D"/>
    <w:rsid w:val="002359F4"/>
    <w:rsid w:val="00235F88"/>
    <w:rsid w:val="002364F8"/>
    <w:rsid w:val="00236D19"/>
    <w:rsid w:val="002370C6"/>
    <w:rsid w:val="00240598"/>
    <w:rsid w:val="0024105E"/>
    <w:rsid w:val="00243216"/>
    <w:rsid w:val="0024325E"/>
    <w:rsid w:val="00244AF1"/>
    <w:rsid w:val="0024557B"/>
    <w:rsid w:val="00245968"/>
    <w:rsid w:val="00245D42"/>
    <w:rsid w:val="00247248"/>
    <w:rsid w:val="002478EA"/>
    <w:rsid w:val="00247C51"/>
    <w:rsid w:val="0025091C"/>
    <w:rsid w:val="0025160E"/>
    <w:rsid w:val="002518C1"/>
    <w:rsid w:val="00251B4F"/>
    <w:rsid w:val="00251D5C"/>
    <w:rsid w:val="00252D12"/>
    <w:rsid w:val="00255562"/>
    <w:rsid w:val="00255971"/>
    <w:rsid w:val="00255975"/>
    <w:rsid w:val="00255B1F"/>
    <w:rsid w:val="00255DBA"/>
    <w:rsid w:val="00257DD2"/>
    <w:rsid w:val="00260CFD"/>
    <w:rsid w:val="00260E74"/>
    <w:rsid w:val="00261A95"/>
    <w:rsid w:val="00261E38"/>
    <w:rsid w:val="00262351"/>
    <w:rsid w:val="00262E37"/>
    <w:rsid w:val="00263A70"/>
    <w:rsid w:val="00263AC4"/>
    <w:rsid w:val="002653A2"/>
    <w:rsid w:val="0026562B"/>
    <w:rsid w:val="00265AA1"/>
    <w:rsid w:val="00265ACA"/>
    <w:rsid w:val="00265E70"/>
    <w:rsid w:val="0026626C"/>
    <w:rsid w:val="0026777B"/>
    <w:rsid w:val="00267D38"/>
    <w:rsid w:val="002702F7"/>
    <w:rsid w:val="002708DF"/>
    <w:rsid w:val="002729E3"/>
    <w:rsid w:val="00273E45"/>
    <w:rsid w:val="00273EAA"/>
    <w:rsid w:val="00274265"/>
    <w:rsid w:val="002745CF"/>
    <w:rsid w:val="00275CFC"/>
    <w:rsid w:val="002764E7"/>
    <w:rsid w:val="00276702"/>
    <w:rsid w:val="00276AF5"/>
    <w:rsid w:val="00277272"/>
    <w:rsid w:val="0027781C"/>
    <w:rsid w:val="002819CF"/>
    <w:rsid w:val="00282D00"/>
    <w:rsid w:val="0028320A"/>
    <w:rsid w:val="0028324E"/>
    <w:rsid w:val="0028328D"/>
    <w:rsid w:val="002838F5"/>
    <w:rsid w:val="00284337"/>
    <w:rsid w:val="00284F8F"/>
    <w:rsid w:val="002853F9"/>
    <w:rsid w:val="00285AB1"/>
    <w:rsid w:val="00285BB6"/>
    <w:rsid w:val="002862B7"/>
    <w:rsid w:val="002864BD"/>
    <w:rsid w:val="0028733F"/>
    <w:rsid w:val="002912C9"/>
    <w:rsid w:val="002920BB"/>
    <w:rsid w:val="002927E0"/>
    <w:rsid w:val="0029283A"/>
    <w:rsid w:val="0029491C"/>
    <w:rsid w:val="00294E6B"/>
    <w:rsid w:val="00295C32"/>
    <w:rsid w:val="00295F41"/>
    <w:rsid w:val="00297031"/>
    <w:rsid w:val="002A0482"/>
    <w:rsid w:val="002A07A8"/>
    <w:rsid w:val="002A0ABA"/>
    <w:rsid w:val="002A12EE"/>
    <w:rsid w:val="002A177A"/>
    <w:rsid w:val="002A1DBD"/>
    <w:rsid w:val="002A23CE"/>
    <w:rsid w:val="002A3954"/>
    <w:rsid w:val="002A4078"/>
    <w:rsid w:val="002A485D"/>
    <w:rsid w:val="002A5CE0"/>
    <w:rsid w:val="002A5E93"/>
    <w:rsid w:val="002A7324"/>
    <w:rsid w:val="002A7353"/>
    <w:rsid w:val="002A7700"/>
    <w:rsid w:val="002B0679"/>
    <w:rsid w:val="002B0799"/>
    <w:rsid w:val="002B0A61"/>
    <w:rsid w:val="002B1146"/>
    <w:rsid w:val="002B17D8"/>
    <w:rsid w:val="002B2F3C"/>
    <w:rsid w:val="002B3BEB"/>
    <w:rsid w:val="002B466B"/>
    <w:rsid w:val="002B4C90"/>
    <w:rsid w:val="002B64E8"/>
    <w:rsid w:val="002C1847"/>
    <w:rsid w:val="002C1B6C"/>
    <w:rsid w:val="002C2211"/>
    <w:rsid w:val="002C2485"/>
    <w:rsid w:val="002C32AB"/>
    <w:rsid w:val="002C37EE"/>
    <w:rsid w:val="002C41F9"/>
    <w:rsid w:val="002C4495"/>
    <w:rsid w:val="002C4D43"/>
    <w:rsid w:val="002C5AC8"/>
    <w:rsid w:val="002C5FBA"/>
    <w:rsid w:val="002C6094"/>
    <w:rsid w:val="002C6DEC"/>
    <w:rsid w:val="002C70A4"/>
    <w:rsid w:val="002C7556"/>
    <w:rsid w:val="002C76AB"/>
    <w:rsid w:val="002D01E3"/>
    <w:rsid w:val="002D04B8"/>
    <w:rsid w:val="002D17E8"/>
    <w:rsid w:val="002D1BF6"/>
    <w:rsid w:val="002D3171"/>
    <w:rsid w:val="002D342A"/>
    <w:rsid w:val="002D3BC2"/>
    <w:rsid w:val="002D4536"/>
    <w:rsid w:val="002D4E71"/>
    <w:rsid w:val="002D5525"/>
    <w:rsid w:val="002D5BCD"/>
    <w:rsid w:val="002D6741"/>
    <w:rsid w:val="002D77F4"/>
    <w:rsid w:val="002E0287"/>
    <w:rsid w:val="002E17BF"/>
    <w:rsid w:val="002E19AF"/>
    <w:rsid w:val="002E2554"/>
    <w:rsid w:val="002E2910"/>
    <w:rsid w:val="002E2A3E"/>
    <w:rsid w:val="002E2EA0"/>
    <w:rsid w:val="002E3BF1"/>
    <w:rsid w:val="002E45AE"/>
    <w:rsid w:val="002E5714"/>
    <w:rsid w:val="002E5F4B"/>
    <w:rsid w:val="002E64AE"/>
    <w:rsid w:val="002E78C0"/>
    <w:rsid w:val="002E7C2F"/>
    <w:rsid w:val="002E7EF1"/>
    <w:rsid w:val="002F1652"/>
    <w:rsid w:val="002F2DF7"/>
    <w:rsid w:val="002F43F1"/>
    <w:rsid w:val="002F468C"/>
    <w:rsid w:val="002F46F3"/>
    <w:rsid w:val="002F48C8"/>
    <w:rsid w:val="002F55CE"/>
    <w:rsid w:val="002F59B9"/>
    <w:rsid w:val="002F5FC5"/>
    <w:rsid w:val="002F6770"/>
    <w:rsid w:val="002F76F5"/>
    <w:rsid w:val="002F76F7"/>
    <w:rsid w:val="002F7B22"/>
    <w:rsid w:val="003019E2"/>
    <w:rsid w:val="0030265D"/>
    <w:rsid w:val="00303C4D"/>
    <w:rsid w:val="003048BE"/>
    <w:rsid w:val="003049B1"/>
    <w:rsid w:val="003073BF"/>
    <w:rsid w:val="00307D4F"/>
    <w:rsid w:val="00310540"/>
    <w:rsid w:val="003119A4"/>
    <w:rsid w:val="00312469"/>
    <w:rsid w:val="003126A7"/>
    <w:rsid w:val="00312A69"/>
    <w:rsid w:val="00312C34"/>
    <w:rsid w:val="0031306E"/>
    <w:rsid w:val="0031331F"/>
    <w:rsid w:val="00313C61"/>
    <w:rsid w:val="00313CEC"/>
    <w:rsid w:val="003140E1"/>
    <w:rsid w:val="00314561"/>
    <w:rsid w:val="00314A8A"/>
    <w:rsid w:val="003160CF"/>
    <w:rsid w:val="00317ACD"/>
    <w:rsid w:val="003203C7"/>
    <w:rsid w:val="003207B6"/>
    <w:rsid w:val="003208AB"/>
    <w:rsid w:val="003209E8"/>
    <w:rsid w:val="00321D95"/>
    <w:rsid w:val="00324EC2"/>
    <w:rsid w:val="00325826"/>
    <w:rsid w:val="003260BA"/>
    <w:rsid w:val="00326A95"/>
    <w:rsid w:val="003279F2"/>
    <w:rsid w:val="00327F4B"/>
    <w:rsid w:val="003316F5"/>
    <w:rsid w:val="00331DE5"/>
    <w:rsid w:val="003324AC"/>
    <w:rsid w:val="003330A0"/>
    <w:rsid w:val="00335DC7"/>
    <w:rsid w:val="00336055"/>
    <w:rsid w:val="0033616D"/>
    <w:rsid w:val="00337E8C"/>
    <w:rsid w:val="0034076B"/>
    <w:rsid w:val="00340971"/>
    <w:rsid w:val="00341B07"/>
    <w:rsid w:val="00341B5A"/>
    <w:rsid w:val="00342BA9"/>
    <w:rsid w:val="00342BF6"/>
    <w:rsid w:val="00344E99"/>
    <w:rsid w:val="003455BC"/>
    <w:rsid w:val="003457A9"/>
    <w:rsid w:val="00346558"/>
    <w:rsid w:val="00347ED3"/>
    <w:rsid w:val="003503DA"/>
    <w:rsid w:val="00350CBC"/>
    <w:rsid w:val="00350DCC"/>
    <w:rsid w:val="00351188"/>
    <w:rsid w:val="00352AE5"/>
    <w:rsid w:val="00353BC9"/>
    <w:rsid w:val="00354503"/>
    <w:rsid w:val="00356BCC"/>
    <w:rsid w:val="00360197"/>
    <w:rsid w:val="00361B91"/>
    <w:rsid w:val="003623F0"/>
    <w:rsid w:val="00362FE8"/>
    <w:rsid w:val="00363930"/>
    <w:rsid w:val="00364502"/>
    <w:rsid w:val="00364FEC"/>
    <w:rsid w:val="00366378"/>
    <w:rsid w:val="00366DA6"/>
    <w:rsid w:val="00370094"/>
    <w:rsid w:val="00370164"/>
    <w:rsid w:val="0037038A"/>
    <w:rsid w:val="00370EAD"/>
    <w:rsid w:val="003711CD"/>
    <w:rsid w:val="003715FE"/>
    <w:rsid w:val="00371AA8"/>
    <w:rsid w:val="0037335B"/>
    <w:rsid w:val="00373850"/>
    <w:rsid w:val="003739FB"/>
    <w:rsid w:val="0037420E"/>
    <w:rsid w:val="003742EC"/>
    <w:rsid w:val="00374A08"/>
    <w:rsid w:val="0037597A"/>
    <w:rsid w:val="003764E8"/>
    <w:rsid w:val="00380DB1"/>
    <w:rsid w:val="0038154D"/>
    <w:rsid w:val="00382FD9"/>
    <w:rsid w:val="0038325D"/>
    <w:rsid w:val="00383BFC"/>
    <w:rsid w:val="00384611"/>
    <w:rsid w:val="00384CA0"/>
    <w:rsid w:val="003870BA"/>
    <w:rsid w:val="00391492"/>
    <w:rsid w:val="00391E65"/>
    <w:rsid w:val="00393212"/>
    <w:rsid w:val="00393BAE"/>
    <w:rsid w:val="00393CBB"/>
    <w:rsid w:val="00394C6A"/>
    <w:rsid w:val="00395A89"/>
    <w:rsid w:val="00395D6D"/>
    <w:rsid w:val="003960DD"/>
    <w:rsid w:val="00396356"/>
    <w:rsid w:val="00397E85"/>
    <w:rsid w:val="003A04C0"/>
    <w:rsid w:val="003A1A00"/>
    <w:rsid w:val="003A2FA8"/>
    <w:rsid w:val="003A3403"/>
    <w:rsid w:val="003A40C5"/>
    <w:rsid w:val="003A537C"/>
    <w:rsid w:val="003A58F1"/>
    <w:rsid w:val="003A5CCC"/>
    <w:rsid w:val="003A65AC"/>
    <w:rsid w:val="003A7C81"/>
    <w:rsid w:val="003A7D8D"/>
    <w:rsid w:val="003B006D"/>
    <w:rsid w:val="003B3110"/>
    <w:rsid w:val="003B366F"/>
    <w:rsid w:val="003B4770"/>
    <w:rsid w:val="003B47C4"/>
    <w:rsid w:val="003B4A7F"/>
    <w:rsid w:val="003B4DE7"/>
    <w:rsid w:val="003B5496"/>
    <w:rsid w:val="003B5860"/>
    <w:rsid w:val="003B6506"/>
    <w:rsid w:val="003B790C"/>
    <w:rsid w:val="003B7B74"/>
    <w:rsid w:val="003B7D96"/>
    <w:rsid w:val="003C01BA"/>
    <w:rsid w:val="003C0278"/>
    <w:rsid w:val="003C0294"/>
    <w:rsid w:val="003C20BF"/>
    <w:rsid w:val="003C2452"/>
    <w:rsid w:val="003C2B25"/>
    <w:rsid w:val="003C3E25"/>
    <w:rsid w:val="003C3E76"/>
    <w:rsid w:val="003C3FDA"/>
    <w:rsid w:val="003C410C"/>
    <w:rsid w:val="003C4541"/>
    <w:rsid w:val="003C5729"/>
    <w:rsid w:val="003C6404"/>
    <w:rsid w:val="003C76B2"/>
    <w:rsid w:val="003C7C49"/>
    <w:rsid w:val="003C7CED"/>
    <w:rsid w:val="003D026B"/>
    <w:rsid w:val="003D0EAC"/>
    <w:rsid w:val="003D0F13"/>
    <w:rsid w:val="003D1708"/>
    <w:rsid w:val="003D2607"/>
    <w:rsid w:val="003D2C2F"/>
    <w:rsid w:val="003D2CA8"/>
    <w:rsid w:val="003D302E"/>
    <w:rsid w:val="003D31B0"/>
    <w:rsid w:val="003D468A"/>
    <w:rsid w:val="003D5616"/>
    <w:rsid w:val="003D7004"/>
    <w:rsid w:val="003D7DFE"/>
    <w:rsid w:val="003E06CE"/>
    <w:rsid w:val="003E2170"/>
    <w:rsid w:val="003E3241"/>
    <w:rsid w:val="003E329B"/>
    <w:rsid w:val="003E3F39"/>
    <w:rsid w:val="003E4651"/>
    <w:rsid w:val="003E4B05"/>
    <w:rsid w:val="003E4C08"/>
    <w:rsid w:val="003E53D7"/>
    <w:rsid w:val="003E564B"/>
    <w:rsid w:val="003E666B"/>
    <w:rsid w:val="003E69D0"/>
    <w:rsid w:val="003E6C8A"/>
    <w:rsid w:val="003E7193"/>
    <w:rsid w:val="003F00E6"/>
    <w:rsid w:val="003F294B"/>
    <w:rsid w:val="003F2A90"/>
    <w:rsid w:val="003F3373"/>
    <w:rsid w:val="003F3905"/>
    <w:rsid w:val="003F3E19"/>
    <w:rsid w:val="003F4A33"/>
    <w:rsid w:val="003F4DAE"/>
    <w:rsid w:val="003F508F"/>
    <w:rsid w:val="003F5623"/>
    <w:rsid w:val="003F5859"/>
    <w:rsid w:val="003F5C4F"/>
    <w:rsid w:val="00400AAF"/>
    <w:rsid w:val="00405B12"/>
    <w:rsid w:val="00405D55"/>
    <w:rsid w:val="00405F32"/>
    <w:rsid w:val="0040638F"/>
    <w:rsid w:val="00410723"/>
    <w:rsid w:val="00411296"/>
    <w:rsid w:val="0041196F"/>
    <w:rsid w:val="00411F17"/>
    <w:rsid w:val="00412C37"/>
    <w:rsid w:val="00412D12"/>
    <w:rsid w:val="00412D34"/>
    <w:rsid w:val="00414178"/>
    <w:rsid w:val="00415309"/>
    <w:rsid w:val="00415E61"/>
    <w:rsid w:val="00420913"/>
    <w:rsid w:val="00420BF1"/>
    <w:rsid w:val="004214ED"/>
    <w:rsid w:val="00421D98"/>
    <w:rsid w:val="00423092"/>
    <w:rsid w:val="004244BD"/>
    <w:rsid w:val="004253E8"/>
    <w:rsid w:val="004259A2"/>
    <w:rsid w:val="00427EA9"/>
    <w:rsid w:val="004319BC"/>
    <w:rsid w:val="004337A8"/>
    <w:rsid w:val="004339BA"/>
    <w:rsid w:val="00433ACC"/>
    <w:rsid w:val="00433B35"/>
    <w:rsid w:val="00434617"/>
    <w:rsid w:val="004350B0"/>
    <w:rsid w:val="004355F9"/>
    <w:rsid w:val="00435BB2"/>
    <w:rsid w:val="00436CE5"/>
    <w:rsid w:val="004378AC"/>
    <w:rsid w:val="00437DC1"/>
    <w:rsid w:val="00441FCD"/>
    <w:rsid w:val="00443232"/>
    <w:rsid w:val="00443523"/>
    <w:rsid w:val="0044363D"/>
    <w:rsid w:val="00443BAA"/>
    <w:rsid w:val="00443D65"/>
    <w:rsid w:val="00445BBD"/>
    <w:rsid w:val="00445E8E"/>
    <w:rsid w:val="00446434"/>
    <w:rsid w:val="00446559"/>
    <w:rsid w:val="0044707D"/>
    <w:rsid w:val="00447A57"/>
    <w:rsid w:val="00447D94"/>
    <w:rsid w:val="004500A2"/>
    <w:rsid w:val="00450B94"/>
    <w:rsid w:val="00452284"/>
    <w:rsid w:val="004524FD"/>
    <w:rsid w:val="00452542"/>
    <w:rsid w:val="0045256C"/>
    <w:rsid w:val="00452832"/>
    <w:rsid w:val="00453340"/>
    <w:rsid w:val="00453FE3"/>
    <w:rsid w:val="0045485E"/>
    <w:rsid w:val="00454B92"/>
    <w:rsid w:val="00455A90"/>
    <w:rsid w:val="00455E18"/>
    <w:rsid w:val="004563B0"/>
    <w:rsid w:val="00457268"/>
    <w:rsid w:val="00457651"/>
    <w:rsid w:val="00457D74"/>
    <w:rsid w:val="00460F8E"/>
    <w:rsid w:val="00462731"/>
    <w:rsid w:val="00463889"/>
    <w:rsid w:val="00464375"/>
    <w:rsid w:val="00464845"/>
    <w:rsid w:val="004654A8"/>
    <w:rsid w:val="00466326"/>
    <w:rsid w:val="00466F73"/>
    <w:rsid w:val="00470AB4"/>
    <w:rsid w:val="00470ECF"/>
    <w:rsid w:val="00470F8C"/>
    <w:rsid w:val="00471B21"/>
    <w:rsid w:val="0047213A"/>
    <w:rsid w:val="00472E16"/>
    <w:rsid w:val="004734DF"/>
    <w:rsid w:val="004754AF"/>
    <w:rsid w:val="00475CBA"/>
    <w:rsid w:val="00476778"/>
    <w:rsid w:val="004774E5"/>
    <w:rsid w:val="004777A4"/>
    <w:rsid w:val="00481713"/>
    <w:rsid w:val="00481FCE"/>
    <w:rsid w:val="0048310B"/>
    <w:rsid w:val="00483418"/>
    <w:rsid w:val="00483888"/>
    <w:rsid w:val="0048394F"/>
    <w:rsid w:val="00484A38"/>
    <w:rsid w:val="00485823"/>
    <w:rsid w:val="00486943"/>
    <w:rsid w:val="00486947"/>
    <w:rsid w:val="00486A8C"/>
    <w:rsid w:val="004902FB"/>
    <w:rsid w:val="0049067D"/>
    <w:rsid w:val="00490971"/>
    <w:rsid w:val="00491B94"/>
    <w:rsid w:val="00491E1D"/>
    <w:rsid w:val="00493F8A"/>
    <w:rsid w:val="00494494"/>
    <w:rsid w:val="00494A9E"/>
    <w:rsid w:val="00494C03"/>
    <w:rsid w:val="0049560E"/>
    <w:rsid w:val="00495B91"/>
    <w:rsid w:val="004A2C09"/>
    <w:rsid w:val="004A2F53"/>
    <w:rsid w:val="004A3134"/>
    <w:rsid w:val="004A3EA3"/>
    <w:rsid w:val="004A4087"/>
    <w:rsid w:val="004A5408"/>
    <w:rsid w:val="004A5469"/>
    <w:rsid w:val="004A5F61"/>
    <w:rsid w:val="004A6919"/>
    <w:rsid w:val="004A6920"/>
    <w:rsid w:val="004A74CF"/>
    <w:rsid w:val="004A7AB3"/>
    <w:rsid w:val="004B0609"/>
    <w:rsid w:val="004B0E34"/>
    <w:rsid w:val="004B168F"/>
    <w:rsid w:val="004B2689"/>
    <w:rsid w:val="004B2B8F"/>
    <w:rsid w:val="004B3A21"/>
    <w:rsid w:val="004B5C09"/>
    <w:rsid w:val="004B6292"/>
    <w:rsid w:val="004B6600"/>
    <w:rsid w:val="004B68F3"/>
    <w:rsid w:val="004B6BE4"/>
    <w:rsid w:val="004B757F"/>
    <w:rsid w:val="004B7B0C"/>
    <w:rsid w:val="004B7F1C"/>
    <w:rsid w:val="004C08A4"/>
    <w:rsid w:val="004C0C5E"/>
    <w:rsid w:val="004C1271"/>
    <w:rsid w:val="004C18DF"/>
    <w:rsid w:val="004C2016"/>
    <w:rsid w:val="004C29E5"/>
    <w:rsid w:val="004C2B46"/>
    <w:rsid w:val="004C2BD0"/>
    <w:rsid w:val="004C30E0"/>
    <w:rsid w:val="004C34C2"/>
    <w:rsid w:val="004C458E"/>
    <w:rsid w:val="004C517F"/>
    <w:rsid w:val="004C649C"/>
    <w:rsid w:val="004C6534"/>
    <w:rsid w:val="004C6A44"/>
    <w:rsid w:val="004C7522"/>
    <w:rsid w:val="004C7BDC"/>
    <w:rsid w:val="004D10AF"/>
    <w:rsid w:val="004D273E"/>
    <w:rsid w:val="004D3C6A"/>
    <w:rsid w:val="004D3D06"/>
    <w:rsid w:val="004D3D7B"/>
    <w:rsid w:val="004D46A1"/>
    <w:rsid w:val="004D4C6D"/>
    <w:rsid w:val="004D58C7"/>
    <w:rsid w:val="004D6636"/>
    <w:rsid w:val="004D79D3"/>
    <w:rsid w:val="004D79F8"/>
    <w:rsid w:val="004E01A4"/>
    <w:rsid w:val="004E0B31"/>
    <w:rsid w:val="004E18CB"/>
    <w:rsid w:val="004E1E48"/>
    <w:rsid w:val="004E2C74"/>
    <w:rsid w:val="004E2F8F"/>
    <w:rsid w:val="004E3620"/>
    <w:rsid w:val="004E37BE"/>
    <w:rsid w:val="004E4156"/>
    <w:rsid w:val="004E730A"/>
    <w:rsid w:val="004E75EE"/>
    <w:rsid w:val="004F140A"/>
    <w:rsid w:val="004F141E"/>
    <w:rsid w:val="004F4945"/>
    <w:rsid w:val="004F6742"/>
    <w:rsid w:val="004F709B"/>
    <w:rsid w:val="004F7B2E"/>
    <w:rsid w:val="0050129E"/>
    <w:rsid w:val="00501355"/>
    <w:rsid w:val="005013A4"/>
    <w:rsid w:val="0050159D"/>
    <w:rsid w:val="00501A30"/>
    <w:rsid w:val="00503049"/>
    <w:rsid w:val="00503710"/>
    <w:rsid w:val="00503A16"/>
    <w:rsid w:val="00503CF2"/>
    <w:rsid w:val="00504A8A"/>
    <w:rsid w:val="00504EE7"/>
    <w:rsid w:val="0050557F"/>
    <w:rsid w:val="00505FA1"/>
    <w:rsid w:val="00506530"/>
    <w:rsid w:val="00506740"/>
    <w:rsid w:val="00506A93"/>
    <w:rsid w:val="00511315"/>
    <w:rsid w:val="00512C41"/>
    <w:rsid w:val="00512C6D"/>
    <w:rsid w:val="00513A43"/>
    <w:rsid w:val="00514976"/>
    <w:rsid w:val="0051503D"/>
    <w:rsid w:val="00515FDD"/>
    <w:rsid w:val="005175C1"/>
    <w:rsid w:val="005201EF"/>
    <w:rsid w:val="005222B9"/>
    <w:rsid w:val="00522803"/>
    <w:rsid w:val="00522B6C"/>
    <w:rsid w:val="005252CE"/>
    <w:rsid w:val="00525635"/>
    <w:rsid w:val="005258ED"/>
    <w:rsid w:val="0052697E"/>
    <w:rsid w:val="0052762A"/>
    <w:rsid w:val="00527C73"/>
    <w:rsid w:val="00527E2F"/>
    <w:rsid w:val="00530A32"/>
    <w:rsid w:val="00531296"/>
    <w:rsid w:val="0053164F"/>
    <w:rsid w:val="00532491"/>
    <w:rsid w:val="0053255A"/>
    <w:rsid w:val="00533A1F"/>
    <w:rsid w:val="005347E9"/>
    <w:rsid w:val="00534B03"/>
    <w:rsid w:val="00534C33"/>
    <w:rsid w:val="00534F61"/>
    <w:rsid w:val="00534FF5"/>
    <w:rsid w:val="00535CFD"/>
    <w:rsid w:val="00536DB4"/>
    <w:rsid w:val="00537618"/>
    <w:rsid w:val="0053794B"/>
    <w:rsid w:val="005401C0"/>
    <w:rsid w:val="0054025D"/>
    <w:rsid w:val="0054048A"/>
    <w:rsid w:val="00540E0A"/>
    <w:rsid w:val="00541131"/>
    <w:rsid w:val="0054150B"/>
    <w:rsid w:val="00541FED"/>
    <w:rsid w:val="005424BA"/>
    <w:rsid w:val="00545502"/>
    <w:rsid w:val="005462D5"/>
    <w:rsid w:val="0055123E"/>
    <w:rsid w:val="00551CFB"/>
    <w:rsid w:val="005520ED"/>
    <w:rsid w:val="00552960"/>
    <w:rsid w:val="00552DD3"/>
    <w:rsid w:val="00553A03"/>
    <w:rsid w:val="0055450A"/>
    <w:rsid w:val="00556227"/>
    <w:rsid w:val="00556409"/>
    <w:rsid w:val="0055708E"/>
    <w:rsid w:val="0055717F"/>
    <w:rsid w:val="005576F0"/>
    <w:rsid w:val="00560AEE"/>
    <w:rsid w:val="00560B38"/>
    <w:rsid w:val="005628D4"/>
    <w:rsid w:val="0056360D"/>
    <w:rsid w:val="00563A84"/>
    <w:rsid w:val="00563C3F"/>
    <w:rsid w:val="00564AAF"/>
    <w:rsid w:val="0056608E"/>
    <w:rsid w:val="00566900"/>
    <w:rsid w:val="00566909"/>
    <w:rsid w:val="00567608"/>
    <w:rsid w:val="00570D2A"/>
    <w:rsid w:val="005714A0"/>
    <w:rsid w:val="0057194F"/>
    <w:rsid w:val="00571D77"/>
    <w:rsid w:val="0057293B"/>
    <w:rsid w:val="00572A26"/>
    <w:rsid w:val="00573008"/>
    <w:rsid w:val="0057345A"/>
    <w:rsid w:val="00573A61"/>
    <w:rsid w:val="00573EC6"/>
    <w:rsid w:val="00574234"/>
    <w:rsid w:val="00574572"/>
    <w:rsid w:val="00575B62"/>
    <w:rsid w:val="00575B7D"/>
    <w:rsid w:val="00576192"/>
    <w:rsid w:val="00577395"/>
    <w:rsid w:val="005774D3"/>
    <w:rsid w:val="00580281"/>
    <w:rsid w:val="00580F90"/>
    <w:rsid w:val="005827CA"/>
    <w:rsid w:val="005828D4"/>
    <w:rsid w:val="00583BE5"/>
    <w:rsid w:val="00583F7B"/>
    <w:rsid w:val="005847F6"/>
    <w:rsid w:val="00584A4C"/>
    <w:rsid w:val="00585CA4"/>
    <w:rsid w:val="0058683D"/>
    <w:rsid w:val="00586A33"/>
    <w:rsid w:val="00586EC9"/>
    <w:rsid w:val="00586FBE"/>
    <w:rsid w:val="0058734C"/>
    <w:rsid w:val="00587B67"/>
    <w:rsid w:val="00590896"/>
    <w:rsid w:val="0059288F"/>
    <w:rsid w:val="00592DEE"/>
    <w:rsid w:val="00595227"/>
    <w:rsid w:val="0059555B"/>
    <w:rsid w:val="00597305"/>
    <w:rsid w:val="00597434"/>
    <w:rsid w:val="00597948"/>
    <w:rsid w:val="005979ED"/>
    <w:rsid w:val="005979F2"/>
    <w:rsid w:val="00597E08"/>
    <w:rsid w:val="005A0587"/>
    <w:rsid w:val="005A0CBD"/>
    <w:rsid w:val="005A110F"/>
    <w:rsid w:val="005A12CA"/>
    <w:rsid w:val="005A19D9"/>
    <w:rsid w:val="005A3120"/>
    <w:rsid w:val="005A3991"/>
    <w:rsid w:val="005A5EB0"/>
    <w:rsid w:val="005A63F9"/>
    <w:rsid w:val="005A6D5E"/>
    <w:rsid w:val="005B01FC"/>
    <w:rsid w:val="005B105F"/>
    <w:rsid w:val="005B1AC5"/>
    <w:rsid w:val="005B22AB"/>
    <w:rsid w:val="005B26D8"/>
    <w:rsid w:val="005B47CC"/>
    <w:rsid w:val="005B4FF1"/>
    <w:rsid w:val="005B690D"/>
    <w:rsid w:val="005B6A25"/>
    <w:rsid w:val="005B6B5B"/>
    <w:rsid w:val="005B7E26"/>
    <w:rsid w:val="005C02A0"/>
    <w:rsid w:val="005C060D"/>
    <w:rsid w:val="005C3636"/>
    <w:rsid w:val="005C452C"/>
    <w:rsid w:val="005C4647"/>
    <w:rsid w:val="005C46FA"/>
    <w:rsid w:val="005C48EC"/>
    <w:rsid w:val="005C700F"/>
    <w:rsid w:val="005C71D0"/>
    <w:rsid w:val="005C7C8A"/>
    <w:rsid w:val="005D35ED"/>
    <w:rsid w:val="005D36A6"/>
    <w:rsid w:val="005D3DCC"/>
    <w:rsid w:val="005D3E42"/>
    <w:rsid w:val="005D4693"/>
    <w:rsid w:val="005D4DBF"/>
    <w:rsid w:val="005D5118"/>
    <w:rsid w:val="005D5193"/>
    <w:rsid w:val="005D5AE9"/>
    <w:rsid w:val="005D6841"/>
    <w:rsid w:val="005D7459"/>
    <w:rsid w:val="005D7A26"/>
    <w:rsid w:val="005D7DA4"/>
    <w:rsid w:val="005D7EA2"/>
    <w:rsid w:val="005E0202"/>
    <w:rsid w:val="005E02B4"/>
    <w:rsid w:val="005E065F"/>
    <w:rsid w:val="005E09AE"/>
    <w:rsid w:val="005E0CF2"/>
    <w:rsid w:val="005E1578"/>
    <w:rsid w:val="005E1FB7"/>
    <w:rsid w:val="005E2AEA"/>
    <w:rsid w:val="005E2B05"/>
    <w:rsid w:val="005E34E8"/>
    <w:rsid w:val="005E405E"/>
    <w:rsid w:val="005E4535"/>
    <w:rsid w:val="005E4575"/>
    <w:rsid w:val="005E5117"/>
    <w:rsid w:val="005E53E5"/>
    <w:rsid w:val="005E6B70"/>
    <w:rsid w:val="005E6CA3"/>
    <w:rsid w:val="005F0AAA"/>
    <w:rsid w:val="005F199F"/>
    <w:rsid w:val="005F24C0"/>
    <w:rsid w:val="005F358F"/>
    <w:rsid w:val="005F4EBB"/>
    <w:rsid w:val="005F52AD"/>
    <w:rsid w:val="005F5F8F"/>
    <w:rsid w:val="005F6642"/>
    <w:rsid w:val="005F7F3A"/>
    <w:rsid w:val="006024C7"/>
    <w:rsid w:val="0060251E"/>
    <w:rsid w:val="00602F40"/>
    <w:rsid w:val="006037E1"/>
    <w:rsid w:val="006039E7"/>
    <w:rsid w:val="00606231"/>
    <w:rsid w:val="00606F6F"/>
    <w:rsid w:val="00607F19"/>
    <w:rsid w:val="00610503"/>
    <w:rsid w:val="0061095B"/>
    <w:rsid w:val="00610C59"/>
    <w:rsid w:val="00610ECE"/>
    <w:rsid w:val="0061121C"/>
    <w:rsid w:val="00611CB0"/>
    <w:rsid w:val="006122D8"/>
    <w:rsid w:val="0061247A"/>
    <w:rsid w:val="0061247F"/>
    <w:rsid w:val="00612B7F"/>
    <w:rsid w:val="00613003"/>
    <w:rsid w:val="00614395"/>
    <w:rsid w:val="00614AF4"/>
    <w:rsid w:val="00614BE5"/>
    <w:rsid w:val="00615670"/>
    <w:rsid w:val="00615938"/>
    <w:rsid w:val="00615C27"/>
    <w:rsid w:val="00620AB5"/>
    <w:rsid w:val="00623D5D"/>
    <w:rsid w:val="00624720"/>
    <w:rsid w:val="006262AD"/>
    <w:rsid w:val="00626A49"/>
    <w:rsid w:val="0063014E"/>
    <w:rsid w:val="00631640"/>
    <w:rsid w:val="00631782"/>
    <w:rsid w:val="006318C3"/>
    <w:rsid w:val="006323EB"/>
    <w:rsid w:val="00632400"/>
    <w:rsid w:val="00632FDF"/>
    <w:rsid w:val="00633D1A"/>
    <w:rsid w:val="00634FDE"/>
    <w:rsid w:val="0063536B"/>
    <w:rsid w:val="0063560B"/>
    <w:rsid w:val="006359C0"/>
    <w:rsid w:val="00635DDC"/>
    <w:rsid w:val="00636163"/>
    <w:rsid w:val="006362D8"/>
    <w:rsid w:val="00637652"/>
    <w:rsid w:val="00640777"/>
    <w:rsid w:val="00640927"/>
    <w:rsid w:val="0064096D"/>
    <w:rsid w:val="00640F33"/>
    <w:rsid w:val="00640FDA"/>
    <w:rsid w:val="00641360"/>
    <w:rsid w:val="006416FB"/>
    <w:rsid w:val="0064218F"/>
    <w:rsid w:val="00642687"/>
    <w:rsid w:val="006432AC"/>
    <w:rsid w:val="00644738"/>
    <w:rsid w:val="00646ADC"/>
    <w:rsid w:val="006500F6"/>
    <w:rsid w:val="00650CC7"/>
    <w:rsid w:val="0065112D"/>
    <w:rsid w:val="00651F02"/>
    <w:rsid w:val="00652224"/>
    <w:rsid w:val="00652A18"/>
    <w:rsid w:val="006541CF"/>
    <w:rsid w:val="00656FCA"/>
    <w:rsid w:val="006572AD"/>
    <w:rsid w:val="006574AE"/>
    <w:rsid w:val="006577FB"/>
    <w:rsid w:val="00660604"/>
    <w:rsid w:val="00660C94"/>
    <w:rsid w:val="00660CC5"/>
    <w:rsid w:val="0066134E"/>
    <w:rsid w:val="006619C0"/>
    <w:rsid w:val="00661B9B"/>
    <w:rsid w:val="00662766"/>
    <w:rsid w:val="00662B60"/>
    <w:rsid w:val="0066372E"/>
    <w:rsid w:val="00664210"/>
    <w:rsid w:val="00665606"/>
    <w:rsid w:val="00666E66"/>
    <w:rsid w:val="006724A5"/>
    <w:rsid w:val="0067265D"/>
    <w:rsid w:val="00672A79"/>
    <w:rsid w:val="00673E89"/>
    <w:rsid w:val="0067442B"/>
    <w:rsid w:val="00674B55"/>
    <w:rsid w:val="00674EDF"/>
    <w:rsid w:val="00674FD4"/>
    <w:rsid w:val="006758FE"/>
    <w:rsid w:val="006766F2"/>
    <w:rsid w:val="0067710D"/>
    <w:rsid w:val="00677A9F"/>
    <w:rsid w:val="00677E5D"/>
    <w:rsid w:val="00680045"/>
    <w:rsid w:val="00680070"/>
    <w:rsid w:val="006814BB"/>
    <w:rsid w:val="00681E06"/>
    <w:rsid w:val="00682AC4"/>
    <w:rsid w:val="006833B6"/>
    <w:rsid w:val="00683D30"/>
    <w:rsid w:val="006840EB"/>
    <w:rsid w:val="0068454C"/>
    <w:rsid w:val="00690014"/>
    <w:rsid w:val="00691205"/>
    <w:rsid w:val="00691368"/>
    <w:rsid w:val="00691888"/>
    <w:rsid w:val="006931F2"/>
    <w:rsid w:val="0069342C"/>
    <w:rsid w:val="00693C0D"/>
    <w:rsid w:val="00694427"/>
    <w:rsid w:val="006954E8"/>
    <w:rsid w:val="00695608"/>
    <w:rsid w:val="00696767"/>
    <w:rsid w:val="006A04DF"/>
    <w:rsid w:val="006A11F9"/>
    <w:rsid w:val="006A23D0"/>
    <w:rsid w:val="006A329A"/>
    <w:rsid w:val="006A541C"/>
    <w:rsid w:val="006A5B3B"/>
    <w:rsid w:val="006A69A3"/>
    <w:rsid w:val="006A70CF"/>
    <w:rsid w:val="006A766C"/>
    <w:rsid w:val="006A7ACA"/>
    <w:rsid w:val="006B0F6A"/>
    <w:rsid w:val="006B1191"/>
    <w:rsid w:val="006B1C92"/>
    <w:rsid w:val="006B1DA6"/>
    <w:rsid w:val="006B1F5C"/>
    <w:rsid w:val="006B20D6"/>
    <w:rsid w:val="006B28C9"/>
    <w:rsid w:val="006B3283"/>
    <w:rsid w:val="006B36FB"/>
    <w:rsid w:val="006B3BE5"/>
    <w:rsid w:val="006B3FBA"/>
    <w:rsid w:val="006B465A"/>
    <w:rsid w:val="006B5792"/>
    <w:rsid w:val="006B76B1"/>
    <w:rsid w:val="006C0519"/>
    <w:rsid w:val="006C0788"/>
    <w:rsid w:val="006C1588"/>
    <w:rsid w:val="006C20C6"/>
    <w:rsid w:val="006C251A"/>
    <w:rsid w:val="006C3BD0"/>
    <w:rsid w:val="006C3D4C"/>
    <w:rsid w:val="006C4EEB"/>
    <w:rsid w:val="006C51C4"/>
    <w:rsid w:val="006C57DF"/>
    <w:rsid w:val="006C5C78"/>
    <w:rsid w:val="006C687E"/>
    <w:rsid w:val="006C6DB6"/>
    <w:rsid w:val="006C7A4C"/>
    <w:rsid w:val="006D0EB8"/>
    <w:rsid w:val="006D106D"/>
    <w:rsid w:val="006D192F"/>
    <w:rsid w:val="006D22DC"/>
    <w:rsid w:val="006D2DD9"/>
    <w:rsid w:val="006D3218"/>
    <w:rsid w:val="006D3BCB"/>
    <w:rsid w:val="006D3D1E"/>
    <w:rsid w:val="006D406B"/>
    <w:rsid w:val="006D53BF"/>
    <w:rsid w:val="006D5F51"/>
    <w:rsid w:val="006D62C3"/>
    <w:rsid w:val="006D6FA5"/>
    <w:rsid w:val="006D7A0A"/>
    <w:rsid w:val="006D7D06"/>
    <w:rsid w:val="006E0A45"/>
    <w:rsid w:val="006E0C95"/>
    <w:rsid w:val="006E0FD9"/>
    <w:rsid w:val="006E20CB"/>
    <w:rsid w:val="006E2B32"/>
    <w:rsid w:val="006E2BB2"/>
    <w:rsid w:val="006E567B"/>
    <w:rsid w:val="006E6A67"/>
    <w:rsid w:val="006E6DF6"/>
    <w:rsid w:val="006E725D"/>
    <w:rsid w:val="006E73E3"/>
    <w:rsid w:val="006F1E6B"/>
    <w:rsid w:val="006F2B34"/>
    <w:rsid w:val="006F33E7"/>
    <w:rsid w:val="006F3CC4"/>
    <w:rsid w:val="006F3EF1"/>
    <w:rsid w:val="006F4272"/>
    <w:rsid w:val="006F5042"/>
    <w:rsid w:val="006F571D"/>
    <w:rsid w:val="006F5C84"/>
    <w:rsid w:val="006F72B8"/>
    <w:rsid w:val="0070011A"/>
    <w:rsid w:val="00701E63"/>
    <w:rsid w:val="00701F91"/>
    <w:rsid w:val="0070286E"/>
    <w:rsid w:val="00702B06"/>
    <w:rsid w:val="00702E4B"/>
    <w:rsid w:val="00703532"/>
    <w:rsid w:val="00703572"/>
    <w:rsid w:val="007042B0"/>
    <w:rsid w:val="0070471C"/>
    <w:rsid w:val="007057ED"/>
    <w:rsid w:val="0070672F"/>
    <w:rsid w:val="00706E5D"/>
    <w:rsid w:val="00706F79"/>
    <w:rsid w:val="007105A6"/>
    <w:rsid w:val="0071319E"/>
    <w:rsid w:val="0071353D"/>
    <w:rsid w:val="00713FC5"/>
    <w:rsid w:val="007153F5"/>
    <w:rsid w:val="00715417"/>
    <w:rsid w:val="0071677B"/>
    <w:rsid w:val="00716A57"/>
    <w:rsid w:val="00716DDD"/>
    <w:rsid w:val="00717A09"/>
    <w:rsid w:val="00720FA0"/>
    <w:rsid w:val="0072111E"/>
    <w:rsid w:val="00721143"/>
    <w:rsid w:val="00721B39"/>
    <w:rsid w:val="007224C0"/>
    <w:rsid w:val="00722ED6"/>
    <w:rsid w:val="00723311"/>
    <w:rsid w:val="007236E9"/>
    <w:rsid w:val="00723CF1"/>
    <w:rsid w:val="00725284"/>
    <w:rsid w:val="00725693"/>
    <w:rsid w:val="00726B30"/>
    <w:rsid w:val="00726DD4"/>
    <w:rsid w:val="0072796B"/>
    <w:rsid w:val="00730F56"/>
    <w:rsid w:val="00731A93"/>
    <w:rsid w:val="007321AE"/>
    <w:rsid w:val="007335E3"/>
    <w:rsid w:val="0073429C"/>
    <w:rsid w:val="007345BA"/>
    <w:rsid w:val="007349F8"/>
    <w:rsid w:val="0073515D"/>
    <w:rsid w:val="007356D6"/>
    <w:rsid w:val="007359B2"/>
    <w:rsid w:val="00735C73"/>
    <w:rsid w:val="00737935"/>
    <w:rsid w:val="007379D5"/>
    <w:rsid w:val="00737FBE"/>
    <w:rsid w:val="007401E2"/>
    <w:rsid w:val="007409A2"/>
    <w:rsid w:val="007418D5"/>
    <w:rsid w:val="00742392"/>
    <w:rsid w:val="00742ED1"/>
    <w:rsid w:val="00742F13"/>
    <w:rsid w:val="00743BEC"/>
    <w:rsid w:val="007444F4"/>
    <w:rsid w:val="00744E2C"/>
    <w:rsid w:val="00745580"/>
    <w:rsid w:val="00745BA7"/>
    <w:rsid w:val="007460C5"/>
    <w:rsid w:val="00746486"/>
    <w:rsid w:val="007466D9"/>
    <w:rsid w:val="00747A2E"/>
    <w:rsid w:val="00747B38"/>
    <w:rsid w:val="007502EE"/>
    <w:rsid w:val="00751020"/>
    <w:rsid w:val="0075117F"/>
    <w:rsid w:val="00751E98"/>
    <w:rsid w:val="00752119"/>
    <w:rsid w:val="00752CE1"/>
    <w:rsid w:val="00754408"/>
    <w:rsid w:val="007544CE"/>
    <w:rsid w:val="00755FB8"/>
    <w:rsid w:val="00757D6E"/>
    <w:rsid w:val="00760FA1"/>
    <w:rsid w:val="007617E1"/>
    <w:rsid w:val="00761A80"/>
    <w:rsid w:val="00762D3B"/>
    <w:rsid w:val="00762E67"/>
    <w:rsid w:val="007631C7"/>
    <w:rsid w:val="00763BE2"/>
    <w:rsid w:val="00763CCC"/>
    <w:rsid w:val="007641C7"/>
    <w:rsid w:val="007653B9"/>
    <w:rsid w:val="00765B06"/>
    <w:rsid w:val="00767F2C"/>
    <w:rsid w:val="00770168"/>
    <w:rsid w:val="00770EE4"/>
    <w:rsid w:val="0077111E"/>
    <w:rsid w:val="00771BB9"/>
    <w:rsid w:val="0077200D"/>
    <w:rsid w:val="00772EF7"/>
    <w:rsid w:val="0077317E"/>
    <w:rsid w:val="00773B11"/>
    <w:rsid w:val="00773BDA"/>
    <w:rsid w:val="00774AF6"/>
    <w:rsid w:val="00776C72"/>
    <w:rsid w:val="00776D3D"/>
    <w:rsid w:val="00777295"/>
    <w:rsid w:val="00777299"/>
    <w:rsid w:val="007778EA"/>
    <w:rsid w:val="0078099C"/>
    <w:rsid w:val="00780FA6"/>
    <w:rsid w:val="0078101A"/>
    <w:rsid w:val="007811F3"/>
    <w:rsid w:val="0078258F"/>
    <w:rsid w:val="00783421"/>
    <w:rsid w:val="00783674"/>
    <w:rsid w:val="00783D56"/>
    <w:rsid w:val="007846BC"/>
    <w:rsid w:val="007858F0"/>
    <w:rsid w:val="00785A85"/>
    <w:rsid w:val="00785ABB"/>
    <w:rsid w:val="00787C9D"/>
    <w:rsid w:val="0079148C"/>
    <w:rsid w:val="0079157B"/>
    <w:rsid w:val="00791DE0"/>
    <w:rsid w:val="00792A79"/>
    <w:rsid w:val="00792BCF"/>
    <w:rsid w:val="00792DB2"/>
    <w:rsid w:val="00792EE6"/>
    <w:rsid w:val="00793D3A"/>
    <w:rsid w:val="00794B6E"/>
    <w:rsid w:val="0079527C"/>
    <w:rsid w:val="007958FB"/>
    <w:rsid w:val="007968C1"/>
    <w:rsid w:val="007969A4"/>
    <w:rsid w:val="00796BD9"/>
    <w:rsid w:val="0079714C"/>
    <w:rsid w:val="007A0114"/>
    <w:rsid w:val="007A1C61"/>
    <w:rsid w:val="007A307D"/>
    <w:rsid w:val="007A30FD"/>
    <w:rsid w:val="007A3C82"/>
    <w:rsid w:val="007A5CDC"/>
    <w:rsid w:val="007A6476"/>
    <w:rsid w:val="007A6BAB"/>
    <w:rsid w:val="007B0446"/>
    <w:rsid w:val="007B1321"/>
    <w:rsid w:val="007B1322"/>
    <w:rsid w:val="007B1904"/>
    <w:rsid w:val="007B227A"/>
    <w:rsid w:val="007B2421"/>
    <w:rsid w:val="007B373D"/>
    <w:rsid w:val="007B47C2"/>
    <w:rsid w:val="007B5469"/>
    <w:rsid w:val="007B56B2"/>
    <w:rsid w:val="007B576B"/>
    <w:rsid w:val="007B5D6B"/>
    <w:rsid w:val="007B62A8"/>
    <w:rsid w:val="007B6596"/>
    <w:rsid w:val="007B756C"/>
    <w:rsid w:val="007B7842"/>
    <w:rsid w:val="007C0C0A"/>
    <w:rsid w:val="007C23EB"/>
    <w:rsid w:val="007C25B9"/>
    <w:rsid w:val="007C41FC"/>
    <w:rsid w:val="007C4912"/>
    <w:rsid w:val="007C6606"/>
    <w:rsid w:val="007C72BC"/>
    <w:rsid w:val="007C72E9"/>
    <w:rsid w:val="007C73B2"/>
    <w:rsid w:val="007C7CDD"/>
    <w:rsid w:val="007D05B9"/>
    <w:rsid w:val="007D099A"/>
    <w:rsid w:val="007D2FAA"/>
    <w:rsid w:val="007D30B2"/>
    <w:rsid w:val="007D46AA"/>
    <w:rsid w:val="007D4DC7"/>
    <w:rsid w:val="007D6191"/>
    <w:rsid w:val="007D6370"/>
    <w:rsid w:val="007D7868"/>
    <w:rsid w:val="007E092F"/>
    <w:rsid w:val="007E2938"/>
    <w:rsid w:val="007E2DCF"/>
    <w:rsid w:val="007E3F7E"/>
    <w:rsid w:val="007E3FA1"/>
    <w:rsid w:val="007E4275"/>
    <w:rsid w:val="007E4D86"/>
    <w:rsid w:val="007E5143"/>
    <w:rsid w:val="007E5EC0"/>
    <w:rsid w:val="007E6971"/>
    <w:rsid w:val="007E6E2B"/>
    <w:rsid w:val="007E78C1"/>
    <w:rsid w:val="007E7B99"/>
    <w:rsid w:val="007F05CE"/>
    <w:rsid w:val="007F14F4"/>
    <w:rsid w:val="007F2FE3"/>
    <w:rsid w:val="007F32B3"/>
    <w:rsid w:val="007F3961"/>
    <w:rsid w:val="007F3EA8"/>
    <w:rsid w:val="007F664C"/>
    <w:rsid w:val="007F7171"/>
    <w:rsid w:val="007F72F5"/>
    <w:rsid w:val="007F7B22"/>
    <w:rsid w:val="007F7DF5"/>
    <w:rsid w:val="008001F7"/>
    <w:rsid w:val="0080098A"/>
    <w:rsid w:val="00801761"/>
    <w:rsid w:val="00802FA1"/>
    <w:rsid w:val="008052E5"/>
    <w:rsid w:val="00807B63"/>
    <w:rsid w:val="00807E68"/>
    <w:rsid w:val="00810724"/>
    <w:rsid w:val="008111EB"/>
    <w:rsid w:val="00811435"/>
    <w:rsid w:val="00812339"/>
    <w:rsid w:val="008124EB"/>
    <w:rsid w:val="008130C9"/>
    <w:rsid w:val="0081328E"/>
    <w:rsid w:val="00813D02"/>
    <w:rsid w:val="008147C5"/>
    <w:rsid w:val="00814833"/>
    <w:rsid w:val="00815EC8"/>
    <w:rsid w:val="00815F6D"/>
    <w:rsid w:val="0081628B"/>
    <w:rsid w:val="0081689C"/>
    <w:rsid w:val="008168DD"/>
    <w:rsid w:val="00816C33"/>
    <w:rsid w:val="008173F0"/>
    <w:rsid w:val="00817F24"/>
    <w:rsid w:val="0082033D"/>
    <w:rsid w:val="00820FB1"/>
    <w:rsid w:val="00821B33"/>
    <w:rsid w:val="008222AD"/>
    <w:rsid w:val="008239C5"/>
    <w:rsid w:val="00823EA6"/>
    <w:rsid w:val="008249DA"/>
    <w:rsid w:val="00824CC0"/>
    <w:rsid w:val="0082522C"/>
    <w:rsid w:val="00825B85"/>
    <w:rsid w:val="00826611"/>
    <w:rsid w:val="0083104D"/>
    <w:rsid w:val="0083132C"/>
    <w:rsid w:val="00831731"/>
    <w:rsid w:val="00832659"/>
    <w:rsid w:val="00834041"/>
    <w:rsid w:val="008349AE"/>
    <w:rsid w:val="00835A1B"/>
    <w:rsid w:val="008361EE"/>
    <w:rsid w:val="008362FC"/>
    <w:rsid w:val="008404B7"/>
    <w:rsid w:val="008418D5"/>
    <w:rsid w:val="00841E1B"/>
    <w:rsid w:val="00841F78"/>
    <w:rsid w:val="0084202A"/>
    <w:rsid w:val="00842700"/>
    <w:rsid w:val="00843171"/>
    <w:rsid w:val="00843255"/>
    <w:rsid w:val="008437CD"/>
    <w:rsid w:val="00844916"/>
    <w:rsid w:val="00844E56"/>
    <w:rsid w:val="008455F5"/>
    <w:rsid w:val="00845748"/>
    <w:rsid w:val="0084589B"/>
    <w:rsid w:val="00845D0C"/>
    <w:rsid w:val="00845F81"/>
    <w:rsid w:val="00846135"/>
    <w:rsid w:val="00846C55"/>
    <w:rsid w:val="00846D77"/>
    <w:rsid w:val="00847947"/>
    <w:rsid w:val="00850FEF"/>
    <w:rsid w:val="0085131D"/>
    <w:rsid w:val="00851A13"/>
    <w:rsid w:val="00851ECD"/>
    <w:rsid w:val="008520D5"/>
    <w:rsid w:val="00852480"/>
    <w:rsid w:val="00853591"/>
    <w:rsid w:val="00853AAA"/>
    <w:rsid w:val="00854686"/>
    <w:rsid w:val="00854AC9"/>
    <w:rsid w:val="00856632"/>
    <w:rsid w:val="00856733"/>
    <w:rsid w:val="008571AA"/>
    <w:rsid w:val="008572F0"/>
    <w:rsid w:val="0085772B"/>
    <w:rsid w:val="00862840"/>
    <w:rsid w:val="00862A32"/>
    <w:rsid w:val="00863BE0"/>
    <w:rsid w:val="00863F58"/>
    <w:rsid w:val="0086574D"/>
    <w:rsid w:val="0086661B"/>
    <w:rsid w:val="00866726"/>
    <w:rsid w:val="008672C7"/>
    <w:rsid w:val="00867308"/>
    <w:rsid w:val="00867E77"/>
    <w:rsid w:val="00870F59"/>
    <w:rsid w:val="00871896"/>
    <w:rsid w:val="00871B86"/>
    <w:rsid w:val="008729C0"/>
    <w:rsid w:val="0087321C"/>
    <w:rsid w:val="00873B6D"/>
    <w:rsid w:val="00873FF5"/>
    <w:rsid w:val="0087481C"/>
    <w:rsid w:val="00875098"/>
    <w:rsid w:val="00875462"/>
    <w:rsid w:val="00876756"/>
    <w:rsid w:val="0087681D"/>
    <w:rsid w:val="008773C1"/>
    <w:rsid w:val="00877448"/>
    <w:rsid w:val="00877944"/>
    <w:rsid w:val="00882293"/>
    <w:rsid w:val="008833DC"/>
    <w:rsid w:val="008836DF"/>
    <w:rsid w:val="00883D2C"/>
    <w:rsid w:val="0088433A"/>
    <w:rsid w:val="008877E7"/>
    <w:rsid w:val="008900E2"/>
    <w:rsid w:val="008918D4"/>
    <w:rsid w:val="00891BD0"/>
    <w:rsid w:val="00891DE4"/>
    <w:rsid w:val="008927F5"/>
    <w:rsid w:val="00893A45"/>
    <w:rsid w:val="00894560"/>
    <w:rsid w:val="008949C0"/>
    <w:rsid w:val="0089600E"/>
    <w:rsid w:val="00897158"/>
    <w:rsid w:val="008A2081"/>
    <w:rsid w:val="008A250E"/>
    <w:rsid w:val="008A49B4"/>
    <w:rsid w:val="008A4E1D"/>
    <w:rsid w:val="008A5B1F"/>
    <w:rsid w:val="008B02B5"/>
    <w:rsid w:val="008B0543"/>
    <w:rsid w:val="008B0BFB"/>
    <w:rsid w:val="008B201F"/>
    <w:rsid w:val="008B2491"/>
    <w:rsid w:val="008B2721"/>
    <w:rsid w:val="008B4AC1"/>
    <w:rsid w:val="008B62D3"/>
    <w:rsid w:val="008B6347"/>
    <w:rsid w:val="008B6A5E"/>
    <w:rsid w:val="008B6DB2"/>
    <w:rsid w:val="008C0888"/>
    <w:rsid w:val="008C2C95"/>
    <w:rsid w:val="008C2D29"/>
    <w:rsid w:val="008C3505"/>
    <w:rsid w:val="008C39DE"/>
    <w:rsid w:val="008C4530"/>
    <w:rsid w:val="008C4E0A"/>
    <w:rsid w:val="008C5362"/>
    <w:rsid w:val="008C571F"/>
    <w:rsid w:val="008C7C8A"/>
    <w:rsid w:val="008C7E6A"/>
    <w:rsid w:val="008C7EA3"/>
    <w:rsid w:val="008D0484"/>
    <w:rsid w:val="008D1285"/>
    <w:rsid w:val="008D2376"/>
    <w:rsid w:val="008D30EA"/>
    <w:rsid w:val="008D3168"/>
    <w:rsid w:val="008D3B60"/>
    <w:rsid w:val="008D518D"/>
    <w:rsid w:val="008D55C8"/>
    <w:rsid w:val="008D6BDA"/>
    <w:rsid w:val="008D738C"/>
    <w:rsid w:val="008D73D7"/>
    <w:rsid w:val="008D7451"/>
    <w:rsid w:val="008E0C0F"/>
    <w:rsid w:val="008E12B0"/>
    <w:rsid w:val="008E12BC"/>
    <w:rsid w:val="008E1836"/>
    <w:rsid w:val="008E19FD"/>
    <w:rsid w:val="008E1D3D"/>
    <w:rsid w:val="008E20DE"/>
    <w:rsid w:val="008E5C0C"/>
    <w:rsid w:val="008E6D5C"/>
    <w:rsid w:val="008E6D62"/>
    <w:rsid w:val="008E7AB7"/>
    <w:rsid w:val="008F1770"/>
    <w:rsid w:val="008F35D4"/>
    <w:rsid w:val="008F3691"/>
    <w:rsid w:val="008F3779"/>
    <w:rsid w:val="008F43AC"/>
    <w:rsid w:val="008F5819"/>
    <w:rsid w:val="008F774A"/>
    <w:rsid w:val="009013C5"/>
    <w:rsid w:val="00901534"/>
    <w:rsid w:val="00902FE6"/>
    <w:rsid w:val="00904E08"/>
    <w:rsid w:val="00905C93"/>
    <w:rsid w:val="009061A4"/>
    <w:rsid w:val="0090622E"/>
    <w:rsid w:val="009074AF"/>
    <w:rsid w:val="00907743"/>
    <w:rsid w:val="0091008E"/>
    <w:rsid w:val="00911462"/>
    <w:rsid w:val="00911AD3"/>
    <w:rsid w:val="00911CE9"/>
    <w:rsid w:val="00912015"/>
    <w:rsid w:val="009122F8"/>
    <w:rsid w:val="00912E02"/>
    <w:rsid w:val="00912EA4"/>
    <w:rsid w:val="00913338"/>
    <w:rsid w:val="009136D4"/>
    <w:rsid w:val="009143F2"/>
    <w:rsid w:val="0091463C"/>
    <w:rsid w:val="00914D58"/>
    <w:rsid w:val="00914DB3"/>
    <w:rsid w:val="0091633B"/>
    <w:rsid w:val="009164B8"/>
    <w:rsid w:val="009223BE"/>
    <w:rsid w:val="00923849"/>
    <w:rsid w:val="0092439E"/>
    <w:rsid w:val="009249F9"/>
    <w:rsid w:val="00924FD2"/>
    <w:rsid w:val="0092536D"/>
    <w:rsid w:val="009256C9"/>
    <w:rsid w:val="00925A64"/>
    <w:rsid w:val="009274A0"/>
    <w:rsid w:val="00930663"/>
    <w:rsid w:val="0093086F"/>
    <w:rsid w:val="00931AF2"/>
    <w:rsid w:val="009329FE"/>
    <w:rsid w:val="00932DDE"/>
    <w:rsid w:val="009330B4"/>
    <w:rsid w:val="00933DCB"/>
    <w:rsid w:val="009341DD"/>
    <w:rsid w:val="0093644A"/>
    <w:rsid w:val="009371A0"/>
    <w:rsid w:val="0094017A"/>
    <w:rsid w:val="009406A8"/>
    <w:rsid w:val="00940D67"/>
    <w:rsid w:val="00942024"/>
    <w:rsid w:val="00944550"/>
    <w:rsid w:val="0094559B"/>
    <w:rsid w:val="0094639C"/>
    <w:rsid w:val="00950AD6"/>
    <w:rsid w:val="0095223F"/>
    <w:rsid w:val="00952240"/>
    <w:rsid w:val="0095238A"/>
    <w:rsid w:val="00955067"/>
    <w:rsid w:val="009550AD"/>
    <w:rsid w:val="00955321"/>
    <w:rsid w:val="00955F71"/>
    <w:rsid w:val="009565D4"/>
    <w:rsid w:val="00960A80"/>
    <w:rsid w:val="00960B3A"/>
    <w:rsid w:val="0096188F"/>
    <w:rsid w:val="009649A8"/>
    <w:rsid w:val="00965A3E"/>
    <w:rsid w:val="00966C78"/>
    <w:rsid w:val="00967744"/>
    <w:rsid w:val="00967D7C"/>
    <w:rsid w:val="0097053C"/>
    <w:rsid w:val="00970DC8"/>
    <w:rsid w:val="00970EAB"/>
    <w:rsid w:val="009712B4"/>
    <w:rsid w:val="00971655"/>
    <w:rsid w:val="00972793"/>
    <w:rsid w:val="0097287A"/>
    <w:rsid w:val="00973C7C"/>
    <w:rsid w:val="00974689"/>
    <w:rsid w:val="0097551A"/>
    <w:rsid w:val="00975FF3"/>
    <w:rsid w:val="00977C8B"/>
    <w:rsid w:val="00977D73"/>
    <w:rsid w:val="00980D19"/>
    <w:rsid w:val="00981B19"/>
    <w:rsid w:val="00981C36"/>
    <w:rsid w:val="00982356"/>
    <w:rsid w:val="00982547"/>
    <w:rsid w:val="009829D6"/>
    <w:rsid w:val="00982A83"/>
    <w:rsid w:val="00982F50"/>
    <w:rsid w:val="0098430C"/>
    <w:rsid w:val="00984ECD"/>
    <w:rsid w:val="009867D3"/>
    <w:rsid w:val="00987267"/>
    <w:rsid w:val="0098781D"/>
    <w:rsid w:val="00987A36"/>
    <w:rsid w:val="00987B5A"/>
    <w:rsid w:val="00990A4C"/>
    <w:rsid w:val="00991029"/>
    <w:rsid w:val="009911E8"/>
    <w:rsid w:val="00991CDB"/>
    <w:rsid w:val="0099262A"/>
    <w:rsid w:val="00993353"/>
    <w:rsid w:val="00994E37"/>
    <w:rsid w:val="00995139"/>
    <w:rsid w:val="00995392"/>
    <w:rsid w:val="00996462"/>
    <w:rsid w:val="00996DDF"/>
    <w:rsid w:val="0099711E"/>
    <w:rsid w:val="009A020D"/>
    <w:rsid w:val="009A05F3"/>
    <w:rsid w:val="009A0E38"/>
    <w:rsid w:val="009A0EBE"/>
    <w:rsid w:val="009A0EC3"/>
    <w:rsid w:val="009A0EFE"/>
    <w:rsid w:val="009A16E0"/>
    <w:rsid w:val="009A1E26"/>
    <w:rsid w:val="009A1EF6"/>
    <w:rsid w:val="009A43A2"/>
    <w:rsid w:val="009A49EF"/>
    <w:rsid w:val="009A4CC7"/>
    <w:rsid w:val="009A55C2"/>
    <w:rsid w:val="009A5D89"/>
    <w:rsid w:val="009A5DB4"/>
    <w:rsid w:val="009A61A9"/>
    <w:rsid w:val="009B16BB"/>
    <w:rsid w:val="009B1EB5"/>
    <w:rsid w:val="009B3546"/>
    <w:rsid w:val="009B39E1"/>
    <w:rsid w:val="009B3D0C"/>
    <w:rsid w:val="009B47CD"/>
    <w:rsid w:val="009B5514"/>
    <w:rsid w:val="009B56DA"/>
    <w:rsid w:val="009B595F"/>
    <w:rsid w:val="009C0667"/>
    <w:rsid w:val="009C4AC6"/>
    <w:rsid w:val="009C52DA"/>
    <w:rsid w:val="009C5A0B"/>
    <w:rsid w:val="009C7394"/>
    <w:rsid w:val="009D08A6"/>
    <w:rsid w:val="009D10DC"/>
    <w:rsid w:val="009D13BB"/>
    <w:rsid w:val="009D1431"/>
    <w:rsid w:val="009D1B89"/>
    <w:rsid w:val="009D1F35"/>
    <w:rsid w:val="009D2889"/>
    <w:rsid w:val="009D3274"/>
    <w:rsid w:val="009D371E"/>
    <w:rsid w:val="009D4019"/>
    <w:rsid w:val="009D4A4E"/>
    <w:rsid w:val="009D4E42"/>
    <w:rsid w:val="009D50EB"/>
    <w:rsid w:val="009D5F72"/>
    <w:rsid w:val="009D6E77"/>
    <w:rsid w:val="009D71D4"/>
    <w:rsid w:val="009D7F4B"/>
    <w:rsid w:val="009E0FE8"/>
    <w:rsid w:val="009E32F5"/>
    <w:rsid w:val="009E3355"/>
    <w:rsid w:val="009E3677"/>
    <w:rsid w:val="009E3E2E"/>
    <w:rsid w:val="009E4059"/>
    <w:rsid w:val="009E459D"/>
    <w:rsid w:val="009E5D5B"/>
    <w:rsid w:val="009E6279"/>
    <w:rsid w:val="009E6631"/>
    <w:rsid w:val="009E7B4D"/>
    <w:rsid w:val="009E7BD7"/>
    <w:rsid w:val="009E7CA2"/>
    <w:rsid w:val="009F04ED"/>
    <w:rsid w:val="009F0C7D"/>
    <w:rsid w:val="009F1275"/>
    <w:rsid w:val="009F2649"/>
    <w:rsid w:val="009F298A"/>
    <w:rsid w:val="009F38B0"/>
    <w:rsid w:val="009F3D13"/>
    <w:rsid w:val="009F4C9F"/>
    <w:rsid w:val="009F5A9D"/>
    <w:rsid w:val="009F5FF8"/>
    <w:rsid w:val="009F704C"/>
    <w:rsid w:val="009F7DF9"/>
    <w:rsid w:val="00A011E6"/>
    <w:rsid w:val="00A01BF2"/>
    <w:rsid w:val="00A01C3E"/>
    <w:rsid w:val="00A01DA7"/>
    <w:rsid w:val="00A0215D"/>
    <w:rsid w:val="00A02A27"/>
    <w:rsid w:val="00A0304A"/>
    <w:rsid w:val="00A038D1"/>
    <w:rsid w:val="00A038F3"/>
    <w:rsid w:val="00A03E12"/>
    <w:rsid w:val="00A04E62"/>
    <w:rsid w:val="00A05114"/>
    <w:rsid w:val="00A05651"/>
    <w:rsid w:val="00A062A6"/>
    <w:rsid w:val="00A06666"/>
    <w:rsid w:val="00A06981"/>
    <w:rsid w:val="00A07E46"/>
    <w:rsid w:val="00A105E0"/>
    <w:rsid w:val="00A10B11"/>
    <w:rsid w:val="00A10FA7"/>
    <w:rsid w:val="00A11B67"/>
    <w:rsid w:val="00A123A0"/>
    <w:rsid w:val="00A12C57"/>
    <w:rsid w:val="00A1309F"/>
    <w:rsid w:val="00A13218"/>
    <w:rsid w:val="00A137A6"/>
    <w:rsid w:val="00A13DAC"/>
    <w:rsid w:val="00A146A9"/>
    <w:rsid w:val="00A14A74"/>
    <w:rsid w:val="00A1531C"/>
    <w:rsid w:val="00A16C9F"/>
    <w:rsid w:val="00A204B0"/>
    <w:rsid w:val="00A23BAF"/>
    <w:rsid w:val="00A25907"/>
    <w:rsid w:val="00A261BD"/>
    <w:rsid w:val="00A26511"/>
    <w:rsid w:val="00A27BFF"/>
    <w:rsid w:val="00A3018B"/>
    <w:rsid w:val="00A30266"/>
    <w:rsid w:val="00A3128D"/>
    <w:rsid w:val="00A31423"/>
    <w:rsid w:val="00A324EA"/>
    <w:rsid w:val="00A32FEF"/>
    <w:rsid w:val="00A33A46"/>
    <w:rsid w:val="00A34278"/>
    <w:rsid w:val="00A34673"/>
    <w:rsid w:val="00A34722"/>
    <w:rsid w:val="00A35DB1"/>
    <w:rsid w:val="00A36E01"/>
    <w:rsid w:val="00A4197C"/>
    <w:rsid w:val="00A41B09"/>
    <w:rsid w:val="00A42B63"/>
    <w:rsid w:val="00A43182"/>
    <w:rsid w:val="00A44425"/>
    <w:rsid w:val="00A45B43"/>
    <w:rsid w:val="00A46141"/>
    <w:rsid w:val="00A466A9"/>
    <w:rsid w:val="00A46CA7"/>
    <w:rsid w:val="00A470B3"/>
    <w:rsid w:val="00A4794A"/>
    <w:rsid w:val="00A47E4C"/>
    <w:rsid w:val="00A47EFA"/>
    <w:rsid w:val="00A5014B"/>
    <w:rsid w:val="00A50AB2"/>
    <w:rsid w:val="00A51A9C"/>
    <w:rsid w:val="00A533DE"/>
    <w:rsid w:val="00A53583"/>
    <w:rsid w:val="00A53A87"/>
    <w:rsid w:val="00A53C56"/>
    <w:rsid w:val="00A53E2B"/>
    <w:rsid w:val="00A545D2"/>
    <w:rsid w:val="00A54FD8"/>
    <w:rsid w:val="00A551EC"/>
    <w:rsid w:val="00A556ED"/>
    <w:rsid w:val="00A5650A"/>
    <w:rsid w:val="00A5693B"/>
    <w:rsid w:val="00A56AAE"/>
    <w:rsid w:val="00A57F95"/>
    <w:rsid w:val="00A61437"/>
    <w:rsid w:val="00A61770"/>
    <w:rsid w:val="00A6183B"/>
    <w:rsid w:val="00A62B50"/>
    <w:rsid w:val="00A63F84"/>
    <w:rsid w:val="00A6497B"/>
    <w:rsid w:val="00A6533C"/>
    <w:rsid w:val="00A653A5"/>
    <w:rsid w:val="00A65A27"/>
    <w:rsid w:val="00A65E70"/>
    <w:rsid w:val="00A66653"/>
    <w:rsid w:val="00A673B7"/>
    <w:rsid w:val="00A67B74"/>
    <w:rsid w:val="00A67F2A"/>
    <w:rsid w:val="00A70570"/>
    <w:rsid w:val="00A705C6"/>
    <w:rsid w:val="00A71FEA"/>
    <w:rsid w:val="00A7277F"/>
    <w:rsid w:val="00A73031"/>
    <w:rsid w:val="00A7307C"/>
    <w:rsid w:val="00A73C9C"/>
    <w:rsid w:val="00A7431B"/>
    <w:rsid w:val="00A76B7A"/>
    <w:rsid w:val="00A77514"/>
    <w:rsid w:val="00A802F6"/>
    <w:rsid w:val="00A817C8"/>
    <w:rsid w:val="00A817CE"/>
    <w:rsid w:val="00A84428"/>
    <w:rsid w:val="00A84DD3"/>
    <w:rsid w:val="00A85EA7"/>
    <w:rsid w:val="00A85EFF"/>
    <w:rsid w:val="00A86605"/>
    <w:rsid w:val="00A86630"/>
    <w:rsid w:val="00A873E1"/>
    <w:rsid w:val="00A8749F"/>
    <w:rsid w:val="00A87BEA"/>
    <w:rsid w:val="00A902F5"/>
    <w:rsid w:val="00A928FA"/>
    <w:rsid w:val="00A92A9A"/>
    <w:rsid w:val="00A92F73"/>
    <w:rsid w:val="00A943DC"/>
    <w:rsid w:val="00A94C6A"/>
    <w:rsid w:val="00A94E48"/>
    <w:rsid w:val="00A9517B"/>
    <w:rsid w:val="00A95A78"/>
    <w:rsid w:val="00A95E71"/>
    <w:rsid w:val="00A96215"/>
    <w:rsid w:val="00A96688"/>
    <w:rsid w:val="00AA02CF"/>
    <w:rsid w:val="00AA0617"/>
    <w:rsid w:val="00AA0E3A"/>
    <w:rsid w:val="00AA1AB4"/>
    <w:rsid w:val="00AA3261"/>
    <w:rsid w:val="00AA443C"/>
    <w:rsid w:val="00AA4903"/>
    <w:rsid w:val="00AA5506"/>
    <w:rsid w:val="00AA6B12"/>
    <w:rsid w:val="00AA7B0B"/>
    <w:rsid w:val="00AB0574"/>
    <w:rsid w:val="00AB14A5"/>
    <w:rsid w:val="00AB14A7"/>
    <w:rsid w:val="00AB2B33"/>
    <w:rsid w:val="00AB2B9D"/>
    <w:rsid w:val="00AB32CF"/>
    <w:rsid w:val="00AB3BAE"/>
    <w:rsid w:val="00AB3F4D"/>
    <w:rsid w:val="00AB5BCF"/>
    <w:rsid w:val="00AB5F81"/>
    <w:rsid w:val="00AB6417"/>
    <w:rsid w:val="00AB6FE6"/>
    <w:rsid w:val="00AC0A0C"/>
    <w:rsid w:val="00AC0CD0"/>
    <w:rsid w:val="00AC2813"/>
    <w:rsid w:val="00AC2C99"/>
    <w:rsid w:val="00AC2CC4"/>
    <w:rsid w:val="00AC3843"/>
    <w:rsid w:val="00AC406C"/>
    <w:rsid w:val="00AC461F"/>
    <w:rsid w:val="00AC532E"/>
    <w:rsid w:val="00AC56D7"/>
    <w:rsid w:val="00AC59EB"/>
    <w:rsid w:val="00AC5DCC"/>
    <w:rsid w:val="00AC635A"/>
    <w:rsid w:val="00AC6AAE"/>
    <w:rsid w:val="00AC6C5C"/>
    <w:rsid w:val="00AC7AE4"/>
    <w:rsid w:val="00AC7B30"/>
    <w:rsid w:val="00AD0162"/>
    <w:rsid w:val="00AD1552"/>
    <w:rsid w:val="00AD1FF2"/>
    <w:rsid w:val="00AD2080"/>
    <w:rsid w:val="00AD2235"/>
    <w:rsid w:val="00AD28DA"/>
    <w:rsid w:val="00AD333C"/>
    <w:rsid w:val="00AD391A"/>
    <w:rsid w:val="00AD4113"/>
    <w:rsid w:val="00AD4163"/>
    <w:rsid w:val="00AD50A5"/>
    <w:rsid w:val="00AD5A66"/>
    <w:rsid w:val="00AD5AFD"/>
    <w:rsid w:val="00AD5E7E"/>
    <w:rsid w:val="00AD6250"/>
    <w:rsid w:val="00AD65E1"/>
    <w:rsid w:val="00AD66FB"/>
    <w:rsid w:val="00AE020F"/>
    <w:rsid w:val="00AE1C97"/>
    <w:rsid w:val="00AE1E85"/>
    <w:rsid w:val="00AE2299"/>
    <w:rsid w:val="00AE2618"/>
    <w:rsid w:val="00AE2CFA"/>
    <w:rsid w:val="00AE3058"/>
    <w:rsid w:val="00AE3DBD"/>
    <w:rsid w:val="00AE5530"/>
    <w:rsid w:val="00AE6472"/>
    <w:rsid w:val="00AE701D"/>
    <w:rsid w:val="00AE72F0"/>
    <w:rsid w:val="00AE7A19"/>
    <w:rsid w:val="00AF09C4"/>
    <w:rsid w:val="00AF0ED9"/>
    <w:rsid w:val="00AF2EBE"/>
    <w:rsid w:val="00AF3270"/>
    <w:rsid w:val="00AF3347"/>
    <w:rsid w:val="00AF3456"/>
    <w:rsid w:val="00AF49FB"/>
    <w:rsid w:val="00AF4A82"/>
    <w:rsid w:val="00AF4DEA"/>
    <w:rsid w:val="00AF71FB"/>
    <w:rsid w:val="00AF722A"/>
    <w:rsid w:val="00AF783E"/>
    <w:rsid w:val="00AF7976"/>
    <w:rsid w:val="00B0056D"/>
    <w:rsid w:val="00B00B4F"/>
    <w:rsid w:val="00B0117C"/>
    <w:rsid w:val="00B01339"/>
    <w:rsid w:val="00B01B15"/>
    <w:rsid w:val="00B02599"/>
    <w:rsid w:val="00B035E7"/>
    <w:rsid w:val="00B03661"/>
    <w:rsid w:val="00B03908"/>
    <w:rsid w:val="00B040D8"/>
    <w:rsid w:val="00B048E1"/>
    <w:rsid w:val="00B04DB3"/>
    <w:rsid w:val="00B0560F"/>
    <w:rsid w:val="00B05D86"/>
    <w:rsid w:val="00B06DBD"/>
    <w:rsid w:val="00B101DB"/>
    <w:rsid w:val="00B12C43"/>
    <w:rsid w:val="00B12ED9"/>
    <w:rsid w:val="00B130FF"/>
    <w:rsid w:val="00B13494"/>
    <w:rsid w:val="00B138CC"/>
    <w:rsid w:val="00B14060"/>
    <w:rsid w:val="00B14BC2"/>
    <w:rsid w:val="00B14DCC"/>
    <w:rsid w:val="00B14EC9"/>
    <w:rsid w:val="00B151B5"/>
    <w:rsid w:val="00B15BCC"/>
    <w:rsid w:val="00B15CA0"/>
    <w:rsid w:val="00B16B3C"/>
    <w:rsid w:val="00B16FBF"/>
    <w:rsid w:val="00B20E4B"/>
    <w:rsid w:val="00B212F2"/>
    <w:rsid w:val="00B21826"/>
    <w:rsid w:val="00B22212"/>
    <w:rsid w:val="00B22BC7"/>
    <w:rsid w:val="00B22C2F"/>
    <w:rsid w:val="00B237F1"/>
    <w:rsid w:val="00B24FE8"/>
    <w:rsid w:val="00B25EE3"/>
    <w:rsid w:val="00B2627C"/>
    <w:rsid w:val="00B269D4"/>
    <w:rsid w:val="00B26CF7"/>
    <w:rsid w:val="00B27B1B"/>
    <w:rsid w:val="00B27D6B"/>
    <w:rsid w:val="00B3002C"/>
    <w:rsid w:val="00B301DC"/>
    <w:rsid w:val="00B30CA7"/>
    <w:rsid w:val="00B314F2"/>
    <w:rsid w:val="00B319BA"/>
    <w:rsid w:val="00B31D1B"/>
    <w:rsid w:val="00B31FEB"/>
    <w:rsid w:val="00B3246D"/>
    <w:rsid w:val="00B3288A"/>
    <w:rsid w:val="00B3357C"/>
    <w:rsid w:val="00B3558E"/>
    <w:rsid w:val="00B35ACA"/>
    <w:rsid w:val="00B3664F"/>
    <w:rsid w:val="00B366BC"/>
    <w:rsid w:val="00B36809"/>
    <w:rsid w:val="00B36CE4"/>
    <w:rsid w:val="00B41E08"/>
    <w:rsid w:val="00B44C86"/>
    <w:rsid w:val="00B4546D"/>
    <w:rsid w:val="00B45A67"/>
    <w:rsid w:val="00B45AA8"/>
    <w:rsid w:val="00B46342"/>
    <w:rsid w:val="00B4635D"/>
    <w:rsid w:val="00B465BF"/>
    <w:rsid w:val="00B46648"/>
    <w:rsid w:val="00B46DB1"/>
    <w:rsid w:val="00B510B5"/>
    <w:rsid w:val="00B518F2"/>
    <w:rsid w:val="00B51EBF"/>
    <w:rsid w:val="00B52597"/>
    <w:rsid w:val="00B543B4"/>
    <w:rsid w:val="00B54A94"/>
    <w:rsid w:val="00B55F40"/>
    <w:rsid w:val="00B56999"/>
    <w:rsid w:val="00B56A9A"/>
    <w:rsid w:val="00B56EF9"/>
    <w:rsid w:val="00B578C8"/>
    <w:rsid w:val="00B61C4A"/>
    <w:rsid w:val="00B61EC9"/>
    <w:rsid w:val="00B62098"/>
    <w:rsid w:val="00B63629"/>
    <w:rsid w:val="00B6378E"/>
    <w:rsid w:val="00B6411B"/>
    <w:rsid w:val="00B647BB"/>
    <w:rsid w:val="00B64EC0"/>
    <w:rsid w:val="00B679AD"/>
    <w:rsid w:val="00B71240"/>
    <w:rsid w:val="00B71CAB"/>
    <w:rsid w:val="00B71EB9"/>
    <w:rsid w:val="00B7328E"/>
    <w:rsid w:val="00B74A64"/>
    <w:rsid w:val="00B758A5"/>
    <w:rsid w:val="00B759A9"/>
    <w:rsid w:val="00B75C48"/>
    <w:rsid w:val="00B7693C"/>
    <w:rsid w:val="00B76E9B"/>
    <w:rsid w:val="00B7744A"/>
    <w:rsid w:val="00B8022A"/>
    <w:rsid w:val="00B819E0"/>
    <w:rsid w:val="00B82A15"/>
    <w:rsid w:val="00B82D4D"/>
    <w:rsid w:val="00B842BF"/>
    <w:rsid w:val="00B85454"/>
    <w:rsid w:val="00B85579"/>
    <w:rsid w:val="00B86332"/>
    <w:rsid w:val="00B86B7B"/>
    <w:rsid w:val="00B87141"/>
    <w:rsid w:val="00B87EE6"/>
    <w:rsid w:val="00B92505"/>
    <w:rsid w:val="00B9260A"/>
    <w:rsid w:val="00B93686"/>
    <w:rsid w:val="00B93F02"/>
    <w:rsid w:val="00B95929"/>
    <w:rsid w:val="00B96ABD"/>
    <w:rsid w:val="00BA0A40"/>
    <w:rsid w:val="00BA1E70"/>
    <w:rsid w:val="00BA1F7A"/>
    <w:rsid w:val="00BA250F"/>
    <w:rsid w:val="00BA2AAA"/>
    <w:rsid w:val="00BA48F9"/>
    <w:rsid w:val="00BA669F"/>
    <w:rsid w:val="00BA724D"/>
    <w:rsid w:val="00BA7466"/>
    <w:rsid w:val="00BA771A"/>
    <w:rsid w:val="00BB0268"/>
    <w:rsid w:val="00BB040D"/>
    <w:rsid w:val="00BB1765"/>
    <w:rsid w:val="00BB3400"/>
    <w:rsid w:val="00BB3534"/>
    <w:rsid w:val="00BB5FD6"/>
    <w:rsid w:val="00BB60F9"/>
    <w:rsid w:val="00BB7D7D"/>
    <w:rsid w:val="00BC083C"/>
    <w:rsid w:val="00BC18A6"/>
    <w:rsid w:val="00BC462F"/>
    <w:rsid w:val="00BC5BE8"/>
    <w:rsid w:val="00BC6755"/>
    <w:rsid w:val="00BC6DED"/>
    <w:rsid w:val="00BC730A"/>
    <w:rsid w:val="00BC7D63"/>
    <w:rsid w:val="00BD0892"/>
    <w:rsid w:val="00BD0A23"/>
    <w:rsid w:val="00BD163F"/>
    <w:rsid w:val="00BD2719"/>
    <w:rsid w:val="00BD2FFA"/>
    <w:rsid w:val="00BD39E9"/>
    <w:rsid w:val="00BD3DD8"/>
    <w:rsid w:val="00BD3F7D"/>
    <w:rsid w:val="00BD4458"/>
    <w:rsid w:val="00BD45A7"/>
    <w:rsid w:val="00BD48D2"/>
    <w:rsid w:val="00BD501E"/>
    <w:rsid w:val="00BD51FF"/>
    <w:rsid w:val="00BD5714"/>
    <w:rsid w:val="00BD61E7"/>
    <w:rsid w:val="00BD7B80"/>
    <w:rsid w:val="00BE0149"/>
    <w:rsid w:val="00BE01C4"/>
    <w:rsid w:val="00BE03BE"/>
    <w:rsid w:val="00BE195A"/>
    <w:rsid w:val="00BE2B03"/>
    <w:rsid w:val="00BE2E3D"/>
    <w:rsid w:val="00BE2EF6"/>
    <w:rsid w:val="00BE302F"/>
    <w:rsid w:val="00BE40FB"/>
    <w:rsid w:val="00BE4F1F"/>
    <w:rsid w:val="00BE5F2D"/>
    <w:rsid w:val="00BE611E"/>
    <w:rsid w:val="00BE62BA"/>
    <w:rsid w:val="00BF0458"/>
    <w:rsid w:val="00BF0502"/>
    <w:rsid w:val="00BF0859"/>
    <w:rsid w:val="00BF1533"/>
    <w:rsid w:val="00BF18DC"/>
    <w:rsid w:val="00BF2119"/>
    <w:rsid w:val="00BF2A73"/>
    <w:rsid w:val="00BF3EE0"/>
    <w:rsid w:val="00BF4773"/>
    <w:rsid w:val="00BF510E"/>
    <w:rsid w:val="00BF57C8"/>
    <w:rsid w:val="00BF5AE2"/>
    <w:rsid w:val="00BF5E85"/>
    <w:rsid w:val="00BF65FC"/>
    <w:rsid w:val="00BF69E2"/>
    <w:rsid w:val="00BF765F"/>
    <w:rsid w:val="00BF7831"/>
    <w:rsid w:val="00BF7D42"/>
    <w:rsid w:val="00BF7EC2"/>
    <w:rsid w:val="00C0110F"/>
    <w:rsid w:val="00C02768"/>
    <w:rsid w:val="00C02AC3"/>
    <w:rsid w:val="00C02B9F"/>
    <w:rsid w:val="00C037AA"/>
    <w:rsid w:val="00C04B4F"/>
    <w:rsid w:val="00C07D4B"/>
    <w:rsid w:val="00C1017D"/>
    <w:rsid w:val="00C10808"/>
    <w:rsid w:val="00C12125"/>
    <w:rsid w:val="00C122D1"/>
    <w:rsid w:val="00C12E7F"/>
    <w:rsid w:val="00C135B6"/>
    <w:rsid w:val="00C13DE2"/>
    <w:rsid w:val="00C14408"/>
    <w:rsid w:val="00C14776"/>
    <w:rsid w:val="00C1531C"/>
    <w:rsid w:val="00C15F63"/>
    <w:rsid w:val="00C17B4C"/>
    <w:rsid w:val="00C17ED2"/>
    <w:rsid w:val="00C17F58"/>
    <w:rsid w:val="00C20044"/>
    <w:rsid w:val="00C20374"/>
    <w:rsid w:val="00C21B64"/>
    <w:rsid w:val="00C23C49"/>
    <w:rsid w:val="00C25348"/>
    <w:rsid w:val="00C2723C"/>
    <w:rsid w:val="00C304FC"/>
    <w:rsid w:val="00C307E7"/>
    <w:rsid w:val="00C311F9"/>
    <w:rsid w:val="00C313BD"/>
    <w:rsid w:val="00C31889"/>
    <w:rsid w:val="00C31B41"/>
    <w:rsid w:val="00C31D47"/>
    <w:rsid w:val="00C32811"/>
    <w:rsid w:val="00C34A92"/>
    <w:rsid w:val="00C34AD1"/>
    <w:rsid w:val="00C34C06"/>
    <w:rsid w:val="00C356A4"/>
    <w:rsid w:val="00C35829"/>
    <w:rsid w:val="00C36245"/>
    <w:rsid w:val="00C364C6"/>
    <w:rsid w:val="00C370A7"/>
    <w:rsid w:val="00C41F25"/>
    <w:rsid w:val="00C421CA"/>
    <w:rsid w:val="00C4364C"/>
    <w:rsid w:val="00C44784"/>
    <w:rsid w:val="00C44EB3"/>
    <w:rsid w:val="00C45113"/>
    <w:rsid w:val="00C45332"/>
    <w:rsid w:val="00C454F9"/>
    <w:rsid w:val="00C46955"/>
    <w:rsid w:val="00C46D36"/>
    <w:rsid w:val="00C470EF"/>
    <w:rsid w:val="00C526C3"/>
    <w:rsid w:val="00C52D44"/>
    <w:rsid w:val="00C53203"/>
    <w:rsid w:val="00C5329E"/>
    <w:rsid w:val="00C54561"/>
    <w:rsid w:val="00C54585"/>
    <w:rsid w:val="00C567DD"/>
    <w:rsid w:val="00C5787F"/>
    <w:rsid w:val="00C57E90"/>
    <w:rsid w:val="00C6037A"/>
    <w:rsid w:val="00C6068B"/>
    <w:rsid w:val="00C60793"/>
    <w:rsid w:val="00C60B7C"/>
    <w:rsid w:val="00C61128"/>
    <w:rsid w:val="00C617A0"/>
    <w:rsid w:val="00C62620"/>
    <w:rsid w:val="00C62F1C"/>
    <w:rsid w:val="00C631C1"/>
    <w:rsid w:val="00C6380F"/>
    <w:rsid w:val="00C638D0"/>
    <w:rsid w:val="00C63CC9"/>
    <w:rsid w:val="00C63FCB"/>
    <w:rsid w:val="00C648C9"/>
    <w:rsid w:val="00C65071"/>
    <w:rsid w:val="00C655BE"/>
    <w:rsid w:val="00C659D1"/>
    <w:rsid w:val="00C65E10"/>
    <w:rsid w:val="00C66DAA"/>
    <w:rsid w:val="00C6747E"/>
    <w:rsid w:val="00C7198F"/>
    <w:rsid w:val="00C72C62"/>
    <w:rsid w:val="00C7383C"/>
    <w:rsid w:val="00C744A3"/>
    <w:rsid w:val="00C75D69"/>
    <w:rsid w:val="00C7732E"/>
    <w:rsid w:val="00C808F2"/>
    <w:rsid w:val="00C81DB5"/>
    <w:rsid w:val="00C828CA"/>
    <w:rsid w:val="00C831FA"/>
    <w:rsid w:val="00C836B3"/>
    <w:rsid w:val="00C839F4"/>
    <w:rsid w:val="00C85144"/>
    <w:rsid w:val="00C8563C"/>
    <w:rsid w:val="00C85E49"/>
    <w:rsid w:val="00C900FF"/>
    <w:rsid w:val="00C9038F"/>
    <w:rsid w:val="00C90A5F"/>
    <w:rsid w:val="00C925D2"/>
    <w:rsid w:val="00C94408"/>
    <w:rsid w:val="00C9483B"/>
    <w:rsid w:val="00C948BC"/>
    <w:rsid w:val="00C94922"/>
    <w:rsid w:val="00C9597E"/>
    <w:rsid w:val="00C95C12"/>
    <w:rsid w:val="00C96540"/>
    <w:rsid w:val="00C970D3"/>
    <w:rsid w:val="00CA00AC"/>
    <w:rsid w:val="00CA03F0"/>
    <w:rsid w:val="00CA3607"/>
    <w:rsid w:val="00CA3F23"/>
    <w:rsid w:val="00CA493A"/>
    <w:rsid w:val="00CA4E30"/>
    <w:rsid w:val="00CA5632"/>
    <w:rsid w:val="00CA7179"/>
    <w:rsid w:val="00CB02E4"/>
    <w:rsid w:val="00CB20CB"/>
    <w:rsid w:val="00CB2625"/>
    <w:rsid w:val="00CB2A00"/>
    <w:rsid w:val="00CB3298"/>
    <w:rsid w:val="00CB3651"/>
    <w:rsid w:val="00CB3E89"/>
    <w:rsid w:val="00CB3FC8"/>
    <w:rsid w:val="00CB442A"/>
    <w:rsid w:val="00CB4771"/>
    <w:rsid w:val="00CB4938"/>
    <w:rsid w:val="00CB5D91"/>
    <w:rsid w:val="00CB5FB1"/>
    <w:rsid w:val="00CB6770"/>
    <w:rsid w:val="00CB6B8E"/>
    <w:rsid w:val="00CB6DD8"/>
    <w:rsid w:val="00CB6F6C"/>
    <w:rsid w:val="00CB7432"/>
    <w:rsid w:val="00CB74E3"/>
    <w:rsid w:val="00CB7703"/>
    <w:rsid w:val="00CB793D"/>
    <w:rsid w:val="00CC150A"/>
    <w:rsid w:val="00CC17A7"/>
    <w:rsid w:val="00CC2FB6"/>
    <w:rsid w:val="00CC303F"/>
    <w:rsid w:val="00CC426C"/>
    <w:rsid w:val="00CC4B7E"/>
    <w:rsid w:val="00CC523F"/>
    <w:rsid w:val="00CD0D95"/>
    <w:rsid w:val="00CD1385"/>
    <w:rsid w:val="00CD2213"/>
    <w:rsid w:val="00CD2B71"/>
    <w:rsid w:val="00CD301D"/>
    <w:rsid w:val="00CD3597"/>
    <w:rsid w:val="00CD44BF"/>
    <w:rsid w:val="00CD45E6"/>
    <w:rsid w:val="00CD4B2E"/>
    <w:rsid w:val="00CD4DE4"/>
    <w:rsid w:val="00CD4FFC"/>
    <w:rsid w:val="00CD5159"/>
    <w:rsid w:val="00CD596A"/>
    <w:rsid w:val="00CD5D22"/>
    <w:rsid w:val="00CD6350"/>
    <w:rsid w:val="00CD6527"/>
    <w:rsid w:val="00CD69DC"/>
    <w:rsid w:val="00CD6B3F"/>
    <w:rsid w:val="00CE0296"/>
    <w:rsid w:val="00CE1976"/>
    <w:rsid w:val="00CE3515"/>
    <w:rsid w:val="00CE394F"/>
    <w:rsid w:val="00CE3F3E"/>
    <w:rsid w:val="00CE40B5"/>
    <w:rsid w:val="00CE4342"/>
    <w:rsid w:val="00CE54C2"/>
    <w:rsid w:val="00CE551E"/>
    <w:rsid w:val="00CE6646"/>
    <w:rsid w:val="00CE7937"/>
    <w:rsid w:val="00CE7F5F"/>
    <w:rsid w:val="00CF061B"/>
    <w:rsid w:val="00CF0C1E"/>
    <w:rsid w:val="00CF217F"/>
    <w:rsid w:val="00CF2C23"/>
    <w:rsid w:val="00CF337B"/>
    <w:rsid w:val="00CF39EB"/>
    <w:rsid w:val="00CF3E63"/>
    <w:rsid w:val="00CF561E"/>
    <w:rsid w:val="00CF6749"/>
    <w:rsid w:val="00CF6D9D"/>
    <w:rsid w:val="00CF6F13"/>
    <w:rsid w:val="00CF7E44"/>
    <w:rsid w:val="00CF7FC7"/>
    <w:rsid w:val="00D000D3"/>
    <w:rsid w:val="00D0170E"/>
    <w:rsid w:val="00D017F3"/>
    <w:rsid w:val="00D03397"/>
    <w:rsid w:val="00D0468C"/>
    <w:rsid w:val="00D05F27"/>
    <w:rsid w:val="00D0629F"/>
    <w:rsid w:val="00D06E29"/>
    <w:rsid w:val="00D073AD"/>
    <w:rsid w:val="00D076FE"/>
    <w:rsid w:val="00D11254"/>
    <w:rsid w:val="00D11B06"/>
    <w:rsid w:val="00D136A4"/>
    <w:rsid w:val="00D13751"/>
    <w:rsid w:val="00D143BA"/>
    <w:rsid w:val="00D14C0E"/>
    <w:rsid w:val="00D1562D"/>
    <w:rsid w:val="00D15ADD"/>
    <w:rsid w:val="00D166F8"/>
    <w:rsid w:val="00D172E5"/>
    <w:rsid w:val="00D17936"/>
    <w:rsid w:val="00D17A77"/>
    <w:rsid w:val="00D17AC4"/>
    <w:rsid w:val="00D17BA3"/>
    <w:rsid w:val="00D17D58"/>
    <w:rsid w:val="00D17F1C"/>
    <w:rsid w:val="00D20DD2"/>
    <w:rsid w:val="00D20DFE"/>
    <w:rsid w:val="00D21D50"/>
    <w:rsid w:val="00D229D3"/>
    <w:rsid w:val="00D234AB"/>
    <w:rsid w:val="00D23846"/>
    <w:rsid w:val="00D242E5"/>
    <w:rsid w:val="00D24D3D"/>
    <w:rsid w:val="00D2547E"/>
    <w:rsid w:val="00D25776"/>
    <w:rsid w:val="00D25C64"/>
    <w:rsid w:val="00D265D7"/>
    <w:rsid w:val="00D27B68"/>
    <w:rsid w:val="00D27E15"/>
    <w:rsid w:val="00D30AF6"/>
    <w:rsid w:val="00D31030"/>
    <w:rsid w:val="00D319AD"/>
    <w:rsid w:val="00D31CC6"/>
    <w:rsid w:val="00D33282"/>
    <w:rsid w:val="00D34ECA"/>
    <w:rsid w:val="00D34EEE"/>
    <w:rsid w:val="00D35F3B"/>
    <w:rsid w:val="00D36889"/>
    <w:rsid w:val="00D36D90"/>
    <w:rsid w:val="00D37BAF"/>
    <w:rsid w:val="00D4068C"/>
    <w:rsid w:val="00D40703"/>
    <w:rsid w:val="00D4080D"/>
    <w:rsid w:val="00D40CF3"/>
    <w:rsid w:val="00D41E1D"/>
    <w:rsid w:val="00D43AE7"/>
    <w:rsid w:val="00D43FE8"/>
    <w:rsid w:val="00D44F58"/>
    <w:rsid w:val="00D45B45"/>
    <w:rsid w:val="00D46062"/>
    <w:rsid w:val="00D46922"/>
    <w:rsid w:val="00D46C3C"/>
    <w:rsid w:val="00D46EBC"/>
    <w:rsid w:val="00D50041"/>
    <w:rsid w:val="00D5067B"/>
    <w:rsid w:val="00D50C3C"/>
    <w:rsid w:val="00D51A0F"/>
    <w:rsid w:val="00D51B1E"/>
    <w:rsid w:val="00D51EBF"/>
    <w:rsid w:val="00D52FA4"/>
    <w:rsid w:val="00D536FF"/>
    <w:rsid w:val="00D54E6A"/>
    <w:rsid w:val="00D56631"/>
    <w:rsid w:val="00D57553"/>
    <w:rsid w:val="00D6266B"/>
    <w:rsid w:val="00D638EC"/>
    <w:rsid w:val="00D6418F"/>
    <w:rsid w:val="00D64B48"/>
    <w:rsid w:val="00D659FE"/>
    <w:rsid w:val="00D65FAF"/>
    <w:rsid w:val="00D66A83"/>
    <w:rsid w:val="00D66B3E"/>
    <w:rsid w:val="00D66F73"/>
    <w:rsid w:val="00D70CBB"/>
    <w:rsid w:val="00D70FE2"/>
    <w:rsid w:val="00D71146"/>
    <w:rsid w:val="00D71F79"/>
    <w:rsid w:val="00D74988"/>
    <w:rsid w:val="00D760E1"/>
    <w:rsid w:val="00D76A94"/>
    <w:rsid w:val="00D777E2"/>
    <w:rsid w:val="00D83F0B"/>
    <w:rsid w:val="00D84568"/>
    <w:rsid w:val="00D84DB6"/>
    <w:rsid w:val="00D84EB8"/>
    <w:rsid w:val="00D8577C"/>
    <w:rsid w:val="00D85A50"/>
    <w:rsid w:val="00D85C28"/>
    <w:rsid w:val="00D85EA6"/>
    <w:rsid w:val="00D864CC"/>
    <w:rsid w:val="00D86C49"/>
    <w:rsid w:val="00D86E5D"/>
    <w:rsid w:val="00D87074"/>
    <w:rsid w:val="00D87684"/>
    <w:rsid w:val="00D87E1A"/>
    <w:rsid w:val="00D912D7"/>
    <w:rsid w:val="00D91FBA"/>
    <w:rsid w:val="00D9260F"/>
    <w:rsid w:val="00D92D82"/>
    <w:rsid w:val="00D944C8"/>
    <w:rsid w:val="00D946FF"/>
    <w:rsid w:val="00D954B8"/>
    <w:rsid w:val="00D95672"/>
    <w:rsid w:val="00D95BB7"/>
    <w:rsid w:val="00D95DF9"/>
    <w:rsid w:val="00D96598"/>
    <w:rsid w:val="00D96ECB"/>
    <w:rsid w:val="00D974AD"/>
    <w:rsid w:val="00D979EA"/>
    <w:rsid w:val="00DA02B9"/>
    <w:rsid w:val="00DA04E7"/>
    <w:rsid w:val="00DA0565"/>
    <w:rsid w:val="00DA056B"/>
    <w:rsid w:val="00DA0AA8"/>
    <w:rsid w:val="00DA0B7A"/>
    <w:rsid w:val="00DA1333"/>
    <w:rsid w:val="00DA1DFC"/>
    <w:rsid w:val="00DA25A5"/>
    <w:rsid w:val="00DA2661"/>
    <w:rsid w:val="00DA42EA"/>
    <w:rsid w:val="00DA5772"/>
    <w:rsid w:val="00DA6987"/>
    <w:rsid w:val="00DA7FEA"/>
    <w:rsid w:val="00DB0F42"/>
    <w:rsid w:val="00DB113C"/>
    <w:rsid w:val="00DB1781"/>
    <w:rsid w:val="00DB1CA2"/>
    <w:rsid w:val="00DB23EE"/>
    <w:rsid w:val="00DB269B"/>
    <w:rsid w:val="00DB2E83"/>
    <w:rsid w:val="00DB40C9"/>
    <w:rsid w:val="00DB4AE2"/>
    <w:rsid w:val="00DB5C91"/>
    <w:rsid w:val="00DB750E"/>
    <w:rsid w:val="00DC0009"/>
    <w:rsid w:val="00DC02B5"/>
    <w:rsid w:val="00DC0EFF"/>
    <w:rsid w:val="00DC13E2"/>
    <w:rsid w:val="00DC358B"/>
    <w:rsid w:val="00DC3E94"/>
    <w:rsid w:val="00DC46C8"/>
    <w:rsid w:val="00DC4854"/>
    <w:rsid w:val="00DC6580"/>
    <w:rsid w:val="00DC7113"/>
    <w:rsid w:val="00DC7CF0"/>
    <w:rsid w:val="00DC7EA9"/>
    <w:rsid w:val="00DD11B8"/>
    <w:rsid w:val="00DD27D1"/>
    <w:rsid w:val="00DD4844"/>
    <w:rsid w:val="00DD5FEF"/>
    <w:rsid w:val="00DD6117"/>
    <w:rsid w:val="00DD67A5"/>
    <w:rsid w:val="00DE0901"/>
    <w:rsid w:val="00DE1894"/>
    <w:rsid w:val="00DE221A"/>
    <w:rsid w:val="00DE2334"/>
    <w:rsid w:val="00DE23D9"/>
    <w:rsid w:val="00DE2940"/>
    <w:rsid w:val="00DE46F6"/>
    <w:rsid w:val="00DE48A3"/>
    <w:rsid w:val="00DE4FED"/>
    <w:rsid w:val="00DE5621"/>
    <w:rsid w:val="00DE5C1E"/>
    <w:rsid w:val="00DF16C7"/>
    <w:rsid w:val="00DF2D2E"/>
    <w:rsid w:val="00DF38E3"/>
    <w:rsid w:val="00DF3D34"/>
    <w:rsid w:val="00DF41C1"/>
    <w:rsid w:val="00DF68F0"/>
    <w:rsid w:val="00DF6CDE"/>
    <w:rsid w:val="00DF75E2"/>
    <w:rsid w:val="00E00567"/>
    <w:rsid w:val="00E00CE1"/>
    <w:rsid w:val="00E00D2A"/>
    <w:rsid w:val="00E0113D"/>
    <w:rsid w:val="00E0240D"/>
    <w:rsid w:val="00E039CB"/>
    <w:rsid w:val="00E0472F"/>
    <w:rsid w:val="00E04AFE"/>
    <w:rsid w:val="00E05A4C"/>
    <w:rsid w:val="00E0626B"/>
    <w:rsid w:val="00E100A5"/>
    <w:rsid w:val="00E10328"/>
    <w:rsid w:val="00E1088D"/>
    <w:rsid w:val="00E1165D"/>
    <w:rsid w:val="00E12321"/>
    <w:rsid w:val="00E127DB"/>
    <w:rsid w:val="00E12E26"/>
    <w:rsid w:val="00E12FE6"/>
    <w:rsid w:val="00E141FD"/>
    <w:rsid w:val="00E1423B"/>
    <w:rsid w:val="00E14761"/>
    <w:rsid w:val="00E15307"/>
    <w:rsid w:val="00E15E7B"/>
    <w:rsid w:val="00E16178"/>
    <w:rsid w:val="00E164F3"/>
    <w:rsid w:val="00E169EB"/>
    <w:rsid w:val="00E1718E"/>
    <w:rsid w:val="00E20641"/>
    <w:rsid w:val="00E225CE"/>
    <w:rsid w:val="00E225F1"/>
    <w:rsid w:val="00E2268A"/>
    <w:rsid w:val="00E23792"/>
    <w:rsid w:val="00E23D76"/>
    <w:rsid w:val="00E24044"/>
    <w:rsid w:val="00E24903"/>
    <w:rsid w:val="00E24B9E"/>
    <w:rsid w:val="00E24C19"/>
    <w:rsid w:val="00E24EC9"/>
    <w:rsid w:val="00E254B9"/>
    <w:rsid w:val="00E269B1"/>
    <w:rsid w:val="00E27D24"/>
    <w:rsid w:val="00E302E7"/>
    <w:rsid w:val="00E303BE"/>
    <w:rsid w:val="00E30727"/>
    <w:rsid w:val="00E313B1"/>
    <w:rsid w:val="00E317E1"/>
    <w:rsid w:val="00E32129"/>
    <w:rsid w:val="00E32F62"/>
    <w:rsid w:val="00E33231"/>
    <w:rsid w:val="00E338E4"/>
    <w:rsid w:val="00E34207"/>
    <w:rsid w:val="00E342D2"/>
    <w:rsid w:val="00E343AC"/>
    <w:rsid w:val="00E3537B"/>
    <w:rsid w:val="00E353F3"/>
    <w:rsid w:val="00E35D2C"/>
    <w:rsid w:val="00E4052D"/>
    <w:rsid w:val="00E40BA1"/>
    <w:rsid w:val="00E44C71"/>
    <w:rsid w:val="00E4549C"/>
    <w:rsid w:val="00E46181"/>
    <w:rsid w:val="00E46B6E"/>
    <w:rsid w:val="00E50318"/>
    <w:rsid w:val="00E504DA"/>
    <w:rsid w:val="00E5070A"/>
    <w:rsid w:val="00E51BE7"/>
    <w:rsid w:val="00E53938"/>
    <w:rsid w:val="00E5432F"/>
    <w:rsid w:val="00E55D91"/>
    <w:rsid w:val="00E57321"/>
    <w:rsid w:val="00E6037C"/>
    <w:rsid w:val="00E6153F"/>
    <w:rsid w:val="00E6186E"/>
    <w:rsid w:val="00E61D8B"/>
    <w:rsid w:val="00E62878"/>
    <w:rsid w:val="00E638E8"/>
    <w:rsid w:val="00E66800"/>
    <w:rsid w:val="00E66CD3"/>
    <w:rsid w:val="00E66D57"/>
    <w:rsid w:val="00E705EC"/>
    <w:rsid w:val="00E70730"/>
    <w:rsid w:val="00E70799"/>
    <w:rsid w:val="00E707C7"/>
    <w:rsid w:val="00E7200D"/>
    <w:rsid w:val="00E72F03"/>
    <w:rsid w:val="00E73341"/>
    <w:rsid w:val="00E733DF"/>
    <w:rsid w:val="00E73766"/>
    <w:rsid w:val="00E73A61"/>
    <w:rsid w:val="00E7429A"/>
    <w:rsid w:val="00E74B35"/>
    <w:rsid w:val="00E75121"/>
    <w:rsid w:val="00E75D89"/>
    <w:rsid w:val="00E75F36"/>
    <w:rsid w:val="00E75F91"/>
    <w:rsid w:val="00E77BD0"/>
    <w:rsid w:val="00E77EC7"/>
    <w:rsid w:val="00E8093C"/>
    <w:rsid w:val="00E809A3"/>
    <w:rsid w:val="00E80F60"/>
    <w:rsid w:val="00E82677"/>
    <w:rsid w:val="00E8369A"/>
    <w:rsid w:val="00E836B2"/>
    <w:rsid w:val="00E83F8F"/>
    <w:rsid w:val="00E84434"/>
    <w:rsid w:val="00E857BC"/>
    <w:rsid w:val="00E86E2C"/>
    <w:rsid w:val="00E870E1"/>
    <w:rsid w:val="00E904D8"/>
    <w:rsid w:val="00E90773"/>
    <w:rsid w:val="00E90F04"/>
    <w:rsid w:val="00E911DD"/>
    <w:rsid w:val="00E91F27"/>
    <w:rsid w:val="00E93569"/>
    <w:rsid w:val="00E93C69"/>
    <w:rsid w:val="00E950CE"/>
    <w:rsid w:val="00E951D7"/>
    <w:rsid w:val="00E95965"/>
    <w:rsid w:val="00E95E77"/>
    <w:rsid w:val="00E96F47"/>
    <w:rsid w:val="00E97CBF"/>
    <w:rsid w:val="00E97D00"/>
    <w:rsid w:val="00EA0512"/>
    <w:rsid w:val="00EA1422"/>
    <w:rsid w:val="00EA14A5"/>
    <w:rsid w:val="00EA238C"/>
    <w:rsid w:val="00EA2900"/>
    <w:rsid w:val="00EA2CB9"/>
    <w:rsid w:val="00EA36F2"/>
    <w:rsid w:val="00EA3A14"/>
    <w:rsid w:val="00EA3CBA"/>
    <w:rsid w:val="00EA4CC6"/>
    <w:rsid w:val="00EA4EB5"/>
    <w:rsid w:val="00EA5380"/>
    <w:rsid w:val="00EA549D"/>
    <w:rsid w:val="00EA64B7"/>
    <w:rsid w:val="00EA69A4"/>
    <w:rsid w:val="00EA6E80"/>
    <w:rsid w:val="00EB06B9"/>
    <w:rsid w:val="00EB1C27"/>
    <w:rsid w:val="00EB236E"/>
    <w:rsid w:val="00EB2AFF"/>
    <w:rsid w:val="00EB30B2"/>
    <w:rsid w:val="00EB30F5"/>
    <w:rsid w:val="00EB3999"/>
    <w:rsid w:val="00EB5C8B"/>
    <w:rsid w:val="00EB633E"/>
    <w:rsid w:val="00EB70F4"/>
    <w:rsid w:val="00EB77E7"/>
    <w:rsid w:val="00EC2C7C"/>
    <w:rsid w:val="00EC3CC1"/>
    <w:rsid w:val="00EC4712"/>
    <w:rsid w:val="00EC47CA"/>
    <w:rsid w:val="00EC6739"/>
    <w:rsid w:val="00EC67DB"/>
    <w:rsid w:val="00ED1010"/>
    <w:rsid w:val="00ED10F6"/>
    <w:rsid w:val="00ED263C"/>
    <w:rsid w:val="00ED293F"/>
    <w:rsid w:val="00ED29BD"/>
    <w:rsid w:val="00ED2A92"/>
    <w:rsid w:val="00ED36AB"/>
    <w:rsid w:val="00ED3D89"/>
    <w:rsid w:val="00ED4076"/>
    <w:rsid w:val="00ED41AF"/>
    <w:rsid w:val="00ED421F"/>
    <w:rsid w:val="00ED4FD4"/>
    <w:rsid w:val="00ED503D"/>
    <w:rsid w:val="00ED53DC"/>
    <w:rsid w:val="00ED60B4"/>
    <w:rsid w:val="00ED7EF9"/>
    <w:rsid w:val="00EE11FD"/>
    <w:rsid w:val="00EE1D07"/>
    <w:rsid w:val="00EE28DE"/>
    <w:rsid w:val="00EE2A75"/>
    <w:rsid w:val="00EE2C15"/>
    <w:rsid w:val="00EE386C"/>
    <w:rsid w:val="00EE3A95"/>
    <w:rsid w:val="00EE4948"/>
    <w:rsid w:val="00EE5BBB"/>
    <w:rsid w:val="00EE67F8"/>
    <w:rsid w:val="00EE68A3"/>
    <w:rsid w:val="00EF091F"/>
    <w:rsid w:val="00EF1669"/>
    <w:rsid w:val="00EF3BC0"/>
    <w:rsid w:val="00EF4BF4"/>
    <w:rsid w:val="00EF4DE6"/>
    <w:rsid w:val="00EF5F82"/>
    <w:rsid w:val="00EF69FE"/>
    <w:rsid w:val="00EF6CA1"/>
    <w:rsid w:val="00F005E2"/>
    <w:rsid w:val="00F007D8"/>
    <w:rsid w:val="00F009DE"/>
    <w:rsid w:val="00F01F79"/>
    <w:rsid w:val="00F032FC"/>
    <w:rsid w:val="00F04A7E"/>
    <w:rsid w:val="00F04FE8"/>
    <w:rsid w:val="00F05FD9"/>
    <w:rsid w:val="00F0602B"/>
    <w:rsid w:val="00F063B2"/>
    <w:rsid w:val="00F06711"/>
    <w:rsid w:val="00F06FB4"/>
    <w:rsid w:val="00F104FB"/>
    <w:rsid w:val="00F108FB"/>
    <w:rsid w:val="00F122BB"/>
    <w:rsid w:val="00F1272F"/>
    <w:rsid w:val="00F13235"/>
    <w:rsid w:val="00F146D5"/>
    <w:rsid w:val="00F1494E"/>
    <w:rsid w:val="00F14DE2"/>
    <w:rsid w:val="00F14FB5"/>
    <w:rsid w:val="00F156D3"/>
    <w:rsid w:val="00F15989"/>
    <w:rsid w:val="00F15BA5"/>
    <w:rsid w:val="00F15F60"/>
    <w:rsid w:val="00F15F71"/>
    <w:rsid w:val="00F163AB"/>
    <w:rsid w:val="00F16F58"/>
    <w:rsid w:val="00F1708F"/>
    <w:rsid w:val="00F174A1"/>
    <w:rsid w:val="00F175F3"/>
    <w:rsid w:val="00F17E44"/>
    <w:rsid w:val="00F20252"/>
    <w:rsid w:val="00F20578"/>
    <w:rsid w:val="00F2083B"/>
    <w:rsid w:val="00F20E40"/>
    <w:rsid w:val="00F218CA"/>
    <w:rsid w:val="00F23650"/>
    <w:rsid w:val="00F23689"/>
    <w:rsid w:val="00F23798"/>
    <w:rsid w:val="00F239CF"/>
    <w:rsid w:val="00F23E3E"/>
    <w:rsid w:val="00F244D0"/>
    <w:rsid w:val="00F2514F"/>
    <w:rsid w:val="00F254E6"/>
    <w:rsid w:val="00F25C27"/>
    <w:rsid w:val="00F25E94"/>
    <w:rsid w:val="00F260AC"/>
    <w:rsid w:val="00F26477"/>
    <w:rsid w:val="00F26B57"/>
    <w:rsid w:val="00F26DFB"/>
    <w:rsid w:val="00F27043"/>
    <w:rsid w:val="00F27E04"/>
    <w:rsid w:val="00F3051E"/>
    <w:rsid w:val="00F3069A"/>
    <w:rsid w:val="00F30F3B"/>
    <w:rsid w:val="00F32035"/>
    <w:rsid w:val="00F324B8"/>
    <w:rsid w:val="00F32B41"/>
    <w:rsid w:val="00F32C54"/>
    <w:rsid w:val="00F32E6E"/>
    <w:rsid w:val="00F33894"/>
    <w:rsid w:val="00F33F27"/>
    <w:rsid w:val="00F34966"/>
    <w:rsid w:val="00F34CCA"/>
    <w:rsid w:val="00F36128"/>
    <w:rsid w:val="00F36CAF"/>
    <w:rsid w:val="00F37033"/>
    <w:rsid w:val="00F37A43"/>
    <w:rsid w:val="00F404A4"/>
    <w:rsid w:val="00F40535"/>
    <w:rsid w:val="00F4135D"/>
    <w:rsid w:val="00F4235A"/>
    <w:rsid w:val="00F425F9"/>
    <w:rsid w:val="00F4263A"/>
    <w:rsid w:val="00F42C71"/>
    <w:rsid w:val="00F43442"/>
    <w:rsid w:val="00F43B26"/>
    <w:rsid w:val="00F4427A"/>
    <w:rsid w:val="00F46250"/>
    <w:rsid w:val="00F46887"/>
    <w:rsid w:val="00F46B84"/>
    <w:rsid w:val="00F46E41"/>
    <w:rsid w:val="00F47538"/>
    <w:rsid w:val="00F47E96"/>
    <w:rsid w:val="00F50A3A"/>
    <w:rsid w:val="00F51553"/>
    <w:rsid w:val="00F52E12"/>
    <w:rsid w:val="00F53500"/>
    <w:rsid w:val="00F536B6"/>
    <w:rsid w:val="00F53873"/>
    <w:rsid w:val="00F5440D"/>
    <w:rsid w:val="00F548B8"/>
    <w:rsid w:val="00F5521D"/>
    <w:rsid w:val="00F5566A"/>
    <w:rsid w:val="00F5609B"/>
    <w:rsid w:val="00F56C84"/>
    <w:rsid w:val="00F571FF"/>
    <w:rsid w:val="00F60103"/>
    <w:rsid w:val="00F6021E"/>
    <w:rsid w:val="00F61E61"/>
    <w:rsid w:val="00F61F11"/>
    <w:rsid w:val="00F621D1"/>
    <w:rsid w:val="00F623CC"/>
    <w:rsid w:val="00F62A1E"/>
    <w:rsid w:val="00F62C4E"/>
    <w:rsid w:val="00F6302F"/>
    <w:rsid w:val="00F63757"/>
    <w:rsid w:val="00F64DB9"/>
    <w:rsid w:val="00F65513"/>
    <w:rsid w:val="00F65DE2"/>
    <w:rsid w:val="00F65F46"/>
    <w:rsid w:val="00F6699F"/>
    <w:rsid w:val="00F67A22"/>
    <w:rsid w:val="00F708E8"/>
    <w:rsid w:val="00F7132D"/>
    <w:rsid w:val="00F72449"/>
    <w:rsid w:val="00F724D9"/>
    <w:rsid w:val="00F73286"/>
    <w:rsid w:val="00F73D90"/>
    <w:rsid w:val="00F73DC1"/>
    <w:rsid w:val="00F7656B"/>
    <w:rsid w:val="00F76653"/>
    <w:rsid w:val="00F76740"/>
    <w:rsid w:val="00F76928"/>
    <w:rsid w:val="00F76B2A"/>
    <w:rsid w:val="00F76F43"/>
    <w:rsid w:val="00F80CBE"/>
    <w:rsid w:val="00F80F50"/>
    <w:rsid w:val="00F8234A"/>
    <w:rsid w:val="00F84804"/>
    <w:rsid w:val="00F84C3E"/>
    <w:rsid w:val="00F84D9E"/>
    <w:rsid w:val="00F85399"/>
    <w:rsid w:val="00F87610"/>
    <w:rsid w:val="00F913C3"/>
    <w:rsid w:val="00F91669"/>
    <w:rsid w:val="00F9258E"/>
    <w:rsid w:val="00F92D76"/>
    <w:rsid w:val="00F92EE4"/>
    <w:rsid w:val="00F93183"/>
    <w:rsid w:val="00F935A9"/>
    <w:rsid w:val="00F94185"/>
    <w:rsid w:val="00F94E81"/>
    <w:rsid w:val="00F97AA9"/>
    <w:rsid w:val="00FA035F"/>
    <w:rsid w:val="00FA0FA7"/>
    <w:rsid w:val="00FA1072"/>
    <w:rsid w:val="00FA1C50"/>
    <w:rsid w:val="00FA2C1E"/>
    <w:rsid w:val="00FA2E1B"/>
    <w:rsid w:val="00FA32B9"/>
    <w:rsid w:val="00FA3672"/>
    <w:rsid w:val="00FA41F8"/>
    <w:rsid w:val="00FA4707"/>
    <w:rsid w:val="00FA4B45"/>
    <w:rsid w:val="00FA50A8"/>
    <w:rsid w:val="00FA686C"/>
    <w:rsid w:val="00FA6932"/>
    <w:rsid w:val="00FA6C93"/>
    <w:rsid w:val="00FA70DA"/>
    <w:rsid w:val="00FB0AE4"/>
    <w:rsid w:val="00FB0E78"/>
    <w:rsid w:val="00FB1663"/>
    <w:rsid w:val="00FB1CE8"/>
    <w:rsid w:val="00FB3517"/>
    <w:rsid w:val="00FB3972"/>
    <w:rsid w:val="00FB47AD"/>
    <w:rsid w:val="00FB55BD"/>
    <w:rsid w:val="00FB678A"/>
    <w:rsid w:val="00FB6BA6"/>
    <w:rsid w:val="00FB70DE"/>
    <w:rsid w:val="00FB7971"/>
    <w:rsid w:val="00FB7E9C"/>
    <w:rsid w:val="00FC0DC8"/>
    <w:rsid w:val="00FC2BD1"/>
    <w:rsid w:val="00FC362F"/>
    <w:rsid w:val="00FC3AF0"/>
    <w:rsid w:val="00FC581F"/>
    <w:rsid w:val="00FD17C2"/>
    <w:rsid w:val="00FD2EB0"/>
    <w:rsid w:val="00FD2F52"/>
    <w:rsid w:val="00FD3010"/>
    <w:rsid w:val="00FD4F37"/>
    <w:rsid w:val="00FD5185"/>
    <w:rsid w:val="00FD57D0"/>
    <w:rsid w:val="00FD6348"/>
    <w:rsid w:val="00FD634F"/>
    <w:rsid w:val="00FD7D5B"/>
    <w:rsid w:val="00FE0A7C"/>
    <w:rsid w:val="00FE17B0"/>
    <w:rsid w:val="00FE203F"/>
    <w:rsid w:val="00FE2611"/>
    <w:rsid w:val="00FE3ED7"/>
    <w:rsid w:val="00FE4E43"/>
    <w:rsid w:val="00FE4F1F"/>
    <w:rsid w:val="00FE57E8"/>
    <w:rsid w:val="00FE5986"/>
    <w:rsid w:val="00FE6948"/>
    <w:rsid w:val="00FE69FD"/>
    <w:rsid w:val="00FE7A6B"/>
    <w:rsid w:val="00FF04B7"/>
    <w:rsid w:val="00FF2067"/>
    <w:rsid w:val="00FF211B"/>
    <w:rsid w:val="00FF3FFA"/>
    <w:rsid w:val="00FF4CCC"/>
    <w:rsid w:val="00FF5103"/>
    <w:rsid w:val="00FF5511"/>
    <w:rsid w:val="00FF58C5"/>
    <w:rsid w:val="00FF6207"/>
    <w:rsid w:val="00FF6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5E461D15"/>
  <w15:docId w15:val="{12991798-4732-409B-B855-3905261D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587"/>
    <w:pPr>
      <w:spacing w:after="180" w:line="264" w:lineRule="auto"/>
    </w:pPr>
    <w:rPr>
      <w:sz w:val="22"/>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link w:val="Heading6Char"/>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79714C"/>
    <w:pPr>
      <w:spacing w:after="120" w:line="240" w:lineRule="auto"/>
    </w:pPr>
  </w:style>
  <w:style w:type="character" w:customStyle="1" w:styleId="BodyTextChar">
    <w:name w:val="Body Text Char"/>
    <w:basedOn w:val="DefaultParagraphFont"/>
    <w:link w:val="BodyText"/>
    <w:rsid w:val="0079714C"/>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style>
  <w:style w:type="paragraph" w:customStyle="1" w:styleId="Bullets">
    <w:name w:val="Bullets"/>
    <w:basedOn w:val="BodyText"/>
    <w:link w:val="BulletsChar"/>
    <w:rsid w:val="0079714C"/>
    <w:pPr>
      <w:numPr>
        <w:numId w:val="6"/>
      </w:numPr>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link w:val="CaptionChar"/>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63CC9"/>
    <w:pPr>
      <w:numPr>
        <w:numId w:val="3"/>
      </w:numPr>
      <w:spacing w:after="60"/>
    </w:pPr>
    <w:rPr>
      <w:color w:val="000000" w:themeColor="text1"/>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MS Reference Specialty" w:hAnsi="MS Reference Specialty"/>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MS Reference Specialty" w:hAnsi="MS Reference Specialty"/>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MS Reference Specialty" w:hAnsi="MS Reference Specialty"/>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CoverTextRed14pt">
    <w:name w:val="Cover Text  Red 14pt"/>
    <w:basedOn w:val="Normal"/>
    <w:qFormat/>
    <w:rsid w:val="00763BE2"/>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character" w:customStyle="1" w:styleId="CommentTextChar">
    <w:name w:val="Comment Text Char"/>
    <w:basedOn w:val="DefaultParagraphFont"/>
    <w:link w:val="CommentText"/>
    <w:uiPriority w:val="99"/>
    <w:rsid w:val="00716DDD"/>
  </w:style>
  <w:style w:type="character" w:customStyle="1" w:styleId="HeaderChar">
    <w:name w:val="Header Char"/>
    <w:basedOn w:val="DefaultParagraphFont"/>
    <w:link w:val="Header"/>
    <w:rsid w:val="009329FE"/>
    <w:rPr>
      <w:rFonts w:ascii="Arial" w:hAnsi="Arial"/>
      <w:b/>
      <w:color w:val="595959" w:themeColor="text1" w:themeTint="A6"/>
      <w:sz w:val="24"/>
    </w:rPr>
  </w:style>
  <w:style w:type="character" w:customStyle="1" w:styleId="Heading4Char">
    <w:name w:val="Heading 4 Char"/>
    <w:basedOn w:val="DefaultParagraphFont"/>
    <w:link w:val="Heading4"/>
    <w:rsid w:val="009329FE"/>
    <w:rPr>
      <w:rFonts w:ascii="Arial" w:hAnsi="Arial"/>
      <w:b/>
    </w:rPr>
  </w:style>
  <w:style w:type="paragraph" w:styleId="ListParagraph">
    <w:name w:val="List Paragraph"/>
    <w:basedOn w:val="Normal"/>
    <w:link w:val="ListParagraphChar"/>
    <w:uiPriority w:val="34"/>
    <w:qFormat/>
    <w:rsid w:val="009329FE"/>
    <w:pPr>
      <w:spacing w:after="200" w:line="276" w:lineRule="auto"/>
      <w:ind w:left="720"/>
      <w:contextualSpacing/>
    </w:pPr>
    <w:rPr>
      <w:rFonts w:asciiTheme="minorHAnsi" w:eastAsiaTheme="minorHAnsi" w:hAnsiTheme="minorHAnsi" w:cstheme="minorBidi"/>
      <w:szCs w:val="22"/>
    </w:rPr>
  </w:style>
  <w:style w:type="character" w:customStyle="1" w:styleId="Heading6Char">
    <w:name w:val="Heading 6 Char"/>
    <w:basedOn w:val="DefaultParagraphFont"/>
    <w:link w:val="Heading6"/>
    <w:rsid w:val="009329FE"/>
    <w:rPr>
      <w:b/>
      <w:bCs/>
      <w:sz w:val="22"/>
      <w:szCs w:val="22"/>
    </w:rPr>
  </w:style>
  <w:style w:type="table" w:styleId="LightList-Accent2">
    <w:name w:val="Light List Accent 2"/>
    <w:basedOn w:val="TableNormal"/>
    <w:uiPriority w:val="61"/>
    <w:rsid w:val="009329FE"/>
    <w:rPr>
      <w:rFonts w:asciiTheme="minorHAnsi" w:eastAsiaTheme="minorHAnsi" w:hAnsiTheme="minorHAnsi" w:cstheme="minorBidi"/>
      <w:sz w:val="22"/>
      <w:szCs w:val="22"/>
    </w:rPr>
    <w:tblPr>
      <w:tblStyleRowBandSize w:val="1"/>
      <w:tblStyleColBandSize w:val="1"/>
      <w:tblBorders>
        <w:top w:val="single" w:sz="8" w:space="0" w:color="898D8D" w:themeColor="accent2"/>
        <w:left w:val="single" w:sz="8" w:space="0" w:color="898D8D" w:themeColor="accent2"/>
        <w:bottom w:val="single" w:sz="8" w:space="0" w:color="898D8D" w:themeColor="accent2"/>
        <w:right w:val="single" w:sz="8" w:space="0" w:color="898D8D" w:themeColor="accent2"/>
      </w:tblBorders>
    </w:tblPr>
    <w:tblStylePr w:type="firstRow">
      <w:pPr>
        <w:spacing w:beforeLines="0" w:before="0" w:beforeAutospacing="0" w:afterLines="0" w:after="0" w:afterAutospacing="0" w:line="240" w:lineRule="auto"/>
      </w:pPr>
      <w:rPr>
        <w:b/>
        <w:bCs/>
        <w:color w:val="B7C9D3" w:themeColor="background1"/>
      </w:rPr>
      <w:tblPr/>
      <w:tcPr>
        <w:shd w:val="clear" w:color="auto" w:fill="898D8D" w:themeFill="accent2"/>
      </w:tcPr>
    </w:tblStylePr>
    <w:tblStylePr w:type="lastRow">
      <w:pPr>
        <w:spacing w:beforeLines="0" w:before="0" w:beforeAutospacing="0" w:afterLines="0" w:after="0" w:afterAutospacing="0" w:line="240" w:lineRule="auto"/>
      </w:pPr>
      <w:rPr>
        <w:b/>
        <w:bCs/>
      </w:rPr>
      <w:tblPr/>
      <w:tcPr>
        <w:tcBorders>
          <w:top w:val="double" w:sz="6" w:space="0" w:color="898D8D" w:themeColor="accent2"/>
          <w:left w:val="single" w:sz="8" w:space="0" w:color="898D8D" w:themeColor="accent2"/>
          <w:bottom w:val="single" w:sz="8" w:space="0" w:color="898D8D" w:themeColor="accent2"/>
          <w:right w:val="single" w:sz="8" w:space="0" w:color="898D8D" w:themeColor="accent2"/>
        </w:tcBorders>
      </w:tcPr>
    </w:tblStylePr>
    <w:tblStylePr w:type="firstCol">
      <w:rPr>
        <w:b/>
        <w:bCs/>
      </w:rPr>
    </w:tblStylePr>
    <w:tblStylePr w:type="lastCol">
      <w:rPr>
        <w:b/>
        <w:bCs/>
      </w:rPr>
    </w:tblStylePr>
    <w:tblStylePr w:type="band1Vert">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tblStylePr w:type="band1Horz">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style>
  <w:style w:type="paragraph" w:customStyle="1" w:styleId="Default">
    <w:name w:val="Default"/>
    <w:rsid w:val="00987267"/>
    <w:pPr>
      <w:autoSpaceDE w:val="0"/>
      <w:autoSpaceDN w:val="0"/>
      <w:adjustRightInd w:val="0"/>
    </w:pPr>
    <w:rPr>
      <w:color w:val="000000"/>
      <w:sz w:val="24"/>
      <w:szCs w:val="24"/>
    </w:rPr>
  </w:style>
  <w:style w:type="paragraph" w:customStyle="1" w:styleId="Heading2a">
    <w:name w:val="Heading 2a"/>
    <w:basedOn w:val="Heading2"/>
    <w:link w:val="Heading2aChar"/>
    <w:qFormat/>
    <w:rsid w:val="008877E7"/>
    <w:p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DefaultParagraphFont"/>
    <w:link w:val="Heading2a"/>
    <w:rsid w:val="008877E7"/>
    <w:rPr>
      <w:rFonts w:asciiTheme="minorHAnsi" w:hAnsiTheme="minorHAnsi" w:cstheme="minorHAnsi"/>
      <w:b/>
      <w:bCs/>
      <w:iCs/>
      <w:color w:val="DA291C" w:themeColor="accent1"/>
      <w:sz w:val="28"/>
      <w:szCs w:val="28"/>
    </w:rPr>
  </w:style>
  <w:style w:type="paragraph" w:styleId="NormalWeb">
    <w:name w:val="Normal (Web)"/>
    <w:basedOn w:val="Normal"/>
    <w:uiPriority w:val="99"/>
    <w:unhideWhenUsed/>
    <w:rsid w:val="008672C7"/>
    <w:pPr>
      <w:spacing w:before="100" w:beforeAutospacing="1" w:after="100" w:afterAutospacing="1" w:line="240" w:lineRule="auto"/>
    </w:pPr>
    <w:rPr>
      <w:sz w:val="24"/>
      <w:szCs w:val="24"/>
    </w:rPr>
  </w:style>
  <w:style w:type="character" w:customStyle="1" w:styleId="pageheadline">
    <w:name w:val="pageheadline"/>
    <w:basedOn w:val="DefaultParagraphFont"/>
    <w:rsid w:val="008672C7"/>
  </w:style>
  <w:style w:type="table" w:customStyle="1" w:styleId="LightList-Accent21">
    <w:name w:val="Light List - Accent 21"/>
    <w:basedOn w:val="TableNormal"/>
    <w:next w:val="LightList-Accent2"/>
    <w:uiPriority w:val="61"/>
    <w:rsid w:val="00E46181"/>
    <w:rPr>
      <w:rFonts w:ascii="Calibri" w:eastAsia="Calibri" w:hAnsi="Calibri"/>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Bodytextnew">
    <w:name w:val="Body text new"/>
    <w:basedOn w:val="Normal"/>
    <w:link w:val="BodytextnewChar"/>
    <w:qFormat/>
    <w:rsid w:val="00AF3456"/>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AF3456"/>
    <w:rPr>
      <w:rFonts w:asciiTheme="minorHAnsi" w:hAnsiTheme="minorHAnsi" w:cstheme="minorHAnsi"/>
      <w:sz w:val="22"/>
      <w:szCs w:val="22"/>
    </w:rPr>
  </w:style>
  <w:style w:type="paragraph" w:styleId="PlainText">
    <w:name w:val="Plain Text"/>
    <w:basedOn w:val="Normal"/>
    <w:link w:val="PlainTextChar"/>
    <w:uiPriority w:val="99"/>
    <w:unhideWhenUsed/>
    <w:rsid w:val="000E3CAA"/>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rsid w:val="000E3CAA"/>
    <w:rPr>
      <w:rFonts w:ascii="Calibri" w:eastAsiaTheme="minorHAnsi" w:hAnsi="Calibri"/>
      <w:sz w:val="22"/>
      <w:szCs w:val="22"/>
    </w:rPr>
  </w:style>
  <w:style w:type="table" w:customStyle="1" w:styleId="TableGrid1">
    <w:name w:val="Table Grid1"/>
    <w:basedOn w:val="TableNormal"/>
    <w:next w:val="TableGrid"/>
    <w:rsid w:val="003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0C5"/>
    <w:rPr>
      <w:sz w:val="22"/>
    </w:rPr>
  </w:style>
  <w:style w:type="paragraph" w:customStyle="1" w:styleId="Bodytextnospaceafter">
    <w:name w:val="Body text no space after"/>
    <w:basedOn w:val="BodyText"/>
    <w:qFormat/>
    <w:rsid w:val="005A0587"/>
    <w:pPr>
      <w:spacing w:after="0"/>
    </w:pPr>
    <w:rPr>
      <w:sz w:val="24"/>
    </w:rPr>
  </w:style>
  <w:style w:type="character" w:customStyle="1" w:styleId="BodyChar">
    <w:name w:val="Body Char"/>
    <w:basedOn w:val="DefaultParagraphFont"/>
    <w:link w:val="Body"/>
    <w:locked/>
    <w:rsid w:val="00982F50"/>
    <w:rPr>
      <w:rFonts w:ascii="Cambria" w:hAnsi="Cambria"/>
    </w:rPr>
  </w:style>
  <w:style w:type="paragraph" w:customStyle="1" w:styleId="Body">
    <w:name w:val="Body"/>
    <w:basedOn w:val="Normal"/>
    <w:link w:val="BodyChar"/>
    <w:qFormat/>
    <w:rsid w:val="00982F50"/>
    <w:pPr>
      <w:tabs>
        <w:tab w:val="left" w:pos="720"/>
      </w:tabs>
      <w:spacing w:after="0" w:line="240" w:lineRule="auto"/>
      <w:ind w:left="720" w:hanging="720"/>
    </w:pPr>
    <w:rPr>
      <w:rFonts w:ascii="Cambria" w:hAnsi="Cambria"/>
      <w:sz w:val="20"/>
    </w:rPr>
  </w:style>
  <w:style w:type="paragraph" w:styleId="Subtitle">
    <w:name w:val="Subtitle"/>
    <w:basedOn w:val="Normal"/>
    <w:next w:val="Normal"/>
    <w:link w:val="SubtitleChar"/>
    <w:uiPriority w:val="11"/>
    <w:qFormat/>
    <w:rsid w:val="00742F13"/>
    <w:pPr>
      <w:spacing w:after="0" w:line="240" w:lineRule="auto"/>
    </w:pPr>
    <w:rPr>
      <w:rFonts w:asciiTheme="minorHAnsi" w:eastAsiaTheme="minorHAnsi" w:hAnsiTheme="minorHAnsi" w:cstheme="minorBidi"/>
      <w:color w:val="0000FF"/>
      <w:sz w:val="20"/>
      <w:szCs w:val="22"/>
    </w:rPr>
  </w:style>
  <w:style w:type="character" w:customStyle="1" w:styleId="SubtitleChar">
    <w:name w:val="Subtitle Char"/>
    <w:basedOn w:val="DefaultParagraphFont"/>
    <w:link w:val="Subtitle"/>
    <w:uiPriority w:val="11"/>
    <w:rsid w:val="00742F13"/>
    <w:rPr>
      <w:rFonts w:asciiTheme="minorHAnsi" w:eastAsiaTheme="minorHAnsi" w:hAnsiTheme="minorHAnsi" w:cstheme="minorBidi"/>
      <w:color w:val="0000FF"/>
      <w:szCs w:val="22"/>
    </w:rPr>
  </w:style>
  <w:style w:type="paragraph" w:styleId="EndnoteText">
    <w:name w:val="endnote text"/>
    <w:basedOn w:val="Normal"/>
    <w:link w:val="EndnoteTextChar"/>
    <w:semiHidden/>
    <w:unhideWhenUsed/>
    <w:rsid w:val="005979ED"/>
    <w:pPr>
      <w:spacing w:after="0" w:line="240" w:lineRule="auto"/>
    </w:pPr>
    <w:rPr>
      <w:sz w:val="20"/>
    </w:rPr>
  </w:style>
  <w:style w:type="character" w:customStyle="1" w:styleId="EndnoteTextChar">
    <w:name w:val="Endnote Text Char"/>
    <w:basedOn w:val="DefaultParagraphFont"/>
    <w:link w:val="EndnoteText"/>
    <w:semiHidden/>
    <w:rsid w:val="005979ED"/>
  </w:style>
  <w:style w:type="character" w:styleId="EndnoteReference">
    <w:name w:val="endnote reference"/>
    <w:basedOn w:val="DefaultParagraphFont"/>
    <w:semiHidden/>
    <w:unhideWhenUsed/>
    <w:rsid w:val="005979ED"/>
    <w:rPr>
      <w:vertAlign w:val="superscript"/>
    </w:rPr>
  </w:style>
  <w:style w:type="paragraph" w:customStyle="1" w:styleId="ResumePublications">
    <w:name w:val="Resume Publications"/>
    <w:qFormat/>
    <w:rsid w:val="00DC4854"/>
    <w:pPr>
      <w:spacing w:after="120"/>
      <w:ind w:left="360" w:hanging="360"/>
    </w:pPr>
    <w:rPr>
      <w:snapToGrid w:val="0"/>
      <w:sz w:val="22"/>
      <w:szCs w:val="22"/>
    </w:rPr>
  </w:style>
  <w:style w:type="character" w:customStyle="1" w:styleId="doi">
    <w:name w:val="doi"/>
    <w:basedOn w:val="DefaultParagraphFont"/>
    <w:rsid w:val="00C311F9"/>
  </w:style>
  <w:style w:type="character" w:styleId="HTMLCite">
    <w:name w:val="HTML Cite"/>
    <w:basedOn w:val="DefaultParagraphFont"/>
    <w:uiPriority w:val="99"/>
    <w:semiHidden/>
    <w:unhideWhenUsed/>
    <w:rsid w:val="001A67EC"/>
    <w:rPr>
      <w:i/>
      <w:iCs/>
    </w:rPr>
  </w:style>
  <w:style w:type="character" w:customStyle="1" w:styleId="jrnl">
    <w:name w:val="jrnl"/>
    <w:basedOn w:val="DefaultParagraphFont"/>
    <w:rsid w:val="00D30AF6"/>
  </w:style>
  <w:style w:type="character" w:styleId="Emphasis">
    <w:name w:val="Emphasis"/>
    <w:basedOn w:val="DefaultParagraphFont"/>
    <w:uiPriority w:val="20"/>
    <w:qFormat/>
    <w:rsid w:val="00D30AF6"/>
    <w:rPr>
      <w:i/>
      <w:iCs/>
    </w:rPr>
  </w:style>
  <w:style w:type="paragraph" w:customStyle="1" w:styleId="AbtHeadA">
    <w:name w:val="AbtHead A"/>
    <w:basedOn w:val="Normal"/>
    <w:next w:val="BodyText"/>
    <w:rsid w:val="00FE5986"/>
    <w:pPr>
      <w:keepNext/>
      <w:keepLines/>
      <w:spacing w:after="360" w:line="240" w:lineRule="auto"/>
      <w:outlineLvl w:val="0"/>
    </w:pPr>
    <w:rPr>
      <w:rFonts w:ascii="Arial" w:hAnsi="Arial"/>
      <w:b/>
      <w:sz w:val="36"/>
      <w:szCs w:val="24"/>
    </w:rPr>
  </w:style>
  <w:style w:type="character" w:customStyle="1" w:styleId="st">
    <w:name w:val="st"/>
    <w:basedOn w:val="DefaultParagraphFont"/>
    <w:rsid w:val="00265E70"/>
  </w:style>
  <w:style w:type="character" w:customStyle="1" w:styleId="ListParagraphChar">
    <w:name w:val="List Paragraph Char"/>
    <w:basedOn w:val="DefaultParagraphFont"/>
    <w:link w:val="ListParagraph"/>
    <w:uiPriority w:val="34"/>
    <w:rsid w:val="00265E70"/>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A92F73"/>
    <w:rPr>
      <w:rFonts w:ascii="Arial" w:hAnsi="Arial"/>
      <w:b/>
      <w:color w:val="DA291C"/>
    </w:rPr>
  </w:style>
  <w:style w:type="paragraph" w:customStyle="1" w:styleId="NumberedQuestion">
    <w:name w:val="Numbered Question"/>
    <w:basedOn w:val="Normal"/>
    <w:rsid w:val="00C17B4C"/>
    <w:pPr>
      <w:numPr>
        <w:numId w:val="4"/>
      </w:numPr>
      <w:spacing w:after="0"/>
    </w:pPr>
    <w:rPr>
      <w:rFonts w:ascii="Helvetica" w:hAnsi="Helvetica"/>
      <w:b/>
      <w:sz w:val="20"/>
    </w:rPr>
  </w:style>
  <w:style w:type="table" w:styleId="LightGrid-Accent1">
    <w:name w:val="Light Grid Accent 1"/>
    <w:basedOn w:val="TableNormal"/>
    <w:uiPriority w:val="62"/>
    <w:rsid w:val="00C17B4C"/>
    <w:rPr>
      <w:rFonts w:asciiTheme="minorHAnsi" w:eastAsiaTheme="minorHAnsi" w:hAnsiTheme="minorHAnsi" w:cstheme="minorBidi"/>
      <w:sz w:val="22"/>
      <w:szCs w:val="22"/>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paragraph" w:customStyle="1" w:styleId="Responsetext">
    <w:name w:val="Response text"/>
    <w:basedOn w:val="BodyText"/>
    <w:rsid w:val="00C17B4C"/>
    <w:pPr>
      <w:tabs>
        <w:tab w:val="left" w:pos="720"/>
        <w:tab w:val="left" w:pos="1080"/>
        <w:tab w:val="left" w:pos="1440"/>
        <w:tab w:val="left" w:pos="1800"/>
      </w:tabs>
      <w:spacing w:before="40" w:after="40"/>
    </w:pPr>
    <w:rPr>
      <w:rFonts w:ascii="Arial" w:hAnsi="Arial"/>
      <w:sz w:val="19"/>
    </w:rPr>
  </w:style>
  <w:style w:type="paragraph" w:customStyle="1" w:styleId="Scaletext">
    <w:name w:val="Scale text"/>
    <w:basedOn w:val="BodyText"/>
    <w:rsid w:val="00C17B4C"/>
    <w:pPr>
      <w:tabs>
        <w:tab w:val="left" w:pos="720"/>
        <w:tab w:val="left" w:pos="1080"/>
        <w:tab w:val="left" w:pos="1440"/>
        <w:tab w:val="left" w:pos="1800"/>
      </w:tabs>
      <w:spacing w:before="40" w:after="40"/>
      <w:jc w:val="center"/>
    </w:pPr>
    <w:rPr>
      <w:rFonts w:ascii="Arial" w:hAnsi="Arial"/>
      <w:sz w:val="19"/>
    </w:rPr>
  </w:style>
  <w:style w:type="paragraph" w:customStyle="1" w:styleId="ScaleHeading">
    <w:name w:val="Scale Heading"/>
    <w:basedOn w:val="BodyText"/>
    <w:rsid w:val="00C17B4C"/>
    <w:pPr>
      <w:framePr w:hSpace="187" w:vSpace="187" w:wrap="around" w:vAnchor="text" w:hAnchor="text" w:y="1"/>
      <w:tabs>
        <w:tab w:val="left" w:pos="720"/>
        <w:tab w:val="left" w:pos="1080"/>
        <w:tab w:val="left" w:pos="1440"/>
        <w:tab w:val="left" w:pos="1800"/>
      </w:tabs>
      <w:spacing w:before="40" w:after="0"/>
      <w:jc w:val="center"/>
    </w:pPr>
    <w:rPr>
      <w:b/>
      <w:sz w:val="18"/>
    </w:rPr>
  </w:style>
  <w:style w:type="paragraph" w:customStyle="1" w:styleId="qre1">
    <w:name w:val="q're 1"/>
    <w:basedOn w:val="Normal"/>
    <w:rsid w:val="00C17B4C"/>
    <w:pPr>
      <w:spacing w:after="0" w:line="240" w:lineRule="auto"/>
      <w:ind w:left="450" w:hanging="450"/>
    </w:pPr>
    <w:rPr>
      <w:rFonts w:ascii="Times" w:hAnsi="Times"/>
    </w:rPr>
  </w:style>
  <w:style w:type="character" w:customStyle="1" w:styleId="Hyperlink0">
    <w:name w:val="Hyperlink.0"/>
    <w:rsid w:val="00D76A94"/>
    <w:rPr>
      <w:u w:val="single"/>
    </w:rPr>
  </w:style>
  <w:style w:type="character" w:styleId="FollowedHyperlink">
    <w:name w:val="FollowedHyperlink"/>
    <w:basedOn w:val="DefaultParagraphFont"/>
    <w:semiHidden/>
    <w:unhideWhenUsed/>
    <w:rsid w:val="007B5469"/>
    <w:rPr>
      <w:color w:val="0070C0" w:themeColor="followedHyperlink"/>
      <w:u w:val="single"/>
    </w:rPr>
  </w:style>
  <w:style w:type="paragraph" w:customStyle="1" w:styleId="BodyTextRed">
    <w:name w:val="Body Text Red"/>
    <w:basedOn w:val="BodyText"/>
    <w:qFormat/>
    <w:rsid w:val="007B5469"/>
    <w:rPr>
      <w:b/>
      <w:color w:val="DA291C"/>
    </w:rPr>
  </w:style>
  <w:style w:type="table" w:customStyle="1" w:styleId="TableGrid2">
    <w:name w:val="Table Grid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
    <w:name w:val="enum"/>
    <w:basedOn w:val="DefaultParagraphFont"/>
    <w:rsid w:val="0013531E"/>
  </w:style>
  <w:style w:type="paragraph" w:customStyle="1" w:styleId="Header1">
    <w:name w:val="Header1"/>
    <w:basedOn w:val="Normal"/>
    <w:rsid w:val="0013531E"/>
    <w:pPr>
      <w:spacing w:before="100" w:beforeAutospacing="1" w:after="100" w:afterAutospacing="1" w:line="240" w:lineRule="auto"/>
    </w:pPr>
    <w:rPr>
      <w:sz w:val="24"/>
      <w:szCs w:val="24"/>
    </w:rPr>
  </w:style>
  <w:style w:type="paragraph" w:customStyle="1" w:styleId="text">
    <w:name w:val="text"/>
    <w:basedOn w:val="Normal"/>
    <w:rsid w:val="0013531E"/>
    <w:pPr>
      <w:spacing w:before="100" w:beforeAutospacing="1" w:after="100" w:afterAutospacing="1" w:line="240" w:lineRule="auto"/>
    </w:pPr>
    <w:rPr>
      <w:sz w:val="24"/>
      <w:szCs w:val="24"/>
    </w:rPr>
  </w:style>
  <w:style w:type="character" w:customStyle="1" w:styleId="external-xref">
    <w:name w:val="external-xref"/>
    <w:basedOn w:val="DefaultParagraphFont"/>
    <w:rsid w:val="0013531E"/>
  </w:style>
  <w:style w:type="paragraph" w:customStyle="1" w:styleId="after-quoted-block">
    <w:name w:val="after-quoted-block"/>
    <w:basedOn w:val="Normal"/>
    <w:rsid w:val="0013531E"/>
    <w:pPr>
      <w:spacing w:before="100" w:beforeAutospacing="1" w:after="100" w:afterAutospacing="1" w:line="240" w:lineRule="auto"/>
    </w:pPr>
    <w:rPr>
      <w:sz w:val="24"/>
      <w:szCs w:val="24"/>
    </w:rPr>
  </w:style>
  <w:style w:type="paragraph" w:customStyle="1" w:styleId="TT-TableTitle">
    <w:name w:val="TT-Table Title"/>
    <w:rsid w:val="00F60103"/>
    <w:pPr>
      <w:tabs>
        <w:tab w:val="left" w:pos="1152"/>
      </w:tabs>
      <w:spacing w:line="240" w:lineRule="atLeast"/>
      <w:ind w:left="1152" w:hanging="1152"/>
    </w:pPr>
    <w:rPr>
      <w:sz w:val="22"/>
    </w:rPr>
  </w:style>
  <w:style w:type="paragraph" w:customStyle="1" w:styleId="SL-FlLftSgl">
    <w:name w:val="SL-Fl Lft Sgl"/>
    <w:rsid w:val="00F60103"/>
    <w:pPr>
      <w:spacing w:line="240" w:lineRule="atLeast"/>
      <w:jc w:val="both"/>
    </w:pPr>
    <w:rPr>
      <w:sz w:val="22"/>
    </w:rPr>
  </w:style>
  <w:style w:type="character" w:customStyle="1" w:styleId="apple-converted-space">
    <w:name w:val="apple-converted-space"/>
    <w:basedOn w:val="DefaultParagraphFont"/>
    <w:rsid w:val="00863BE0"/>
  </w:style>
  <w:style w:type="table" w:customStyle="1" w:styleId="Custom">
    <w:name w:val="Custom"/>
    <w:basedOn w:val="TableGrid"/>
    <w:uiPriority w:val="99"/>
    <w:rsid w:val="001B0C26"/>
    <w:tblPr>
      <w:tblStyleRowBandSize w:val="1"/>
    </w:tblPr>
    <w:trPr>
      <w:cantSplit/>
    </w:trPr>
    <w:tcPr>
      <w:shd w:val="clear" w:color="auto" w:fill="auto"/>
    </w:tcPr>
    <w:tblStylePr w:type="firstRow">
      <w:tblPr/>
      <w:trPr>
        <w:cantSplit w:val="0"/>
        <w:tblHeader/>
      </w:trPr>
      <w:tcPr>
        <w:shd w:val="clear" w:color="auto" w:fill="C3C6A8"/>
      </w:tcPr>
    </w:tblStylePr>
    <w:tblStylePr w:type="band2Horz">
      <w:tblPr/>
      <w:tcPr>
        <w:shd w:val="clear" w:color="auto" w:fill="E7E8E8"/>
      </w:tcPr>
    </w:tblStylePr>
  </w:style>
  <w:style w:type="character" w:customStyle="1" w:styleId="UnresolvedMention1">
    <w:name w:val="Unresolved Mention1"/>
    <w:basedOn w:val="DefaultParagraphFont"/>
    <w:uiPriority w:val="99"/>
    <w:semiHidden/>
    <w:unhideWhenUsed/>
    <w:rsid w:val="007224C0"/>
    <w:rPr>
      <w:color w:val="808080"/>
      <w:shd w:val="clear" w:color="auto" w:fill="E6E6E6"/>
    </w:rPr>
  </w:style>
  <w:style w:type="character" w:customStyle="1" w:styleId="CaptionChar">
    <w:name w:val="Caption Char"/>
    <w:basedOn w:val="DefaultParagraphFont"/>
    <w:link w:val="Caption"/>
    <w:locked/>
    <w:rsid w:val="00A86630"/>
    <w:rPr>
      <w:rFonts w:ascii="Arial" w:hAnsi="Arial"/>
      <w:b/>
      <w:bCs/>
      <w:sz w:val="22"/>
    </w:rPr>
  </w:style>
  <w:style w:type="paragraph" w:customStyle="1" w:styleId="copy">
    <w:name w:val="copy"/>
    <w:basedOn w:val="Normal"/>
    <w:uiPriority w:val="99"/>
    <w:rsid w:val="004D10AF"/>
    <w:pPr>
      <w:suppressAutoHyphens/>
      <w:autoSpaceDE w:val="0"/>
      <w:autoSpaceDN w:val="0"/>
      <w:adjustRightInd w:val="0"/>
      <w:spacing w:after="122" w:line="290" w:lineRule="atLeast"/>
      <w:textAlignment w:val="center"/>
    </w:pPr>
    <w:rPr>
      <w:rFonts w:ascii="Gotham Light" w:hAnsi="Gotham Light" w:cs="Gotham Light"/>
      <w:color w:val="000000"/>
      <w:spacing w:val="-4"/>
      <w:sz w:val="21"/>
      <w:szCs w:val="21"/>
    </w:rPr>
  </w:style>
  <w:style w:type="paragraph" w:customStyle="1" w:styleId="ExhibitBullet">
    <w:name w:val="Exhibit Bullet"/>
    <w:basedOn w:val="ExhibitText"/>
    <w:qFormat/>
    <w:rsid w:val="00BB7D7D"/>
    <w:pPr>
      <w:numPr>
        <w:numId w:val="5"/>
      </w:numPr>
      <w:spacing w:before="20" w:after="20" w:line="240" w:lineRule="auto"/>
      <w:ind w:left="144" w:hanging="144"/>
    </w:pPr>
    <w:rPr>
      <w:rFonts w:ascii="Times New Roman" w:hAnsi="Times New Roman" w:cs="Times New Roman"/>
      <w:b/>
    </w:rPr>
  </w:style>
  <w:style w:type="paragraph" w:customStyle="1" w:styleId="BodyText1">
    <w:name w:val="Body Text1"/>
    <w:basedOn w:val="Normal"/>
    <w:qFormat/>
    <w:rsid w:val="005D6841"/>
    <w:pPr>
      <w:spacing w:after="120" w:line="240" w:lineRule="auto"/>
    </w:pPr>
    <w:rPr>
      <w:sz w:val="24"/>
      <w:szCs w:val="24"/>
    </w:rPr>
  </w:style>
  <w:style w:type="paragraph" w:customStyle="1" w:styleId="Pa4">
    <w:name w:val="Pa4"/>
    <w:basedOn w:val="Default"/>
    <w:next w:val="Default"/>
    <w:uiPriority w:val="99"/>
    <w:rsid w:val="00673E89"/>
    <w:pPr>
      <w:spacing w:line="221" w:lineRule="atLeast"/>
    </w:pPr>
    <w:rPr>
      <w:rFonts w:ascii="Adobe Garamond Pro" w:hAnsi="Adobe Garamond Pro"/>
      <w:color w:val="auto"/>
    </w:rPr>
  </w:style>
  <w:style w:type="paragraph" w:customStyle="1" w:styleId="BulletLastDS">
    <w:name w:val="Bullet (Last DS)"/>
    <w:basedOn w:val="Normal"/>
    <w:next w:val="Normal"/>
    <w:qFormat/>
    <w:rsid w:val="00391492"/>
    <w:pPr>
      <w:numPr>
        <w:numId w:val="8"/>
      </w:numPr>
      <w:tabs>
        <w:tab w:val="left" w:pos="432"/>
      </w:tabs>
      <w:spacing w:after="320" w:line="240" w:lineRule="auto"/>
      <w:ind w:left="432" w:hanging="432"/>
    </w:pPr>
    <w:rPr>
      <w:sz w:val="24"/>
    </w:rPr>
  </w:style>
  <w:style w:type="paragraph" w:customStyle="1" w:styleId="NormalSS">
    <w:name w:val="NormalSS"/>
    <w:basedOn w:val="Normal"/>
    <w:link w:val="NormalSSChar"/>
    <w:qFormat/>
    <w:rsid w:val="00391492"/>
    <w:pPr>
      <w:spacing w:after="240" w:line="240" w:lineRule="auto"/>
      <w:ind w:firstLine="432"/>
    </w:pPr>
    <w:rPr>
      <w:sz w:val="24"/>
    </w:rPr>
  </w:style>
  <w:style w:type="character" w:customStyle="1" w:styleId="NormalSSChar">
    <w:name w:val="NormalSS Char"/>
    <w:basedOn w:val="DefaultParagraphFont"/>
    <w:link w:val="NormalSS"/>
    <w:locked/>
    <w:rsid w:val="00391492"/>
    <w:rPr>
      <w:sz w:val="24"/>
    </w:rPr>
  </w:style>
  <w:style w:type="paragraph" w:customStyle="1" w:styleId="L1-FlLSp12">
    <w:name w:val="L1-FlL Sp&amp;1/2"/>
    <w:basedOn w:val="Normal"/>
    <w:link w:val="L1-FlLSp12Char"/>
    <w:rsid w:val="00284F8F"/>
    <w:pPr>
      <w:tabs>
        <w:tab w:val="left" w:pos="1152"/>
      </w:tabs>
      <w:spacing w:after="0" w:line="360" w:lineRule="atLeast"/>
    </w:pPr>
    <w:rPr>
      <w:rFonts w:ascii="Garamond" w:eastAsiaTheme="minorEastAsia" w:hAnsi="Garamond"/>
      <w:sz w:val="24"/>
    </w:rPr>
  </w:style>
  <w:style w:type="character" w:customStyle="1" w:styleId="L1-FlLSp12Char">
    <w:name w:val="L1-FlL Sp&amp;1/2 Char"/>
    <w:basedOn w:val="DefaultParagraphFont"/>
    <w:link w:val="L1-FlLSp12"/>
    <w:rsid w:val="00284F8F"/>
    <w:rPr>
      <w:rFonts w:ascii="Garamond" w:eastAsiaTheme="minorEastAsia" w:hAnsi="Garamond"/>
      <w:sz w:val="24"/>
    </w:rPr>
  </w:style>
  <w:style w:type="paragraph" w:styleId="TOCHeading">
    <w:name w:val="TOC Heading"/>
    <w:basedOn w:val="Heading1"/>
    <w:next w:val="Normal"/>
    <w:uiPriority w:val="39"/>
    <w:unhideWhenUsed/>
    <w:qFormat/>
    <w:rsid w:val="00455E18"/>
    <w:pPr>
      <w:pageBreakBefore w:val="0"/>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character" w:customStyle="1" w:styleId="UnresolvedMention2">
    <w:name w:val="Unresolved Mention2"/>
    <w:basedOn w:val="DefaultParagraphFont"/>
    <w:uiPriority w:val="99"/>
    <w:semiHidden/>
    <w:unhideWhenUsed/>
    <w:rsid w:val="00853591"/>
    <w:rPr>
      <w:color w:val="605E5C"/>
      <w:shd w:val="clear" w:color="auto" w:fill="E1DFDD"/>
    </w:rPr>
  </w:style>
  <w:style w:type="paragraph" w:styleId="TableofFigures">
    <w:name w:val="table of figures"/>
    <w:basedOn w:val="Normal"/>
    <w:next w:val="Normal"/>
    <w:uiPriority w:val="99"/>
    <w:unhideWhenUsed/>
    <w:rsid w:val="00CC4B7E"/>
    <w:pPr>
      <w:spacing w:after="0"/>
    </w:pPr>
  </w:style>
  <w:style w:type="character" w:customStyle="1" w:styleId="cf01">
    <w:name w:val="cf01"/>
    <w:basedOn w:val="DefaultParagraphFont"/>
    <w:rsid w:val="000977C5"/>
    <w:rPr>
      <w:rFonts w:ascii="Segoe UI" w:hAnsi="Segoe UI" w:cs="Segoe UI" w:hint="default"/>
      <w:sz w:val="18"/>
      <w:szCs w:val="18"/>
    </w:rPr>
  </w:style>
  <w:style w:type="character" w:customStyle="1" w:styleId="BulletsChar">
    <w:name w:val="Bullets Char"/>
    <w:basedOn w:val="DefaultParagraphFont"/>
    <w:link w:val="Bullets"/>
    <w:locked/>
    <w:rsid w:val="00553A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5482">
      <w:bodyDiv w:val="1"/>
      <w:marLeft w:val="0"/>
      <w:marRight w:val="0"/>
      <w:marTop w:val="0"/>
      <w:marBottom w:val="0"/>
      <w:divBdr>
        <w:top w:val="none" w:sz="0" w:space="0" w:color="auto"/>
        <w:left w:val="none" w:sz="0" w:space="0" w:color="auto"/>
        <w:bottom w:val="none" w:sz="0" w:space="0" w:color="auto"/>
        <w:right w:val="none" w:sz="0" w:space="0" w:color="auto"/>
      </w:divBdr>
    </w:div>
    <w:div w:id="37971763">
      <w:bodyDiv w:val="1"/>
      <w:marLeft w:val="0"/>
      <w:marRight w:val="0"/>
      <w:marTop w:val="0"/>
      <w:marBottom w:val="0"/>
      <w:divBdr>
        <w:top w:val="none" w:sz="0" w:space="0" w:color="auto"/>
        <w:left w:val="none" w:sz="0" w:space="0" w:color="auto"/>
        <w:bottom w:val="none" w:sz="0" w:space="0" w:color="auto"/>
        <w:right w:val="none" w:sz="0" w:space="0" w:color="auto"/>
      </w:divBdr>
    </w:div>
    <w:div w:id="47917178">
      <w:bodyDiv w:val="1"/>
      <w:marLeft w:val="0"/>
      <w:marRight w:val="0"/>
      <w:marTop w:val="0"/>
      <w:marBottom w:val="0"/>
      <w:divBdr>
        <w:top w:val="none" w:sz="0" w:space="0" w:color="auto"/>
        <w:left w:val="none" w:sz="0" w:space="0" w:color="auto"/>
        <w:bottom w:val="none" w:sz="0" w:space="0" w:color="auto"/>
        <w:right w:val="none" w:sz="0" w:space="0" w:color="auto"/>
      </w:divBdr>
    </w:div>
    <w:div w:id="113719078">
      <w:bodyDiv w:val="1"/>
      <w:marLeft w:val="0"/>
      <w:marRight w:val="0"/>
      <w:marTop w:val="0"/>
      <w:marBottom w:val="0"/>
      <w:divBdr>
        <w:top w:val="none" w:sz="0" w:space="0" w:color="auto"/>
        <w:left w:val="none" w:sz="0" w:space="0" w:color="auto"/>
        <w:bottom w:val="none" w:sz="0" w:space="0" w:color="auto"/>
        <w:right w:val="none" w:sz="0" w:space="0" w:color="auto"/>
      </w:divBdr>
    </w:div>
    <w:div w:id="123237659">
      <w:bodyDiv w:val="1"/>
      <w:marLeft w:val="0"/>
      <w:marRight w:val="0"/>
      <w:marTop w:val="0"/>
      <w:marBottom w:val="0"/>
      <w:divBdr>
        <w:top w:val="none" w:sz="0" w:space="0" w:color="auto"/>
        <w:left w:val="none" w:sz="0" w:space="0" w:color="auto"/>
        <w:bottom w:val="none" w:sz="0" w:space="0" w:color="auto"/>
        <w:right w:val="none" w:sz="0" w:space="0" w:color="auto"/>
      </w:divBdr>
    </w:div>
    <w:div w:id="136729178">
      <w:bodyDiv w:val="1"/>
      <w:marLeft w:val="0"/>
      <w:marRight w:val="0"/>
      <w:marTop w:val="0"/>
      <w:marBottom w:val="0"/>
      <w:divBdr>
        <w:top w:val="none" w:sz="0" w:space="0" w:color="auto"/>
        <w:left w:val="none" w:sz="0" w:space="0" w:color="auto"/>
        <w:bottom w:val="none" w:sz="0" w:space="0" w:color="auto"/>
        <w:right w:val="none" w:sz="0" w:space="0" w:color="auto"/>
      </w:divBdr>
    </w:div>
    <w:div w:id="150372068">
      <w:bodyDiv w:val="1"/>
      <w:marLeft w:val="0"/>
      <w:marRight w:val="0"/>
      <w:marTop w:val="0"/>
      <w:marBottom w:val="0"/>
      <w:divBdr>
        <w:top w:val="none" w:sz="0" w:space="0" w:color="auto"/>
        <w:left w:val="none" w:sz="0" w:space="0" w:color="auto"/>
        <w:bottom w:val="none" w:sz="0" w:space="0" w:color="auto"/>
        <w:right w:val="none" w:sz="0" w:space="0" w:color="auto"/>
      </w:divBdr>
    </w:div>
    <w:div w:id="249892164">
      <w:bodyDiv w:val="1"/>
      <w:marLeft w:val="0"/>
      <w:marRight w:val="0"/>
      <w:marTop w:val="0"/>
      <w:marBottom w:val="0"/>
      <w:divBdr>
        <w:top w:val="none" w:sz="0" w:space="0" w:color="auto"/>
        <w:left w:val="none" w:sz="0" w:space="0" w:color="auto"/>
        <w:bottom w:val="none" w:sz="0" w:space="0" w:color="auto"/>
        <w:right w:val="none" w:sz="0" w:space="0" w:color="auto"/>
      </w:divBdr>
    </w:div>
    <w:div w:id="314651350">
      <w:bodyDiv w:val="1"/>
      <w:marLeft w:val="0"/>
      <w:marRight w:val="0"/>
      <w:marTop w:val="0"/>
      <w:marBottom w:val="0"/>
      <w:divBdr>
        <w:top w:val="none" w:sz="0" w:space="0" w:color="auto"/>
        <w:left w:val="none" w:sz="0" w:space="0" w:color="auto"/>
        <w:bottom w:val="none" w:sz="0" w:space="0" w:color="auto"/>
        <w:right w:val="none" w:sz="0" w:space="0" w:color="auto"/>
      </w:divBdr>
      <w:divsChild>
        <w:div w:id="680395703">
          <w:marLeft w:val="547"/>
          <w:marRight w:val="0"/>
          <w:marTop w:val="0"/>
          <w:marBottom w:val="0"/>
          <w:divBdr>
            <w:top w:val="none" w:sz="0" w:space="0" w:color="auto"/>
            <w:left w:val="none" w:sz="0" w:space="0" w:color="auto"/>
            <w:bottom w:val="none" w:sz="0" w:space="0" w:color="auto"/>
            <w:right w:val="none" w:sz="0" w:space="0" w:color="auto"/>
          </w:divBdr>
        </w:div>
      </w:divsChild>
    </w:div>
    <w:div w:id="317658532">
      <w:bodyDiv w:val="1"/>
      <w:marLeft w:val="0"/>
      <w:marRight w:val="0"/>
      <w:marTop w:val="0"/>
      <w:marBottom w:val="0"/>
      <w:divBdr>
        <w:top w:val="none" w:sz="0" w:space="0" w:color="auto"/>
        <w:left w:val="none" w:sz="0" w:space="0" w:color="auto"/>
        <w:bottom w:val="none" w:sz="0" w:space="0" w:color="auto"/>
        <w:right w:val="none" w:sz="0" w:space="0" w:color="auto"/>
      </w:divBdr>
    </w:div>
    <w:div w:id="326830400">
      <w:bodyDiv w:val="1"/>
      <w:marLeft w:val="0"/>
      <w:marRight w:val="0"/>
      <w:marTop w:val="0"/>
      <w:marBottom w:val="0"/>
      <w:divBdr>
        <w:top w:val="none" w:sz="0" w:space="0" w:color="auto"/>
        <w:left w:val="none" w:sz="0" w:space="0" w:color="auto"/>
        <w:bottom w:val="none" w:sz="0" w:space="0" w:color="auto"/>
        <w:right w:val="none" w:sz="0" w:space="0" w:color="auto"/>
      </w:divBdr>
    </w:div>
    <w:div w:id="541550812">
      <w:bodyDiv w:val="1"/>
      <w:marLeft w:val="0"/>
      <w:marRight w:val="0"/>
      <w:marTop w:val="0"/>
      <w:marBottom w:val="0"/>
      <w:divBdr>
        <w:top w:val="none" w:sz="0" w:space="0" w:color="auto"/>
        <w:left w:val="none" w:sz="0" w:space="0" w:color="auto"/>
        <w:bottom w:val="none" w:sz="0" w:space="0" w:color="auto"/>
        <w:right w:val="none" w:sz="0" w:space="0" w:color="auto"/>
      </w:divBdr>
    </w:div>
    <w:div w:id="571816341">
      <w:bodyDiv w:val="1"/>
      <w:marLeft w:val="0"/>
      <w:marRight w:val="0"/>
      <w:marTop w:val="0"/>
      <w:marBottom w:val="0"/>
      <w:divBdr>
        <w:top w:val="none" w:sz="0" w:space="0" w:color="auto"/>
        <w:left w:val="none" w:sz="0" w:space="0" w:color="auto"/>
        <w:bottom w:val="none" w:sz="0" w:space="0" w:color="auto"/>
        <w:right w:val="none" w:sz="0" w:space="0" w:color="auto"/>
      </w:divBdr>
    </w:div>
    <w:div w:id="576133893">
      <w:bodyDiv w:val="1"/>
      <w:marLeft w:val="0"/>
      <w:marRight w:val="0"/>
      <w:marTop w:val="0"/>
      <w:marBottom w:val="0"/>
      <w:divBdr>
        <w:top w:val="none" w:sz="0" w:space="0" w:color="auto"/>
        <w:left w:val="none" w:sz="0" w:space="0" w:color="auto"/>
        <w:bottom w:val="none" w:sz="0" w:space="0" w:color="auto"/>
        <w:right w:val="none" w:sz="0" w:space="0" w:color="auto"/>
      </w:divBdr>
    </w:div>
    <w:div w:id="577712827">
      <w:bodyDiv w:val="1"/>
      <w:marLeft w:val="0"/>
      <w:marRight w:val="0"/>
      <w:marTop w:val="0"/>
      <w:marBottom w:val="0"/>
      <w:divBdr>
        <w:top w:val="none" w:sz="0" w:space="0" w:color="auto"/>
        <w:left w:val="none" w:sz="0" w:space="0" w:color="auto"/>
        <w:bottom w:val="none" w:sz="0" w:space="0" w:color="auto"/>
        <w:right w:val="none" w:sz="0" w:space="0" w:color="auto"/>
      </w:divBdr>
    </w:div>
    <w:div w:id="587542834">
      <w:bodyDiv w:val="1"/>
      <w:marLeft w:val="0"/>
      <w:marRight w:val="0"/>
      <w:marTop w:val="0"/>
      <w:marBottom w:val="0"/>
      <w:divBdr>
        <w:top w:val="none" w:sz="0" w:space="0" w:color="auto"/>
        <w:left w:val="none" w:sz="0" w:space="0" w:color="auto"/>
        <w:bottom w:val="none" w:sz="0" w:space="0" w:color="auto"/>
        <w:right w:val="none" w:sz="0" w:space="0" w:color="auto"/>
      </w:divBdr>
    </w:div>
    <w:div w:id="637078562">
      <w:bodyDiv w:val="1"/>
      <w:marLeft w:val="0"/>
      <w:marRight w:val="0"/>
      <w:marTop w:val="0"/>
      <w:marBottom w:val="0"/>
      <w:divBdr>
        <w:top w:val="none" w:sz="0" w:space="0" w:color="auto"/>
        <w:left w:val="none" w:sz="0" w:space="0" w:color="auto"/>
        <w:bottom w:val="none" w:sz="0" w:space="0" w:color="auto"/>
        <w:right w:val="none" w:sz="0" w:space="0" w:color="auto"/>
      </w:divBdr>
      <w:divsChild>
        <w:div w:id="634263695">
          <w:marLeft w:val="0"/>
          <w:marRight w:val="0"/>
          <w:marTop w:val="0"/>
          <w:marBottom w:val="0"/>
          <w:divBdr>
            <w:top w:val="none" w:sz="0" w:space="0" w:color="auto"/>
            <w:left w:val="none" w:sz="0" w:space="0" w:color="auto"/>
            <w:bottom w:val="none" w:sz="0" w:space="0" w:color="auto"/>
            <w:right w:val="none" w:sz="0" w:space="0" w:color="auto"/>
          </w:divBdr>
        </w:div>
        <w:div w:id="890076643">
          <w:marLeft w:val="124"/>
          <w:marRight w:val="0"/>
          <w:marTop w:val="248"/>
          <w:marBottom w:val="0"/>
          <w:divBdr>
            <w:top w:val="single" w:sz="12" w:space="0" w:color="CCCCCC"/>
            <w:left w:val="single" w:sz="18" w:space="6" w:color="CCCCCC"/>
            <w:bottom w:val="single" w:sz="12" w:space="0" w:color="CCCCCC"/>
            <w:right w:val="single" w:sz="18" w:space="6" w:color="CCCCCC"/>
          </w:divBdr>
        </w:div>
      </w:divsChild>
    </w:div>
    <w:div w:id="754712793">
      <w:bodyDiv w:val="1"/>
      <w:marLeft w:val="0"/>
      <w:marRight w:val="0"/>
      <w:marTop w:val="0"/>
      <w:marBottom w:val="0"/>
      <w:divBdr>
        <w:top w:val="none" w:sz="0" w:space="0" w:color="auto"/>
        <w:left w:val="none" w:sz="0" w:space="0" w:color="auto"/>
        <w:bottom w:val="none" w:sz="0" w:space="0" w:color="auto"/>
        <w:right w:val="none" w:sz="0" w:space="0" w:color="auto"/>
      </w:divBdr>
    </w:div>
    <w:div w:id="799566804">
      <w:bodyDiv w:val="1"/>
      <w:marLeft w:val="0"/>
      <w:marRight w:val="0"/>
      <w:marTop w:val="0"/>
      <w:marBottom w:val="0"/>
      <w:divBdr>
        <w:top w:val="none" w:sz="0" w:space="0" w:color="auto"/>
        <w:left w:val="none" w:sz="0" w:space="0" w:color="auto"/>
        <w:bottom w:val="none" w:sz="0" w:space="0" w:color="auto"/>
        <w:right w:val="none" w:sz="0" w:space="0" w:color="auto"/>
      </w:divBdr>
    </w:div>
    <w:div w:id="833033606">
      <w:bodyDiv w:val="1"/>
      <w:marLeft w:val="0"/>
      <w:marRight w:val="0"/>
      <w:marTop w:val="0"/>
      <w:marBottom w:val="0"/>
      <w:divBdr>
        <w:top w:val="none" w:sz="0" w:space="0" w:color="auto"/>
        <w:left w:val="none" w:sz="0" w:space="0" w:color="auto"/>
        <w:bottom w:val="none" w:sz="0" w:space="0" w:color="auto"/>
        <w:right w:val="none" w:sz="0" w:space="0" w:color="auto"/>
      </w:divBdr>
    </w:div>
    <w:div w:id="882984798">
      <w:bodyDiv w:val="1"/>
      <w:marLeft w:val="0"/>
      <w:marRight w:val="0"/>
      <w:marTop w:val="0"/>
      <w:marBottom w:val="0"/>
      <w:divBdr>
        <w:top w:val="none" w:sz="0" w:space="0" w:color="auto"/>
        <w:left w:val="none" w:sz="0" w:space="0" w:color="auto"/>
        <w:bottom w:val="none" w:sz="0" w:space="0" w:color="auto"/>
        <w:right w:val="none" w:sz="0" w:space="0" w:color="auto"/>
      </w:divBdr>
    </w:div>
    <w:div w:id="901867372">
      <w:bodyDiv w:val="1"/>
      <w:marLeft w:val="0"/>
      <w:marRight w:val="0"/>
      <w:marTop w:val="0"/>
      <w:marBottom w:val="0"/>
      <w:divBdr>
        <w:top w:val="none" w:sz="0" w:space="0" w:color="auto"/>
        <w:left w:val="none" w:sz="0" w:space="0" w:color="auto"/>
        <w:bottom w:val="none" w:sz="0" w:space="0" w:color="auto"/>
        <w:right w:val="none" w:sz="0" w:space="0" w:color="auto"/>
      </w:divBdr>
    </w:div>
    <w:div w:id="942495128">
      <w:bodyDiv w:val="1"/>
      <w:marLeft w:val="0"/>
      <w:marRight w:val="0"/>
      <w:marTop w:val="0"/>
      <w:marBottom w:val="0"/>
      <w:divBdr>
        <w:top w:val="none" w:sz="0" w:space="0" w:color="auto"/>
        <w:left w:val="none" w:sz="0" w:space="0" w:color="auto"/>
        <w:bottom w:val="none" w:sz="0" w:space="0" w:color="auto"/>
        <w:right w:val="none" w:sz="0" w:space="0" w:color="auto"/>
      </w:divBdr>
    </w:div>
    <w:div w:id="948126244">
      <w:bodyDiv w:val="1"/>
      <w:marLeft w:val="0"/>
      <w:marRight w:val="0"/>
      <w:marTop w:val="0"/>
      <w:marBottom w:val="0"/>
      <w:divBdr>
        <w:top w:val="none" w:sz="0" w:space="0" w:color="auto"/>
        <w:left w:val="none" w:sz="0" w:space="0" w:color="auto"/>
        <w:bottom w:val="none" w:sz="0" w:space="0" w:color="auto"/>
        <w:right w:val="none" w:sz="0" w:space="0" w:color="auto"/>
      </w:divBdr>
    </w:div>
    <w:div w:id="954674274">
      <w:bodyDiv w:val="1"/>
      <w:marLeft w:val="0"/>
      <w:marRight w:val="0"/>
      <w:marTop w:val="0"/>
      <w:marBottom w:val="0"/>
      <w:divBdr>
        <w:top w:val="none" w:sz="0" w:space="0" w:color="auto"/>
        <w:left w:val="none" w:sz="0" w:space="0" w:color="auto"/>
        <w:bottom w:val="none" w:sz="0" w:space="0" w:color="auto"/>
        <w:right w:val="none" w:sz="0" w:space="0" w:color="auto"/>
      </w:divBdr>
      <w:divsChild>
        <w:div w:id="5256918">
          <w:marLeft w:val="0"/>
          <w:marRight w:val="0"/>
          <w:marTop w:val="0"/>
          <w:marBottom w:val="0"/>
          <w:divBdr>
            <w:top w:val="none" w:sz="0" w:space="0" w:color="auto"/>
            <w:left w:val="none" w:sz="0" w:space="0" w:color="auto"/>
            <w:bottom w:val="none" w:sz="0" w:space="0" w:color="auto"/>
            <w:right w:val="none" w:sz="0" w:space="0" w:color="auto"/>
          </w:divBdr>
        </w:div>
      </w:divsChild>
    </w:div>
    <w:div w:id="986780665">
      <w:bodyDiv w:val="1"/>
      <w:marLeft w:val="0"/>
      <w:marRight w:val="0"/>
      <w:marTop w:val="0"/>
      <w:marBottom w:val="0"/>
      <w:divBdr>
        <w:top w:val="none" w:sz="0" w:space="0" w:color="auto"/>
        <w:left w:val="none" w:sz="0" w:space="0" w:color="auto"/>
        <w:bottom w:val="none" w:sz="0" w:space="0" w:color="auto"/>
        <w:right w:val="none" w:sz="0" w:space="0" w:color="auto"/>
      </w:divBdr>
    </w:div>
    <w:div w:id="1050149476">
      <w:bodyDiv w:val="1"/>
      <w:marLeft w:val="0"/>
      <w:marRight w:val="0"/>
      <w:marTop w:val="0"/>
      <w:marBottom w:val="0"/>
      <w:divBdr>
        <w:top w:val="none" w:sz="0" w:space="0" w:color="auto"/>
        <w:left w:val="none" w:sz="0" w:space="0" w:color="auto"/>
        <w:bottom w:val="none" w:sz="0" w:space="0" w:color="auto"/>
        <w:right w:val="none" w:sz="0" w:space="0" w:color="auto"/>
      </w:divBdr>
    </w:div>
    <w:div w:id="1066995786">
      <w:bodyDiv w:val="1"/>
      <w:marLeft w:val="0"/>
      <w:marRight w:val="0"/>
      <w:marTop w:val="0"/>
      <w:marBottom w:val="0"/>
      <w:divBdr>
        <w:top w:val="none" w:sz="0" w:space="0" w:color="auto"/>
        <w:left w:val="none" w:sz="0" w:space="0" w:color="auto"/>
        <w:bottom w:val="none" w:sz="0" w:space="0" w:color="auto"/>
        <w:right w:val="none" w:sz="0" w:space="0" w:color="auto"/>
      </w:divBdr>
    </w:div>
    <w:div w:id="1071538306">
      <w:bodyDiv w:val="1"/>
      <w:marLeft w:val="0"/>
      <w:marRight w:val="0"/>
      <w:marTop w:val="0"/>
      <w:marBottom w:val="0"/>
      <w:divBdr>
        <w:top w:val="none" w:sz="0" w:space="0" w:color="auto"/>
        <w:left w:val="none" w:sz="0" w:space="0" w:color="auto"/>
        <w:bottom w:val="none" w:sz="0" w:space="0" w:color="auto"/>
        <w:right w:val="none" w:sz="0" w:space="0" w:color="auto"/>
      </w:divBdr>
    </w:div>
    <w:div w:id="1079670124">
      <w:bodyDiv w:val="1"/>
      <w:marLeft w:val="0"/>
      <w:marRight w:val="0"/>
      <w:marTop w:val="0"/>
      <w:marBottom w:val="0"/>
      <w:divBdr>
        <w:top w:val="none" w:sz="0" w:space="0" w:color="auto"/>
        <w:left w:val="none" w:sz="0" w:space="0" w:color="auto"/>
        <w:bottom w:val="none" w:sz="0" w:space="0" w:color="auto"/>
        <w:right w:val="none" w:sz="0" w:space="0" w:color="auto"/>
      </w:divBdr>
    </w:div>
    <w:div w:id="1082335578">
      <w:bodyDiv w:val="1"/>
      <w:marLeft w:val="0"/>
      <w:marRight w:val="0"/>
      <w:marTop w:val="0"/>
      <w:marBottom w:val="0"/>
      <w:divBdr>
        <w:top w:val="none" w:sz="0" w:space="0" w:color="auto"/>
        <w:left w:val="none" w:sz="0" w:space="0" w:color="auto"/>
        <w:bottom w:val="none" w:sz="0" w:space="0" w:color="auto"/>
        <w:right w:val="none" w:sz="0" w:space="0" w:color="auto"/>
      </w:divBdr>
    </w:div>
    <w:div w:id="1121996919">
      <w:bodyDiv w:val="1"/>
      <w:marLeft w:val="0"/>
      <w:marRight w:val="0"/>
      <w:marTop w:val="0"/>
      <w:marBottom w:val="0"/>
      <w:divBdr>
        <w:top w:val="none" w:sz="0" w:space="0" w:color="auto"/>
        <w:left w:val="none" w:sz="0" w:space="0" w:color="auto"/>
        <w:bottom w:val="none" w:sz="0" w:space="0" w:color="auto"/>
        <w:right w:val="none" w:sz="0" w:space="0" w:color="auto"/>
      </w:divBdr>
    </w:div>
    <w:div w:id="1142229707">
      <w:bodyDiv w:val="1"/>
      <w:marLeft w:val="0"/>
      <w:marRight w:val="0"/>
      <w:marTop w:val="0"/>
      <w:marBottom w:val="0"/>
      <w:divBdr>
        <w:top w:val="none" w:sz="0" w:space="0" w:color="auto"/>
        <w:left w:val="none" w:sz="0" w:space="0" w:color="auto"/>
        <w:bottom w:val="none" w:sz="0" w:space="0" w:color="auto"/>
        <w:right w:val="none" w:sz="0" w:space="0" w:color="auto"/>
      </w:divBdr>
    </w:div>
    <w:div w:id="1180851303">
      <w:bodyDiv w:val="1"/>
      <w:marLeft w:val="0"/>
      <w:marRight w:val="0"/>
      <w:marTop w:val="0"/>
      <w:marBottom w:val="0"/>
      <w:divBdr>
        <w:top w:val="none" w:sz="0" w:space="0" w:color="auto"/>
        <w:left w:val="none" w:sz="0" w:space="0" w:color="auto"/>
        <w:bottom w:val="none" w:sz="0" w:space="0" w:color="auto"/>
        <w:right w:val="none" w:sz="0" w:space="0" w:color="auto"/>
      </w:divBdr>
    </w:div>
    <w:div w:id="1255431910">
      <w:bodyDiv w:val="1"/>
      <w:marLeft w:val="0"/>
      <w:marRight w:val="0"/>
      <w:marTop w:val="0"/>
      <w:marBottom w:val="0"/>
      <w:divBdr>
        <w:top w:val="none" w:sz="0" w:space="0" w:color="auto"/>
        <w:left w:val="none" w:sz="0" w:space="0" w:color="auto"/>
        <w:bottom w:val="none" w:sz="0" w:space="0" w:color="auto"/>
        <w:right w:val="none" w:sz="0" w:space="0" w:color="auto"/>
      </w:divBdr>
    </w:div>
    <w:div w:id="1274509185">
      <w:bodyDiv w:val="1"/>
      <w:marLeft w:val="0"/>
      <w:marRight w:val="0"/>
      <w:marTop w:val="0"/>
      <w:marBottom w:val="0"/>
      <w:divBdr>
        <w:top w:val="none" w:sz="0" w:space="0" w:color="auto"/>
        <w:left w:val="none" w:sz="0" w:space="0" w:color="auto"/>
        <w:bottom w:val="none" w:sz="0" w:space="0" w:color="auto"/>
        <w:right w:val="none" w:sz="0" w:space="0" w:color="auto"/>
      </w:divBdr>
    </w:div>
    <w:div w:id="1281913425">
      <w:bodyDiv w:val="1"/>
      <w:marLeft w:val="0"/>
      <w:marRight w:val="0"/>
      <w:marTop w:val="0"/>
      <w:marBottom w:val="0"/>
      <w:divBdr>
        <w:top w:val="none" w:sz="0" w:space="0" w:color="auto"/>
        <w:left w:val="none" w:sz="0" w:space="0" w:color="auto"/>
        <w:bottom w:val="none" w:sz="0" w:space="0" w:color="auto"/>
        <w:right w:val="none" w:sz="0" w:space="0" w:color="auto"/>
      </w:divBdr>
    </w:div>
    <w:div w:id="1323311684">
      <w:bodyDiv w:val="1"/>
      <w:marLeft w:val="0"/>
      <w:marRight w:val="0"/>
      <w:marTop w:val="0"/>
      <w:marBottom w:val="0"/>
      <w:divBdr>
        <w:top w:val="none" w:sz="0" w:space="0" w:color="auto"/>
        <w:left w:val="none" w:sz="0" w:space="0" w:color="auto"/>
        <w:bottom w:val="none" w:sz="0" w:space="0" w:color="auto"/>
        <w:right w:val="none" w:sz="0" w:space="0" w:color="auto"/>
      </w:divBdr>
    </w:div>
    <w:div w:id="1348677883">
      <w:bodyDiv w:val="1"/>
      <w:marLeft w:val="0"/>
      <w:marRight w:val="0"/>
      <w:marTop w:val="0"/>
      <w:marBottom w:val="0"/>
      <w:divBdr>
        <w:top w:val="none" w:sz="0" w:space="0" w:color="auto"/>
        <w:left w:val="none" w:sz="0" w:space="0" w:color="auto"/>
        <w:bottom w:val="none" w:sz="0" w:space="0" w:color="auto"/>
        <w:right w:val="none" w:sz="0" w:space="0" w:color="auto"/>
      </w:divBdr>
    </w:div>
    <w:div w:id="1389962610">
      <w:bodyDiv w:val="1"/>
      <w:marLeft w:val="0"/>
      <w:marRight w:val="0"/>
      <w:marTop w:val="0"/>
      <w:marBottom w:val="0"/>
      <w:divBdr>
        <w:top w:val="none" w:sz="0" w:space="0" w:color="auto"/>
        <w:left w:val="none" w:sz="0" w:space="0" w:color="auto"/>
        <w:bottom w:val="none" w:sz="0" w:space="0" w:color="auto"/>
        <w:right w:val="none" w:sz="0" w:space="0" w:color="auto"/>
      </w:divBdr>
    </w:div>
    <w:div w:id="1408309967">
      <w:bodyDiv w:val="1"/>
      <w:marLeft w:val="0"/>
      <w:marRight w:val="0"/>
      <w:marTop w:val="0"/>
      <w:marBottom w:val="0"/>
      <w:divBdr>
        <w:top w:val="none" w:sz="0" w:space="0" w:color="auto"/>
        <w:left w:val="none" w:sz="0" w:space="0" w:color="auto"/>
        <w:bottom w:val="none" w:sz="0" w:space="0" w:color="auto"/>
        <w:right w:val="none" w:sz="0" w:space="0" w:color="auto"/>
      </w:divBdr>
      <w:divsChild>
        <w:div w:id="757600403">
          <w:marLeft w:val="547"/>
          <w:marRight w:val="0"/>
          <w:marTop w:val="0"/>
          <w:marBottom w:val="0"/>
          <w:divBdr>
            <w:top w:val="none" w:sz="0" w:space="0" w:color="auto"/>
            <w:left w:val="none" w:sz="0" w:space="0" w:color="auto"/>
            <w:bottom w:val="none" w:sz="0" w:space="0" w:color="auto"/>
            <w:right w:val="none" w:sz="0" w:space="0" w:color="auto"/>
          </w:divBdr>
        </w:div>
      </w:divsChild>
    </w:div>
    <w:div w:id="1410075524">
      <w:bodyDiv w:val="1"/>
      <w:marLeft w:val="0"/>
      <w:marRight w:val="0"/>
      <w:marTop w:val="0"/>
      <w:marBottom w:val="0"/>
      <w:divBdr>
        <w:top w:val="none" w:sz="0" w:space="0" w:color="auto"/>
        <w:left w:val="none" w:sz="0" w:space="0" w:color="auto"/>
        <w:bottom w:val="none" w:sz="0" w:space="0" w:color="auto"/>
        <w:right w:val="none" w:sz="0" w:space="0" w:color="auto"/>
      </w:divBdr>
    </w:div>
    <w:div w:id="1457141579">
      <w:bodyDiv w:val="1"/>
      <w:marLeft w:val="0"/>
      <w:marRight w:val="0"/>
      <w:marTop w:val="0"/>
      <w:marBottom w:val="0"/>
      <w:divBdr>
        <w:top w:val="none" w:sz="0" w:space="0" w:color="auto"/>
        <w:left w:val="none" w:sz="0" w:space="0" w:color="auto"/>
        <w:bottom w:val="none" w:sz="0" w:space="0" w:color="auto"/>
        <w:right w:val="none" w:sz="0" w:space="0" w:color="auto"/>
      </w:divBdr>
    </w:div>
    <w:div w:id="1469007895">
      <w:bodyDiv w:val="1"/>
      <w:marLeft w:val="0"/>
      <w:marRight w:val="0"/>
      <w:marTop w:val="0"/>
      <w:marBottom w:val="0"/>
      <w:divBdr>
        <w:top w:val="none" w:sz="0" w:space="0" w:color="auto"/>
        <w:left w:val="none" w:sz="0" w:space="0" w:color="auto"/>
        <w:bottom w:val="none" w:sz="0" w:space="0" w:color="auto"/>
        <w:right w:val="none" w:sz="0" w:space="0" w:color="auto"/>
      </w:divBdr>
    </w:div>
    <w:div w:id="1470512909">
      <w:bodyDiv w:val="1"/>
      <w:marLeft w:val="0"/>
      <w:marRight w:val="0"/>
      <w:marTop w:val="0"/>
      <w:marBottom w:val="0"/>
      <w:divBdr>
        <w:top w:val="none" w:sz="0" w:space="0" w:color="auto"/>
        <w:left w:val="none" w:sz="0" w:space="0" w:color="auto"/>
        <w:bottom w:val="none" w:sz="0" w:space="0" w:color="auto"/>
        <w:right w:val="none" w:sz="0" w:space="0" w:color="auto"/>
      </w:divBdr>
    </w:div>
    <w:div w:id="1473478642">
      <w:bodyDiv w:val="1"/>
      <w:marLeft w:val="0"/>
      <w:marRight w:val="0"/>
      <w:marTop w:val="0"/>
      <w:marBottom w:val="0"/>
      <w:divBdr>
        <w:top w:val="none" w:sz="0" w:space="0" w:color="auto"/>
        <w:left w:val="none" w:sz="0" w:space="0" w:color="auto"/>
        <w:bottom w:val="none" w:sz="0" w:space="0" w:color="auto"/>
        <w:right w:val="none" w:sz="0" w:space="0" w:color="auto"/>
      </w:divBdr>
      <w:divsChild>
        <w:div w:id="172379330">
          <w:marLeft w:val="0"/>
          <w:marRight w:val="0"/>
          <w:marTop w:val="0"/>
          <w:marBottom w:val="0"/>
          <w:divBdr>
            <w:top w:val="none" w:sz="0" w:space="0" w:color="auto"/>
            <w:left w:val="none" w:sz="0" w:space="0" w:color="auto"/>
            <w:bottom w:val="none" w:sz="0" w:space="0" w:color="auto"/>
            <w:right w:val="none" w:sz="0" w:space="0" w:color="auto"/>
          </w:divBdr>
        </w:div>
      </w:divsChild>
    </w:div>
    <w:div w:id="1493066613">
      <w:bodyDiv w:val="1"/>
      <w:marLeft w:val="0"/>
      <w:marRight w:val="0"/>
      <w:marTop w:val="0"/>
      <w:marBottom w:val="0"/>
      <w:divBdr>
        <w:top w:val="none" w:sz="0" w:space="0" w:color="auto"/>
        <w:left w:val="none" w:sz="0" w:space="0" w:color="auto"/>
        <w:bottom w:val="none" w:sz="0" w:space="0" w:color="auto"/>
        <w:right w:val="none" w:sz="0" w:space="0" w:color="auto"/>
      </w:divBdr>
      <w:divsChild>
        <w:div w:id="1079794446">
          <w:marLeft w:val="0"/>
          <w:marRight w:val="0"/>
          <w:marTop w:val="0"/>
          <w:marBottom w:val="0"/>
          <w:divBdr>
            <w:top w:val="none" w:sz="0" w:space="0" w:color="auto"/>
            <w:left w:val="none" w:sz="0" w:space="0" w:color="auto"/>
            <w:bottom w:val="none" w:sz="0" w:space="0" w:color="auto"/>
            <w:right w:val="none" w:sz="0" w:space="0" w:color="auto"/>
          </w:divBdr>
          <w:divsChild>
            <w:div w:id="125508141">
              <w:marLeft w:val="0"/>
              <w:marRight w:val="0"/>
              <w:marTop w:val="0"/>
              <w:marBottom w:val="0"/>
              <w:divBdr>
                <w:top w:val="none" w:sz="0" w:space="0" w:color="auto"/>
                <w:left w:val="none" w:sz="0" w:space="0" w:color="auto"/>
                <w:bottom w:val="none" w:sz="0" w:space="0" w:color="auto"/>
                <w:right w:val="none" w:sz="0" w:space="0" w:color="auto"/>
              </w:divBdr>
              <w:divsChild>
                <w:div w:id="151083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1605735">
      <w:bodyDiv w:val="1"/>
      <w:marLeft w:val="0"/>
      <w:marRight w:val="0"/>
      <w:marTop w:val="0"/>
      <w:marBottom w:val="0"/>
      <w:divBdr>
        <w:top w:val="none" w:sz="0" w:space="0" w:color="auto"/>
        <w:left w:val="none" w:sz="0" w:space="0" w:color="auto"/>
        <w:bottom w:val="none" w:sz="0" w:space="0" w:color="auto"/>
        <w:right w:val="none" w:sz="0" w:space="0" w:color="auto"/>
      </w:divBdr>
    </w:div>
    <w:div w:id="1516847942">
      <w:bodyDiv w:val="1"/>
      <w:marLeft w:val="0"/>
      <w:marRight w:val="0"/>
      <w:marTop w:val="0"/>
      <w:marBottom w:val="0"/>
      <w:divBdr>
        <w:top w:val="none" w:sz="0" w:space="0" w:color="auto"/>
        <w:left w:val="none" w:sz="0" w:space="0" w:color="auto"/>
        <w:bottom w:val="none" w:sz="0" w:space="0" w:color="auto"/>
        <w:right w:val="none" w:sz="0" w:space="0" w:color="auto"/>
      </w:divBdr>
    </w:div>
    <w:div w:id="15252441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228">
      <w:bodyDiv w:val="1"/>
      <w:marLeft w:val="0"/>
      <w:marRight w:val="0"/>
      <w:marTop w:val="0"/>
      <w:marBottom w:val="0"/>
      <w:divBdr>
        <w:top w:val="none" w:sz="0" w:space="0" w:color="auto"/>
        <w:left w:val="none" w:sz="0" w:space="0" w:color="auto"/>
        <w:bottom w:val="none" w:sz="0" w:space="0" w:color="auto"/>
        <w:right w:val="none" w:sz="0" w:space="0" w:color="auto"/>
      </w:divBdr>
      <w:divsChild>
        <w:div w:id="1241520392">
          <w:marLeft w:val="547"/>
          <w:marRight w:val="0"/>
          <w:marTop w:val="0"/>
          <w:marBottom w:val="0"/>
          <w:divBdr>
            <w:top w:val="none" w:sz="0" w:space="0" w:color="auto"/>
            <w:left w:val="none" w:sz="0" w:space="0" w:color="auto"/>
            <w:bottom w:val="none" w:sz="0" w:space="0" w:color="auto"/>
            <w:right w:val="none" w:sz="0" w:space="0" w:color="auto"/>
          </w:divBdr>
        </w:div>
      </w:divsChild>
    </w:div>
    <w:div w:id="1554081222">
      <w:bodyDiv w:val="1"/>
      <w:marLeft w:val="0"/>
      <w:marRight w:val="0"/>
      <w:marTop w:val="0"/>
      <w:marBottom w:val="0"/>
      <w:divBdr>
        <w:top w:val="none" w:sz="0" w:space="0" w:color="auto"/>
        <w:left w:val="none" w:sz="0" w:space="0" w:color="auto"/>
        <w:bottom w:val="none" w:sz="0" w:space="0" w:color="auto"/>
        <w:right w:val="none" w:sz="0" w:space="0" w:color="auto"/>
      </w:divBdr>
    </w:div>
    <w:div w:id="1565528941">
      <w:bodyDiv w:val="1"/>
      <w:marLeft w:val="0"/>
      <w:marRight w:val="0"/>
      <w:marTop w:val="0"/>
      <w:marBottom w:val="0"/>
      <w:divBdr>
        <w:top w:val="none" w:sz="0" w:space="0" w:color="auto"/>
        <w:left w:val="none" w:sz="0" w:space="0" w:color="auto"/>
        <w:bottom w:val="none" w:sz="0" w:space="0" w:color="auto"/>
        <w:right w:val="none" w:sz="0" w:space="0" w:color="auto"/>
      </w:divBdr>
      <w:divsChild>
        <w:div w:id="1061948521">
          <w:marLeft w:val="547"/>
          <w:marRight w:val="0"/>
          <w:marTop w:val="0"/>
          <w:marBottom w:val="0"/>
          <w:divBdr>
            <w:top w:val="none" w:sz="0" w:space="0" w:color="auto"/>
            <w:left w:val="none" w:sz="0" w:space="0" w:color="auto"/>
            <w:bottom w:val="none" w:sz="0" w:space="0" w:color="auto"/>
            <w:right w:val="none" w:sz="0" w:space="0" w:color="auto"/>
          </w:divBdr>
        </w:div>
        <w:div w:id="1097292245">
          <w:marLeft w:val="547"/>
          <w:marRight w:val="0"/>
          <w:marTop w:val="0"/>
          <w:marBottom w:val="0"/>
          <w:divBdr>
            <w:top w:val="none" w:sz="0" w:space="0" w:color="auto"/>
            <w:left w:val="none" w:sz="0" w:space="0" w:color="auto"/>
            <w:bottom w:val="none" w:sz="0" w:space="0" w:color="auto"/>
            <w:right w:val="none" w:sz="0" w:space="0" w:color="auto"/>
          </w:divBdr>
        </w:div>
        <w:div w:id="1098212982">
          <w:marLeft w:val="547"/>
          <w:marRight w:val="0"/>
          <w:marTop w:val="0"/>
          <w:marBottom w:val="0"/>
          <w:divBdr>
            <w:top w:val="none" w:sz="0" w:space="0" w:color="auto"/>
            <w:left w:val="none" w:sz="0" w:space="0" w:color="auto"/>
            <w:bottom w:val="none" w:sz="0" w:space="0" w:color="auto"/>
            <w:right w:val="none" w:sz="0" w:space="0" w:color="auto"/>
          </w:divBdr>
        </w:div>
      </w:divsChild>
    </w:div>
    <w:div w:id="1643774193">
      <w:bodyDiv w:val="1"/>
      <w:marLeft w:val="0"/>
      <w:marRight w:val="0"/>
      <w:marTop w:val="0"/>
      <w:marBottom w:val="0"/>
      <w:divBdr>
        <w:top w:val="none" w:sz="0" w:space="0" w:color="auto"/>
        <w:left w:val="none" w:sz="0" w:space="0" w:color="auto"/>
        <w:bottom w:val="none" w:sz="0" w:space="0" w:color="auto"/>
        <w:right w:val="none" w:sz="0" w:space="0" w:color="auto"/>
      </w:divBdr>
    </w:div>
    <w:div w:id="1668821548">
      <w:bodyDiv w:val="1"/>
      <w:marLeft w:val="0"/>
      <w:marRight w:val="0"/>
      <w:marTop w:val="0"/>
      <w:marBottom w:val="0"/>
      <w:divBdr>
        <w:top w:val="none" w:sz="0" w:space="0" w:color="auto"/>
        <w:left w:val="none" w:sz="0" w:space="0" w:color="auto"/>
        <w:bottom w:val="none" w:sz="0" w:space="0" w:color="auto"/>
        <w:right w:val="none" w:sz="0" w:space="0" w:color="auto"/>
      </w:divBdr>
    </w:div>
    <w:div w:id="1692031722">
      <w:bodyDiv w:val="1"/>
      <w:marLeft w:val="0"/>
      <w:marRight w:val="0"/>
      <w:marTop w:val="0"/>
      <w:marBottom w:val="0"/>
      <w:divBdr>
        <w:top w:val="none" w:sz="0" w:space="0" w:color="auto"/>
        <w:left w:val="none" w:sz="0" w:space="0" w:color="auto"/>
        <w:bottom w:val="none" w:sz="0" w:space="0" w:color="auto"/>
        <w:right w:val="none" w:sz="0" w:space="0" w:color="auto"/>
      </w:divBdr>
    </w:div>
    <w:div w:id="1692797223">
      <w:bodyDiv w:val="1"/>
      <w:marLeft w:val="0"/>
      <w:marRight w:val="0"/>
      <w:marTop w:val="0"/>
      <w:marBottom w:val="0"/>
      <w:divBdr>
        <w:top w:val="none" w:sz="0" w:space="0" w:color="auto"/>
        <w:left w:val="none" w:sz="0" w:space="0" w:color="auto"/>
        <w:bottom w:val="none" w:sz="0" w:space="0" w:color="auto"/>
        <w:right w:val="none" w:sz="0" w:space="0" w:color="auto"/>
      </w:divBdr>
    </w:div>
    <w:div w:id="1709330308">
      <w:bodyDiv w:val="1"/>
      <w:marLeft w:val="0"/>
      <w:marRight w:val="0"/>
      <w:marTop w:val="0"/>
      <w:marBottom w:val="0"/>
      <w:divBdr>
        <w:top w:val="none" w:sz="0" w:space="0" w:color="auto"/>
        <w:left w:val="none" w:sz="0" w:space="0" w:color="auto"/>
        <w:bottom w:val="none" w:sz="0" w:space="0" w:color="auto"/>
        <w:right w:val="none" w:sz="0" w:space="0" w:color="auto"/>
      </w:divBdr>
      <w:divsChild>
        <w:div w:id="1975793911">
          <w:marLeft w:val="547"/>
          <w:marRight w:val="0"/>
          <w:marTop w:val="0"/>
          <w:marBottom w:val="0"/>
          <w:divBdr>
            <w:top w:val="none" w:sz="0" w:space="0" w:color="auto"/>
            <w:left w:val="none" w:sz="0" w:space="0" w:color="auto"/>
            <w:bottom w:val="none" w:sz="0" w:space="0" w:color="auto"/>
            <w:right w:val="none" w:sz="0" w:space="0" w:color="auto"/>
          </w:divBdr>
        </w:div>
      </w:divsChild>
    </w:div>
    <w:div w:id="1711029643">
      <w:bodyDiv w:val="1"/>
      <w:marLeft w:val="0"/>
      <w:marRight w:val="0"/>
      <w:marTop w:val="0"/>
      <w:marBottom w:val="0"/>
      <w:divBdr>
        <w:top w:val="none" w:sz="0" w:space="0" w:color="auto"/>
        <w:left w:val="none" w:sz="0" w:space="0" w:color="auto"/>
        <w:bottom w:val="none" w:sz="0" w:space="0" w:color="auto"/>
        <w:right w:val="none" w:sz="0" w:space="0" w:color="auto"/>
      </w:divBdr>
    </w:div>
    <w:div w:id="1750156074">
      <w:bodyDiv w:val="1"/>
      <w:marLeft w:val="0"/>
      <w:marRight w:val="0"/>
      <w:marTop w:val="0"/>
      <w:marBottom w:val="0"/>
      <w:divBdr>
        <w:top w:val="none" w:sz="0" w:space="0" w:color="auto"/>
        <w:left w:val="none" w:sz="0" w:space="0" w:color="auto"/>
        <w:bottom w:val="none" w:sz="0" w:space="0" w:color="auto"/>
        <w:right w:val="none" w:sz="0" w:space="0" w:color="auto"/>
      </w:divBdr>
    </w:div>
    <w:div w:id="1793400124">
      <w:bodyDiv w:val="1"/>
      <w:marLeft w:val="0"/>
      <w:marRight w:val="0"/>
      <w:marTop w:val="0"/>
      <w:marBottom w:val="0"/>
      <w:divBdr>
        <w:top w:val="none" w:sz="0" w:space="0" w:color="auto"/>
        <w:left w:val="none" w:sz="0" w:space="0" w:color="auto"/>
        <w:bottom w:val="none" w:sz="0" w:space="0" w:color="auto"/>
        <w:right w:val="none" w:sz="0" w:space="0" w:color="auto"/>
      </w:divBdr>
    </w:div>
    <w:div w:id="1827284537">
      <w:bodyDiv w:val="1"/>
      <w:marLeft w:val="0"/>
      <w:marRight w:val="0"/>
      <w:marTop w:val="0"/>
      <w:marBottom w:val="0"/>
      <w:divBdr>
        <w:top w:val="none" w:sz="0" w:space="0" w:color="auto"/>
        <w:left w:val="none" w:sz="0" w:space="0" w:color="auto"/>
        <w:bottom w:val="none" w:sz="0" w:space="0" w:color="auto"/>
        <w:right w:val="none" w:sz="0" w:space="0" w:color="auto"/>
      </w:divBdr>
    </w:div>
    <w:div w:id="1830711460">
      <w:bodyDiv w:val="1"/>
      <w:marLeft w:val="0"/>
      <w:marRight w:val="0"/>
      <w:marTop w:val="0"/>
      <w:marBottom w:val="0"/>
      <w:divBdr>
        <w:top w:val="none" w:sz="0" w:space="0" w:color="auto"/>
        <w:left w:val="none" w:sz="0" w:space="0" w:color="auto"/>
        <w:bottom w:val="none" w:sz="0" w:space="0" w:color="auto"/>
        <w:right w:val="none" w:sz="0" w:space="0" w:color="auto"/>
      </w:divBdr>
    </w:div>
    <w:div w:id="1940864829">
      <w:bodyDiv w:val="1"/>
      <w:marLeft w:val="0"/>
      <w:marRight w:val="0"/>
      <w:marTop w:val="0"/>
      <w:marBottom w:val="0"/>
      <w:divBdr>
        <w:top w:val="none" w:sz="0" w:space="0" w:color="auto"/>
        <w:left w:val="none" w:sz="0" w:space="0" w:color="auto"/>
        <w:bottom w:val="none" w:sz="0" w:space="0" w:color="auto"/>
        <w:right w:val="none" w:sz="0" w:space="0" w:color="auto"/>
      </w:divBdr>
    </w:div>
    <w:div w:id="2049528672">
      <w:bodyDiv w:val="1"/>
      <w:marLeft w:val="0"/>
      <w:marRight w:val="0"/>
      <w:marTop w:val="0"/>
      <w:marBottom w:val="0"/>
      <w:divBdr>
        <w:top w:val="none" w:sz="0" w:space="0" w:color="auto"/>
        <w:left w:val="none" w:sz="0" w:space="0" w:color="auto"/>
        <w:bottom w:val="none" w:sz="0" w:space="0" w:color="auto"/>
        <w:right w:val="none" w:sz="0" w:space="0" w:color="auto"/>
      </w:divBdr>
    </w:div>
    <w:div w:id="2049604380">
      <w:bodyDiv w:val="1"/>
      <w:marLeft w:val="0"/>
      <w:marRight w:val="0"/>
      <w:marTop w:val="0"/>
      <w:marBottom w:val="0"/>
      <w:divBdr>
        <w:top w:val="none" w:sz="0" w:space="0" w:color="auto"/>
        <w:left w:val="none" w:sz="0" w:space="0" w:color="auto"/>
        <w:bottom w:val="none" w:sz="0" w:space="0" w:color="auto"/>
        <w:right w:val="none" w:sz="0" w:space="0" w:color="auto"/>
      </w:divBdr>
    </w:div>
    <w:div w:id="2086801705">
      <w:bodyDiv w:val="1"/>
      <w:marLeft w:val="0"/>
      <w:marRight w:val="0"/>
      <w:marTop w:val="0"/>
      <w:marBottom w:val="0"/>
      <w:divBdr>
        <w:top w:val="none" w:sz="0" w:space="0" w:color="auto"/>
        <w:left w:val="none" w:sz="0" w:space="0" w:color="auto"/>
        <w:bottom w:val="none" w:sz="0" w:space="0" w:color="auto"/>
        <w:right w:val="none" w:sz="0" w:space="0" w:color="auto"/>
      </w:divBdr>
    </w:div>
    <w:div w:id="20980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ristofer_Price@abtassoc.co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PattyTroppe@westat.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Linda_Caswell@abtassoc.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eithRust@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ristofer_Price@abtassoc.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llan_Porowski@abtassoc.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ouRizzo@westa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llen_Bobronnikov@abtasso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c6ed00214e0d215c58b54139fa0341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d0552101da146a99d8efaaf402cbf3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9EA66-9657-4C9E-9A95-EC32A1C8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A448A-6782-4FD1-8144-7B508DB159F5}">
  <ds:schemaRefs>
    <ds:schemaRef ds:uri="http://schemas.microsoft.com/sharepoint/v3/contenttype/forms"/>
  </ds:schemaRefs>
</ds:datastoreItem>
</file>

<file path=customXml/itemProps3.xml><?xml version="1.0" encoding="utf-8"?>
<ds:datastoreItem xmlns:ds="http://schemas.openxmlformats.org/officeDocument/2006/customXml" ds:itemID="{98D3F84E-9B66-4420-9823-E4E58F8CE375}">
  <ds:schemaRefs>
    <ds:schemaRef ds:uri="http://schemas.openxmlformats.org/officeDocument/2006/bibliography"/>
  </ds:schemaRefs>
</ds:datastoreItem>
</file>

<file path=customXml/itemProps4.xml><?xml version="1.0" encoding="utf-8"?>
<ds:datastoreItem xmlns:ds="http://schemas.openxmlformats.org/officeDocument/2006/customXml" ds:itemID="{4F3F597C-69F8-482A-9B04-FACCDDFC65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22883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Porsha Cropper</dc:creator>
  <cp:keywords>Single-Sided body Templates</cp:keywords>
  <dc:description/>
  <cp:lastModifiedBy>Fong, Michael</cp:lastModifiedBy>
  <cp:revision>2</cp:revision>
  <cp:lastPrinted>2018-01-09T12:33:00Z</cp:lastPrinted>
  <dcterms:created xsi:type="dcterms:W3CDTF">2021-12-17T17:36:00Z</dcterms:created>
  <dcterms:modified xsi:type="dcterms:W3CDTF">2021-12-17T17:36:00Z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