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2B0FA392">
      <w:pPr>
        <w:jc w:val="center"/>
      </w:pPr>
      <w:r w:rsidRPr="00ED7A49">
        <w:t xml:space="preserve">[Docket No. </w:t>
      </w:r>
      <w:r w:rsidRPr="00272EBC" w:rsidR="00272EBC">
        <w:t>IC21-21-000</w:t>
      </w:r>
      <w:r w:rsidRPr="00980E58">
        <w:t>]</w:t>
      </w:r>
    </w:p>
    <w:p w:rsidR="00A2604E" w:rsidP="00A2604E" w:rsidRDefault="00A2604E" w14:paraId="4D16FE54" w14:textId="77777777"/>
    <w:p w:rsidR="00A2604E" w:rsidP="00A2604E" w:rsidRDefault="00A2604E" w14:paraId="0627AE31" w14:textId="42990CED">
      <w:pPr>
        <w:jc w:val="center"/>
      </w:pPr>
      <w:r>
        <w:t>COMMISSION INFORMATION COLLECTION ACTIVITIES (FERC-</w:t>
      </w:r>
      <w:r w:rsidR="00292A4C">
        <w:t>5</w:t>
      </w:r>
      <w:r w:rsidR="00272EBC">
        <w:t>16</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0A3802" w:rsidRDefault="000A3802" w14:paraId="692D2676" w14:textId="55639DF6">
      <w:pPr>
        <w:jc w:val="center"/>
      </w:pPr>
      <w:r w:rsidRPr="000A3802">
        <w:t>(April 22, 2021)</w:t>
      </w:r>
    </w:p>
    <w:p w:rsidRPr="000A3802" w:rsidR="000A3802" w:rsidP="000A3802" w:rsidRDefault="000A3802" w14:paraId="69AFC958"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1"/>
      <w:r>
        <w:t xml:space="preserve">Notice of information collection </w:t>
      </w:r>
      <w:bookmarkEnd w:id="1"/>
      <w:r>
        <w:t>and request for comments.</w:t>
      </w:r>
    </w:p>
    <w:p w:rsidR="00A2604E" w:rsidP="00A2604E" w:rsidRDefault="00A2604E" w14:paraId="59F663B1" w14:textId="1FCAA640">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Pr="00292A4C" w:rsidR="00292A4C">
        <w:t>FERC-5</w:t>
      </w:r>
      <w:r w:rsidR="00272EBC">
        <w:t>16</w:t>
      </w:r>
      <w:r w:rsidRPr="00292A4C" w:rsidR="00292A4C">
        <w:t xml:space="preserve"> </w:t>
      </w:r>
      <w:r w:rsidR="00292A4C">
        <w:t>(</w:t>
      </w:r>
      <w:r w:rsidRPr="00272EBC" w:rsidR="00272EBC">
        <w:t>Electric Rate Schedules and Tariff Filings</w:t>
      </w:r>
      <w:r w:rsidR="00CC5692">
        <w:t>).</w:t>
      </w:r>
    </w:p>
    <w:p w:rsidRPr="00524164" w:rsidR="00A2604E" w:rsidP="00A2604E" w:rsidRDefault="00A2604E" w14:paraId="5C5B574A" w14:textId="09DA9305">
      <w:pPr>
        <w:spacing w:line="480" w:lineRule="auto"/>
      </w:pPr>
      <w:r w:rsidRPr="00CE64F2">
        <w:rPr>
          <w:b/>
        </w:rPr>
        <w:t>DATES:</w:t>
      </w:r>
      <w:r>
        <w:t xml:space="preserve">  Comments on the collection of information are </w:t>
      </w:r>
      <w:r w:rsidRPr="00B24588">
        <w:t>due [</w:t>
      </w:r>
      <w:r w:rsidR="000A3802">
        <w:rPr>
          <w:b/>
        </w:rPr>
        <w:t>Insert Date</w:t>
      </w:r>
      <w:r w:rsidRPr="00A07154" w:rsidR="000A3802">
        <w:rPr>
          <w:b/>
        </w:rPr>
        <w:t xml:space="preserve"> </w:t>
      </w:r>
      <w:r w:rsidRPr="00A07154">
        <w:rPr>
          <w:b/>
        </w:rPr>
        <w:t xml:space="preserve">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71E795EB">
      <w:pPr>
        <w:spacing w:line="480" w:lineRule="auto"/>
      </w:pPr>
      <w:r w:rsidRPr="00524164">
        <w:rPr>
          <w:b/>
        </w:rPr>
        <w:t>ADDRESSES:</w:t>
      </w:r>
      <w:r w:rsidRPr="00524164">
        <w:t xml:space="preserve">  </w:t>
      </w:r>
      <w:bookmarkStart w:name="OLE_LINK1" w:id="2"/>
      <w:r w:rsidRPr="0042765E" w:rsidR="0042765E">
        <w:t xml:space="preserve">You may submit copies of your comments (identified by Docket No. </w:t>
      </w:r>
      <w:r w:rsidRPr="00272EBC" w:rsidR="00272EBC">
        <w:t>IC21-21-000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013D570C">
      <w:pPr>
        <w:pStyle w:val="ListParagraph"/>
        <w:numPr>
          <w:ilvl w:val="1"/>
          <w:numId w:val="6"/>
        </w:numPr>
        <w:spacing w:line="480" w:lineRule="auto"/>
      </w:pPr>
      <w:r w:rsidRPr="0042765E">
        <w:t>Hand (including courier) deliver</w:t>
      </w:r>
      <w:r w:rsidR="0063416D">
        <w:t>y</w:t>
      </w:r>
      <w:r w:rsidRPr="0042765E">
        <w:t xml:space="preserve">: </w:t>
      </w:r>
      <w:r w:rsidR="00D97079">
        <w:t xml:space="preserve">Deliver to: </w:t>
      </w:r>
      <w:r w:rsidRPr="0042765E">
        <w:t>Federal Energy Regulatory Commission, 12225 Wilkins Avenue, Rockville, MD 20852.</w:t>
      </w:r>
    </w:p>
    <w:p w:rsidR="00FB078F" w:rsidP="0042765E" w:rsidRDefault="00FB078F" w14:paraId="1FF43EEC" w14:textId="7244588D">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2"/>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00292A4C" w:rsidP="00292A4C" w:rsidRDefault="00292A4C" w14:paraId="110FA44D" w14:textId="77777777">
      <w:pPr>
        <w:spacing w:line="480" w:lineRule="auto"/>
      </w:pPr>
      <w:r>
        <w:rPr>
          <w:b/>
        </w:rPr>
        <w:t>SUPPLEMENTARY INFORMATION:</w:t>
      </w:r>
      <w:r>
        <w:t xml:space="preserve">  </w:t>
      </w:r>
    </w:p>
    <w:p w:rsidR="00383D3D" w:rsidP="00383D3D" w:rsidRDefault="00383D3D" w14:paraId="20FCB9BF" w14:textId="30C4A425">
      <w:pPr>
        <w:spacing w:line="480" w:lineRule="auto"/>
        <w:rPr>
          <w:i/>
          <w:iCs/>
        </w:rPr>
      </w:pPr>
      <w:r w:rsidRPr="00383D3D">
        <w:rPr>
          <w:i/>
          <w:iCs/>
        </w:rPr>
        <w:t xml:space="preserve">Title: </w:t>
      </w:r>
      <w:bookmarkStart w:name="_Hlk68514260" w:id="3"/>
      <w:r w:rsidRPr="00383D3D">
        <w:rPr>
          <w:iCs/>
        </w:rPr>
        <w:t>FERC-5</w:t>
      </w:r>
      <w:r>
        <w:rPr>
          <w:iCs/>
        </w:rPr>
        <w:t>16</w:t>
      </w:r>
      <w:r w:rsidRPr="00383D3D">
        <w:rPr>
          <w:iCs/>
        </w:rPr>
        <w:t xml:space="preserve">, </w:t>
      </w:r>
      <w:bookmarkEnd w:id="3"/>
      <w:r w:rsidRPr="00272EBC">
        <w:t>Electric Rate Schedules and Tariff Filings</w:t>
      </w:r>
      <w:r>
        <w:rPr>
          <w:i/>
          <w:iCs/>
        </w:rPr>
        <w:t>.</w:t>
      </w:r>
    </w:p>
    <w:p w:rsidRPr="00383D3D" w:rsidR="00383D3D" w:rsidP="00383D3D" w:rsidRDefault="00383D3D" w14:paraId="2FD0713F" w14:textId="64F74243">
      <w:pPr>
        <w:spacing w:line="480" w:lineRule="auto"/>
        <w:rPr>
          <w:iCs/>
        </w:rPr>
      </w:pPr>
      <w:r w:rsidRPr="00383D3D">
        <w:rPr>
          <w:i/>
          <w:iCs/>
        </w:rPr>
        <w:t>OMB Control No.:</w:t>
      </w:r>
      <w:r w:rsidRPr="00383D3D">
        <w:rPr>
          <w:iCs/>
        </w:rPr>
        <w:t xml:space="preserve"> 1902-0</w:t>
      </w:r>
      <w:r>
        <w:rPr>
          <w:iCs/>
        </w:rPr>
        <w:t>096</w:t>
      </w:r>
    </w:p>
    <w:p w:rsidRPr="00383D3D" w:rsidR="00383D3D" w:rsidP="00383D3D" w:rsidRDefault="00383D3D" w14:paraId="6A954A76" w14:textId="6ADA04CB">
      <w:pPr>
        <w:spacing w:line="480" w:lineRule="auto"/>
        <w:rPr>
          <w:iCs/>
        </w:rPr>
      </w:pPr>
      <w:r w:rsidRPr="00383D3D">
        <w:rPr>
          <w:i/>
          <w:iCs/>
        </w:rPr>
        <w:t>Type of Request:</w:t>
      </w:r>
      <w:r w:rsidRPr="00383D3D">
        <w:rPr>
          <w:iCs/>
        </w:rPr>
        <w:t xml:space="preserve"> Three-year extension of the FERC-5</w:t>
      </w:r>
      <w:r>
        <w:rPr>
          <w:iCs/>
        </w:rPr>
        <w:t>16</w:t>
      </w:r>
      <w:r w:rsidRPr="00383D3D">
        <w:rPr>
          <w:iCs/>
        </w:rPr>
        <w:t xml:space="preserve"> information collection requirements with no changes to the current reporting requirements. </w:t>
      </w:r>
    </w:p>
    <w:p w:rsidR="00036B49" w:rsidP="00036B49" w:rsidRDefault="00383D3D" w14:paraId="0422BE2D" w14:textId="787398F0">
      <w:pPr>
        <w:spacing w:line="480" w:lineRule="auto"/>
        <w:rPr>
          <w:iCs/>
        </w:rPr>
      </w:pPr>
      <w:r w:rsidRPr="00383D3D">
        <w:rPr>
          <w:i/>
          <w:iCs/>
        </w:rPr>
        <w:lastRenderedPageBreak/>
        <w:t>Abstract</w:t>
      </w:r>
      <w:r w:rsidR="004604FB">
        <w:rPr>
          <w:i/>
          <w:iCs/>
        </w:rPr>
        <w:t xml:space="preserve">: </w:t>
      </w:r>
      <w:r w:rsidR="00036B49">
        <w:rPr>
          <w:iCs/>
        </w:rPr>
        <w:t xml:space="preserve">This notice for FERC-516 includes </w:t>
      </w:r>
      <w:r w:rsidR="00A44D6A">
        <w:rPr>
          <w:iCs/>
        </w:rPr>
        <w:t>11</w:t>
      </w:r>
      <w:r w:rsidR="00036B49">
        <w:rPr>
          <w:iCs/>
        </w:rPr>
        <w:t xml:space="preserve"> components listed in the table below.</w:t>
      </w:r>
      <w:r w:rsidR="00036B49">
        <w:rPr>
          <w:rStyle w:val="FootnoteReference"/>
          <w:iCs/>
        </w:rPr>
        <w:footnoteReference w:id="2"/>
      </w:r>
      <w:r w:rsidR="00036B49">
        <w:rPr>
          <w:iCs/>
        </w:rPr>
        <w:t xml:space="preserve">  </w:t>
      </w:r>
      <w:r w:rsidRPr="00383D3D">
        <w:rPr>
          <w:iCs/>
        </w:rPr>
        <w:t>Section 205(c) of the F</w:t>
      </w:r>
      <w:r w:rsidR="005D087B">
        <w:rPr>
          <w:iCs/>
        </w:rPr>
        <w:t>ederal Power Act</w:t>
      </w:r>
      <w:r w:rsidRPr="00383D3D">
        <w:rPr>
          <w:iCs/>
        </w:rPr>
        <w:t xml:space="preserve"> </w:t>
      </w:r>
      <w:r w:rsidR="004E5564">
        <w:rPr>
          <w:iCs/>
        </w:rPr>
        <w:t xml:space="preserve">(FPA) </w:t>
      </w:r>
      <w:r w:rsidRPr="00383D3D">
        <w:rPr>
          <w:iCs/>
        </w:rPr>
        <w:t xml:space="preserve">requires that every public utility have </w:t>
      </w:r>
      <w:r w:rsidRPr="00383D3D" w:rsidR="00296FD4">
        <w:rPr>
          <w:iCs/>
        </w:rPr>
        <w:t>all</w:t>
      </w:r>
      <w:r w:rsidRPr="00383D3D">
        <w:rPr>
          <w:iCs/>
        </w:rPr>
        <w:t xml:space="preserve"> its jurisdictional rates and tariffs on file with the Commission and make them available for public inspection, within such time and in such form as the Commission may designate.  Section 205(d) of the FPA requires that every public utility must provide notice to FERC and the public of any changes to its jurisdictional rates and tariffs, file such changes with FERC, and make them available for public inspection, in such manner as directed by the Commission.</w:t>
      </w:r>
      <w:r w:rsidR="00296FD4">
        <w:rPr>
          <w:iCs/>
        </w:rPr>
        <w:t xml:space="preserve"> </w:t>
      </w:r>
      <w:r w:rsidR="000C7C22">
        <w:rPr>
          <w:iCs/>
        </w:rPr>
        <w:t xml:space="preserve"> </w:t>
      </w:r>
      <w:r w:rsidRPr="00A25AFC" w:rsidR="00A25AFC">
        <w:rPr>
          <w:iCs/>
        </w:rPr>
        <w:t xml:space="preserve">FPA section 205 specifies that all rates and charges, and related contracts and service conditions, for wholesale sales and transmission of energy in interstate commerce must be filed with the Commission and must be “just and reasonable”.  In addition, FPA section 206 requires the Commission, upon complaint or its own motion, to modify existing rates or services that are found to be unjust, unreasonable, unduly discriminatory or preferential.  </w:t>
      </w:r>
    </w:p>
    <w:p w:rsidR="00256F57" w:rsidP="00383D3D" w:rsidRDefault="000C4F32" w14:paraId="7D917EF3" w14:textId="304BF364">
      <w:pPr>
        <w:spacing w:line="480" w:lineRule="auto"/>
        <w:rPr>
          <w:iCs/>
        </w:rPr>
      </w:pPr>
      <w:r>
        <w:rPr>
          <w:iCs/>
        </w:rPr>
        <w:tab/>
      </w:r>
      <w:r w:rsidR="000C7C22">
        <w:rPr>
          <w:iCs/>
        </w:rPr>
        <w:t xml:space="preserve">Several </w:t>
      </w:r>
      <w:r w:rsidR="00BA58AF">
        <w:rPr>
          <w:iCs/>
        </w:rPr>
        <w:t xml:space="preserve">rulemakings related to this information collection </w:t>
      </w:r>
      <w:r w:rsidR="000C7C22">
        <w:rPr>
          <w:iCs/>
        </w:rPr>
        <w:t xml:space="preserve">and its components </w:t>
      </w:r>
      <w:r w:rsidR="004C08BA">
        <w:rPr>
          <w:iCs/>
        </w:rPr>
        <w:t xml:space="preserve">have been </w:t>
      </w:r>
      <w:r w:rsidR="00CD157D">
        <w:rPr>
          <w:iCs/>
        </w:rPr>
        <w:t>summarized</w:t>
      </w:r>
      <w:r w:rsidR="004C08BA">
        <w:rPr>
          <w:iCs/>
        </w:rPr>
        <w:t xml:space="preserve"> below</w:t>
      </w:r>
      <w:r w:rsidR="00BA58AF">
        <w:rPr>
          <w:iCs/>
        </w:rPr>
        <w:t>.</w:t>
      </w:r>
    </w:p>
    <w:p w:rsidR="004C08BA" w:rsidP="005B063D" w:rsidRDefault="004C08BA" w14:paraId="64F75BD3" w14:textId="0B9D6761">
      <w:pPr>
        <w:spacing w:line="480" w:lineRule="auto"/>
        <w:ind w:firstLine="720"/>
      </w:pPr>
      <w:r>
        <w:t xml:space="preserve">In </w:t>
      </w:r>
      <w:r w:rsidRPr="0077294F" w:rsidR="0077294F">
        <w:t>Order No. 745</w:t>
      </w:r>
      <w:r w:rsidR="0077294F">
        <w:t xml:space="preserve"> (</w:t>
      </w:r>
      <w:r w:rsidR="00D63FC9">
        <w:t xml:space="preserve">in </w:t>
      </w:r>
      <w:r w:rsidR="00EA28EF">
        <w:t xml:space="preserve">Docket No. </w:t>
      </w:r>
      <w:r>
        <w:t>RM10-17</w:t>
      </w:r>
      <w:r w:rsidR="0077294F">
        <w:t>)</w:t>
      </w:r>
      <w:r>
        <w:t xml:space="preserve">, </w:t>
      </w:r>
      <w:r w:rsidR="00CD157D">
        <w:t>the Commission amended its regulations under the Federal Power Act</w:t>
      </w:r>
      <w:r w:rsidR="00AE2131">
        <w:t xml:space="preserve"> (FPA)</w:t>
      </w:r>
      <w:r w:rsidR="004E5564">
        <w:t xml:space="preserve">. </w:t>
      </w:r>
      <w:r w:rsidR="000C7C22">
        <w:t xml:space="preserve">That </w:t>
      </w:r>
      <w:r w:rsidR="004E5564">
        <w:t>amendment sought</w:t>
      </w:r>
      <w:r w:rsidR="00CD157D">
        <w:t xml:space="preserve"> to ensure that when a demand response resource participating in an organized wholesale energy market administered by a Regional Transmission Organization (RTO) or Independent System </w:t>
      </w:r>
      <w:r w:rsidR="00CD157D">
        <w:lastRenderedPageBreak/>
        <w:t xml:space="preserve">Operator (ISO) has </w:t>
      </w:r>
      <w:r w:rsidR="00D61815">
        <w:t xml:space="preserve">to demonstrate by a compliance filing that it has </w:t>
      </w:r>
      <w:r w:rsidR="00CD157D">
        <w:t>the capability to balance supply and demand as an alternative to a generation resource</w:t>
      </w:r>
      <w:r w:rsidR="00AE2131">
        <w:t>,</w:t>
      </w:r>
      <w:r w:rsidR="00CD157D">
        <w:t xml:space="preserve"> and when dispatch of that demand response resource is cost-effective as determined by the net benefits test described in </w:t>
      </w:r>
      <w:r w:rsidR="0077294F">
        <w:t xml:space="preserve">the final </w:t>
      </w:r>
      <w:r w:rsidR="00CD157D">
        <w:t>rule,</w:t>
      </w:r>
      <w:r w:rsidR="00CD157D">
        <w:rPr>
          <w:color w:val="C0504D"/>
        </w:rPr>
        <w:t xml:space="preserve"> </w:t>
      </w:r>
      <w:r w:rsidR="00CD157D">
        <w:t>that demand response resource must be compensated for the service it provides to the energy market at the market price for energy, referred to as the locational marginal price (LMP)</w:t>
      </w:r>
      <w:r w:rsidR="0077294F">
        <w:rPr>
          <w:rStyle w:val="FootnoteReference"/>
        </w:rPr>
        <w:footnoteReference w:id="3"/>
      </w:r>
      <w:r w:rsidR="00CD157D">
        <w:t>.  This approach for compensating demand response resources helps to ensure the competitiveness of organized wholesale energy markets and remove barriers to the participation of demand response resources, thus ensuring just and reasonable wholesale rates.</w:t>
      </w:r>
    </w:p>
    <w:p w:rsidR="00586A4C" w:rsidP="00D97079" w:rsidRDefault="00586A4C" w14:paraId="6B9FF380" w14:textId="4739B008">
      <w:pPr>
        <w:spacing w:line="480" w:lineRule="auto"/>
        <w:ind w:firstLine="720"/>
      </w:pPr>
      <w:r>
        <w:t>In</w:t>
      </w:r>
      <w:r w:rsidR="007C741A">
        <w:t xml:space="preserve"> Order 845 (in</w:t>
      </w:r>
      <w:r>
        <w:t xml:space="preserve"> </w:t>
      </w:r>
      <w:r w:rsidR="003040E2">
        <w:t xml:space="preserve">Docket No. </w:t>
      </w:r>
      <w:r>
        <w:t>RM11-7</w:t>
      </w:r>
      <w:r w:rsidR="007C741A">
        <w:t>)</w:t>
      </w:r>
      <w:r>
        <w:t xml:space="preserve">, the Commission revised its regulations to remedy undue discrimination in the procurement of frequency regulation in the organized wholesale electric markets and ensure that providers of frequency regulation receive just and reasonable and not unduly discriminatory or preferential rates. </w:t>
      </w:r>
      <w:r w:rsidRPr="007C741A" w:rsidR="007C741A">
        <w:t xml:space="preserve">To remedy this undue discrimination, the Commission </w:t>
      </w:r>
      <w:r w:rsidR="00FC7FE1">
        <w:t xml:space="preserve">found </w:t>
      </w:r>
      <w:r w:rsidRPr="007C741A" w:rsidR="007C741A">
        <w:t>that it is just and reasonable to require all RTOs and ISOs to modify their tariffs to provide for a two-part payment to frequency regulation resources.</w:t>
      </w:r>
      <w:r w:rsidR="007C741A">
        <w:rPr>
          <w:rStyle w:val="FootnoteReference"/>
        </w:rPr>
        <w:footnoteReference w:id="4"/>
      </w:r>
      <w:r w:rsidR="00D97079">
        <w:t xml:space="preserve">  </w:t>
      </w:r>
      <w:r>
        <w:t xml:space="preserve">The compensation methods for regulation service in RTO and ISO markets failed to acknowledge the inherently greater amount of frequency regulation service being provided by faster-ramping resources.  In addition, certain practices of some RTOs and ISOs resulted in economically inefficient economic dispatch of frequency regulation </w:t>
      </w:r>
      <w:r>
        <w:lastRenderedPageBreak/>
        <w:t>resources.  By remedying these issues, the Commission removed unduly discriminatory and preferential practices from RTO and ISO tariffs and required the setting of just and reasonable rates.  It specifically required RTOs and ISOs to compensate frequency regulation resources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00586A4C" w:rsidP="005B063D" w:rsidRDefault="0037442C" w14:paraId="1B0FB7A5" w14:textId="1C039859">
      <w:pPr>
        <w:spacing w:line="480" w:lineRule="auto"/>
        <w:ind w:firstLine="720"/>
      </w:pPr>
      <w:r w:rsidRPr="0037442C">
        <w:t>Order No. 764</w:t>
      </w:r>
      <w:r>
        <w:t xml:space="preserve"> (</w:t>
      </w:r>
      <w:r w:rsidR="00D63FC9">
        <w:t xml:space="preserve">in </w:t>
      </w:r>
      <w:r w:rsidR="003040E2">
        <w:t xml:space="preserve">Docket No. </w:t>
      </w:r>
      <w:r w:rsidR="004A65BD">
        <w:t>RM10-11</w:t>
      </w:r>
      <w:r>
        <w:t>)</w:t>
      </w:r>
      <w:r w:rsidR="004A65BD">
        <w:t xml:space="preserve">, </w:t>
      </w:r>
      <w:r w:rsidR="004868C0">
        <w:t>t</w:t>
      </w:r>
      <w:r w:rsidR="004A65BD">
        <w:t xml:space="preserve">he Commission amended the </w:t>
      </w:r>
      <w:r w:rsidR="004A65BD">
        <w:rPr>
          <w:i/>
          <w:iCs/>
        </w:rPr>
        <w:t>pro forma</w:t>
      </w:r>
      <w:r w:rsidR="004A65BD">
        <w:t xml:space="preserve"> Open Access Transmission Tariff </w:t>
      </w:r>
      <w:r w:rsidR="004868C0">
        <w:t xml:space="preserve">(OATT) </w:t>
      </w:r>
      <w:r w:rsidR="004A65BD">
        <w:t xml:space="preserve">to remove unduly discriminatory practices and to ensure just and reasonable rates for Commission-jurisdictional services.  Specifically, the Commission removed barriers to the integration of variable energy resources by requiring each public utility transmission provider to:  (1) offer intra-hourly transmission scheduling; and, (2) incorporate provisions into the </w:t>
      </w:r>
      <w:r w:rsidR="004A65BD">
        <w:rPr>
          <w:i/>
          <w:iCs/>
        </w:rPr>
        <w:t>pro forma</w:t>
      </w:r>
      <w:r w:rsidR="004A65BD">
        <w:t xml:space="preserve"> Large Generator Interconnection Agreement requiring interconnection customers whose generating facilities are variable energy resources to provide meteorological and forced outage data to the public utility transmission provider for the purpose of power production forecasting.</w:t>
      </w:r>
    </w:p>
    <w:p w:rsidR="00586A4C" w:rsidP="005B063D" w:rsidRDefault="004A65BD" w14:paraId="6BBEFB3A" w14:textId="17A577DF">
      <w:pPr>
        <w:spacing w:line="480" w:lineRule="auto"/>
        <w:ind w:firstLine="720"/>
      </w:pPr>
      <w:r>
        <w:t xml:space="preserve">In </w:t>
      </w:r>
      <w:r w:rsidR="00105E36">
        <w:t>Order 676-</w:t>
      </w:r>
      <w:r w:rsidR="00140714">
        <w:t>G</w:t>
      </w:r>
      <w:r w:rsidR="00105E36">
        <w:t xml:space="preserve"> (in</w:t>
      </w:r>
      <w:r w:rsidR="00FC7FE1">
        <w:t xml:space="preserve"> </w:t>
      </w:r>
      <w:r w:rsidR="003040E2">
        <w:t xml:space="preserve">Docket No. </w:t>
      </w:r>
      <w:r>
        <w:t>RM05-5-020</w:t>
      </w:r>
      <w:r w:rsidR="00105E36">
        <w:t>)</w:t>
      </w:r>
      <w:r>
        <w:t xml:space="preserve">, </w:t>
      </w:r>
      <w:r w:rsidR="004868C0">
        <w:t>t</w:t>
      </w:r>
      <w:r w:rsidR="0087271A">
        <w:t xml:space="preserve">he Commission amended its regulations at 18 C.F.R. § 38.2 (which establish standards for business practices and electronic communications for public utilities) to incorporate by reference updated business practice standards adopted by the Wholesale Electric Quadrant </w:t>
      </w:r>
      <w:r w:rsidR="004868C0">
        <w:t xml:space="preserve">(WEQ) </w:t>
      </w:r>
      <w:r w:rsidR="0087271A">
        <w:t xml:space="preserve">of the North American Energy Standards Board </w:t>
      </w:r>
      <w:r w:rsidR="004868C0">
        <w:t xml:space="preserve">(NAESB) </w:t>
      </w:r>
      <w:r w:rsidR="0087271A">
        <w:t xml:space="preserve">to categorize various products and </w:t>
      </w:r>
      <w:r w:rsidR="0087271A">
        <w:lastRenderedPageBreak/>
        <w:t>services for demand response and energy efficiency and to support the measurement and verification of these products and services in organized wholesale electric markets.  These standards provide</w:t>
      </w:r>
      <w:r w:rsidR="00105E36">
        <w:t>d</w:t>
      </w:r>
      <w:r w:rsidR="0087271A">
        <w:t xml:space="preserve"> common definitions and processes regarding demand response and energy efficiency products in organized wholesale electric markets where such products are offered.  The standards also require</w:t>
      </w:r>
      <w:r w:rsidR="00105E36">
        <w:t>d</w:t>
      </w:r>
      <w:r w:rsidR="0087271A">
        <w:t xml:space="preserve"> each RTO and ISO to address in the RTO or ISO’s governing documents the performance evaluation methods to be used for demand response and energy efficiency products.  The standards facilitate</w:t>
      </w:r>
      <w:r w:rsidR="00105E36">
        <w:t>d</w:t>
      </w:r>
      <w:r w:rsidR="0087271A">
        <w:t xml:space="preserve"> the ability of demand response and energy efficiency providers to participate in organized wholesale electric markets, reducing transaction costs and providing an opportunity for more customers to participate in these programs, especially for customers that operate in more than one organized market.</w:t>
      </w:r>
    </w:p>
    <w:p w:rsidR="00256F57" w:rsidP="005B063D" w:rsidRDefault="00256F57" w14:paraId="270F9EA1" w14:textId="613592CC">
      <w:pPr>
        <w:spacing w:line="480" w:lineRule="auto"/>
        <w:ind w:firstLine="720"/>
      </w:pPr>
      <w:r>
        <w:t xml:space="preserve">In </w:t>
      </w:r>
      <w:r w:rsidRPr="0037442C" w:rsidR="0037442C">
        <w:t xml:space="preserve">Order No. 676-H </w:t>
      </w:r>
      <w:r w:rsidR="0037442C">
        <w:t>(</w:t>
      </w:r>
      <w:r w:rsidR="00D63FC9">
        <w:t xml:space="preserve">in </w:t>
      </w:r>
      <w:r w:rsidR="003040E2">
        <w:t xml:space="preserve">Docket No. </w:t>
      </w:r>
      <w:r>
        <w:t>RM05-5-022</w:t>
      </w:r>
      <w:r w:rsidR="0037442C">
        <w:t>)</w:t>
      </w:r>
      <w:r>
        <w:t>, the Commission revised its regulations to incorporate by reference, with certain enumerated exceptions, Version 003 of the Standards for Business Practices and Communication Protocols for Public Utilities adopted by the WEQ of NAESB as mandatory enforceable requirements.  These standards updated NAESB’s WEQ Version 002 and Version 002.1 Standards to reflect policy determinations made by the Commission in the Order Nos. 890</w:t>
      </w:r>
      <w:r w:rsidR="002258C8">
        <w:t xml:space="preserve">, </w:t>
      </w:r>
      <w:r w:rsidRPr="002258C8" w:rsidR="002258C8">
        <w:t>890-A, 890-B and 890-C</w:t>
      </w:r>
      <w:r>
        <w:t>.</w:t>
      </w:r>
      <w:r w:rsidR="00807049">
        <w:rPr>
          <w:rStyle w:val="FootnoteReference"/>
        </w:rPr>
        <w:footnoteReference w:id="5"/>
      </w:r>
      <w:r>
        <w:t xml:space="preserve">  In addition, the Commission listed informationally, as guidance, NAESB’s Smart Grid Standards (WEQ-016 through WEQ-020) in Part 2 of the Commission’s </w:t>
      </w:r>
      <w:r>
        <w:lastRenderedPageBreak/>
        <w:t>regulations.</w:t>
      </w:r>
      <w:r w:rsidR="002924B5">
        <w:t xml:space="preserve"> </w:t>
      </w:r>
      <w:r w:rsidR="00FC7FE1">
        <w:t xml:space="preserve"> </w:t>
      </w:r>
      <w:r w:rsidR="002924B5">
        <w:t xml:space="preserve">The </w:t>
      </w:r>
      <w:r w:rsidR="002258C8">
        <w:t>C</w:t>
      </w:r>
      <w:r w:rsidR="002924B5">
        <w:t xml:space="preserve">ommission </w:t>
      </w:r>
      <w:r w:rsidRPr="002924B5" w:rsidR="002924B5">
        <w:t>requir</w:t>
      </w:r>
      <w:r w:rsidR="002924B5">
        <w:t>ed</w:t>
      </w:r>
      <w:r w:rsidRPr="002924B5" w:rsidR="002924B5">
        <w:t xml:space="preserve"> public utilities and those entities with reciprocity tariffs to modify their open access transmission tariffs (OATTs) to include the WEQ standards that </w:t>
      </w:r>
      <w:r w:rsidR="00140714">
        <w:t>were incorporated</w:t>
      </w:r>
      <w:r w:rsidRPr="002924B5" w:rsidR="002924B5">
        <w:t xml:space="preserve"> by making a compliance</w:t>
      </w:r>
      <w:r w:rsidR="002924B5">
        <w:t xml:space="preserve"> filing.</w:t>
      </w:r>
    </w:p>
    <w:p w:rsidR="00577BFB" w:rsidP="00D97079" w:rsidRDefault="00577BFB" w14:paraId="6DD2ED48" w14:textId="5DD2CB64">
      <w:pPr>
        <w:spacing w:line="480" w:lineRule="auto"/>
        <w:ind w:firstLine="720"/>
      </w:pPr>
      <w:r>
        <w:rPr>
          <w:iCs/>
        </w:rPr>
        <w:t xml:space="preserve">In </w:t>
      </w:r>
      <w:r w:rsidRPr="0037442C" w:rsidR="0037442C">
        <w:rPr>
          <w:iCs/>
        </w:rPr>
        <w:t>Order No. 819</w:t>
      </w:r>
      <w:r w:rsidR="0037442C">
        <w:rPr>
          <w:iCs/>
        </w:rPr>
        <w:t xml:space="preserve"> (</w:t>
      </w:r>
      <w:r w:rsidR="00D63FC9">
        <w:rPr>
          <w:iCs/>
        </w:rPr>
        <w:t xml:space="preserve">in </w:t>
      </w:r>
      <w:r w:rsidR="003040E2">
        <w:rPr>
          <w:iCs/>
        </w:rPr>
        <w:t xml:space="preserve">Docket No. </w:t>
      </w:r>
      <w:r>
        <w:rPr>
          <w:iCs/>
        </w:rPr>
        <w:t>RM15-2</w:t>
      </w:r>
      <w:r w:rsidR="0037442C">
        <w:rPr>
          <w:iCs/>
        </w:rPr>
        <w:t>)</w:t>
      </w:r>
      <w:r>
        <w:rPr>
          <w:iCs/>
        </w:rPr>
        <w:t xml:space="preserve">, </w:t>
      </w:r>
      <w:r w:rsidR="004868C0">
        <w:rPr>
          <w:iCs/>
        </w:rPr>
        <w:t>t</w:t>
      </w:r>
      <w:r>
        <w:t xml:space="preserve">he Commission revised its regulations to foster competition in the sale of primary frequency response service.  Specifically, the Commission amended its regulations governing market-based rates for public utilities pursuant to the </w:t>
      </w:r>
      <w:r w:rsidR="00511D40">
        <w:t xml:space="preserve">FPA </w:t>
      </w:r>
      <w:r>
        <w:t xml:space="preserve">to permit the sale of primary frequency response service at market-based rates by sellers with market-based rate authority for sales of energy and capacity.  </w:t>
      </w:r>
      <w:r w:rsidRPr="00D35483" w:rsidR="00D35483">
        <w:t>The Commission f</w:t>
      </w:r>
      <w:r w:rsidR="00D35483">
        <w:t>ound</w:t>
      </w:r>
      <w:r w:rsidRPr="00D35483" w:rsidR="00D35483">
        <w:t xml:space="preserve"> that a seller that already has market-based rate authority as of the effective date of th</w:t>
      </w:r>
      <w:r w:rsidR="00D35483">
        <w:t>e</w:t>
      </w:r>
      <w:r w:rsidRPr="00D35483" w:rsidR="00D35483">
        <w:t xml:space="preserve"> Final Rule is authorized as of that date to make sales of primary frequency response service at market-based rates.</w:t>
      </w:r>
      <w:r w:rsidR="00D35483">
        <w:rPr>
          <w:rStyle w:val="FootnoteReference"/>
        </w:rPr>
        <w:footnoteReference w:id="6"/>
      </w:r>
      <w:r w:rsidRPr="00D35483" w:rsidR="00D35483">
        <w:t xml:space="preserve">  Such a seller w</w:t>
      </w:r>
      <w:r w:rsidR="006E545F">
        <w:t>as</w:t>
      </w:r>
      <w:r w:rsidRPr="00D35483" w:rsidR="00D35483">
        <w:t xml:space="preserve"> required to revise the third-party provider ancillary services provision of its market-based rate tariff to reflect that it wishe</w:t>
      </w:r>
      <w:r w:rsidR="006E545F">
        <w:t>d</w:t>
      </w:r>
      <w:r w:rsidRPr="00D35483" w:rsidR="00D35483">
        <w:t xml:space="preserve"> to make sales of primary frequency response service at market-based rates.</w:t>
      </w:r>
      <w:r w:rsidR="00D35483">
        <w:t xml:space="preserve"> </w:t>
      </w:r>
      <w:r w:rsidR="00660925">
        <w:t xml:space="preserve"> </w:t>
      </w:r>
      <w:r w:rsidR="00D35483">
        <w:t>In</w:t>
      </w:r>
      <w:r w:rsidRPr="00D35483" w:rsidR="00D35483">
        <w:t xml:space="preserve"> order to reduce their administrative burden, the Commission permi</w:t>
      </w:r>
      <w:r w:rsidR="00660925">
        <w:t>t</w:t>
      </w:r>
      <w:r w:rsidRPr="00D35483" w:rsidR="00D35483">
        <w:t>t</w:t>
      </w:r>
      <w:r w:rsidR="006E545F">
        <w:t>ed</w:t>
      </w:r>
      <w:r w:rsidRPr="00D35483" w:rsidR="00D35483">
        <w:t xml:space="preserve"> such sellers to wait to file this tariff revision until the next time they ma</w:t>
      </w:r>
      <w:r w:rsidR="006E545F">
        <w:t>de</w:t>
      </w:r>
      <w:r w:rsidRPr="00D35483" w:rsidR="00D35483">
        <w:t xml:space="preserve"> a market-based rate filing with the Commission, such as a notice of change in status filing or a triennial update.</w:t>
      </w:r>
    </w:p>
    <w:p w:rsidR="00577BFB" w:rsidP="005B063D" w:rsidRDefault="00802161" w14:paraId="64F774F4" w14:textId="584B4226">
      <w:pPr>
        <w:spacing w:line="480" w:lineRule="auto"/>
        <w:ind w:firstLine="720"/>
        <w:rPr>
          <w:szCs w:val="26"/>
        </w:rPr>
      </w:pPr>
      <w:r>
        <w:rPr>
          <w:iCs/>
        </w:rPr>
        <w:t xml:space="preserve">In </w:t>
      </w:r>
      <w:r w:rsidRPr="008E039C" w:rsidR="008E039C">
        <w:rPr>
          <w:iCs/>
        </w:rPr>
        <w:t>Order No. 842</w:t>
      </w:r>
      <w:r w:rsidR="008E039C">
        <w:rPr>
          <w:iCs/>
        </w:rPr>
        <w:t xml:space="preserve"> (</w:t>
      </w:r>
      <w:r w:rsidR="00D63FC9">
        <w:rPr>
          <w:iCs/>
        </w:rPr>
        <w:t xml:space="preserve">in </w:t>
      </w:r>
      <w:r w:rsidR="00511D40">
        <w:rPr>
          <w:iCs/>
        </w:rPr>
        <w:t xml:space="preserve">Docket No. </w:t>
      </w:r>
      <w:r>
        <w:rPr>
          <w:iCs/>
        </w:rPr>
        <w:t>RM16-6-000</w:t>
      </w:r>
      <w:r w:rsidR="008E039C">
        <w:rPr>
          <w:iCs/>
        </w:rPr>
        <w:t>)</w:t>
      </w:r>
      <w:r>
        <w:rPr>
          <w:iCs/>
        </w:rPr>
        <w:t xml:space="preserve">, </w:t>
      </w:r>
      <w:r w:rsidR="004868C0">
        <w:rPr>
          <w:iCs/>
        </w:rPr>
        <w:t>t</w:t>
      </w:r>
      <w:r>
        <w:rPr>
          <w:szCs w:val="26"/>
        </w:rPr>
        <w:t xml:space="preserve">he Commission revised its regulations to require newly interconnecting large and small generating facilities, both synchronous and non-synchronous, to install, maintain, and operate equipment capable of </w:t>
      </w:r>
      <w:r>
        <w:rPr>
          <w:szCs w:val="26"/>
        </w:rPr>
        <w:lastRenderedPageBreak/>
        <w:t xml:space="preserve">providing primary frequency response as a condition of interconnection.  To implement these requirements, the Commission modified the </w:t>
      </w:r>
      <w:r>
        <w:rPr>
          <w:i/>
          <w:szCs w:val="26"/>
        </w:rPr>
        <w:t xml:space="preserve">pro forma </w:t>
      </w:r>
      <w:r>
        <w:rPr>
          <w:szCs w:val="26"/>
        </w:rPr>
        <w:t xml:space="preserve">Large Generator Interconnection Agreement (LGIA) and the </w:t>
      </w:r>
      <w:r>
        <w:rPr>
          <w:i/>
          <w:szCs w:val="26"/>
        </w:rPr>
        <w:t>pro forma</w:t>
      </w:r>
      <w:r>
        <w:rPr>
          <w:szCs w:val="26"/>
        </w:rPr>
        <w:t xml:space="preserve"> Small Generator Interconnection Agreement (SGIA).  These changes were designed to address the potential reliability impact of the evolving generation resource mix, and to ensure that the relevant provisions of the </w:t>
      </w:r>
      <w:r>
        <w:rPr>
          <w:i/>
          <w:szCs w:val="26"/>
        </w:rPr>
        <w:t xml:space="preserve">pro forma </w:t>
      </w:r>
      <w:r>
        <w:rPr>
          <w:szCs w:val="26"/>
        </w:rPr>
        <w:t xml:space="preserve">LGIA and </w:t>
      </w:r>
      <w:r>
        <w:rPr>
          <w:i/>
          <w:szCs w:val="26"/>
        </w:rPr>
        <w:t xml:space="preserve">pro forma </w:t>
      </w:r>
      <w:r>
        <w:rPr>
          <w:szCs w:val="26"/>
        </w:rPr>
        <w:t>SGIA are just, reasonable, and not unduly discriminatory or preferential.</w:t>
      </w:r>
      <w:r w:rsidR="00660925">
        <w:rPr>
          <w:szCs w:val="26"/>
        </w:rPr>
        <w:t xml:space="preserve"> </w:t>
      </w:r>
      <w:r w:rsidR="00233D7F">
        <w:rPr>
          <w:szCs w:val="26"/>
        </w:rPr>
        <w:t xml:space="preserve"> </w:t>
      </w:r>
      <w:r w:rsidRPr="006E545F" w:rsidR="006E545F">
        <w:rPr>
          <w:szCs w:val="26"/>
        </w:rPr>
        <w:t xml:space="preserve">Section 35.28(f)(1) of the Commission’s regulations requires every public utility with a non-discriminatory OATT on file to also have a </w:t>
      </w:r>
      <w:r w:rsidRPr="00D97079" w:rsidR="006E545F">
        <w:rPr>
          <w:i/>
          <w:iCs/>
          <w:szCs w:val="26"/>
        </w:rPr>
        <w:t>pro forma</w:t>
      </w:r>
      <w:r w:rsidRPr="006E545F" w:rsidR="006E545F">
        <w:rPr>
          <w:szCs w:val="26"/>
        </w:rPr>
        <w:t xml:space="preserve"> LGIA and </w:t>
      </w:r>
      <w:r w:rsidRPr="00D97079" w:rsidR="006E545F">
        <w:rPr>
          <w:i/>
          <w:iCs/>
          <w:szCs w:val="26"/>
        </w:rPr>
        <w:t>pro forma</w:t>
      </w:r>
      <w:r w:rsidRPr="006E545F" w:rsidR="006E545F">
        <w:rPr>
          <w:szCs w:val="26"/>
        </w:rPr>
        <w:t xml:space="preserve"> SGIA on file with the Commission</w:t>
      </w:r>
      <w:r w:rsidR="006E545F">
        <w:rPr>
          <w:szCs w:val="26"/>
        </w:rPr>
        <w:t>.  Each p</w:t>
      </w:r>
      <w:r w:rsidRPr="006E545F" w:rsidR="006E545F">
        <w:rPr>
          <w:szCs w:val="26"/>
        </w:rPr>
        <w:t xml:space="preserve">ublic utility transmission provider that has a pro forma LGIA and/or </w:t>
      </w:r>
      <w:r w:rsidRPr="00D97079" w:rsidR="006E545F">
        <w:rPr>
          <w:i/>
          <w:iCs/>
          <w:szCs w:val="26"/>
        </w:rPr>
        <w:t>pro forma</w:t>
      </w:r>
      <w:r w:rsidRPr="006E545F" w:rsidR="006E545F">
        <w:rPr>
          <w:szCs w:val="26"/>
        </w:rPr>
        <w:t xml:space="preserve"> SGIA within its OATT </w:t>
      </w:r>
      <w:r w:rsidR="006E545F">
        <w:rPr>
          <w:szCs w:val="26"/>
        </w:rPr>
        <w:t xml:space="preserve">was required to </w:t>
      </w:r>
      <w:r w:rsidRPr="006E545F" w:rsidR="006E545F">
        <w:rPr>
          <w:szCs w:val="26"/>
        </w:rPr>
        <w:t xml:space="preserve">submit a compliance filing </w:t>
      </w:r>
      <w:r w:rsidR="006E545F">
        <w:rPr>
          <w:szCs w:val="26"/>
        </w:rPr>
        <w:t>that</w:t>
      </w:r>
      <w:r w:rsidRPr="006E545F" w:rsidR="006E545F">
        <w:rPr>
          <w:szCs w:val="26"/>
        </w:rPr>
        <w:t xml:space="preserve"> demonstrate</w:t>
      </w:r>
      <w:r w:rsidR="00660925">
        <w:rPr>
          <w:szCs w:val="26"/>
        </w:rPr>
        <w:t>s</w:t>
      </w:r>
      <w:r w:rsidRPr="006E545F" w:rsidR="006E545F">
        <w:rPr>
          <w:szCs w:val="26"/>
        </w:rPr>
        <w:t xml:space="preserve"> that it meets the requirements set forth in th</w:t>
      </w:r>
      <w:r w:rsidR="006E545F">
        <w:rPr>
          <w:szCs w:val="26"/>
        </w:rPr>
        <w:t>e</w:t>
      </w:r>
      <w:r w:rsidRPr="006E545F" w:rsidR="006E545F">
        <w:rPr>
          <w:szCs w:val="26"/>
        </w:rPr>
        <w:t xml:space="preserve"> Final Rule</w:t>
      </w:r>
      <w:r w:rsidR="006E545F">
        <w:rPr>
          <w:szCs w:val="26"/>
        </w:rPr>
        <w:t xml:space="preserve"> within </w:t>
      </w:r>
      <w:r w:rsidRPr="006E545F" w:rsidR="006E545F">
        <w:rPr>
          <w:szCs w:val="26"/>
        </w:rPr>
        <w:t>Docket No. RM16-6-000</w:t>
      </w:r>
      <w:r w:rsidR="006E545F">
        <w:rPr>
          <w:szCs w:val="26"/>
        </w:rPr>
        <w:t>.</w:t>
      </w:r>
    </w:p>
    <w:p w:rsidR="004E0A8B" w:rsidP="005B063D" w:rsidRDefault="004E0A8B" w14:paraId="14CB5EAB" w14:textId="1BDACC2C">
      <w:pPr>
        <w:spacing w:line="480" w:lineRule="auto"/>
        <w:ind w:firstLine="720"/>
      </w:pPr>
      <w:r>
        <w:rPr>
          <w:szCs w:val="26"/>
        </w:rPr>
        <w:t xml:space="preserve">In </w:t>
      </w:r>
      <w:r w:rsidR="008E039C">
        <w:rPr>
          <w:szCs w:val="26"/>
        </w:rPr>
        <w:t>Order 845 (</w:t>
      </w:r>
      <w:r w:rsidR="00D63FC9">
        <w:rPr>
          <w:szCs w:val="26"/>
        </w:rPr>
        <w:t xml:space="preserve">in </w:t>
      </w:r>
      <w:r w:rsidR="003040E2">
        <w:rPr>
          <w:szCs w:val="26"/>
        </w:rPr>
        <w:t xml:space="preserve">Docket No. </w:t>
      </w:r>
      <w:r>
        <w:rPr>
          <w:szCs w:val="26"/>
        </w:rPr>
        <w:t>RM17-8</w:t>
      </w:r>
      <w:r w:rsidR="008E039C">
        <w:rPr>
          <w:szCs w:val="26"/>
        </w:rPr>
        <w:t>)</w:t>
      </w:r>
      <w:r>
        <w:rPr>
          <w:szCs w:val="26"/>
        </w:rPr>
        <w:t xml:space="preserve">, </w:t>
      </w:r>
      <w:r>
        <w:t xml:space="preserve">the Commission amended the </w:t>
      </w:r>
      <w:r>
        <w:rPr>
          <w:i/>
        </w:rPr>
        <w:t xml:space="preserve">pro forma </w:t>
      </w:r>
      <w:r>
        <w:t xml:space="preserve">Large Generator Interconnection Procedures and the </w:t>
      </w:r>
      <w:r>
        <w:rPr>
          <w:i/>
        </w:rPr>
        <w:t xml:space="preserve">pro forma </w:t>
      </w:r>
      <w:r>
        <w:t xml:space="preserve">LGIA to </w:t>
      </w:r>
      <w:r>
        <w:rPr>
          <w:rFonts w:eastAsia="Arial Unicode MS"/>
        </w:rPr>
        <w:t>improve certainty, promote more informed interconnection, and enhance interconnection processes.</w:t>
      </w:r>
      <w:r>
        <w:t xml:space="preserve">  The reforms were intended to ensure that the generator interconnection process is just and reasonable and not unduly discriminatory or preferential.</w:t>
      </w:r>
      <w:r w:rsidRPr="006E545F" w:rsidR="006E545F">
        <w:t xml:space="preserve"> </w:t>
      </w:r>
      <w:r w:rsidR="00660925">
        <w:t xml:space="preserve"> </w:t>
      </w:r>
      <w:r w:rsidR="006E545F">
        <w:t>T</w:t>
      </w:r>
      <w:r w:rsidRPr="006E545F" w:rsidR="006E545F">
        <w:t>he Commission requi</w:t>
      </w:r>
      <w:r w:rsidR="006E545F">
        <w:t>red</w:t>
      </w:r>
      <w:r w:rsidRPr="006E545F" w:rsidR="006E545F">
        <w:t xml:space="preserve"> all public utility transmission providers to submit compliance filings to adopt the requirements of th</w:t>
      </w:r>
      <w:r w:rsidR="006E545F">
        <w:t>e</w:t>
      </w:r>
      <w:r w:rsidRPr="006E545F" w:rsidR="006E545F">
        <w:t xml:space="preserve"> Final Rule </w:t>
      </w:r>
      <w:r w:rsidR="006E545F">
        <w:t xml:space="preserve">(in </w:t>
      </w:r>
      <w:r w:rsidR="006E545F">
        <w:rPr>
          <w:szCs w:val="26"/>
        </w:rPr>
        <w:t xml:space="preserve">Docket No. RM17-8), </w:t>
      </w:r>
      <w:r w:rsidRPr="006E545F" w:rsidR="006E545F">
        <w:t>as revisions to the LGIP and LGIA in their OATTs</w:t>
      </w:r>
      <w:r w:rsidR="006E545F">
        <w:t>.</w:t>
      </w:r>
    </w:p>
    <w:p w:rsidR="00802161" w:rsidP="005B063D" w:rsidRDefault="00175926" w14:paraId="517D78B4" w14:textId="1768D103">
      <w:pPr>
        <w:spacing w:line="480" w:lineRule="auto"/>
        <w:ind w:firstLine="720"/>
        <w:rPr>
          <w:iCs/>
        </w:rPr>
      </w:pPr>
      <w:r>
        <w:t xml:space="preserve">In </w:t>
      </w:r>
      <w:r w:rsidR="00E75FD4">
        <w:t xml:space="preserve">Order 864 (in </w:t>
      </w:r>
      <w:r w:rsidR="003040E2">
        <w:t xml:space="preserve">Docket No. </w:t>
      </w:r>
      <w:r>
        <w:t>RM19-5</w:t>
      </w:r>
      <w:r w:rsidR="00E75FD4">
        <w:t>)</w:t>
      </w:r>
      <w:r>
        <w:t>, the Commission required public utility transmission providers with transmission formula rates under an O</w:t>
      </w:r>
      <w:r w:rsidR="004868C0">
        <w:t>ATT</w:t>
      </w:r>
      <w:r>
        <w:t xml:space="preserve">, a transmission </w:t>
      </w:r>
      <w:r>
        <w:lastRenderedPageBreak/>
        <w:t xml:space="preserve">owner tariff, or a rate schedule to revise those transmission formula rates to account for changes caused by the Tax Cuts and Jobs Act of 2017.  The Commission required public utilities with transmission formula rates to include a mechanism in those transmission formula rates to deduct any excess accumulated deferred income taxes (ADIT) from or add any deficient ADIT to their rate bases.  Public utilities with transmission formula rates were also required to incorporate a mechanism to decrease or increase their income tax allowances by any amortized excess or deficient ADIT, respectively.  Finally, the Commission required public utilities with transmission </w:t>
      </w:r>
      <w:r w:rsidR="00742BDA">
        <w:t xml:space="preserve">to update their </w:t>
      </w:r>
      <w:r>
        <w:t>formula rates</w:t>
      </w:r>
      <w:r w:rsidR="00742BDA">
        <w:t xml:space="preserve"> through a compliance filing</w:t>
      </w:r>
      <w:r>
        <w:t xml:space="preserve"> to incorporate a new permanent worksheet into their transmission formula rates that will annually track information related to excess or deficient ADIT. </w:t>
      </w:r>
    </w:p>
    <w:p w:rsidR="00083DF6" w:rsidP="00383D3D" w:rsidRDefault="00383D3D" w14:paraId="01FC1EBD" w14:textId="118C2A36">
      <w:pPr>
        <w:spacing w:line="480" w:lineRule="auto"/>
      </w:pPr>
      <w:r w:rsidRPr="00383D3D">
        <w:rPr>
          <w:i/>
          <w:iCs/>
        </w:rPr>
        <w:t>Estimate of Annual Burden</w:t>
      </w:r>
      <w:r w:rsidRPr="00383D3D">
        <w:rPr>
          <w:b/>
          <w:i/>
          <w:iCs/>
          <w:vertAlign w:val="superscript"/>
        </w:rPr>
        <w:footnoteReference w:id="7"/>
      </w:r>
      <w:r w:rsidRPr="00383D3D">
        <w:rPr>
          <w:i/>
          <w:iCs/>
        </w:rPr>
        <w:t xml:space="preserve">: </w:t>
      </w:r>
      <w:r w:rsidR="004960C0">
        <w:rPr>
          <w:iCs/>
        </w:rPr>
        <w:t>T</w:t>
      </w:r>
      <w:r w:rsidRPr="00383D3D">
        <w:rPr>
          <w:iCs/>
        </w:rPr>
        <w:t xml:space="preserve">he Commission estimates the </w:t>
      </w:r>
      <w:r w:rsidR="00DB309E">
        <w:rPr>
          <w:iCs/>
        </w:rPr>
        <w:t xml:space="preserve">average annual </w:t>
      </w:r>
      <w:r w:rsidRPr="00383D3D">
        <w:rPr>
          <w:iCs/>
        </w:rPr>
        <w:t>burden and cost</w:t>
      </w:r>
      <w:r w:rsidRPr="00383D3D">
        <w:rPr>
          <w:b/>
          <w:iCs/>
          <w:vertAlign w:val="superscript"/>
        </w:rPr>
        <w:footnoteReference w:id="8"/>
      </w:r>
      <w:r w:rsidRPr="00383D3D">
        <w:rPr>
          <w:iCs/>
        </w:rPr>
        <w:t xml:space="preserve"> for </w:t>
      </w:r>
      <w:r w:rsidR="00DB309E">
        <w:rPr>
          <w:iCs/>
        </w:rPr>
        <w:t xml:space="preserve">FERC-516 </w:t>
      </w:r>
      <w:r w:rsidRPr="00383D3D">
        <w:rPr>
          <w:iCs/>
        </w:rPr>
        <w:t>as follows</w:t>
      </w:r>
      <w:r w:rsidR="001A48E5">
        <w:rPr>
          <w:rStyle w:val="FootnoteReference"/>
          <w:iCs/>
        </w:rPr>
        <w:footnoteReference w:id="9"/>
      </w:r>
      <w:r w:rsidRPr="00383D3D">
        <w:rPr>
          <w:iCs/>
        </w:rPr>
        <w:t>.</w:t>
      </w:r>
      <w:r w:rsidR="004960C0">
        <w:rPr>
          <w:iCs/>
        </w:rPr>
        <w:t xml:space="preserve">  </w:t>
      </w:r>
      <w:r w:rsidR="00D44155">
        <w:t>The</w:t>
      </w:r>
      <w:r w:rsidR="00083DF6">
        <w:t xml:space="preserve"> ‘</w:t>
      </w:r>
      <w:r w:rsidR="00807049">
        <w:t xml:space="preserve">annual  </w:t>
      </w:r>
      <w:r w:rsidR="00083DF6">
        <w:t>no. of responses</w:t>
      </w:r>
      <w:r w:rsidR="00807049">
        <w:t xml:space="preserve"> per respondent</w:t>
      </w:r>
      <w:r w:rsidR="00083DF6">
        <w:t>’ have been rounded.</w:t>
      </w:r>
      <w:r w:rsidRPr="00602927" w:rsidR="00602927">
        <w:t xml:space="preserve"> The estimated </w:t>
      </w:r>
      <w:r w:rsidR="00140714">
        <w:t xml:space="preserve">total annual </w:t>
      </w:r>
      <w:r w:rsidRPr="00602927" w:rsidR="00602927">
        <w:t>burden for this information collection has decreased</w:t>
      </w:r>
      <w:r w:rsidR="00140714">
        <w:t xml:space="preserve"> </w:t>
      </w:r>
      <w:r w:rsidR="00140714">
        <w:lastRenderedPageBreak/>
        <w:t>due to the completion of several one-time filings</w:t>
      </w:r>
      <w:r w:rsidR="00660925">
        <w:t>.  The one-time filings required in</w:t>
      </w:r>
      <w:r w:rsidRPr="00602927" w:rsidR="00602927">
        <w:t xml:space="preserve"> Order 845 (in Docket No. RM17-8), Order 755 (in Docket No. RM11-7), </w:t>
      </w:r>
      <w:r w:rsidR="00660925">
        <w:t xml:space="preserve">and </w:t>
      </w:r>
      <w:r w:rsidRPr="00602927" w:rsidR="00602927">
        <w:t>Order 676-G</w:t>
      </w:r>
      <w:r w:rsidR="00602927">
        <w:t xml:space="preserve"> </w:t>
      </w:r>
      <w:r w:rsidRPr="00602927" w:rsidR="00602927">
        <w:t>(in Docket No. RM05-05-020)</w:t>
      </w:r>
      <w:r w:rsidR="00602927">
        <w:t xml:space="preserve"> </w:t>
      </w:r>
      <w:r w:rsidR="00140714">
        <w:t>are complete</w:t>
      </w:r>
      <w:r w:rsidRPr="00602927" w:rsidR="00602927">
        <w:t xml:space="preserve">.  </w:t>
      </w:r>
      <w:r w:rsidRPr="00D97079" w:rsidR="00602927">
        <w:t xml:space="preserve">Because </w:t>
      </w:r>
      <w:r w:rsidRPr="00D97079" w:rsidR="00447FE6">
        <w:t>Order</w:t>
      </w:r>
      <w:r w:rsidRPr="00D97079" w:rsidR="00D97079">
        <w:t xml:space="preserve"> Nos. 845, 755, 676-G</w:t>
      </w:r>
      <w:r w:rsidRPr="00D97079" w:rsidR="00447FE6">
        <w:t xml:space="preserve">  </w:t>
      </w:r>
      <w:r w:rsidRPr="00D97079" w:rsidR="00602927">
        <w:t>remain</w:t>
      </w:r>
      <w:r w:rsidRPr="00602927" w:rsidR="00602927">
        <w:t xml:space="preserve"> a one-time filing requirement for transmission organizations, the burden associated with this data collections will result only if a new transmission organization enters FERC jurisdiction.  One response for one new transmission organization is being used as a placeholder for a possible application from such a new transmission organization with an organized electricity market.</w:t>
      </w:r>
      <w:bookmarkStart w:name="_Ref69992499" w:id="5"/>
      <w:r w:rsidR="00602927">
        <w:rPr>
          <w:rStyle w:val="FootnoteReference"/>
        </w:rPr>
        <w:footnoteReference w:id="10"/>
      </w:r>
      <w:bookmarkEnd w:id="5"/>
    </w:p>
    <w:tbl>
      <w:tblPr>
        <w:tblStyle w:val="TableGrid1"/>
        <w:tblW w:w="0" w:type="auto"/>
        <w:tblInd w:w="0" w:type="dxa"/>
        <w:tblLayout w:type="fixed"/>
        <w:tblLook w:val="04A0" w:firstRow="1" w:lastRow="0" w:firstColumn="1" w:lastColumn="0" w:noHBand="0" w:noVBand="1"/>
      </w:tblPr>
      <w:tblGrid>
        <w:gridCol w:w="1615"/>
        <w:gridCol w:w="990"/>
        <w:gridCol w:w="1620"/>
        <w:gridCol w:w="1350"/>
        <w:gridCol w:w="1260"/>
        <w:gridCol w:w="1440"/>
        <w:gridCol w:w="1075"/>
      </w:tblGrid>
      <w:tr w:rsidRPr="00383D3D" w:rsidR="001F2D6E" w:rsidTr="001F2D6E" w14:paraId="6A3DB5EA" w14:textId="77777777">
        <w:trPr>
          <w:trHeight w:val="422"/>
        </w:trPr>
        <w:tc>
          <w:tcPr>
            <w:tcW w:w="9350" w:type="dxa"/>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3D3D" w:rsidR="001F2D6E" w:rsidP="00383D3D" w:rsidRDefault="001F2D6E" w14:paraId="6BBA6EE8" w14:textId="751068AA">
            <w:pPr>
              <w:spacing w:line="480" w:lineRule="auto"/>
              <w:jc w:val="center"/>
              <w:rPr>
                <w:i/>
              </w:rPr>
            </w:pPr>
            <w:r w:rsidRPr="00383D3D">
              <w:rPr>
                <w:b/>
              </w:rPr>
              <w:t>FERC-5</w:t>
            </w:r>
            <w:r>
              <w:rPr>
                <w:b/>
              </w:rPr>
              <w:t xml:space="preserve">16, </w:t>
            </w:r>
            <w:r w:rsidRPr="00383D3D">
              <w:rPr>
                <w:b/>
                <w:bCs/>
              </w:rPr>
              <w:t>Electric Rate Schedules and Tariff Filings</w:t>
            </w:r>
          </w:p>
        </w:tc>
      </w:tr>
      <w:tr w:rsidRPr="00383D3D" w:rsidR="001F2D6E" w:rsidTr="004604FB" w14:paraId="7D760B11" w14:textId="77777777">
        <w:tc>
          <w:tcPr>
            <w:tcW w:w="16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C7A50" w:rsidP="001F2D6E" w:rsidRDefault="000C7A50" w14:paraId="3B9D5CB7" w14:textId="77777777">
            <w:pPr>
              <w:rPr>
                <w:b/>
              </w:rPr>
            </w:pPr>
          </w:p>
          <w:p w:rsidR="000C7A50" w:rsidP="001F2D6E" w:rsidRDefault="000C7A50" w14:paraId="0F814907" w14:textId="77777777">
            <w:pPr>
              <w:rPr>
                <w:b/>
              </w:rPr>
            </w:pPr>
          </w:p>
          <w:p w:rsidR="000C7A50" w:rsidP="001F2D6E" w:rsidRDefault="000C7A50" w14:paraId="12FE9F72" w14:textId="77777777">
            <w:pPr>
              <w:rPr>
                <w:b/>
              </w:rPr>
            </w:pPr>
          </w:p>
          <w:p w:rsidR="000C7A50" w:rsidP="001F2D6E" w:rsidRDefault="000C7A50" w14:paraId="664C4384" w14:textId="77777777">
            <w:pPr>
              <w:rPr>
                <w:b/>
              </w:rPr>
            </w:pPr>
          </w:p>
          <w:p w:rsidRPr="00383D3D" w:rsidR="001F2D6E" w:rsidP="001F2D6E" w:rsidRDefault="004515C4" w14:paraId="42C3E704" w14:textId="698B325E">
            <w:pPr>
              <w:rPr>
                <w:b/>
              </w:rPr>
            </w:pPr>
            <w:r>
              <w:rPr>
                <w:b/>
              </w:rPr>
              <w:t>Requirements</w:t>
            </w:r>
          </w:p>
        </w:tc>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515C4" w:rsidRDefault="001F2D6E" w14:paraId="5C78B7AF" w14:textId="40C438CD">
            <w:pPr>
              <w:rPr>
                <w:b/>
              </w:rPr>
            </w:pPr>
            <w:r w:rsidRPr="00383D3D">
              <w:rPr>
                <w:b/>
              </w:rPr>
              <w:t>No. of Respondents</w:t>
            </w:r>
          </w:p>
          <w:p w:rsidRPr="00383D3D" w:rsidR="001F2D6E" w:rsidP="004F2E49" w:rsidRDefault="001F2D6E" w14:paraId="1E2BA113" w14:textId="77777777">
            <w:pPr>
              <w:rPr>
                <w:i/>
              </w:rPr>
            </w:pPr>
            <w:r w:rsidRPr="00383D3D">
              <w:rPr>
                <w:b/>
              </w:rPr>
              <w:t>(1)</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F2E49" w:rsidRDefault="001F2D6E" w14:paraId="0ACF09FB" w14:textId="77777777">
            <w:pPr>
              <w:rPr>
                <w:b/>
              </w:rPr>
            </w:pPr>
            <w:r w:rsidRPr="00383D3D">
              <w:rPr>
                <w:b/>
              </w:rPr>
              <w:t>Annual No. of Responses Per Respondent</w:t>
            </w:r>
          </w:p>
          <w:p w:rsidRPr="00383D3D" w:rsidR="001F2D6E" w:rsidP="004F2E49" w:rsidRDefault="001F2D6E" w14:paraId="43BE9EE0" w14:textId="77777777">
            <w:pPr>
              <w:rPr>
                <w:i/>
              </w:rPr>
            </w:pPr>
            <w:r w:rsidRPr="00383D3D">
              <w:rPr>
                <w:b/>
              </w:rPr>
              <w:t>(2)</w:t>
            </w:r>
          </w:p>
        </w:tc>
        <w:tc>
          <w:tcPr>
            <w:tcW w:w="135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F2E49" w:rsidRDefault="001F2D6E" w14:paraId="02E1D62A" w14:textId="77777777">
            <w:pPr>
              <w:rPr>
                <w:b/>
              </w:rPr>
            </w:pPr>
            <w:r w:rsidRPr="00383D3D">
              <w:rPr>
                <w:b/>
              </w:rPr>
              <w:t>Total No. of Responses</w:t>
            </w:r>
          </w:p>
          <w:p w:rsidRPr="00383D3D" w:rsidR="001F2D6E" w:rsidP="004604FB" w:rsidRDefault="001F2D6E" w14:paraId="2CE1B41E" w14:textId="77777777">
            <w:pPr>
              <w:rPr>
                <w:i/>
              </w:rPr>
            </w:pPr>
            <w:r w:rsidRPr="00383D3D">
              <w:rPr>
                <w:b/>
              </w:rPr>
              <w:t>(1)x(2)=(3)</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604FB" w:rsidRDefault="001F2D6E" w14:paraId="69C7B8D7" w14:textId="77777777">
            <w:pPr>
              <w:rPr>
                <w:b/>
              </w:rPr>
            </w:pPr>
            <w:r w:rsidRPr="00383D3D">
              <w:rPr>
                <w:b/>
              </w:rPr>
              <w:t>Average Burden &amp; Cost per Response</w:t>
            </w:r>
          </w:p>
          <w:p w:rsidRPr="00383D3D" w:rsidR="001F2D6E" w:rsidP="004604FB" w:rsidRDefault="001F2D6E" w14:paraId="2E0B0E10" w14:textId="77777777">
            <w:pPr>
              <w:rPr>
                <w:i/>
              </w:rPr>
            </w:pPr>
            <w:r w:rsidRPr="00383D3D">
              <w:rPr>
                <w:b/>
              </w:rPr>
              <w:t>(4)</w:t>
            </w:r>
          </w:p>
        </w:tc>
        <w:tc>
          <w:tcPr>
            <w:tcW w:w="14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604FB" w:rsidRDefault="001F2D6E" w14:paraId="79273C3F" w14:textId="77777777">
            <w:pPr>
              <w:rPr>
                <w:b/>
              </w:rPr>
            </w:pPr>
            <w:r w:rsidRPr="00383D3D">
              <w:rPr>
                <w:b/>
              </w:rPr>
              <w:t>Total Annual Burden Hrs. &amp; Cost</w:t>
            </w:r>
          </w:p>
          <w:p w:rsidRPr="00383D3D" w:rsidR="001F2D6E" w:rsidP="004604FB" w:rsidRDefault="001F2D6E" w14:paraId="713F452E" w14:textId="77777777">
            <w:pPr>
              <w:rPr>
                <w:i/>
              </w:rPr>
            </w:pPr>
            <w:r w:rsidRPr="00383D3D">
              <w:rPr>
                <w:b/>
              </w:rPr>
              <w:t>(3)*(4)=(5)</w:t>
            </w:r>
          </w:p>
        </w:tc>
        <w:tc>
          <w:tcPr>
            <w:tcW w:w="10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383D3D" w:rsidR="001F2D6E" w:rsidP="004604FB" w:rsidRDefault="001F2D6E" w14:paraId="234DDF23" w14:textId="77777777">
            <w:pPr>
              <w:rPr>
                <w:i/>
              </w:rPr>
            </w:pPr>
            <w:r w:rsidRPr="00383D3D">
              <w:rPr>
                <w:b/>
              </w:rPr>
              <w:t>Cost per Respondent (5)/(1)=(5)</w:t>
            </w:r>
          </w:p>
        </w:tc>
      </w:tr>
      <w:tr w:rsidRPr="00383D3D" w:rsidR="00385B1B" w:rsidTr="00083DF6" w14:paraId="0E0A6EEB" w14:textId="77777777">
        <w:tc>
          <w:tcPr>
            <w:tcW w:w="1615" w:type="dxa"/>
            <w:tcBorders>
              <w:top w:val="single" w:color="auto" w:sz="4" w:space="0"/>
              <w:left w:val="single" w:color="auto" w:sz="4" w:space="0"/>
              <w:bottom w:val="single" w:color="auto" w:sz="4" w:space="0"/>
              <w:right w:val="single" w:color="auto" w:sz="4" w:space="0"/>
            </w:tcBorders>
          </w:tcPr>
          <w:p w:rsidRPr="00383D3D" w:rsidR="00385B1B" w:rsidP="00385B1B" w:rsidRDefault="00385B1B" w14:paraId="533A627F" w14:textId="1DDB3184">
            <w:pPr>
              <w:rPr>
                <w:b/>
              </w:rPr>
            </w:pPr>
            <w:r w:rsidRPr="001F2D6E">
              <w:rPr>
                <w:b/>
              </w:rPr>
              <w:t>Electric Rates Schedules and Tariff Filings</w:t>
            </w:r>
            <w:r w:rsidR="00336680">
              <w:rPr>
                <w:rStyle w:val="FootnoteReference"/>
                <w:b w:val="0"/>
              </w:rPr>
              <w:footnoteReference w:id="11"/>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D44155" w14:paraId="19431579" w14:textId="31117208">
            <w:pPr>
              <w:jc w:val="right"/>
              <w:rPr>
                <w:bCs/>
              </w:rPr>
            </w:pPr>
            <w:r w:rsidRPr="0011515C">
              <w:rPr>
                <w:bCs/>
              </w:rPr>
              <w:t>1,230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D44155" w14:paraId="3D9B7F20" w14:textId="46C7F99D">
            <w:pPr>
              <w:jc w:val="right"/>
              <w:rPr>
                <w:bCs/>
              </w:rPr>
            </w:pPr>
            <w:r w:rsidRPr="0011515C">
              <w:rPr>
                <w:bCs/>
              </w:rPr>
              <w:t>3.63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385B1B" w14:paraId="1168C2FF" w14:textId="00BFC4B8">
            <w:pPr>
              <w:jc w:val="right"/>
              <w:rPr>
                <w:bCs/>
              </w:rPr>
            </w:pPr>
            <w:r w:rsidRPr="0011515C">
              <w:rPr>
                <w:bCs/>
              </w:rPr>
              <w:t>4</w:t>
            </w:r>
            <w:r w:rsidRPr="0011515C" w:rsidR="00D44155">
              <w:rPr>
                <w:bCs/>
              </w:rPr>
              <w:t>,</w:t>
            </w:r>
            <w:r w:rsidRPr="0011515C">
              <w:rPr>
                <w:bCs/>
              </w:rPr>
              <w:t>469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D44155" w14:paraId="768AF0CA" w14:textId="7E03AAF4">
            <w:pPr>
              <w:jc w:val="right"/>
              <w:rPr>
                <w:bCs/>
              </w:rPr>
            </w:pPr>
            <w:r w:rsidRPr="0011515C">
              <w:rPr>
                <w:bCs/>
              </w:rPr>
              <w:t>103.27 hrs.;</w:t>
            </w:r>
          </w:p>
          <w:p w:rsidRPr="0011515C" w:rsidR="00D44155" w:rsidP="00083DF6" w:rsidRDefault="00D44155" w14:paraId="7B0D7857" w14:textId="47C7FB83">
            <w:pPr>
              <w:jc w:val="right"/>
              <w:rPr>
                <w:bCs/>
              </w:rPr>
            </w:pPr>
            <w:r w:rsidRPr="0011515C">
              <w:rPr>
                <w:bCs/>
              </w:rPr>
              <w:t>$8,571.41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385B1B" w14:paraId="14338C7C" w14:textId="0127ECF0">
            <w:pPr>
              <w:jc w:val="right"/>
              <w:rPr>
                <w:bCs/>
              </w:rPr>
            </w:pPr>
            <w:r w:rsidRPr="0011515C">
              <w:rPr>
                <w:bCs/>
              </w:rPr>
              <w:t>461</w:t>
            </w:r>
            <w:r w:rsidRPr="0011515C" w:rsidR="00D44155">
              <w:rPr>
                <w:bCs/>
              </w:rPr>
              <w:t>,</w:t>
            </w:r>
            <w:r w:rsidRPr="0011515C">
              <w:rPr>
                <w:bCs/>
              </w:rPr>
              <w:t>51</w:t>
            </w:r>
            <w:r w:rsidRPr="0011515C" w:rsidR="0042158C">
              <w:rPr>
                <w:bCs/>
              </w:rPr>
              <w:t>4</w:t>
            </w:r>
            <w:r w:rsidRPr="0011515C">
              <w:rPr>
                <w:bCs/>
              </w:rPr>
              <w:t xml:space="preserve"> hrs.;</w:t>
            </w:r>
          </w:p>
          <w:p w:rsidRPr="0011515C" w:rsidR="00385B1B" w:rsidP="00083DF6" w:rsidRDefault="00385B1B" w14:paraId="4ECE9B4A" w14:textId="10C64262">
            <w:pPr>
              <w:jc w:val="right"/>
              <w:rPr>
                <w:bCs/>
              </w:rPr>
            </w:pPr>
            <w:r w:rsidRPr="0011515C">
              <w:rPr>
                <w:bCs/>
              </w:rPr>
              <w:t>$3</w:t>
            </w:r>
            <w:r w:rsidRPr="0011515C" w:rsidR="00D44155">
              <w:rPr>
                <w:bCs/>
              </w:rPr>
              <w:t>8</w:t>
            </w:r>
            <w:r w:rsidRPr="0011515C" w:rsidR="000C7A50">
              <w:rPr>
                <w:bCs/>
              </w:rPr>
              <w:t>,</w:t>
            </w:r>
            <w:r w:rsidRPr="0011515C" w:rsidR="00D44155">
              <w:rPr>
                <w:bCs/>
              </w:rPr>
              <w:t>305</w:t>
            </w:r>
            <w:r w:rsidRPr="0011515C" w:rsidR="000C7A50">
              <w:rPr>
                <w:bCs/>
              </w:rPr>
              <w:t>,</w:t>
            </w:r>
            <w:r w:rsidRPr="0011515C" w:rsidR="00D44155">
              <w:rPr>
                <w:bCs/>
              </w:rPr>
              <w:t>631.29</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D44155" w14:paraId="67283F1F" w14:textId="17BA36FD">
            <w:pPr>
              <w:jc w:val="right"/>
              <w:rPr>
                <w:bCs/>
              </w:rPr>
            </w:pPr>
            <w:r w:rsidRPr="0011515C">
              <w:rPr>
                <w:bCs/>
              </w:rPr>
              <w:t>$31,142.79</w:t>
            </w:r>
          </w:p>
        </w:tc>
      </w:tr>
      <w:tr w:rsidRPr="00383D3D" w:rsidR="00385B1B" w:rsidTr="00083DF6" w14:paraId="4F6ED8C8" w14:textId="77777777">
        <w:tc>
          <w:tcPr>
            <w:tcW w:w="1615" w:type="dxa"/>
            <w:tcBorders>
              <w:top w:val="single" w:color="auto" w:sz="4" w:space="0"/>
              <w:left w:val="single" w:color="auto" w:sz="4" w:space="0"/>
              <w:bottom w:val="single" w:color="auto" w:sz="4" w:space="0"/>
              <w:right w:val="single" w:color="auto" w:sz="4" w:space="0"/>
            </w:tcBorders>
          </w:tcPr>
          <w:p w:rsidRPr="001F2D6E" w:rsidR="00385B1B" w:rsidP="00385B1B" w:rsidRDefault="00385B1B" w14:paraId="1F97E034" w14:textId="1C183DCE">
            <w:pPr>
              <w:rPr>
                <w:b/>
              </w:rPr>
            </w:pPr>
            <w:r>
              <w:rPr>
                <w:b/>
              </w:rPr>
              <w:t>Demand Response</w:t>
            </w:r>
            <w:r w:rsidR="0042158C">
              <w:rPr>
                <w:b/>
              </w:rPr>
              <w:t>, RM10-17</w:t>
            </w:r>
            <w:r>
              <w:rPr>
                <w:b/>
              </w:rPr>
              <w:t xml:space="preserve"> (one-time</w:t>
            </w:r>
            <w:r w:rsidR="005D087B">
              <w:rPr>
                <w:b/>
              </w:rPr>
              <w:t xml:space="preserve"> and monthly filings)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385B1B" w:rsidP="00083DF6" w:rsidRDefault="005E1524" w14:paraId="2080DB26" w14:textId="3FBF4446">
            <w:pPr>
              <w:jc w:val="right"/>
              <w:rPr>
                <w:bCs/>
              </w:rPr>
            </w:pPr>
            <w:r w:rsidRPr="00296FD4">
              <w:rPr>
                <w:bCs/>
              </w:rPr>
              <w:t>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385B1B" w:rsidP="00083DF6" w:rsidRDefault="005E1524" w14:paraId="0A63F363" w14:textId="58DF4AFF">
            <w:pPr>
              <w:jc w:val="right"/>
              <w:rPr>
                <w:bCs/>
              </w:rPr>
            </w:pPr>
            <w:r w:rsidRPr="00296FD4">
              <w:rPr>
                <w:bCs/>
              </w:rPr>
              <w:t>11.33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0345E" w:rsidP="00083DF6" w:rsidRDefault="0020345E" w14:paraId="50A88FAF" w14:textId="77777777">
            <w:pPr>
              <w:jc w:val="right"/>
              <w:rPr>
                <w:bCs/>
              </w:rPr>
            </w:pPr>
          </w:p>
          <w:p w:rsidRPr="00296FD4" w:rsidR="0020345E" w:rsidP="00083DF6" w:rsidRDefault="0020345E" w14:paraId="3E33C959" w14:textId="77777777">
            <w:pPr>
              <w:jc w:val="right"/>
              <w:rPr>
                <w:bCs/>
              </w:rPr>
            </w:pPr>
          </w:p>
          <w:p w:rsidRPr="00296FD4" w:rsidR="005D285B" w:rsidP="00083DF6" w:rsidRDefault="005D285B" w14:paraId="3AF44948" w14:textId="77777777">
            <w:pPr>
              <w:jc w:val="right"/>
              <w:rPr>
                <w:bCs/>
              </w:rPr>
            </w:pPr>
          </w:p>
          <w:p w:rsidRPr="00296FD4" w:rsidR="00385B1B" w:rsidP="00083DF6" w:rsidRDefault="00385B1B" w14:paraId="377CC161" w14:textId="6339C981">
            <w:pPr>
              <w:jc w:val="right"/>
              <w:rPr>
                <w:bCs/>
              </w:rPr>
            </w:pPr>
            <w:r w:rsidRPr="00296FD4">
              <w:rPr>
                <w:bCs/>
              </w:rPr>
              <w:t>68</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385B1B" w:rsidP="00083DF6" w:rsidRDefault="005E1524" w14:paraId="1403D5BD" w14:textId="77777777">
            <w:pPr>
              <w:jc w:val="right"/>
              <w:rPr>
                <w:bCs/>
              </w:rPr>
            </w:pPr>
            <w:r w:rsidRPr="00296FD4">
              <w:rPr>
                <w:bCs/>
              </w:rPr>
              <w:t>114.71 hrs.;</w:t>
            </w:r>
          </w:p>
          <w:p w:rsidRPr="00296FD4" w:rsidR="005E1524" w:rsidP="00083DF6" w:rsidRDefault="005E1524" w14:paraId="48138AB8" w14:textId="03F50828">
            <w:pPr>
              <w:jc w:val="right"/>
              <w:rPr>
                <w:bCs/>
              </w:rPr>
            </w:pPr>
            <w:r w:rsidRPr="00296FD4">
              <w:rPr>
                <w:bCs/>
              </w:rPr>
              <w:t>$9,520.93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0345E" w:rsidP="00083DF6" w:rsidRDefault="0020345E" w14:paraId="61E11257" w14:textId="77777777">
            <w:pPr>
              <w:jc w:val="right"/>
              <w:rPr>
                <w:bCs/>
              </w:rPr>
            </w:pPr>
          </w:p>
          <w:p w:rsidRPr="00296FD4" w:rsidR="00385B1B" w:rsidP="00083DF6" w:rsidRDefault="00385B1B" w14:paraId="4D01EDC3" w14:textId="4C8F25A2">
            <w:pPr>
              <w:jc w:val="right"/>
              <w:rPr>
                <w:bCs/>
              </w:rPr>
            </w:pPr>
            <w:r w:rsidRPr="00296FD4">
              <w:rPr>
                <w:bCs/>
              </w:rPr>
              <w:t>7</w:t>
            </w:r>
            <w:r w:rsidRPr="00296FD4" w:rsidR="000C7A50">
              <w:rPr>
                <w:bCs/>
              </w:rPr>
              <w:t>,</w:t>
            </w:r>
            <w:r w:rsidRPr="00296FD4">
              <w:rPr>
                <w:bCs/>
              </w:rPr>
              <w:t>800</w:t>
            </w:r>
            <w:r w:rsidRPr="00296FD4" w:rsidR="005E1524">
              <w:rPr>
                <w:bCs/>
              </w:rPr>
              <w:t>.28</w:t>
            </w:r>
            <w:r w:rsidRPr="00296FD4">
              <w:rPr>
                <w:bCs/>
              </w:rPr>
              <w:t xml:space="preserve"> hrs.;</w:t>
            </w:r>
          </w:p>
          <w:p w:rsidRPr="00296FD4" w:rsidR="00385B1B" w:rsidP="00083DF6" w:rsidRDefault="00385B1B" w14:paraId="30BD7E93" w14:textId="3965DC92">
            <w:pPr>
              <w:jc w:val="right"/>
              <w:rPr>
                <w:bCs/>
              </w:rPr>
            </w:pPr>
            <w:r w:rsidRPr="00296FD4">
              <w:rPr>
                <w:bCs/>
              </w:rPr>
              <w:t>$647,4</w:t>
            </w:r>
            <w:r w:rsidRPr="00296FD4" w:rsidR="005E1524">
              <w:rPr>
                <w:bCs/>
              </w:rPr>
              <w:t>23.24</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385B1B" w:rsidP="00083DF6" w:rsidRDefault="005E1524" w14:paraId="70AD9D0C" w14:textId="462747A3">
            <w:pPr>
              <w:jc w:val="right"/>
              <w:rPr>
                <w:bCs/>
              </w:rPr>
            </w:pPr>
            <w:r w:rsidRPr="0011515C">
              <w:rPr>
                <w:bCs/>
              </w:rPr>
              <w:t>$107,903.87</w:t>
            </w:r>
          </w:p>
        </w:tc>
      </w:tr>
      <w:tr w:rsidRPr="00383D3D" w:rsidR="002970C5" w:rsidTr="00083DF6" w14:paraId="078E48BA" w14:textId="77777777">
        <w:tc>
          <w:tcPr>
            <w:tcW w:w="1615" w:type="dxa"/>
            <w:tcBorders>
              <w:top w:val="single" w:color="auto" w:sz="4" w:space="0"/>
              <w:left w:val="single" w:color="auto" w:sz="4" w:space="0"/>
              <w:bottom w:val="single" w:color="auto" w:sz="4" w:space="0"/>
              <w:right w:val="single" w:color="auto" w:sz="4" w:space="0"/>
            </w:tcBorders>
          </w:tcPr>
          <w:p w:rsidR="002970C5" w:rsidP="002970C5" w:rsidRDefault="002970C5" w14:paraId="412128C9" w14:textId="09EBB81A">
            <w:pPr>
              <w:rPr>
                <w:b/>
              </w:rPr>
            </w:pPr>
            <w:r>
              <w:rPr>
                <w:b/>
              </w:rPr>
              <w:t xml:space="preserve">Frequency Regulation, RM11-7 </w:t>
            </w:r>
            <w:r>
              <w:rPr>
                <w:b/>
              </w:rPr>
              <w:lastRenderedPageBreak/>
              <w:t>(one-time tariff filing and system modification</w:t>
            </w:r>
            <w:r w:rsidRPr="00866E05">
              <w:rPr>
                <w:b/>
              </w:rPr>
              <w:t>)</w:t>
            </w:r>
            <w:r w:rsidRPr="00866E05" w:rsidR="00447FE6">
              <w:rPr>
                <w:b/>
                <w:vertAlign w:val="superscript"/>
              </w:rPr>
              <w:fldChar w:fldCharType="begin"/>
            </w:r>
            <w:r w:rsidRPr="00866E05" w:rsidR="00447FE6">
              <w:rPr>
                <w:b/>
                <w:vertAlign w:val="superscript"/>
              </w:rPr>
              <w:instrText xml:space="preserve"> NOTEREF _Ref69992499 \h  \* MERGEFORMAT </w:instrText>
            </w:r>
            <w:r w:rsidRPr="00866E05" w:rsidR="00447FE6">
              <w:rPr>
                <w:b/>
                <w:vertAlign w:val="superscript"/>
              </w:rPr>
            </w:r>
            <w:r w:rsidRPr="00866E05" w:rsidR="00447FE6">
              <w:rPr>
                <w:b/>
                <w:vertAlign w:val="superscript"/>
              </w:rPr>
              <w:fldChar w:fldCharType="separate"/>
            </w:r>
            <w:r w:rsidRPr="00866E05" w:rsidR="00447FE6">
              <w:rPr>
                <w:b/>
                <w:vertAlign w:val="superscript"/>
              </w:rPr>
              <w:t>9</w:t>
            </w:r>
            <w:r w:rsidRPr="00866E05" w:rsidR="00447FE6">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302676AB" w14:textId="2866C08C">
            <w:pPr>
              <w:jc w:val="right"/>
              <w:rPr>
                <w:bCs/>
              </w:rPr>
            </w:pPr>
            <w:r>
              <w:rPr>
                <w:bCs/>
              </w:rPr>
              <w:lastRenderedPageBreak/>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4EA35B2E" w14:textId="618DC6B3">
            <w:pPr>
              <w:jc w:val="right"/>
              <w:rPr>
                <w:bCs/>
              </w:rPr>
            </w:pPr>
            <w:r w:rsidRPr="00296FD4">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6BEDE47A" w14:textId="0BC1E38E">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450E3AE0" w14:textId="77777777">
            <w:pPr>
              <w:jc w:val="right"/>
              <w:rPr>
                <w:bCs/>
              </w:rPr>
            </w:pPr>
            <w:r w:rsidRPr="00296FD4">
              <w:rPr>
                <w:bCs/>
              </w:rPr>
              <w:t>366.66 hrs.;</w:t>
            </w:r>
          </w:p>
          <w:p w:rsidRPr="00296FD4" w:rsidR="002970C5" w:rsidP="002970C5" w:rsidRDefault="002970C5" w14:paraId="20630453" w14:textId="61C2D05C">
            <w:pPr>
              <w:jc w:val="right"/>
              <w:rPr>
                <w:bCs/>
              </w:rPr>
            </w:pPr>
            <w:r w:rsidRPr="00296FD4">
              <w:rPr>
                <w:bCs/>
              </w:rPr>
              <w:lastRenderedPageBreak/>
              <w:t>$30</w:t>
            </w:r>
            <w:r w:rsidR="00602927">
              <w:rPr>
                <w:bCs/>
              </w:rPr>
              <w:t>,</w:t>
            </w:r>
            <w:r w:rsidRPr="00296FD4">
              <w:rPr>
                <w:bCs/>
              </w:rPr>
              <w:t>432.78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5FC88205" w14:textId="77777777">
            <w:pPr>
              <w:jc w:val="right"/>
              <w:rPr>
                <w:bCs/>
              </w:rPr>
            </w:pPr>
          </w:p>
          <w:p w:rsidRPr="00296FD4" w:rsidR="002970C5" w:rsidP="002970C5" w:rsidRDefault="002970C5" w14:paraId="696D380C" w14:textId="77777777">
            <w:pPr>
              <w:jc w:val="right"/>
              <w:rPr>
                <w:bCs/>
              </w:rPr>
            </w:pPr>
            <w:r w:rsidRPr="00296FD4">
              <w:rPr>
                <w:bCs/>
              </w:rPr>
              <w:t>366.66 hrs.;</w:t>
            </w:r>
          </w:p>
          <w:p w:rsidRPr="00296FD4" w:rsidR="002970C5" w:rsidP="002970C5" w:rsidRDefault="002970C5" w14:paraId="11A99C20" w14:textId="2F896B59">
            <w:pPr>
              <w:jc w:val="right"/>
              <w:rPr>
                <w:bCs/>
              </w:rPr>
            </w:pPr>
            <w:r w:rsidRPr="00296FD4">
              <w:rPr>
                <w:bCs/>
              </w:rPr>
              <w:lastRenderedPageBreak/>
              <w:t>$30</w:t>
            </w:r>
            <w:r w:rsidR="00602927">
              <w:rPr>
                <w:bCs/>
              </w:rPr>
              <w:t>,</w:t>
            </w:r>
            <w:r w:rsidRPr="00296FD4">
              <w:rPr>
                <w:bCs/>
              </w:rPr>
              <w:t>432.78</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602927" w14:paraId="32D74567" w14:textId="25947210">
            <w:pPr>
              <w:jc w:val="right"/>
              <w:rPr>
                <w:bCs/>
              </w:rPr>
            </w:pPr>
            <w:r w:rsidRPr="00296FD4">
              <w:rPr>
                <w:bCs/>
              </w:rPr>
              <w:lastRenderedPageBreak/>
              <w:t>$30</w:t>
            </w:r>
            <w:r>
              <w:rPr>
                <w:bCs/>
              </w:rPr>
              <w:t>,</w:t>
            </w:r>
            <w:r w:rsidRPr="00296FD4">
              <w:rPr>
                <w:bCs/>
              </w:rPr>
              <w:t>432.78</w:t>
            </w:r>
          </w:p>
        </w:tc>
      </w:tr>
      <w:tr w:rsidRPr="00383D3D" w:rsidR="002970C5" w:rsidTr="004604FB" w14:paraId="6B0F1607"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2970C5" w:rsidP="002970C5" w:rsidRDefault="002970C5" w14:paraId="604A3D44" w14:textId="20D9BEF8">
            <w:pPr>
              <w:rPr>
                <w:b/>
              </w:rPr>
            </w:pPr>
            <w:r>
              <w:rPr>
                <w:b/>
              </w:rPr>
              <w:t>Variable Energy Resource Integration Rule (RM10-11), Voluntary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1B1D3DF6" w14:textId="6370323B">
            <w:pPr>
              <w:jc w:val="right"/>
              <w:rPr>
                <w:bCs/>
              </w:rPr>
            </w:pPr>
            <w:r w:rsidRPr="00296FD4">
              <w:rPr>
                <w:bCs/>
              </w:rPr>
              <w:t>142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4BDEBB31" w14:textId="26201B62">
            <w:pPr>
              <w:jc w:val="right"/>
              <w:rPr>
                <w:bCs/>
              </w:rPr>
            </w:pPr>
            <w:r w:rsidRPr="00296FD4">
              <w:rPr>
                <w:bCs/>
              </w:rPr>
              <w:t>2.113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4DD89489" w14:textId="77777777">
            <w:pPr>
              <w:jc w:val="right"/>
              <w:rPr>
                <w:bCs/>
              </w:rPr>
            </w:pPr>
          </w:p>
          <w:p w:rsidRPr="00296FD4" w:rsidR="002970C5" w:rsidP="002970C5" w:rsidRDefault="002970C5" w14:paraId="5E30BE5B" w14:textId="77777777">
            <w:pPr>
              <w:jc w:val="right"/>
              <w:rPr>
                <w:bCs/>
              </w:rPr>
            </w:pPr>
          </w:p>
          <w:p w:rsidRPr="00296FD4" w:rsidR="002970C5" w:rsidP="002970C5" w:rsidRDefault="002970C5" w14:paraId="164871A4" w14:textId="77777777">
            <w:pPr>
              <w:jc w:val="right"/>
              <w:rPr>
                <w:bCs/>
              </w:rPr>
            </w:pPr>
          </w:p>
          <w:p w:rsidRPr="00296FD4" w:rsidR="002970C5" w:rsidP="002970C5" w:rsidRDefault="002970C5" w14:paraId="4B9F15AB" w14:textId="77777777">
            <w:pPr>
              <w:jc w:val="right"/>
              <w:rPr>
                <w:bCs/>
              </w:rPr>
            </w:pPr>
          </w:p>
          <w:p w:rsidRPr="00296FD4" w:rsidR="002970C5" w:rsidP="002970C5" w:rsidRDefault="002970C5" w14:paraId="3AC022D0" w14:textId="743C6296">
            <w:pPr>
              <w:jc w:val="right"/>
              <w:rPr>
                <w:bCs/>
              </w:rPr>
            </w:pPr>
            <w:r w:rsidRPr="00296FD4">
              <w:rPr>
                <w:bCs/>
              </w:rPr>
              <w:t>300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533D7F9C" w14:textId="77777777">
            <w:pPr>
              <w:jc w:val="right"/>
              <w:rPr>
                <w:bCs/>
              </w:rPr>
            </w:pPr>
            <w:r w:rsidRPr="00296FD4">
              <w:rPr>
                <w:bCs/>
              </w:rPr>
              <w:t>29.95 hrs.;</w:t>
            </w:r>
          </w:p>
          <w:p w:rsidRPr="00296FD4" w:rsidR="002970C5" w:rsidP="002970C5" w:rsidRDefault="002970C5" w14:paraId="7804617F" w14:textId="36DE1795">
            <w:pPr>
              <w:jc w:val="right"/>
              <w:rPr>
                <w:bCs/>
              </w:rPr>
            </w:pPr>
            <w:r w:rsidRPr="00296FD4">
              <w:rPr>
                <w:bCs/>
              </w:rPr>
              <w:t>$2,485.85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296FD4" w:rsidR="002970C5" w:rsidP="002970C5" w:rsidRDefault="002970C5" w14:paraId="2C649736" w14:textId="77777777">
            <w:pPr>
              <w:jc w:val="right"/>
              <w:rPr>
                <w:bCs/>
              </w:rPr>
            </w:pPr>
          </w:p>
          <w:p w:rsidRPr="00296FD4" w:rsidR="002970C5" w:rsidP="002970C5" w:rsidRDefault="002970C5" w14:paraId="53F2C1D0" w14:textId="77777777">
            <w:pPr>
              <w:jc w:val="right"/>
              <w:rPr>
                <w:bCs/>
              </w:rPr>
            </w:pPr>
          </w:p>
          <w:p w:rsidRPr="00296FD4" w:rsidR="002970C5" w:rsidP="002970C5" w:rsidRDefault="002970C5" w14:paraId="27B46FA3" w14:textId="77777777">
            <w:pPr>
              <w:jc w:val="right"/>
              <w:rPr>
                <w:bCs/>
              </w:rPr>
            </w:pPr>
          </w:p>
          <w:p w:rsidRPr="00296FD4" w:rsidR="002970C5" w:rsidP="002970C5" w:rsidRDefault="002970C5" w14:paraId="356CE645" w14:textId="618CE016">
            <w:pPr>
              <w:jc w:val="right"/>
              <w:rPr>
                <w:bCs/>
              </w:rPr>
            </w:pPr>
            <w:r w:rsidRPr="00296FD4">
              <w:rPr>
                <w:bCs/>
              </w:rPr>
              <w:t>8,985 hrs.;</w:t>
            </w:r>
          </w:p>
          <w:p w:rsidRPr="00296FD4" w:rsidR="002970C5" w:rsidP="002970C5" w:rsidRDefault="002970C5" w14:paraId="5B1D4078" w14:textId="4D675B74">
            <w:pPr>
              <w:jc w:val="right"/>
              <w:rPr>
                <w:bCs/>
              </w:rPr>
            </w:pPr>
            <w:r w:rsidRPr="00296FD4">
              <w:rPr>
                <w:bCs/>
              </w:rPr>
              <w:t>$745,755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0C3F14D6" w14:textId="32024F0E">
            <w:pPr>
              <w:jc w:val="right"/>
              <w:rPr>
                <w:bCs/>
              </w:rPr>
            </w:pPr>
            <w:r w:rsidRPr="0011515C">
              <w:rPr>
                <w:bCs/>
              </w:rPr>
              <w:t>$5,251.80</w:t>
            </w:r>
          </w:p>
        </w:tc>
      </w:tr>
      <w:tr w:rsidRPr="00383D3D" w:rsidR="002970C5" w:rsidTr="00296FD4" w14:paraId="5FBD3B98" w14:textId="77777777">
        <w:trPr>
          <w:trHeight w:val="2141"/>
        </w:trPr>
        <w:tc>
          <w:tcPr>
            <w:tcW w:w="1615" w:type="dxa"/>
            <w:tcBorders>
              <w:top w:val="single" w:color="auto" w:sz="4" w:space="0"/>
              <w:left w:val="single" w:color="auto" w:sz="4" w:space="0"/>
              <w:bottom w:val="single" w:color="auto" w:sz="4" w:space="0"/>
              <w:right w:val="single" w:color="auto" w:sz="4" w:space="0"/>
            </w:tcBorders>
            <w:vAlign w:val="bottom"/>
          </w:tcPr>
          <w:p w:rsidRPr="001F2D6E" w:rsidR="002970C5" w:rsidP="002970C5" w:rsidRDefault="002970C5" w14:paraId="0C6DE429" w14:textId="479A8B15">
            <w:pPr>
              <w:rPr>
                <w:b/>
              </w:rPr>
            </w:pPr>
            <w:r>
              <w:rPr>
                <w:b/>
              </w:rPr>
              <w:t>Variable Energy Resource Integration Rule, (RM10-11) Mandatory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6ED6B762" w14:textId="3F6AF80F">
            <w:pPr>
              <w:jc w:val="right"/>
              <w:rPr>
                <w:bCs/>
              </w:rPr>
            </w:pPr>
            <w:r w:rsidRPr="0011515C">
              <w:rPr>
                <w:bCs/>
              </w:rPr>
              <w:t>294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3E46172C" w14:textId="36144163">
            <w:pPr>
              <w:jc w:val="right"/>
              <w:rPr>
                <w:bCs/>
              </w:rPr>
            </w:pPr>
            <w:r w:rsidRPr="0011515C">
              <w:rPr>
                <w:bCs/>
              </w:rPr>
              <w:t>1.9116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21F3D478" w14:textId="4D657E8E">
            <w:pPr>
              <w:jc w:val="right"/>
              <w:rPr>
                <w:bCs/>
              </w:rPr>
            </w:pPr>
            <w:r w:rsidRPr="0011515C">
              <w:rPr>
                <w:bCs/>
              </w:rPr>
              <w:t>562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02BC9F00" w14:textId="77777777">
            <w:pPr>
              <w:jc w:val="right"/>
              <w:rPr>
                <w:bCs/>
              </w:rPr>
            </w:pPr>
            <w:r w:rsidRPr="0011515C">
              <w:rPr>
                <w:bCs/>
              </w:rPr>
              <w:t>30.91 hrs.;</w:t>
            </w:r>
          </w:p>
          <w:p w:rsidRPr="0011515C" w:rsidR="002970C5" w:rsidP="002970C5" w:rsidRDefault="002970C5" w14:paraId="222ABF23" w14:textId="188A1CE4">
            <w:pPr>
              <w:jc w:val="right"/>
              <w:rPr>
                <w:bCs/>
              </w:rPr>
            </w:pPr>
            <w:r w:rsidRPr="0011515C">
              <w:rPr>
                <w:bCs/>
              </w:rPr>
              <w:t>$2,565.53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49CF0BDE" w14:textId="77777777">
            <w:pPr>
              <w:jc w:val="right"/>
              <w:rPr>
                <w:bCs/>
              </w:rPr>
            </w:pPr>
          </w:p>
          <w:p w:rsidRPr="0011515C" w:rsidR="002970C5" w:rsidP="002970C5" w:rsidRDefault="002970C5" w14:paraId="41A9ED1C" w14:textId="77777777">
            <w:pPr>
              <w:jc w:val="right"/>
              <w:rPr>
                <w:bCs/>
              </w:rPr>
            </w:pPr>
          </w:p>
          <w:p w:rsidRPr="0011515C" w:rsidR="002970C5" w:rsidP="002970C5" w:rsidRDefault="002970C5" w14:paraId="4A8DB6BD" w14:textId="77777777">
            <w:pPr>
              <w:jc w:val="right"/>
              <w:rPr>
                <w:bCs/>
              </w:rPr>
            </w:pPr>
          </w:p>
          <w:p w:rsidRPr="0011515C" w:rsidR="002970C5" w:rsidP="002970C5" w:rsidRDefault="002970C5" w14:paraId="2B9DEE6D" w14:textId="6D4D8FB4">
            <w:pPr>
              <w:jc w:val="right"/>
              <w:rPr>
                <w:bCs/>
              </w:rPr>
            </w:pPr>
            <w:r w:rsidRPr="0011515C">
              <w:rPr>
                <w:bCs/>
              </w:rPr>
              <w:t>17,371.42 hrs.;</w:t>
            </w:r>
          </w:p>
          <w:p w:rsidRPr="0011515C" w:rsidR="002970C5" w:rsidP="002970C5" w:rsidRDefault="002970C5" w14:paraId="5CF35663" w14:textId="59994271">
            <w:pPr>
              <w:jc w:val="right"/>
              <w:rPr>
                <w:bCs/>
              </w:rPr>
            </w:pPr>
            <w:r w:rsidRPr="0011515C">
              <w:rPr>
                <w:bCs/>
              </w:rPr>
              <w:t>$1,441,827.86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2970C5" w:rsidP="002970C5" w:rsidRDefault="002970C5" w14:paraId="7E460866" w14:textId="234BB037">
            <w:pPr>
              <w:jc w:val="right"/>
              <w:rPr>
                <w:bCs/>
              </w:rPr>
            </w:pPr>
            <w:r w:rsidRPr="0011515C">
              <w:rPr>
                <w:bCs/>
              </w:rPr>
              <w:t>$4,904.18</w:t>
            </w:r>
          </w:p>
        </w:tc>
      </w:tr>
      <w:tr w:rsidRPr="00383D3D" w:rsidR="00602927" w:rsidTr="00866E05" w14:paraId="7B7155AD" w14:textId="77777777">
        <w:trPr>
          <w:trHeight w:val="1187"/>
        </w:trPr>
        <w:tc>
          <w:tcPr>
            <w:tcW w:w="1615" w:type="dxa"/>
            <w:tcBorders>
              <w:top w:val="single" w:color="auto" w:sz="4" w:space="0"/>
              <w:left w:val="single" w:color="auto" w:sz="4" w:space="0"/>
              <w:bottom w:val="single" w:color="auto" w:sz="4" w:space="0"/>
              <w:right w:val="single" w:color="auto" w:sz="4" w:space="0"/>
            </w:tcBorders>
            <w:vAlign w:val="bottom"/>
          </w:tcPr>
          <w:p w:rsidR="00602927" w:rsidP="00602927" w:rsidRDefault="00602927" w14:paraId="6CDAA080" w14:textId="1E56F947">
            <w:pPr>
              <w:rPr>
                <w:b/>
              </w:rPr>
            </w:pPr>
            <w:r>
              <w:rPr>
                <w:b/>
              </w:rPr>
              <w:t>Tariff Filings in RM05-5-020 (one-time</w:t>
            </w:r>
            <w:r w:rsidR="00447FE6">
              <w:rPr>
                <w:b/>
              </w:rPr>
              <w:t>)</w:t>
            </w:r>
            <w:r w:rsidRPr="00866E05" w:rsidR="00447FE6">
              <w:rPr>
                <w:b/>
                <w:vertAlign w:val="superscript"/>
              </w:rPr>
              <w:fldChar w:fldCharType="begin"/>
            </w:r>
            <w:r w:rsidRPr="00866E05" w:rsidR="00447FE6">
              <w:rPr>
                <w:b/>
                <w:vertAlign w:val="superscript"/>
              </w:rPr>
              <w:instrText xml:space="preserve"> NOTEREF _Ref69992499 \h </w:instrText>
            </w:r>
            <w:r w:rsidR="00447FE6">
              <w:rPr>
                <w:b/>
                <w:vertAlign w:val="superscript"/>
              </w:rPr>
              <w:instrText xml:space="preserve"> \* MERGEFORMAT </w:instrText>
            </w:r>
            <w:r w:rsidRPr="00866E05" w:rsidR="00447FE6">
              <w:rPr>
                <w:b/>
                <w:vertAlign w:val="superscript"/>
              </w:rPr>
            </w:r>
            <w:r w:rsidRPr="00866E05" w:rsidR="00447FE6">
              <w:rPr>
                <w:b/>
                <w:vertAlign w:val="superscript"/>
              </w:rPr>
              <w:fldChar w:fldCharType="separate"/>
            </w:r>
            <w:r w:rsidRPr="00866E05" w:rsidR="00447FE6">
              <w:rPr>
                <w:b/>
                <w:vertAlign w:val="superscript"/>
              </w:rPr>
              <w:t>9</w:t>
            </w:r>
            <w:r w:rsidRPr="00866E05" w:rsidR="00447FE6">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A4C2D23" w14:textId="63582EDA">
            <w:pPr>
              <w:jc w:val="right"/>
              <w:rPr>
                <w:bCs/>
              </w:rPr>
            </w:pPr>
            <w:r>
              <w:rPr>
                <w:bCs/>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76C5B13" w14:textId="3358679B">
            <w:pPr>
              <w:jc w:val="right"/>
              <w:rPr>
                <w:bCs/>
              </w:rPr>
            </w:pPr>
            <w:r>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2EECD0F" w14:textId="2F79F56E">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B668CB2" w14:textId="77777777">
            <w:pPr>
              <w:jc w:val="right"/>
              <w:rPr>
                <w:bCs/>
              </w:rPr>
            </w:pPr>
            <w:r w:rsidRPr="0011515C">
              <w:rPr>
                <w:bCs/>
              </w:rPr>
              <w:t>5 hrs.;</w:t>
            </w:r>
          </w:p>
          <w:p w:rsidRPr="0011515C" w:rsidR="00602927" w:rsidP="00602927" w:rsidRDefault="00602927" w14:paraId="6E3D7450" w14:textId="28306FD8">
            <w:pPr>
              <w:jc w:val="right"/>
              <w:rPr>
                <w:bCs/>
              </w:rPr>
            </w:pPr>
            <w:r w:rsidRPr="0011515C">
              <w:rPr>
                <w:bCs/>
              </w:rPr>
              <w:t>$415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2223F5CD" w14:textId="77777777">
            <w:pPr>
              <w:jc w:val="right"/>
              <w:rPr>
                <w:bCs/>
              </w:rPr>
            </w:pPr>
            <w:r w:rsidRPr="0011515C">
              <w:rPr>
                <w:bCs/>
              </w:rPr>
              <w:t>5 hrs.;</w:t>
            </w:r>
          </w:p>
          <w:p w:rsidRPr="0011515C" w:rsidR="00602927" w:rsidP="00602927" w:rsidRDefault="00602927" w14:paraId="46A42649" w14:textId="58998BBE">
            <w:pPr>
              <w:jc w:val="right"/>
              <w:rPr>
                <w:bCs/>
              </w:rPr>
            </w:pPr>
            <w:r w:rsidRPr="0011515C">
              <w:rPr>
                <w:bCs/>
              </w:rPr>
              <w:t>$415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225D96DD" w14:textId="05154029">
            <w:pPr>
              <w:jc w:val="right"/>
              <w:rPr>
                <w:bCs/>
              </w:rPr>
            </w:pPr>
            <w:r w:rsidRPr="0011515C">
              <w:rPr>
                <w:bCs/>
              </w:rPr>
              <w:t>$</w:t>
            </w:r>
            <w:r>
              <w:rPr>
                <w:bCs/>
              </w:rPr>
              <w:t>415</w:t>
            </w:r>
          </w:p>
        </w:tc>
      </w:tr>
      <w:tr w:rsidRPr="00383D3D" w:rsidR="00602927" w:rsidTr="004604FB" w14:paraId="177072B3"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602927" w:rsidP="00602927" w:rsidRDefault="00602927" w14:paraId="743A0182" w14:textId="64115A06">
            <w:pPr>
              <w:rPr>
                <w:b/>
              </w:rPr>
            </w:pPr>
            <w:r>
              <w:rPr>
                <w:b/>
              </w:rPr>
              <w:t>Tariff Filings in RM05-5-022 (one-time)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058C399" w14:textId="6BD43BA0">
            <w:pPr>
              <w:jc w:val="right"/>
              <w:rPr>
                <w:bCs/>
              </w:rPr>
            </w:pPr>
            <w:r w:rsidRPr="0011515C">
              <w:rPr>
                <w:bCs/>
              </w:rPr>
              <w:t>132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854A9AA" w14:textId="556CE2EC">
            <w:pPr>
              <w:jc w:val="right"/>
              <w:rPr>
                <w:bCs/>
              </w:rPr>
            </w:pPr>
            <w:r w:rsidRPr="0011515C">
              <w:rPr>
                <w:bCs/>
              </w:rPr>
              <w:t>3.63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6C9DA8DB" w14:textId="151249D4">
            <w:pPr>
              <w:rPr>
                <w:bCs/>
              </w:rPr>
            </w:pPr>
          </w:p>
          <w:p w:rsidRPr="0011515C" w:rsidR="00602927" w:rsidP="00602927" w:rsidRDefault="00602927" w14:paraId="02FD9396" w14:textId="1AEF625F">
            <w:pPr>
              <w:jc w:val="right"/>
              <w:rPr>
                <w:bCs/>
              </w:rPr>
            </w:pPr>
            <w:r w:rsidRPr="0011515C">
              <w:rPr>
                <w:bCs/>
              </w:rPr>
              <w:t>132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0CB0EB92" w14:textId="77777777">
            <w:pPr>
              <w:jc w:val="right"/>
              <w:rPr>
                <w:bCs/>
              </w:rPr>
            </w:pPr>
            <w:r w:rsidRPr="0011515C">
              <w:rPr>
                <w:bCs/>
              </w:rPr>
              <w:t>6 hrs.;</w:t>
            </w:r>
          </w:p>
          <w:p w:rsidRPr="0011515C" w:rsidR="00602927" w:rsidP="00602927" w:rsidRDefault="00602927" w14:paraId="55139724" w14:textId="7CA7EC15">
            <w:pPr>
              <w:jc w:val="right"/>
              <w:rPr>
                <w:bCs/>
              </w:rPr>
            </w:pPr>
            <w:r w:rsidRPr="0011515C">
              <w:rPr>
                <w:bCs/>
              </w:rPr>
              <w:t>$498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6ECFB108" w14:textId="287DDFEE">
            <w:pPr>
              <w:rPr>
                <w:bCs/>
              </w:rPr>
            </w:pPr>
            <w:r w:rsidRPr="0011515C">
              <w:rPr>
                <w:bCs/>
              </w:rPr>
              <w:t>792 hrs.;</w:t>
            </w:r>
          </w:p>
          <w:p w:rsidRPr="0011515C" w:rsidR="00602927" w:rsidP="00602927" w:rsidRDefault="00602927" w14:paraId="6B9A1C04" w14:textId="4AFEECD5">
            <w:pPr>
              <w:jc w:val="right"/>
              <w:rPr>
                <w:bCs/>
              </w:rPr>
            </w:pPr>
            <w:r w:rsidRPr="0011515C">
              <w:rPr>
                <w:bCs/>
              </w:rPr>
              <w:t>$65,736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231B16E" w14:textId="32C135A6">
            <w:pPr>
              <w:jc w:val="right"/>
              <w:rPr>
                <w:bCs/>
              </w:rPr>
            </w:pPr>
            <w:r w:rsidRPr="0011515C">
              <w:rPr>
                <w:bCs/>
              </w:rPr>
              <w:t>$498</w:t>
            </w:r>
          </w:p>
        </w:tc>
      </w:tr>
      <w:tr w:rsidRPr="00383D3D" w:rsidR="00602927" w:rsidTr="00296FD4" w14:paraId="1AB18159"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602927" w:rsidP="00602927" w:rsidRDefault="00602927" w14:paraId="088DB505" w14:textId="36668A0D">
            <w:pPr>
              <w:rPr>
                <w:b/>
              </w:rPr>
            </w:pPr>
            <w:r>
              <w:rPr>
                <w:b/>
              </w:rPr>
              <w:t>Tariff Filings to Reflect Primary Frequency Response Services in MBR (Final Rule in RM15-2)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F662B73" w14:textId="3BD1224E">
            <w:pPr>
              <w:jc w:val="right"/>
              <w:rPr>
                <w:bCs/>
              </w:rPr>
            </w:pPr>
            <w:r w:rsidRPr="0011515C">
              <w:rPr>
                <w:bCs/>
              </w:rPr>
              <w:t>1,585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4D9DC22E" w14:textId="2A1392E5">
            <w:pPr>
              <w:jc w:val="right"/>
              <w:rPr>
                <w:bCs/>
              </w:rPr>
            </w:pPr>
            <w:r w:rsidRPr="0011515C">
              <w:rPr>
                <w:bCs/>
              </w:rPr>
              <w:t>0.1634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4A7B189F" w14:textId="77777777">
            <w:pPr>
              <w:jc w:val="right"/>
              <w:rPr>
                <w:bCs/>
              </w:rPr>
            </w:pPr>
          </w:p>
          <w:p w:rsidRPr="0011515C" w:rsidR="00602927" w:rsidP="00602927" w:rsidRDefault="00602927" w14:paraId="2D0110EE" w14:textId="77777777">
            <w:pPr>
              <w:jc w:val="right"/>
              <w:rPr>
                <w:bCs/>
              </w:rPr>
            </w:pPr>
          </w:p>
          <w:p w:rsidRPr="0011515C" w:rsidR="00602927" w:rsidP="00602927" w:rsidRDefault="00602927" w14:paraId="39BD1046" w14:textId="77777777">
            <w:pPr>
              <w:jc w:val="right"/>
              <w:rPr>
                <w:bCs/>
              </w:rPr>
            </w:pPr>
          </w:p>
          <w:p w:rsidRPr="0011515C" w:rsidR="00602927" w:rsidP="00602927" w:rsidRDefault="00602927" w14:paraId="402B3CDD" w14:textId="77777777">
            <w:pPr>
              <w:jc w:val="right"/>
              <w:rPr>
                <w:bCs/>
              </w:rPr>
            </w:pPr>
          </w:p>
          <w:p w:rsidRPr="0011515C" w:rsidR="00602927" w:rsidP="00602927" w:rsidRDefault="00602927" w14:paraId="5FAD4777" w14:textId="77777777">
            <w:pPr>
              <w:jc w:val="right"/>
              <w:rPr>
                <w:bCs/>
              </w:rPr>
            </w:pPr>
          </w:p>
          <w:p w:rsidRPr="0011515C" w:rsidR="00602927" w:rsidP="00602927" w:rsidRDefault="00602927" w14:paraId="0D63DFA4" w14:textId="77777777">
            <w:pPr>
              <w:jc w:val="right"/>
              <w:rPr>
                <w:bCs/>
              </w:rPr>
            </w:pPr>
          </w:p>
          <w:p w:rsidRPr="0011515C" w:rsidR="00602927" w:rsidP="00602927" w:rsidRDefault="00602927" w14:paraId="382F2BAA" w14:textId="159B99B1">
            <w:pPr>
              <w:jc w:val="right"/>
              <w:rPr>
                <w:bCs/>
              </w:rPr>
            </w:pPr>
            <w:r w:rsidRPr="0011515C">
              <w:rPr>
                <w:bCs/>
              </w:rPr>
              <w:t>259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43250833" w14:textId="77777777">
            <w:pPr>
              <w:jc w:val="right"/>
              <w:rPr>
                <w:bCs/>
              </w:rPr>
            </w:pPr>
            <w:r w:rsidRPr="0011515C">
              <w:rPr>
                <w:bCs/>
              </w:rPr>
              <w:t>6 hrs.;</w:t>
            </w:r>
          </w:p>
          <w:p w:rsidRPr="0011515C" w:rsidR="00602927" w:rsidP="00602927" w:rsidRDefault="00602927" w14:paraId="04AAE124" w14:textId="779B485B">
            <w:pPr>
              <w:jc w:val="right"/>
              <w:rPr>
                <w:bCs/>
              </w:rPr>
            </w:pPr>
            <w:r w:rsidRPr="0011515C">
              <w:rPr>
                <w:bCs/>
              </w:rPr>
              <w:t>$498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86DB0E6" w14:textId="77777777">
            <w:pPr>
              <w:jc w:val="right"/>
              <w:rPr>
                <w:bCs/>
              </w:rPr>
            </w:pPr>
          </w:p>
          <w:p w:rsidRPr="0011515C" w:rsidR="00602927" w:rsidP="00602927" w:rsidRDefault="00602927" w14:paraId="60F045E9" w14:textId="77777777">
            <w:pPr>
              <w:jc w:val="right"/>
              <w:rPr>
                <w:bCs/>
              </w:rPr>
            </w:pPr>
          </w:p>
          <w:p w:rsidRPr="0011515C" w:rsidR="00602927" w:rsidP="00602927" w:rsidRDefault="00602927" w14:paraId="0FA9CAE2" w14:textId="77777777">
            <w:pPr>
              <w:jc w:val="right"/>
              <w:rPr>
                <w:bCs/>
              </w:rPr>
            </w:pPr>
          </w:p>
          <w:p w:rsidRPr="0011515C" w:rsidR="00602927" w:rsidP="00602927" w:rsidRDefault="00602927" w14:paraId="435F821C" w14:textId="77777777">
            <w:pPr>
              <w:jc w:val="right"/>
              <w:rPr>
                <w:bCs/>
              </w:rPr>
            </w:pPr>
          </w:p>
          <w:p w:rsidRPr="0011515C" w:rsidR="00602927" w:rsidP="00602927" w:rsidRDefault="00602927" w14:paraId="5E42DB2B" w14:textId="77777777">
            <w:pPr>
              <w:jc w:val="right"/>
              <w:rPr>
                <w:bCs/>
              </w:rPr>
            </w:pPr>
          </w:p>
          <w:p w:rsidRPr="0011515C" w:rsidR="00602927" w:rsidP="00602927" w:rsidRDefault="00602927" w14:paraId="646C7A68" w14:textId="1B33D322">
            <w:pPr>
              <w:jc w:val="right"/>
              <w:rPr>
                <w:bCs/>
              </w:rPr>
            </w:pPr>
            <w:r w:rsidRPr="0011515C">
              <w:rPr>
                <w:bCs/>
              </w:rPr>
              <w:t>1,554 hrs.;</w:t>
            </w:r>
          </w:p>
          <w:p w:rsidRPr="0011515C" w:rsidR="00602927" w:rsidP="00602927" w:rsidRDefault="00602927" w14:paraId="2A8BE763" w14:textId="7FD8F4EC">
            <w:pPr>
              <w:jc w:val="right"/>
              <w:rPr>
                <w:bCs/>
              </w:rPr>
            </w:pPr>
            <w:r w:rsidRPr="0011515C">
              <w:rPr>
                <w:bCs/>
              </w:rPr>
              <w:t>$128,982</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54389B7A" w14:textId="5E42645E">
            <w:pPr>
              <w:jc w:val="right"/>
              <w:rPr>
                <w:bCs/>
              </w:rPr>
            </w:pPr>
            <w:r w:rsidRPr="0011515C">
              <w:rPr>
                <w:bCs/>
              </w:rPr>
              <w:t>$81.38</w:t>
            </w:r>
          </w:p>
        </w:tc>
      </w:tr>
      <w:tr w:rsidRPr="00383D3D" w:rsidR="00602927" w:rsidTr="00296FD4" w14:paraId="3D5325A2"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602927" w:rsidP="00602927" w:rsidRDefault="00602927" w14:paraId="26BBE7A2" w14:textId="5F57A27C">
            <w:pPr>
              <w:rPr>
                <w:b/>
              </w:rPr>
            </w:pPr>
            <w:r>
              <w:rPr>
                <w:b/>
              </w:rPr>
              <w:t xml:space="preserve">Electric Rate Schedules </w:t>
            </w:r>
            <w:r>
              <w:rPr>
                <w:b/>
              </w:rPr>
              <w:lastRenderedPageBreak/>
              <w:t>and Tariffs in RM16-6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1B20374" w14:textId="192D0743">
            <w:pPr>
              <w:jc w:val="right"/>
              <w:rPr>
                <w:bCs/>
              </w:rPr>
            </w:pPr>
            <w:r w:rsidRPr="0011515C">
              <w:rPr>
                <w:bCs/>
              </w:rPr>
              <w:lastRenderedPageBreak/>
              <w:t>74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53B2532" w14:textId="6F7C48E3">
            <w:pPr>
              <w:jc w:val="right"/>
              <w:rPr>
                <w:bCs/>
              </w:rPr>
            </w:pPr>
            <w:r w:rsidRPr="0011515C">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5B7613E" w14:textId="77777777">
            <w:pPr>
              <w:jc w:val="right"/>
              <w:rPr>
                <w:bCs/>
              </w:rPr>
            </w:pPr>
          </w:p>
          <w:p w:rsidRPr="0011515C" w:rsidR="00602927" w:rsidP="00602927" w:rsidRDefault="00602927" w14:paraId="0556152A" w14:textId="77777777">
            <w:pPr>
              <w:jc w:val="right"/>
              <w:rPr>
                <w:bCs/>
              </w:rPr>
            </w:pPr>
          </w:p>
          <w:p w:rsidRPr="0011515C" w:rsidR="00602927" w:rsidP="00602927" w:rsidRDefault="00602927" w14:paraId="2E5044A6" w14:textId="77777777">
            <w:pPr>
              <w:jc w:val="right"/>
              <w:rPr>
                <w:bCs/>
              </w:rPr>
            </w:pPr>
          </w:p>
          <w:p w:rsidRPr="0011515C" w:rsidR="00602927" w:rsidP="00602927" w:rsidRDefault="00602927" w14:paraId="6985D6AD" w14:textId="77777777">
            <w:pPr>
              <w:jc w:val="right"/>
              <w:rPr>
                <w:bCs/>
              </w:rPr>
            </w:pPr>
          </w:p>
          <w:p w:rsidRPr="0011515C" w:rsidR="00602927" w:rsidP="00602927" w:rsidRDefault="00602927" w14:paraId="790EE7DF" w14:textId="5866598A">
            <w:pPr>
              <w:jc w:val="right"/>
              <w:rPr>
                <w:bCs/>
              </w:rPr>
            </w:pPr>
            <w:r w:rsidRPr="0011515C">
              <w:rPr>
                <w:bCs/>
              </w:rPr>
              <w:lastRenderedPageBreak/>
              <w:t>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0A8B445B" w14:textId="77777777">
            <w:pPr>
              <w:jc w:val="right"/>
              <w:rPr>
                <w:bCs/>
              </w:rPr>
            </w:pPr>
            <w:r w:rsidRPr="0011515C">
              <w:rPr>
                <w:bCs/>
              </w:rPr>
              <w:lastRenderedPageBreak/>
              <w:t>10 hrs.;</w:t>
            </w:r>
          </w:p>
          <w:p w:rsidRPr="0011515C" w:rsidR="00602927" w:rsidP="00602927" w:rsidRDefault="00602927" w14:paraId="4BE247D4" w14:textId="774C7AB0">
            <w:pPr>
              <w:jc w:val="right"/>
              <w:rPr>
                <w:bCs/>
              </w:rPr>
            </w:pPr>
            <w:r w:rsidRPr="0011515C">
              <w:rPr>
                <w:bCs/>
              </w:rPr>
              <w:t>$830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144947B" w14:textId="77777777">
            <w:pPr>
              <w:jc w:val="right"/>
              <w:rPr>
                <w:bCs/>
              </w:rPr>
            </w:pPr>
          </w:p>
          <w:p w:rsidRPr="0011515C" w:rsidR="00602927" w:rsidP="00602927" w:rsidRDefault="00602927" w14:paraId="33FCFCDD" w14:textId="77777777">
            <w:pPr>
              <w:jc w:val="right"/>
              <w:rPr>
                <w:bCs/>
              </w:rPr>
            </w:pPr>
          </w:p>
          <w:p w:rsidRPr="0011515C" w:rsidR="00602927" w:rsidP="00602927" w:rsidRDefault="00602927" w14:paraId="6950F0A6" w14:textId="77777777">
            <w:pPr>
              <w:jc w:val="right"/>
              <w:rPr>
                <w:bCs/>
              </w:rPr>
            </w:pPr>
          </w:p>
          <w:p w:rsidRPr="0011515C" w:rsidR="00602927" w:rsidP="00602927" w:rsidRDefault="00602927" w14:paraId="6FEDDA5C" w14:textId="0B7D8481">
            <w:pPr>
              <w:jc w:val="right"/>
              <w:rPr>
                <w:bCs/>
              </w:rPr>
            </w:pPr>
            <w:r w:rsidRPr="0011515C">
              <w:rPr>
                <w:bCs/>
              </w:rPr>
              <w:t>740 hrs.;</w:t>
            </w:r>
          </w:p>
          <w:p w:rsidRPr="0011515C" w:rsidR="00602927" w:rsidP="00602927" w:rsidRDefault="00602927" w14:paraId="42EA668F" w14:textId="3683F41A">
            <w:pPr>
              <w:jc w:val="right"/>
              <w:rPr>
                <w:bCs/>
              </w:rPr>
            </w:pPr>
            <w:r w:rsidRPr="0011515C">
              <w:rPr>
                <w:bCs/>
              </w:rPr>
              <w:lastRenderedPageBreak/>
              <w:t>$61,420</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56D4DEC" w14:textId="7CBBC9E3">
            <w:pPr>
              <w:jc w:val="right"/>
              <w:rPr>
                <w:bCs/>
              </w:rPr>
            </w:pPr>
            <w:r w:rsidRPr="0011515C">
              <w:rPr>
                <w:bCs/>
              </w:rPr>
              <w:lastRenderedPageBreak/>
              <w:t>$830</w:t>
            </w:r>
          </w:p>
        </w:tc>
      </w:tr>
      <w:tr w:rsidRPr="00383D3D" w:rsidR="00602927" w:rsidTr="00296FD4" w14:paraId="039A8E81"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602927" w:rsidP="00602927" w:rsidRDefault="00602927" w14:paraId="62D82C3B" w14:textId="5B33CF30">
            <w:pPr>
              <w:rPr>
                <w:b/>
              </w:rPr>
            </w:pPr>
            <w:r>
              <w:rPr>
                <w:b/>
              </w:rPr>
              <w:t>Electric Rate Schedules and Tariffs in RM17-8 (ongoing)</w:t>
            </w:r>
            <w:r w:rsidDel="001A48E5">
              <w:rPr>
                <w:rStyle w:val="FootnoteReference"/>
                <w:b w:val="0"/>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1A25B54B" w14:textId="6C4A6EF8">
            <w:pPr>
              <w:jc w:val="right"/>
              <w:rPr>
                <w:bCs/>
              </w:rPr>
            </w:pPr>
            <w:r w:rsidRPr="0011515C">
              <w:rPr>
                <w:bCs/>
              </w:rPr>
              <w:t>132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3A8BA44" w14:textId="6D96EB89">
            <w:pPr>
              <w:jc w:val="right"/>
              <w:rPr>
                <w:bCs/>
              </w:rPr>
            </w:pPr>
            <w:r w:rsidRPr="0011515C">
              <w:rPr>
                <w:bCs/>
              </w:rPr>
              <w:t>2.66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8097610" w14:textId="77777777">
            <w:pPr>
              <w:jc w:val="right"/>
              <w:rPr>
                <w:bCs/>
              </w:rPr>
            </w:pPr>
          </w:p>
          <w:p w:rsidRPr="0011515C" w:rsidR="00602927" w:rsidP="00602927" w:rsidRDefault="00602927" w14:paraId="35006A99" w14:textId="77777777">
            <w:pPr>
              <w:jc w:val="right"/>
              <w:rPr>
                <w:bCs/>
              </w:rPr>
            </w:pPr>
          </w:p>
          <w:p w:rsidRPr="0011515C" w:rsidR="00602927" w:rsidP="00602927" w:rsidRDefault="00602927" w14:paraId="43F4572E" w14:textId="77777777">
            <w:pPr>
              <w:jc w:val="right"/>
              <w:rPr>
                <w:bCs/>
              </w:rPr>
            </w:pPr>
          </w:p>
          <w:p w:rsidRPr="0011515C" w:rsidR="00602927" w:rsidP="00602927" w:rsidRDefault="00602927" w14:paraId="071C8D54" w14:textId="77777777">
            <w:pPr>
              <w:jc w:val="right"/>
              <w:rPr>
                <w:bCs/>
              </w:rPr>
            </w:pPr>
          </w:p>
          <w:p w:rsidRPr="0011515C" w:rsidR="00602927" w:rsidP="00602927" w:rsidRDefault="00602927" w14:paraId="139BFAD7" w14:textId="77777777">
            <w:pPr>
              <w:jc w:val="right"/>
              <w:rPr>
                <w:bCs/>
              </w:rPr>
            </w:pPr>
          </w:p>
          <w:p w:rsidRPr="0011515C" w:rsidR="00602927" w:rsidP="00602927" w:rsidRDefault="00602927" w14:paraId="6AFE8922" w14:textId="6D66962C">
            <w:pPr>
              <w:jc w:val="right"/>
              <w:rPr>
                <w:bCs/>
              </w:rPr>
            </w:pPr>
            <w:r w:rsidRPr="0011515C">
              <w:rPr>
                <w:bCs/>
              </w:rPr>
              <w:t>352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0E3F771" w14:textId="77777777">
            <w:pPr>
              <w:jc w:val="right"/>
              <w:rPr>
                <w:bCs/>
              </w:rPr>
            </w:pPr>
            <w:r w:rsidRPr="0011515C">
              <w:rPr>
                <w:bCs/>
              </w:rPr>
              <w:t>4 hrs.;</w:t>
            </w:r>
          </w:p>
          <w:p w:rsidRPr="0011515C" w:rsidR="00602927" w:rsidP="00602927" w:rsidRDefault="00602927" w14:paraId="41DFD3AA" w14:textId="0B4B2F29">
            <w:pPr>
              <w:jc w:val="right"/>
              <w:rPr>
                <w:bCs/>
              </w:rPr>
            </w:pPr>
            <w:r w:rsidRPr="0011515C">
              <w:rPr>
                <w:bCs/>
              </w:rPr>
              <w:t>$322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5AF38039" w14:textId="77777777">
            <w:pPr>
              <w:jc w:val="right"/>
              <w:rPr>
                <w:bCs/>
              </w:rPr>
            </w:pPr>
          </w:p>
          <w:p w:rsidRPr="0011515C" w:rsidR="00602927" w:rsidP="00602927" w:rsidRDefault="00602927" w14:paraId="4D352E95" w14:textId="77777777">
            <w:pPr>
              <w:jc w:val="right"/>
              <w:rPr>
                <w:bCs/>
              </w:rPr>
            </w:pPr>
          </w:p>
          <w:p w:rsidRPr="0011515C" w:rsidR="00602927" w:rsidP="00602927" w:rsidRDefault="00602927" w14:paraId="62F4178D" w14:textId="77777777">
            <w:pPr>
              <w:jc w:val="right"/>
              <w:rPr>
                <w:bCs/>
              </w:rPr>
            </w:pPr>
          </w:p>
          <w:p w:rsidRPr="0011515C" w:rsidR="00602927" w:rsidP="00602927" w:rsidRDefault="00602927" w14:paraId="1113D7F2" w14:textId="77777777">
            <w:pPr>
              <w:jc w:val="right"/>
              <w:rPr>
                <w:bCs/>
              </w:rPr>
            </w:pPr>
          </w:p>
          <w:p w:rsidRPr="0011515C" w:rsidR="00602927" w:rsidP="00602927" w:rsidRDefault="00602927" w14:paraId="50524D02" w14:textId="5E5CE8D2">
            <w:pPr>
              <w:jc w:val="right"/>
              <w:rPr>
                <w:bCs/>
              </w:rPr>
            </w:pPr>
            <w:r w:rsidRPr="0011515C">
              <w:rPr>
                <w:bCs/>
              </w:rPr>
              <w:t>1,408 hrs.;</w:t>
            </w:r>
          </w:p>
          <w:p w:rsidRPr="0011515C" w:rsidR="00602927" w:rsidP="00602927" w:rsidRDefault="00602927" w14:paraId="42C7F367" w14:textId="0BC95CA8">
            <w:pPr>
              <w:jc w:val="right"/>
              <w:rPr>
                <w:bCs/>
              </w:rPr>
            </w:pPr>
            <w:r w:rsidRPr="0011515C">
              <w:rPr>
                <w:bCs/>
              </w:rPr>
              <w:t>$116,864</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0BD19DAC" w14:textId="329CD5E4">
            <w:pPr>
              <w:jc w:val="center"/>
              <w:rPr>
                <w:bCs/>
              </w:rPr>
            </w:pPr>
            <w:r w:rsidRPr="0011515C">
              <w:rPr>
                <w:bCs/>
              </w:rPr>
              <w:t>$885.33</w:t>
            </w:r>
          </w:p>
        </w:tc>
      </w:tr>
      <w:tr w:rsidRPr="00383D3D" w:rsidR="00602927" w:rsidTr="00296FD4" w14:paraId="58A4D5A2" w14:textId="77777777">
        <w:tc>
          <w:tcPr>
            <w:tcW w:w="1615" w:type="dxa"/>
            <w:tcBorders>
              <w:top w:val="single" w:color="auto" w:sz="4" w:space="0"/>
              <w:left w:val="single" w:color="auto" w:sz="4" w:space="0"/>
              <w:bottom w:val="single" w:color="auto" w:sz="4" w:space="0"/>
              <w:right w:val="single" w:color="auto" w:sz="4" w:space="0"/>
            </w:tcBorders>
            <w:vAlign w:val="bottom"/>
          </w:tcPr>
          <w:p w:rsidR="00602927" w:rsidP="00602927" w:rsidRDefault="00602927" w14:paraId="2A1B61C1" w14:textId="3F1855FB">
            <w:pPr>
              <w:rPr>
                <w:b/>
              </w:rPr>
            </w:pPr>
            <w:r>
              <w:rPr>
                <w:b/>
              </w:rPr>
              <w:t>Electric Rate Schedules and Tariffs in RM17-8 (one-time)</w:t>
            </w:r>
            <w:r w:rsidRPr="00866E05" w:rsidR="00447FE6">
              <w:rPr>
                <w:b/>
                <w:vertAlign w:val="superscript"/>
              </w:rPr>
              <w:fldChar w:fldCharType="begin"/>
            </w:r>
            <w:r w:rsidRPr="00866E05" w:rsidR="00447FE6">
              <w:rPr>
                <w:b/>
                <w:vertAlign w:val="superscript"/>
              </w:rPr>
              <w:instrText xml:space="preserve"> NOTEREF _Ref69992499 \h </w:instrText>
            </w:r>
            <w:r w:rsidR="00447FE6">
              <w:rPr>
                <w:b/>
                <w:vertAlign w:val="superscript"/>
              </w:rPr>
              <w:instrText xml:space="preserve"> \* MERGEFORMAT </w:instrText>
            </w:r>
            <w:r w:rsidRPr="00866E05" w:rsidR="00447FE6">
              <w:rPr>
                <w:b/>
                <w:vertAlign w:val="superscript"/>
              </w:rPr>
            </w:r>
            <w:r w:rsidRPr="00866E05" w:rsidR="00447FE6">
              <w:rPr>
                <w:b/>
                <w:vertAlign w:val="superscript"/>
              </w:rPr>
              <w:fldChar w:fldCharType="separate"/>
            </w:r>
            <w:r w:rsidRPr="00866E05" w:rsidR="00447FE6">
              <w:rPr>
                <w:b/>
                <w:vertAlign w:val="superscript"/>
              </w:rPr>
              <w:t>9</w:t>
            </w:r>
            <w:r w:rsidRPr="00866E05" w:rsidR="00447FE6">
              <w:rPr>
                <w:b/>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781FB02" w14:textId="4B1C539D">
            <w:pPr>
              <w:jc w:val="right"/>
              <w:rPr>
                <w:bCs/>
              </w:rPr>
            </w:pPr>
            <w:r>
              <w:rPr>
                <w:bCs/>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50876A05" w14:textId="7539C10C">
            <w:pPr>
              <w:jc w:val="right"/>
              <w:rPr>
                <w:bCs/>
              </w:rPr>
            </w:pPr>
            <w:r>
              <w:rPr>
                <w:bCs/>
              </w:rPr>
              <w:t>1</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5FB2A0A" w14:textId="5D0FD64B">
            <w:pPr>
              <w:jc w:val="right"/>
              <w:rPr>
                <w:bCs/>
              </w:rPr>
            </w:pPr>
            <w:r>
              <w:rPr>
                <w:bCs/>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033F854B" w14:textId="77777777">
            <w:pPr>
              <w:jc w:val="right"/>
              <w:rPr>
                <w:bCs/>
              </w:rPr>
            </w:pPr>
            <w:r w:rsidRPr="0011515C">
              <w:rPr>
                <w:bCs/>
              </w:rPr>
              <w:t>49.41 hrs.;</w:t>
            </w:r>
          </w:p>
          <w:p w:rsidRPr="0011515C" w:rsidR="00602927" w:rsidP="00602927" w:rsidRDefault="00602927" w14:paraId="3F88B4DF" w14:textId="36E9494A">
            <w:pPr>
              <w:jc w:val="right"/>
              <w:rPr>
                <w:bCs/>
              </w:rPr>
            </w:pPr>
            <w:r w:rsidRPr="0011515C">
              <w:rPr>
                <w:bCs/>
              </w:rPr>
              <w:t>$4,101.03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420A4385" w14:textId="49E688ED">
            <w:pPr>
              <w:jc w:val="right"/>
              <w:rPr>
                <w:bCs/>
              </w:rPr>
            </w:pPr>
            <w:r w:rsidRPr="0011515C">
              <w:rPr>
                <w:bCs/>
              </w:rPr>
              <w:t>49.41 hrs.;</w:t>
            </w:r>
          </w:p>
          <w:p w:rsidRPr="0011515C" w:rsidR="00602927" w:rsidP="00602927" w:rsidRDefault="00602927" w14:paraId="7A8FB6EF" w14:textId="05B9F487">
            <w:pPr>
              <w:jc w:val="right"/>
              <w:rPr>
                <w:bCs/>
              </w:rPr>
            </w:pPr>
            <w:r w:rsidRPr="0011515C">
              <w:rPr>
                <w:bCs/>
              </w:rPr>
              <w:t>$4,101.03</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669EC8D" w14:textId="793BC9CF">
            <w:pPr>
              <w:jc w:val="center"/>
              <w:rPr>
                <w:bCs/>
              </w:rPr>
            </w:pPr>
            <w:r w:rsidRPr="0011515C">
              <w:rPr>
                <w:bCs/>
              </w:rPr>
              <w:t>$4,101.03</w:t>
            </w:r>
          </w:p>
        </w:tc>
      </w:tr>
      <w:tr w:rsidRPr="00383D3D" w:rsidR="00602927" w:rsidTr="00296FD4" w14:paraId="13AB2773" w14:textId="77777777">
        <w:tc>
          <w:tcPr>
            <w:tcW w:w="1615" w:type="dxa"/>
            <w:tcBorders>
              <w:top w:val="single" w:color="auto" w:sz="4" w:space="0"/>
              <w:left w:val="single" w:color="auto" w:sz="4" w:space="0"/>
              <w:bottom w:val="single" w:color="auto" w:sz="4" w:space="0"/>
              <w:right w:val="single" w:color="auto" w:sz="4" w:space="0"/>
            </w:tcBorders>
            <w:vAlign w:val="bottom"/>
          </w:tcPr>
          <w:p w:rsidR="00602927" w:rsidP="00602927" w:rsidRDefault="00602927" w14:paraId="2196C516" w14:textId="1C588E74">
            <w:pPr>
              <w:rPr>
                <w:b/>
              </w:rPr>
            </w:pPr>
            <w:r>
              <w:rPr>
                <w:b/>
              </w:rPr>
              <w:t>RM19-5, one-time and ongoing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013A958" w14:textId="44CBEBC8">
            <w:pPr>
              <w:jc w:val="right"/>
              <w:rPr>
                <w:bCs/>
              </w:rPr>
            </w:pPr>
            <w:r>
              <w:rPr>
                <w:bCs/>
              </w:rPr>
              <w:t>106</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D547253" w14:textId="10FC7472">
            <w:pPr>
              <w:jc w:val="right"/>
              <w:rPr>
                <w:bCs/>
              </w:rPr>
            </w:pPr>
            <w:r>
              <w:rPr>
                <w:bCs/>
              </w:rPr>
              <w:t>1.66</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2BB2E6CB" w14:textId="3036109C">
            <w:pPr>
              <w:jc w:val="right"/>
              <w:rPr>
                <w:bCs/>
              </w:rPr>
            </w:pPr>
            <w:r>
              <w:rPr>
                <w:bCs/>
              </w:rPr>
              <w:t>177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00602927" w:rsidP="00602927" w:rsidRDefault="00602927" w14:paraId="3EBD9A7A" w14:textId="77777777">
            <w:pPr>
              <w:jc w:val="right"/>
              <w:rPr>
                <w:bCs/>
              </w:rPr>
            </w:pPr>
            <w:r>
              <w:rPr>
                <w:bCs/>
              </w:rPr>
              <w:t>13.57 hrs.;</w:t>
            </w:r>
          </w:p>
          <w:p w:rsidRPr="0011515C" w:rsidR="00602927" w:rsidP="00602927" w:rsidRDefault="00602927" w14:paraId="094CD157" w14:textId="5611BDD7">
            <w:pPr>
              <w:jc w:val="right"/>
              <w:rPr>
                <w:bCs/>
              </w:rPr>
            </w:pPr>
            <w:r>
              <w:rPr>
                <w:bCs/>
              </w:rPr>
              <w:t>$1,126.31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602927" w:rsidP="00602927" w:rsidRDefault="00602927" w14:paraId="6884E630" w14:textId="608B7779">
            <w:pPr>
              <w:jc w:val="right"/>
              <w:rPr>
                <w:bCs/>
              </w:rPr>
            </w:pPr>
            <w:r>
              <w:rPr>
                <w:bCs/>
              </w:rPr>
              <w:t>2,401.89 hrs.;</w:t>
            </w:r>
          </w:p>
          <w:p w:rsidRPr="0011515C" w:rsidR="00602927" w:rsidP="00602927" w:rsidRDefault="00602927" w14:paraId="6307B70B" w14:textId="3FC1855F">
            <w:pPr>
              <w:jc w:val="right"/>
              <w:rPr>
                <w:bCs/>
              </w:rPr>
            </w:pPr>
            <w:r>
              <w:rPr>
                <w:bCs/>
              </w:rPr>
              <w:t>$199,356.87</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3A0602EE" w14:textId="70D030BC">
            <w:pPr>
              <w:jc w:val="center"/>
              <w:rPr>
                <w:bCs/>
              </w:rPr>
            </w:pPr>
            <w:r>
              <w:rPr>
                <w:bCs/>
              </w:rPr>
              <w:t>$1,880.73</w:t>
            </w:r>
          </w:p>
        </w:tc>
      </w:tr>
      <w:tr w:rsidRPr="00383D3D" w:rsidR="00602927" w:rsidTr="00866E05" w14:paraId="09975515" w14:textId="77777777">
        <w:tc>
          <w:tcPr>
            <w:tcW w:w="1615" w:type="dxa"/>
            <w:tcBorders>
              <w:top w:val="single" w:color="auto" w:sz="4" w:space="0"/>
              <w:left w:val="single" w:color="auto" w:sz="4" w:space="0"/>
              <w:bottom w:val="single" w:color="auto" w:sz="4" w:space="0"/>
              <w:right w:val="single" w:color="auto" w:sz="4" w:space="0"/>
            </w:tcBorders>
            <w:vAlign w:val="bottom"/>
          </w:tcPr>
          <w:p w:rsidRPr="001F2D6E" w:rsidR="00602927" w:rsidP="00602927" w:rsidRDefault="00602927" w14:paraId="0A1EEE01" w14:textId="1AD7144F">
            <w:pPr>
              <w:rPr>
                <w:b/>
              </w:rPr>
            </w:pPr>
            <w:r>
              <w:rPr>
                <w:b/>
              </w:rPr>
              <w:t>Total Burden for FERC-516</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1515C" w:rsidR="00602927" w:rsidP="00602927" w:rsidRDefault="00602927" w14:paraId="05F70CE5" w14:textId="77777777">
            <w:pPr>
              <w:jc w:val="right"/>
              <w:rPr>
                <w:bCs/>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602927" w14:paraId="71B658DF" w14:textId="3FFC3F97">
            <w:pPr>
              <w:jc w:val="right"/>
              <w:rPr>
                <w:bCs/>
              </w:rPr>
            </w:pPr>
            <w:r>
              <w:rPr>
                <w:bCs/>
              </w:rPr>
              <w:t>6,39</w:t>
            </w:r>
            <w:r w:rsidR="00614913">
              <w:rPr>
                <w:bCs/>
              </w:rPr>
              <w:t>6</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11515C" w:rsidR="00602927" w:rsidP="00602927" w:rsidRDefault="00602927" w14:paraId="6452E8E6" w14:textId="068F6073">
            <w:pPr>
              <w:jc w:val="right"/>
              <w:rPr>
                <w:bC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00614913" w:rsidP="00602927" w:rsidRDefault="00614913" w14:paraId="583A73F2" w14:textId="51A7AD4C">
            <w:pPr>
              <w:jc w:val="right"/>
              <w:rPr>
                <w:bCs/>
              </w:rPr>
            </w:pPr>
          </w:p>
          <w:p w:rsidR="00A44D6A" w:rsidP="00A44D6A" w:rsidRDefault="00614913" w14:paraId="4853ADA5" w14:textId="28B02B6E">
            <w:pPr>
              <w:jc w:val="right"/>
              <w:rPr>
                <w:bCs/>
              </w:rPr>
            </w:pPr>
            <w:r>
              <w:rPr>
                <w:bCs/>
              </w:rPr>
              <w:t>502,987.66 hrs</w:t>
            </w:r>
            <w:r w:rsidR="00A44D6A">
              <w:rPr>
                <w:bCs/>
              </w:rPr>
              <w:t>.;</w:t>
            </w:r>
          </w:p>
          <w:p w:rsidRPr="0011515C" w:rsidR="00602927" w:rsidP="00A44D6A" w:rsidRDefault="00A44D6A" w14:paraId="5BBDB172" w14:textId="24C1F56E">
            <w:pPr>
              <w:jc w:val="right"/>
              <w:rPr>
                <w:bCs/>
              </w:rPr>
            </w:pPr>
            <w:r>
              <w:rPr>
                <w:bCs/>
              </w:rPr>
              <w:t>$41,747,945.07</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bottom"/>
          </w:tcPr>
          <w:p w:rsidRPr="0011515C" w:rsidR="00602927" w:rsidP="00602927" w:rsidRDefault="00A44D6A" w14:paraId="174D3FDA" w14:textId="6479E58D">
            <w:pPr>
              <w:jc w:val="center"/>
              <w:rPr>
                <w:bCs/>
              </w:rPr>
            </w:pPr>
            <w:r>
              <w:rPr>
                <w:bCs/>
              </w:rPr>
              <w:t>$188,326.88</w:t>
            </w:r>
          </w:p>
        </w:tc>
      </w:tr>
    </w:tbl>
    <w:p w:rsidR="00866E05" w:rsidP="00AE1F12" w:rsidRDefault="00866E05" w14:paraId="78532202" w14:textId="77777777">
      <w:pPr>
        <w:spacing w:line="480" w:lineRule="auto"/>
        <w:rPr>
          <w:i/>
        </w:rPr>
      </w:pPr>
    </w:p>
    <w:p w:rsidR="000A3802" w:rsidP="00AE1F12" w:rsidRDefault="00AE1F12" w14:paraId="3450124F"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0A3802" w:rsidP="00AE1F12" w:rsidRDefault="000A3802" w14:paraId="5EC61281" w14:textId="77777777">
      <w:pPr>
        <w:spacing w:line="480" w:lineRule="auto"/>
      </w:pPr>
    </w:p>
    <w:p w:rsidR="000A3802" w:rsidP="00AE1F12" w:rsidRDefault="000A3802" w14:paraId="5368B5CC" w14:textId="77777777">
      <w:pPr>
        <w:spacing w:line="480" w:lineRule="auto"/>
      </w:pPr>
    </w:p>
    <w:p w:rsidR="00AE1F12" w:rsidP="00AE1F12" w:rsidRDefault="00AE1F12" w14:paraId="23EE29AC" w14:textId="6FC0D2ED">
      <w:pPr>
        <w:spacing w:line="480" w:lineRule="auto"/>
      </w:pPr>
      <w:r>
        <w:lastRenderedPageBreak/>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3D66F" w14:textId="77777777" w:rsidR="007D2E64" w:rsidRDefault="007D2E64" w:rsidP="00B01B16">
      <w:r>
        <w:separator/>
      </w:r>
    </w:p>
  </w:endnote>
  <w:endnote w:type="continuationSeparator" w:id="0">
    <w:p w14:paraId="66565A53" w14:textId="77777777" w:rsidR="007D2E64" w:rsidRDefault="007D2E64" w:rsidP="00B01B16">
      <w:r>
        <w:continuationSeparator/>
      </w:r>
    </w:p>
  </w:endnote>
  <w:endnote w:type="continuationNotice" w:id="1">
    <w:p w14:paraId="7A286F60" w14:textId="77777777" w:rsidR="007D2E64" w:rsidRDefault="007D2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277C1" w14:textId="77777777" w:rsidR="007D2E64" w:rsidRDefault="007D2E64" w:rsidP="00B01B16">
      <w:r>
        <w:separator/>
      </w:r>
    </w:p>
  </w:footnote>
  <w:footnote w:type="continuationSeparator" w:id="0">
    <w:p w14:paraId="70D20100" w14:textId="77777777" w:rsidR="007D2E64" w:rsidRDefault="007D2E64" w:rsidP="00B01B16">
      <w:r>
        <w:continuationSeparator/>
      </w:r>
    </w:p>
  </w:footnote>
  <w:footnote w:type="continuationNotice" w:id="1">
    <w:p w14:paraId="39EF16EA" w14:textId="77777777" w:rsidR="007D2E64" w:rsidRDefault="007D2E64"/>
  </w:footnote>
  <w:footnote w:id="2">
    <w:p w14:paraId="5E9CAC09" w14:textId="2AA313B5" w:rsidR="00036B49" w:rsidRPr="00866E05" w:rsidRDefault="00036B49" w:rsidP="00036B49">
      <w:pPr>
        <w:pStyle w:val="FootnoteText"/>
        <w:rPr>
          <w:szCs w:val="22"/>
        </w:rPr>
      </w:pPr>
      <w:r w:rsidRPr="00866E05">
        <w:rPr>
          <w:rStyle w:val="FootnoteReference"/>
          <w:sz w:val="22"/>
          <w:szCs w:val="22"/>
        </w:rPr>
        <w:footnoteRef/>
      </w:r>
      <w:r w:rsidRPr="00866E05">
        <w:rPr>
          <w:szCs w:val="22"/>
        </w:rPr>
        <w:t xml:space="preserve"> This notice does not address the requirements in the </w:t>
      </w:r>
      <w:r w:rsidR="00FC7FE1" w:rsidRPr="00866E05">
        <w:rPr>
          <w:szCs w:val="22"/>
        </w:rPr>
        <w:t>S</w:t>
      </w:r>
      <w:r w:rsidRPr="00866E05">
        <w:rPr>
          <w:szCs w:val="22"/>
        </w:rPr>
        <w:t>upplementary Notice of Proposed Rulemaking (NOPR) in Docket No. RM20-10. The Supplem</w:t>
      </w:r>
      <w:r w:rsidR="00FC7FE1" w:rsidRPr="00866E05">
        <w:rPr>
          <w:szCs w:val="22"/>
        </w:rPr>
        <w:t>en</w:t>
      </w:r>
      <w:r w:rsidRPr="00866E05">
        <w:rPr>
          <w:szCs w:val="22"/>
        </w:rPr>
        <w:t>tary NOPR is available on FERC’s eLibrary system (</w:t>
      </w:r>
      <w:hyperlink r:id="rId1" w:history="1">
        <w:r w:rsidR="00866E05" w:rsidRPr="004D2295">
          <w:rPr>
            <w:rStyle w:val="Hyperlink"/>
            <w:szCs w:val="22"/>
          </w:rPr>
          <w:t>https://elibrary.ferc.gov/eLibrary/search</w:t>
        </w:r>
      </w:hyperlink>
      <w:r w:rsidRPr="00866E05">
        <w:rPr>
          <w:szCs w:val="22"/>
        </w:rPr>
        <w:t>)</w:t>
      </w:r>
      <w:r w:rsidR="00866E05">
        <w:rPr>
          <w:szCs w:val="22"/>
        </w:rPr>
        <w:t xml:space="preserve"> </w:t>
      </w:r>
      <w:r w:rsidRPr="00866E05">
        <w:rPr>
          <w:szCs w:val="22"/>
        </w:rPr>
        <w:t>by searching Docket No. RM20-10.</w:t>
      </w:r>
    </w:p>
  </w:footnote>
  <w:footnote w:id="3">
    <w:p w14:paraId="643F20EA" w14:textId="4A945E98" w:rsidR="0077294F" w:rsidRPr="00866E05" w:rsidRDefault="0077294F">
      <w:pPr>
        <w:pStyle w:val="FootnoteText"/>
        <w:rPr>
          <w:szCs w:val="22"/>
        </w:rPr>
      </w:pPr>
      <w:r w:rsidRPr="00866E05">
        <w:rPr>
          <w:rStyle w:val="FootnoteReference"/>
          <w:b w:val="0"/>
          <w:bCs/>
          <w:sz w:val="22"/>
          <w:szCs w:val="22"/>
        </w:rPr>
        <w:footnoteRef/>
      </w:r>
      <w:r w:rsidRPr="00866E05">
        <w:rPr>
          <w:b/>
          <w:bCs/>
          <w:szCs w:val="22"/>
        </w:rPr>
        <w:t xml:space="preserve"> </w:t>
      </w:r>
      <w:bookmarkStart w:id="4" w:name="_Hlk69895956"/>
      <w:r w:rsidRPr="00866E05">
        <w:rPr>
          <w:szCs w:val="22"/>
        </w:rPr>
        <w:t>The full text of the Final Rule is available on FERC’s eLibrary system (</w:t>
      </w:r>
      <w:hyperlink r:id="rId2" w:history="1">
        <w:r w:rsidR="00D97079" w:rsidRPr="00866E05">
          <w:rPr>
            <w:rStyle w:val="Hyperlink"/>
            <w:szCs w:val="22"/>
          </w:rPr>
          <w:t>https://elibrary.ferc.gov/eLibrary/search</w:t>
        </w:r>
      </w:hyperlink>
      <w:r w:rsidRPr="00866E05">
        <w:rPr>
          <w:szCs w:val="22"/>
        </w:rPr>
        <w:t>)</w:t>
      </w:r>
      <w:r w:rsidR="00D97079" w:rsidRPr="00866E05">
        <w:rPr>
          <w:szCs w:val="22"/>
        </w:rPr>
        <w:t xml:space="preserve"> </w:t>
      </w:r>
      <w:r w:rsidRPr="00866E05">
        <w:rPr>
          <w:szCs w:val="22"/>
        </w:rPr>
        <w:t>by searching Docket No. RM10-17.</w:t>
      </w:r>
      <w:bookmarkEnd w:id="4"/>
    </w:p>
  </w:footnote>
  <w:footnote w:id="4">
    <w:p w14:paraId="04D6BC1C" w14:textId="61A7AB5B" w:rsidR="007C741A" w:rsidRDefault="007C741A">
      <w:pPr>
        <w:pStyle w:val="FootnoteText"/>
      </w:pPr>
      <w:r w:rsidRPr="00866E05">
        <w:rPr>
          <w:rStyle w:val="FootnoteReference"/>
          <w:b w:val="0"/>
          <w:bCs/>
          <w:sz w:val="22"/>
          <w:szCs w:val="22"/>
        </w:rPr>
        <w:footnoteRef/>
      </w:r>
      <w:r w:rsidRPr="00866E05">
        <w:rPr>
          <w:szCs w:val="22"/>
        </w:rPr>
        <w:t xml:space="preserve"> The full text of the Final Rule is available on FERC’s eLibrary system (</w:t>
      </w:r>
      <w:hyperlink r:id="rId3" w:history="1">
        <w:r w:rsidR="00D97079" w:rsidRPr="00866E05">
          <w:rPr>
            <w:rStyle w:val="Hyperlink"/>
            <w:szCs w:val="22"/>
          </w:rPr>
          <w:t>https://elibrary.ferc.gov/eLibrary/search</w:t>
        </w:r>
      </w:hyperlink>
      <w:r w:rsidRPr="00866E05">
        <w:rPr>
          <w:szCs w:val="22"/>
        </w:rPr>
        <w:t>)</w:t>
      </w:r>
      <w:r w:rsidR="00D97079" w:rsidRPr="00866E05">
        <w:rPr>
          <w:szCs w:val="22"/>
        </w:rPr>
        <w:t xml:space="preserve"> </w:t>
      </w:r>
      <w:r w:rsidRPr="00866E05">
        <w:rPr>
          <w:szCs w:val="22"/>
        </w:rPr>
        <w:t>by searching Docket No. RM11-7.</w:t>
      </w:r>
    </w:p>
  </w:footnote>
  <w:footnote w:id="5">
    <w:p w14:paraId="023F68E2" w14:textId="7805E80C" w:rsidR="00807049" w:rsidRPr="00D97079" w:rsidRDefault="00807049">
      <w:pPr>
        <w:pStyle w:val="FootnoteText"/>
        <w:rPr>
          <w:szCs w:val="22"/>
        </w:rPr>
      </w:pPr>
      <w:r w:rsidRPr="00D97079">
        <w:rPr>
          <w:rStyle w:val="FootnoteReference"/>
          <w:sz w:val="22"/>
          <w:szCs w:val="22"/>
        </w:rPr>
        <w:footnoteRef/>
      </w:r>
      <w:r w:rsidRPr="00D97079">
        <w:rPr>
          <w:szCs w:val="22"/>
        </w:rPr>
        <w:t xml:space="preserve"> </w:t>
      </w:r>
      <w:r w:rsidRPr="00D97079">
        <w:rPr>
          <w:i/>
          <w:szCs w:val="22"/>
        </w:rPr>
        <w:t>Preventing Undue Discrimination and Preference in Transmission Service</w:t>
      </w:r>
      <w:r w:rsidRPr="00D97079">
        <w:rPr>
          <w:szCs w:val="22"/>
        </w:rPr>
        <w:t xml:space="preserve">, Order No. 890, FERC Stats. &amp; Regs. ¶ 31,241 (2007), </w:t>
      </w:r>
      <w:r w:rsidRPr="00D97079">
        <w:rPr>
          <w:i/>
          <w:szCs w:val="22"/>
        </w:rPr>
        <w:t>order on reh’g</w:t>
      </w:r>
      <w:r w:rsidRPr="00D97079">
        <w:rPr>
          <w:szCs w:val="22"/>
        </w:rPr>
        <w:t xml:space="preserve">, Order No. 890-A, FERC Stats. &amp; Regs. ¶ 31,261 (2007), </w:t>
      </w:r>
      <w:r w:rsidRPr="00D97079">
        <w:rPr>
          <w:i/>
          <w:szCs w:val="22"/>
        </w:rPr>
        <w:t>order on reh’g</w:t>
      </w:r>
      <w:r w:rsidRPr="00D97079">
        <w:rPr>
          <w:szCs w:val="22"/>
        </w:rPr>
        <w:t xml:space="preserve">, Order No. 890-B, 123 FERC ¶ 61,299 (2008), </w:t>
      </w:r>
      <w:r w:rsidRPr="00D97079">
        <w:rPr>
          <w:i/>
          <w:szCs w:val="22"/>
        </w:rPr>
        <w:t>order on reh’g and clarification</w:t>
      </w:r>
      <w:r w:rsidRPr="00D97079">
        <w:rPr>
          <w:szCs w:val="22"/>
        </w:rPr>
        <w:t>, Order No. 890-C, 126 FERC ¶ 61,228 (2009) (Order No. 890-C).  The Version 002 standards also included revisions made in response to Order No. 890.</w:t>
      </w:r>
    </w:p>
  </w:footnote>
  <w:footnote w:id="6">
    <w:p w14:paraId="1F3F8141" w14:textId="205CEE98" w:rsidR="00D35483" w:rsidRDefault="00D35483">
      <w:pPr>
        <w:pStyle w:val="FootnoteText"/>
      </w:pPr>
      <w:r w:rsidRPr="00D97079">
        <w:rPr>
          <w:rStyle w:val="FootnoteReference"/>
          <w:sz w:val="22"/>
          <w:szCs w:val="22"/>
        </w:rPr>
        <w:footnoteRef/>
      </w:r>
      <w:r w:rsidRPr="00D97079">
        <w:rPr>
          <w:szCs w:val="22"/>
        </w:rPr>
        <w:t xml:space="preserve"> The full text of the Final Rule is available on FERC’s eLibrary system (</w:t>
      </w:r>
      <w:hyperlink r:id="rId4" w:history="1">
        <w:r w:rsidR="00866E05" w:rsidRPr="004D2295">
          <w:rPr>
            <w:rStyle w:val="Hyperlink"/>
            <w:szCs w:val="22"/>
          </w:rPr>
          <w:t>https://elibrary.ferc.gov/eLibrary/search</w:t>
        </w:r>
      </w:hyperlink>
      <w:r w:rsidRPr="00D97079">
        <w:rPr>
          <w:szCs w:val="22"/>
        </w:rPr>
        <w:t>)</w:t>
      </w:r>
      <w:r w:rsidR="00866E05">
        <w:rPr>
          <w:szCs w:val="22"/>
        </w:rPr>
        <w:t xml:space="preserve"> </w:t>
      </w:r>
      <w:r w:rsidRPr="00D97079">
        <w:rPr>
          <w:szCs w:val="22"/>
        </w:rPr>
        <w:t>by searching Docket No. RM15-2.</w:t>
      </w:r>
    </w:p>
  </w:footnote>
  <w:footnote w:id="7">
    <w:p w14:paraId="0DBCA8D0" w14:textId="77777777" w:rsidR="00383D3D" w:rsidRPr="00866E05" w:rsidRDefault="00383D3D" w:rsidP="00383D3D">
      <w:pPr>
        <w:pStyle w:val="FootnoteText"/>
        <w:rPr>
          <w:szCs w:val="22"/>
        </w:rPr>
      </w:pPr>
      <w:r w:rsidRPr="00866E05">
        <w:rPr>
          <w:rStyle w:val="FootnoteReference"/>
          <w:b w:val="0"/>
          <w:bCs/>
          <w:sz w:val="22"/>
          <w:szCs w:val="22"/>
        </w:rPr>
        <w:footnoteRef/>
      </w:r>
      <w:r w:rsidRPr="00866E05">
        <w:rPr>
          <w:szCs w:val="22"/>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8">
    <w:p w14:paraId="19A4E671" w14:textId="0861357A" w:rsidR="00383D3D" w:rsidRPr="00866E05" w:rsidRDefault="00383D3D" w:rsidP="00383D3D">
      <w:pPr>
        <w:pStyle w:val="FootnoteText"/>
        <w:rPr>
          <w:rFonts w:asciiTheme="minorHAnsi" w:hAnsiTheme="minorHAnsi" w:cstheme="minorBidi"/>
          <w:szCs w:val="22"/>
        </w:rPr>
      </w:pPr>
      <w:r w:rsidRPr="00866E05">
        <w:rPr>
          <w:rStyle w:val="FootnoteReference"/>
          <w:b w:val="0"/>
          <w:bCs/>
          <w:sz w:val="22"/>
          <w:szCs w:val="22"/>
        </w:rPr>
        <w:footnoteRef/>
      </w:r>
      <w:r w:rsidRPr="00866E05">
        <w:rPr>
          <w:szCs w:val="22"/>
        </w:rPr>
        <w:t xml:space="preserve"> The Commission staff </w:t>
      </w:r>
      <w:r w:rsidR="004515C4" w:rsidRPr="00866E05">
        <w:rPr>
          <w:szCs w:val="22"/>
        </w:rPr>
        <w:t xml:space="preserve">estimates </w:t>
      </w:r>
      <w:r w:rsidRPr="00866E05">
        <w:rPr>
          <w:szCs w:val="22"/>
        </w:rPr>
        <w:t>that the average respondent for this collection is similarly situated to the Commission, in terms of salary plus benefits. Based on FERC’s 2020 annual average of $172,329 (for salary plus benefits), the average hourly cost is $83/hour.</w:t>
      </w:r>
    </w:p>
  </w:footnote>
  <w:footnote w:id="9">
    <w:p w14:paraId="60C406FB" w14:textId="2B099E2F" w:rsidR="001A48E5" w:rsidRPr="00866E05" w:rsidRDefault="001A48E5" w:rsidP="001A48E5">
      <w:pPr>
        <w:pStyle w:val="FootnoteText"/>
        <w:rPr>
          <w:szCs w:val="22"/>
        </w:rPr>
      </w:pPr>
      <w:r w:rsidRPr="00866E05">
        <w:rPr>
          <w:rStyle w:val="FootnoteReference"/>
          <w:b w:val="0"/>
          <w:bCs/>
          <w:sz w:val="22"/>
          <w:szCs w:val="22"/>
        </w:rPr>
        <w:footnoteRef/>
      </w:r>
      <w:r w:rsidRPr="00866E05">
        <w:rPr>
          <w:b/>
          <w:bCs/>
          <w:szCs w:val="22"/>
        </w:rPr>
        <w:t xml:space="preserve"> </w:t>
      </w:r>
      <w:r w:rsidRPr="00866E05">
        <w:rPr>
          <w:szCs w:val="22"/>
        </w:rPr>
        <w:t xml:space="preserve">The </w:t>
      </w:r>
      <w:r w:rsidR="00614913" w:rsidRPr="00866E05">
        <w:rPr>
          <w:szCs w:val="22"/>
        </w:rPr>
        <w:t xml:space="preserve">following </w:t>
      </w:r>
      <w:r w:rsidRPr="00866E05">
        <w:rPr>
          <w:szCs w:val="22"/>
        </w:rPr>
        <w:t xml:space="preserve">currently approved </w:t>
      </w:r>
      <w:r w:rsidR="00614913" w:rsidRPr="00866E05">
        <w:rPr>
          <w:szCs w:val="22"/>
        </w:rPr>
        <w:t>one-time filings for</w:t>
      </w:r>
      <w:r w:rsidRPr="00866E05">
        <w:rPr>
          <w:szCs w:val="22"/>
        </w:rPr>
        <w:t xml:space="preserve"> FERC-516</w:t>
      </w:r>
      <w:r w:rsidR="00602927" w:rsidRPr="00866E05">
        <w:rPr>
          <w:szCs w:val="22"/>
        </w:rPr>
        <w:t xml:space="preserve"> are complete.</w:t>
      </w:r>
    </w:p>
    <w:p w14:paraId="5B4CBFC5" w14:textId="5279704D" w:rsidR="001A48E5" w:rsidRPr="00866E05" w:rsidRDefault="001A48E5" w:rsidP="001A48E5">
      <w:pPr>
        <w:pStyle w:val="FootnoteText"/>
        <w:numPr>
          <w:ilvl w:val="0"/>
          <w:numId w:val="8"/>
        </w:numPr>
        <w:rPr>
          <w:szCs w:val="22"/>
        </w:rPr>
      </w:pPr>
      <w:r w:rsidRPr="00866E05">
        <w:rPr>
          <w:szCs w:val="22"/>
        </w:rPr>
        <w:t xml:space="preserve">The one-time </w:t>
      </w:r>
      <w:r w:rsidR="00660925" w:rsidRPr="00866E05">
        <w:rPr>
          <w:szCs w:val="22"/>
        </w:rPr>
        <w:t xml:space="preserve">total </w:t>
      </w:r>
      <w:r w:rsidRPr="00866E05">
        <w:rPr>
          <w:szCs w:val="22"/>
        </w:rPr>
        <w:t xml:space="preserve">burden for Electric Rate Schedules and Tariffs in Docket No. RM17-8 was a total of 65,220 hours that was averaged over three years (65,220 ÷ 3 = 21,740 hours/year over three years). </w:t>
      </w:r>
    </w:p>
    <w:p w14:paraId="2A65DAAF" w14:textId="779D4676" w:rsidR="001A48E5" w:rsidRPr="00866E05" w:rsidRDefault="001A48E5" w:rsidP="001A48E5">
      <w:pPr>
        <w:pStyle w:val="FootnoteText"/>
        <w:numPr>
          <w:ilvl w:val="0"/>
          <w:numId w:val="8"/>
        </w:numPr>
        <w:rPr>
          <w:szCs w:val="22"/>
        </w:rPr>
      </w:pPr>
      <w:r w:rsidRPr="00866E05">
        <w:rPr>
          <w:szCs w:val="22"/>
        </w:rPr>
        <w:t xml:space="preserve">The one-time </w:t>
      </w:r>
      <w:r w:rsidR="00660925" w:rsidRPr="00866E05">
        <w:rPr>
          <w:szCs w:val="22"/>
        </w:rPr>
        <w:t xml:space="preserve">total </w:t>
      </w:r>
      <w:r w:rsidRPr="00866E05">
        <w:rPr>
          <w:szCs w:val="22"/>
        </w:rPr>
        <w:t xml:space="preserve">burden for Electric Rate Schedules and Tariffs in Docket No. RM11-7 was a total of 5,500 hours that was averaged over three years (5,500 ÷ 3 = 1,833 hours/year over three years). </w:t>
      </w:r>
    </w:p>
    <w:p w14:paraId="217E7C37" w14:textId="4E61460D" w:rsidR="001A48E5" w:rsidRPr="00866E05" w:rsidRDefault="001A48E5" w:rsidP="00866E05">
      <w:pPr>
        <w:pStyle w:val="FootnoteText"/>
        <w:numPr>
          <w:ilvl w:val="0"/>
          <w:numId w:val="8"/>
        </w:numPr>
        <w:rPr>
          <w:szCs w:val="22"/>
        </w:rPr>
      </w:pPr>
      <w:r w:rsidRPr="00866E05">
        <w:rPr>
          <w:szCs w:val="22"/>
        </w:rPr>
        <w:t xml:space="preserve">The one-time </w:t>
      </w:r>
      <w:r w:rsidR="00660925" w:rsidRPr="00866E05">
        <w:rPr>
          <w:szCs w:val="22"/>
        </w:rPr>
        <w:t xml:space="preserve">total </w:t>
      </w:r>
      <w:r w:rsidRPr="00866E05">
        <w:rPr>
          <w:szCs w:val="22"/>
        </w:rPr>
        <w:t xml:space="preserve">burden for Electric Rate Schedules and Tariffs in Docket No. RM05-05-020 was a total of 60 hours. </w:t>
      </w:r>
    </w:p>
  </w:footnote>
  <w:footnote w:id="10">
    <w:p w14:paraId="1B036171" w14:textId="6FBC1EFB" w:rsidR="00602927" w:rsidRPr="00866E05" w:rsidRDefault="00602927">
      <w:pPr>
        <w:pStyle w:val="FootnoteText"/>
        <w:rPr>
          <w:szCs w:val="22"/>
        </w:rPr>
      </w:pPr>
      <w:r w:rsidRPr="00866E05">
        <w:rPr>
          <w:rStyle w:val="FootnoteReference"/>
          <w:sz w:val="22"/>
          <w:szCs w:val="22"/>
        </w:rPr>
        <w:footnoteRef/>
      </w:r>
      <w:r w:rsidRPr="00866E05">
        <w:rPr>
          <w:szCs w:val="22"/>
        </w:rPr>
        <w:t xml:space="preserve"> If a new RTO/ISO is formed</w:t>
      </w:r>
      <w:r w:rsidR="00614913" w:rsidRPr="00866E05">
        <w:rPr>
          <w:szCs w:val="22"/>
        </w:rPr>
        <w:t>,</w:t>
      </w:r>
      <w:r w:rsidRPr="00866E05">
        <w:rPr>
          <w:szCs w:val="22"/>
        </w:rPr>
        <w:t xml:space="preserve"> their tariff filings would be required by Order 845 (in Docket No. RM17-8), Order 755 (in Docket No. RM11-7), </w:t>
      </w:r>
      <w:r w:rsidR="00A17FA7" w:rsidRPr="00866E05">
        <w:rPr>
          <w:szCs w:val="22"/>
        </w:rPr>
        <w:t xml:space="preserve">and </w:t>
      </w:r>
      <w:r w:rsidRPr="00866E05">
        <w:rPr>
          <w:szCs w:val="22"/>
        </w:rPr>
        <w:t>Order 676-G (in Docket No. RM05-05-020).</w:t>
      </w:r>
    </w:p>
  </w:footnote>
  <w:footnote w:id="11">
    <w:p w14:paraId="60B510A1" w14:textId="49EF1918" w:rsidR="00336680" w:rsidRDefault="0033668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758527"/>
      <w:docPartObj>
        <w:docPartGallery w:val="Page Numbers (Top of Page)"/>
        <w:docPartUnique/>
      </w:docPartObj>
    </w:sdtPr>
    <w:sdtEndPr>
      <w:rPr>
        <w:noProof/>
      </w:rPr>
    </w:sdtEndPr>
    <w:sdtContent>
      <w:p w14:paraId="3BA2B613" w14:textId="63AF5EA7" w:rsidR="004F2E49" w:rsidRDefault="004F2E49" w:rsidP="000A3802">
        <w:pPr>
          <w:pStyle w:val="Header"/>
        </w:pPr>
        <w:r w:rsidRPr="00980E58">
          <w:t xml:space="preserve">Docket No. </w:t>
        </w:r>
        <w:r w:rsidRPr="00296FD4">
          <w:t>IC21-21-000</w:t>
        </w:r>
        <w:r w:rsidR="000A3802">
          <w:tab/>
        </w:r>
        <w:r>
          <w:fldChar w:fldCharType="begin"/>
        </w:r>
        <w:r>
          <w:instrText xml:space="preserve"> PAGE   \* MERGEFORMAT </w:instrText>
        </w:r>
        <w:r>
          <w:fldChar w:fldCharType="separate"/>
        </w:r>
        <w:r>
          <w:rPr>
            <w:noProof/>
          </w:rPr>
          <w:t>2</w:t>
        </w:r>
        <w:r>
          <w:rPr>
            <w:noProof/>
          </w:rPr>
          <w:fldChar w:fldCharType="end"/>
        </w:r>
      </w:p>
    </w:sdtContent>
  </w:sdt>
  <w:p w14:paraId="0E155F8B" w14:textId="4B98AFF2"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23EEE"/>
    <w:rsid w:val="00026C2D"/>
    <w:rsid w:val="00036B49"/>
    <w:rsid w:val="000459B6"/>
    <w:rsid w:val="000574EB"/>
    <w:rsid w:val="00062427"/>
    <w:rsid w:val="00075F2B"/>
    <w:rsid w:val="00083DF6"/>
    <w:rsid w:val="0008692A"/>
    <w:rsid w:val="000A0250"/>
    <w:rsid w:val="000A3802"/>
    <w:rsid w:val="000A643B"/>
    <w:rsid w:val="000A6F37"/>
    <w:rsid w:val="000A7E68"/>
    <w:rsid w:val="000B1D3D"/>
    <w:rsid w:val="000B5C78"/>
    <w:rsid w:val="000C4F32"/>
    <w:rsid w:val="000C7A50"/>
    <w:rsid w:val="000C7C22"/>
    <w:rsid w:val="000D0A4C"/>
    <w:rsid w:val="000D318C"/>
    <w:rsid w:val="000E2568"/>
    <w:rsid w:val="000F606E"/>
    <w:rsid w:val="00105E36"/>
    <w:rsid w:val="00113646"/>
    <w:rsid w:val="0011515C"/>
    <w:rsid w:val="00116326"/>
    <w:rsid w:val="00125991"/>
    <w:rsid w:val="00140714"/>
    <w:rsid w:val="0015445B"/>
    <w:rsid w:val="00156BBB"/>
    <w:rsid w:val="001600DF"/>
    <w:rsid w:val="00164215"/>
    <w:rsid w:val="00170042"/>
    <w:rsid w:val="00171725"/>
    <w:rsid w:val="00175926"/>
    <w:rsid w:val="0017684C"/>
    <w:rsid w:val="00177704"/>
    <w:rsid w:val="00181BF7"/>
    <w:rsid w:val="00184A26"/>
    <w:rsid w:val="00184B43"/>
    <w:rsid w:val="0019402A"/>
    <w:rsid w:val="00196A63"/>
    <w:rsid w:val="00197435"/>
    <w:rsid w:val="001A48E5"/>
    <w:rsid w:val="001A6645"/>
    <w:rsid w:val="001A6AD6"/>
    <w:rsid w:val="001B4B4B"/>
    <w:rsid w:val="001B78B8"/>
    <w:rsid w:val="001C7064"/>
    <w:rsid w:val="001F1CDF"/>
    <w:rsid w:val="001F2D6E"/>
    <w:rsid w:val="00202E41"/>
    <w:rsid w:val="0020345E"/>
    <w:rsid w:val="002131D0"/>
    <w:rsid w:val="00224BF8"/>
    <w:rsid w:val="002258C8"/>
    <w:rsid w:val="00233D7F"/>
    <w:rsid w:val="0024309C"/>
    <w:rsid w:val="00243F40"/>
    <w:rsid w:val="00253F98"/>
    <w:rsid w:val="00256F57"/>
    <w:rsid w:val="00257CC2"/>
    <w:rsid w:val="00266431"/>
    <w:rsid w:val="00272EBC"/>
    <w:rsid w:val="002924B5"/>
    <w:rsid w:val="00292A4C"/>
    <w:rsid w:val="00296FD4"/>
    <w:rsid w:val="002970C5"/>
    <w:rsid w:val="00297211"/>
    <w:rsid w:val="002A1666"/>
    <w:rsid w:val="002C3223"/>
    <w:rsid w:val="002C3579"/>
    <w:rsid w:val="002D17E5"/>
    <w:rsid w:val="002E06A0"/>
    <w:rsid w:val="002E6DAA"/>
    <w:rsid w:val="002F4401"/>
    <w:rsid w:val="00303516"/>
    <w:rsid w:val="003040E2"/>
    <w:rsid w:val="00306318"/>
    <w:rsid w:val="00311D90"/>
    <w:rsid w:val="00314219"/>
    <w:rsid w:val="003149BC"/>
    <w:rsid w:val="00315702"/>
    <w:rsid w:val="00336680"/>
    <w:rsid w:val="00336AD9"/>
    <w:rsid w:val="00365468"/>
    <w:rsid w:val="003658A2"/>
    <w:rsid w:val="003673EC"/>
    <w:rsid w:val="00373A2E"/>
    <w:rsid w:val="0037442C"/>
    <w:rsid w:val="00376525"/>
    <w:rsid w:val="00383D3D"/>
    <w:rsid w:val="00385B1B"/>
    <w:rsid w:val="00397ABE"/>
    <w:rsid w:val="003A2C3F"/>
    <w:rsid w:val="003B435C"/>
    <w:rsid w:val="003B5B0B"/>
    <w:rsid w:val="003C08DE"/>
    <w:rsid w:val="003C102A"/>
    <w:rsid w:val="003C3E7A"/>
    <w:rsid w:val="003D04EA"/>
    <w:rsid w:val="003D28D2"/>
    <w:rsid w:val="003E1657"/>
    <w:rsid w:val="003E1B5A"/>
    <w:rsid w:val="003E40B2"/>
    <w:rsid w:val="003E44AD"/>
    <w:rsid w:val="003F0FE7"/>
    <w:rsid w:val="003F2E32"/>
    <w:rsid w:val="003F570B"/>
    <w:rsid w:val="00411B62"/>
    <w:rsid w:val="004177CD"/>
    <w:rsid w:val="0042158C"/>
    <w:rsid w:val="004226C7"/>
    <w:rsid w:val="0042688C"/>
    <w:rsid w:val="0042765E"/>
    <w:rsid w:val="00427AE5"/>
    <w:rsid w:val="004342B6"/>
    <w:rsid w:val="00434773"/>
    <w:rsid w:val="00443282"/>
    <w:rsid w:val="00447FE6"/>
    <w:rsid w:val="004515C4"/>
    <w:rsid w:val="004562F1"/>
    <w:rsid w:val="004604FB"/>
    <w:rsid w:val="004628F2"/>
    <w:rsid w:val="00471921"/>
    <w:rsid w:val="004868C0"/>
    <w:rsid w:val="00491543"/>
    <w:rsid w:val="004915CE"/>
    <w:rsid w:val="004960C0"/>
    <w:rsid w:val="004A65BD"/>
    <w:rsid w:val="004A661D"/>
    <w:rsid w:val="004C08BA"/>
    <w:rsid w:val="004C0BC3"/>
    <w:rsid w:val="004C70C8"/>
    <w:rsid w:val="004E0A8B"/>
    <w:rsid w:val="004E5564"/>
    <w:rsid w:val="004E683E"/>
    <w:rsid w:val="004F2E49"/>
    <w:rsid w:val="004F6EC7"/>
    <w:rsid w:val="00511D40"/>
    <w:rsid w:val="005177D8"/>
    <w:rsid w:val="00523852"/>
    <w:rsid w:val="00524164"/>
    <w:rsid w:val="00527733"/>
    <w:rsid w:val="00531000"/>
    <w:rsid w:val="005401E0"/>
    <w:rsid w:val="00544424"/>
    <w:rsid w:val="0054629D"/>
    <w:rsid w:val="0054746C"/>
    <w:rsid w:val="00565830"/>
    <w:rsid w:val="00565B5E"/>
    <w:rsid w:val="00566B5F"/>
    <w:rsid w:val="00577BFB"/>
    <w:rsid w:val="00586A4C"/>
    <w:rsid w:val="00587D1F"/>
    <w:rsid w:val="005953A1"/>
    <w:rsid w:val="005A2F24"/>
    <w:rsid w:val="005A6119"/>
    <w:rsid w:val="005B063D"/>
    <w:rsid w:val="005B4DA4"/>
    <w:rsid w:val="005C180F"/>
    <w:rsid w:val="005C77BE"/>
    <w:rsid w:val="005D087B"/>
    <w:rsid w:val="005D238D"/>
    <w:rsid w:val="005D285B"/>
    <w:rsid w:val="005E0B1A"/>
    <w:rsid w:val="005E1524"/>
    <w:rsid w:val="005E45C6"/>
    <w:rsid w:val="00602927"/>
    <w:rsid w:val="006128A5"/>
    <w:rsid w:val="00613169"/>
    <w:rsid w:val="00614913"/>
    <w:rsid w:val="00614BDB"/>
    <w:rsid w:val="0062572C"/>
    <w:rsid w:val="00630E07"/>
    <w:rsid w:val="0063416D"/>
    <w:rsid w:val="0063784F"/>
    <w:rsid w:val="00637F43"/>
    <w:rsid w:val="00644A1B"/>
    <w:rsid w:val="0064725E"/>
    <w:rsid w:val="00652918"/>
    <w:rsid w:val="006536D8"/>
    <w:rsid w:val="00654399"/>
    <w:rsid w:val="00654BA4"/>
    <w:rsid w:val="00660925"/>
    <w:rsid w:val="0066195A"/>
    <w:rsid w:val="00664108"/>
    <w:rsid w:val="00664931"/>
    <w:rsid w:val="006670C8"/>
    <w:rsid w:val="00674D13"/>
    <w:rsid w:val="00682FE3"/>
    <w:rsid w:val="006841A7"/>
    <w:rsid w:val="00693721"/>
    <w:rsid w:val="00694C22"/>
    <w:rsid w:val="006963BC"/>
    <w:rsid w:val="006970F4"/>
    <w:rsid w:val="006A2E15"/>
    <w:rsid w:val="006E545F"/>
    <w:rsid w:val="006E7CBB"/>
    <w:rsid w:val="006F7028"/>
    <w:rsid w:val="006F749E"/>
    <w:rsid w:val="007024F1"/>
    <w:rsid w:val="00713417"/>
    <w:rsid w:val="00714EDD"/>
    <w:rsid w:val="00723505"/>
    <w:rsid w:val="007263B9"/>
    <w:rsid w:val="00733F6C"/>
    <w:rsid w:val="00734BDD"/>
    <w:rsid w:val="00742BDA"/>
    <w:rsid w:val="00742C6A"/>
    <w:rsid w:val="0075009F"/>
    <w:rsid w:val="00754038"/>
    <w:rsid w:val="0077294F"/>
    <w:rsid w:val="0077688B"/>
    <w:rsid w:val="00781E6A"/>
    <w:rsid w:val="007B1F57"/>
    <w:rsid w:val="007B4938"/>
    <w:rsid w:val="007C741A"/>
    <w:rsid w:val="007D2E64"/>
    <w:rsid w:val="007E3706"/>
    <w:rsid w:val="007F4CD3"/>
    <w:rsid w:val="007F61C2"/>
    <w:rsid w:val="008018DB"/>
    <w:rsid w:val="00802161"/>
    <w:rsid w:val="0080230B"/>
    <w:rsid w:val="00803CA2"/>
    <w:rsid w:val="00807049"/>
    <w:rsid w:val="00807CAC"/>
    <w:rsid w:val="008115BF"/>
    <w:rsid w:val="00816942"/>
    <w:rsid w:val="008212DA"/>
    <w:rsid w:val="00824D81"/>
    <w:rsid w:val="00835322"/>
    <w:rsid w:val="00853ABC"/>
    <w:rsid w:val="0085682B"/>
    <w:rsid w:val="00856FF4"/>
    <w:rsid w:val="00866E05"/>
    <w:rsid w:val="00871D53"/>
    <w:rsid w:val="00871DCE"/>
    <w:rsid w:val="0087271A"/>
    <w:rsid w:val="00881405"/>
    <w:rsid w:val="00887E0E"/>
    <w:rsid w:val="0089069F"/>
    <w:rsid w:val="008930EA"/>
    <w:rsid w:val="00895B40"/>
    <w:rsid w:val="00895DA2"/>
    <w:rsid w:val="00897359"/>
    <w:rsid w:val="008A7371"/>
    <w:rsid w:val="008B7EC5"/>
    <w:rsid w:val="008D25B7"/>
    <w:rsid w:val="008D5479"/>
    <w:rsid w:val="008E039C"/>
    <w:rsid w:val="008E0DC0"/>
    <w:rsid w:val="008E0DF5"/>
    <w:rsid w:val="008E3273"/>
    <w:rsid w:val="008E7F1F"/>
    <w:rsid w:val="008F0C45"/>
    <w:rsid w:val="008F3693"/>
    <w:rsid w:val="00904B00"/>
    <w:rsid w:val="00940C0F"/>
    <w:rsid w:val="00951DC3"/>
    <w:rsid w:val="0095547B"/>
    <w:rsid w:val="0095548F"/>
    <w:rsid w:val="009744C8"/>
    <w:rsid w:val="00974530"/>
    <w:rsid w:val="00974A24"/>
    <w:rsid w:val="00980E58"/>
    <w:rsid w:val="009815BD"/>
    <w:rsid w:val="00981886"/>
    <w:rsid w:val="00984CEB"/>
    <w:rsid w:val="009862C6"/>
    <w:rsid w:val="00990102"/>
    <w:rsid w:val="00990FEC"/>
    <w:rsid w:val="00992257"/>
    <w:rsid w:val="00995921"/>
    <w:rsid w:val="009A1B08"/>
    <w:rsid w:val="009B1FB9"/>
    <w:rsid w:val="009C3CB9"/>
    <w:rsid w:val="009C4A13"/>
    <w:rsid w:val="009C745D"/>
    <w:rsid w:val="009F4664"/>
    <w:rsid w:val="009F7DE3"/>
    <w:rsid w:val="00A07154"/>
    <w:rsid w:val="00A11868"/>
    <w:rsid w:val="00A127D3"/>
    <w:rsid w:val="00A1386C"/>
    <w:rsid w:val="00A14335"/>
    <w:rsid w:val="00A14B43"/>
    <w:rsid w:val="00A17FA7"/>
    <w:rsid w:val="00A23612"/>
    <w:rsid w:val="00A25AFC"/>
    <w:rsid w:val="00A2604E"/>
    <w:rsid w:val="00A3149A"/>
    <w:rsid w:val="00A32860"/>
    <w:rsid w:val="00A417A2"/>
    <w:rsid w:val="00A44D6A"/>
    <w:rsid w:val="00A51A92"/>
    <w:rsid w:val="00A52189"/>
    <w:rsid w:val="00A52D5D"/>
    <w:rsid w:val="00A57463"/>
    <w:rsid w:val="00A6078A"/>
    <w:rsid w:val="00A664DF"/>
    <w:rsid w:val="00A71219"/>
    <w:rsid w:val="00A713D0"/>
    <w:rsid w:val="00A722D4"/>
    <w:rsid w:val="00A75AAA"/>
    <w:rsid w:val="00A82A29"/>
    <w:rsid w:val="00AA516A"/>
    <w:rsid w:val="00AA522D"/>
    <w:rsid w:val="00AA5B0E"/>
    <w:rsid w:val="00AC0504"/>
    <w:rsid w:val="00AC1DB7"/>
    <w:rsid w:val="00AC4DD5"/>
    <w:rsid w:val="00AC664F"/>
    <w:rsid w:val="00AC750B"/>
    <w:rsid w:val="00AD6937"/>
    <w:rsid w:val="00AE1F12"/>
    <w:rsid w:val="00AE2131"/>
    <w:rsid w:val="00AE24CC"/>
    <w:rsid w:val="00AE2B22"/>
    <w:rsid w:val="00AE4155"/>
    <w:rsid w:val="00AE4B7C"/>
    <w:rsid w:val="00AE66F6"/>
    <w:rsid w:val="00AF17CE"/>
    <w:rsid w:val="00AF349B"/>
    <w:rsid w:val="00B009E9"/>
    <w:rsid w:val="00B01B16"/>
    <w:rsid w:val="00B0455E"/>
    <w:rsid w:val="00B06808"/>
    <w:rsid w:val="00B11D16"/>
    <w:rsid w:val="00B24588"/>
    <w:rsid w:val="00B447D7"/>
    <w:rsid w:val="00B47C22"/>
    <w:rsid w:val="00B61016"/>
    <w:rsid w:val="00B71BAA"/>
    <w:rsid w:val="00B76A1F"/>
    <w:rsid w:val="00B82F8C"/>
    <w:rsid w:val="00B8460F"/>
    <w:rsid w:val="00B95477"/>
    <w:rsid w:val="00BA1D81"/>
    <w:rsid w:val="00BA58AF"/>
    <w:rsid w:val="00BA7130"/>
    <w:rsid w:val="00BD30B1"/>
    <w:rsid w:val="00BD7460"/>
    <w:rsid w:val="00BD74AE"/>
    <w:rsid w:val="00BE16BC"/>
    <w:rsid w:val="00BE3FE7"/>
    <w:rsid w:val="00BF2D74"/>
    <w:rsid w:val="00BF4CC8"/>
    <w:rsid w:val="00BF75B6"/>
    <w:rsid w:val="00C02547"/>
    <w:rsid w:val="00C058D5"/>
    <w:rsid w:val="00C070E8"/>
    <w:rsid w:val="00C1124F"/>
    <w:rsid w:val="00C1686C"/>
    <w:rsid w:val="00C214D1"/>
    <w:rsid w:val="00C30DED"/>
    <w:rsid w:val="00C37BFF"/>
    <w:rsid w:val="00C45F17"/>
    <w:rsid w:val="00C51458"/>
    <w:rsid w:val="00C53580"/>
    <w:rsid w:val="00C55838"/>
    <w:rsid w:val="00C56745"/>
    <w:rsid w:val="00C66ADC"/>
    <w:rsid w:val="00C70729"/>
    <w:rsid w:val="00C71475"/>
    <w:rsid w:val="00C77EF7"/>
    <w:rsid w:val="00C820F1"/>
    <w:rsid w:val="00C85A38"/>
    <w:rsid w:val="00C87B3A"/>
    <w:rsid w:val="00C91512"/>
    <w:rsid w:val="00C94A53"/>
    <w:rsid w:val="00CA2DE2"/>
    <w:rsid w:val="00CA3A85"/>
    <w:rsid w:val="00CA6636"/>
    <w:rsid w:val="00CA6D76"/>
    <w:rsid w:val="00CB189F"/>
    <w:rsid w:val="00CB4649"/>
    <w:rsid w:val="00CB51CC"/>
    <w:rsid w:val="00CC1A72"/>
    <w:rsid w:val="00CC37AF"/>
    <w:rsid w:val="00CC4B43"/>
    <w:rsid w:val="00CC5692"/>
    <w:rsid w:val="00CC65F3"/>
    <w:rsid w:val="00CD157D"/>
    <w:rsid w:val="00CD56E5"/>
    <w:rsid w:val="00CE0C1B"/>
    <w:rsid w:val="00CF0C67"/>
    <w:rsid w:val="00CF0F40"/>
    <w:rsid w:val="00CF4753"/>
    <w:rsid w:val="00D0083B"/>
    <w:rsid w:val="00D05EA5"/>
    <w:rsid w:val="00D172D8"/>
    <w:rsid w:val="00D20EBC"/>
    <w:rsid w:val="00D34D70"/>
    <w:rsid w:val="00D35483"/>
    <w:rsid w:val="00D35B2D"/>
    <w:rsid w:val="00D35DA2"/>
    <w:rsid w:val="00D4032D"/>
    <w:rsid w:val="00D44155"/>
    <w:rsid w:val="00D44183"/>
    <w:rsid w:val="00D46E90"/>
    <w:rsid w:val="00D5276C"/>
    <w:rsid w:val="00D61815"/>
    <w:rsid w:val="00D6384D"/>
    <w:rsid w:val="00D63FC9"/>
    <w:rsid w:val="00D653F3"/>
    <w:rsid w:val="00D66B24"/>
    <w:rsid w:val="00D83E15"/>
    <w:rsid w:val="00D872BC"/>
    <w:rsid w:val="00D94B86"/>
    <w:rsid w:val="00D97079"/>
    <w:rsid w:val="00DA529F"/>
    <w:rsid w:val="00DB309E"/>
    <w:rsid w:val="00DB30C1"/>
    <w:rsid w:val="00DB5AAE"/>
    <w:rsid w:val="00DB6882"/>
    <w:rsid w:val="00DC5017"/>
    <w:rsid w:val="00DC5129"/>
    <w:rsid w:val="00DD028B"/>
    <w:rsid w:val="00DD7F1B"/>
    <w:rsid w:val="00DE37A0"/>
    <w:rsid w:val="00DE432C"/>
    <w:rsid w:val="00E00DE1"/>
    <w:rsid w:val="00E12A7A"/>
    <w:rsid w:val="00E27FD6"/>
    <w:rsid w:val="00E31399"/>
    <w:rsid w:val="00E41DB9"/>
    <w:rsid w:val="00E75FD4"/>
    <w:rsid w:val="00E762BB"/>
    <w:rsid w:val="00E8661B"/>
    <w:rsid w:val="00E9084E"/>
    <w:rsid w:val="00E962E6"/>
    <w:rsid w:val="00EA28EF"/>
    <w:rsid w:val="00EA689F"/>
    <w:rsid w:val="00EC1434"/>
    <w:rsid w:val="00EC72B0"/>
    <w:rsid w:val="00ED7A49"/>
    <w:rsid w:val="00EE5F75"/>
    <w:rsid w:val="00EE72E5"/>
    <w:rsid w:val="00EE7E28"/>
    <w:rsid w:val="00EF33BE"/>
    <w:rsid w:val="00EF4F97"/>
    <w:rsid w:val="00F0161D"/>
    <w:rsid w:val="00F06D37"/>
    <w:rsid w:val="00F126FC"/>
    <w:rsid w:val="00F12983"/>
    <w:rsid w:val="00F15359"/>
    <w:rsid w:val="00F204E1"/>
    <w:rsid w:val="00F245A2"/>
    <w:rsid w:val="00F309CB"/>
    <w:rsid w:val="00F336DF"/>
    <w:rsid w:val="00F33EEE"/>
    <w:rsid w:val="00F44A0E"/>
    <w:rsid w:val="00F4763C"/>
    <w:rsid w:val="00F52D9A"/>
    <w:rsid w:val="00F540BA"/>
    <w:rsid w:val="00F64069"/>
    <w:rsid w:val="00F64D6D"/>
    <w:rsid w:val="00F82EE1"/>
    <w:rsid w:val="00F93134"/>
    <w:rsid w:val="00FB078F"/>
    <w:rsid w:val="00FC3F00"/>
    <w:rsid w:val="00FC7FE1"/>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B4ED575"/>
  <w15:docId w15:val="{63B1F81D-9925-436F-8455-D20B76F5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83D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9311647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 w:id="210325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eLibrary/search" TargetMode="External"/><Relationship Id="rId2" Type="http://schemas.openxmlformats.org/officeDocument/2006/relationships/hyperlink" Target="https://elibrary.ferc.gov/eLibrary/search" TargetMode="External"/><Relationship Id="rId1" Type="http://schemas.openxmlformats.org/officeDocument/2006/relationships/hyperlink" Target="https://elibrary.ferc.gov/eLibrary/search" TargetMode="External"/><Relationship Id="rId4" Type="http://schemas.openxmlformats.org/officeDocument/2006/relationships/hyperlink" Target="https://elibrary.ferc.gov/eLibra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43F8-8ED4-4714-AE5D-289F7962C67C}">
  <ds:schemaRefs>
    <ds:schemaRef ds:uri="Microsoft.SharePoint.Taxonomy.ContentTypeSync"/>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EF443237-7494-42B2-8D16-E35A81B8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151ECFFB-B84A-44E6-A9B1-B51FDB86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2</cp:revision>
  <cp:lastPrinted>2016-12-20T13:40:00Z</cp:lastPrinted>
  <dcterms:created xsi:type="dcterms:W3CDTF">2021-07-07T13:20:00Z</dcterms:created>
  <dcterms:modified xsi:type="dcterms:W3CDTF">2021-07-07T13:20:00Z</dcterms:modified>
  <cp:category/>
  <dc:identifier/>
  <cp:contentStatus/>
  <cp:version/>
</cp:coreProperties>
</file>